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5AEF38" w14:textId="7E84B98A" w:rsidR="00E321E3" w:rsidRPr="00E321E3" w:rsidRDefault="7E73F75C" w:rsidP="00E321E3">
      <w:pPr>
        <w:suppressAutoHyphens w:val="0"/>
        <w:jc w:val="right"/>
        <w:rPr>
          <w:color w:val="000000"/>
          <w:lang w:eastAsia="lv-LV"/>
        </w:rPr>
      </w:pPr>
      <w:r w:rsidRPr="00E321E3">
        <w:t xml:space="preserve"> </w:t>
      </w:r>
      <w:r w:rsidR="00960999" w:rsidRPr="00E321E3">
        <w:rPr>
          <w:color w:val="000000"/>
          <w:lang w:eastAsia="lv-LV"/>
        </w:rPr>
        <w:t xml:space="preserve">Likumprojekta </w:t>
      </w:r>
      <w:r w:rsidR="006F4B4E">
        <w:rPr>
          <w:color w:val="000000"/>
          <w:lang w:eastAsia="lv-LV"/>
        </w:rPr>
        <w:t>“</w:t>
      </w:r>
      <w:r w:rsidR="00960999" w:rsidRPr="00E321E3">
        <w:rPr>
          <w:color w:val="000000"/>
          <w:lang w:eastAsia="lv-LV"/>
        </w:rPr>
        <w:t>Grozījumi Dabas resursu nodokļa likumā</w:t>
      </w:r>
      <w:r w:rsidR="006F4B4E">
        <w:rPr>
          <w:color w:val="000000"/>
          <w:lang w:eastAsia="lv-LV"/>
        </w:rPr>
        <w:t>”</w:t>
      </w:r>
      <w:r w:rsidR="00960999" w:rsidRPr="00E321E3">
        <w:rPr>
          <w:color w:val="000000"/>
          <w:lang w:eastAsia="lv-LV"/>
        </w:rPr>
        <w:t xml:space="preserve"> </w:t>
      </w:r>
    </w:p>
    <w:p w14:paraId="2A5195B0" w14:textId="68BFD260" w:rsidR="00960999" w:rsidRPr="00960999" w:rsidRDefault="00960999" w:rsidP="00E321E3">
      <w:pPr>
        <w:suppressAutoHyphens w:val="0"/>
        <w:jc w:val="right"/>
        <w:rPr>
          <w:rFonts w:ascii="Calibri" w:hAnsi="Calibri" w:cs="Calibri"/>
          <w:color w:val="000000"/>
          <w:sz w:val="22"/>
          <w:szCs w:val="22"/>
          <w:lang w:eastAsia="lv-LV"/>
        </w:rPr>
      </w:pPr>
      <w:r w:rsidRPr="00E321E3">
        <w:rPr>
          <w:color w:val="000000"/>
          <w:lang w:eastAsia="lv-LV"/>
        </w:rPr>
        <w:t xml:space="preserve">sākotnējās ietekmes novērtējuma ziņojuma (anotācijas)  </w:t>
      </w:r>
      <w:r w:rsidR="00E321E3" w:rsidRPr="00E321E3">
        <w:rPr>
          <w:color w:val="000000"/>
          <w:lang w:eastAsia="lv-LV"/>
        </w:rPr>
        <w:t>2. </w:t>
      </w:r>
      <w:r w:rsidRPr="00E321E3">
        <w:rPr>
          <w:color w:val="000000"/>
          <w:lang w:eastAsia="lv-LV"/>
        </w:rPr>
        <w:t>pielikums</w:t>
      </w:r>
      <w:r w:rsidRPr="00960999">
        <w:rPr>
          <w:rFonts w:ascii="Calibri" w:hAnsi="Calibri" w:cs="Calibri"/>
          <w:color w:val="000000"/>
          <w:sz w:val="22"/>
          <w:szCs w:val="22"/>
          <w:lang w:eastAsia="lv-LV"/>
        </w:rPr>
        <w:t xml:space="preserve"> </w:t>
      </w:r>
    </w:p>
    <w:p w14:paraId="6A70DBA7" w14:textId="77777777" w:rsidR="00960999" w:rsidRDefault="00960999" w:rsidP="00C71189">
      <w:pPr>
        <w:pStyle w:val="naisnod"/>
        <w:spacing w:before="0" w:after="0"/>
        <w:ind w:firstLine="720"/>
      </w:pPr>
    </w:p>
    <w:p w14:paraId="7DD0A359" w14:textId="77777777" w:rsidR="00960999" w:rsidRDefault="00960999" w:rsidP="00E321E3">
      <w:pPr>
        <w:pStyle w:val="naisnod"/>
        <w:spacing w:before="0" w:after="0"/>
        <w:jc w:val="left"/>
      </w:pPr>
    </w:p>
    <w:p w14:paraId="66CB952F" w14:textId="114777EE" w:rsidR="00B90A4D" w:rsidRPr="00C71189" w:rsidRDefault="24B81FBF" w:rsidP="00C71189">
      <w:pPr>
        <w:pStyle w:val="naisnod"/>
        <w:spacing w:before="0" w:after="0"/>
        <w:ind w:firstLine="720"/>
      </w:pPr>
      <w:r w:rsidRPr="00C71189">
        <w:t>Sa</w:t>
      </w:r>
      <w:r w:rsidR="72183EF5" w:rsidRPr="00C71189">
        <w:t>biedrības pārstāvju</w:t>
      </w:r>
      <w:r w:rsidR="00774398" w:rsidRPr="00C71189">
        <w:t xml:space="preserve"> sniegt</w:t>
      </w:r>
      <w:r w:rsidR="6EA2CD7F" w:rsidRPr="00C71189">
        <w:t>o</w:t>
      </w:r>
      <w:r w:rsidR="00774398" w:rsidRPr="00C71189">
        <w:t xml:space="preserve"> </w:t>
      </w:r>
      <w:r w:rsidR="00595FCB" w:rsidRPr="00C71189">
        <w:t>viedokļ</w:t>
      </w:r>
      <w:r w:rsidR="3B30828B" w:rsidRPr="00C71189">
        <w:t xml:space="preserve">u </w:t>
      </w:r>
      <w:r w:rsidR="79204D89" w:rsidRPr="00C71189">
        <w:t>apkopojums sabiedrības līdzdalības laikā</w:t>
      </w:r>
      <w:r w:rsidR="7AE0F9D5" w:rsidRPr="00C71189">
        <w:t xml:space="preserve"> </w:t>
      </w:r>
    </w:p>
    <w:p w14:paraId="05ADF276" w14:textId="40EE60B5" w:rsidR="00B90A4D" w:rsidRPr="00C71189" w:rsidRDefault="7AE0F9D5" w:rsidP="00C71189">
      <w:pPr>
        <w:pStyle w:val="naisnod"/>
        <w:spacing w:before="0" w:after="0"/>
        <w:ind w:firstLine="720"/>
      </w:pPr>
      <w:r w:rsidRPr="00C71189">
        <w:t>(pirms izsludināšanas Valsts sekretāru sanāksmē)</w:t>
      </w:r>
      <w:r w:rsidR="79204D89" w:rsidRPr="00C71189">
        <w:t xml:space="preserve"> </w:t>
      </w:r>
      <w:r w:rsidR="000A2C60" w:rsidRPr="00C71189">
        <w:t xml:space="preserve"> </w:t>
      </w:r>
    </w:p>
    <w:p w14:paraId="7D3B5E8C" w14:textId="77777777" w:rsidR="00B90A4D" w:rsidRPr="00C71189" w:rsidRDefault="00B90A4D" w:rsidP="00C71189">
      <w:pPr>
        <w:pStyle w:val="naisf"/>
        <w:spacing w:before="0" w:after="0"/>
        <w:ind w:firstLine="720"/>
      </w:pPr>
    </w:p>
    <w:tbl>
      <w:tblPr>
        <w:tblW w:w="13204" w:type="dxa"/>
        <w:jc w:val="center"/>
        <w:tblBorders>
          <w:top w:val="single" w:sz="6" w:space="0" w:color="000000"/>
          <w:bottom w:val="single" w:sz="6" w:space="0" w:color="000000"/>
          <w:insideH w:val="single" w:sz="6" w:space="0" w:color="000000"/>
        </w:tblBorders>
        <w:tblLook w:val="0000" w:firstRow="0" w:lastRow="0" w:firstColumn="0" w:lastColumn="0" w:noHBand="0" w:noVBand="0"/>
      </w:tblPr>
      <w:tblGrid>
        <w:gridCol w:w="13204"/>
      </w:tblGrid>
      <w:tr w:rsidR="00C71189" w:rsidRPr="00C71189" w14:paraId="4B3EF979" w14:textId="77777777">
        <w:trPr>
          <w:jc w:val="center"/>
        </w:trPr>
        <w:tc>
          <w:tcPr>
            <w:tcW w:w="13204" w:type="dxa"/>
            <w:tcBorders>
              <w:top w:val="single" w:sz="6" w:space="0" w:color="000000"/>
              <w:bottom w:val="single" w:sz="6" w:space="0" w:color="000000"/>
            </w:tcBorders>
            <w:shd w:val="clear" w:color="auto" w:fill="auto"/>
          </w:tcPr>
          <w:p w14:paraId="69A71E36" w14:textId="6691D72C" w:rsidR="00B90A4D" w:rsidRPr="00C71189" w:rsidRDefault="00365269" w:rsidP="00C71189">
            <w:pPr>
              <w:ind w:firstLine="720"/>
              <w:jc w:val="center"/>
              <w:rPr>
                <w:b/>
              </w:rPr>
            </w:pPr>
            <w:r w:rsidRPr="00C71189">
              <w:t xml:space="preserve">Likumprojektam “Grozījumi </w:t>
            </w:r>
            <w:r w:rsidR="000A57FB">
              <w:t>D</w:t>
            </w:r>
            <w:r w:rsidRPr="00C71189">
              <w:t>abas resursu nodokļa likumā”</w:t>
            </w:r>
          </w:p>
        </w:tc>
      </w:tr>
    </w:tbl>
    <w:p w14:paraId="49F57A76" w14:textId="77777777" w:rsidR="00B90A4D" w:rsidRPr="00C71189" w:rsidRDefault="00774398" w:rsidP="00C71189">
      <w:pPr>
        <w:pStyle w:val="naisc"/>
        <w:spacing w:before="0" w:after="0"/>
        <w:ind w:firstLine="1080"/>
      </w:pPr>
      <w:r w:rsidRPr="00C71189">
        <w:t>(dokumenta veids un nosaukums)</w:t>
      </w:r>
    </w:p>
    <w:p w14:paraId="2FA12C0D" w14:textId="77777777" w:rsidR="00B90A4D" w:rsidRPr="00C71189" w:rsidRDefault="00B90A4D" w:rsidP="00C71189">
      <w:pPr>
        <w:pStyle w:val="naisf"/>
        <w:spacing w:before="0" w:after="0"/>
        <w:ind w:firstLine="0"/>
        <w:rPr>
          <w:b/>
        </w:rPr>
      </w:pPr>
    </w:p>
    <w:tbl>
      <w:tblPr>
        <w:tblW w:w="14636" w:type="dxa"/>
        <w:tblInd w:w="-752" w:type="dxa"/>
        <w:tblBorders>
          <w:top w:val="single" w:sz="6" w:space="0" w:color="000000" w:themeColor="text1"/>
          <w:left w:val="single" w:sz="6" w:space="0" w:color="000000" w:themeColor="text1"/>
          <w:bottom w:val="single" w:sz="6" w:space="0" w:color="000000" w:themeColor="text1"/>
          <w:insideH w:val="single" w:sz="6" w:space="0" w:color="000000" w:themeColor="text1"/>
        </w:tblBorders>
        <w:tblCellMar>
          <w:left w:w="99" w:type="dxa"/>
        </w:tblCellMar>
        <w:tblLook w:val="0000" w:firstRow="0" w:lastRow="0" w:firstColumn="0" w:lastColumn="0" w:noHBand="0" w:noVBand="0"/>
      </w:tblPr>
      <w:tblGrid>
        <w:gridCol w:w="627"/>
        <w:gridCol w:w="2687"/>
        <w:gridCol w:w="6266"/>
        <w:gridCol w:w="5056"/>
      </w:tblGrid>
      <w:tr w:rsidR="00C71189" w:rsidRPr="00C71189" w14:paraId="633B1790"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vAlign w:val="center"/>
          </w:tcPr>
          <w:p w14:paraId="5523AF89" w14:textId="77777777" w:rsidR="00D41278" w:rsidRPr="00C71189" w:rsidRDefault="00D41278" w:rsidP="00C71189">
            <w:pPr>
              <w:pStyle w:val="naisc"/>
              <w:spacing w:before="0" w:after="0"/>
            </w:pPr>
            <w:r w:rsidRPr="00C71189">
              <w:t>Nr. p. k.</w:t>
            </w: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vAlign w:val="center"/>
          </w:tcPr>
          <w:p w14:paraId="5511F92E" w14:textId="6D6A1A3E" w:rsidR="00D41278" w:rsidRPr="00C71189" w:rsidRDefault="00D41278" w:rsidP="00C71189">
            <w:pPr>
              <w:pStyle w:val="naisc"/>
              <w:spacing w:before="0" w:after="0"/>
              <w:ind w:firstLine="12"/>
            </w:pPr>
            <w:r w:rsidRPr="00C71189">
              <w:t>Projekta redakcija (konkrēta punkta (panta) redakcija)</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vAlign w:val="center"/>
          </w:tcPr>
          <w:p w14:paraId="2D912E75" w14:textId="226624E4" w:rsidR="00D41278" w:rsidRPr="00C71189" w:rsidRDefault="16EA42F9" w:rsidP="00C71189">
            <w:pPr>
              <w:pStyle w:val="naisc"/>
              <w:spacing w:before="0" w:after="0"/>
              <w:ind w:right="3"/>
            </w:pPr>
            <w:r w:rsidRPr="00C71189">
              <w:t>V</w:t>
            </w:r>
            <w:r w:rsidR="43B4D535" w:rsidRPr="00C71189">
              <w:t>iedoklis</w:t>
            </w:r>
            <w:r w:rsidR="20A4496C" w:rsidRPr="00C71189">
              <w:t xml:space="preserve"> par projekta konkrēto punktu (pantu)</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vAlign w:val="center"/>
          </w:tcPr>
          <w:p w14:paraId="35B002B1" w14:textId="77289FB4" w:rsidR="00D41278" w:rsidRPr="00C71189" w:rsidRDefault="7C8EF1EA" w:rsidP="00C71189">
            <w:pPr>
              <w:pStyle w:val="naisc"/>
              <w:spacing w:before="0" w:after="0"/>
            </w:pPr>
            <w:r w:rsidRPr="00C71189">
              <w:t>M</w:t>
            </w:r>
            <w:r w:rsidR="20A4496C" w:rsidRPr="00C71189">
              <w:t xml:space="preserve">inistrijas norāde par to, </w:t>
            </w:r>
            <w:r w:rsidR="6981C3FA" w:rsidRPr="00C71189">
              <w:t>vai</w:t>
            </w:r>
            <w:r w:rsidR="20A4496C" w:rsidRPr="00C71189">
              <w:t xml:space="preserve"> </w:t>
            </w:r>
            <w:r w:rsidR="4D56F639" w:rsidRPr="00C71189">
              <w:t xml:space="preserve">viedoklis </w:t>
            </w:r>
            <w:r w:rsidR="20A4496C" w:rsidRPr="00C71189">
              <w:t>ir ņemts vērā</w:t>
            </w:r>
          </w:p>
        </w:tc>
      </w:tr>
      <w:tr w:rsidR="00C71189" w:rsidRPr="00C71189" w14:paraId="6AA58899"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6D03EAB8" w14:textId="77777777" w:rsidR="00D41278" w:rsidRPr="00C71189" w:rsidRDefault="00D41278" w:rsidP="00C71189">
            <w:pPr>
              <w:pStyle w:val="naisc"/>
              <w:spacing w:before="0" w:after="0"/>
            </w:pPr>
            <w:r w:rsidRPr="00C71189">
              <w:t>1</w:t>
            </w: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4A5074E7" w14:textId="77777777" w:rsidR="00D41278" w:rsidRPr="00C71189" w:rsidRDefault="00D41278" w:rsidP="00C71189">
            <w:pPr>
              <w:pStyle w:val="naisc"/>
              <w:spacing w:before="0" w:after="0"/>
              <w:ind w:firstLine="12"/>
            </w:pPr>
            <w:r w:rsidRPr="00C71189">
              <w:t>2</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0BA196AA" w14:textId="77777777" w:rsidR="00D41278" w:rsidRPr="00C71189" w:rsidRDefault="00D41278" w:rsidP="00C71189">
            <w:pPr>
              <w:pStyle w:val="naisc"/>
              <w:spacing w:before="0" w:after="0"/>
            </w:pPr>
            <w:r w:rsidRPr="00C71189">
              <w:t>3</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511DBBF1" w14:textId="77777777" w:rsidR="00D41278" w:rsidRPr="00C71189" w:rsidRDefault="00D41278" w:rsidP="00C71189">
            <w:pPr>
              <w:pStyle w:val="naisc"/>
              <w:spacing w:before="0" w:after="0"/>
            </w:pPr>
            <w:r w:rsidRPr="00C71189">
              <w:t>4</w:t>
            </w:r>
          </w:p>
        </w:tc>
      </w:tr>
      <w:tr w:rsidR="00C71189" w:rsidRPr="00C71189" w14:paraId="4D6A30F4" w14:textId="77777777" w:rsidTr="00657982">
        <w:tc>
          <w:tcPr>
            <w:tcW w:w="627" w:type="dxa"/>
            <w:tcBorders>
              <w:top w:val="single" w:sz="6" w:space="0" w:color="000000" w:themeColor="text1"/>
              <w:left w:val="single" w:sz="6" w:space="0" w:color="000000" w:themeColor="text1"/>
              <w:bottom w:val="single" w:sz="6" w:space="0" w:color="000000" w:themeColor="text1"/>
            </w:tcBorders>
            <w:shd w:val="clear" w:color="auto" w:fill="DBDBDB" w:themeFill="accent3" w:themeFillTint="66"/>
          </w:tcPr>
          <w:p w14:paraId="4F5D3B95" w14:textId="77777777" w:rsidR="00C65BC6" w:rsidRPr="00C71189" w:rsidRDefault="00C65BC6" w:rsidP="00C71189">
            <w:pPr>
              <w:pStyle w:val="naisc"/>
              <w:numPr>
                <w:ilvl w:val="1"/>
                <w:numId w:val="5"/>
              </w:numPr>
              <w:tabs>
                <w:tab w:val="clear" w:pos="1080"/>
              </w:tabs>
              <w:spacing w:before="0" w:after="0"/>
              <w:ind w:left="361" w:right="317"/>
              <w:jc w:val="left"/>
            </w:pPr>
          </w:p>
        </w:tc>
        <w:tc>
          <w:tcPr>
            <w:tcW w:w="14009" w:type="dxa"/>
            <w:gridSpan w:val="3"/>
            <w:tcBorders>
              <w:top w:val="single" w:sz="6" w:space="0" w:color="000000" w:themeColor="text1"/>
              <w:left w:val="single" w:sz="6" w:space="0" w:color="000000" w:themeColor="text1"/>
              <w:right w:val="single" w:sz="4" w:space="0" w:color="auto"/>
            </w:tcBorders>
            <w:shd w:val="clear" w:color="auto" w:fill="DBDBDB" w:themeFill="accent3" w:themeFillTint="66"/>
          </w:tcPr>
          <w:p w14:paraId="2FAF6840" w14:textId="0A63F2D6" w:rsidR="00C65BC6" w:rsidRPr="00C71189" w:rsidRDefault="00C65BC6" w:rsidP="00C71189">
            <w:pPr>
              <w:pStyle w:val="naisc"/>
              <w:rPr>
                <w:b/>
                <w:bCs/>
              </w:rPr>
            </w:pPr>
            <w:r w:rsidRPr="00C71189">
              <w:rPr>
                <w:b/>
                <w:bCs/>
              </w:rPr>
              <w:t>Biedrības “Bezdūmu nozares asociācija” 10.06.2021. viedoklis</w:t>
            </w:r>
          </w:p>
        </w:tc>
      </w:tr>
      <w:tr w:rsidR="00665014" w:rsidRPr="00C71189" w14:paraId="17EC915F" w14:textId="77777777" w:rsidTr="005F34E2">
        <w:tc>
          <w:tcPr>
            <w:tcW w:w="627"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28D0E257" w14:textId="77777777" w:rsidR="00665014" w:rsidRPr="00C71189" w:rsidRDefault="00665014" w:rsidP="00C71189">
            <w:pPr>
              <w:pStyle w:val="naisc"/>
              <w:numPr>
                <w:ilvl w:val="1"/>
                <w:numId w:val="5"/>
              </w:numPr>
              <w:tabs>
                <w:tab w:val="clear" w:pos="1080"/>
              </w:tabs>
              <w:spacing w:before="0" w:after="0"/>
              <w:ind w:left="361" w:right="317"/>
              <w:jc w:val="left"/>
            </w:pPr>
          </w:p>
        </w:tc>
        <w:tc>
          <w:tcPr>
            <w:tcW w:w="2687" w:type="dxa"/>
            <w:vMerge w:val="restart"/>
            <w:tcBorders>
              <w:top w:val="single" w:sz="4" w:space="0" w:color="auto"/>
              <w:left w:val="single" w:sz="4" w:space="0" w:color="auto"/>
              <w:right w:val="single" w:sz="4" w:space="0" w:color="auto"/>
            </w:tcBorders>
            <w:shd w:val="clear" w:color="auto" w:fill="auto"/>
          </w:tcPr>
          <w:p w14:paraId="2E2A464B" w14:textId="0891153D" w:rsidR="00665014" w:rsidRPr="00665014" w:rsidRDefault="00665014" w:rsidP="00665014">
            <w:pPr>
              <w:pStyle w:val="naisc"/>
              <w:jc w:val="both"/>
              <w:rPr>
                <w:b/>
              </w:rPr>
            </w:pPr>
            <w:r w:rsidRPr="00665014">
              <w:rPr>
                <w:b/>
              </w:rPr>
              <w:t>Likumprojekta 19.</w:t>
            </w:r>
            <w:r>
              <w:rPr>
                <w:b/>
              </w:rPr>
              <w:t> </w:t>
            </w:r>
            <w:r w:rsidRPr="00665014">
              <w:rPr>
                <w:b/>
              </w:rPr>
              <w:t>panta likuma 26.</w:t>
            </w:r>
            <w:r w:rsidR="00FA44BB">
              <w:rPr>
                <w:b/>
                <w:vertAlign w:val="superscript"/>
              </w:rPr>
              <w:t>2 </w:t>
            </w:r>
            <w:r w:rsidRPr="00665014">
              <w:rPr>
                <w:b/>
              </w:rPr>
              <w:t>pants:</w:t>
            </w:r>
          </w:p>
          <w:p w14:paraId="26D76671" w14:textId="2F18B187" w:rsidR="00665014" w:rsidRPr="00665014" w:rsidRDefault="00665014" w:rsidP="00665014">
            <w:pPr>
              <w:pStyle w:val="naisc"/>
              <w:jc w:val="both"/>
              <w:rPr>
                <w:bCs/>
              </w:rPr>
            </w:pPr>
            <w:r w:rsidRPr="00665014">
              <w:rPr>
                <w:bCs/>
              </w:rPr>
              <w:t>“26.</w:t>
            </w:r>
            <w:r w:rsidR="00FA44BB">
              <w:rPr>
                <w:bCs/>
                <w:vertAlign w:val="superscript"/>
              </w:rPr>
              <w:t>2 </w:t>
            </w:r>
            <w:r w:rsidRPr="00665014">
              <w:rPr>
                <w:bCs/>
              </w:rPr>
              <w:t>pants. Nodokļa aprēķināšana par plastmasu saturošiem izstrādājumiem</w:t>
            </w:r>
          </w:p>
          <w:p w14:paraId="3081C38F" w14:textId="2E560E4A" w:rsidR="00665014" w:rsidRPr="00665014" w:rsidRDefault="00665014" w:rsidP="00665014">
            <w:pPr>
              <w:pStyle w:val="naisc"/>
              <w:jc w:val="both"/>
              <w:rPr>
                <w:bCs/>
              </w:rPr>
            </w:pPr>
            <w:r w:rsidRPr="00665014">
              <w:rPr>
                <w:bCs/>
              </w:rPr>
              <w:t>(1)</w:t>
            </w:r>
            <w:r w:rsidR="003F4F37">
              <w:rPr>
                <w:bCs/>
              </w:rPr>
              <w:t> </w:t>
            </w:r>
            <w:r w:rsidRPr="00665014">
              <w:rPr>
                <w:bCs/>
              </w:rPr>
              <w:t xml:space="preserve">Nodokļa maksātājs aprēķina un maksā nodokli par Latvijas Republikā realizētiem vai savas saimnieciskās darbības nodrošināšanai izmantotiem vienreiz lietojamajiem plastmasu saturošiem izstrādājumiem (mitrām salvetēm, baloniem, </w:t>
            </w:r>
            <w:r w:rsidRPr="00665014">
              <w:rPr>
                <w:bCs/>
              </w:rPr>
              <w:lastRenderedPageBreak/>
              <w:t>tabakas izstrādājumiem ar filtriem un filtriem, kas paredzēti lietošanai kopā ar tabakas izstrādājumiem) un plastmasu saturošiem zvejas rīkiem, piemērojot nodokli par katru izstrādājuma un zvejas rīka svara vienību. Nodokļa maksātājs nodrošina šo izstrādājumu un zvejas rīku uzskaiti, lai pamatotu nodokļa aprēķinu.</w:t>
            </w:r>
          </w:p>
          <w:p w14:paraId="7D381BDD" w14:textId="0000DCB6" w:rsidR="00665014" w:rsidRPr="00665014" w:rsidRDefault="00665014" w:rsidP="00665014">
            <w:pPr>
              <w:pStyle w:val="naisc"/>
              <w:jc w:val="both"/>
              <w:rPr>
                <w:bCs/>
              </w:rPr>
            </w:pPr>
            <w:r w:rsidRPr="00665014">
              <w:rPr>
                <w:bCs/>
              </w:rPr>
              <w:t>(2)</w:t>
            </w:r>
            <w:r w:rsidR="003F4F37">
              <w:rPr>
                <w:bCs/>
              </w:rPr>
              <w:t> </w:t>
            </w:r>
            <w:r w:rsidRPr="00665014">
              <w:rPr>
                <w:bCs/>
              </w:rPr>
              <w:t>Nodokli piemēro šādiem vienreiz lietojamajiem plastmasu saturošiem izstrādājumiem:</w:t>
            </w:r>
          </w:p>
          <w:p w14:paraId="6C91E219" w14:textId="65D66719" w:rsidR="00665014" w:rsidRPr="00665014" w:rsidRDefault="00665014" w:rsidP="00665014">
            <w:pPr>
              <w:pStyle w:val="naisc"/>
              <w:jc w:val="both"/>
              <w:rPr>
                <w:bCs/>
              </w:rPr>
            </w:pPr>
            <w:r w:rsidRPr="00665014">
              <w:rPr>
                <w:bCs/>
              </w:rPr>
              <w:t>1)</w:t>
            </w:r>
            <w:r w:rsidR="003F4F37">
              <w:rPr>
                <w:bCs/>
              </w:rPr>
              <w:t> </w:t>
            </w:r>
            <w:r w:rsidRPr="00665014">
              <w:rPr>
                <w:bCs/>
              </w:rPr>
              <w:t>mitrās salvetes;</w:t>
            </w:r>
          </w:p>
          <w:p w14:paraId="339BB9D1" w14:textId="2847C92C" w:rsidR="00665014" w:rsidRPr="00665014" w:rsidRDefault="00665014" w:rsidP="00665014">
            <w:pPr>
              <w:pStyle w:val="naisc"/>
              <w:jc w:val="both"/>
              <w:rPr>
                <w:bCs/>
              </w:rPr>
            </w:pPr>
            <w:r w:rsidRPr="00665014">
              <w:rPr>
                <w:bCs/>
              </w:rPr>
              <w:t>2)</w:t>
            </w:r>
            <w:r w:rsidR="003F4F37">
              <w:rPr>
                <w:bCs/>
              </w:rPr>
              <w:t> </w:t>
            </w:r>
            <w:r w:rsidRPr="00665014">
              <w:rPr>
                <w:bCs/>
              </w:rPr>
              <w:t>baloni;</w:t>
            </w:r>
          </w:p>
          <w:p w14:paraId="78344D94" w14:textId="5954A0C0" w:rsidR="00665014" w:rsidRPr="00665014" w:rsidRDefault="00665014" w:rsidP="00665014">
            <w:pPr>
              <w:pStyle w:val="naisc"/>
              <w:jc w:val="both"/>
              <w:rPr>
                <w:bCs/>
              </w:rPr>
            </w:pPr>
            <w:r w:rsidRPr="00665014">
              <w:rPr>
                <w:bCs/>
              </w:rPr>
              <w:t>3)</w:t>
            </w:r>
            <w:r w:rsidR="003F4F37">
              <w:rPr>
                <w:bCs/>
              </w:rPr>
              <w:t> </w:t>
            </w:r>
            <w:r w:rsidRPr="00665014">
              <w:rPr>
                <w:bCs/>
              </w:rPr>
              <w:t>tabakas izstrādājumi ar filtriem un filtri, kas paredzēti lietošanai kopā ar tabakas izstrādājumiem.</w:t>
            </w:r>
          </w:p>
          <w:p w14:paraId="7087E0D2" w14:textId="504514E1" w:rsidR="00665014" w:rsidRPr="00665014" w:rsidRDefault="00665014" w:rsidP="00665014">
            <w:pPr>
              <w:pStyle w:val="naisc"/>
              <w:spacing w:before="0" w:after="0"/>
              <w:jc w:val="both"/>
              <w:rPr>
                <w:bCs/>
              </w:rPr>
            </w:pPr>
            <w:r w:rsidRPr="00665014">
              <w:rPr>
                <w:bCs/>
              </w:rPr>
              <w:t>(3)</w:t>
            </w:r>
            <w:r w:rsidR="003F4F37">
              <w:rPr>
                <w:bCs/>
              </w:rPr>
              <w:t> </w:t>
            </w:r>
            <w:r w:rsidRPr="00665014">
              <w:rPr>
                <w:bCs/>
              </w:rPr>
              <w:t xml:space="preserve">Vienreiz lietojamajiem plastmasu saturošiem izstrādājumiem un plastmasu saturošiem zvejas rīkiem piemēro </w:t>
            </w:r>
            <w:r w:rsidRPr="00665014">
              <w:rPr>
                <w:bCs/>
              </w:rPr>
              <w:lastRenderedPageBreak/>
              <w:t>nodokļa likmi 12,20 euro par katru šo izstrādājumu vai plastmasu saturošu zvejas rīku kilogramu.”</w:t>
            </w:r>
          </w:p>
        </w:tc>
        <w:tc>
          <w:tcPr>
            <w:tcW w:w="6266"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Pr>
          <w:p w14:paraId="27C8C17D" w14:textId="064A3006" w:rsidR="00665014" w:rsidRPr="00E159BD" w:rsidRDefault="00665014" w:rsidP="00C71189">
            <w:pPr>
              <w:pStyle w:val="naisc"/>
              <w:spacing w:before="0" w:after="0"/>
              <w:jc w:val="both"/>
              <w:rPr>
                <w:b/>
              </w:rPr>
            </w:pPr>
            <w:r w:rsidRPr="00E159BD">
              <w:lastRenderedPageBreak/>
              <w:t>1. Precizēt likumprojekta</w:t>
            </w:r>
            <w:r w:rsidR="00C9260B">
              <w:t xml:space="preserve"> </w:t>
            </w:r>
            <w:r w:rsidR="000A57FB">
              <w:t>“</w:t>
            </w:r>
            <w:r w:rsidR="000A57FB" w:rsidRPr="00C71189">
              <w:t xml:space="preserve">Grozījumi </w:t>
            </w:r>
            <w:r w:rsidR="000A57FB">
              <w:t>D</w:t>
            </w:r>
            <w:r w:rsidR="000A57FB" w:rsidRPr="00C71189">
              <w:t>abas resursu nodokļa likumā”</w:t>
            </w:r>
            <w:r w:rsidR="000A57FB">
              <w:t xml:space="preserve"> (turpmāk – likumprojekts)</w:t>
            </w:r>
            <w:r w:rsidRPr="00E159BD">
              <w:t xml:space="preserve"> 26.</w:t>
            </w:r>
            <w:r w:rsidR="00FA44BB">
              <w:rPr>
                <w:vertAlign w:val="superscript"/>
              </w:rPr>
              <w:t>2</w:t>
            </w:r>
            <w:r w:rsidR="00FA44BB" w:rsidRPr="00E159BD">
              <w:rPr>
                <w:vertAlign w:val="superscript"/>
              </w:rPr>
              <w:t xml:space="preserve"> </w:t>
            </w:r>
            <w:r w:rsidRPr="00E159BD">
              <w:t xml:space="preserve">pantu, ka </w:t>
            </w:r>
            <w:r w:rsidR="00A339EA">
              <w:t>dabas re</w:t>
            </w:r>
            <w:r w:rsidR="001E4A3B">
              <w:t>sursu nodoklis</w:t>
            </w:r>
            <w:r w:rsidRPr="00E159BD">
              <w:t xml:space="preserve"> iepriekš minētiem vienreizlietojamiem plastmasu saturošiem izstrādājumiem piemēro tad, ja to ražotājs vai importētājs nepiedalās </w:t>
            </w:r>
            <w:r w:rsidR="00596A3A">
              <w:t>ražotāja paplašinātajā atbildības sistēmā</w:t>
            </w:r>
            <w:r w:rsidRPr="00E159BD">
              <w:t xml:space="preserve"> Plastmasu saturošu izstrādājumu patēriņa samazināšanas likumā noteiktajā kārtībā.</w:t>
            </w:r>
          </w:p>
        </w:tc>
        <w:tc>
          <w:tcPr>
            <w:tcW w:w="5056" w:type="dxa"/>
            <w:vMerge w:val="restart"/>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3E8327D3" w14:textId="77777777" w:rsidR="00665014" w:rsidRDefault="00665014" w:rsidP="00E97933">
            <w:pPr>
              <w:pStyle w:val="naisc"/>
              <w:jc w:val="both"/>
              <w:rPr>
                <w:b/>
                <w:bCs/>
              </w:rPr>
            </w:pPr>
            <w:r w:rsidRPr="00F24BF8">
              <w:rPr>
                <w:b/>
                <w:bCs/>
              </w:rPr>
              <w:t>Daļēji ņemts vērā.</w:t>
            </w:r>
          </w:p>
          <w:p w14:paraId="6BA9635D" w14:textId="70F58B87" w:rsidR="00665014" w:rsidRDefault="00665014" w:rsidP="00E97933">
            <w:pPr>
              <w:pStyle w:val="naisc"/>
              <w:jc w:val="both"/>
            </w:pPr>
            <w:r>
              <w:t>Precizēts likumprojekta 26.</w:t>
            </w:r>
            <w:r w:rsidR="00A31C2F">
              <w:rPr>
                <w:vertAlign w:val="superscript"/>
              </w:rPr>
              <w:t>2 </w:t>
            </w:r>
            <w:r>
              <w:t>pants attiecībā ar ražotāja paplašinātās atbildības sistēmu.</w:t>
            </w:r>
          </w:p>
          <w:p w14:paraId="4478C124" w14:textId="77777777" w:rsidR="00665014" w:rsidRDefault="00665014" w:rsidP="00E97933">
            <w:pPr>
              <w:pStyle w:val="naisc"/>
              <w:jc w:val="both"/>
            </w:pPr>
            <w:r w:rsidRPr="00403AE1">
              <w:t>Pārējās prasības ir harmonizētas ar Plastmasu saturošu izstrādājumu patēriņa samazināšanas likumā noteikto terminoloģiju un prasībām.</w:t>
            </w:r>
          </w:p>
          <w:p w14:paraId="4A11F990" w14:textId="19CACFAA" w:rsidR="00665014" w:rsidRDefault="00665014" w:rsidP="000E221E">
            <w:pPr>
              <w:jc w:val="both"/>
              <w:rPr>
                <w:i/>
                <w:iCs/>
                <w:sz w:val="22"/>
                <w:szCs w:val="22"/>
                <w:lang w:eastAsia="en-US"/>
              </w:rPr>
            </w:pPr>
            <w:r w:rsidRPr="00ED71FD">
              <w:t xml:space="preserve">Vēršam uzmanību, ka </w:t>
            </w:r>
            <w:r w:rsidR="00A339EA">
              <w:t>dabas resursu nodokļa</w:t>
            </w:r>
            <w:r w:rsidRPr="00ED71FD">
              <w:t xml:space="preserve"> likme par v</w:t>
            </w:r>
            <w:r w:rsidRPr="00ED71FD">
              <w:rPr>
                <w:shd w:val="clear" w:color="auto" w:fill="FFFFFF"/>
              </w:rPr>
              <w:t xml:space="preserve">ienreizlietojamajiem plastmasu saturošiem izstrādājumiem un plastmasu saturošiem zvejas rīkiem, ja </w:t>
            </w:r>
            <w:r w:rsidRPr="00ED71FD">
              <w:t>netiek piemērota ražotāja paplašinātās atbildības sistēma atbilstoši Plastmasu saturošu izstrādājumu patēriņa samazināšanas likuma 10. pantā noteiktajām prasībām, ir pārnesta no Plastmasu saturošu izstrādājumu patēriņa samazināšanas likuma, kuru visas iesaistītās puses bija saskaņojušas.</w:t>
            </w:r>
            <w:r>
              <w:t xml:space="preserve"> </w:t>
            </w:r>
            <w:r w:rsidRPr="000E221E">
              <w:t xml:space="preserve">Likme </w:t>
            </w:r>
            <w:r>
              <w:t xml:space="preserve">ir noteikta </w:t>
            </w:r>
            <w:r w:rsidRPr="000E221E">
              <w:t xml:space="preserve">atbilstoši desmitkārtīgai dabas resursu nodokļa likmei par no </w:t>
            </w:r>
            <w:r w:rsidRPr="000E221E">
              <w:lastRenderedPageBreak/>
              <w:t>plastmasas izejmateriāliem ražotu preču un izstrādājumu iepakojumam un vienreiz lietojamiem galda traukiem un piederumiem, ko ražotājs iemaksā valsts pamatbudžetā.</w:t>
            </w:r>
            <w:r>
              <w:rPr>
                <w:i/>
                <w:iCs/>
              </w:rPr>
              <w:t xml:space="preserve"> </w:t>
            </w:r>
          </w:p>
          <w:p w14:paraId="1D4866DD" w14:textId="2E9FE733" w:rsidR="00665014" w:rsidRPr="00ED71FD" w:rsidRDefault="00665014" w:rsidP="00ED71FD">
            <w:pPr>
              <w:pStyle w:val="naisc"/>
              <w:jc w:val="both"/>
            </w:pPr>
          </w:p>
          <w:p w14:paraId="5BB3B326" w14:textId="5B297963" w:rsidR="00665014" w:rsidRPr="00403AE1" w:rsidRDefault="00665014" w:rsidP="00E97933">
            <w:pPr>
              <w:pStyle w:val="naisc"/>
              <w:jc w:val="both"/>
            </w:pPr>
          </w:p>
        </w:tc>
      </w:tr>
      <w:tr w:rsidR="00665014" w:rsidRPr="00C71189" w14:paraId="16ACD8E3" w14:textId="77777777" w:rsidTr="005F34E2">
        <w:tc>
          <w:tcPr>
            <w:tcW w:w="627"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29337440" w14:textId="77777777" w:rsidR="00665014" w:rsidRPr="00C71189" w:rsidRDefault="00665014" w:rsidP="00C71189">
            <w:pPr>
              <w:pStyle w:val="naisc"/>
              <w:numPr>
                <w:ilvl w:val="1"/>
                <w:numId w:val="5"/>
              </w:numPr>
              <w:tabs>
                <w:tab w:val="clear" w:pos="1080"/>
              </w:tabs>
              <w:spacing w:before="0" w:after="0"/>
              <w:ind w:left="361" w:right="317"/>
              <w:jc w:val="left"/>
            </w:pPr>
          </w:p>
        </w:tc>
        <w:tc>
          <w:tcPr>
            <w:tcW w:w="2687" w:type="dxa"/>
            <w:vMerge/>
            <w:tcBorders>
              <w:left w:val="single" w:sz="4" w:space="0" w:color="auto"/>
              <w:right w:val="single" w:sz="4" w:space="0" w:color="auto"/>
            </w:tcBorders>
          </w:tcPr>
          <w:p w14:paraId="35FF82E2" w14:textId="39458AC6" w:rsidR="00665014" w:rsidRPr="00E159BD" w:rsidRDefault="00665014" w:rsidP="00665014">
            <w:pPr>
              <w:pStyle w:val="naisc"/>
              <w:spacing w:before="0" w:after="0"/>
              <w:ind w:firstLine="12"/>
              <w:jc w:val="both"/>
            </w:pPr>
          </w:p>
        </w:tc>
        <w:tc>
          <w:tcPr>
            <w:tcW w:w="6266"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Pr>
          <w:p w14:paraId="264CE475" w14:textId="08EB5402" w:rsidR="00665014" w:rsidRPr="00E159BD" w:rsidRDefault="00665014" w:rsidP="00C71189">
            <w:pPr>
              <w:jc w:val="both"/>
            </w:pPr>
            <w:r w:rsidRPr="00E159BD">
              <w:t xml:space="preserve">2. Precizēt likumprojektā </w:t>
            </w:r>
            <w:r w:rsidR="007B3437">
              <w:t>dabas resursu nodokļa</w:t>
            </w:r>
            <w:r w:rsidRPr="00E159BD">
              <w:t xml:space="preserve"> objektu, aizvietojot  vārdus ”t</w:t>
            </w:r>
            <w:r w:rsidRPr="00E159BD">
              <w:rPr>
                <w:u w:val="single"/>
              </w:rPr>
              <w:t xml:space="preserve">abakas izstrādājumi ar filtriem un filtri, kas paredzēti lietošanai kopā ar tabakas izstrādājumiem” ar “tabakas izstrādājumu filtri un filtri, kas paredzēti lietošanai kopā ar tabakas izstrādājumiem”. </w:t>
            </w:r>
          </w:p>
        </w:tc>
        <w:tc>
          <w:tcPr>
            <w:tcW w:w="5056" w:type="dxa"/>
            <w:vMerge/>
            <w:tcBorders>
              <w:left w:val="single" w:sz="6" w:space="0" w:color="000000" w:themeColor="text1"/>
              <w:right w:val="single" w:sz="4" w:space="0" w:color="auto"/>
            </w:tcBorders>
            <w:shd w:val="clear" w:color="auto" w:fill="auto"/>
          </w:tcPr>
          <w:p w14:paraId="6EE51380" w14:textId="04DDFEB0" w:rsidR="00665014" w:rsidRPr="00C71189" w:rsidRDefault="00665014" w:rsidP="00C71189">
            <w:pPr>
              <w:pStyle w:val="naisc"/>
              <w:spacing w:before="0" w:after="0"/>
              <w:jc w:val="both"/>
            </w:pPr>
          </w:p>
        </w:tc>
      </w:tr>
      <w:tr w:rsidR="00665014" w:rsidRPr="00C71189" w14:paraId="47F92799" w14:textId="77777777" w:rsidTr="005F34E2">
        <w:tc>
          <w:tcPr>
            <w:tcW w:w="627"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1B97A5D1" w14:textId="77777777" w:rsidR="00665014" w:rsidRPr="00C71189" w:rsidRDefault="00665014" w:rsidP="00C71189">
            <w:pPr>
              <w:pStyle w:val="naisc"/>
              <w:numPr>
                <w:ilvl w:val="1"/>
                <w:numId w:val="5"/>
              </w:numPr>
              <w:tabs>
                <w:tab w:val="clear" w:pos="1080"/>
              </w:tabs>
              <w:spacing w:before="0" w:after="0"/>
              <w:ind w:left="361" w:right="317"/>
              <w:jc w:val="left"/>
            </w:pPr>
          </w:p>
        </w:tc>
        <w:tc>
          <w:tcPr>
            <w:tcW w:w="2687" w:type="dxa"/>
            <w:vMerge/>
            <w:tcBorders>
              <w:left w:val="single" w:sz="4" w:space="0" w:color="auto"/>
              <w:bottom w:val="single" w:sz="4" w:space="0" w:color="auto"/>
              <w:right w:val="single" w:sz="4" w:space="0" w:color="auto"/>
            </w:tcBorders>
          </w:tcPr>
          <w:p w14:paraId="23C106D0" w14:textId="7A636923" w:rsidR="00665014" w:rsidRPr="00E159BD" w:rsidRDefault="00665014" w:rsidP="00C71189">
            <w:pPr>
              <w:pStyle w:val="naisc"/>
              <w:spacing w:before="0" w:after="0"/>
              <w:ind w:firstLine="12"/>
              <w:jc w:val="both"/>
            </w:pPr>
          </w:p>
        </w:tc>
        <w:tc>
          <w:tcPr>
            <w:tcW w:w="6266"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Pr>
          <w:p w14:paraId="6476030B" w14:textId="10F24478" w:rsidR="00665014" w:rsidRPr="00E159BD" w:rsidRDefault="00665014" w:rsidP="00C71189">
            <w:pPr>
              <w:jc w:val="both"/>
            </w:pPr>
            <w:r w:rsidRPr="00E159BD">
              <w:rPr>
                <w:shd w:val="clear" w:color="auto" w:fill="FFFFFF"/>
              </w:rPr>
              <w:t>3. I</w:t>
            </w:r>
            <w:r w:rsidRPr="00E159BD">
              <w:t>zteikt Likumprojekta 26.</w:t>
            </w:r>
            <w:r w:rsidR="00FA44BB">
              <w:rPr>
                <w:vertAlign w:val="superscript"/>
              </w:rPr>
              <w:t xml:space="preserve">2 </w:t>
            </w:r>
            <w:r w:rsidRPr="00E159BD">
              <w:t xml:space="preserve">panta </w:t>
            </w:r>
            <w:r w:rsidR="00E3071B">
              <w:t xml:space="preserve">trešo daļu šādā </w:t>
            </w:r>
            <w:r w:rsidRPr="00E159BD">
              <w:t xml:space="preserve">redakcijā:  </w:t>
            </w:r>
          </w:p>
          <w:p w14:paraId="3F2F22C5" w14:textId="31906059" w:rsidR="00665014" w:rsidRPr="00E159BD" w:rsidRDefault="00665014" w:rsidP="00C71189">
            <w:pPr>
              <w:jc w:val="both"/>
            </w:pPr>
            <w:r w:rsidRPr="00E159BD">
              <w:t>“</w:t>
            </w:r>
            <w:r w:rsidRPr="00E159BD">
              <w:rPr>
                <w:shd w:val="clear" w:color="auto" w:fill="FFFFFF"/>
              </w:rPr>
              <w:t xml:space="preserve">Vienreizlietojamajiem plastmasu saturošiem izstrādājumiem un plastmasu saturošiem zvejas rīkiem piemēro nodokļa likmi </w:t>
            </w:r>
            <w:r w:rsidRPr="00E159BD">
              <w:rPr>
                <w:u w:val="single"/>
              </w:rPr>
              <w:t xml:space="preserve">2,20 </w:t>
            </w:r>
            <w:r w:rsidRPr="00E159BD">
              <w:rPr>
                <w:i/>
                <w:iCs/>
                <w:u w:val="single"/>
              </w:rPr>
              <w:t>euro</w:t>
            </w:r>
            <w:r w:rsidRPr="00E159BD">
              <w:rPr>
                <w:u w:val="single"/>
              </w:rPr>
              <w:t xml:space="preserve"> </w:t>
            </w:r>
            <w:r w:rsidRPr="00E159BD">
              <w:t>par katru šo izstrādājumu vai plastmasu saturošu zvejas rīku kilogramu.”</w:t>
            </w:r>
          </w:p>
        </w:tc>
        <w:tc>
          <w:tcPr>
            <w:tcW w:w="5056" w:type="dxa"/>
            <w:vMerge/>
            <w:tcBorders>
              <w:left w:val="single" w:sz="6" w:space="0" w:color="000000" w:themeColor="text1"/>
              <w:bottom w:val="single" w:sz="6" w:space="0" w:color="000000" w:themeColor="text1"/>
              <w:right w:val="single" w:sz="4" w:space="0" w:color="auto"/>
            </w:tcBorders>
            <w:shd w:val="clear" w:color="auto" w:fill="auto"/>
          </w:tcPr>
          <w:p w14:paraId="0E55A4CE" w14:textId="759737F7" w:rsidR="00665014" w:rsidRPr="00C71189" w:rsidRDefault="00665014" w:rsidP="00C71189">
            <w:pPr>
              <w:pStyle w:val="naisc"/>
              <w:spacing w:before="0" w:after="0"/>
              <w:jc w:val="both"/>
            </w:pPr>
          </w:p>
        </w:tc>
      </w:tr>
      <w:tr w:rsidR="00C71189" w:rsidRPr="00C71189" w14:paraId="6F7EE5F6" w14:textId="77777777" w:rsidTr="00657982">
        <w:tc>
          <w:tcPr>
            <w:tcW w:w="627" w:type="dxa"/>
            <w:tcBorders>
              <w:top w:val="single" w:sz="6" w:space="0" w:color="000000" w:themeColor="text1"/>
              <w:left w:val="single" w:sz="6" w:space="0" w:color="000000" w:themeColor="text1"/>
              <w:bottom w:val="single" w:sz="6" w:space="0" w:color="000000" w:themeColor="text1"/>
            </w:tcBorders>
            <w:shd w:val="clear" w:color="auto" w:fill="DBDBDB" w:themeFill="accent3" w:themeFillTint="66"/>
          </w:tcPr>
          <w:p w14:paraId="4444D52F" w14:textId="77777777" w:rsidR="00C65BC6" w:rsidRPr="00C71189" w:rsidRDefault="00C65BC6" w:rsidP="00C71189">
            <w:pPr>
              <w:pStyle w:val="naisc"/>
              <w:numPr>
                <w:ilvl w:val="1"/>
                <w:numId w:val="5"/>
              </w:numPr>
              <w:tabs>
                <w:tab w:val="clear" w:pos="1080"/>
              </w:tabs>
              <w:spacing w:before="0" w:after="0"/>
              <w:ind w:left="361" w:right="317"/>
              <w:jc w:val="left"/>
            </w:pPr>
          </w:p>
        </w:tc>
        <w:tc>
          <w:tcPr>
            <w:tcW w:w="14009" w:type="dxa"/>
            <w:gridSpan w:val="3"/>
            <w:tcBorders>
              <w:left w:val="single" w:sz="6" w:space="0" w:color="000000" w:themeColor="text1"/>
              <w:bottom w:val="single" w:sz="6" w:space="0" w:color="000000" w:themeColor="text1"/>
              <w:right w:val="single" w:sz="4" w:space="0" w:color="auto"/>
            </w:tcBorders>
            <w:shd w:val="clear" w:color="auto" w:fill="DBDBDB" w:themeFill="accent3" w:themeFillTint="66"/>
          </w:tcPr>
          <w:p w14:paraId="7AD8F012" w14:textId="1DE7CE8A" w:rsidR="00C65BC6" w:rsidRPr="00C71189" w:rsidRDefault="00C65BC6" w:rsidP="00C71189">
            <w:pPr>
              <w:pStyle w:val="naisc"/>
              <w:spacing w:before="0" w:after="0"/>
              <w:rPr>
                <w:b/>
              </w:rPr>
            </w:pPr>
            <w:r w:rsidRPr="00C71189">
              <w:rPr>
                <w:b/>
              </w:rPr>
              <w:t>SIA “Eco Baltia vide” 14.06.2021. viedoklis</w:t>
            </w:r>
          </w:p>
        </w:tc>
      </w:tr>
      <w:tr w:rsidR="00C71189" w:rsidRPr="00C71189" w14:paraId="63B47232"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37892D45" w14:textId="77777777" w:rsidR="001B643E" w:rsidRPr="00C71189" w:rsidRDefault="001B643E" w:rsidP="00C71189">
            <w:pPr>
              <w:pStyle w:val="naisc"/>
              <w:numPr>
                <w:ilvl w:val="1"/>
                <w:numId w:val="5"/>
              </w:numPr>
              <w:tabs>
                <w:tab w:val="clear" w:pos="1080"/>
              </w:tabs>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27A2B167" w14:textId="77777777" w:rsidR="001B643E" w:rsidRPr="00C71189" w:rsidRDefault="001B643E" w:rsidP="00C71189">
            <w:pPr>
              <w:spacing w:before="120"/>
              <w:jc w:val="both"/>
              <w:rPr>
                <w:b/>
                <w:bCs/>
              </w:rPr>
            </w:pPr>
            <w:r w:rsidRPr="00C71189">
              <w:rPr>
                <w:b/>
                <w:bCs/>
              </w:rPr>
              <w:t>Likumprojekta 1. panta likuma 1. panta 16. punkts:</w:t>
            </w:r>
          </w:p>
          <w:p w14:paraId="249A8F01" w14:textId="572D033F" w:rsidR="001B643E" w:rsidRPr="00C71189" w:rsidRDefault="001B643E" w:rsidP="00C71189">
            <w:pPr>
              <w:pStyle w:val="NormalWeb"/>
              <w:spacing w:before="0" w:after="0"/>
              <w:jc w:val="both"/>
            </w:pPr>
            <w:r w:rsidRPr="00C71189">
              <w:t>“16) </w:t>
            </w:r>
            <w:bookmarkStart w:id="0" w:name="_Hlk67070648"/>
            <w:r w:rsidRPr="00C71189">
              <w:t>dzērienu kartona iepakojums – kompozīta iepakojums</w:t>
            </w:r>
            <w:bookmarkEnd w:id="0"/>
            <w:r w:rsidRPr="00C71189">
              <w:t>, kura viens no materiāla slāņiem ir kartons;”</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04F728E1" w14:textId="6AC28DE3" w:rsidR="001B643E" w:rsidRPr="00C71189" w:rsidRDefault="001B643E" w:rsidP="00C71189">
            <w:pPr>
              <w:jc w:val="both"/>
            </w:pPr>
            <w:r w:rsidRPr="00C71189">
              <w:rPr>
                <w:bCs/>
              </w:rPr>
              <w:t>1.</w:t>
            </w:r>
            <w:r w:rsidRPr="00C71189">
              <w:t xml:space="preserve"> Izteikt likumprojekta 1.</w:t>
            </w:r>
            <w:r w:rsidR="00E3071B">
              <w:t xml:space="preserve"> </w:t>
            </w:r>
            <w:r w:rsidRPr="00C71189">
              <w:t xml:space="preserve">panta </w:t>
            </w:r>
            <w:r w:rsidR="00E3071B">
              <w:t>pirmo daļu</w:t>
            </w:r>
            <w:r w:rsidRPr="00C71189">
              <w:t xml:space="preserve"> ar ko papildina likuma 1.</w:t>
            </w:r>
            <w:r w:rsidR="00E3071B">
              <w:t xml:space="preserve"> </w:t>
            </w:r>
            <w:r w:rsidRPr="00C71189">
              <w:t xml:space="preserve">pantu ar </w:t>
            </w:r>
            <w:r w:rsidR="00E3071B">
              <w:t xml:space="preserve">sešpadsmito </w:t>
            </w:r>
            <w:r w:rsidRPr="00C71189">
              <w:t>šādā redakcijā:</w:t>
            </w:r>
          </w:p>
          <w:p w14:paraId="586CD228" w14:textId="6039BA82" w:rsidR="001B643E" w:rsidRPr="00C71189" w:rsidRDefault="001B643E" w:rsidP="00C71189">
            <w:pPr>
              <w:jc w:val="both"/>
            </w:pPr>
            <w:r w:rsidRPr="00C71189">
              <w:t xml:space="preserve">“16) </w:t>
            </w:r>
            <w:r w:rsidRPr="00C71189">
              <w:rPr>
                <w:b/>
              </w:rPr>
              <w:t>kompozīta materiāla iepakojums uz kartona bāzes</w:t>
            </w:r>
            <w:r w:rsidRPr="00C71189">
              <w:t xml:space="preserve"> – kompozīta iepakojums, kura viens no materiāla slāņiem ir kartons;”</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660823B7" w14:textId="2EADA2CE" w:rsidR="001B643E" w:rsidRPr="00C71189" w:rsidRDefault="004962E0" w:rsidP="00C71189">
            <w:pPr>
              <w:pStyle w:val="naisc"/>
              <w:spacing w:before="0" w:after="0"/>
              <w:jc w:val="both"/>
              <w:rPr>
                <w:b/>
                <w:bCs/>
              </w:rPr>
            </w:pPr>
            <w:r>
              <w:rPr>
                <w:b/>
                <w:bCs/>
              </w:rPr>
              <w:t>Ņ</w:t>
            </w:r>
            <w:r w:rsidR="52965CED" w:rsidRPr="00C71189">
              <w:rPr>
                <w:b/>
                <w:bCs/>
              </w:rPr>
              <w:t>emts vērā.</w:t>
            </w:r>
          </w:p>
          <w:p w14:paraId="192731CF" w14:textId="0A72DCEE" w:rsidR="001B643E" w:rsidRPr="00C71189" w:rsidRDefault="52965CED" w:rsidP="00C71189">
            <w:pPr>
              <w:pStyle w:val="naisc"/>
              <w:spacing w:before="0" w:after="0"/>
              <w:jc w:val="both"/>
            </w:pPr>
            <w:r w:rsidRPr="00C71189">
              <w:t xml:space="preserve">Termins </w:t>
            </w:r>
            <w:r w:rsidR="008075FF">
              <w:t>“</w:t>
            </w:r>
            <w:r w:rsidRPr="00C71189">
              <w:t>dzērienu kartona iepakojums</w:t>
            </w:r>
            <w:r w:rsidR="008075FF">
              <w:t>”</w:t>
            </w:r>
            <w:r w:rsidRPr="00C71189">
              <w:t xml:space="preserve"> precizēts uz </w:t>
            </w:r>
            <w:r w:rsidR="00C75101">
              <w:t>“</w:t>
            </w:r>
            <w:r w:rsidRPr="00C71189">
              <w:t>kartona iepakojums</w:t>
            </w:r>
            <w:r w:rsidR="00C75101">
              <w:t>”</w:t>
            </w:r>
            <w:r w:rsidRPr="00C71189">
              <w:t>.</w:t>
            </w:r>
          </w:p>
          <w:p w14:paraId="61C73C98" w14:textId="792D265C" w:rsidR="001B643E" w:rsidRPr="00C71189" w:rsidRDefault="001B643E" w:rsidP="00C71189">
            <w:pPr>
              <w:pStyle w:val="naisc"/>
              <w:spacing w:before="0" w:after="0"/>
              <w:jc w:val="both"/>
            </w:pPr>
          </w:p>
        </w:tc>
      </w:tr>
      <w:tr w:rsidR="00C71189" w:rsidRPr="00C71189" w14:paraId="6B324C04"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009EE613" w14:textId="77777777" w:rsidR="001B643E" w:rsidRPr="00C71189" w:rsidRDefault="001B643E" w:rsidP="00C71189">
            <w:pPr>
              <w:pStyle w:val="naisc"/>
              <w:numPr>
                <w:ilvl w:val="1"/>
                <w:numId w:val="5"/>
              </w:numPr>
              <w:tabs>
                <w:tab w:val="clear" w:pos="1080"/>
              </w:tabs>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6AED0818" w14:textId="15E9C035" w:rsidR="001B643E" w:rsidRPr="00C71189" w:rsidRDefault="001B643E" w:rsidP="00C71189">
            <w:pPr>
              <w:spacing w:before="120"/>
              <w:jc w:val="both"/>
              <w:rPr>
                <w:b/>
                <w:bCs/>
              </w:rPr>
            </w:pPr>
            <w:r w:rsidRPr="00C71189">
              <w:rPr>
                <w:b/>
                <w:bCs/>
              </w:rPr>
              <w:t>Vispārīg</w:t>
            </w:r>
            <w:r w:rsidR="00D60FE4" w:rsidRPr="00C71189">
              <w:rPr>
                <w:b/>
                <w:bCs/>
              </w:rPr>
              <w:t>i.</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11F30503" w14:textId="5C4B755F" w:rsidR="001B643E" w:rsidRPr="00C71189" w:rsidRDefault="001B643E" w:rsidP="00C71189">
            <w:pPr>
              <w:suppressAutoHyphens w:val="0"/>
              <w:jc w:val="both"/>
              <w:rPr>
                <w:rFonts w:eastAsiaTheme="minorEastAsia"/>
                <w:lang w:eastAsia="en-US"/>
              </w:rPr>
            </w:pPr>
            <w:r w:rsidRPr="00C71189">
              <w:rPr>
                <w:rFonts w:eastAsiaTheme="minorEastAsia"/>
                <w:lang w:eastAsia="en-US"/>
              </w:rPr>
              <w:t xml:space="preserve">2. Aizstāt visā likumprojekta tekstā vārtus </w:t>
            </w:r>
            <w:r w:rsidRPr="00C71189">
              <w:rPr>
                <w:rFonts w:eastAsiaTheme="minorEastAsia"/>
                <w:b/>
                <w:lang w:eastAsia="en-US"/>
              </w:rPr>
              <w:t>“dzērienu kartona iepakojums”</w:t>
            </w:r>
            <w:r w:rsidRPr="00C71189">
              <w:rPr>
                <w:rFonts w:eastAsiaTheme="minorEastAsia"/>
                <w:lang w:eastAsia="en-US"/>
              </w:rPr>
              <w:t xml:space="preserve"> attiecīgā locījumā ar vārdiem “</w:t>
            </w:r>
            <w:r w:rsidRPr="00C71189">
              <w:rPr>
                <w:rFonts w:eastAsiaTheme="minorEastAsia"/>
                <w:b/>
                <w:lang w:eastAsia="en-US"/>
              </w:rPr>
              <w:t>kompozīta materiāla iepakojums uz kartona bāzes</w:t>
            </w:r>
            <w:r w:rsidRPr="00C71189">
              <w:rPr>
                <w:rFonts w:eastAsiaTheme="minorEastAsia"/>
                <w:lang w:eastAsia="en-US"/>
              </w:rPr>
              <w:t>”</w:t>
            </w:r>
          </w:p>
          <w:p w14:paraId="3314020F" w14:textId="77777777" w:rsidR="001B643E" w:rsidRPr="00C71189" w:rsidRDefault="001B643E" w:rsidP="00C71189">
            <w:pPr>
              <w:suppressAutoHyphens w:val="0"/>
              <w:jc w:val="both"/>
              <w:rPr>
                <w:rFonts w:eastAsiaTheme="minorEastAsia"/>
                <w:lang w:eastAsia="en-US"/>
              </w:rPr>
            </w:pPr>
            <w:r w:rsidRPr="00C71189">
              <w:rPr>
                <w:rFonts w:eastAsiaTheme="minorEastAsia"/>
                <w:i/>
                <w:u w:val="single"/>
                <w:lang w:eastAsia="en-US"/>
              </w:rPr>
              <w:t>Paskaidrojums:</w:t>
            </w:r>
            <w:r w:rsidRPr="00C71189">
              <w:rPr>
                <w:rFonts w:eastAsiaTheme="minorEastAsia"/>
                <w:lang w:eastAsia="en-US"/>
              </w:rPr>
              <w:t xml:space="preserve"> Dabas resursu nodokļa mērķis ir veicināt dabas resursu ekonomiski efektīvu izmantošanu, ierobežot vides piesārņošanu, samazināt vidi piesārņojošas produkcijas ražošanu un realizāciju, veicināt jaunu, vidi saudzējošu tehnoloģiju ieviešanu, atbalstīt tautsaimniecības ilgtspējīgu attīstību, kā arī finansiāli nodrošināt vides aizsardzības pasākumus. Mūsuprāt, ar dabas resursa nodokli apliek iepakojuma veidus nevis iepakojumā esošā sastāva – produkta vai šķidruma tipu. Tas no vienas puses rada nesaprotamu sistēmu iepakojuma atkritumu radītājam, jo šķirošanas infrastruktūras konteinerā nevarēs mest pēc būtības vienāda tipa kompozītmateriāla kartona iepakojumu, no otras puses – noteiktai pārtikas produktu ražotāju grupai būs jāmaksā atsevišķs nodoklis un jāuzskaita iepakojums, taču kādai citai, realizējot produktu pēc būtības tādā pašā iepakojumā, nebūs atsevišķi jāuzskaita un jāmaksā nodoklis.</w:t>
            </w:r>
          </w:p>
          <w:p w14:paraId="219FB53F" w14:textId="3C816430" w:rsidR="001B643E" w:rsidRPr="00C71189" w:rsidRDefault="001B643E" w:rsidP="00C71189">
            <w:pPr>
              <w:suppressAutoHyphens w:val="0"/>
              <w:jc w:val="both"/>
              <w:rPr>
                <w:rFonts w:eastAsiaTheme="minorEastAsia"/>
                <w:lang w:eastAsia="en-US"/>
              </w:rPr>
            </w:pPr>
            <w:r w:rsidRPr="00C71189">
              <w:rPr>
                <w:rFonts w:eastAsiaTheme="minorEastAsia"/>
                <w:lang w:eastAsia="en-US"/>
              </w:rPr>
              <w:lastRenderedPageBreak/>
              <w:t xml:space="preserve">Kā piemēru varētu minēt jogurta dzērienu, kas pēc būtības ir dzēriens, taču pēc šī brīža grozījumu redakcijas, šis iepakojums netiek izdalīts kā atsevišķs </w:t>
            </w:r>
            <w:r w:rsidR="00043989">
              <w:rPr>
                <w:rFonts w:eastAsiaTheme="minorEastAsia"/>
                <w:lang w:eastAsia="en-US"/>
              </w:rPr>
              <w:t>dabas resursu nodokļa</w:t>
            </w:r>
            <w:r w:rsidRPr="00C71189">
              <w:rPr>
                <w:rFonts w:eastAsiaTheme="minorEastAsia"/>
                <w:lang w:eastAsia="en-US"/>
              </w:rPr>
              <w:t xml:space="preserve"> objekts.</w:t>
            </w:r>
          </w:p>
          <w:p w14:paraId="225C6C78" w14:textId="71F6F681" w:rsidR="001B643E" w:rsidRPr="00C71189" w:rsidRDefault="001B643E" w:rsidP="00C71189">
            <w:pPr>
              <w:suppressAutoHyphens w:val="0"/>
              <w:jc w:val="both"/>
              <w:rPr>
                <w:rFonts w:eastAsiaTheme="minorEastAsia"/>
                <w:lang w:eastAsia="en-US"/>
              </w:rPr>
            </w:pPr>
            <w:r w:rsidRPr="00C71189">
              <w:rPr>
                <w:rFonts w:eastAsiaTheme="minorEastAsia"/>
                <w:lang w:eastAsia="en-US"/>
              </w:rPr>
              <w:t xml:space="preserve">Mūsuprāt, nebūtu lietderīgi noteikt </w:t>
            </w:r>
            <w:r w:rsidR="00043989">
              <w:rPr>
                <w:rFonts w:eastAsiaTheme="minorEastAsia"/>
                <w:lang w:eastAsia="en-US"/>
              </w:rPr>
              <w:t>Ministru kabineta</w:t>
            </w:r>
            <w:r w:rsidRPr="00C71189">
              <w:rPr>
                <w:rFonts w:eastAsiaTheme="minorEastAsia"/>
                <w:lang w:eastAsia="en-US"/>
              </w:rPr>
              <w:t xml:space="preserve"> noteikumos produktu klāstu, kam piemēro vai nepiemēro </w:t>
            </w:r>
            <w:r w:rsidR="00292DA0">
              <w:rPr>
                <w:rFonts w:eastAsiaTheme="minorEastAsia"/>
                <w:lang w:eastAsia="en-US"/>
              </w:rPr>
              <w:t xml:space="preserve">dabas resursu nodokļa </w:t>
            </w:r>
            <w:r w:rsidRPr="00C71189">
              <w:rPr>
                <w:rFonts w:eastAsiaTheme="minorEastAsia"/>
                <w:lang w:eastAsia="en-US"/>
              </w:rPr>
              <w:t>likmi, taču piemērot to konkrētam kompozīta iepakojuma veidam.</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5082ECA0" w14:textId="276740A6" w:rsidR="00333FF9" w:rsidRPr="00333FF9" w:rsidRDefault="004962E0" w:rsidP="00333FF9">
            <w:pPr>
              <w:pStyle w:val="naisc"/>
              <w:jc w:val="both"/>
              <w:rPr>
                <w:b/>
                <w:bCs/>
              </w:rPr>
            </w:pPr>
            <w:r>
              <w:rPr>
                <w:b/>
                <w:bCs/>
              </w:rPr>
              <w:lastRenderedPageBreak/>
              <w:t>Ņ</w:t>
            </w:r>
            <w:r w:rsidR="00333FF9" w:rsidRPr="00333FF9">
              <w:rPr>
                <w:b/>
                <w:bCs/>
              </w:rPr>
              <w:t>emts vērā.</w:t>
            </w:r>
          </w:p>
          <w:p w14:paraId="4EB9FE40" w14:textId="73925DB7" w:rsidR="001B643E" w:rsidRPr="00333FF9" w:rsidRDefault="00333FF9" w:rsidP="00333FF9">
            <w:pPr>
              <w:pStyle w:val="naisc"/>
              <w:spacing w:before="0" w:after="0"/>
              <w:jc w:val="both"/>
            </w:pPr>
            <w:r w:rsidRPr="00333FF9">
              <w:t xml:space="preserve">Termins </w:t>
            </w:r>
            <w:r w:rsidR="008075FF">
              <w:t>“</w:t>
            </w:r>
            <w:r w:rsidRPr="00333FF9">
              <w:t>dzērienu kartona iepakojums</w:t>
            </w:r>
            <w:r w:rsidR="008075FF">
              <w:t>”</w:t>
            </w:r>
            <w:r w:rsidRPr="00333FF9">
              <w:t xml:space="preserve"> precizēts uz </w:t>
            </w:r>
            <w:r w:rsidR="008075FF">
              <w:t>“</w:t>
            </w:r>
            <w:r w:rsidRPr="00333FF9">
              <w:t>kartona iepakojums</w:t>
            </w:r>
            <w:r w:rsidR="008075FF">
              <w:t>”</w:t>
            </w:r>
            <w:r w:rsidRPr="00333FF9">
              <w:t xml:space="preserve"> visā likumprojekta tekstā un anotācijā.</w:t>
            </w:r>
          </w:p>
        </w:tc>
      </w:tr>
      <w:tr w:rsidR="00C71189" w:rsidRPr="00C71189" w14:paraId="0C39E491"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54BAD6C7" w14:textId="77777777" w:rsidR="001B643E" w:rsidRPr="00C71189" w:rsidRDefault="001B643E" w:rsidP="00C71189">
            <w:pPr>
              <w:pStyle w:val="naisc"/>
              <w:numPr>
                <w:ilvl w:val="1"/>
                <w:numId w:val="5"/>
              </w:numPr>
              <w:tabs>
                <w:tab w:val="clear" w:pos="1080"/>
              </w:tabs>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5E1D2B19" w14:textId="6CDD7A81" w:rsidR="001B643E" w:rsidRPr="00C71189" w:rsidRDefault="001B643E" w:rsidP="00C71189">
            <w:pPr>
              <w:spacing w:before="120"/>
              <w:jc w:val="both"/>
              <w:rPr>
                <w:b/>
                <w:bCs/>
              </w:rPr>
            </w:pPr>
            <w:r w:rsidRPr="00C71189">
              <w:rPr>
                <w:b/>
                <w:bCs/>
              </w:rPr>
              <w:t>Likumprojekta 24. panta likuma pārejas noteikumu 41.</w:t>
            </w:r>
            <w:r w:rsidR="00194202">
              <w:rPr>
                <w:b/>
                <w:bCs/>
              </w:rPr>
              <w:t> </w:t>
            </w:r>
            <w:r w:rsidRPr="00C71189">
              <w:rPr>
                <w:b/>
                <w:bCs/>
              </w:rPr>
              <w:t>punkts:</w:t>
            </w:r>
          </w:p>
          <w:p w14:paraId="1ECE7081" w14:textId="03B29E26" w:rsidR="001B643E" w:rsidRPr="00C71189" w:rsidRDefault="001B643E" w:rsidP="00C71189">
            <w:pPr>
              <w:pStyle w:val="NoSpacing"/>
              <w:rPr>
                <w:szCs w:val="24"/>
              </w:rPr>
            </w:pPr>
            <w:r w:rsidRPr="00C71189">
              <w:rPr>
                <w:szCs w:val="24"/>
              </w:rPr>
              <w:t>“41. Ministru kabinets līdz 2022. gada 30. novembrim izdod šā likuma 9.</w:t>
            </w:r>
            <w:r w:rsidRPr="00C71189">
              <w:rPr>
                <w:szCs w:val="24"/>
                <w:vertAlign w:val="superscript"/>
              </w:rPr>
              <w:t>1</w:t>
            </w:r>
            <w:r w:rsidRPr="00C71189">
              <w:rPr>
                <w:szCs w:val="24"/>
              </w:rPr>
              <w:t> panta otrajā daļā minētos noteikumus.”</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24023950" w14:textId="681E8801" w:rsidR="001B643E" w:rsidRPr="00C71189" w:rsidRDefault="001B643E" w:rsidP="00C71189">
            <w:pPr>
              <w:suppressAutoHyphens w:val="0"/>
              <w:jc w:val="both"/>
              <w:rPr>
                <w:rFonts w:eastAsiaTheme="minorEastAsia"/>
                <w:lang w:eastAsia="en-US"/>
              </w:rPr>
            </w:pPr>
            <w:bookmarkStart w:id="1" w:name="_Hlk74580708"/>
            <w:r w:rsidRPr="00C71189">
              <w:rPr>
                <w:rFonts w:eastAsiaTheme="minorEastAsia"/>
                <w:bCs/>
                <w:lang w:eastAsia="en-US"/>
              </w:rPr>
              <w:t>3.</w:t>
            </w:r>
            <w:r w:rsidRPr="00C71189">
              <w:rPr>
                <w:rFonts w:eastAsiaTheme="minorEastAsia"/>
                <w:lang w:eastAsia="en-US"/>
              </w:rPr>
              <w:t xml:space="preserve"> Izteikt likumprojekta 24.</w:t>
            </w:r>
            <w:r w:rsidR="00E3071B">
              <w:rPr>
                <w:rFonts w:eastAsiaTheme="minorEastAsia"/>
                <w:lang w:eastAsia="en-US"/>
              </w:rPr>
              <w:t xml:space="preserve"> </w:t>
            </w:r>
            <w:r w:rsidRPr="00C71189">
              <w:rPr>
                <w:rFonts w:eastAsiaTheme="minorEastAsia"/>
                <w:lang w:eastAsia="en-US"/>
              </w:rPr>
              <w:t>panta otro daļu, ar kuru papildina likuma Pārejas noteikumus ar 41.</w:t>
            </w:r>
            <w:r w:rsidR="00E3071B">
              <w:rPr>
                <w:rFonts w:eastAsiaTheme="minorEastAsia"/>
                <w:lang w:eastAsia="en-US"/>
              </w:rPr>
              <w:t xml:space="preserve"> </w:t>
            </w:r>
            <w:r w:rsidRPr="00C71189">
              <w:rPr>
                <w:rFonts w:eastAsiaTheme="minorEastAsia"/>
                <w:lang w:eastAsia="en-US"/>
              </w:rPr>
              <w:t>punktu šādā redakcijā:</w:t>
            </w:r>
          </w:p>
          <w:bookmarkEnd w:id="1"/>
          <w:p w14:paraId="045D731B" w14:textId="77777777" w:rsidR="001B643E" w:rsidRPr="00C71189" w:rsidRDefault="001B643E" w:rsidP="00C71189">
            <w:pPr>
              <w:suppressAutoHyphens w:val="0"/>
              <w:jc w:val="both"/>
              <w:rPr>
                <w:rFonts w:eastAsiaTheme="minorEastAsia"/>
                <w:lang w:eastAsia="en-US"/>
              </w:rPr>
            </w:pPr>
            <w:r w:rsidRPr="00C71189">
              <w:rPr>
                <w:rFonts w:eastAsiaTheme="minorEastAsia"/>
                <w:lang w:eastAsia="en-US"/>
              </w:rPr>
              <w:t>“41. Ministru kabinets līdz 2022. gada 30. septembrim izdod šā likuma 9.</w:t>
            </w:r>
            <w:r w:rsidRPr="00C71189">
              <w:rPr>
                <w:rFonts w:eastAsiaTheme="minorEastAsia"/>
                <w:vertAlign w:val="superscript"/>
                <w:lang w:eastAsia="en-US"/>
              </w:rPr>
              <w:t>1</w:t>
            </w:r>
            <w:r w:rsidRPr="00C71189">
              <w:rPr>
                <w:rFonts w:eastAsiaTheme="minorEastAsia"/>
                <w:lang w:eastAsia="en-US"/>
              </w:rPr>
              <w:t xml:space="preserve"> panta otrajā daļā minētos noteikumus.”</w:t>
            </w:r>
          </w:p>
          <w:p w14:paraId="65AE74BC" w14:textId="3DE7A47A" w:rsidR="00292DA0" w:rsidRDefault="001B643E" w:rsidP="00C71189">
            <w:pPr>
              <w:suppressAutoHyphens w:val="0"/>
              <w:jc w:val="both"/>
              <w:rPr>
                <w:rFonts w:eastAsiaTheme="minorEastAsia"/>
                <w:lang w:eastAsia="en-US"/>
              </w:rPr>
            </w:pPr>
            <w:r w:rsidRPr="00C71189">
              <w:rPr>
                <w:rFonts w:eastAsiaTheme="minorEastAsia"/>
                <w:i/>
                <w:lang w:eastAsia="en-US"/>
              </w:rPr>
              <w:t>Paskaidrojums:</w:t>
            </w:r>
            <w:r w:rsidRPr="00C71189">
              <w:rPr>
                <w:rFonts w:eastAsiaTheme="minorEastAsia"/>
                <w:lang w:eastAsia="en-US"/>
              </w:rPr>
              <w:t xml:space="preserve"> Ņemot vērā </w:t>
            </w:r>
            <w:r w:rsidR="00292DA0">
              <w:rPr>
                <w:rFonts w:eastAsiaTheme="minorEastAsia"/>
                <w:lang w:eastAsia="en-US"/>
              </w:rPr>
              <w:t>ar</w:t>
            </w:r>
          </w:p>
          <w:p w14:paraId="70BEC107" w14:textId="180B1D32" w:rsidR="001B643E" w:rsidRPr="00C71189" w:rsidRDefault="00292DA0" w:rsidP="00C71189">
            <w:pPr>
              <w:suppressAutoHyphens w:val="0"/>
              <w:jc w:val="both"/>
              <w:rPr>
                <w:rFonts w:eastAsiaTheme="minorEastAsia"/>
                <w:lang w:val="en-US" w:eastAsia="en-US"/>
              </w:rPr>
            </w:pPr>
            <w:r>
              <w:rPr>
                <w:rFonts w:eastAsiaTheme="minorEastAsia"/>
                <w:lang w:eastAsia="en-US"/>
              </w:rPr>
              <w:t>Ražotāja paplašinātas atbildības sistēmu</w:t>
            </w:r>
            <w:r w:rsidR="001B643E" w:rsidRPr="00C71189">
              <w:rPr>
                <w:rFonts w:eastAsiaTheme="minorEastAsia"/>
                <w:lang w:eastAsia="en-US"/>
              </w:rPr>
              <w:t xml:space="preserve"> sagatavošanās laiku jaunam nodokļa objektam – </w:t>
            </w:r>
            <w:r>
              <w:rPr>
                <w:rFonts w:eastAsiaTheme="minorEastAsia"/>
                <w:lang w:eastAsia="en-US"/>
              </w:rPr>
              <w:t>ražotāja paplašinātas atbildības sistēmas</w:t>
            </w:r>
            <w:r w:rsidR="001B643E" w:rsidRPr="00C71189">
              <w:rPr>
                <w:rFonts w:eastAsiaTheme="minorEastAsia"/>
                <w:lang w:eastAsia="en-US"/>
              </w:rPr>
              <w:t xml:space="preserve"> darbības programmas iesniegšana, komunikācija ar klientiem u.c., aicinām noteikt ātrāku </w:t>
            </w:r>
            <w:r>
              <w:rPr>
                <w:rFonts w:eastAsiaTheme="minorEastAsia"/>
                <w:lang w:eastAsia="en-US"/>
              </w:rPr>
              <w:t>Ministru kabineta</w:t>
            </w:r>
            <w:r w:rsidR="001B643E" w:rsidRPr="00C71189">
              <w:rPr>
                <w:rFonts w:eastAsiaTheme="minorEastAsia"/>
                <w:lang w:eastAsia="en-US"/>
              </w:rPr>
              <w:t xml:space="preserve"> noteikumu spēkā stāšanās laiku.</w:t>
            </w:r>
            <w:r w:rsidR="001B643E" w:rsidRPr="00C71189">
              <w:rPr>
                <w:rFonts w:eastAsiaTheme="minorEastAsia"/>
                <w:lang w:val="en-US" w:eastAsia="en-US"/>
              </w:rPr>
              <w:t xml:space="preserve"> </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1379868F" w14:textId="41D12388" w:rsidR="00CF6D6D" w:rsidRPr="00CF6D6D" w:rsidRDefault="00CF6D6D" w:rsidP="00C71189">
            <w:pPr>
              <w:jc w:val="both"/>
              <w:rPr>
                <w:rFonts w:eastAsiaTheme="minorEastAsia"/>
                <w:b/>
                <w:bCs/>
                <w:lang w:eastAsia="en-US"/>
              </w:rPr>
            </w:pPr>
            <w:r w:rsidRPr="00CF6D6D">
              <w:rPr>
                <w:rFonts w:eastAsiaTheme="minorEastAsia"/>
                <w:b/>
                <w:bCs/>
                <w:lang w:eastAsia="en-US"/>
              </w:rPr>
              <w:t>Ņemts vērā.</w:t>
            </w:r>
          </w:p>
          <w:p w14:paraId="56390A60" w14:textId="750FEE71" w:rsidR="001B643E" w:rsidRPr="00C71189" w:rsidRDefault="334A6487" w:rsidP="00C71189">
            <w:pPr>
              <w:jc w:val="both"/>
              <w:rPr>
                <w:rFonts w:eastAsiaTheme="minorEastAsia"/>
                <w:lang w:eastAsia="en-US"/>
              </w:rPr>
            </w:pPr>
            <w:r w:rsidRPr="00C71189">
              <w:rPr>
                <w:rFonts w:eastAsiaTheme="minorEastAsia"/>
                <w:lang w:eastAsia="en-US"/>
              </w:rPr>
              <w:t>Pārejas noteikumu ar 41.</w:t>
            </w:r>
            <w:r w:rsidR="00194202">
              <w:rPr>
                <w:rFonts w:eastAsiaTheme="minorEastAsia"/>
                <w:lang w:eastAsia="en-US"/>
              </w:rPr>
              <w:t> </w:t>
            </w:r>
            <w:r w:rsidRPr="00C71189">
              <w:rPr>
                <w:rFonts w:eastAsiaTheme="minorEastAsia"/>
                <w:lang w:eastAsia="en-US"/>
              </w:rPr>
              <w:t>punkts izteikts šādā redakcijā:</w:t>
            </w:r>
          </w:p>
          <w:p w14:paraId="1F525DE9" w14:textId="6347A85C" w:rsidR="001B643E" w:rsidRPr="00C71189" w:rsidRDefault="334A6487" w:rsidP="00C71189">
            <w:pPr>
              <w:jc w:val="both"/>
              <w:rPr>
                <w:rFonts w:eastAsiaTheme="minorEastAsia"/>
                <w:lang w:eastAsia="en-US"/>
              </w:rPr>
            </w:pPr>
            <w:r w:rsidRPr="00C71189">
              <w:rPr>
                <w:rFonts w:eastAsiaTheme="minorEastAsia"/>
                <w:lang w:eastAsia="en-US"/>
              </w:rPr>
              <w:t>“41.</w:t>
            </w:r>
            <w:r w:rsidR="00194202">
              <w:rPr>
                <w:rFonts w:eastAsiaTheme="minorEastAsia"/>
                <w:lang w:eastAsia="en-US"/>
              </w:rPr>
              <w:t> </w:t>
            </w:r>
            <w:r w:rsidRPr="00C71189">
              <w:rPr>
                <w:rFonts w:eastAsiaTheme="minorEastAsia"/>
                <w:lang w:eastAsia="en-US"/>
              </w:rPr>
              <w:t>Ministru kabinets līdz 2022.</w:t>
            </w:r>
            <w:r w:rsidR="00194202">
              <w:rPr>
                <w:rFonts w:eastAsiaTheme="minorEastAsia"/>
                <w:lang w:eastAsia="en-US"/>
              </w:rPr>
              <w:t> </w:t>
            </w:r>
            <w:r w:rsidRPr="00C71189">
              <w:rPr>
                <w:rFonts w:eastAsiaTheme="minorEastAsia"/>
                <w:lang w:eastAsia="en-US"/>
              </w:rPr>
              <w:t>gada 30.</w:t>
            </w:r>
            <w:r w:rsidR="00194202">
              <w:rPr>
                <w:rFonts w:eastAsiaTheme="minorEastAsia"/>
                <w:lang w:eastAsia="en-US"/>
              </w:rPr>
              <w:t> </w:t>
            </w:r>
            <w:r w:rsidRPr="00C71189">
              <w:rPr>
                <w:rFonts w:eastAsiaTheme="minorEastAsia"/>
                <w:lang w:eastAsia="en-US"/>
              </w:rPr>
              <w:t>septembrim izdod šā likuma 9.</w:t>
            </w:r>
            <w:r w:rsidRPr="00C71189">
              <w:rPr>
                <w:rFonts w:eastAsiaTheme="minorEastAsia"/>
                <w:vertAlign w:val="superscript"/>
                <w:lang w:eastAsia="en-US"/>
              </w:rPr>
              <w:t>1</w:t>
            </w:r>
            <w:r w:rsidR="00194202">
              <w:rPr>
                <w:rFonts w:eastAsiaTheme="minorEastAsia"/>
                <w:vertAlign w:val="superscript"/>
                <w:lang w:eastAsia="en-US"/>
              </w:rPr>
              <w:t> </w:t>
            </w:r>
            <w:r w:rsidRPr="00C71189">
              <w:rPr>
                <w:rFonts w:eastAsiaTheme="minorEastAsia"/>
                <w:lang w:eastAsia="en-US"/>
              </w:rPr>
              <w:t>panta otrajā daļā minētos noteikumus.”</w:t>
            </w:r>
          </w:p>
          <w:p w14:paraId="61002446" w14:textId="530C1A6A" w:rsidR="001B643E" w:rsidRPr="00C71189" w:rsidRDefault="001B643E" w:rsidP="00C71189">
            <w:pPr>
              <w:pStyle w:val="naisc"/>
              <w:spacing w:before="0" w:after="0"/>
              <w:jc w:val="both"/>
              <w:rPr>
                <w:b/>
                <w:bCs/>
              </w:rPr>
            </w:pPr>
          </w:p>
        </w:tc>
      </w:tr>
      <w:tr w:rsidR="00C71189" w:rsidRPr="00C71189" w14:paraId="08C2E5B9"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7C5B384F" w14:textId="77777777" w:rsidR="001B643E" w:rsidRPr="00C71189" w:rsidRDefault="001B643E" w:rsidP="00C71189">
            <w:pPr>
              <w:pStyle w:val="naisc"/>
              <w:numPr>
                <w:ilvl w:val="1"/>
                <w:numId w:val="5"/>
              </w:numPr>
              <w:tabs>
                <w:tab w:val="clear" w:pos="1080"/>
              </w:tabs>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3AB3469E" w14:textId="77777777" w:rsidR="001B643E" w:rsidRPr="00C71189" w:rsidRDefault="001B643E" w:rsidP="00C71189">
            <w:pPr>
              <w:spacing w:before="120"/>
              <w:jc w:val="both"/>
              <w:rPr>
                <w:b/>
                <w:bCs/>
              </w:rPr>
            </w:pPr>
            <w:r w:rsidRPr="00C71189">
              <w:rPr>
                <w:b/>
                <w:bCs/>
              </w:rPr>
              <w:t>Likumprojekta 24. panta likuma pārejas noteikumu 44. punkts:</w:t>
            </w:r>
          </w:p>
          <w:p w14:paraId="528C1C78" w14:textId="3765A986" w:rsidR="001B643E" w:rsidRPr="00C71189" w:rsidRDefault="001B643E" w:rsidP="00C71189">
            <w:pPr>
              <w:pStyle w:val="NoSpacing"/>
              <w:rPr>
                <w:szCs w:val="24"/>
              </w:rPr>
            </w:pPr>
            <w:r w:rsidRPr="00C71189">
              <w:rPr>
                <w:szCs w:val="24"/>
              </w:rPr>
              <w:t>“44. Grozījumi šā likuma 24. panta septītajā daļā attiecībā uz nodokļa aprēķināšanu par kompozīta iepakojumu stājas spēkā 2023. gada 1. janvārī.”</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37F3913F" w14:textId="243ECA3D" w:rsidR="001B643E" w:rsidRPr="00C71189" w:rsidRDefault="001B643E" w:rsidP="00C71189">
            <w:pPr>
              <w:jc w:val="both"/>
            </w:pPr>
            <w:r w:rsidRPr="00C71189">
              <w:rPr>
                <w:bCs/>
              </w:rPr>
              <w:t>4.</w:t>
            </w:r>
            <w:r w:rsidRPr="00C71189">
              <w:t xml:space="preserve"> Izteikt likumprojekta 24.</w:t>
            </w:r>
            <w:r w:rsidR="00E3071B">
              <w:t xml:space="preserve"> </w:t>
            </w:r>
            <w:r w:rsidRPr="00C71189">
              <w:t>panta piekto daļu, ar kuru papildina likuma Pārejas noteikumus ar 44.</w:t>
            </w:r>
            <w:r w:rsidR="00E3071B">
              <w:t xml:space="preserve"> </w:t>
            </w:r>
            <w:r w:rsidRPr="00C71189">
              <w:t>punktu šādā redakcijā:</w:t>
            </w:r>
          </w:p>
          <w:p w14:paraId="642D057A" w14:textId="233204B3" w:rsidR="001B643E" w:rsidRPr="00C71189" w:rsidRDefault="001B643E" w:rsidP="00C71189">
            <w:pPr>
              <w:jc w:val="both"/>
            </w:pPr>
            <w:r w:rsidRPr="00C71189">
              <w:t>“44. Grozījumi šā likuma 24. panta septītajā daļā attiecībā uz nodokļa aprēķināšanu par kompozīta iepakojumu stājas spēkā 2022. gada 1. janvārī.”</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30E004CD" w14:textId="77777777" w:rsidR="001B643E" w:rsidRPr="00A15E59" w:rsidRDefault="00B55BDC" w:rsidP="00C71189">
            <w:pPr>
              <w:pStyle w:val="naisc"/>
              <w:spacing w:before="0" w:after="0"/>
              <w:jc w:val="both"/>
              <w:rPr>
                <w:b/>
                <w:bCs/>
              </w:rPr>
            </w:pPr>
            <w:r w:rsidRPr="00A15E59">
              <w:rPr>
                <w:b/>
                <w:bCs/>
              </w:rPr>
              <w:t>Nav ņemts vērā.</w:t>
            </w:r>
          </w:p>
          <w:p w14:paraId="2E380A04" w14:textId="3B6327F3" w:rsidR="00B55BDC" w:rsidRPr="00C71189" w:rsidRDefault="00A15E59" w:rsidP="00C71189">
            <w:pPr>
              <w:pStyle w:val="naisc"/>
              <w:spacing w:before="0" w:after="0"/>
              <w:jc w:val="both"/>
            </w:pPr>
            <w:r w:rsidRPr="00B47CC0">
              <w:t>Prasība</w:t>
            </w:r>
            <w:r w:rsidR="00652DEB" w:rsidRPr="00B47CC0">
              <w:t>s stāšanās spēkā laiks</w:t>
            </w:r>
            <w:r w:rsidRPr="00B47CC0">
              <w:t xml:space="preserve"> ir harmonizēt</w:t>
            </w:r>
            <w:r w:rsidR="00652DEB" w:rsidRPr="00B47CC0">
              <w:t>s</w:t>
            </w:r>
            <w:r w:rsidRPr="00B47CC0">
              <w:t xml:space="preserve"> ar </w:t>
            </w:r>
            <w:r w:rsidR="004D4337" w:rsidRPr="00B47CC0">
              <w:t>Ministru kabineta</w:t>
            </w:r>
            <w:r w:rsidRPr="00B47CC0">
              <w:t xml:space="preserve"> </w:t>
            </w:r>
            <w:r w:rsidR="004D4337" w:rsidRPr="00B47CC0">
              <w:t>2017. gada 16. augusta noteikum</w:t>
            </w:r>
            <w:r w:rsidR="00B47CC0" w:rsidRPr="00B47CC0">
              <w:t xml:space="preserve">u Nr. 480 “Noteikumi par atbrīvojuma piemērošanu no dabas resursu nodokļa samaksas par iepakojumu un vienreiz lietojamiem galda traukiem un piederumiem” </w:t>
            </w:r>
            <w:r w:rsidRPr="00B47CC0">
              <w:t xml:space="preserve">un </w:t>
            </w:r>
            <w:r w:rsidR="005E181A" w:rsidRPr="00B47CC0">
              <w:t>Eiropas Parlamenta un Padomes 2018. gada 30. maija Direktīva (ES) 2018/852, ar ko groza Direktīvu 94/62/EK par iepakojumu un izlietoto iepakojumu</w:t>
            </w:r>
            <w:r w:rsidR="00B47CC0" w:rsidRPr="00B47CC0">
              <w:t xml:space="preserve"> nosacījumiem</w:t>
            </w:r>
            <w:r w:rsidR="005E181A" w:rsidRPr="00B47CC0">
              <w:t>.</w:t>
            </w:r>
          </w:p>
        </w:tc>
      </w:tr>
      <w:tr w:rsidR="00C71189" w:rsidRPr="00C71189" w14:paraId="1620A25B"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633045F3" w14:textId="77777777" w:rsidR="001B643E" w:rsidRPr="00C71189" w:rsidRDefault="001B643E" w:rsidP="00C71189">
            <w:pPr>
              <w:pStyle w:val="naisc"/>
              <w:numPr>
                <w:ilvl w:val="1"/>
                <w:numId w:val="5"/>
              </w:numPr>
              <w:tabs>
                <w:tab w:val="clear" w:pos="1080"/>
              </w:tabs>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24E2076D" w14:textId="5C90FD96" w:rsidR="001B643E" w:rsidRPr="00C71189" w:rsidRDefault="001B643E" w:rsidP="00C71189">
            <w:pPr>
              <w:spacing w:before="120"/>
              <w:jc w:val="both"/>
              <w:rPr>
                <w:b/>
                <w:bCs/>
              </w:rPr>
            </w:pPr>
            <w:r w:rsidRPr="00C71189">
              <w:rPr>
                <w:b/>
                <w:bCs/>
              </w:rPr>
              <w:t>Likumprojekta 28. panta likuma 7. pielikums.</w:t>
            </w:r>
          </w:p>
          <w:p w14:paraId="4DF86A78" w14:textId="3944F118" w:rsidR="001B643E" w:rsidRPr="00C71189" w:rsidRDefault="001B643E" w:rsidP="00C71189">
            <w:pPr>
              <w:spacing w:before="120"/>
              <w:jc w:val="both"/>
              <w:rPr>
                <w:b/>
                <w:bCs/>
              </w:rPr>
            </w:pP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7D01461C" w14:textId="66A4352A" w:rsidR="001B643E" w:rsidRPr="00C71189" w:rsidRDefault="001B643E" w:rsidP="00C71189">
            <w:pPr>
              <w:jc w:val="both"/>
            </w:pPr>
            <w:r w:rsidRPr="00C71189">
              <w:rPr>
                <w:bCs/>
              </w:rPr>
              <w:t>5.</w:t>
            </w:r>
            <w:r w:rsidR="00317212">
              <w:rPr>
                <w:bCs/>
              </w:rPr>
              <w:t xml:space="preserve"> </w:t>
            </w:r>
            <w:r w:rsidRPr="00C71189">
              <w:t>Aizstāt likumprojekta 28.</w:t>
            </w:r>
            <w:r w:rsidR="00E3071B">
              <w:t xml:space="preserve"> </w:t>
            </w:r>
            <w:r w:rsidRPr="00C71189">
              <w:t>panta, kas izsaka likuma 7.</w:t>
            </w:r>
            <w:r w:rsidR="00A210E5">
              <w:t xml:space="preserve"> </w:t>
            </w:r>
            <w:r w:rsidRPr="00C71189">
              <w:t xml:space="preserve">pielikuma tabulu jaunā redakcijā, tabulas otrās ailes - No plastmasas (polimēru) masas izejmateriāliem, izņemot no bioplastmasas vai polistirola masas izejmateriāliem, un </w:t>
            </w:r>
            <w:r w:rsidRPr="00C71189">
              <w:lastRenderedPageBreak/>
              <w:t>dzērienu kartona likmi (euro) par viena kilograma materiāla skaitli “1,25” ar skaitli “0,80”.</w:t>
            </w:r>
          </w:p>
          <w:p w14:paraId="4E196CB6" w14:textId="398C0FEF" w:rsidR="001B643E" w:rsidRPr="00C71189" w:rsidRDefault="001B643E" w:rsidP="00C71189">
            <w:pPr>
              <w:jc w:val="both"/>
            </w:pPr>
            <w:r w:rsidRPr="00C71189">
              <w:rPr>
                <w:i/>
              </w:rPr>
              <w:t>Paskaidrojums:</w:t>
            </w:r>
            <w:r w:rsidRPr="00C71189">
              <w:t xml:space="preserve"> Aicinām nepārstrādājamas plastmasas likmi vienādot ar nepārstrādātas plastmasas likmi. Mūsuprāt, tas varētu radīt zināmas neskaidrības nepārstrādātās un nepārstrādājamās plastmasas uzskaitē, no kuras rēķinās nodokļa likmi. Mēs pilnībā atbalstām augstas likmes noteikšanu nepārstrādājamai plastmasai, kur nepārstrādājamas plastmasas saraksts saskaņā ar MK noteikumiem tiks pārskatīt katru gadu, taču nodoklis tiks aprēķināts par iepriekšējo gadu. Mūsuprāt, tehnoloģiju attīstības laikmetā un plastmasas piedrazojuma iespaida rezultātā, pārstrādes tehnoloģiju risinājumi attīstās straujā tempā, lai pēc iespējas vairāk atrastu risinājumus dažāda veida plastmasas pārstrādāšanai. Diferencētas likmes varētu nostādīt ražotājus nevienlīdzīgā situācijā brīdī, kad, piemēram, tekošā gada 1</w:t>
            </w:r>
            <w:r w:rsidR="00E3071B">
              <w:t>.</w:t>
            </w:r>
            <w:r w:rsidRPr="00C71189">
              <w:t xml:space="preserve"> jūlijā ir atrasta pārstrādes tehnoloģija un ir tirgus pieprasījums tādam plastmasas veidam, kas pēc MK noteikumu plastmasas saraksta tiek uzskatīta par nepārstrādājamu plastmasu. </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161D7B9C" w14:textId="77777777" w:rsidR="00982811" w:rsidRPr="00982811" w:rsidRDefault="00982811" w:rsidP="00982811">
            <w:pPr>
              <w:pStyle w:val="naisc"/>
              <w:jc w:val="both"/>
              <w:rPr>
                <w:b/>
                <w:bCs/>
              </w:rPr>
            </w:pPr>
            <w:r w:rsidRPr="00982811">
              <w:rPr>
                <w:b/>
                <w:bCs/>
              </w:rPr>
              <w:lastRenderedPageBreak/>
              <w:t>Nav ņemts vērā.</w:t>
            </w:r>
          </w:p>
          <w:p w14:paraId="49B11FEF" w14:textId="041BBF08" w:rsidR="001B643E" w:rsidRPr="00C71189" w:rsidRDefault="00982811" w:rsidP="00982811">
            <w:pPr>
              <w:pStyle w:val="naisc"/>
              <w:spacing w:before="0" w:after="0"/>
              <w:jc w:val="both"/>
            </w:pPr>
            <w:r>
              <w:t xml:space="preserve">Aizstājot </w:t>
            </w:r>
            <w:r w:rsidR="33205A6A" w:rsidRPr="00C71189">
              <w:t>likumprojekta 28.</w:t>
            </w:r>
            <w:r w:rsidR="3C2D1F80" w:rsidRPr="00C71189">
              <w:t xml:space="preserve"> </w:t>
            </w:r>
            <w:r w:rsidR="33205A6A" w:rsidRPr="00C71189">
              <w:t>panta, kas izsaka likuma 7.</w:t>
            </w:r>
            <w:r w:rsidR="794A56D4" w:rsidRPr="00C71189">
              <w:t xml:space="preserve"> </w:t>
            </w:r>
            <w:r w:rsidR="33205A6A" w:rsidRPr="00C71189">
              <w:t xml:space="preserve">pielikuma tabulu jaunā redakcijā, tabulas otrās ailes - No plastmasas (polimēru) masas izejmateriāliem, izņemot no bioplastmasas vai </w:t>
            </w:r>
            <w:r w:rsidR="33205A6A" w:rsidRPr="00C71189">
              <w:lastRenderedPageBreak/>
              <w:t>polistirola masas izejmateriāliem, un dzērienu kartona likmi (</w:t>
            </w:r>
            <w:r w:rsidR="33205A6A" w:rsidRPr="00982811">
              <w:rPr>
                <w:i/>
                <w:iCs/>
              </w:rPr>
              <w:t>euro</w:t>
            </w:r>
            <w:r w:rsidR="33205A6A" w:rsidRPr="00C71189">
              <w:t xml:space="preserve">) par viena kilograma materiāla skaitli “1,25” ar skaitli “0,80”, tiks samazināta </w:t>
            </w:r>
            <w:r w:rsidR="71C53F9B" w:rsidRPr="00C71189">
              <w:t xml:space="preserve">esošā </w:t>
            </w:r>
            <w:r w:rsidR="33205A6A" w:rsidRPr="00C71189">
              <w:t>dabas resursu nodokļa likme, kas neveicinās samazināt nepārstrādātā plastma</w:t>
            </w:r>
            <w:r w:rsidR="7D02379D" w:rsidRPr="00C71189">
              <w:t>sas un kompozīta iepakojuma apjomu.</w:t>
            </w:r>
          </w:p>
          <w:p w14:paraId="406C6A45" w14:textId="07BB0999" w:rsidR="001B643E" w:rsidRPr="00C71189" w:rsidRDefault="001B643E" w:rsidP="00C71189">
            <w:pPr>
              <w:pStyle w:val="naisc"/>
              <w:spacing w:before="0" w:after="0"/>
              <w:jc w:val="both"/>
              <w:rPr>
                <w:b/>
                <w:bCs/>
              </w:rPr>
            </w:pPr>
          </w:p>
        </w:tc>
      </w:tr>
      <w:tr w:rsidR="00C71189" w:rsidRPr="00C71189" w14:paraId="2231BAE8"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61EEE41B" w14:textId="77777777" w:rsidR="001B643E" w:rsidRPr="00C71189" w:rsidRDefault="001B643E" w:rsidP="00C71189">
            <w:pPr>
              <w:pStyle w:val="naisc"/>
              <w:numPr>
                <w:ilvl w:val="1"/>
                <w:numId w:val="5"/>
              </w:numPr>
              <w:tabs>
                <w:tab w:val="clear" w:pos="1080"/>
              </w:tabs>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24B1D500" w14:textId="6FFAC487" w:rsidR="001B643E" w:rsidRPr="00C71189" w:rsidRDefault="001B643E" w:rsidP="00C71189">
            <w:pPr>
              <w:spacing w:before="120"/>
              <w:jc w:val="both"/>
              <w:rPr>
                <w:b/>
                <w:bCs/>
              </w:rPr>
            </w:pPr>
            <w:r w:rsidRPr="00C71189">
              <w:rPr>
                <w:b/>
                <w:bCs/>
              </w:rPr>
              <w:t>Vispārīg</w:t>
            </w:r>
            <w:r w:rsidR="007F0A21" w:rsidRPr="00C71189">
              <w:rPr>
                <w:b/>
                <w:bCs/>
              </w:rPr>
              <w:t>i.</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1C50FD68" w14:textId="4D4C2275" w:rsidR="001B643E" w:rsidRPr="00C71189" w:rsidRDefault="001B643E" w:rsidP="00C71189">
            <w:pPr>
              <w:suppressAutoHyphens w:val="0"/>
              <w:jc w:val="both"/>
              <w:rPr>
                <w:rFonts w:eastAsiaTheme="minorEastAsia"/>
                <w:lang w:eastAsia="en-US"/>
              </w:rPr>
            </w:pPr>
            <w:r w:rsidRPr="00C71189">
              <w:rPr>
                <w:rFonts w:eastAsiaTheme="minorEastAsia"/>
                <w:bCs/>
                <w:lang w:eastAsia="en-US"/>
              </w:rPr>
              <w:t>6.</w:t>
            </w:r>
            <w:r w:rsidRPr="00C71189">
              <w:rPr>
                <w:rFonts w:eastAsiaTheme="minorEastAsia"/>
                <w:lang w:eastAsia="en-US"/>
              </w:rPr>
              <w:t xml:space="preserve"> Papildināt likumprojektu ar jaunu 25.</w:t>
            </w:r>
            <w:r w:rsidR="00E3071B">
              <w:rPr>
                <w:rFonts w:eastAsiaTheme="minorEastAsia"/>
                <w:lang w:eastAsia="en-US"/>
              </w:rPr>
              <w:t xml:space="preserve"> </w:t>
            </w:r>
            <w:r w:rsidRPr="00C71189">
              <w:rPr>
                <w:rFonts w:eastAsiaTheme="minorEastAsia"/>
                <w:lang w:eastAsia="en-US"/>
              </w:rPr>
              <w:t>pantu attiecīgi mainot turpmāko pantu numerāciju šādā redakcijā:</w:t>
            </w:r>
          </w:p>
          <w:p w14:paraId="6A162DC2" w14:textId="7CD2CC26" w:rsidR="001B643E" w:rsidRPr="00C71189" w:rsidRDefault="001B643E" w:rsidP="00C71189">
            <w:pPr>
              <w:suppressAutoHyphens w:val="0"/>
              <w:spacing w:line="276" w:lineRule="auto"/>
              <w:jc w:val="both"/>
              <w:rPr>
                <w:lang w:eastAsia="lv-LV"/>
              </w:rPr>
            </w:pPr>
            <w:r w:rsidRPr="00C71189">
              <w:rPr>
                <w:rFonts w:eastAsiaTheme="minorEastAsia"/>
                <w:lang w:eastAsia="en-US"/>
              </w:rPr>
              <w:t xml:space="preserve">“Izteikt </w:t>
            </w:r>
            <w:r w:rsidRPr="00C71189">
              <w:rPr>
                <w:lang w:eastAsia="lv-LV"/>
              </w:rPr>
              <w:t>Dabas resursu nodokļa likuma 1.</w:t>
            </w:r>
            <w:r w:rsidR="00E3071B">
              <w:rPr>
                <w:lang w:eastAsia="lv-LV"/>
              </w:rPr>
              <w:t xml:space="preserve"> </w:t>
            </w:r>
            <w:r w:rsidRPr="00C71189">
              <w:rPr>
                <w:lang w:eastAsia="lv-LV"/>
              </w:rPr>
              <w:t>pielikum</w:t>
            </w:r>
            <w:bookmarkStart w:id="2" w:name="piel-710985"/>
            <w:bookmarkEnd w:id="2"/>
            <w:r w:rsidRPr="00C71189">
              <w:rPr>
                <w:lang w:eastAsia="lv-LV"/>
              </w:rPr>
              <w:t>u šādā redakcijā:</w:t>
            </w:r>
          </w:p>
          <w:p w14:paraId="6FE66768" w14:textId="77777777" w:rsidR="001B643E" w:rsidRPr="00C71189" w:rsidRDefault="001B643E" w:rsidP="00C71189">
            <w:pPr>
              <w:suppressAutoHyphens w:val="0"/>
              <w:jc w:val="center"/>
              <w:rPr>
                <w:b/>
                <w:bCs/>
                <w:lang w:val="en-US" w:eastAsia="lv-LV"/>
              </w:rPr>
            </w:pPr>
            <w:bookmarkStart w:id="3" w:name="710986"/>
            <w:bookmarkStart w:id="4" w:name="n-710986"/>
            <w:bookmarkEnd w:id="3"/>
            <w:bookmarkEnd w:id="4"/>
            <w:r w:rsidRPr="00C71189">
              <w:rPr>
                <w:b/>
                <w:bCs/>
                <w:lang w:val="en-US" w:eastAsia="lv-LV"/>
              </w:rPr>
              <w:t>Nodokļa likmes par dabas resursu ieguvi</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354"/>
              <w:gridCol w:w="1041"/>
              <w:gridCol w:w="1147"/>
              <w:gridCol w:w="1480"/>
              <w:gridCol w:w="1094"/>
              <w:gridCol w:w="927"/>
            </w:tblGrid>
            <w:tr w:rsidR="00C71189" w:rsidRPr="00C71189" w14:paraId="17B9FCF6" w14:textId="77777777" w:rsidTr="00E1433B">
              <w:tc>
                <w:tcPr>
                  <w:tcW w:w="279" w:type="pct"/>
                  <w:tcBorders>
                    <w:top w:val="outset" w:sz="6" w:space="0" w:color="414142"/>
                    <w:left w:val="outset" w:sz="6" w:space="0" w:color="414142"/>
                    <w:bottom w:val="outset" w:sz="6" w:space="0" w:color="414142"/>
                    <w:right w:val="outset" w:sz="6" w:space="0" w:color="414142"/>
                  </w:tcBorders>
                  <w:vAlign w:val="center"/>
                  <w:hideMark/>
                </w:tcPr>
                <w:p w14:paraId="7519EB40" w14:textId="77777777" w:rsidR="001B643E" w:rsidRPr="00C71189" w:rsidRDefault="001B643E" w:rsidP="00C71189">
                  <w:pPr>
                    <w:suppressAutoHyphens w:val="0"/>
                    <w:spacing w:before="195"/>
                    <w:jc w:val="center"/>
                    <w:rPr>
                      <w:lang w:val="en-US" w:eastAsia="lv-LV"/>
                    </w:rPr>
                  </w:pPr>
                  <w:r w:rsidRPr="00C71189">
                    <w:rPr>
                      <w:lang w:val="en-US" w:eastAsia="lv-LV"/>
                    </w:rPr>
                    <w:t>Nr. p. k.</w:t>
                  </w:r>
                </w:p>
              </w:tc>
              <w:tc>
                <w:tcPr>
                  <w:tcW w:w="1448" w:type="pct"/>
                  <w:tcBorders>
                    <w:top w:val="outset" w:sz="6" w:space="0" w:color="414142"/>
                    <w:left w:val="outset" w:sz="6" w:space="0" w:color="414142"/>
                    <w:bottom w:val="outset" w:sz="6" w:space="0" w:color="414142"/>
                    <w:right w:val="outset" w:sz="6" w:space="0" w:color="414142"/>
                  </w:tcBorders>
                  <w:vAlign w:val="center"/>
                  <w:hideMark/>
                </w:tcPr>
                <w:p w14:paraId="7E62FACB" w14:textId="77777777" w:rsidR="001B643E" w:rsidRPr="00C71189" w:rsidRDefault="001B643E" w:rsidP="00C71189">
                  <w:pPr>
                    <w:suppressAutoHyphens w:val="0"/>
                    <w:spacing w:before="195"/>
                    <w:jc w:val="center"/>
                    <w:rPr>
                      <w:lang w:val="en-US" w:eastAsia="lv-LV"/>
                    </w:rPr>
                  </w:pPr>
                  <w:r w:rsidRPr="00C71189">
                    <w:rPr>
                      <w:lang w:val="en-US" w:eastAsia="lv-LV"/>
                    </w:rPr>
                    <w:t>Resursu veids</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363C4A63" w14:textId="77777777" w:rsidR="001B643E" w:rsidRPr="00C71189" w:rsidRDefault="001B643E" w:rsidP="00C71189">
                  <w:pPr>
                    <w:suppressAutoHyphens w:val="0"/>
                    <w:spacing w:before="195"/>
                    <w:jc w:val="center"/>
                    <w:rPr>
                      <w:lang w:val="en-US" w:eastAsia="lv-LV"/>
                    </w:rPr>
                  </w:pPr>
                  <w:r w:rsidRPr="00C71189">
                    <w:rPr>
                      <w:lang w:val="en-US" w:eastAsia="lv-LV"/>
                    </w:rPr>
                    <w:t>Mērvienība</w:t>
                  </w:r>
                </w:p>
              </w:tc>
              <w:tc>
                <w:tcPr>
                  <w:tcW w:w="989" w:type="pct"/>
                  <w:tcBorders>
                    <w:top w:val="outset" w:sz="6" w:space="0" w:color="414142"/>
                    <w:left w:val="outset" w:sz="6" w:space="0" w:color="414142"/>
                    <w:bottom w:val="outset" w:sz="6" w:space="0" w:color="414142"/>
                    <w:right w:val="outset" w:sz="6" w:space="0" w:color="414142"/>
                  </w:tcBorders>
                  <w:vAlign w:val="center"/>
                  <w:hideMark/>
                </w:tcPr>
                <w:p w14:paraId="41FE8F8E" w14:textId="77777777" w:rsidR="001B643E" w:rsidRPr="00C71189" w:rsidRDefault="001B643E" w:rsidP="00C71189">
                  <w:pPr>
                    <w:suppressAutoHyphens w:val="0"/>
                    <w:spacing w:before="195"/>
                    <w:jc w:val="center"/>
                    <w:rPr>
                      <w:lang w:val="en-US" w:eastAsia="lv-LV"/>
                    </w:rPr>
                  </w:pPr>
                  <w:r w:rsidRPr="00C71189">
                    <w:rPr>
                      <w:lang w:val="en-US" w:eastAsia="lv-LV"/>
                    </w:rPr>
                    <w:t>Likme laikposmā no 2019. gada 1. janvāra līdz 2019. gada 31. decembrim (</w:t>
                  </w:r>
                  <w:r w:rsidRPr="00C71189">
                    <w:rPr>
                      <w:i/>
                      <w:iCs/>
                      <w:lang w:val="en-US" w:eastAsia="lv-LV"/>
                    </w:rPr>
                    <w:t>euro</w:t>
                  </w:r>
                  <w:r w:rsidRPr="00C71189">
                    <w:rPr>
                      <w:lang w:val="en-US" w:eastAsia="lv-LV"/>
                    </w:rPr>
                    <w:t>)</w:t>
                  </w:r>
                </w:p>
              </w:tc>
              <w:tc>
                <w:tcPr>
                  <w:tcW w:w="822" w:type="pct"/>
                  <w:tcBorders>
                    <w:top w:val="outset" w:sz="6" w:space="0" w:color="414142"/>
                    <w:left w:val="outset" w:sz="6" w:space="0" w:color="414142"/>
                    <w:bottom w:val="outset" w:sz="6" w:space="0" w:color="414142"/>
                    <w:right w:val="outset" w:sz="6" w:space="0" w:color="414142"/>
                  </w:tcBorders>
                  <w:hideMark/>
                </w:tcPr>
                <w:p w14:paraId="5DD62163" w14:textId="77777777" w:rsidR="001B643E" w:rsidRPr="00C71189" w:rsidRDefault="001B643E" w:rsidP="00C71189">
                  <w:pPr>
                    <w:suppressAutoHyphens w:val="0"/>
                    <w:spacing w:before="195"/>
                    <w:jc w:val="center"/>
                    <w:rPr>
                      <w:lang w:val="en-US" w:eastAsia="lv-LV"/>
                    </w:rPr>
                  </w:pPr>
                  <w:r w:rsidRPr="00C71189">
                    <w:rPr>
                      <w:lang w:val="en-US" w:eastAsia="lv-LV"/>
                    </w:rPr>
                    <w:t>Likme no 2020. gada 1. janvāra</w:t>
                  </w:r>
                  <w:r w:rsidRPr="00C71189">
                    <w:rPr>
                      <w:lang w:val="en-US" w:eastAsia="lv-LV"/>
                    </w:rPr>
                    <w:br/>
                    <w:t>(</w:t>
                  </w:r>
                  <w:r w:rsidRPr="00C71189">
                    <w:rPr>
                      <w:i/>
                      <w:iCs/>
                      <w:lang w:val="en-US" w:eastAsia="lv-LV"/>
                    </w:rPr>
                    <w:t>euro</w:t>
                  </w:r>
                  <w:r w:rsidRPr="00C71189">
                    <w:rPr>
                      <w:lang w:val="en-US" w:eastAsia="lv-LV"/>
                    </w:rPr>
                    <w:t>)</w:t>
                  </w:r>
                </w:p>
              </w:tc>
              <w:tc>
                <w:tcPr>
                  <w:tcW w:w="822" w:type="pct"/>
                  <w:tcBorders>
                    <w:top w:val="outset" w:sz="6" w:space="0" w:color="414142"/>
                    <w:left w:val="outset" w:sz="6" w:space="0" w:color="414142"/>
                    <w:bottom w:val="outset" w:sz="6" w:space="0" w:color="414142"/>
                    <w:right w:val="outset" w:sz="6" w:space="0" w:color="414142"/>
                  </w:tcBorders>
                  <w:vAlign w:val="center"/>
                </w:tcPr>
                <w:p w14:paraId="7ACBB4E5" w14:textId="77777777" w:rsidR="001B643E" w:rsidRPr="00C71189" w:rsidRDefault="001B643E" w:rsidP="00C71189">
                  <w:pPr>
                    <w:suppressAutoHyphens w:val="0"/>
                    <w:jc w:val="center"/>
                    <w:rPr>
                      <w:lang w:val="en-US" w:eastAsia="lv-LV"/>
                    </w:rPr>
                  </w:pPr>
                  <w:r w:rsidRPr="00C71189">
                    <w:rPr>
                      <w:lang w:val="en-US" w:eastAsia="lv-LV"/>
                    </w:rPr>
                    <w:t>Likme no 2022. gada 1.janvāra</w:t>
                  </w:r>
                </w:p>
                <w:p w14:paraId="73E79E8A" w14:textId="77777777" w:rsidR="001B643E" w:rsidRPr="00C71189" w:rsidRDefault="001B643E" w:rsidP="00C71189">
                  <w:pPr>
                    <w:suppressAutoHyphens w:val="0"/>
                    <w:jc w:val="center"/>
                    <w:rPr>
                      <w:lang w:val="en-US" w:eastAsia="lv-LV"/>
                    </w:rPr>
                  </w:pPr>
                  <w:r w:rsidRPr="00C71189">
                    <w:rPr>
                      <w:lang w:val="en-US" w:eastAsia="lv-LV"/>
                    </w:rPr>
                    <w:t>(euro)</w:t>
                  </w:r>
                </w:p>
              </w:tc>
            </w:tr>
            <w:tr w:rsidR="00C71189" w:rsidRPr="00C71189" w14:paraId="297462C2" w14:textId="77777777" w:rsidTr="00E1433B">
              <w:tc>
                <w:tcPr>
                  <w:tcW w:w="279" w:type="pct"/>
                  <w:tcBorders>
                    <w:top w:val="outset" w:sz="6" w:space="0" w:color="414142"/>
                    <w:left w:val="outset" w:sz="6" w:space="0" w:color="414142"/>
                    <w:bottom w:val="outset" w:sz="6" w:space="0" w:color="414142"/>
                    <w:right w:val="outset" w:sz="6" w:space="0" w:color="414142"/>
                  </w:tcBorders>
                  <w:hideMark/>
                </w:tcPr>
                <w:p w14:paraId="552A2156" w14:textId="77777777" w:rsidR="001B643E" w:rsidRPr="00C71189" w:rsidRDefault="001B643E" w:rsidP="00C71189">
                  <w:pPr>
                    <w:suppressAutoHyphens w:val="0"/>
                    <w:spacing w:before="195"/>
                    <w:jc w:val="center"/>
                    <w:rPr>
                      <w:lang w:val="en-US" w:eastAsia="lv-LV"/>
                    </w:rPr>
                  </w:pPr>
                  <w:r w:rsidRPr="00C71189">
                    <w:rPr>
                      <w:lang w:val="en-US" w:eastAsia="lv-LV"/>
                    </w:rPr>
                    <w:t>1.</w:t>
                  </w:r>
                </w:p>
              </w:tc>
              <w:tc>
                <w:tcPr>
                  <w:tcW w:w="1448" w:type="pct"/>
                  <w:tcBorders>
                    <w:top w:val="outset" w:sz="6" w:space="0" w:color="414142"/>
                    <w:left w:val="outset" w:sz="6" w:space="0" w:color="414142"/>
                    <w:bottom w:val="outset" w:sz="6" w:space="0" w:color="414142"/>
                    <w:right w:val="outset" w:sz="6" w:space="0" w:color="414142"/>
                  </w:tcBorders>
                  <w:hideMark/>
                </w:tcPr>
                <w:p w14:paraId="4C4DD461" w14:textId="77777777" w:rsidR="001B643E" w:rsidRPr="00C71189" w:rsidRDefault="001B643E" w:rsidP="00C71189">
                  <w:pPr>
                    <w:suppressAutoHyphens w:val="0"/>
                    <w:spacing w:before="195"/>
                    <w:rPr>
                      <w:lang w:val="en-US" w:eastAsia="lv-LV"/>
                    </w:rPr>
                  </w:pPr>
                  <w:r w:rsidRPr="00C71189">
                    <w:rPr>
                      <w:lang w:val="en-US" w:eastAsia="lv-LV"/>
                    </w:rPr>
                    <w:t>Augsne</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60D97BE8" w14:textId="77777777" w:rsidR="001B643E" w:rsidRPr="00C71189" w:rsidRDefault="001B643E" w:rsidP="00C71189">
                  <w:pPr>
                    <w:suppressAutoHyphens w:val="0"/>
                    <w:spacing w:before="195"/>
                    <w:jc w:val="center"/>
                    <w:rPr>
                      <w:lang w:val="en-US" w:eastAsia="lv-LV"/>
                    </w:rPr>
                  </w:pPr>
                  <w:r w:rsidRPr="00C71189">
                    <w:rPr>
                      <w:lang w:val="en-US" w:eastAsia="lv-LV"/>
                    </w:rPr>
                    <w:t>m</w:t>
                  </w:r>
                  <w:r w:rsidRPr="00C71189">
                    <w:rPr>
                      <w:vertAlign w:val="superscript"/>
                      <w:lang w:val="en-US" w:eastAsia="lv-LV"/>
                    </w:rPr>
                    <w:t>3</w:t>
                  </w:r>
                </w:p>
              </w:tc>
              <w:tc>
                <w:tcPr>
                  <w:tcW w:w="9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7357FD" w14:textId="77777777" w:rsidR="001B643E" w:rsidRPr="00C71189" w:rsidRDefault="001B643E" w:rsidP="00C71189">
                  <w:pPr>
                    <w:suppressAutoHyphens w:val="0"/>
                    <w:spacing w:before="195"/>
                    <w:jc w:val="center"/>
                    <w:rPr>
                      <w:lang w:val="en-US" w:eastAsia="lv-LV"/>
                    </w:rPr>
                  </w:pPr>
                  <w:r w:rsidRPr="00C71189">
                    <w:rPr>
                      <w:lang w:val="en-US" w:eastAsia="lv-LV"/>
                    </w:rPr>
                    <w:t>0,86</w:t>
                  </w:r>
                </w:p>
              </w:tc>
              <w:tc>
                <w:tcPr>
                  <w:tcW w:w="8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033D2E" w14:textId="77777777" w:rsidR="001B643E" w:rsidRPr="00C71189" w:rsidRDefault="001B643E" w:rsidP="00C71189">
                  <w:pPr>
                    <w:suppressAutoHyphens w:val="0"/>
                    <w:spacing w:before="195"/>
                    <w:jc w:val="center"/>
                    <w:rPr>
                      <w:lang w:val="en-US" w:eastAsia="lv-LV"/>
                    </w:rPr>
                  </w:pPr>
                  <w:r w:rsidRPr="00C71189">
                    <w:rPr>
                      <w:lang w:val="en-US" w:eastAsia="lv-LV"/>
                    </w:rPr>
                    <w:t>0,86</w:t>
                  </w:r>
                </w:p>
              </w:tc>
              <w:tc>
                <w:tcPr>
                  <w:tcW w:w="822" w:type="pct"/>
                  <w:tcBorders>
                    <w:top w:val="outset" w:sz="6" w:space="0" w:color="414142"/>
                    <w:left w:val="outset" w:sz="6" w:space="0" w:color="414142"/>
                    <w:bottom w:val="outset" w:sz="6" w:space="0" w:color="414142"/>
                    <w:right w:val="outset" w:sz="6" w:space="0" w:color="414142"/>
                  </w:tcBorders>
                  <w:shd w:val="clear" w:color="auto" w:fill="FFFFFF"/>
                </w:tcPr>
                <w:p w14:paraId="0D4EF75D" w14:textId="77777777" w:rsidR="001B643E" w:rsidRPr="00C71189" w:rsidRDefault="001B643E" w:rsidP="00C71189">
                  <w:pPr>
                    <w:suppressAutoHyphens w:val="0"/>
                    <w:spacing w:before="195"/>
                    <w:jc w:val="center"/>
                    <w:rPr>
                      <w:lang w:val="en-US" w:eastAsia="lv-LV"/>
                    </w:rPr>
                  </w:pPr>
                  <w:r w:rsidRPr="00C71189">
                    <w:rPr>
                      <w:lang w:val="en-US" w:eastAsia="lv-LV"/>
                    </w:rPr>
                    <w:t>1,72</w:t>
                  </w:r>
                </w:p>
              </w:tc>
            </w:tr>
            <w:tr w:rsidR="00C71189" w:rsidRPr="00C71189" w14:paraId="245FF4A9" w14:textId="77777777" w:rsidTr="00E1433B">
              <w:tc>
                <w:tcPr>
                  <w:tcW w:w="279" w:type="pct"/>
                  <w:tcBorders>
                    <w:top w:val="outset" w:sz="6" w:space="0" w:color="414142"/>
                    <w:left w:val="outset" w:sz="6" w:space="0" w:color="414142"/>
                    <w:bottom w:val="outset" w:sz="6" w:space="0" w:color="414142"/>
                    <w:right w:val="outset" w:sz="6" w:space="0" w:color="414142"/>
                  </w:tcBorders>
                  <w:hideMark/>
                </w:tcPr>
                <w:p w14:paraId="70FD7A40" w14:textId="77777777" w:rsidR="001B643E" w:rsidRPr="00C71189" w:rsidRDefault="001B643E" w:rsidP="00C71189">
                  <w:pPr>
                    <w:suppressAutoHyphens w:val="0"/>
                    <w:spacing w:before="195"/>
                    <w:jc w:val="center"/>
                    <w:rPr>
                      <w:lang w:val="en-US" w:eastAsia="lv-LV"/>
                    </w:rPr>
                  </w:pPr>
                  <w:r w:rsidRPr="00C71189">
                    <w:rPr>
                      <w:lang w:val="en-US" w:eastAsia="lv-LV"/>
                    </w:rPr>
                    <w:lastRenderedPageBreak/>
                    <w:t>2.</w:t>
                  </w:r>
                </w:p>
              </w:tc>
              <w:tc>
                <w:tcPr>
                  <w:tcW w:w="1448" w:type="pct"/>
                  <w:tcBorders>
                    <w:top w:val="outset" w:sz="6" w:space="0" w:color="414142"/>
                    <w:left w:val="outset" w:sz="6" w:space="0" w:color="414142"/>
                    <w:bottom w:val="outset" w:sz="6" w:space="0" w:color="414142"/>
                    <w:right w:val="outset" w:sz="6" w:space="0" w:color="414142"/>
                  </w:tcBorders>
                  <w:hideMark/>
                </w:tcPr>
                <w:p w14:paraId="4747D7EB" w14:textId="77777777" w:rsidR="001B643E" w:rsidRPr="00C71189" w:rsidRDefault="001B643E" w:rsidP="00C71189">
                  <w:pPr>
                    <w:suppressAutoHyphens w:val="0"/>
                    <w:spacing w:before="195"/>
                    <w:rPr>
                      <w:lang w:val="en-US" w:eastAsia="lv-LV"/>
                    </w:rPr>
                  </w:pPr>
                  <w:r w:rsidRPr="00C71189">
                    <w:rPr>
                      <w:lang w:val="en-US" w:eastAsia="lv-LV"/>
                    </w:rPr>
                    <w:t>Smilšmāls un mālsmilts, aleirīts</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2A333727" w14:textId="77777777" w:rsidR="001B643E" w:rsidRPr="00C71189" w:rsidRDefault="001B643E" w:rsidP="00C71189">
                  <w:pPr>
                    <w:suppressAutoHyphens w:val="0"/>
                    <w:spacing w:before="195"/>
                    <w:jc w:val="center"/>
                    <w:rPr>
                      <w:lang w:val="en-US" w:eastAsia="lv-LV"/>
                    </w:rPr>
                  </w:pPr>
                  <w:r w:rsidRPr="00C71189">
                    <w:rPr>
                      <w:lang w:val="en-US" w:eastAsia="lv-LV"/>
                    </w:rPr>
                    <w:t>m</w:t>
                  </w:r>
                  <w:r w:rsidRPr="00C71189">
                    <w:rPr>
                      <w:vertAlign w:val="superscript"/>
                      <w:lang w:val="en-US" w:eastAsia="lv-LV"/>
                    </w:rPr>
                    <w:t>3</w:t>
                  </w:r>
                </w:p>
              </w:tc>
              <w:tc>
                <w:tcPr>
                  <w:tcW w:w="9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79269" w14:textId="77777777" w:rsidR="001B643E" w:rsidRPr="00C71189" w:rsidRDefault="001B643E" w:rsidP="00C71189">
                  <w:pPr>
                    <w:suppressAutoHyphens w:val="0"/>
                    <w:spacing w:before="195"/>
                    <w:jc w:val="center"/>
                    <w:rPr>
                      <w:lang w:val="en-US" w:eastAsia="lv-LV"/>
                    </w:rPr>
                  </w:pPr>
                  <w:r w:rsidRPr="00C71189">
                    <w:rPr>
                      <w:lang w:val="en-US" w:eastAsia="lv-LV"/>
                    </w:rPr>
                    <w:t>0,14</w:t>
                  </w:r>
                </w:p>
              </w:tc>
              <w:tc>
                <w:tcPr>
                  <w:tcW w:w="8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8854F" w14:textId="77777777" w:rsidR="001B643E" w:rsidRPr="00C71189" w:rsidRDefault="001B643E" w:rsidP="00C71189">
                  <w:pPr>
                    <w:suppressAutoHyphens w:val="0"/>
                    <w:spacing w:before="195"/>
                    <w:jc w:val="center"/>
                    <w:rPr>
                      <w:lang w:val="en-US" w:eastAsia="lv-LV"/>
                    </w:rPr>
                  </w:pPr>
                  <w:r w:rsidRPr="00C71189">
                    <w:rPr>
                      <w:lang w:val="en-US" w:eastAsia="lv-LV"/>
                    </w:rPr>
                    <w:t>0,14</w:t>
                  </w:r>
                </w:p>
              </w:tc>
              <w:tc>
                <w:tcPr>
                  <w:tcW w:w="822" w:type="pct"/>
                  <w:tcBorders>
                    <w:top w:val="outset" w:sz="6" w:space="0" w:color="414142"/>
                    <w:left w:val="outset" w:sz="6" w:space="0" w:color="414142"/>
                    <w:bottom w:val="outset" w:sz="6" w:space="0" w:color="414142"/>
                    <w:right w:val="outset" w:sz="6" w:space="0" w:color="414142"/>
                  </w:tcBorders>
                  <w:shd w:val="clear" w:color="auto" w:fill="FFFFFF"/>
                </w:tcPr>
                <w:p w14:paraId="7DBF0641" w14:textId="77777777" w:rsidR="001B643E" w:rsidRPr="00C71189" w:rsidRDefault="001B643E" w:rsidP="00C71189">
                  <w:pPr>
                    <w:suppressAutoHyphens w:val="0"/>
                    <w:spacing w:before="195"/>
                    <w:jc w:val="center"/>
                    <w:rPr>
                      <w:lang w:val="en-US" w:eastAsia="lv-LV"/>
                    </w:rPr>
                  </w:pPr>
                  <w:r w:rsidRPr="00C71189">
                    <w:rPr>
                      <w:lang w:val="en-US" w:eastAsia="lv-LV"/>
                    </w:rPr>
                    <w:t>0,28</w:t>
                  </w:r>
                </w:p>
              </w:tc>
            </w:tr>
            <w:tr w:rsidR="00C71189" w:rsidRPr="00C71189" w14:paraId="65655980" w14:textId="77777777" w:rsidTr="00E1433B">
              <w:tc>
                <w:tcPr>
                  <w:tcW w:w="279" w:type="pct"/>
                  <w:tcBorders>
                    <w:top w:val="outset" w:sz="6" w:space="0" w:color="414142"/>
                    <w:left w:val="outset" w:sz="6" w:space="0" w:color="414142"/>
                    <w:bottom w:val="outset" w:sz="6" w:space="0" w:color="414142"/>
                    <w:right w:val="outset" w:sz="6" w:space="0" w:color="414142"/>
                  </w:tcBorders>
                  <w:hideMark/>
                </w:tcPr>
                <w:p w14:paraId="1039B36A" w14:textId="77777777" w:rsidR="001B643E" w:rsidRPr="00C71189" w:rsidRDefault="001B643E" w:rsidP="00C71189">
                  <w:pPr>
                    <w:suppressAutoHyphens w:val="0"/>
                    <w:spacing w:before="195"/>
                    <w:jc w:val="center"/>
                    <w:rPr>
                      <w:lang w:val="en-US" w:eastAsia="lv-LV"/>
                    </w:rPr>
                  </w:pPr>
                  <w:r w:rsidRPr="00C71189">
                    <w:rPr>
                      <w:lang w:val="en-US" w:eastAsia="lv-LV"/>
                    </w:rPr>
                    <w:t>3.</w:t>
                  </w:r>
                </w:p>
              </w:tc>
              <w:tc>
                <w:tcPr>
                  <w:tcW w:w="1448" w:type="pct"/>
                  <w:tcBorders>
                    <w:top w:val="outset" w:sz="6" w:space="0" w:color="414142"/>
                    <w:left w:val="outset" w:sz="6" w:space="0" w:color="414142"/>
                    <w:bottom w:val="outset" w:sz="6" w:space="0" w:color="414142"/>
                    <w:right w:val="outset" w:sz="6" w:space="0" w:color="414142"/>
                  </w:tcBorders>
                  <w:hideMark/>
                </w:tcPr>
                <w:p w14:paraId="10A4AFF2" w14:textId="77777777" w:rsidR="001B643E" w:rsidRPr="00C71189" w:rsidRDefault="001B643E" w:rsidP="00C71189">
                  <w:pPr>
                    <w:suppressAutoHyphens w:val="0"/>
                    <w:spacing w:before="195"/>
                    <w:rPr>
                      <w:lang w:val="en-US" w:eastAsia="lv-LV"/>
                    </w:rPr>
                  </w:pPr>
                  <w:r w:rsidRPr="00C71189">
                    <w:rPr>
                      <w:lang w:val="en-US" w:eastAsia="lv-LV"/>
                    </w:rPr>
                    <w:t>Kvarca smilts</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18FE8081" w14:textId="77777777" w:rsidR="001B643E" w:rsidRPr="00C71189" w:rsidRDefault="001B643E" w:rsidP="00C71189">
                  <w:pPr>
                    <w:suppressAutoHyphens w:val="0"/>
                    <w:spacing w:before="195"/>
                    <w:jc w:val="center"/>
                    <w:rPr>
                      <w:lang w:val="en-US" w:eastAsia="lv-LV"/>
                    </w:rPr>
                  </w:pPr>
                  <w:r w:rsidRPr="00C71189">
                    <w:rPr>
                      <w:lang w:val="en-US" w:eastAsia="lv-LV"/>
                    </w:rPr>
                    <w:t>m</w:t>
                  </w:r>
                  <w:r w:rsidRPr="00C71189">
                    <w:rPr>
                      <w:vertAlign w:val="superscript"/>
                      <w:lang w:val="en-US" w:eastAsia="lv-LV"/>
                    </w:rPr>
                    <w:t>3</w:t>
                  </w:r>
                </w:p>
              </w:tc>
              <w:tc>
                <w:tcPr>
                  <w:tcW w:w="9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948111" w14:textId="77777777" w:rsidR="001B643E" w:rsidRPr="00C71189" w:rsidRDefault="001B643E" w:rsidP="00C71189">
                  <w:pPr>
                    <w:suppressAutoHyphens w:val="0"/>
                    <w:spacing w:before="195"/>
                    <w:jc w:val="center"/>
                    <w:rPr>
                      <w:lang w:val="en-US" w:eastAsia="lv-LV"/>
                    </w:rPr>
                  </w:pPr>
                  <w:r w:rsidRPr="00C71189">
                    <w:rPr>
                      <w:lang w:val="en-US" w:eastAsia="lv-LV"/>
                    </w:rPr>
                    <w:t>0,45</w:t>
                  </w:r>
                </w:p>
              </w:tc>
              <w:tc>
                <w:tcPr>
                  <w:tcW w:w="8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286FD3" w14:textId="77777777" w:rsidR="001B643E" w:rsidRPr="00C71189" w:rsidRDefault="001B643E" w:rsidP="00C71189">
                  <w:pPr>
                    <w:suppressAutoHyphens w:val="0"/>
                    <w:spacing w:before="195"/>
                    <w:jc w:val="center"/>
                    <w:rPr>
                      <w:lang w:val="en-US" w:eastAsia="lv-LV"/>
                    </w:rPr>
                  </w:pPr>
                  <w:r w:rsidRPr="00C71189">
                    <w:rPr>
                      <w:lang w:val="en-US" w:eastAsia="lv-LV"/>
                    </w:rPr>
                    <w:t>0,45</w:t>
                  </w:r>
                </w:p>
              </w:tc>
              <w:tc>
                <w:tcPr>
                  <w:tcW w:w="822" w:type="pct"/>
                  <w:tcBorders>
                    <w:top w:val="outset" w:sz="6" w:space="0" w:color="414142"/>
                    <w:left w:val="outset" w:sz="6" w:space="0" w:color="414142"/>
                    <w:bottom w:val="outset" w:sz="6" w:space="0" w:color="414142"/>
                    <w:right w:val="outset" w:sz="6" w:space="0" w:color="414142"/>
                  </w:tcBorders>
                  <w:shd w:val="clear" w:color="auto" w:fill="FFFFFF"/>
                </w:tcPr>
                <w:p w14:paraId="3C56B4DD" w14:textId="77777777" w:rsidR="001B643E" w:rsidRPr="00C71189" w:rsidRDefault="001B643E" w:rsidP="00C71189">
                  <w:pPr>
                    <w:suppressAutoHyphens w:val="0"/>
                    <w:spacing w:before="195"/>
                    <w:jc w:val="center"/>
                    <w:rPr>
                      <w:lang w:val="en-US" w:eastAsia="lv-LV"/>
                    </w:rPr>
                  </w:pPr>
                  <w:r w:rsidRPr="00C71189">
                    <w:rPr>
                      <w:lang w:val="en-US" w:eastAsia="lv-LV"/>
                    </w:rPr>
                    <w:t>0,90</w:t>
                  </w:r>
                </w:p>
              </w:tc>
            </w:tr>
            <w:tr w:rsidR="00C71189" w:rsidRPr="00C71189" w14:paraId="49587A3E" w14:textId="77777777" w:rsidTr="00E1433B">
              <w:tc>
                <w:tcPr>
                  <w:tcW w:w="279" w:type="pct"/>
                  <w:tcBorders>
                    <w:top w:val="outset" w:sz="6" w:space="0" w:color="414142"/>
                    <w:left w:val="outset" w:sz="6" w:space="0" w:color="414142"/>
                    <w:bottom w:val="outset" w:sz="6" w:space="0" w:color="414142"/>
                    <w:right w:val="outset" w:sz="6" w:space="0" w:color="414142"/>
                  </w:tcBorders>
                  <w:hideMark/>
                </w:tcPr>
                <w:p w14:paraId="7C276DD2" w14:textId="77777777" w:rsidR="001B643E" w:rsidRPr="00C71189" w:rsidRDefault="001B643E" w:rsidP="00C71189">
                  <w:pPr>
                    <w:suppressAutoHyphens w:val="0"/>
                    <w:spacing w:before="195"/>
                    <w:jc w:val="center"/>
                    <w:rPr>
                      <w:lang w:val="en-US" w:eastAsia="lv-LV"/>
                    </w:rPr>
                  </w:pPr>
                  <w:r w:rsidRPr="00C71189">
                    <w:rPr>
                      <w:lang w:val="en-US" w:eastAsia="lv-LV"/>
                    </w:rPr>
                    <w:t>4.</w:t>
                  </w:r>
                </w:p>
              </w:tc>
              <w:tc>
                <w:tcPr>
                  <w:tcW w:w="1448" w:type="pct"/>
                  <w:tcBorders>
                    <w:top w:val="outset" w:sz="6" w:space="0" w:color="414142"/>
                    <w:left w:val="outset" w:sz="6" w:space="0" w:color="414142"/>
                    <w:bottom w:val="outset" w:sz="6" w:space="0" w:color="414142"/>
                    <w:right w:val="outset" w:sz="6" w:space="0" w:color="414142"/>
                  </w:tcBorders>
                  <w:hideMark/>
                </w:tcPr>
                <w:p w14:paraId="0FAD07D4" w14:textId="77777777" w:rsidR="001B643E" w:rsidRPr="00C71189" w:rsidRDefault="001B643E" w:rsidP="00C71189">
                  <w:pPr>
                    <w:suppressAutoHyphens w:val="0"/>
                    <w:spacing w:before="195"/>
                    <w:rPr>
                      <w:lang w:val="en-US" w:eastAsia="lv-LV"/>
                    </w:rPr>
                  </w:pPr>
                  <w:r w:rsidRPr="00C71189">
                    <w:rPr>
                      <w:lang w:val="en-US" w:eastAsia="lv-LV"/>
                    </w:rPr>
                    <w:t>Smilts</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7C121146" w14:textId="77777777" w:rsidR="001B643E" w:rsidRPr="00C71189" w:rsidRDefault="001B643E" w:rsidP="00C71189">
                  <w:pPr>
                    <w:suppressAutoHyphens w:val="0"/>
                    <w:spacing w:before="195"/>
                    <w:jc w:val="center"/>
                    <w:rPr>
                      <w:lang w:val="en-US" w:eastAsia="lv-LV"/>
                    </w:rPr>
                  </w:pPr>
                  <w:r w:rsidRPr="00C71189">
                    <w:rPr>
                      <w:lang w:val="en-US" w:eastAsia="lv-LV"/>
                    </w:rPr>
                    <w:t>m</w:t>
                  </w:r>
                  <w:r w:rsidRPr="00C71189">
                    <w:rPr>
                      <w:vertAlign w:val="superscript"/>
                      <w:lang w:val="en-US" w:eastAsia="lv-LV"/>
                    </w:rPr>
                    <w:t>3</w:t>
                  </w:r>
                </w:p>
              </w:tc>
              <w:tc>
                <w:tcPr>
                  <w:tcW w:w="9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2DB2A6" w14:textId="77777777" w:rsidR="001B643E" w:rsidRPr="00C71189" w:rsidRDefault="001B643E" w:rsidP="00C71189">
                  <w:pPr>
                    <w:suppressAutoHyphens w:val="0"/>
                    <w:spacing w:before="195"/>
                    <w:jc w:val="center"/>
                    <w:rPr>
                      <w:lang w:val="en-US" w:eastAsia="lv-LV"/>
                    </w:rPr>
                  </w:pPr>
                  <w:r w:rsidRPr="00C71189">
                    <w:rPr>
                      <w:lang w:val="en-US" w:eastAsia="lv-LV"/>
                    </w:rPr>
                    <w:t>0,21</w:t>
                  </w:r>
                </w:p>
              </w:tc>
              <w:tc>
                <w:tcPr>
                  <w:tcW w:w="8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2B6CD5" w14:textId="77777777" w:rsidR="001B643E" w:rsidRPr="00C71189" w:rsidRDefault="001B643E" w:rsidP="00C71189">
                  <w:pPr>
                    <w:suppressAutoHyphens w:val="0"/>
                    <w:spacing w:before="195"/>
                    <w:jc w:val="center"/>
                    <w:rPr>
                      <w:lang w:val="en-US" w:eastAsia="lv-LV"/>
                    </w:rPr>
                  </w:pPr>
                  <w:r w:rsidRPr="00C71189">
                    <w:rPr>
                      <w:lang w:val="en-US" w:eastAsia="lv-LV"/>
                    </w:rPr>
                    <w:t>0,36</w:t>
                  </w:r>
                </w:p>
              </w:tc>
              <w:tc>
                <w:tcPr>
                  <w:tcW w:w="822" w:type="pct"/>
                  <w:tcBorders>
                    <w:top w:val="outset" w:sz="6" w:space="0" w:color="414142"/>
                    <w:left w:val="outset" w:sz="6" w:space="0" w:color="414142"/>
                    <w:bottom w:val="outset" w:sz="6" w:space="0" w:color="414142"/>
                    <w:right w:val="outset" w:sz="6" w:space="0" w:color="414142"/>
                  </w:tcBorders>
                  <w:shd w:val="clear" w:color="auto" w:fill="FFFFFF"/>
                </w:tcPr>
                <w:p w14:paraId="7CFB221C" w14:textId="77777777" w:rsidR="001B643E" w:rsidRPr="00C71189" w:rsidRDefault="001B643E" w:rsidP="00C71189">
                  <w:pPr>
                    <w:suppressAutoHyphens w:val="0"/>
                    <w:spacing w:before="195"/>
                    <w:jc w:val="center"/>
                    <w:rPr>
                      <w:lang w:val="en-US" w:eastAsia="lv-LV"/>
                    </w:rPr>
                  </w:pPr>
                  <w:r w:rsidRPr="00C71189">
                    <w:rPr>
                      <w:lang w:val="en-US" w:eastAsia="lv-LV"/>
                    </w:rPr>
                    <w:t>0,72</w:t>
                  </w:r>
                </w:p>
              </w:tc>
            </w:tr>
            <w:tr w:rsidR="00C71189" w:rsidRPr="00C71189" w14:paraId="24556DD4" w14:textId="77777777" w:rsidTr="00E1433B">
              <w:tc>
                <w:tcPr>
                  <w:tcW w:w="279" w:type="pct"/>
                  <w:tcBorders>
                    <w:top w:val="outset" w:sz="6" w:space="0" w:color="414142"/>
                    <w:left w:val="outset" w:sz="6" w:space="0" w:color="414142"/>
                    <w:bottom w:val="outset" w:sz="6" w:space="0" w:color="414142"/>
                    <w:right w:val="outset" w:sz="6" w:space="0" w:color="414142"/>
                  </w:tcBorders>
                  <w:hideMark/>
                </w:tcPr>
                <w:p w14:paraId="62566FEB" w14:textId="77777777" w:rsidR="001B643E" w:rsidRPr="00C71189" w:rsidRDefault="001B643E" w:rsidP="00C71189">
                  <w:pPr>
                    <w:suppressAutoHyphens w:val="0"/>
                    <w:spacing w:before="195"/>
                    <w:jc w:val="center"/>
                    <w:rPr>
                      <w:lang w:val="en-US" w:eastAsia="lv-LV"/>
                    </w:rPr>
                  </w:pPr>
                  <w:r w:rsidRPr="00C71189">
                    <w:rPr>
                      <w:lang w:val="en-US" w:eastAsia="lv-LV"/>
                    </w:rPr>
                    <w:t>5.</w:t>
                  </w:r>
                </w:p>
              </w:tc>
              <w:tc>
                <w:tcPr>
                  <w:tcW w:w="1448" w:type="pct"/>
                  <w:tcBorders>
                    <w:top w:val="outset" w:sz="6" w:space="0" w:color="414142"/>
                    <w:left w:val="outset" w:sz="6" w:space="0" w:color="414142"/>
                    <w:bottom w:val="outset" w:sz="6" w:space="0" w:color="414142"/>
                    <w:right w:val="outset" w:sz="6" w:space="0" w:color="414142"/>
                  </w:tcBorders>
                  <w:hideMark/>
                </w:tcPr>
                <w:p w14:paraId="29106A95" w14:textId="77777777" w:rsidR="001B643E" w:rsidRPr="00C71189" w:rsidRDefault="001B643E" w:rsidP="00C71189">
                  <w:pPr>
                    <w:suppressAutoHyphens w:val="0"/>
                    <w:spacing w:before="195"/>
                    <w:rPr>
                      <w:lang w:val="en-US" w:eastAsia="lv-LV"/>
                    </w:rPr>
                  </w:pPr>
                  <w:r w:rsidRPr="00C71189">
                    <w:rPr>
                      <w:lang w:val="en-US" w:eastAsia="lv-LV"/>
                    </w:rPr>
                    <w:t>Smilts-grants</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75D5924B" w14:textId="77777777" w:rsidR="001B643E" w:rsidRPr="00C71189" w:rsidRDefault="001B643E" w:rsidP="00C71189">
                  <w:pPr>
                    <w:suppressAutoHyphens w:val="0"/>
                    <w:spacing w:before="195"/>
                    <w:jc w:val="center"/>
                    <w:rPr>
                      <w:lang w:val="en-US" w:eastAsia="lv-LV"/>
                    </w:rPr>
                  </w:pPr>
                  <w:r w:rsidRPr="00C71189">
                    <w:rPr>
                      <w:lang w:val="en-US" w:eastAsia="lv-LV"/>
                    </w:rPr>
                    <w:t>m</w:t>
                  </w:r>
                  <w:r w:rsidRPr="00C71189">
                    <w:rPr>
                      <w:vertAlign w:val="superscript"/>
                      <w:lang w:val="en-US" w:eastAsia="lv-LV"/>
                    </w:rPr>
                    <w:t>3</w:t>
                  </w:r>
                </w:p>
              </w:tc>
              <w:tc>
                <w:tcPr>
                  <w:tcW w:w="9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5A41FB" w14:textId="77777777" w:rsidR="001B643E" w:rsidRPr="00C71189" w:rsidRDefault="001B643E" w:rsidP="00C71189">
                  <w:pPr>
                    <w:suppressAutoHyphens w:val="0"/>
                    <w:spacing w:before="195"/>
                    <w:jc w:val="center"/>
                    <w:rPr>
                      <w:lang w:val="en-US" w:eastAsia="lv-LV"/>
                    </w:rPr>
                  </w:pPr>
                  <w:r w:rsidRPr="00C71189">
                    <w:rPr>
                      <w:lang w:val="en-US" w:eastAsia="lv-LV"/>
                    </w:rPr>
                    <w:t>0,36</w:t>
                  </w:r>
                </w:p>
              </w:tc>
              <w:tc>
                <w:tcPr>
                  <w:tcW w:w="8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A2020B" w14:textId="77777777" w:rsidR="001B643E" w:rsidRPr="00C71189" w:rsidRDefault="001B643E" w:rsidP="00C71189">
                  <w:pPr>
                    <w:suppressAutoHyphens w:val="0"/>
                    <w:spacing w:before="195"/>
                    <w:jc w:val="center"/>
                    <w:rPr>
                      <w:lang w:val="en-US" w:eastAsia="lv-LV"/>
                    </w:rPr>
                  </w:pPr>
                  <w:r w:rsidRPr="00C71189">
                    <w:rPr>
                      <w:lang w:val="en-US" w:eastAsia="lv-LV"/>
                    </w:rPr>
                    <w:t>0,36</w:t>
                  </w:r>
                </w:p>
              </w:tc>
              <w:tc>
                <w:tcPr>
                  <w:tcW w:w="822" w:type="pct"/>
                  <w:tcBorders>
                    <w:top w:val="outset" w:sz="6" w:space="0" w:color="414142"/>
                    <w:left w:val="outset" w:sz="6" w:space="0" w:color="414142"/>
                    <w:bottom w:val="outset" w:sz="6" w:space="0" w:color="414142"/>
                    <w:right w:val="outset" w:sz="6" w:space="0" w:color="414142"/>
                  </w:tcBorders>
                  <w:shd w:val="clear" w:color="auto" w:fill="FFFFFF"/>
                </w:tcPr>
                <w:p w14:paraId="24351AE4" w14:textId="77777777" w:rsidR="001B643E" w:rsidRPr="00C71189" w:rsidRDefault="001B643E" w:rsidP="00C71189">
                  <w:pPr>
                    <w:suppressAutoHyphens w:val="0"/>
                    <w:spacing w:before="195"/>
                    <w:jc w:val="center"/>
                    <w:rPr>
                      <w:lang w:val="en-US" w:eastAsia="lv-LV"/>
                    </w:rPr>
                  </w:pPr>
                  <w:r w:rsidRPr="00C71189">
                    <w:rPr>
                      <w:lang w:val="en-US" w:eastAsia="lv-LV"/>
                    </w:rPr>
                    <w:t>0,72</w:t>
                  </w:r>
                </w:p>
              </w:tc>
            </w:tr>
          </w:tbl>
          <w:p w14:paraId="554517C6" w14:textId="77777777" w:rsidR="001B643E" w:rsidRPr="00C71189" w:rsidRDefault="001B643E" w:rsidP="00C71189">
            <w:pPr>
              <w:pStyle w:val="naisc"/>
              <w:spacing w:before="0" w:after="0"/>
              <w:jc w:val="left"/>
              <w:rPr>
                <w:b/>
              </w:rPr>
            </w:pP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70CEA76C" w14:textId="77777777" w:rsidR="00EC7E7B" w:rsidRPr="00C17D0B" w:rsidRDefault="00EC7E7B" w:rsidP="00EC7E7B">
            <w:pPr>
              <w:pStyle w:val="naisc"/>
              <w:jc w:val="both"/>
              <w:rPr>
                <w:b/>
                <w:bCs/>
              </w:rPr>
            </w:pPr>
            <w:r>
              <w:rPr>
                <w:b/>
                <w:bCs/>
              </w:rPr>
              <w:lastRenderedPageBreak/>
              <w:t>Ņ</w:t>
            </w:r>
            <w:r w:rsidRPr="00C17D0B">
              <w:rPr>
                <w:b/>
                <w:bCs/>
              </w:rPr>
              <w:t>emts vērā.</w:t>
            </w:r>
          </w:p>
          <w:p w14:paraId="56ADD84D" w14:textId="1C22489B" w:rsidR="001B643E" w:rsidRPr="00C71189" w:rsidRDefault="00EC7E7B" w:rsidP="00EC7E7B">
            <w:pPr>
              <w:pStyle w:val="naisc"/>
              <w:spacing w:before="0" w:after="0" w:line="259" w:lineRule="auto"/>
              <w:jc w:val="both"/>
              <w:rPr>
                <w:lang w:val="en-US"/>
              </w:rPr>
            </w:pPr>
            <w:r>
              <w:t>Ievērojot kvarca smilts izmantošanas specifiku (stikla ražošana), nav pamatoti celt nodokļa likmi dubultā par kvarca smilts ieguvi, lai veicinātu kompostēšanas, bioloģijas apstrādes vai būvgružu šķirošanas materiālu izmantošanu tautsaimniecībā</w:t>
            </w:r>
            <w:r w:rsidR="004049A9">
              <w:t>, tāpēc piemērots mazāks</w:t>
            </w:r>
            <w:r w:rsidR="0007755F">
              <w:t xml:space="preserve"> likmes</w:t>
            </w:r>
            <w:r w:rsidR="004049A9">
              <w:t xml:space="preserve"> </w:t>
            </w:r>
            <w:r w:rsidR="0007755F">
              <w:t>palielinājums</w:t>
            </w:r>
          </w:p>
        </w:tc>
      </w:tr>
      <w:tr w:rsidR="00C71189" w:rsidRPr="00C71189" w14:paraId="1BAC497D" w14:textId="77777777" w:rsidTr="00657982">
        <w:tc>
          <w:tcPr>
            <w:tcW w:w="627" w:type="dxa"/>
            <w:tcBorders>
              <w:top w:val="single" w:sz="6" w:space="0" w:color="000000" w:themeColor="text1"/>
              <w:left w:val="single" w:sz="6" w:space="0" w:color="000000" w:themeColor="text1"/>
              <w:bottom w:val="single" w:sz="6" w:space="0" w:color="000000" w:themeColor="text1"/>
            </w:tcBorders>
            <w:shd w:val="clear" w:color="auto" w:fill="DBDBDB" w:themeFill="accent3" w:themeFillTint="66"/>
          </w:tcPr>
          <w:p w14:paraId="0E3FE7EE" w14:textId="77777777" w:rsidR="00364E19" w:rsidRPr="00C71189" w:rsidRDefault="00364E19" w:rsidP="00C71189">
            <w:pPr>
              <w:pStyle w:val="naisc"/>
              <w:numPr>
                <w:ilvl w:val="1"/>
                <w:numId w:val="5"/>
              </w:numPr>
              <w:tabs>
                <w:tab w:val="clear" w:pos="1080"/>
              </w:tabs>
              <w:spacing w:before="0" w:after="0"/>
              <w:ind w:left="361" w:right="317"/>
              <w:jc w:val="left"/>
            </w:pPr>
          </w:p>
        </w:tc>
        <w:tc>
          <w:tcPr>
            <w:tcW w:w="14009" w:type="dxa"/>
            <w:gridSpan w:val="3"/>
            <w:tcBorders>
              <w:top w:val="single" w:sz="6" w:space="0" w:color="000000" w:themeColor="text1"/>
              <w:left w:val="single" w:sz="6" w:space="0" w:color="000000" w:themeColor="text1"/>
              <w:bottom w:val="single" w:sz="6" w:space="0" w:color="000000" w:themeColor="text1"/>
              <w:right w:val="single" w:sz="4" w:space="0" w:color="auto"/>
            </w:tcBorders>
            <w:shd w:val="clear" w:color="auto" w:fill="DBDBDB" w:themeFill="accent3" w:themeFillTint="66"/>
          </w:tcPr>
          <w:p w14:paraId="50DBCF4B" w14:textId="56B37B45" w:rsidR="00364E19" w:rsidRPr="00C71189" w:rsidRDefault="00364E19" w:rsidP="00C71189">
            <w:pPr>
              <w:pStyle w:val="naisc"/>
              <w:spacing w:before="0" w:after="0"/>
              <w:rPr>
                <w:b/>
                <w:bCs/>
              </w:rPr>
            </w:pPr>
            <w:r w:rsidRPr="00C71189">
              <w:rPr>
                <w:b/>
                <w:bCs/>
              </w:rPr>
              <w:t>Biedrības “Latvijas Iepakojuma asociācija” 10.06.2021. viedoklis</w:t>
            </w:r>
          </w:p>
        </w:tc>
      </w:tr>
      <w:tr w:rsidR="00C71189" w:rsidRPr="00C71189" w14:paraId="7156DD02"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12C779B4" w14:textId="77777777" w:rsidR="00364E19" w:rsidRPr="00C71189" w:rsidRDefault="00364E19" w:rsidP="00C71189">
            <w:pPr>
              <w:pStyle w:val="naisc"/>
              <w:numPr>
                <w:ilvl w:val="1"/>
                <w:numId w:val="5"/>
              </w:numPr>
              <w:tabs>
                <w:tab w:val="clear" w:pos="1080"/>
              </w:tabs>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09949907" w14:textId="5E384C00" w:rsidR="00364E19" w:rsidRPr="00C71189" w:rsidRDefault="00364E19" w:rsidP="00C71189">
            <w:pPr>
              <w:spacing w:before="120"/>
              <w:jc w:val="both"/>
              <w:rPr>
                <w:b/>
                <w:bCs/>
              </w:rPr>
            </w:pPr>
            <w:r w:rsidRPr="00C71189">
              <w:rPr>
                <w:b/>
                <w:bCs/>
              </w:rPr>
              <w:t>Likumprojekta 28. panta likuma 7. pielikums.</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174914AA" w14:textId="4A4D9FA2" w:rsidR="00364E19" w:rsidRPr="00C71189" w:rsidRDefault="00364E19" w:rsidP="00C71189">
            <w:pPr>
              <w:jc w:val="both"/>
            </w:pPr>
            <w:r w:rsidRPr="00C71189">
              <w:t xml:space="preserve">1. attiecībā uz 7. pielikuma tabulu „Nodokļa likmes par preču un izstrādājumu iepakojumu un vienreiz lietojamiem galda traukiem un piederumiem”, kurā 6. un 7. punktos </w:t>
            </w:r>
          </w:p>
          <w:p w14:paraId="69AA88FC" w14:textId="77777777" w:rsidR="00364E19" w:rsidRPr="00C71189" w:rsidRDefault="00364E19" w:rsidP="00C71189">
            <w:pPr>
              <w:jc w:val="both"/>
            </w:pPr>
            <w:r w:rsidRPr="00C71189">
              <w:t xml:space="preserve">norādītas likmes par 1 kg materiālu veidiem POLISTIROLA MASA un POLISTIROLA PUTUPLASTS:   </w:t>
            </w:r>
          </w:p>
          <w:p w14:paraId="4E561379" w14:textId="77777777" w:rsidR="00364E19" w:rsidRPr="00C71189" w:rsidRDefault="00364E19" w:rsidP="00C71189">
            <w:pPr>
              <w:jc w:val="both"/>
            </w:pPr>
            <w:r w:rsidRPr="00C71189">
              <w:t xml:space="preserve">1.1. polistirols (PS) ir ciets, trausls, caurspīdīgs un stiklains polimērs, ko iegūst, polimerizējot stirolu; un, lai samazinātu tīra polistirola trauslumu, to kopolimerizē, iegūstot necaurspīdīgu materiālu; </w:t>
            </w:r>
          </w:p>
          <w:p w14:paraId="5735E053" w14:textId="77777777" w:rsidR="00364E19" w:rsidRPr="00C71189" w:rsidRDefault="00364E19" w:rsidP="00C71189">
            <w:pPr>
              <w:jc w:val="both"/>
            </w:pPr>
            <w:r w:rsidRPr="00C71189">
              <w:t>1.2. putu polistirols (EPS) jeb tautā dēvētais putuplasts ir viegls, blīvs materiāls, kas iegūts, formējot uzputotas polistirola granulas (sastāvs: putu polistirols 2 %, gaiss 98 %); un ir viens no izplatītākajiem putuplasta veidiem.</w:t>
            </w:r>
          </w:p>
          <w:p w14:paraId="24BF6295" w14:textId="48EBA20C" w:rsidR="00364E19" w:rsidRPr="00C71189" w:rsidRDefault="00364E19" w:rsidP="00C71189">
            <w:pPr>
              <w:suppressAutoHyphens w:val="0"/>
              <w:jc w:val="both"/>
              <w:rPr>
                <w:rFonts w:eastAsiaTheme="minorEastAsia"/>
                <w:b/>
                <w:lang w:eastAsia="en-US"/>
              </w:rPr>
            </w:pPr>
            <w:r w:rsidRPr="00C71189">
              <w:t xml:space="preserve">Kāds turpmāk būs PS un EPS ciparu kods? Ja PS ir 6, tad – vai EPS kods arī būs 6? Vai plānots Ministru kabineta noteikumos mainīt / papildināt PS iepakojuma materiālu apzīmējumus un ciparu kodus, lai nodrošinātu PS materiālu atpazīšanu, sekmīgu apsaimniekošanu un sabiedrības informēšanu un izglītošanu? Terminoloģiski ierosinām lietot PUTU POLISTIROLS, kas skaidrāk nosauc materiāla veidu un pievērš uzmanību atšķirībai </w:t>
            </w:r>
            <w:r w:rsidRPr="00C71189">
              <w:lastRenderedPageBreak/>
              <w:t xml:space="preserve">no polistirola masas. Materiāla nosaukuma pašreizējā redakcija lasāma kā polimēra stirola putu plastmasa.  </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5A89A972" w14:textId="03EE6CE5" w:rsidR="00E24271" w:rsidRPr="00E24271" w:rsidRDefault="00CC758A" w:rsidP="00C71189">
            <w:pPr>
              <w:pStyle w:val="naisc"/>
              <w:spacing w:before="0" w:after="0"/>
              <w:jc w:val="both"/>
              <w:rPr>
                <w:b/>
                <w:bCs/>
              </w:rPr>
            </w:pPr>
            <w:r>
              <w:rPr>
                <w:b/>
                <w:bCs/>
              </w:rPr>
              <w:lastRenderedPageBreak/>
              <w:t>Ņ</w:t>
            </w:r>
            <w:r w:rsidR="00E24271" w:rsidRPr="00E24271">
              <w:rPr>
                <w:b/>
                <w:bCs/>
              </w:rPr>
              <w:t>emts vērā.</w:t>
            </w:r>
          </w:p>
          <w:p w14:paraId="32664396" w14:textId="47F505E2" w:rsidR="00364E19" w:rsidRPr="00C71189" w:rsidRDefault="206E076E" w:rsidP="00C71189">
            <w:pPr>
              <w:pStyle w:val="naisc"/>
              <w:spacing w:before="0" w:after="0"/>
              <w:jc w:val="both"/>
            </w:pPr>
            <w:r w:rsidRPr="00C71189">
              <w:t xml:space="preserve">Ņemts vērā ieteikums par termina </w:t>
            </w:r>
            <w:r w:rsidR="00BA2DE1">
              <w:t>“</w:t>
            </w:r>
            <w:r w:rsidRPr="00C71189">
              <w:t>putu polistirols</w:t>
            </w:r>
            <w:r w:rsidR="00BA2DE1">
              <w:t>”</w:t>
            </w:r>
            <w:r w:rsidRPr="00C71189">
              <w:t xml:space="preserve"> lietošanu.</w:t>
            </w:r>
          </w:p>
          <w:p w14:paraId="5D35BB14" w14:textId="5CC9EFE3" w:rsidR="00364E19" w:rsidRPr="00C71189" w:rsidRDefault="334ECE75" w:rsidP="00C71189">
            <w:pPr>
              <w:pStyle w:val="naisc"/>
              <w:spacing w:before="0" w:after="0"/>
              <w:jc w:val="both"/>
            </w:pPr>
            <w:r w:rsidRPr="00C71189">
              <w:t>J</w:t>
            </w:r>
            <w:r w:rsidR="206E076E" w:rsidRPr="00C71189">
              <w:t>aun</w:t>
            </w:r>
            <w:r w:rsidR="0B227EBC" w:rsidRPr="00C71189">
              <w:t>a</w:t>
            </w:r>
            <w:r w:rsidR="206E076E" w:rsidRPr="00C71189">
              <w:t xml:space="preserve"> ciparu kod</w:t>
            </w:r>
            <w:r w:rsidR="0D465AA5" w:rsidRPr="00C71189">
              <w:t>a</w:t>
            </w:r>
            <w:r w:rsidR="206E076E" w:rsidRPr="00C71189">
              <w:t xml:space="preserve"> ieviešan</w:t>
            </w:r>
            <w:r w:rsidR="56305530" w:rsidRPr="00C71189">
              <w:t>a</w:t>
            </w:r>
            <w:r w:rsidR="206E076E" w:rsidRPr="00C71189">
              <w:t xml:space="preserve"> nav</w:t>
            </w:r>
            <w:r w:rsidR="6F2616AE" w:rsidRPr="00C71189">
              <w:t xml:space="preserve"> </w:t>
            </w:r>
            <w:r w:rsidR="452979EF" w:rsidRPr="00C71189">
              <w:t>likumprojekta</w:t>
            </w:r>
            <w:r w:rsidR="6F2616AE" w:rsidRPr="00C71189">
              <w:t xml:space="preserve"> jautājums.</w:t>
            </w:r>
          </w:p>
        </w:tc>
      </w:tr>
      <w:tr w:rsidR="00C71189" w:rsidRPr="00C71189" w14:paraId="1C52976D"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4DC0451A" w14:textId="77777777" w:rsidR="00364E19" w:rsidRPr="00C71189" w:rsidRDefault="00364E19" w:rsidP="00C71189">
            <w:pPr>
              <w:pStyle w:val="naisc"/>
              <w:numPr>
                <w:ilvl w:val="1"/>
                <w:numId w:val="5"/>
              </w:numPr>
              <w:tabs>
                <w:tab w:val="clear" w:pos="1080"/>
              </w:tabs>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6427C558" w14:textId="12B494A8" w:rsidR="00364E19" w:rsidRPr="00C71189" w:rsidRDefault="00364E19" w:rsidP="00C71189">
            <w:pPr>
              <w:spacing w:before="120"/>
              <w:jc w:val="both"/>
              <w:rPr>
                <w:b/>
                <w:bCs/>
              </w:rPr>
            </w:pPr>
            <w:r w:rsidRPr="00C71189">
              <w:rPr>
                <w:b/>
                <w:bCs/>
              </w:rPr>
              <w:t>Likumprojekta 28. panta likuma 7. pielikums.</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64CAA512" w14:textId="1D4FADCC" w:rsidR="00364E19" w:rsidRPr="00C71189" w:rsidRDefault="00364E19" w:rsidP="00C71189">
            <w:pPr>
              <w:suppressAutoHyphens w:val="0"/>
              <w:jc w:val="both"/>
              <w:rPr>
                <w:rFonts w:eastAsiaTheme="minorEastAsia"/>
                <w:b/>
                <w:lang w:eastAsia="en-US"/>
              </w:rPr>
            </w:pPr>
            <w:r w:rsidRPr="00C71189">
              <w:t>2. attiecībā uz</w:t>
            </w:r>
            <w:r w:rsidR="00C67F34">
              <w:t xml:space="preserve"> likuma</w:t>
            </w:r>
            <w:r w:rsidRPr="00C71189">
              <w:t xml:space="preserve"> 7. pielikuma tabulas „Nodokļa likmes par preču un izstrādājumu iepakojumu un vienreiz lietojamiem galda traukiem un piederumiem” 2. punktu – labot tekstu: „No plastmasas (polimēru) masas izejmateriāliem, izņemot no bioplastmasas vai polistirola masas izejmateriāliem, un dzērienu kartona” uz „No plastmasas </w:t>
            </w:r>
            <w:r w:rsidRPr="00C71189">
              <w:rPr>
                <w:i/>
              </w:rPr>
              <w:t>(polimēru masas)</w:t>
            </w:r>
            <w:r w:rsidRPr="00C71189">
              <w:t xml:space="preserve"> izejmateriāliem, izņemot no bioplastmasas vai polistirola masas izejmateriāliem, un dzērienu kartona </w:t>
            </w:r>
            <w:r w:rsidRPr="00C71189">
              <w:rPr>
                <w:i/>
              </w:rPr>
              <w:t>iepakojums.</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7AF75C0C" w14:textId="77777777" w:rsidR="00BA2DE1" w:rsidRPr="00BA2DE1" w:rsidRDefault="00BA2DE1" w:rsidP="00BA2DE1">
            <w:pPr>
              <w:pStyle w:val="naisc"/>
              <w:jc w:val="both"/>
              <w:rPr>
                <w:b/>
                <w:bCs/>
              </w:rPr>
            </w:pPr>
            <w:r w:rsidRPr="00BA2DE1">
              <w:rPr>
                <w:b/>
                <w:bCs/>
              </w:rPr>
              <w:t>Ņemts vērā.</w:t>
            </w:r>
          </w:p>
          <w:p w14:paraId="4D2B9727" w14:textId="7E9332DD" w:rsidR="00364E19" w:rsidRPr="00BA2DE1" w:rsidRDefault="00BA2DE1" w:rsidP="00BA2DE1">
            <w:pPr>
              <w:pStyle w:val="naisc"/>
              <w:spacing w:before="0" w:after="0"/>
              <w:jc w:val="both"/>
            </w:pPr>
            <w:r w:rsidRPr="00BA2DE1">
              <w:t>Termina lietojums precizēts.</w:t>
            </w:r>
          </w:p>
        </w:tc>
      </w:tr>
      <w:tr w:rsidR="00C71189" w:rsidRPr="00C71189" w14:paraId="67A15E51"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73F4EE9C" w14:textId="77777777" w:rsidR="00364E19" w:rsidRPr="00C71189" w:rsidRDefault="00364E19" w:rsidP="00C71189">
            <w:pPr>
              <w:pStyle w:val="naisc"/>
              <w:numPr>
                <w:ilvl w:val="1"/>
                <w:numId w:val="5"/>
              </w:numPr>
              <w:tabs>
                <w:tab w:val="clear" w:pos="1080"/>
              </w:tabs>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1672CD70" w14:textId="4A461BF3" w:rsidR="00364E19" w:rsidRPr="00C71189" w:rsidRDefault="00364E19" w:rsidP="00C71189">
            <w:pPr>
              <w:spacing w:before="120"/>
              <w:jc w:val="both"/>
              <w:rPr>
                <w:b/>
                <w:bCs/>
              </w:rPr>
            </w:pPr>
            <w:r w:rsidRPr="00C71189">
              <w:rPr>
                <w:b/>
                <w:bCs/>
              </w:rPr>
              <w:t>Likumprojekta 28. panta likuma 7. pielikums.</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4D3FF16B" w14:textId="33FFB04E" w:rsidR="00364E19" w:rsidRPr="00C71189" w:rsidRDefault="00364E19" w:rsidP="00C71189">
            <w:pPr>
              <w:suppressAutoHyphens w:val="0"/>
              <w:jc w:val="both"/>
              <w:rPr>
                <w:rFonts w:eastAsiaTheme="minorEastAsia"/>
                <w:b/>
                <w:lang w:eastAsia="en-US"/>
              </w:rPr>
            </w:pPr>
            <w:r w:rsidRPr="00C71189">
              <w:t>3. attiecībā uz</w:t>
            </w:r>
            <w:r w:rsidR="00C67F34">
              <w:t xml:space="preserve"> likuma</w:t>
            </w:r>
            <w:r w:rsidRPr="00C71189">
              <w:t xml:space="preserve"> 7. pielikuma tabulas „Nodokļa likmes par preču un izstrādājumu iepakojumu un vienreiz lietojamiem galda traukiem un piederumiem” 3. punktu – labot tekstu: „No plastmasas (polimēru) putuplasta izejmateriāliem, izņemot no bioplastmasas vai polistirola putuplasta izejmateriāliem” uz „No </w:t>
            </w:r>
            <w:r w:rsidRPr="00C71189">
              <w:rPr>
                <w:i/>
              </w:rPr>
              <w:t>putuplasta</w:t>
            </w:r>
            <w:r w:rsidRPr="00C71189">
              <w:t xml:space="preserve"> (</w:t>
            </w:r>
            <w:r w:rsidRPr="00C71189">
              <w:rPr>
                <w:i/>
              </w:rPr>
              <w:t>putu</w:t>
            </w:r>
            <w:r w:rsidRPr="00C71189">
              <w:t xml:space="preserve"> polimēru)  izejmateriāliem, izņemot no bioplastmasas vai </w:t>
            </w:r>
            <w:r w:rsidRPr="00C71189">
              <w:rPr>
                <w:i/>
              </w:rPr>
              <w:t>putu</w:t>
            </w:r>
            <w:r w:rsidRPr="00C71189">
              <w:t xml:space="preserve"> polistirola izejmateriāliem”.</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3AF44ED9" w14:textId="77777777" w:rsidR="009772A8" w:rsidRPr="009772A8" w:rsidRDefault="009772A8" w:rsidP="009772A8">
            <w:pPr>
              <w:pStyle w:val="naisc"/>
              <w:jc w:val="both"/>
              <w:rPr>
                <w:b/>
                <w:bCs/>
              </w:rPr>
            </w:pPr>
            <w:r w:rsidRPr="009772A8">
              <w:rPr>
                <w:b/>
                <w:bCs/>
              </w:rPr>
              <w:t>Ņemts vērā.</w:t>
            </w:r>
          </w:p>
          <w:p w14:paraId="291D6466" w14:textId="49819C05" w:rsidR="00364E19" w:rsidRPr="00C71189" w:rsidRDefault="009772A8" w:rsidP="009772A8">
            <w:pPr>
              <w:pStyle w:val="naisc"/>
              <w:spacing w:before="0" w:after="0"/>
              <w:jc w:val="both"/>
            </w:pPr>
            <w:r>
              <w:t>Termina lietojums precizēts.</w:t>
            </w:r>
          </w:p>
        </w:tc>
      </w:tr>
      <w:tr w:rsidR="00C71189" w:rsidRPr="00C71189" w14:paraId="67957CBC"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5F195C27" w14:textId="77777777" w:rsidR="00364E19" w:rsidRPr="00C71189" w:rsidRDefault="00364E19" w:rsidP="00C71189">
            <w:pPr>
              <w:pStyle w:val="naisc"/>
              <w:numPr>
                <w:ilvl w:val="1"/>
                <w:numId w:val="5"/>
              </w:numPr>
              <w:tabs>
                <w:tab w:val="clear" w:pos="1080"/>
              </w:tabs>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273CE778" w14:textId="77777777" w:rsidR="00364E19" w:rsidRPr="00C71189" w:rsidRDefault="00364E19" w:rsidP="00C71189">
            <w:pPr>
              <w:spacing w:before="120"/>
              <w:jc w:val="both"/>
              <w:rPr>
                <w:b/>
                <w:bCs/>
              </w:rPr>
            </w:pPr>
            <w:r w:rsidRPr="00C71189">
              <w:rPr>
                <w:b/>
                <w:bCs/>
              </w:rPr>
              <w:t>Likumprojekta 1. panta likuma 1. panta 16. punkts:</w:t>
            </w:r>
          </w:p>
          <w:p w14:paraId="6AF139CE" w14:textId="6688B677" w:rsidR="00364E19" w:rsidRPr="00C71189" w:rsidRDefault="00364E19" w:rsidP="00C71189">
            <w:pPr>
              <w:spacing w:before="120"/>
              <w:jc w:val="both"/>
              <w:rPr>
                <w:b/>
                <w:bCs/>
              </w:rPr>
            </w:pPr>
            <w:r w:rsidRPr="00C71189">
              <w:t>“16) dzērienu kartona iepakojums – kompozīta iepakojums, kura viens no materiāla slāņiem ir kartons;”</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4343746B" w14:textId="7E0E7A54" w:rsidR="00364E19" w:rsidRPr="00C71189" w:rsidRDefault="00364E19" w:rsidP="00C71189">
            <w:pPr>
              <w:suppressAutoHyphens w:val="0"/>
              <w:jc w:val="both"/>
              <w:rPr>
                <w:rFonts w:eastAsiaTheme="minorEastAsia"/>
                <w:b/>
                <w:lang w:eastAsia="en-US"/>
              </w:rPr>
            </w:pPr>
            <w:r w:rsidRPr="00C71189">
              <w:t xml:space="preserve">4. attiecībā uz </w:t>
            </w:r>
            <w:r w:rsidR="00C67F34">
              <w:t>l</w:t>
            </w:r>
            <w:r w:rsidRPr="00C71189">
              <w:t xml:space="preserve">ikuma 1. panta papildināšanu ar 16. </w:t>
            </w:r>
            <w:r w:rsidR="009772A8">
              <w:t>p</w:t>
            </w:r>
            <w:r w:rsidRPr="00C71189">
              <w:t xml:space="preserve">unktu: izteikt sekojošā redakcijā: “16) dzērienu kartona iepakojums – kompozīta </w:t>
            </w:r>
            <w:r w:rsidRPr="00C71189">
              <w:rPr>
                <w:i/>
              </w:rPr>
              <w:t>materiāla</w:t>
            </w:r>
            <w:r w:rsidRPr="00C71189">
              <w:t xml:space="preserve"> iepakojums, kurā viens  </w:t>
            </w:r>
            <w:r w:rsidRPr="00C71189">
              <w:rPr>
                <w:i/>
              </w:rPr>
              <w:t>slānis</w:t>
            </w:r>
            <w:r w:rsidRPr="00C71189">
              <w:t xml:space="preserve"> ir kartons”  vai „... </w:t>
            </w:r>
            <w:r w:rsidRPr="00C71189">
              <w:rPr>
                <w:i/>
              </w:rPr>
              <w:t>kura sastāvā ir kartona slānis</w:t>
            </w:r>
            <w:r w:rsidRPr="00C71189">
              <w:t xml:space="preserve">”; </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7992E17E" w14:textId="69E221A3" w:rsidR="00932FF3" w:rsidRPr="00B036F1" w:rsidRDefault="00932FF3" w:rsidP="00C71189">
            <w:pPr>
              <w:pStyle w:val="naisc"/>
              <w:spacing w:before="0" w:after="0"/>
              <w:jc w:val="both"/>
              <w:rPr>
                <w:b/>
                <w:bCs/>
              </w:rPr>
            </w:pPr>
            <w:r w:rsidRPr="00B036F1">
              <w:rPr>
                <w:b/>
                <w:bCs/>
              </w:rPr>
              <w:t>Nav ņemts vērā.</w:t>
            </w:r>
          </w:p>
          <w:p w14:paraId="0DD60BF5" w14:textId="194B8C52" w:rsidR="00364E19" w:rsidRPr="00C71189" w:rsidRDefault="001B26A6" w:rsidP="00C71189">
            <w:pPr>
              <w:pStyle w:val="naisc"/>
              <w:spacing w:before="0" w:after="0"/>
              <w:jc w:val="both"/>
            </w:pPr>
            <w:r w:rsidRPr="001B26A6">
              <w:t xml:space="preserve">Termins noteikts, ievērojot, ka </w:t>
            </w:r>
            <w:r w:rsidR="00127E55" w:rsidRPr="001B26A6">
              <w:t>I</w:t>
            </w:r>
            <w:r w:rsidR="00747B4B" w:rsidRPr="001B26A6">
              <w:t>epakojuma likuma</w:t>
            </w:r>
            <w:r w:rsidRPr="001B26A6">
              <w:t xml:space="preserve"> 1. panta 13. punktā jau ir noteikta</w:t>
            </w:r>
            <w:r w:rsidR="00127E55" w:rsidRPr="001B26A6">
              <w:t xml:space="preserve"> </w:t>
            </w:r>
            <w:r w:rsidR="00932FF3" w:rsidRPr="001B26A6">
              <w:t>kompozīta iepakojuma</w:t>
            </w:r>
            <w:r w:rsidRPr="001B26A6">
              <w:t xml:space="preserve"> definīcija</w:t>
            </w:r>
            <w:r w:rsidR="00B036F1" w:rsidRPr="001B26A6">
              <w:t>.</w:t>
            </w:r>
          </w:p>
        </w:tc>
      </w:tr>
      <w:tr w:rsidR="00C71189" w:rsidRPr="00C71189" w14:paraId="3B27B484"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25EDF826" w14:textId="77777777" w:rsidR="00364E19" w:rsidRPr="00C71189" w:rsidRDefault="00364E19" w:rsidP="00C71189">
            <w:pPr>
              <w:pStyle w:val="naisc"/>
              <w:numPr>
                <w:ilvl w:val="1"/>
                <w:numId w:val="5"/>
              </w:numPr>
              <w:tabs>
                <w:tab w:val="clear" w:pos="1080"/>
              </w:tabs>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46070ACD" w14:textId="77777777" w:rsidR="00364E19" w:rsidRPr="00C71189" w:rsidRDefault="00364E19" w:rsidP="00C71189">
            <w:pPr>
              <w:spacing w:before="120"/>
              <w:jc w:val="both"/>
              <w:rPr>
                <w:b/>
                <w:bCs/>
              </w:rPr>
            </w:pPr>
            <w:r w:rsidRPr="00C71189">
              <w:rPr>
                <w:b/>
                <w:bCs/>
              </w:rPr>
              <w:t>Likumprojekta 5. panta likuma 8. pants:</w:t>
            </w:r>
          </w:p>
          <w:p w14:paraId="17362E3F" w14:textId="0ACA813A" w:rsidR="00364E19" w:rsidRPr="00C71189" w:rsidRDefault="00364E19" w:rsidP="00C71189">
            <w:pPr>
              <w:spacing w:before="120"/>
              <w:jc w:val="both"/>
            </w:pPr>
            <w:r w:rsidRPr="00C71189">
              <w:t>“(1</w:t>
            </w:r>
            <w:r w:rsidRPr="00C71189">
              <w:rPr>
                <w:vertAlign w:val="superscript"/>
              </w:rPr>
              <w:t>1</w:t>
            </w:r>
            <w:r w:rsidRPr="00C71189">
              <w:t>)</w:t>
            </w:r>
            <w:r w:rsidR="00897812">
              <w:t> </w:t>
            </w:r>
            <w:r w:rsidRPr="00C71189">
              <w:t>Atbrīvojumu no nodokļa samaksas nepiemēro:</w:t>
            </w:r>
          </w:p>
          <w:p w14:paraId="1498DD36" w14:textId="563DDD93" w:rsidR="00364E19" w:rsidRPr="00C71189" w:rsidRDefault="00364E19" w:rsidP="00C71189">
            <w:pPr>
              <w:spacing w:before="120"/>
              <w:jc w:val="both"/>
            </w:pPr>
            <w:r w:rsidRPr="00C71189">
              <w:lastRenderedPageBreak/>
              <w:t>1)</w:t>
            </w:r>
            <w:r w:rsidR="00897812">
              <w:t> </w:t>
            </w:r>
            <w:r w:rsidRPr="00C71189">
              <w:t>vienreiz lietojamām plastmasu saturošām glāzēm;</w:t>
            </w:r>
          </w:p>
          <w:p w14:paraId="35558599" w14:textId="6D8F53E7" w:rsidR="00364E19" w:rsidRPr="00C71189" w:rsidRDefault="00364E19" w:rsidP="00C71189">
            <w:pPr>
              <w:spacing w:before="120"/>
              <w:jc w:val="both"/>
              <w:rPr>
                <w:b/>
                <w:bCs/>
              </w:rPr>
            </w:pPr>
            <w:r w:rsidRPr="00C71189">
              <w:t>2)</w:t>
            </w:r>
            <w:r w:rsidR="00897812">
              <w:t> </w:t>
            </w:r>
            <w:r w:rsidRPr="00C71189">
              <w:t>iepakojumam no plastmasas un kompozīta iepakojumam, kura materiāla īpašības neļauj to izmantot otrreizējo izejvielu iegūšanai, kurš nav pārstrādāts vai kas nesatur pārstrādātu plastmasu;”</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7BBD0F1E" w14:textId="703BA02C" w:rsidR="00364E19" w:rsidRPr="00C67F34" w:rsidRDefault="00364E19" w:rsidP="00C71189">
            <w:pPr>
              <w:ind w:right="-86"/>
              <w:jc w:val="both"/>
            </w:pPr>
            <w:r w:rsidRPr="00C67F34">
              <w:lastRenderedPageBreak/>
              <w:t xml:space="preserve">5. attiecībā uz </w:t>
            </w:r>
            <w:r w:rsidR="00C67F34" w:rsidRPr="00C67F34">
              <w:t>l</w:t>
            </w:r>
            <w:r w:rsidRPr="00C67F34">
              <w:t>ikuma 8. pantu: izteikt 1.</w:t>
            </w:r>
            <w:r w:rsidRPr="00C67F34">
              <w:rPr>
                <w:vertAlign w:val="superscript"/>
              </w:rPr>
              <w:t>1</w:t>
            </w:r>
            <w:r w:rsidRPr="00C67F34">
              <w:t xml:space="preserve"> daļu šādā redakcijā:</w:t>
            </w:r>
          </w:p>
          <w:p w14:paraId="1EF9F7CC" w14:textId="77777777" w:rsidR="00364E19" w:rsidRPr="00C67F34" w:rsidRDefault="00364E19" w:rsidP="00C71189">
            <w:pPr>
              <w:ind w:right="-86"/>
              <w:jc w:val="both"/>
            </w:pPr>
            <w:r w:rsidRPr="00C67F34">
              <w:t>“(1</w:t>
            </w:r>
            <w:r w:rsidRPr="00C67F34">
              <w:rPr>
                <w:vertAlign w:val="superscript"/>
              </w:rPr>
              <w:t>1</w:t>
            </w:r>
            <w:r w:rsidRPr="00C67F34">
              <w:t>) Atbrīvojumu no nodokļa samaksas nepiemēro:</w:t>
            </w:r>
          </w:p>
          <w:p w14:paraId="76A4175C" w14:textId="77777777" w:rsidR="00364E19" w:rsidRPr="00C67F34" w:rsidRDefault="00364E19" w:rsidP="00C71189">
            <w:pPr>
              <w:ind w:right="-86"/>
              <w:jc w:val="both"/>
            </w:pPr>
            <w:r w:rsidRPr="00C67F34">
              <w:t>1) vienreiz lietojamām plastmasu saturošām glāzēm;</w:t>
            </w:r>
          </w:p>
          <w:p w14:paraId="102124DA" w14:textId="77777777" w:rsidR="00364E19" w:rsidRPr="00C67F34" w:rsidRDefault="00364E19" w:rsidP="00C71189">
            <w:pPr>
              <w:ind w:right="-86"/>
              <w:jc w:val="both"/>
            </w:pPr>
            <w:r w:rsidRPr="00C67F34">
              <w:t xml:space="preserve">2) plastmasas un kompozīta </w:t>
            </w:r>
            <w:r w:rsidRPr="00C67F34">
              <w:rPr>
                <w:i/>
              </w:rPr>
              <w:t>materiālu</w:t>
            </w:r>
            <w:r w:rsidRPr="00C67F34">
              <w:t xml:space="preserve"> iepakojumam, </w:t>
            </w:r>
            <w:r w:rsidRPr="00C67F34">
              <w:rPr>
                <w:i/>
              </w:rPr>
              <w:t>ko</w:t>
            </w:r>
            <w:r w:rsidRPr="00C67F34">
              <w:t xml:space="preserve"> </w:t>
            </w:r>
            <w:r w:rsidRPr="00C67F34">
              <w:rPr>
                <w:i/>
              </w:rPr>
              <w:t>nav iespējams</w:t>
            </w:r>
            <w:r w:rsidRPr="00C67F34">
              <w:t xml:space="preserve"> izmantot otrreizējo izejvielu iegūšanai materiāla īpašību dēļ, </w:t>
            </w:r>
            <w:r w:rsidRPr="00C67F34">
              <w:rPr>
                <w:i/>
              </w:rPr>
              <w:t>kas</w:t>
            </w:r>
            <w:r w:rsidRPr="00C67F34">
              <w:t xml:space="preserve"> nav pārstrādāts vai nesatur pārstrādātu plastmasu;”;</w:t>
            </w:r>
          </w:p>
          <w:p w14:paraId="628F7F8F" w14:textId="77777777" w:rsidR="00364E19" w:rsidRPr="00C67F34" w:rsidRDefault="00364E19" w:rsidP="00C71189">
            <w:pPr>
              <w:ind w:right="-86"/>
              <w:jc w:val="both"/>
            </w:pPr>
            <w:r w:rsidRPr="00C67F34">
              <w:t>papildināt otro daļu ar 13. punktu šādā redakcijā:</w:t>
            </w:r>
          </w:p>
          <w:p w14:paraId="2CF31679" w14:textId="361D6BEA" w:rsidR="00364E19" w:rsidRPr="00C67F34" w:rsidRDefault="00364E19" w:rsidP="00C71189">
            <w:pPr>
              <w:suppressAutoHyphens w:val="0"/>
              <w:jc w:val="both"/>
              <w:rPr>
                <w:rFonts w:eastAsiaTheme="minorEastAsia"/>
                <w:b/>
                <w:lang w:eastAsia="en-US"/>
              </w:rPr>
            </w:pPr>
            <w:r w:rsidRPr="00C67F34">
              <w:lastRenderedPageBreak/>
              <w:t xml:space="preserve">“13) kārtību, </w:t>
            </w:r>
            <w:r w:rsidRPr="00C67F34">
              <w:rPr>
                <w:i/>
              </w:rPr>
              <w:t>kas</w:t>
            </w:r>
            <w:r w:rsidRPr="00C67F34">
              <w:t xml:space="preserve"> nosaka plastmasas un kompozīta iepakojuma pārstrādājamību, un dokumentus, ar kuriem apliecina, ka iepakojums ir pārstrādājams.”</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5C12CF2B" w14:textId="77777777" w:rsidR="00364E19" w:rsidRPr="00DD40D3" w:rsidRDefault="00DD40D3" w:rsidP="00C71189">
            <w:pPr>
              <w:pStyle w:val="naisc"/>
              <w:spacing w:before="0" w:after="0"/>
              <w:jc w:val="both"/>
              <w:rPr>
                <w:b/>
                <w:bCs/>
              </w:rPr>
            </w:pPr>
            <w:r w:rsidRPr="00DD40D3">
              <w:rPr>
                <w:b/>
                <w:bCs/>
              </w:rPr>
              <w:lastRenderedPageBreak/>
              <w:t>Nav ņemts vērā.</w:t>
            </w:r>
          </w:p>
          <w:p w14:paraId="07F034E3" w14:textId="77777777" w:rsidR="00DD40D3" w:rsidRDefault="00DD40D3" w:rsidP="00C71189">
            <w:pPr>
              <w:pStyle w:val="naisc"/>
              <w:spacing w:before="0" w:after="0"/>
              <w:jc w:val="both"/>
            </w:pPr>
            <w:r>
              <w:t>Saglabāta esošā redakcija.</w:t>
            </w:r>
          </w:p>
          <w:p w14:paraId="04B1FC46" w14:textId="458C8A11" w:rsidR="007C1A97" w:rsidRPr="00C71189" w:rsidRDefault="007C1A97" w:rsidP="00C71189">
            <w:pPr>
              <w:pStyle w:val="naisc"/>
              <w:spacing w:before="0" w:after="0"/>
              <w:jc w:val="both"/>
            </w:pPr>
            <w:r>
              <w:t>Vēršam uzmanību, ka Iepakojuma likuma 1.</w:t>
            </w:r>
            <w:r w:rsidR="00897812">
              <w:t> </w:t>
            </w:r>
            <w:r>
              <w:t>panta 13. punktā ir noteikta “kompozīta iepakojuma” definīcija, nevis “kompozīta materiālu iepakojuma”.</w:t>
            </w:r>
          </w:p>
        </w:tc>
      </w:tr>
      <w:tr w:rsidR="00C71189" w:rsidRPr="00C71189" w14:paraId="0A7004FD"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30069C32" w14:textId="77777777" w:rsidR="00364E19" w:rsidRPr="00C71189" w:rsidRDefault="00364E19" w:rsidP="00C71189">
            <w:pPr>
              <w:pStyle w:val="naisc"/>
              <w:numPr>
                <w:ilvl w:val="0"/>
                <w:numId w:val="20"/>
              </w:numPr>
              <w:spacing w:before="0" w:after="0"/>
              <w:ind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08A30308" w14:textId="0FDD4073" w:rsidR="00364E19" w:rsidRPr="00C71189" w:rsidRDefault="00364E19" w:rsidP="00C71189">
            <w:pPr>
              <w:spacing w:before="120"/>
              <w:jc w:val="both"/>
              <w:rPr>
                <w:b/>
                <w:bCs/>
              </w:rPr>
            </w:pPr>
            <w:r w:rsidRPr="00C71189">
              <w:rPr>
                <w:b/>
                <w:bCs/>
              </w:rPr>
              <w:t>Vispārīg</w:t>
            </w:r>
            <w:r w:rsidR="007F0A21" w:rsidRPr="00C71189">
              <w:rPr>
                <w:b/>
                <w:bCs/>
              </w:rPr>
              <w:t>i.</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0E24D497" w14:textId="1E9E0245" w:rsidR="00364E19" w:rsidRPr="00C71189" w:rsidRDefault="00364E19" w:rsidP="00C71189">
            <w:pPr>
              <w:ind w:right="-86"/>
              <w:jc w:val="both"/>
            </w:pPr>
            <w:r w:rsidRPr="00C71189">
              <w:t xml:space="preserve">6. Likuma grozījumu projektā dzērienu kartona iepakojums pielīdzināts plastmasas iepakojumam, nosakot vienādu nodokļu likmi 1,25 </w:t>
            </w:r>
            <w:r w:rsidR="003944A0" w:rsidRPr="003944A0">
              <w:rPr>
                <w:i/>
                <w:iCs/>
              </w:rPr>
              <w:t>euro</w:t>
            </w:r>
            <w:r w:rsidRPr="00C71189">
              <w:t xml:space="preserve">/ 1 kg: </w:t>
            </w:r>
          </w:p>
          <w:p w14:paraId="35FC6226" w14:textId="77777777" w:rsidR="00364E19" w:rsidRPr="00C71189" w:rsidRDefault="00364E19" w:rsidP="00C71189">
            <w:pPr>
              <w:ind w:right="-86"/>
              <w:jc w:val="both"/>
            </w:pPr>
            <w:r w:rsidRPr="00C71189">
              <w:t>6.1. vai izlietoto iepakojumu apsaimniekojot, dzērienu kartona pakas tiks novietotas  pie plastmasas iepakojuma atkritumiem, tās neatšķirojot</w:t>
            </w:r>
          </w:p>
          <w:p w14:paraId="2E4E159C" w14:textId="0F9C520F" w:rsidR="00364E19" w:rsidRPr="00C71189" w:rsidRDefault="00364E19" w:rsidP="00C71189">
            <w:pPr>
              <w:ind w:right="-86"/>
              <w:jc w:val="both"/>
            </w:pPr>
            <w:r w:rsidRPr="00C71189">
              <w:t xml:space="preserve">6.2.  dzērienu kartona pakas, kas izgatavotas no kartona (apt. 75 % no kopējā materiāla) un citām dabiskas izcelsmes izejvielām, arī tiks novietotas  pie plastmasas iepakojuma atkritumiem? Dzērienu kartona iepakojums </w:t>
            </w:r>
            <w:r w:rsidR="003944A0">
              <w:t>Eiropas Savienības</w:t>
            </w:r>
            <w:r w:rsidRPr="00C71189">
              <w:t xml:space="preserve"> direktīvās definēts papīra kategorijā, to pārstrādā papīrfabrikās;  tas iekļaujas kopējā papīra un kartona apsaimniekošanas sistēmā. </w:t>
            </w:r>
          </w:p>
          <w:p w14:paraId="70B80DB7" w14:textId="049FD84B" w:rsidR="00364E19" w:rsidRPr="00C71189" w:rsidRDefault="00364E19" w:rsidP="00C71189">
            <w:pPr>
              <w:suppressAutoHyphens w:val="0"/>
              <w:jc w:val="both"/>
              <w:rPr>
                <w:rFonts w:eastAsiaTheme="minorEastAsia"/>
                <w:b/>
                <w:lang w:eastAsia="en-US"/>
              </w:rPr>
            </w:pPr>
            <w:r w:rsidRPr="00C71189">
              <w:t xml:space="preserve"> 6.3. Vai plānotajos Ministru kabineta noteikumos tiks  precizēti dzērienu kartona iepakojuma apsaimniekošanas principi, lai nodrošinātu nozares informētību un sabiedrības  izglītošanu.</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5FF30E14" w14:textId="609B47D7" w:rsidR="00364E19" w:rsidRPr="00C71189" w:rsidRDefault="00A861B7" w:rsidP="00C71189">
            <w:pPr>
              <w:pStyle w:val="naisc"/>
              <w:spacing w:before="0" w:after="0"/>
              <w:jc w:val="both"/>
            </w:pPr>
            <w:r>
              <w:t xml:space="preserve">VARAM ir izvērtējusi viedokli. </w:t>
            </w:r>
            <w:r w:rsidR="193B4F53" w:rsidRPr="00C71189">
              <w:t>Vēršam uzman</w:t>
            </w:r>
            <w:r w:rsidR="6FCE92D0" w:rsidRPr="00C71189">
              <w:t>ību, ka l</w:t>
            </w:r>
            <w:r w:rsidR="193B4F53" w:rsidRPr="00C71189">
              <w:t>ikumprojektā tiek precizēta</w:t>
            </w:r>
            <w:r w:rsidR="17061D91" w:rsidRPr="00C71189">
              <w:t xml:space="preserve"> kartona iepakojuma</w:t>
            </w:r>
            <w:r w:rsidR="193B4F53" w:rsidRPr="00C71189">
              <w:t xml:space="preserve"> dabas resursu nodokļa likme</w:t>
            </w:r>
            <w:r w:rsidR="00C346BA">
              <w:t>.</w:t>
            </w:r>
            <w:r w:rsidR="00286F57">
              <w:t xml:space="preserve"> Tiek plānots ražotāja paplašinātās atbildības sistēmas ietvaros noteikt apsaimniekošanas nosacījumus.</w:t>
            </w:r>
          </w:p>
        </w:tc>
      </w:tr>
      <w:tr w:rsidR="00C71189" w:rsidRPr="00C71189" w14:paraId="212AD9A7" w14:textId="77777777" w:rsidTr="00657982">
        <w:tc>
          <w:tcPr>
            <w:tcW w:w="627" w:type="dxa"/>
            <w:tcBorders>
              <w:top w:val="single" w:sz="6" w:space="0" w:color="000000" w:themeColor="text1"/>
              <w:left w:val="single" w:sz="6" w:space="0" w:color="000000" w:themeColor="text1"/>
              <w:bottom w:val="single" w:sz="6" w:space="0" w:color="000000" w:themeColor="text1"/>
            </w:tcBorders>
            <w:shd w:val="clear" w:color="auto" w:fill="DBDBDB" w:themeFill="accent3" w:themeFillTint="66"/>
          </w:tcPr>
          <w:p w14:paraId="3C94ED96" w14:textId="77777777" w:rsidR="00364E19" w:rsidRPr="00C71189" w:rsidRDefault="00364E19" w:rsidP="00C71189">
            <w:pPr>
              <w:pStyle w:val="naisc"/>
              <w:numPr>
                <w:ilvl w:val="1"/>
                <w:numId w:val="21"/>
              </w:numPr>
              <w:spacing w:before="0" w:after="0"/>
              <w:ind w:right="317"/>
              <w:jc w:val="left"/>
            </w:pPr>
          </w:p>
        </w:tc>
        <w:tc>
          <w:tcPr>
            <w:tcW w:w="14009" w:type="dxa"/>
            <w:gridSpan w:val="3"/>
            <w:tcBorders>
              <w:top w:val="single" w:sz="6" w:space="0" w:color="000000" w:themeColor="text1"/>
              <w:left w:val="single" w:sz="6" w:space="0" w:color="000000" w:themeColor="text1"/>
              <w:bottom w:val="single" w:sz="6" w:space="0" w:color="000000" w:themeColor="text1"/>
              <w:right w:val="single" w:sz="4" w:space="0" w:color="auto"/>
            </w:tcBorders>
            <w:shd w:val="clear" w:color="auto" w:fill="DBDBDB" w:themeFill="accent3" w:themeFillTint="66"/>
          </w:tcPr>
          <w:p w14:paraId="68CD25AA" w14:textId="64DD5B7E" w:rsidR="00364E19" w:rsidRPr="00C71189" w:rsidRDefault="00364E19" w:rsidP="00C71189">
            <w:pPr>
              <w:pStyle w:val="naisc"/>
              <w:spacing w:before="0" w:after="0"/>
              <w:rPr>
                <w:b/>
              </w:rPr>
            </w:pPr>
            <w:r w:rsidRPr="00C71189">
              <w:rPr>
                <w:b/>
              </w:rPr>
              <w:t>UAB “Geobaltic” 14.06.2021. viedoklis</w:t>
            </w:r>
          </w:p>
        </w:tc>
      </w:tr>
      <w:tr w:rsidR="00364E19" w:rsidRPr="00C71189" w14:paraId="0B4D6E33"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16A8B711" w14:textId="77777777" w:rsidR="00364E19" w:rsidRPr="00C71189" w:rsidRDefault="00364E19" w:rsidP="00C71189">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0FD71EF0" w14:textId="4D8058A0" w:rsidR="00364E19" w:rsidRPr="00C71189" w:rsidRDefault="00364E19" w:rsidP="00C71189">
            <w:pPr>
              <w:spacing w:before="120"/>
              <w:jc w:val="both"/>
              <w:rPr>
                <w:b/>
                <w:bCs/>
              </w:rPr>
            </w:pPr>
            <w:r w:rsidRPr="00C71189">
              <w:rPr>
                <w:b/>
                <w:bCs/>
              </w:rPr>
              <w:t xml:space="preserve">Likumprojekta </w:t>
            </w:r>
            <w:r w:rsidR="00BC1D8F">
              <w:rPr>
                <w:b/>
                <w:bCs/>
              </w:rPr>
              <w:t>13.</w:t>
            </w:r>
            <w:r w:rsidR="001625D3">
              <w:rPr>
                <w:b/>
                <w:bCs/>
              </w:rPr>
              <w:t> </w:t>
            </w:r>
            <w:r w:rsidRPr="00C71189">
              <w:rPr>
                <w:b/>
                <w:bCs/>
              </w:rPr>
              <w:t>panta likuma 14.</w:t>
            </w:r>
            <w:r w:rsidRPr="00C71189">
              <w:rPr>
                <w:b/>
                <w:bCs/>
                <w:vertAlign w:val="superscript"/>
              </w:rPr>
              <w:t>2</w:t>
            </w:r>
            <w:r w:rsidRPr="00C71189">
              <w:rPr>
                <w:b/>
                <w:bCs/>
              </w:rPr>
              <w:t> pants:</w:t>
            </w:r>
          </w:p>
          <w:p w14:paraId="4ACAA199" w14:textId="77777777" w:rsidR="00364E19" w:rsidRPr="00C71189" w:rsidRDefault="00364E19" w:rsidP="00C71189">
            <w:pPr>
              <w:pStyle w:val="NormalWeb"/>
              <w:spacing w:before="0" w:after="0"/>
              <w:jc w:val="both"/>
              <w:rPr>
                <w:b/>
              </w:rPr>
            </w:pPr>
            <w:bookmarkStart w:id="5" w:name="_Hlk69996552"/>
            <w:r w:rsidRPr="00C71189">
              <w:lastRenderedPageBreak/>
              <w:t>“</w:t>
            </w:r>
            <w:r w:rsidRPr="00C71189">
              <w:rPr>
                <w:b/>
              </w:rPr>
              <w:t>14.</w:t>
            </w:r>
            <w:r w:rsidRPr="00C71189">
              <w:rPr>
                <w:b/>
                <w:vertAlign w:val="superscript"/>
              </w:rPr>
              <w:t>2</w:t>
            </w:r>
            <w:r w:rsidRPr="00C71189">
              <w:rPr>
                <w:b/>
              </w:rPr>
              <w:t> pants. Nodokļa aprēķināšana par ogļūdeņražu ieguvi</w:t>
            </w:r>
          </w:p>
          <w:p w14:paraId="5AA63E33" w14:textId="77777777" w:rsidR="00364E19" w:rsidRPr="00C71189" w:rsidRDefault="00364E19" w:rsidP="00C71189">
            <w:pPr>
              <w:pStyle w:val="NormalWeb"/>
              <w:spacing w:before="0" w:after="0"/>
              <w:jc w:val="both"/>
            </w:pPr>
            <w:bookmarkStart w:id="6" w:name="piel5"/>
            <w:bookmarkEnd w:id="5"/>
            <w:bookmarkEnd w:id="6"/>
            <w:r w:rsidRPr="00C71189">
              <w:t>(1) Nodokļa maksātājs aprēķina un maksā nodokli par taksācijas periodā iegūto ogļūdeņražu apjomu, piemērojot nodokļa likmi:</w:t>
            </w:r>
          </w:p>
          <w:p w14:paraId="36AD1FA4" w14:textId="77777777" w:rsidR="00364E19" w:rsidRPr="00C71189" w:rsidRDefault="00364E19" w:rsidP="00C71189">
            <w:pPr>
              <w:pStyle w:val="NormalWeb"/>
              <w:spacing w:before="0" w:after="0"/>
              <w:jc w:val="both"/>
            </w:pPr>
            <w:r w:rsidRPr="00C71189">
              <w:t>1) 12 procentu apmērā no neapstrādātas naftas vērtības;</w:t>
            </w:r>
          </w:p>
          <w:p w14:paraId="2AA3ACBF" w14:textId="77777777" w:rsidR="00364E19" w:rsidRPr="00C71189" w:rsidRDefault="00364E19" w:rsidP="00C71189">
            <w:pPr>
              <w:pStyle w:val="NormalWeb"/>
              <w:spacing w:before="0" w:after="0"/>
              <w:jc w:val="both"/>
            </w:pPr>
            <w:r w:rsidRPr="00C71189">
              <w:t xml:space="preserve">2) 10 procentu apmērā no dabasgāzes vērtības. </w:t>
            </w:r>
          </w:p>
          <w:p w14:paraId="6426F0E1" w14:textId="77777777" w:rsidR="00364E19" w:rsidRPr="00C71189" w:rsidRDefault="00364E19" w:rsidP="00C71189">
            <w:pPr>
              <w:pStyle w:val="NormalWeb"/>
              <w:spacing w:before="0" w:after="0"/>
              <w:jc w:val="both"/>
            </w:pPr>
          </w:p>
          <w:p w14:paraId="6183D061" w14:textId="3BF42483" w:rsidR="00364E19" w:rsidRPr="00C71189" w:rsidRDefault="00364E19" w:rsidP="00C71189">
            <w:pPr>
              <w:pStyle w:val="NormalWeb"/>
              <w:spacing w:before="0" w:after="0"/>
              <w:jc w:val="both"/>
              <w:rPr>
                <w:sz w:val="28"/>
                <w:szCs w:val="28"/>
              </w:rPr>
            </w:pPr>
            <w:bookmarkStart w:id="7" w:name="_Hlk69996576"/>
            <w:r w:rsidRPr="00C71189">
              <w:t>(2) Neapstrādātas naftas un dabasgāzes vērtības aprēķināšanas kārtību nosaka Ministru kabinets.”</w:t>
            </w:r>
            <w:bookmarkEnd w:id="7"/>
          </w:p>
        </w:tc>
        <w:tc>
          <w:tcPr>
            <w:tcW w:w="626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18DE04D7" w14:textId="269FD299" w:rsidR="00364E19" w:rsidRPr="00C71189" w:rsidRDefault="00364E19" w:rsidP="00C71189">
            <w:pPr>
              <w:jc w:val="both"/>
            </w:pPr>
            <w:r w:rsidRPr="00C71189">
              <w:lastRenderedPageBreak/>
              <w:t>Rekomendējam apsvērt iespēju samazināt plānoto nodokļa apmēru fizisku un juridisku personu īpašumā esošās zemēs, nosakot to 2</w:t>
            </w:r>
            <w:r w:rsidR="00A210E5">
              <w:t xml:space="preserve"> </w:t>
            </w:r>
            <w:r w:rsidRPr="00C71189">
              <w:t>-</w:t>
            </w:r>
            <w:r w:rsidR="00A210E5">
              <w:t xml:space="preserve"> </w:t>
            </w:r>
            <w:r w:rsidRPr="00C71189">
              <w:t xml:space="preserve">3% apmērā no iegūtās naftas daudzuma, kas </w:t>
            </w:r>
            <w:r w:rsidRPr="00C71189">
              <w:lastRenderedPageBreak/>
              <w:t>līdzsvarotu Investora maksātos nodokļus/nodevas valsts un privātā īpašumā esošās zemēs.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6514D" w14:textId="77777777" w:rsidR="00364E19" w:rsidRDefault="00B362F8" w:rsidP="00B362F8">
            <w:pPr>
              <w:suppressAutoHyphens w:val="0"/>
              <w:jc w:val="both"/>
            </w:pPr>
            <w:r>
              <w:lastRenderedPageBreak/>
              <w:t xml:space="preserve">VARAM ir izvērtējusi viedokli. </w:t>
            </w:r>
            <w:r w:rsidR="2CF20241" w:rsidRPr="00C71189">
              <w:t>2021.</w:t>
            </w:r>
            <w:r w:rsidR="00821B45">
              <w:t> </w:t>
            </w:r>
            <w:r w:rsidR="2CF20241" w:rsidRPr="00C71189">
              <w:t>gada 19.</w:t>
            </w:r>
            <w:r>
              <w:t> </w:t>
            </w:r>
            <w:r w:rsidR="2CF20241" w:rsidRPr="00C71189">
              <w:t>jūnijā rīkota atsevišķa sanāksme par ogļūdeņražu jautājumiem</w:t>
            </w:r>
            <w:r w:rsidR="28837074" w:rsidRPr="00C71189">
              <w:t xml:space="preserve">, kurā tika panākta </w:t>
            </w:r>
            <w:r w:rsidR="28837074" w:rsidRPr="00C71189">
              <w:lastRenderedPageBreak/>
              <w:t xml:space="preserve">vienošanās par papildu </w:t>
            </w:r>
            <w:r w:rsidR="68BE6FB9" w:rsidRPr="00C71189">
              <w:t xml:space="preserve">pamatojošas </w:t>
            </w:r>
            <w:r w:rsidR="28837074" w:rsidRPr="00C71189">
              <w:t xml:space="preserve">informācijas iesniegšanu </w:t>
            </w:r>
            <w:r w:rsidR="0C484ABF" w:rsidRPr="00C71189">
              <w:t xml:space="preserve">no UAB </w:t>
            </w:r>
            <w:r w:rsidR="5D6B1ECF" w:rsidRPr="00C71189">
              <w:t>Geobaltic” puses.</w:t>
            </w:r>
          </w:p>
          <w:p w14:paraId="0F8CDB0D" w14:textId="06171378" w:rsidR="00F02193" w:rsidRPr="00C71189" w:rsidRDefault="00F02193" w:rsidP="00B362F8">
            <w:pPr>
              <w:suppressAutoHyphens w:val="0"/>
              <w:jc w:val="both"/>
            </w:pPr>
            <w:r>
              <w:t xml:space="preserve">Ievērojot saņemtos viedokļus sabiedrības līdzdalības laikā, </w:t>
            </w:r>
            <w:r w:rsidR="003944A0">
              <w:t>dabas resursu nodokļa</w:t>
            </w:r>
            <w:r>
              <w:t xml:space="preserve"> likme ir samazināta no 12 % uz 7 % par neapstrādātu naftu un no 10 % uz 5 % par dabasgāzi.</w:t>
            </w:r>
          </w:p>
        </w:tc>
      </w:tr>
      <w:tr w:rsidR="00C71189" w:rsidRPr="00C71189" w14:paraId="1946DB68" w14:textId="77777777" w:rsidTr="00657982">
        <w:tc>
          <w:tcPr>
            <w:tcW w:w="627" w:type="dxa"/>
            <w:tcBorders>
              <w:top w:val="single" w:sz="6" w:space="0" w:color="000000" w:themeColor="text1"/>
              <w:left w:val="single" w:sz="6" w:space="0" w:color="000000" w:themeColor="text1"/>
              <w:bottom w:val="single" w:sz="6" w:space="0" w:color="000000" w:themeColor="text1"/>
            </w:tcBorders>
            <w:shd w:val="clear" w:color="auto" w:fill="DBDBDB" w:themeFill="accent3" w:themeFillTint="66"/>
          </w:tcPr>
          <w:p w14:paraId="2564FFBB" w14:textId="77777777" w:rsidR="00364E19" w:rsidRPr="00C71189" w:rsidRDefault="00364E19" w:rsidP="00C71189">
            <w:pPr>
              <w:pStyle w:val="naisc"/>
              <w:numPr>
                <w:ilvl w:val="1"/>
                <w:numId w:val="21"/>
              </w:numPr>
              <w:spacing w:before="0" w:after="0"/>
              <w:ind w:left="361" w:right="317"/>
              <w:jc w:val="left"/>
            </w:pPr>
          </w:p>
        </w:tc>
        <w:tc>
          <w:tcPr>
            <w:tcW w:w="14009" w:type="dxa"/>
            <w:gridSpan w:val="3"/>
            <w:tcBorders>
              <w:top w:val="single" w:sz="6" w:space="0" w:color="000000" w:themeColor="text1"/>
              <w:left w:val="single" w:sz="6" w:space="0" w:color="000000" w:themeColor="text1"/>
              <w:bottom w:val="single" w:sz="6" w:space="0" w:color="000000" w:themeColor="text1"/>
              <w:right w:val="single" w:sz="4" w:space="0" w:color="auto"/>
            </w:tcBorders>
            <w:shd w:val="clear" w:color="auto" w:fill="DBDBDB" w:themeFill="accent3" w:themeFillTint="66"/>
          </w:tcPr>
          <w:p w14:paraId="2027286F" w14:textId="3F3E5BB6" w:rsidR="00364E19" w:rsidRPr="00C71189" w:rsidRDefault="00364E19" w:rsidP="00C71189">
            <w:pPr>
              <w:ind w:right="284"/>
              <w:jc w:val="center"/>
              <w:rPr>
                <w:b/>
                <w:bCs/>
              </w:rPr>
            </w:pPr>
            <w:r w:rsidRPr="00C71189">
              <w:rPr>
                <w:b/>
                <w:bCs/>
              </w:rPr>
              <w:t>Biedrības “Baltijas ogļūdeņražu izpētes un ieguves asociācija” 14.06.2021.</w:t>
            </w:r>
            <w:r w:rsidR="00236B26">
              <w:rPr>
                <w:b/>
                <w:bCs/>
              </w:rPr>
              <w:t xml:space="preserve"> </w:t>
            </w:r>
            <w:r w:rsidR="00ED55F3">
              <w:rPr>
                <w:b/>
                <w:bCs/>
              </w:rPr>
              <w:t>un 28.06.2021. viedokļi</w:t>
            </w:r>
          </w:p>
        </w:tc>
      </w:tr>
      <w:tr w:rsidR="001625D3" w:rsidRPr="00C71189" w14:paraId="563A018C"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2B0E9E9B" w14:textId="77777777" w:rsidR="001625D3" w:rsidRPr="00C71189" w:rsidRDefault="001625D3" w:rsidP="001625D3">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352264DD" w14:textId="77777777" w:rsidR="001625D3" w:rsidRPr="00C71189" w:rsidRDefault="001625D3" w:rsidP="001625D3">
            <w:pPr>
              <w:spacing w:before="120"/>
              <w:jc w:val="both"/>
              <w:rPr>
                <w:b/>
                <w:bCs/>
              </w:rPr>
            </w:pPr>
            <w:r w:rsidRPr="00C71189">
              <w:rPr>
                <w:b/>
                <w:bCs/>
              </w:rPr>
              <w:t xml:space="preserve">Likumprojekta </w:t>
            </w:r>
            <w:r>
              <w:rPr>
                <w:b/>
                <w:bCs/>
              </w:rPr>
              <w:t>13. </w:t>
            </w:r>
            <w:r w:rsidRPr="00C71189">
              <w:rPr>
                <w:b/>
                <w:bCs/>
              </w:rPr>
              <w:t>panta likuma 14.</w:t>
            </w:r>
            <w:r w:rsidRPr="00C71189">
              <w:rPr>
                <w:b/>
                <w:bCs/>
                <w:vertAlign w:val="superscript"/>
              </w:rPr>
              <w:t>2</w:t>
            </w:r>
            <w:r w:rsidRPr="00C71189">
              <w:rPr>
                <w:b/>
                <w:bCs/>
              </w:rPr>
              <w:t> pants:</w:t>
            </w:r>
          </w:p>
          <w:p w14:paraId="038447B5" w14:textId="77777777" w:rsidR="001625D3" w:rsidRPr="00C71189" w:rsidRDefault="001625D3" w:rsidP="001625D3">
            <w:pPr>
              <w:pStyle w:val="NormalWeb"/>
              <w:spacing w:before="0" w:after="0"/>
              <w:jc w:val="both"/>
              <w:rPr>
                <w:b/>
              </w:rPr>
            </w:pPr>
            <w:r w:rsidRPr="00C71189">
              <w:t>“</w:t>
            </w:r>
            <w:r w:rsidRPr="00C71189">
              <w:rPr>
                <w:b/>
              </w:rPr>
              <w:t>14.</w:t>
            </w:r>
            <w:r w:rsidRPr="00C71189">
              <w:rPr>
                <w:b/>
                <w:vertAlign w:val="superscript"/>
              </w:rPr>
              <w:t>2</w:t>
            </w:r>
            <w:r w:rsidRPr="00C71189">
              <w:rPr>
                <w:b/>
              </w:rPr>
              <w:t> pants. Nodokļa aprēķināšana par ogļūdeņražu ieguvi</w:t>
            </w:r>
          </w:p>
          <w:p w14:paraId="04BFA0EE" w14:textId="77777777" w:rsidR="001625D3" w:rsidRPr="00C71189" w:rsidRDefault="001625D3" w:rsidP="001625D3">
            <w:pPr>
              <w:pStyle w:val="NormalWeb"/>
              <w:spacing w:before="0" w:after="0"/>
              <w:jc w:val="both"/>
            </w:pPr>
            <w:r w:rsidRPr="00C71189">
              <w:t>(1) Nodokļa maksātājs aprēķina un maksā nodokli par taksācijas periodā iegūto ogļūdeņražu apjomu, piemērojot nodokļa likmi:</w:t>
            </w:r>
          </w:p>
          <w:p w14:paraId="468D8A73" w14:textId="77777777" w:rsidR="001625D3" w:rsidRPr="00C71189" w:rsidRDefault="001625D3" w:rsidP="001625D3">
            <w:pPr>
              <w:pStyle w:val="NormalWeb"/>
              <w:spacing w:before="0" w:after="0"/>
              <w:jc w:val="both"/>
            </w:pPr>
            <w:r w:rsidRPr="00C71189">
              <w:lastRenderedPageBreak/>
              <w:t>1) 12 procentu apmērā no neapstrādātas naftas vērtības;</w:t>
            </w:r>
          </w:p>
          <w:p w14:paraId="3F053C43" w14:textId="77777777" w:rsidR="001625D3" w:rsidRPr="00C71189" w:rsidRDefault="001625D3" w:rsidP="001625D3">
            <w:pPr>
              <w:pStyle w:val="NormalWeb"/>
              <w:spacing w:before="0" w:after="0"/>
              <w:jc w:val="both"/>
            </w:pPr>
            <w:r w:rsidRPr="00C71189">
              <w:t xml:space="preserve">2) 10 procentu apmērā no dabasgāzes vērtības. </w:t>
            </w:r>
          </w:p>
          <w:p w14:paraId="46E5B20D" w14:textId="77777777" w:rsidR="001625D3" w:rsidRPr="00C71189" w:rsidRDefault="001625D3" w:rsidP="001625D3">
            <w:pPr>
              <w:pStyle w:val="NormalWeb"/>
              <w:spacing w:before="0" w:after="0"/>
              <w:jc w:val="both"/>
            </w:pPr>
          </w:p>
          <w:p w14:paraId="6AE757E7" w14:textId="74EC8326" w:rsidR="001625D3" w:rsidRPr="00C71189" w:rsidRDefault="001625D3" w:rsidP="001625D3">
            <w:pPr>
              <w:spacing w:before="120"/>
              <w:jc w:val="both"/>
              <w:rPr>
                <w:b/>
                <w:bCs/>
              </w:rPr>
            </w:pPr>
            <w:r w:rsidRPr="00C71189">
              <w:t>(2) Neapstrādātas naftas un dabasgāzes vērtības aprēķināšanas kārtību nosaka Ministru kabinets.”</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7B73C56D" w14:textId="123DC45E" w:rsidR="001625D3" w:rsidRPr="00C71189" w:rsidRDefault="001625D3" w:rsidP="001625D3">
            <w:pPr>
              <w:jc w:val="both"/>
            </w:pPr>
            <w:r w:rsidRPr="00C71189">
              <w:lastRenderedPageBreak/>
              <w:t xml:space="preserve">Baltijas ogļūdeņražu izpētes un ieguves asociācija, turpmāk – Asociācija, atsaucoties VARAM mājaslapā publicēto likumprojektu Grozījumi Dabas resursu nodokļa likumā, turpmāk – Likumprojekts, kā arī uz VARAM organizēto tiešsaistes informatīvo pasākumu šī gada 8.jūnijā par izmaiņām dabas resursu nodokļa piemērošanā, kuras laikā atbildīgie pārstāvji nevarēja sniegt atbildes uz nozares pārstāvju jautājumiem, vēlas sniegt iebildumus par Likumprojektu. </w:t>
            </w:r>
          </w:p>
          <w:p w14:paraId="2369EAEC" w14:textId="77777777" w:rsidR="001625D3" w:rsidRPr="00C71189" w:rsidRDefault="001625D3" w:rsidP="001625D3">
            <w:pPr>
              <w:jc w:val="both"/>
            </w:pPr>
            <w:r w:rsidRPr="00C71189">
              <w:t>08.06.2021. Asociācija ir nosūtījusi VARAM vēstuli Nr. 127-21/N par jautājumiem par Likumprojektu, diemžēl 11.06.2021. saņemtajā VARAM vēstulē NR 1-17/5674, nav konkrētu atbilžu uz svarīgākajiem Asociācijas jautājumiem:</w:t>
            </w:r>
          </w:p>
          <w:p w14:paraId="3166312F" w14:textId="77777777" w:rsidR="001625D3" w:rsidRPr="00C71189" w:rsidRDefault="001625D3" w:rsidP="001625D3">
            <w:pPr>
              <w:numPr>
                <w:ilvl w:val="0"/>
                <w:numId w:val="19"/>
              </w:numPr>
              <w:ind w:left="426" w:hanging="426"/>
              <w:jc w:val="both"/>
            </w:pPr>
            <w:r w:rsidRPr="00C71189">
              <w:lastRenderedPageBreak/>
              <w:t>kāda metodika tika izmantota nodokļa aprēķinam par ogļūdeņražiem?</w:t>
            </w:r>
          </w:p>
          <w:p w14:paraId="38799C8F" w14:textId="77777777" w:rsidR="001625D3" w:rsidRPr="00C71189" w:rsidRDefault="001625D3" w:rsidP="001625D3">
            <w:pPr>
              <w:numPr>
                <w:ilvl w:val="0"/>
                <w:numId w:val="19"/>
              </w:numPr>
              <w:ind w:left="426" w:hanging="426"/>
              <w:jc w:val="both"/>
            </w:pPr>
            <w:r w:rsidRPr="00C71189">
              <w:t>kādi aprēķini tika veikti?</w:t>
            </w:r>
          </w:p>
          <w:p w14:paraId="2C77F48A" w14:textId="77777777" w:rsidR="001625D3" w:rsidRPr="00C71189" w:rsidRDefault="001625D3" w:rsidP="001625D3">
            <w:pPr>
              <w:jc w:val="both"/>
            </w:pPr>
            <w:r w:rsidRPr="00C71189">
              <w:t>Asociācija atkārtoti norāda, ka ir jābūt metodoloģiski pamatotam ekonomiskajam aprēķinam, pēc kurām VARAM ir vadījusies Likumprojekta ietvaros aprēķinot nodokli par ogļūdeņražu ieguvi. Asociācija lūdz steidzami sniegt konkrētas atbildes uz uzdotajiem jautājumiem, lai Asociācijai būtu iespēja sagatavot kvalitatīvu atzinumu par Likumprojektu.</w:t>
            </w:r>
          </w:p>
          <w:p w14:paraId="10ED1CC4" w14:textId="77777777" w:rsidR="001625D3" w:rsidRPr="00C71189" w:rsidRDefault="001625D3" w:rsidP="001625D3">
            <w:pPr>
              <w:jc w:val="both"/>
            </w:pPr>
            <w:r w:rsidRPr="00C71189">
              <w:t>Kā arī lūgums precizēt par citām valstīm norādīto  nodokļa apmēru – kāda veida nodoklis tas ir, kādās zemēs (kāda piederība) un kāds šajās valstīs ir vidējais ieguves apjoms diennaktī valstī kopumā un cik vidēji lielas iegulas vai licences laukumi ir šajā norādītajās valstīs?</w:t>
            </w:r>
          </w:p>
          <w:p w14:paraId="73753B61" w14:textId="77777777" w:rsidR="001625D3" w:rsidRPr="00C71189" w:rsidRDefault="001625D3" w:rsidP="001625D3">
            <w:pPr>
              <w:jc w:val="both"/>
            </w:pPr>
            <w:r w:rsidRPr="00C71189">
              <w:t>Asociācija ir iepazinusies ar VARAM atbildē sniegto informāciju par valstīm un tajās noteikto nodokļu apmēru ogļūdeņražu ieguvei un norāda, ka sniegtā informācija ir nepatiesa un maldinoša.</w:t>
            </w:r>
          </w:p>
          <w:p w14:paraId="7373F092" w14:textId="77777777" w:rsidR="001625D3" w:rsidRPr="00C71189" w:rsidRDefault="001625D3" w:rsidP="001625D3">
            <w:pPr>
              <w:jc w:val="both"/>
            </w:pPr>
            <w:r w:rsidRPr="00C71189">
              <w:t>Papildus Asociācija lūdz norādīt - kāds ir dabas resursu nodokļa mērķis un kāds ir valsts nodevas mērķis?</w:t>
            </w:r>
          </w:p>
          <w:p w14:paraId="58CA78AC" w14:textId="36D7108E" w:rsidR="001625D3" w:rsidRDefault="001625D3" w:rsidP="001625D3">
            <w:pPr>
              <w:jc w:val="both"/>
            </w:pPr>
            <w:r w:rsidRPr="00C71189">
              <w:t>Vai Asociācija pareizi saprot, ka šobrīd esošais nodokļa apmērs valsts zemēs paliks nemainīgs, bet privātajās zemēs radīsies jauns nodoklis 12% apmērā? Kādā veidā VARAM plāno nediskriminēt privāto zemju īpašniekus? Vai arī tāds regulējums tiek ieviests ar nolūku, lai valsts zemēs būtu priekšrocība veikt ogļūdeņražu ieguvi?</w:t>
            </w:r>
          </w:p>
          <w:p w14:paraId="73A2E642" w14:textId="4B68678A" w:rsidR="001625D3" w:rsidRDefault="001625D3" w:rsidP="001625D3">
            <w:pPr>
              <w:jc w:val="both"/>
            </w:pPr>
          </w:p>
          <w:p w14:paraId="7F58F2D2" w14:textId="29EB5D3B" w:rsidR="001625D3" w:rsidRPr="00ED55F3" w:rsidRDefault="001625D3" w:rsidP="001625D3">
            <w:pPr>
              <w:jc w:val="both"/>
              <w:rPr>
                <w:b/>
                <w:bCs/>
              </w:rPr>
            </w:pPr>
            <w:r w:rsidRPr="00ED55F3">
              <w:rPr>
                <w:b/>
                <w:bCs/>
              </w:rPr>
              <w:t>28.06.2021. viedoklis:</w:t>
            </w:r>
          </w:p>
          <w:p w14:paraId="359A9BD1" w14:textId="77777777" w:rsidR="001625D3" w:rsidRPr="000842C3" w:rsidRDefault="001625D3" w:rsidP="001625D3">
            <w:pPr>
              <w:ind w:right="284"/>
              <w:jc w:val="both"/>
              <w:rPr>
                <w:color w:val="000000"/>
              </w:rPr>
            </w:pPr>
            <w:r w:rsidRPr="000842C3">
              <w:rPr>
                <w:color w:val="000000"/>
              </w:rPr>
              <w:t xml:space="preserve">VARAM augstāk minētajā vēstulē informē, ka VARAM </w:t>
            </w:r>
            <w:r>
              <w:rPr>
                <w:color w:val="000000"/>
              </w:rPr>
              <w:t>kopā ar Ekonomikas ministriju un ieinteresētajām pusēm</w:t>
            </w:r>
            <w:r w:rsidRPr="000842C3">
              <w:rPr>
                <w:color w:val="000000"/>
              </w:rPr>
              <w:t xml:space="preserve"> </w:t>
            </w:r>
            <w:r>
              <w:rPr>
                <w:color w:val="000000"/>
              </w:rPr>
              <w:t xml:space="preserve">ir organizējusi plānoto attālināto sanāksmi plkst. 09:30-10:30 “MS Teams” vidē, neskatoties uz Asociācijas iebildumiem 16.06.2021. vēstulē Nr. 134-21/N. Asociācija atkārtoti norāda, ka augstāk minētā sanāksme nav tikusi saskaņota ar </w:t>
            </w:r>
            <w:r>
              <w:rPr>
                <w:color w:val="000000"/>
              </w:rPr>
              <w:lastRenderedPageBreak/>
              <w:t xml:space="preserve">Asociācijas pārstāvjiem, līdz ar to tiem nav bijusi iespēja sanāksmē piedalīties. </w:t>
            </w:r>
            <w:r w:rsidRPr="005E084C">
              <w:rPr>
                <w:color w:val="000000"/>
              </w:rPr>
              <w:t xml:space="preserve">Par tiešsaistes sanāksmi 8.jūnijā tika paziņots tikai 3 darba dienas pirms tās norises, un neskatoties uz Asociācijas lūgumiem sanāksmes norises laikā informēt par plānoto sanāksmi pēc iespējas ātrāk. </w:t>
            </w:r>
            <w:r>
              <w:rPr>
                <w:color w:val="000000"/>
              </w:rPr>
              <w:t>Iepriekš vairākas reizes Asociācija tika lūgusi</w:t>
            </w:r>
            <w:r w:rsidRPr="005E084C">
              <w:rPr>
                <w:color w:val="000000"/>
              </w:rPr>
              <w:t xml:space="preserve"> paziņot par sanāksme datumu un laiku vismaz divas nedēļas pirms tās norises. </w:t>
            </w:r>
            <w:r>
              <w:rPr>
                <w:color w:val="000000"/>
              </w:rPr>
              <w:t xml:space="preserve">Asociācija arī atgādina, ka </w:t>
            </w:r>
            <w:r w:rsidRPr="005E084C">
              <w:rPr>
                <w:color w:val="000000"/>
              </w:rPr>
              <w:t>š.g. 8.jūnija tiešsaistes informatīvās sanāksmes laikā netika sniegtas atbildes uz Asociācijas uzdotajiem jautājumiem. Pēc sanāksmes Asociācija jautājumus 08.06.2021. vēstulē Nr. 127-21/N nosūtīja VARAM rakstiski, un līdz pat šim brīdim nav saņemtas konkrētas atbildes.</w:t>
            </w:r>
            <w:r>
              <w:rPr>
                <w:color w:val="000000"/>
              </w:rPr>
              <w:t xml:space="preserve"> </w:t>
            </w:r>
            <w:r w:rsidRPr="000842C3">
              <w:rPr>
                <w:color w:val="000000"/>
              </w:rPr>
              <w:t xml:space="preserve">Papildus Asociācija </w:t>
            </w:r>
            <w:r>
              <w:rPr>
                <w:color w:val="000000"/>
              </w:rPr>
              <w:t>ir nosūtījusi</w:t>
            </w:r>
            <w:r w:rsidRPr="000842C3">
              <w:rPr>
                <w:color w:val="000000"/>
              </w:rPr>
              <w:t xml:space="preserve"> </w:t>
            </w:r>
            <w:r w:rsidRPr="000842C3">
              <w:rPr>
                <w:b/>
                <w:color w:val="000000"/>
                <w:u w:val="single"/>
              </w:rPr>
              <w:t>vēstuli 11.06.2021. Nr.132-21/N ar šiem pašiem jautājumiem</w:t>
            </w:r>
            <w:r w:rsidRPr="000842C3">
              <w:rPr>
                <w:color w:val="000000"/>
              </w:rPr>
              <w:t xml:space="preserve">, ar lūgumu sniegt atbildes līdz VARAM un nozares plānotajai sanāksmei, lai varētu </w:t>
            </w:r>
            <w:r w:rsidRPr="000842C3">
              <w:rPr>
                <w:b/>
                <w:color w:val="000000"/>
                <w:u w:val="single"/>
              </w:rPr>
              <w:t>konsultēties, piesaistīt nozares speciālistus un pilnvērtīgi sagatavoties sanāksmei</w:t>
            </w:r>
            <w:r w:rsidRPr="000842C3">
              <w:rPr>
                <w:color w:val="000000"/>
              </w:rPr>
              <w:t xml:space="preserve">. </w:t>
            </w:r>
          </w:p>
          <w:p w14:paraId="0758717A" w14:textId="77777777" w:rsidR="001625D3" w:rsidRPr="000842C3" w:rsidRDefault="001625D3" w:rsidP="001625D3">
            <w:pPr>
              <w:ind w:right="284"/>
              <w:jc w:val="both"/>
              <w:rPr>
                <w:color w:val="000000"/>
              </w:rPr>
            </w:pPr>
            <w:r>
              <w:rPr>
                <w:color w:val="000000"/>
              </w:rPr>
              <w:t>Asociācija norāda, ka nav ievērota labas pārvaldības prakse</w:t>
            </w:r>
            <w:r w:rsidRPr="000842C3">
              <w:rPr>
                <w:color w:val="000000"/>
              </w:rPr>
              <w:t xml:space="preserve"> un Ministru kabineta 2009.gada </w:t>
            </w:r>
            <w:r>
              <w:rPr>
                <w:color w:val="000000"/>
              </w:rPr>
              <w:t>3.februāra noteikumi</w:t>
            </w:r>
            <w:r w:rsidRPr="000842C3">
              <w:rPr>
                <w:color w:val="000000"/>
              </w:rPr>
              <w:t xml:space="preserve"> </w:t>
            </w:r>
            <w:r w:rsidRPr="000842C3">
              <w:rPr>
                <w:b/>
                <w:color w:val="000000"/>
                <w:u w:val="single"/>
              </w:rPr>
              <w:t>Nr.108 “Normatīvo aktu sagatavošanas noteikumi”</w:t>
            </w:r>
            <w:r w:rsidRPr="000842C3">
              <w:rPr>
                <w:color w:val="000000"/>
              </w:rPr>
              <w:t>, kā arī Ministru kabineta</w:t>
            </w:r>
            <w:r>
              <w:rPr>
                <w:color w:val="000000"/>
              </w:rPr>
              <w:t xml:space="preserve"> 2009.gada 25.augusta noteikumi</w:t>
            </w:r>
            <w:r w:rsidRPr="000842C3">
              <w:rPr>
                <w:color w:val="000000"/>
              </w:rPr>
              <w:t xml:space="preserve"> </w:t>
            </w:r>
            <w:r w:rsidRPr="000842C3">
              <w:rPr>
                <w:b/>
                <w:color w:val="000000"/>
                <w:u w:val="single"/>
              </w:rPr>
              <w:t>Nr. 970 “Sabiedrības līdzdalības kārtība attīstības plānošanas procesā”</w:t>
            </w:r>
            <w:r w:rsidRPr="000842C3">
              <w:rPr>
                <w:color w:val="000000"/>
              </w:rPr>
              <w:t xml:space="preserve">. </w:t>
            </w:r>
          </w:p>
          <w:p w14:paraId="670612E9" w14:textId="77777777" w:rsidR="001625D3" w:rsidRPr="000842C3" w:rsidRDefault="001625D3" w:rsidP="001625D3">
            <w:pPr>
              <w:ind w:right="284"/>
              <w:jc w:val="both"/>
              <w:rPr>
                <w:color w:val="000000"/>
              </w:rPr>
            </w:pPr>
            <w:r>
              <w:rPr>
                <w:color w:val="000000"/>
              </w:rPr>
              <w:t>Asociācijai vēl joprojām n</w:t>
            </w:r>
            <w:r w:rsidRPr="000842C3">
              <w:rPr>
                <w:color w:val="000000"/>
              </w:rPr>
              <w:t>av saprotams, kāpēc VARAM kārtējo reizi būtiskus likumprojektus vēlas virzīt steigā, nesniedzot atbildes uz nozares jautājumiem, kā arī informējot par plānotajām sanāksmēm tikai pāris dienas pirms to norises.</w:t>
            </w:r>
            <w:r>
              <w:rPr>
                <w:color w:val="000000"/>
              </w:rPr>
              <w:t xml:space="preserve"> Asociācija atkārtoti l</w:t>
            </w:r>
            <w:r>
              <w:rPr>
                <w:b/>
                <w:color w:val="000000"/>
                <w:u w:val="single"/>
              </w:rPr>
              <w:t>ūdz</w:t>
            </w:r>
            <w:r w:rsidRPr="000842C3">
              <w:rPr>
                <w:b/>
                <w:color w:val="000000"/>
                <w:u w:val="single"/>
              </w:rPr>
              <w:t xml:space="preserve"> sniegt atbildi, kādēļ svarīgs likumprojekts tiek virzīts tik lielā steigā, pilnīgi noteikti ierobežojot sabiedrības līdzdalības iespējas</w:t>
            </w:r>
            <w:r w:rsidRPr="000842C3">
              <w:rPr>
                <w:color w:val="000000"/>
              </w:rPr>
              <w:t xml:space="preserve">. </w:t>
            </w:r>
          </w:p>
          <w:p w14:paraId="6F105A52" w14:textId="77777777" w:rsidR="001625D3" w:rsidRPr="000842C3" w:rsidRDefault="001625D3" w:rsidP="001625D3">
            <w:pPr>
              <w:ind w:right="284"/>
              <w:jc w:val="both"/>
              <w:rPr>
                <w:b/>
                <w:color w:val="000000"/>
                <w:u w:val="single"/>
              </w:rPr>
            </w:pPr>
            <w:r w:rsidRPr="000842C3">
              <w:rPr>
                <w:color w:val="000000"/>
              </w:rPr>
              <w:t xml:space="preserve">Diemžēl, Asociācijas pārstāvja lūgums 8.jūnija sanāksmes laikā nozīmēt nākamo plānoto sanāksmi, lai būtu iespējams savlaicīgi sagatavoties tai, </w:t>
            </w:r>
            <w:r w:rsidRPr="000842C3">
              <w:rPr>
                <w:b/>
                <w:color w:val="000000"/>
                <w:u w:val="single"/>
              </w:rPr>
              <w:t>tika noraidīts.</w:t>
            </w:r>
            <w:r w:rsidRPr="000842C3">
              <w:rPr>
                <w:color w:val="000000"/>
              </w:rPr>
              <w:t xml:space="preserve"> 16.06.2021. </w:t>
            </w:r>
            <w:r w:rsidRPr="000842C3">
              <w:rPr>
                <w:color w:val="000000"/>
              </w:rPr>
              <w:lastRenderedPageBreak/>
              <w:t xml:space="preserve">saņemtajā vēstulē norādīts, ka sanāksme plānota 19.06.2021., kas nozīmē, ka </w:t>
            </w:r>
            <w:r w:rsidRPr="000842C3">
              <w:rPr>
                <w:b/>
                <w:color w:val="000000"/>
                <w:u w:val="single"/>
              </w:rPr>
              <w:t>atkal informācija ir saņemtsa tikai trīs darba dienas pirms plānotās sanāksmes norises dienas.</w:t>
            </w:r>
            <w:r w:rsidRPr="000842C3">
              <w:rPr>
                <w:color w:val="000000"/>
              </w:rPr>
              <w:t xml:space="preserve"> Bez tam, </w:t>
            </w:r>
            <w:r w:rsidRPr="000842C3">
              <w:rPr>
                <w:b/>
                <w:color w:val="000000"/>
                <w:u w:val="single"/>
              </w:rPr>
              <w:t>19.06.2021. ir sestdiena, kas ir pārceltā darbadiena 25.jūnija un ir obligāti saistoša tikai valsts institūcijām</w:t>
            </w:r>
            <w:r w:rsidRPr="000842C3">
              <w:rPr>
                <w:color w:val="000000"/>
              </w:rPr>
              <w:t>.</w:t>
            </w:r>
          </w:p>
          <w:p w14:paraId="6165E849" w14:textId="77777777" w:rsidR="001625D3" w:rsidRPr="000842C3" w:rsidRDefault="001625D3" w:rsidP="001625D3">
            <w:pPr>
              <w:ind w:right="284"/>
              <w:jc w:val="both"/>
              <w:rPr>
                <w:color w:val="000000"/>
                <w:u w:val="single"/>
              </w:rPr>
            </w:pPr>
            <w:r w:rsidRPr="000842C3">
              <w:rPr>
                <w:color w:val="000000"/>
              </w:rPr>
              <w:t xml:space="preserve">Ņemot vērā augstāk minēto, Asociācija kategoriski nepiekrīt šādam VARAM darba stilam un atkārtoti lūdz saskaņot plānoto sanāksmi </w:t>
            </w:r>
            <w:r>
              <w:rPr>
                <w:b/>
                <w:color w:val="000000"/>
                <w:u w:val="single"/>
              </w:rPr>
              <w:t>savlaicīgi.</w:t>
            </w:r>
            <w:r w:rsidRPr="00D96B7F">
              <w:rPr>
                <w:b/>
                <w:color w:val="000000"/>
              </w:rPr>
              <w:t xml:space="preserve"> </w:t>
            </w:r>
            <w:r w:rsidRPr="000842C3">
              <w:rPr>
                <w:color w:val="000000"/>
              </w:rPr>
              <w:t xml:space="preserve">Bez tam, Asociācija atkārtoti lūdz sniegt </w:t>
            </w:r>
            <w:r w:rsidRPr="000842C3">
              <w:rPr>
                <w:b/>
                <w:color w:val="000000"/>
                <w:u w:val="single"/>
              </w:rPr>
              <w:t>rakstiskas atbildes pirms sanāksmes uz visiem iepriekš izteiktajiem un nosūtītajiem jautājumiem</w:t>
            </w:r>
            <w:r w:rsidRPr="000842C3">
              <w:rPr>
                <w:b/>
                <w:color w:val="000000"/>
              </w:rPr>
              <w:t>,</w:t>
            </w:r>
            <w:r w:rsidRPr="000842C3">
              <w:rPr>
                <w:color w:val="000000"/>
              </w:rPr>
              <w:t xml:space="preserve"> jo tikai tā var plānot konstruktīvu un pilnvērtīgu darba norsi sanāksmes laikā. Tāpat, ievērojot, ka VARAM plāno paredzēt sanāksmei tikai vienu stundu, kas ir ļoti ierobežots laiks tik plašam un būtiskam jautājumam par likumprojektu “Grozījumi Dabas resursu nodokļa likumā”, nepieciešams </w:t>
            </w:r>
            <w:r w:rsidRPr="000842C3">
              <w:rPr>
                <w:b/>
                <w:color w:val="000000"/>
                <w:u w:val="single"/>
              </w:rPr>
              <w:t>saņemt atbildes uz adresētajiem jautājumiem savlaicīgi – vismaz 3 darba dienas līdz šai sanāksmei</w:t>
            </w:r>
            <w:r w:rsidRPr="000842C3">
              <w:rPr>
                <w:color w:val="000000"/>
              </w:rPr>
              <w:t xml:space="preserve">, lai Asociācijas biedri varētu ar tām </w:t>
            </w:r>
            <w:r w:rsidRPr="000842C3">
              <w:rPr>
                <w:b/>
                <w:color w:val="000000"/>
                <w:u w:val="single"/>
              </w:rPr>
              <w:t>iepazīties, katrs iesniegt savu komentāru un priekšlikumus, būtu iespējams apkopot iesniegtos priekšlikumus un pilnvērtīgi piedalīties plānotajā sanāksmē</w:t>
            </w:r>
            <w:r w:rsidRPr="000842C3">
              <w:rPr>
                <w:color w:val="000000"/>
                <w:u w:val="single"/>
              </w:rPr>
              <w:t xml:space="preserve">.  </w:t>
            </w:r>
          </w:p>
          <w:p w14:paraId="48243094" w14:textId="265919F8" w:rsidR="001625D3" w:rsidRPr="00375711" w:rsidRDefault="001625D3" w:rsidP="001625D3">
            <w:pPr>
              <w:ind w:right="284"/>
              <w:jc w:val="both"/>
              <w:rPr>
                <w:color w:val="000000"/>
              </w:rPr>
            </w:pPr>
            <w:r w:rsidRPr="000842C3">
              <w:rPr>
                <w:color w:val="000000"/>
              </w:rPr>
              <w:t>Asociācija arī norāda, ka VARAM apņēmās rīkot atsevišķu sanāksmi jautājumā par dabas resursa nodokļa ieviešanu ogļūdeņražu ieguvei, ņemot vērā šīs nozares specifiku un nepieņemamu aprēķinu no ogļūdeņražu vērtības. Kā redzams no sniegtās atbildes, VARAM</w:t>
            </w:r>
            <w:r>
              <w:rPr>
                <w:color w:val="000000"/>
              </w:rPr>
              <w:t xml:space="preserve"> apzināti līdz pašas norādītajam sanāksmes datumam nav sniegusi atbildes, lai Asociācijas pārstāvji varētu sagatavoties, kā arī datumu ir paziņojusi pēdējā brīdī, tādējādi ar nolūku liedzot iespēju Asociācijas pārstāvjiem piedalīties sanāksmē. Nav pieļaujama nozares un Asociācijas pilnīga ignorēšana,</w:t>
            </w:r>
            <w:r w:rsidRPr="000842C3">
              <w:rPr>
                <w:color w:val="000000"/>
              </w:rPr>
              <w:t xml:space="preserve"> izstrādājot likuma grozījumus </w:t>
            </w:r>
            <w:r>
              <w:rPr>
                <w:color w:val="000000"/>
              </w:rPr>
              <w:t xml:space="preserve">tieši minētajai nozarei, tāpēc Asociācija nekavējoties pieprasa sniegt atbildes rakstiski un </w:t>
            </w:r>
            <w:r>
              <w:rPr>
                <w:color w:val="000000"/>
              </w:rPr>
              <w:lastRenderedPageBreak/>
              <w:t xml:space="preserve">organizēt apsolīto sanāksmi ar nozari un Asociāciju pirms grozījumi tiek virzīti saskaņošanai VSS. Pretējā gadījumā tiek pārkāpti </w:t>
            </w:r>
            <w:r w:rsidRPr="000842C3">
              <w:rPr>
                <w:color w:val="000000"/>
              </w:rPr>
              <w:t xml:space="preserve">Ministru kabineta 2009.gada </w:t>
            </w:r>
            <w:r>
              <w:rPr>
                <w:color w:val="000000"/>
              </w:rPr>
              <w:t>3.februāra noteikumi</w:t>
            </w:r>
            <w:r w:rsidRPr="000842C3">
              <w:rPr>
                <w:color w:val="000000"/>
              </w:rPr>
              <w:t xml:space="preserve"> </w:t>
            </w:r>
            <w:r w:rsidRPr="000842C3">
              <w:rPr>
                <w:b/>
                <w:color w:val="000000"/>
                <w:u w:val="single"/>
              </w:rPr>
              <w:t>Nr.108 “Normatīvo aktu sagatavošanas noteikumi”</w:t>
            </w:r>
            <w:r w:rsidRPr="000842C3">
              <w:rPr>
                <w:color w:val="000000"/>
              </w:rPr>
              <w:t>, kā arī Ministru kabineta</w:t>
            </w:r>
            <w:r>
              <w:rPr>
                <w:color w:val="000000"/>
              </w:rPr>
              <w:t xml:space="preserve"> 2009.gada 25.augusta noteikumi</w:t>
            </w:r>
            <w:r w:rsidRPr="000842C3">
              <w:rPr>
                <w:color w:val="000000"/>
              </w:rPr>
              <w:t xml:space="preserve"> </w:t>
            </w:r>
            <w:r w:rsidRPr="000842C3">
              <w:rPr>
                <w:b/>
                <w:color w:val="000000"/>
                <w:u w:val="single"/>
              </w:rPr>
              <w:t>Nr. 970 “Sabiedrības līdzdalības kārtība attīstības plānošanas procesā”</w:t>
            </w:r>
            <w:r w:rsidRPr="000842C3">
              <w:rPr>
                <w:color w:val="000000"/>
              </w:rPr>
              <w:t xml:space="preserve">. </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2BAC6563" w14:textId="17CEF95C" w:rsidR="001625D3" w:rsidRPr="00C71189" w:rsidRDefault="001625D3" w:rsidP="001625D3">
            <w:pPr>
              <w:pStyle w:val="naisc"/>
              <w:spacing w:before="0" w:after="0"/>
              <w:jc w:val="both"/>
            </w:pPr>
            <w:r>
              <w:lastRenderedPageBreak/>
              <w:t xml:space="preserve">VARAM ir izvērtējusi viedokli un papildinājusi anotāciju. </w:t>
            </w:r>
            <w:r w:rsidRPr="00C71189">
              <w:t>2021.</w:t>
            </w:r>
            <w:r>
              <w:t> </w:t>
            </w:r>
            <w:r w:rsidRPr="00C71189">
              <w:t>gada 19.</w:t>
            </w:r>
            <w:r>
              <w:t> </w:t>
            </w:r>
            <w:r w:rsidRPr="00C71189">
              <w:t>jūnijā rīkota atsevišķa sanāksme par ogļūdeņražu jautājumiem, kurai biedrība nepieslēdzās.</w:t>
            </w:r>
          </w:p>
          <w:p w14:paraId="412FFF12" w14:textId="3BA389D1" w:rsidR="001625D3" w:rsidRPr="00C71189" w:rsidRDefault="001625D3" w:rsidP="001625D3">
            <w:pPr>
              <w:pStyle w:val="naisc"/>
              <w:spacing w:before="0" w:after="0"/>
              <w:jc w:val="both"/>
            </w:pPr>
            <w:r w:rsidRPr="00C71189">
              <w:t>Norādām, ka dabas resursu nodokļa ogļūdeņražu ieguvei likme noteikta atbilstoši Ekonomikas ministrijas priekšlikumiem. Dabas resursu nodokļa likmes aprēķināšanas metodikas pamatprincips balstīts uz Ministru kabineta 2009. gada 18. augusta noteikumu Nr. 942 “Noteikumi par ogļūdeņražu ieguves valsts nodevu” nosacījumiem</w:t>
            </w:r>
            <w:r>
              <w:t>, kā arī vērtēta citu valstu, piemēram, Lietuvas, situācija.</w:t>
            </w:r>
          </w:p>
          <w:p w14:paraId="282CAF5F" w14:textId="4B12FF93" w:rsidR="001625D3" w:rsidRDefault="001625D3" w:rsidP="001625D3">
            <w:pPr>
              <w:pStyle w:val="naisc"/>
              <w:spacing w:before="0" w:after="0"/>
              <w:jc w:val="both"/>
            </w:pPr>
            <w:r w:rsidRPr="00C71189">
              <w:lastRenderedPageBreak/>
              <w:t>Ekonomikas ministrija ir veikusi analīzi par ogļūdeņražu nodevas un nodokļu likmēm arī par citām valstīm. Pasaules prakse šajā jautājumā ir ļoti dažāda. Pastāv valstis, kur maksājama viena nodeva, kur iekļauts gan dabas resursu nodoklis, gan nodeva par ogļūdeņražu ieguvi, bet atsevišķās valstīs ir līdzīga prakse, kāda iecerēta arī Latvijā – ir veicami divi atsevišķi maksājumi – viens par nodevu, otrs par dabas resursu nodokli. Kopējais nodokļu (tai skaitā nodevas) slogs atsevišķās valstīs svārstās no 10 – 24 %. Piemēram, Lietuvā nodokļi sastāda 12 %, Vācijā 18 – 21 %, Itālijā  - 24 %. Paralēli vērtē</w:t>
            </w:r>
            <w:r>
              <w:t>ti</w:t>
            </w:r>
            <w:r w:rsidRPr="00C71189">
              <w:t xml:space="preserve"> cit</w:t>
            </w:r>
            <w:r>
              <w:t>i</w:t>
            </w:r>
            <w:r w:rsidRPr="00C71189">
              <w:t xml:space="preserve"> statistikas dat</w:t>
            </w:r>
            <w:r>
              <w:t>i</w:t>
            </w:r>
            <w:r w:rsidRPr="00C71189">
              <w:t>, tai skaitā dat</w:t>
            </w:r>
            <w:r>
              <w:t>i</w:t>
            </w:r>
            <w:r w:rsidRPr="00C71189">
              <w:t xml:space="preserve"> no “International Energy Agency”. Tāpat dažāda veida informācija par atsevišķu nodevu/nodokļu analīzi un  pētījumiem pieejama  Ernst&amp;Young tīmekļvietnē: </w:t>
            </w:r>
            <w:hyperlink r:id="rId8" w:history="1">
              <w:hyperlink r:id="rId9" w:history="1">
                <w:r w:rsidRPr="00C71189">
                  <w:t>https://www.ey.com/en_gl/tax</w:t>
                </w:r>
              </w:hyperlink>
            </w:hyperlink>
            <w:r w:rsidRPr="00C71189">
              <w:t>.</w:t>
            </w:r>
          </w:p>
          <w:p w14:paraId="3FAF7EA4" w14:textId="68BFA0DA" w:rsidR="001625D3" w:rsidRDefault="001625D3" w:rsidP="001625D3">
            <w:pPr>
              <w:pStyle w:val="naisc"/>
              <w:spacing w:before="0" w:after="0"/>
              <w:jc w:val="both"/>
            </w:pPr>
            <w:r w:rsidRPr="00BE6B3F">
              <w:t xml:space="preserve">Saskaņā ar </w:t>
            </w:r>
            <w:r>
              <w:t xml:space="preserve">Dabas resursu nodokļa </w:t>
            </w:r>
            <w:r w:rsidRPr="00BE6B3F">
              <w:t xml:space="preserve">likuma 2. pantu </w:t>
            </w:r>
            <w:r>
              <w:t>dabas resursu nodokļa</w:t>
            </w:r>
            <w:r w:rsidRPr="00BE6B3F">
              <w:t xml:space="preserve"> mērķis ir veicināt dabas resursu ekonomiski efektīvu izmantošanu, ierobežot vides piesārņošanu, samazināt vidi piesārņojošas produkcijas ražošanu un realizāciju, veicināt jaunu, vidi saudzējošu tehnoloģiju ieviešanu, atbalstīt tautsaimniecības ilgtspējīgu attīstību, kā arī finansiāli nodrošināt vides aizsardzības pasākumus, tikmēr likuma “Par nodokļiem un nodevām” 1. panta 2. punkts noteic, ka valsts nodeva ir obligāts maksājums valsts budžetā vai šajā likumā noteiktajos gadījumos pašvaldības budžetā par valsts vai pašvaldības institūcijas veicamo darbību, kas izriet no šīs institūcijas funkcijām. Valsts nodevas mērķis ir personu darbību regulēšana (kontrolēšana, </w:t>
            </w:r>
            <w:r w:rsidRPr="00BE6B3F">
              <w:lastRenderedPageBreak/>
              <w:t>veicināšana, ierobežošana). Valsts nodevas apmērs nav tiešā veidā saistīts ar institūcijas veiktās darbības izmaksu segšanu.</w:t>
            </w:r>
          </w:p>
          <w:p w14:paraId="0823D46E" w14:textId="190DC9A3" w:rsidR="001625D3" w:rsidRDefault="001625D3" w:rsidP="001625D3">
            <w:pPr>
              <w:pStyle w:val="naisc"/>
              <w:spacing w:before="0" w:after="0"/>
              <w:jc w:val="both"/>
            </w:pPr>
            <w:r>
              <w:t xml:space="preserve">Dabas resursu nodoklis tiek piemērots neatkarīgi no īpašuma piederības, tas netiek ieviests ar nolūku, </w:t>
            </w:r>
            <w:r w:rsidRPr="00C71189">
              <w:t>lai valsts zemēs būtu priekšrocība veikt ogļūdeņražu ieguvi</w:t>
            </w:r>
            <w:r>
              <w:t>.</w:t>
            </w:r>
          </w:p>
          <w:p w14:paraId="3BA7F0B4" w14:textId="30499E36" w:rsidR="001625D3" w:rsidRDefault="001625D3" w:rsidP="001625D3">
            <w:pPr>
              <w:pStyle w:val="naisc"/>
              <w:spacing w:before="0" w:after="0"/>
              <w:jc w:val="both"/>
            </w:pPr>
            <w:r>
              <w:t>Ievērojot saņemtos viedokļus sabiedrības līdzdalības laikā, dabas resursu nodokļa likme ir samazināta no 12 % uz 7 % par neapstrādātu naftu un no 10 % uz 5 % par dabasgāzi.</w:t>
            </w:r>
          </w:p>
          <w:p w14:paraId="2F687AC1" w14:textId="5F0FDA42" w:rsidR="001625D3" w:rsidRPr="00C71189" w:rsidRDefault="001625D3" w:rsidP="001625D3">
            <w:pPr>
              <w:pStyle w:val="naisc"/>
              <w:spacing w:before="0" w:after="0"/>
              <w:jc w:val="both"/>
            </w:pPr>
            <w:r>
              <w:t>Biedrībai būs iespēja iesaistīties likumprojekta saskaņošanas procesā arī pēc tā izsludināšanas Valsts sekretāru sanāksmē</w:t>
            </w:r>
            <w:r w:rsidRPr="004D59C6">
              <w:t xml:space="preserve"> Ministru kabineta 2009. gada 7. aprīļa noteikumu Nr. 300 “Ministru kabineta kārtības rullis” </w:t>
            </w:r>
            <w:r>
              <w:t>noteiktajā kārtībā.</w:t>
            </w:r>
          </w:p>
        </w:tc>
      </w:tr>
      <w:tr w:rsidR="001625D3" w:rsidRPr="00C71189" w14:paraId="31DD9FD9" w14:textId="77777777" w:rsidTr="00657982">
        <w:tc>
          <w:tcPr>
            <w:tcW w:w="627" w:type="dxa"/>
            <w:tcBorders>
              <w:top w:val="single" w:sz="6" w:space="0" w:color="000000" w:themeColor="text1"/>
              <w:left w:val="single" w:sz="6" w:space="0" w:color="000000" w:themeColor="text1"/>
              <w:bottom w:val="single" w:sz="6" w:space="0" w:color="000000" w:themeColor="text1"/>
            </w:tcBorders>
            <w:shd w:val="clear" w:color="auto" w:fill="DBDBDB" w:themeFill="accent3" w:themeFillTint="66"/>
          </w:tcPr>
          <w:p w14:paraId="7671E0E6" w14:textId="77777777" w:rsidR="001625D3" w:rsidRPr="00C71189" w:rsidRDefault="001625D3" w:rsidP="001625D3">
            <w:pPr>
              <w:pStyle w:val="naisc"/>
              <w:numPr>
                <w:ilvl w:val="1"/>
                <w:numId w:val="21"/>
              </w:numPr>
              <w:spacing w:before="0" w:after="0"/>
              <w:ind w:left="361" w:right="317"/>
              <w:jc w:val="left"/>
            </w:pPr>
          </w:p>
        </w:tc>
        <w:tc>
          <w:tcPr>
            <w:tcW w:w="14009" w:type="dxa"/>
            <w:gridSpan w:val="3"/>
            <w:tcBorders>
              <w:top w:val="single" w:sz="6" w:space="0" w:color="000000" w:themeColor="text1"/>
              <w:left w:val="single" w:sz="6" w:space="0" w:color="000000" w:themeColor="text1"/>
              <w:bottom w:val="single" w:sz="6" w:space="0" w:color="000000" w:themeColor="text1"/>
              <w:right w:val="single" w:sz="4" w:space="0" w:color="auto"/>
            </w:tcBorders>
            <w:shd w:val="clear" w:color="auto" w:fill="DBDBDB" w:themeFill="accent3" w:themeFillTint="66"/>
          </w:tcPr>
          <w:p w14:paraId="5A84C099" w14:textId="1CA0E0AD" w:rsidR="001625D3" w:rsidRPr="00C71189" w:rsidRDefault="001625D3" w:rsidP="001625D3">
            <w:pPr>
              <w:suppressAutoHyphens w:val="0"/>
              <w:jc w:val="center"/>
              <w:rPr>
                <w:b/>
                <w:bCs/>
                <w:lang w:eastAsia="lv-LV"/>
              </w:rPr>
            </w:pPr>
            <w:r w:rsidRPr="00C71189">
              <w:rPr>
                <w:b/>
                <w:bCs/>
                <w:lang w:eastAsia="lv-LV"/>
              </w:rPr>
              <w:t>SIA “Baltic Oil Management” 14.06.2021.</w:t>
            </w:r>
            <w:r>
              <w:rPr>
                <w:b/>
                <w:bCs/>
                <w:lang w:eastAsia="lv-LV"/>
              </w:rPr>
              <w:t xml:space="preserve"> un 28.06.2021.</w:t>
            </w:r>
            <w:r w:rsidRPr="00C71189">
              <w:rPr>
                <w:b/>
                <w:bCs/>
                <w:lang w:eastAsia="lv-LV"/>
              </w:rPr>
              <w:t xml:space="preserve"> viedoklis</w:t>
            </w:r>
          </w:p>
        </w:tc>
      </w:tr>
      <w:tr w:rsidR="001625D3" w:rsidRPr="00C71189" w14:paraId="391EFF04"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07232CE0" w14:textId="77777777" w:rsidR="001625D3" w:rsidRPr="00C71189" w:rsidRDefault="001625D3" w:rsidP="001625D3">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2D91387E" w14:textId="77777777" w:rsidR="001625D3" w:rsidRPr="00C71189" w:rsidRDefault="001625D3" w:rsidP="001625D3">
            <w:pPr>
              <w:spacing w:before="120"/>
              <w:jc w:val="both"/>
              <w:rPr>
                <w:b/>
                <w:bCs/>
              </w:rPr>
            </w:pPr>
            <w:r w:rsidRPr="00C71189">
              <w:rPr>
                <w:b/>
                <w:bCs/>
              </w:rPr>
              <w:t xml:space="preserve">Likumprojekta </w:t>
            </w:r>
            <w:r>
              <w:rPr>
                <w:b/>
                <w:bCs/>
              </w:rPr>
              <w:t>13. </w:t>
            </w:r>
            <w:r w:rsidRPr="00C71189">
              <w:rPr>
                <w:b/>
                <w:bCs/>
              </w:rPr>
              <w:t>panta likuma 14.</w:t>
            </w:r>
            <w:r w:rsidRPr="00C71189">
              <w:rPr>
                <w:b/>
                <w:bCs/>
                <w:vertAlign w:val="superscript"/>
              </w:rPr>
              <w:t>2</w:t>
            </w:r>
            <w:r w:rsidRPr="00C71189">
              <w:rPr>
                <w:b/>
                <w:bCs/>
              </w:rPr>
              <w:t> pants:</w:t>
            </w:r>
          </w:p>
          <w:p w14:paraId="3730FBDC" w14:textId="77777777" w:rsidR="001625D3" w:rsidRPr="00C71189" w:rsidRDefault="001625D3" w:rsidP="001625D3">
            <w:pPr>
              <w:pStyle w:val="NormalWeb"/>
              <w:spacing w:before="0" w:after="0"/>
              <w:jc w:val="both"/>
              <w:rPr>
                <w:b/>
              </w:rPr>
            </w:pPr>
            <w:r w:rsidRPr="00C71189">
              <w:t>“</w:t>
            </w:r>
            <w:r w:rsidRPr="00C71189">
              <w:rPr>
                <w:b/>
              </w:rPr>
              <w:t>14.</w:t>
            </w:r>
            <w:r w:rsidRPr="00C71189">
              <w:rPr>
                <w:b/>
                <w:vertAlign w:val="superscript"/>
              </w:rPr>
              <w:t>2</w:t>
            </w:r>
            <w:r w:rsidRPr="00C71189">
              <w:rPr>
                <w:b/>
              </w:rPr>
              <w:t> pants. Nodokļa aprēķināšana par ogļūdeņražu ieguvi</w:t>
            </w:r>
          </w:p>
          <w:p w14:paraId="6D3B08B3" w14:textId="77777777" w:rsidR="001625D3" w:rsidRPr="00C71189" w:rsidRDefault="001625D3" w:rsidP="001625D3">
            <w:pPr>
              <w:pStyle w:val="NormalWeb"/>
              <w:spacing w:before="0" w:after="0"/>
              <w:jc w:val="both"/>
            </w:pPr>
            <w:r w:rsidRPr="00C71189">
              <w:t>(1) Nodokļa maksātājs aprēķina un maksā nodokli par taksācijas periodā iegūto ogļūdeņražu apjomu, piemērojot nodokļa likmi:</w:t>
            </w:r>
          </w:p>
          <w:p w14:paraId="0CC9BCCE" w14:textId="77777777" w:rsidR="001625D3" w:rsidRPr="00C71189" w:rsidRDefault="001625D3" w:rsidP="001625D3">
            <w:pPr>
              <w:pStyle w:val="NormalWeb"/>
              <w:spacing w:before="0" w:after="0"/>
              <w:jc w:val="both"/>
            </w:pPr>
            <w:r w:rsidRPr="00C71189">
              <w:t>1) 12 procentu apmērā no neapstrādātas naftas vērtības;</w:t>
            </w:r>
          </w:p>
          <w:p w14:paraId="325CF564" w14:textId="77777777" w:rsidR="001625D3" w:rsidRPr="00C71189" w:rsidRDefault="001625D3" w:rsidP="001625D3">
            <w:pPr>
              <w:pStyle w:val="NormalWeb"/>
              <w:spacing w:before="0" w:after="0"/>
              <w:jc w:val="both"/>
            </w:pPr>
            <w:r w:rsidRPr="00C71189">
              <w:t xml:space="preserve">2) 10 procentu apmērā no dabasgāzes vērtības. </w:t>
            </w:r>
          </w:p>
          <w:p w14:paraId="333ECCE7" w14:textId="77777777" w:rsidR="001625D3" w:rsidRPr="00C71189" w:rsidRDefault="001625D3" w:rsidP="001625D3">
            <w:pPr>
              <w:pStyle w:val="NormalWeb"/>
              <w:spacing w:before="0" w:after="0"/>
              <w:jc w:val="both"/>
            </w:pPr>
          </w:p>
          <w:p w14:paraId="6B7D30E4" w14:textId="0B479004" w:rsidR="001625D3" w:rsidRPr="00C71189" w:rsidRDefault="001625D3" w:rsidP="001625D3">
            <w:pPr>
              <w:spacing w:before="120"/>
              <w:jc w:val="both"/>
              <w:rPr>
                <w:b/>
                <w:bCs/>
              </w:rPr>
            </w:pPr>
            <w:r w:rsidRPr="00C71189">
              <w:t>(2) Neapstrādātas naftas un dabasgāzes vērtības aprēķināšanas kārtību nosaka Ministru kabinets.”</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1610978E" w14:textId="619D1649" w:rsidR="001625D3" w:rsidRPr="003C572B" w:rsidRDefault="001625D3" w:rsidP="001625D3">
            <w:pPr>
              <w:suppressAutoHyphens w:val="0"/>
              <w:jc w:val="both"/>
              <w:rPr>
                <w:lang w:eastAsia="lv-LV"/>
              </w:rPr>
            </w:pPr>
            <w:r w:rsidRPr="003C572B">
              <w:rPr>
                <w:b/>
                <w:bCs/>
                <w:lang w:eastAsia="lv-LV"/>
              </w:rPr>
              <w:t>14.06.2021. viedoklis:</w:t>
            </w:r>
          </w:p>
          <w:p w14:paraId="123DE376" w14:textId="161BBA33" w:rsidR="001625D3" w:rsidRPr="003C572B" w:rsidRDefault="001625D3" w:rsidP="001625D3">
            <w:pPr>
              <w:suppressAutoHyphens w:val="0"/>
              <w:jc w:val="both"/>
              <w:rPr>
                <w:lang w:eastAsia="lv-LV"/>
              </w:rPr>
            </w:pPr>
            <w:r w:rsidRPr="003C572B">
              <w:rPr>
                <w:lang w:eastAsia="lv-LV"/>
              </w:rPr>
              <w:t xml:space="preserve">Sabiedrībai ir svarīgi piedalīties </w:t>
            </w:r>
            <w:r>
              <w:rPr>
                <w:lang w:eastAsia="lv-LV"/>
              </w:rPr>
              <w:t>l</w:t>
            </w:r>
            <w:r w:rsidRPr="003C572B">
              <w:rPr>
                <w:lang w:eastAsia="lv-LV"/>
              </w:rPr>
              <w:t>ikumprojekta izstrādē, jo Likumprojekts skar Sabiedrības tiesiskās intereses, ņemto vērā, ka šobrīd ir vienīgais komersants, kas veic ogļūdeņražu ieguvi Latvijā. Likumprojektā paredzētais dabas resursa nodokļa apmēra aprēķins ir pēc savas būtības prettiesisks un diskriminējošs:</w:t>
            </w:r>
          </w:p>
          <w:p w14:paraId="1712590A" w14:textId="1404B298" w:rsidR="001625D3" w:rsidRPr="003C572B" w:rsidRDefault="001625D3" w:rsidP="001625D3">
            <w:pPr>
              <w:suppressAutoHyphens w:val="0"/>
              <w:jc w:val="both"/>
              <w:rPr>
                <w:lang w:eastAsia="lv-LV"/>
              </w:rPr>
            </w:pPr>
            <w:r w:rsidRPr="003C572B">
              <w:rPr>
                <w:lang w:eastAsia="lv-LV"/>
              </w:rPr>
              <w:t xml:space="preserve">Pirmkārt, </w:t>
            </w:r>
            <w:r>
              <w:rPr>
                <w:lang w:eastAsia="lv-LV"/>
              </w:rPr>
              <w:t>d</w:t>
            </w:r>
            <w:r w:rsidRPr="003C572B">
              <w:rPr>
                <w:lang w:eastAsia="lv-LV"/>
              </w:rPr>
              <w:t>abas resursu nodoklis nevar tikt aprēķināts no jēlnaftas vērtības. Iegūtajiem ogļūdeņražiem Latvijā nav gala patēriņa cenas, ir jārēķinās ar ražošanas, transportēšanas, uzglabāšanas, iekraušanas u.tml. izdevumiem, kā arī pārdošanas izmaksām un kvalitātes atšķirībām. Otrkārt, nav ekonomiska pamatojuma noteiktajam dabas resursu nodoklim un to ieviešot Sabiedrība zaudēs konkurētspēju salīdzinājumā ar citiem komersantiem ārējā tirgū, kas iegūstot ogļūdeņražus, nemaksā dabas resursu nodokli 12% apmērā pēc norādītā aprēķina, kas pēc savas būtības ir nepieņemams. Treškārt, jauns likumprojekts pieļauj tiesiskās noteiktības un paļāvības principu pārkāpumu. Sabiedrība vairāku gadu garumā investējusi naudas līdzekļus ogļūdeņražu izpētē, ierīkojot urbumus, un tad, kad ir uzsākusi ogļūdeņražu ieguvi, ir iecerēts šo darbībai ievest jaunu nodokli, kas nav taisnīgi. Sabiedrība kategoriski nepiekrīt izstrādātajam Likumprojektam un lūdz sniegt atbildes uz sekojošiem jautājumiem.</w:t>
            </w:r>
          </w:p>
          <w:p w14:paraId="2FC9AC90" w14:textId="39BE0C31" w:rsidR="001625D3" w:rsidRPr="003C572B" w:rsidRDefault="001625D3" w:rsidP="001625D3">
            <w:pPr>
              <w:suppressAutoHyphens w:val="0"/>
              <w:jc w:val="both"/>
              <w:rPr>
                <w:lang w:eastAsia="lv-LV"/>
              </w:rPr>
            </w:pPr>
            <w:r w:rsidRPr="003C572B">
              <w:rPr>
                <w:lang w:eastAsia="lv-LV"/>
              </w:rPr>
              <w:t xml:space="preserve">1.Vai ir veikts izvērtējums, cik lielas investīcijas ir nepieciešamas iegulas izpētei un eksperimentālo urbumu </w:t>
            </w:r>
            <w:r w:rsidRPr="003C572B">
              <w:rPr>
                <w:lang w:eastAsia="lv-LV"/>
              </w:rPr>
              <w:lastRenderedPageBreak/>
              <w:t>izveidei un cik ilgā laikā teorētiski pastāv iespēja tos atpelnīt, ievērojot pasaules ekonomisko situāciju, tajā skaitā naftas cenas?</w:t>
            </w:r>
          </w:p>
          <w:p w14:paraId="201B00CC" w14:textId="33B3B5E0" w:rsidR="001625D3" w:rsidRPr="003C572B" w:rsidRDefault="001625D3" w:rsidP="001625D3">
            <w:pPr>
              <w:suppressAutoHyphens w:val="0"/>
              <w:jc w:val="both"/>
              <w:rPr>
                <w:lang w:eastAsia="lv-LV"/>
              </w:rPr>
            </w:pPr>
            <w:r w:rsidRPr="003C572B">
              <w:rPr>
                <w:lang w:eastAsia="lv-LV"/>
              </w:rPr>
              <w:t>2.Vai komersantiem, kuriem jau ir izsniegtas licences un kuri tās saņemot ir saplānojuši attiecīgi darbību 30 gadu periodam, gan pieņemot lēmumu par licences saņemšanu, gan ieguldāmo investīciju apjomu, tiks noteikts izņēmums?</w:t>
            </w:r>
          </w:p>
          <w:p w14:paraId="6B4BDC43" w14:textId="4A2060C2" w:rsidR="001625D3" w:rsidRPr="003C572B" w:rsidRDefault="001625D3" w:rsidP="001625D3">
            <w:pPr>
              <w:suppressAutoHyphens w:val="0"/>
              <w:jc w:val="both"/>
              <w:rPr>
                <w:lang w:eastAsia="lv-LV"/>
              </w:rPr>
            </w:pPr>
            <w:r w:rsidRPr="003C572B">
              <w:rPr>
                <w:lang w:eastAsia="lv-LV"/>
              </w:rPr>
              <w:t>3.Vai VARAM ir veikusi prognozes par iespējamo jauno komersantu ienākšanu ogļūdeņražu nozarē, ievērojot, ka līdz šim reāli darbojas tikai viens komersants, ar nosacījumu, ka jau šobrīd šai nozarei esošā sarežģītā ekonomiskā situācija tiks pasliktināta vēl vairāk?</w:t>
            </w:r>
          </w:p>
          <w:p w14:paraId="36958D83" w14:textId="3D2CCE9A" w:rsidR="001625D3" w:rsidRPr="003C572B" w:rsidRDefault="001625D3" w:rsidP="001625D3">
            <w:pPr>
              <w:jc w:val="both"/>
              <w:rPr>
                <w:lang w:eastAsia="lv-LV"/>
              </w:rPr>
            </w:pPr>
            <w:r w:rsidRPr="003C572B">
              <w:rPr>
                <w:lang w:eastAsia="lv-LV"/>
              </w:rPr>
              <w:t>4.Vai vispār ogļūdeņražu nozare varēs pastāvēt, ja stāsties spēkā izstrādāties Likumprojekts, ievērojot ekonomiskos aprēķinus?</w:t>
            </w:r>
          </w:p>
          <w:p w14:paraId="7AFEC5BB" w14:textId="77777777" w:rsidR="001625D3" w:rsidRPr="003C572B" w:rsidRDefault="001625D3" w:rsidP="001625D3">
            <w:pPr>
              <w:jc w:val="both"/>
              <w:rPr>
                <w:lang w:eastAsia="lv-LV"/>
              </w:rPr>
            </w:pPr>
          </w:p>
          <w:p w14:paraId="66873BCC" w14:textId="6F0B8AC2" w:rsidR="001625D3" w:rsidRPr="003C572B" w:rsidRDefault="001625D3" w:rsidP="001625D3">
            <w:pPr>
              <w:jc w:val="both"/>
              <w:rPr>
                <w:b/>
                <w:bCs/>
                <w:lang w:eastAsia="lv-LV"/>
              </w:rPr>
            </w:pPr>
            <w:r w:rsidRPr="003C572B">
              <w:rPr>
                <w:b/>
                <w:bCs/>
                <w:lang w:eastAsia="lv-LV"/>
              </w:rPr>
              <w:t>28.06.2021. viedoklis:</w:t>
            </w:r>
          </w:p>
          <w:p w14:paraId="3F2C0F2E" w14:textId="29FF22EF" w:rsidR="001625D3" w:rsidRPr="003C572B" w:rsidRDefault="001625D3" w:rsidP="001625D3">
            <w:pPr>
              <w:jc w:val="both"/>
              <w:rPr>
                <w:rStyle w:val="markedcontent"/>
              </w:rPr>
            </w:pPr>
            <w:r w:rsidRPr="003C572B">
              <w:rPr>
                <w:rStyle w:val="markedcontent"/>
              </w:rPr>
              <w:t>Sabiedrībai ir svarīgi piedalīties Likumprojekta izstrādē, jo Likumprojekts skar Sabiedrības tiesiskās intereses, ņemto vērā, ka šobrīd ir vienīgais komersants, kas veic ogļūdeņražu ieguvi Latvijā. Sabiedrība atkārtoti norāda, ka Likumprojektā paredzētais dabas resursa nodokļa apmēra aprēķins ir pēc savas būtības prettiesisks un diskriminējošs:</w:t>
            </w:r>
          </w:p>
          <w:p w14:paraId="31BD1DB7" w14:textId="3F29BC5D" w:rsidR="001625D3" w:rsidRPr="003C572B" w:rsidRDefault="001625D3" w:rsidP="001625D3">
            <w:pPr>
              <w:jc w:val="both"/>
              <w:rPr>
                <w:rStyle w:val="markedcontent"/>
              </w:rPr>
            </w:pPr>
            <w:r w:rsidRPr="003C572B">
              <w:rPr>
                <w:rStyle w:val="markedcontent"/>
              </w:rPr>
              <w:t xml:space="preserve">Pirmkārt, Dabas resursu nodoklis nevar tikt aprēķināts no jēlnaftas vērtības. Iegūtajiem ogļūdeņražiem Latvijā nav galapatēriņa cenas, ir jārēķinās ar ražošanas, transportēšanas, uzglabāšanas, iekraušanas u.tml. izdevumiem, kā arī pārdošanas izmaksām un kvalitātes atšķirībām. </w:t>
            </w:r>
          </w:p>
          <w:p w14:paraId="05C421CB" w14:textId="6191CEF3" w:rsidR="001625D3" w:rsidRPr="003C572B" w:rsidRDefault="001625D3" w:rsidP="001625D3">
            <w:pPr>
              <w:jc w:val="both"/>
              <w:rPr>
                <w:rStyle w:val="markedcontent"/>
              </w:rPr>
            </w:pPr>
            <w:r w:rsidRPr="003C572B">
              <w:rPr>
                <w:rStyle w:val="markedcontent"/>
              </w:rPr>
              <w:t>Otrkārt, nav ekonomiska pamatojuma noteiktajam dabas resursu nodoklim un to ieviešot Sabiedrība zaudēs konkurētspēju salīdzinājumā ar citiem komersantiem ārējā tirgū, kas iegūstot ogļūdeņražus, nemaksā dabas resursu nodokli 12% apmērā pēc norādītā aprēķina, kas pēc savas būtības ir nepieņemams.</w:t>
            </w:r>
          </w:p>
          <w:p w14:paraId="661EA8F6" w14:textId="4144C19B" w:rsidR="001625D3" w:rsidRPr="003C572B" w:rsidRDefault="001625D3" w:rsidP="001625D3">
            <w:pPr>
              <w:jc w:val="both"/>
              <w:rPr>
                <w:rStyle w:val="markedcontent"/>
              </w:rPr>
            </w:pPr>
            <w:r w:rsidRPr="003C572B">
              <w:rPr>
                <w:rStyle w:val="markedcontent"/>
              </w:rPr>
              <w:lastRenderedPageBreak/>
              <w:t>Treškārt, jauns likumprojekts pieļauj tiesiskās noteiktības un paļāvības principu pārkāpumu. Sabiedrība vairāku gadu garumā investējusi naudas līdzekļus ogļūdeņražu izpētē, ierīkojot urbumus, un tad, kad ir uzsākusi ogļūdeņražu ieguvi, ir iecerēts šo darbībai ievest jaunu nodokli, kas nav taisnīgi. Sabiedrība kategoriski nepiekrīt izstrādātajam Likumprojektam un atkārtoti lūdz sniegt atbildes uz sekojošiem jautājumiem.</w:t>
            </w:r>
          </w:p>
          <w:p w14:paraId="49DFE3C4" w14:textId="2D31AF4B" w:rsidR="001625D3" w:rsidRPr="003C572B" w:rsidRDefault="001625D3" w:rsidP="001625D3">
            <w:pPr>
              <w:jc w:val="both"/>
              <w:rPr>
                <w:rStyle w:val="markedcontent"/>
              </w:rPr>
            </w:pPr>
            <w:r w:rsidRPr="003C572B">
              <w:rPr>
                <w:rStyle w:val="markedcontent"/>
              </w:rPr>
              <w:t>1.Vai ir veikts izvērtējums, cik lielas investīcijas ir nepieciešamas iegulas izpētei un eksperimentālo urbumu izveidei un cik ilgā laikā teorētiski pastāv iespēja tos atpelnīt, ievērojot pasaules ekonomisko situāciju, tajā skaitā naftas cenas?</w:t>
            </w:r>
          </w:p>
          <w:p w14:paraId="2D0161BC" w14:textId="290F453C" w:rsidR="001625D3" w:rsidRPr="003C572B" w:rsidRDefault="001625D3" w:rsidP="001625D3">
            <w:pPr>
              <w:jc w:val="both"/>
              <w:rPr>
                <w:rStyle w:val="markedcontent"/>
              </w:rPr>
            </w:pPr>
            <w:r w:rsidRPr="003C572B">
              <w:rPr>
                <w:rStyle w:val="markedcontent"/>
              </w:rPr>
              <w:t>2.Vai komersantiem, kuriem jau ir izsniegtas licences un kuri tās saņemot ir saplānojuši attiecīgi darbību 30 gadu periodam, gan pieņemot lēmumu par licences saņemšanu, gan ieguldāmo investīciju apjomu, tiks noteikts izņēmums?</w:t>
            </w:r>
          </w:p>
          <w:p w14:paraId="19ED8B82" w14:textId="490DAF0D" w:rsidR="001625D3" w:rsidRPr="003C572B" w:rsidRDefault="001625D3" w:rsidP="001625D3">
            <w:pPr>
              <w:jc w:val="both"/>
              <w:rPr>
                <w:rStyle w:val="markedcontent"/>
              </w:rPr>
            </w:pPr>
            <w:r w:rsidRPr="003C572B">
              <w:rPr>
                <w:rStyle w:val="markedcontent"/>
              </w:rPr>
              <w:t>3.Vai VARAM ir veikusi prognozes par iespējamo jauno komersantu ienākšanu ogļūdeņražu nozarē, ievērojot, ka līdz šim reāli darbojas tikai viens komersants, ar nosacījumu, ka jau šobrīd šai nozarei esošā sarežģītā ekonomiskā situācija tiks pasliktināta vēl vairāk?</w:t>
            </w:r>
          </w:p>
          <w:p w14:paraId="6B523DC2" w14:textId="77777777" w:rsidR="001625D3" w:rsidRDefault="001625D3" w:rsidP="001625D3">
            <w:pPr>
              <w:jc w:val="both"/>
              <w:rPr>
                <w:rStyle w:val="markedcontent"/>
              </w:rPr>
            </w:pPr>
            <w:r w:rsidRPr="003C572B">
              <w:rPr>
                <w:rStyle w:val="markedcontent"/>
              </w:rPr>
              <w:t>4.Vai vispār ogļūdeņražu nozare varēs pastāvēt, ja stāsties spēkā izstrādāties Likumprojekts, ievērojot ekonomiskos aprēķinus?</w:t>
            </w:r>
          </w:p>
          <w:p w14:paraId="3CC98612" w14:textId="42310ADE" w:rsidR="001625D3" w:rsidRPr="007E4DB2" w:rsidRDefault="001625D3" w:rsidP="001625D3">
            <w:pPr>
              <w:jc w:val="both"/>
              <w:rPr>
                <w:b/>
                <w:bCs/>
                <w:lang w:eastAsia="lv-LV"/>
              </w:rPr>
            </w:pPr>
            <w:r w:rsidRPr="007E4DB2">
              <w:rPr>
                <w:rStyle w:val="markedcontent"/>
              </w:rPr>
              <w:t xml:space="preserve">Lūdzam sniegt detalizētas atbildes uz visiem augstāk minētajiem jautājumiem, savlaicīgi saskaņot plānoto sanāksmi, kā arī nevirzīt Likumprojektu </w:t>
            </w:r>
            <w:r>
              <w:rPr>
                <w:rStyle w:val="markedcontent"/>
              </w:rPr>
              <w:t>Valsts sekretāru sanāksmei</w:t>
            </w:r>
            <w:r w:rsidRPr="007E4DB2">
              <w:rPr>
                <w:rStyle w:val="markedcontent"/>
              </w:rPr>
              <w:t>.</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34ADB09D" w14:textId="12EFC3D6" w:rsidR="001625D3" w:rsidRPr="00C71189" w:rsidRDefault="001625D3" w:rsidP="001625D3">
            <w:pPr>
              <w:pStyle w:val="naisc"/>
              <w:spacing w:before="0" w:after="0"/>
              <w:jc w:val="both"/>
            </w:pPr>
            <w:r>
              <w:lastRenderedPageBreak/>
              <w:t xml:space="preserve">VARAM ir izvērtējusi viedokli un papildinājusi anotāciju. </w:t>
            </w:r>
            <w:r w:rsidRPr="00C71189">
              <w:t>2021.</w:t>
            </w:r>
            <w:r>
              <w:t xml:space="preserve"> </w:t>
            </w:r>
            <w:r w:rsidRPr="00C71189">
              <w:t>gada 19</w:t>
            </w:r>
            <w:r>
              <w:t>. </w:t>
            </w:r>
            <w:r w:rsidRPr="00C71189">
              <w:t>jūnijā rīkota atsevišķa sanāksme par ogļūdeņražu jautājumiem, kurai sabiedrība ar ierobežotu atbildību nepieslēdzās.</w:t>
            </w:r>
          </w:p>
          <w:p w14:paraId="5400A5F1" w14:textId="23E06442" w:rsidR="001625D3" w:rsidRPr="00C71189" w:rsidRDefault="001625D3" w:rsidP="001625D3">
            <w:pPr>
              <w:pStyle w:val="naisc"/>
              <w:spacing w:before="0" w:after="0"/>
              <w:jc w:val="both"/>
            </w:pPr>
            <w:r w:rsidRPr="00C71189">
              <w:t>Dabas resursu nodokļa ogļūdeņražu ieguvei likme noteikta atbilstoši Ekonomikas ministrijas priekšlikumiem. Dabas resursu nodokļa likmes aprēķināšanas metodikas pamatprincips balstīts uz Ministru kabineta 2009.</w:t>
            </w:r>
            <w:r>
              <w:t> </w:t>
            </w:r>
            <w:r w:rsidRPr="00C71189">
              <w:t>gada 18.</w:t>
            </w:r>
            <w:r>
              <w:t> </w:t>
            </w:r>
            <w:r w:rsidRPr="00C71189">
              <w:t>augusta noteikumu Nr.</w:t>
            </w:r>
            <w:r>
              <w:t> </w:t>
            </w:r>
            <w:r w:rsidRPr="00C71189">
              <w:t>942 “Noteikumi par ogļūdeņražu ieguves valsts nodevu” nosacījumiem</w:t>
            </w:r>
            <w:r>
              <w:t>, kā arī vērtēta citu valstu, piemēram, Lietuvas, situācija</w:t>
            </w:r>
            <w:r w:rsidRPr="00C71189">
              <w:t>.</w:t>
            </w:r>
          </w:p>
          <w:p w14:paraId="15B3C1A4" w14:textId="126691D7" w:rsidR="001625D3" w:rsidRDefault="001625D3" w:rsidP="001625D3">
            <w:pPr>
              <w:pStyle w:val="naisc"/>
              <w:spacing w:before="0" w:after="0"/>
              <w:jc w:val="both"/>
            </w:pPr>
            <w:r w:rsidRPr="00C71189">
              <w:t>Informējam, ka Ekonomikas ministrija ir veikusi analīzi par ogļūdeņražu nodevas un nodokļu likmēm arī par citām valstīm. Pasaules prakse šajā jautājumā ir ļoti dažāda. Pastāv valstis, kur maksājama viena nodeva, kur iekļauts gan dabas resursu nodoklis, gan nodeva par ogļūdeņražu ieguvi, bet atsevišķās valstīs ir līdzīga prakse, kāda iecerēta arī Latvijā – ir veicami divi atsevišķi maksājumi – viens par nodevu, otrs par dabas resursu nodokli. Kopējais nodokļu (tai skaitā nodevas) slogs atsevišķās valstīs svārstās no 10 – 24 %. Piemēram, Lietuvā nodokļi sastāda 12 %, Vācijā 18 – 21</w:t>
            </w:r>
            <w:r>
              <w:t> </w:t>
            </w:r>
            <w:r w:rsidRPr="00C71189">
              <w:t xml:space="preserve">%, Itālijā </w:t>
            </w:r>
            <w:r>
              <w:t>–</w:t>
            </w:r>
            <w:r w:rsidRPr="00C71189">
              <w:t xml:space="preserve"> 24</w:t>
            </w:r>
            <w:r>
              <w:t> </w:t>
            </w:r>
            <w:r w:rsidRPr="00C71189">
              <w:t xml:space="preserve">%. </w:t>
            </w:r>
          </w:p>
          <w:p w14:paraId="0245C820" w14:textId="105AECCE" w:rsidR="001625D3" w:rsidRPr="00C71189" w:rsidRDefault="001625D3" w:rsidP="001625D3">
            <w:pPr>
              <w:pStyle w:val="naisc"/>
              <w:spacing w:before="0" w:after="0"/>
              <w:jc w:val="both"/>
            </w:pPr>
            <w:r w:rsidRPr="00C71189">
              <w:lastRenderedPageBreak/>
              <w:t>Paralēli ir vērtē</w:t>
            </w:r>
            <w:r>
              <w:t>ti</w:t>
            </w:r>
            <w:r w:rsidRPr="00C71189">
              <w:t xml:space="preserve"> cit</w:t>
            </w:r>
            <w:r>
              <w:t>i</w:t>
            </w:r>
            <w:r w:rsidRPr="00C71189">
              <w:t xml:space="preserve"> statistikas dat</w:t>
            </w:r>
            <w:r>
              <w:t>i</w:t>
            </w:r>
            <w:r w:rsidRPr="00C71189">
              <w:t>, tai skaitā dat</w:t>
            </w:r>
            <w:r>
              <w:t>i</w:t>
            </w:r>
            <w:r w:rsidRPr="00C71189">
              <w:t xml:space="preserve"> no “International Energy Agency”. Tāpat dažāda veida informācija par atsevišķu nodevu/nodokļu analīzi un pētījumiem pieejama  Ernst&amp;Young tīmekļvietnē: </w:t>
            </w:r>
            <w:hyperlink r:id="rId10" w:history="1">
              <w:hyperlink r:id="rId11" w:history="1">
                <w:r w:rsidRPr="00C71189">
                  <w:t>https://www.ey.com/en_gl/tax</w:t>
                </w:r>
              </w:hyperlink>
            </w:hyperlink>
            <w:r w:rsidRPr="00C71189">
              <w:t>.</w:t>
            </w:r>
          </w:p>
          <w:p w14:paraId="464F260B" w14:textId="0E6F854B" w:rsidR="001625D3" w:rsidRDefault="001625D3" w:rsidP="001625D3">
            <w:pPr>
              <w:pStyle w:val="naisc"/>
              <w:spacing w:before="0" w:after="0" w:line="259" w:lineRule="auto"/>
              <w:jc w:val="both"/>
            </w:pPr>
            <w:r>
              <w:t>Ievērojot saņemtos viedokļus sabiedrības līdzdalības laikā, dabas resursu nodokļa likme ir samazināta no 12 % uz 7 % par neapstrādātu naftu un no 10 % uz 5 % par dabasgāzi. Nav paredzēts noteikt izņēmumus komersantiem, kuri jau ir saņēmuši licences.</w:t>
            </w:r>
          </w:p>
          <w:p w14:paraId="1A292FE4" w14:textId="347BC056" w:rsidR="001625D3" w:rsidRPr="00C71189" w:rsidRDefault="001625D3" w:rsidP="001625D3">
            <w:pPr>
              <w:pStyle w:val="naisc"/>
              <w:spacing w:before="0" w:after="0"/>
              <w:jc w:val="both"/>
            </w:pPr>
            <w:r>
              <w:t>Vēršam uzmanību, ka būs iespēja iesaistīties likumprojekta saskaņošanas procesā arī pēc tā izsludināšanas Valsts sekretāru sanāksmē</w:t>
            </w:r>
            <w:r w:rsidRPr="004D59C6">
              <w:t xml:space="preserve"> Ministru kabineta 2009. gada 7. aprīļa noteikumu Nr. 300 “Ministru kabineta kārtības rullis” </w:t>
            </w:r>
            <w:r>
              <w:t>noteiktajā kārtībā.</w:t>
            </w:r>
          </w:p>
        </w:tc>
      </w:tr>
      <w:tr w:rsidR="001625D3" w:rsidRPr="00C71189" w14:paraId="3BA66F8F" w14:textId="77777777" w:rsidTr="004E3774">
        <w:tc>
          <w:tcPr>
            <w:tcW w:w="627" w:type="dxa"/>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tcPr>
          <w:p w14:paraId="7114CF59" w14:textId="77777777" w:rsidR="001625D3" w:rsidRPr="00C71189" w:rsidRDefault="001625D3" w:rsidP="001625D3">
            <w:pPr>
              <w:pStyle w:val="naisc"/>
              <w:numPr>
                <w:ilvl w:val="1"/>
                <w:numId w:val="21"/>
              </w:numPr>
              <w:spacing w:before="0" w:after="0"/>
              <w:ind w:left="361" w:right="317"/>
              <w:jc w:val="left"/>
            </w:pPr>
          </w:p>
        </w:tc>
        <w:tc>
          <w:tcPr>
            <w:tcW w:w="14009" w:type="dxa"/>
            <w:gridSpan w:val="3"/>
            <w:tcBorders>
              <w:top w:val="single" w:sz="6" w:space="0" w:color="000000" w:themeColor="text1"/>
              <w:left w:val="single" w:sz="6" w:space="0" w:color="000000" w:themeColor="text1"/>
              <w:bottom w:val="single" w:sz="6" w:space="0" w:color="000000" w:themeColor="text1"/>
              <w:right w:val="single" w:sz="4" w:space="0" w:color="auto"/>
            </w:tcBorders>
            <w:shd w:val="clear" w:color="auto" w:fill="D9D9D9" w:themeFill="background1" w:themeFillShade="D9"/>
          </w:tcPr>
          <w:p w14:paraId="43414FFD" w14:textId="3931449A" w:rsidR="001625D3" w:rsidRPr="004E3774" w:rsidRDefault="001625D3" w:rsidP="001625D3">
            <w:pPr>
              <w:pStyle w:val="naisc"/>
              <w:spacing w:before="0" w:after="0"/>
              <w:rPr>
                <w:b/>
                <w:bCs/>
              </w:rPr>
            </w:pPr>
            <w:r w:rsidRPr="004E3774">
              <w:rPr>
                <w:b/>
                <w:bCs/>
              </w:rPr>
              <w:t xml:space="preserve">PS “Baltic Oil Corporation”, </w:t>
            </w:r>
            <w:r>
              <w:rPr>
                <w:b/>
                <w:bCs/>
              </w:rPr>
              <w:t>b</w:t>
            </w:r>
            <w:r w:rsidRPr="004E3774">
              <w:rPr>
                <w:b/>
                <w:bCs/>
              </w:rPr>
              <w:t>iedrības “Baltijas ģeoloģu asociācija” un SIA “BALTIC OIL ASSETS” 28.06.2021. viedokļi:</w:t>
            </w:r>
          </w:p>
        </w:tc>
      </w:tr>
      <w:tr w:rsidR="001625D3" w:rsidRPr="00C71189" w14:paraId="17D062F2"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141A37A1" w14:textId="77777777" w:rsidR="001625D3" w:rsidRPr="00C71189" w:rsidRDefault="001625D3" w:rsidP="001625D3">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4DD456CC" w14:textId="77777777" w:rsidR="001625D3" w:rsidRPr="00C71189" w:rsidRDefault="001625D3" w:rsidP="001625D3">
            <w:pPr>
              <w:spacing w:before="120"/>
              <w:jc w:val="both"/>
              <w:rPr>
                <w:b/>
                <w:bCs/>
              </w:rPr>
            </w:pPr>
            <w:r w:rsidRPr="00C71189">
              <w:rPr>
                <w:b/>
                <w:bCs/>
              </w:rPr>
              <w:t xml:space="preserve">Likumprojekta </w:t>
            </w:r>
            <w:r>
              <w:rPr>
                <w:b/>
                <w:bCs/>
              </w:rPr>
              <w:t>13. </w:t>
            </w:r>
            <w:r w:rsidRPr="00C71189">
              <w:rPr>
                <w:b/>
                <w:bCs/>
              </w:rPr>
              <w:t>panta likuma 14.</w:t>
            </w:r>
            <w:r w:rsidRPr="00C71189">
              <w:rPr>
                <w:b/>
                <w:bCs/>
                <w:vertAlign w:val="superscript"/>
              </w:rPr>
              <w:t>2</w:t>
            </w:r>
            <w:r w:rsidRPr="00C71189">
              <w:rPr>
                <w:b/>
                <w:bCs/>
              </w:rPr>
              <w:t> pants:</w:t>
            </w:r>
          </w:p>
          <w:p w14:paraId="6612AD05" w14:textId="77777777" w:rsidR="001625D3" w:rsidRPr="00C71189" w:rsidRDefault="001625D3" w:rsidP="001625D3">
            <w:pPr>
              <w:pStyle w:val="NormalWeb"/>
              <w:spacing w:before="0" w:after="0"/>
              <w:jc w:val="both"/>
              <w:rPr>
                <w:b/>
              </w:rPr>
            </w:pPr>
            <w:r w:rsidRPr="00C71189">
              <w:t>“</w:t>
            </w:r>
            <w:r w:rsidRPr="00C71189">
              <w:rPr>
                <w:b/>
              </w:rPr>
              <w:t>14.</w:t>
            </w:r>
            <w:r w:rsidRPr="00C71189">
              <w:rPr>
                <w:b/>
                <w:vertAlign w:val="superscript"/>
              </w:rPr>
              <w:t>2</w:t>
            </w:r>
            <w:r w:rsidRPr="00C71189">
              <w:rPr>
                <w:b/>
              </w:rPr>
              <w:t> pants. Nodokļa aprēķināšana par ogļūdeņražu ieguvi</w:t>
            </w:r>
          </w:p>
          <w:p w14:paraId="75847BA5" w14:textId="77777777" w:rsidR="001625D3" w:rsidRPr="00C71189" w:rsidRDefault="001625D3" w:rsidP="001625D3">
            <w:pPr>
              <w:pStyle w:val="NormalWeb"/>
              <w:spacing w:before="0" w:after="0"/>
              <w:jc w:val="both"/>
            </w:pPr>
            <w:r w:rsidRPr="00C71189">
              <w:lastRenderedPageBreak/>
              <w:t>(1) Nodokļa maksātājs aprēķina un maksā nodokli par taksācijas periodā iegūto ogļūdeņražu apjomu, piemērojot nodokļa likmi:</w:t>
            </w:r>
          </w:p>
          <w:p w14:paraId="7688592E" w14:textId="77777777" w:rsidR="001625D3" w:rsidRPr="00C71189" w:rsidRDefault="001625D3" w:rsidP="001625D3">
            <w:pPr>
              <w:pStyle w:val="NormalWeb"/>
              <w:spacing w:before="0" w:after="0"/>
              <w:jc w:val="both"/>
            </w:pPr>
            <w:r w:rsidRPr="00C71189">
              <w:t>1) 12 procentu apmērā no neapstrādātas naftas vērtības;</w:t>
            </w:r>
          </w:p>
          <w:p w14:paraId="67D23DCF" w14:textId="77777777" w:rsidR="001625D3" w:rsidRPr="00C71189" w:rsidRDefault="001625D3" w:rsidP="001625D3">
            <w:pPr>
              <w:pStyle w:val="NormalWeb"/>
              <w:spacing w:before="0" w:after="0"/>
              <w:jc w:val="both"/>
            </w:pPr>
            <w:r w:rsidRPr="00C71189">
              <w:t xml:space="preserve">2) 10 procentu apmērā no dabasgāzes vērtības. </w:t>
            </w:r>
          </w:p>
          <w:p w14:paraId="079A1109" w14:textId="77777777" w:rsidR="001625D3" w:rsidRPr="00C71189" w:rsidRDefault="001625D3" w:rsidP="001625D3">
            <w:pPr>
              <w:pStyle w:val="NormalWeb"/>
              <w:spacing w:before="0" w:after="0"/>
              <w:jc w:val="both"/>
            </w:pPr>
          </w:p>
          <w:p w14:paraId="4CD4E25F" w14:textId="3C8C29C9" w:rsidR="001625D3" w:rsidRPr="00C71189" w:rsidRDefault="001625D3" w:rsidP="001625D3">
            <w:pPr>
              <w:pStyle w:val="NormalWeb"/>
              <w:spacing w:before="0" w:after="0"/>
              <w:jc w:val="both"/>
            </w:pPr>
            <w:r w:rsidRPr="00C71189">
              <w:t>(2) Neapstrādātas naftas un dabasgāzes vērtības aprēķināšanas kārtību nosaka Ministru kabinets.”</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289660EC" w14:textId="5D9C50B5" w:rsidR="001625D3" w:rsidRPr="00216C92" w:rsidRDefault="001625D3" w:rsidP="001625D3">
            <w:pPr>
              <w:jc w:val="both"/>
              <w:rPr>
                <w:b/>
                <w:bCs/>
              </w:rPr>
            </w:pPr>
            <w:r w:rsidRPr="00216C92">
              <w:rPr>
                <w:b/>
                <w:bCs/>
              </w:rPr>
              <w:lastRenderedPageBreak/>
              <w:t>PS “Baltic Oil Corporation” viedoklis:</w:t>
            </w:r>
          </w:p>
          <w:p w14:paraId="7BF5DDA8" w14:textId="65FF80B3" w:rsidR="001625D3" w:rsidRDefault="001625D3" w:rsidP="001625D3">
            <w:pPr>
              <w:jc w:val="both"/>
            </w:pPr>
            <w:r w:rsidRPr="00191270">
              <w:t xml:space="preserve">SIA „BALTIC OIL </w:t>
            </w:r>
            <w:r>
              <w:t>CORPORATION”</w:t>
            </w:r>
            <w:r w:rsidRPr="00191270">
              <w:t xml:space="preserve"> </w:t>
            </w:r>
            <w:r>
              <w:t>(</w:t>
            </w:r>
            <w:r w:rsidRPr="00191270">
              <w:t>turpmāk</w:t>
            </w:r>
            <w:r>
              <w:t xml:space="preserve"> tekstā</w:t>
            </w:r>
            <w:r w:rsidRPr="00191270">
              <w:t xml:space="preserve"> – Sabiedrība</w:t>
            </w:r>
            <w:r>
              <w:t>)</w:t>
            </w:r>
            <w:r w:rsidRPr="00191270">
              <w:t xml:space="preserve"> ir </w:t>
            </w:r>
            <w:r>
              <w:t>kļuvis zināms, ka VARAM</w:t>
            </w:r>
            <w:r w:rsidRPr="00191270">
              <w:t xml:space="preserve">, </w:t>
            </w:r>
            <w:r>
              <w:t>plāno virzīt likumprojektu Valsts sekretāru sanāksmē.</w:t>
            </w:r>
          </w:p>
          <w:p w14:paraId="224566BA" w14:textId="51C2B88B" w:rsidR="001625D3" w:rsidRDefault="001625D3" w:rsidP="001625D3">
            <w:pPr>
              <w:jc w:val="both"/>
            </w:pPr>
            <w:r>
              <w:t xml:space="preserve">Diemžēl Sabiedrība līdz šim brīdim nav saņēmusi atbildes uz Baltijas ogļūdeņražu izpētes un ieguves asociācijas  uzdotajiem </w:t>
            </w:r>
            <w:r>
              <w:lastRenderedPageBreak/>
              <w:t>jautājumiem Ministrijai saistībā ar dabas resursu nodokļa aprēķinu ogļūdeņražu nozarei, veiktajiem pētījumiem, utml. Sabiedrībai arī tapis zināms, ka Ministrija ir steigā un pēdējā brīdī organizējusi sanāksmi, kurā nozares pārstāvji nav varējuši piedalīties.</w:t>
            </w:r>
          </w:p>
          <w:p w14:paraId="5B82A83D" w14:textId="71061A11" w:rsidR="001625D3" w:rsidRDefault="001625D3" w:rsidP="001625D3">
            <w:pPr>
              <w:jc w:val="both"/>
            </w:pPr>
            <w:r>
              <w:t xml:space="preserve">Ņemot vērā augstāk minēto, Sabiedrība kategoriski iebilst pret likumprojekta virzīšanu Valsts sekretāru sanāksmē. </w:t>
            </w:r>
          </w:p>
          <w:p w14:paraId="2B471734" w14:textId="4AA5FCA7" w:rsidR="001625D3" w:rsidRDefault="001625D3" w:rsidP="001625D3">
            <w:pPr>
              <w:jc w:val="both"/>
            </w:pPr>
          </w:p>
          <w:p w14:paraId="5CDA781F" w14:textId="23FB7098" w:rsidR="001625D3" w:rsidRPr="00185DF9" w:rsidRDefault="001625D3" w:rsidP="001625D3">
            <w:pPr>
              <w:jc w:val="both"/>
              <w:rPr>
                <w:b/>
                <w:bCs/>
              </w:rPr>
            </w:pPr>
            <w:r w:rsidRPr="00185DF9">
              <w:rPr>
                <w:b/>
                <w:bCs/>
              </w:rPr>
              <w:t>Biedrības “Baltijas ģeoloģu asociācija” viedoklis:</w:t>
            </w:r>
          </w:p>
          <w:p w14:paraId="1D69CC54" w14:textId="509BFD0B" w:rsidR="001625D3" w:rsidRDefault="001625D3" w:rsidP="001625D3">
            <w:pPr>
              <w:jc w:val="both"/>
              <w:rPr>
                <w:rStyle w:val="markedcontent"/>
              </w:rPr>
            </w:pPr>
            <w:r w:rsidRPr="00185DF9">
              <w:rPr>
                <w:rStyle w:val="markedcontent"/>
              </w:rPr>
              <w:t xml:space="preserve">Asociācija iebilst pret sasteigtu </w:t>
            </w:r>
            <w:r>
              <w:rPr>
                <w:rStyle w:val="markedcontent"/>
              </w:rPr>
              <w:t>l</w:t>
            </w:r>
            <w:r w:rsidRPr="00185DF9">
              <w:rPr>
                <w:rStyle w:val="markedcontent"/>
              </w:rPr>
              <w:t>ikumprojekta virzīšanu skarā ar daudz</w:t>
            </w:r>
            <w:r>
              <w:rPr>
                <w:rStyle w:val="markedcontent"/>
              </w:rPr>
              <w:t>ām</w:t>
            </w:r>
            <w:r w:rsidRPr="00185DF9">
              <w:rPr>
                <w:rStyle w:val="markedcontent"/>
              </w:rPr>
              <w:t xml:space="preserve"> neprecizitātēm, kas tajā pieļautas un neskaidrībām, kas neapšaubāmi radīsies dažādām nozarēm, t.sk. tām kas strādā derīgo izrakteņu ieguves jomā. Tā, piemēram, nav saprotami dabas resursu nodokļa aprēķini un metodika, kas izmantota šim mērķim, nav saprotama kūdras kā alternatīvā kurināmā nomaiņas kārtība katlu mājās, kā arī citi Likumprojektā iekļautie grozījumi. Saistībā ar to, Asociācija</w:t>
            </w:r>
            <w:r>
              <w:rPr>
                <w:rStyle w:val="markedcontent"/>
              </w:rPr>
              <w:t xml:space="preserve"> </w:t>
            </w:r>
            <w:r w:rsidRPr="00185DF9">
              <w:rPr>
                <w:rStyle w:val="markedcontent"/>
              </w:rPr>
              <w:t xml:space="preserve">kategoriski iebilst pret </w:t>
            </w:r>
            <w:r>
              <w:rPr>
                <w:rStyle w:val="markedcontent"/>
              </w:rPr>
              <w:t>l</w:t>
            </w:r>
            <w:r w:rsidRPr="00185DF9">
              <w:rPr>
                <w:rStyle w:val="markedcontent"/>
              </w:rPr>
              <w:t xml:space="preserve">ikumprojekta virzīšanu </w:t>
            </w:r>
            <w:r>
              <w:rPr>
                <w:rStyle w:val="markedcontent"/>
              </w:rPr>
              <w:t>Valsts sekretāru sanāksmē</w:t>
            </w:r>
            <w:r w:rsidRPr="00185DF9">
              <w:rPr>
                <w:rStyle w:val="markedcontent"/>
              </w:rPr>
              <w:t xml:space="preserve"> un lūdz informēt par ieinteresēto pušu priekšlikumu un iebildumu izskatīšanu, objektīvu izvērtēšanu un</w:t>
            </w:r>
            <w:r>
              <w:rPr>
                <w:rStyle w:val="markedcontent"/>
              </w:rPr>
              <w:t xml:space="preserve"> </w:t>
            </w:r>
            <w:r w:rsidRPr="00185DF9">
              <w:rPr>
                <w:rStyle w:val="markedcontent"/>
              </w:rPr>
              <w:t>iestrādāšanu Likumprojektā, lai tiktu ievērotas Ministru kabineta</w:t>
            </w:r>
            <w:r>
              <w:rPr>
                <w:rStyle w:val="markedcontent"/>
              </w:rPr>
              <w:t xml:space="preserve"> </w:t>
            </w:r>
            <w:r w:rsidRPr="00185DF9">
              <w:rPr>
                <w:rStyle w:val="markedcontent"/>
              </w:rPr>
              <w:t>2009.</w:t>
            </w:r>
            <w:r>
              <w:rPr>
                <w:rStyle w:val="markedcontent"/>
              </w:rPr>
              <w:t xml:space="preserve"> </w:t>
            </w:r>
            <w:r w:rsidRPr="00185DF9">
              <w:rPr>
                <w:rStyle w:val="markedcontent"/>
              </w:rPr>
              <w:t>gada 3.</w:t>
            </w:r>
            <w:r>
              <w:rPr>
                <w:rStyle w:val="markedcontent"/>
              </w:rPr>
              <w:t xml:space="preserve"> </w:t>
            </w:r>
            <w:r w:rsidRPr="00185DF9">
              <w:rPr>
                <w:rStyle w:val="markedcontent"/>
              </w:rPr>
              <w:t>februāra noteikumu Nr.</w:t>
            </w:r>
            <w:r>
              <w:rPr>
                <w:rStyle w:val="markedcontent"/>
              </w:rPr>
              <w:t xml:space="preserve"> </w:t>
            </w:r>
            <w:r w:rsidRPr="00185DF9">
              <w:rPr>
                <w:rStyle w:val="markedcontent"/>
              </w:rPr>
              <w:t>108 “Normatīvo aktu sagatavošanas noteikumi”, kā arī Ministru kabineta 2009.</w:t>
            </w:r>
            <w:r>
              <w:rPr>
                <w:rStyle w:val="markedcontent"/>
              </w:rPr>
              <w:t xml:space="preserve"> </w:t>
            </w:r>
            <w:r w:rsidRPr="00185DF9">
              <w:rPr>
                <w:rStyle w:val="markedcontent"/>
              </w:rPr>
              <w:t>gada 25.</w:t>
            </w:r>
            <w:r>
              <w:rPr>
                <w:rStyle w:val="markedcontent"/>
              </w:rPr>
              <w:t xml:space="preserve"> </w:t>
            </w:r>
            <w:r w:rsidRPr="00185DF9">
              <w:rPr>
                <w:rStyle w:val="markedcontent"/>
              </w:rPr>
              <w:t>augusta noteikumu</w:t>
            </w:r>
            <w:r>
              <w:rPr>
                <w:rStyle w:val="markedcontent"/>
              </w:rPr>
              <w:t xml:space="preserve"> </w:t>
            </w:r>
            <w:r w:rsidRPr="00185DF9">
              <w:rPr>
                <w:rStyle w:val="markedcontent"/>
              </w:rPr>
              <w:t>Nr. 970 “Sabiedrības līdzdalības kārtība attīstības plānošanas procesā” normas.</w:t>
            </w:r>
          </w:p>
          <w:p w14:paraId="1E9D33A7" w14:textId="1169B8A5" w:rsidR="001625D3" w:rsidRPr="004E3774" w:rsidRDefault="001625D3" w:rsidP="001625D3">
            <w:pPr>
              <w:jc w:val="both"/>
              <w:rPr>
                <w:rStyle w:val="markedcontent"/>
                <w:b/>
                <w:bCs/>
              </w:rPr>
            </w:pPr>
            <w:r w:rsidRPr="004E3774">
              <w:rPr>
                <w:b/>
                <w:bCs/>
              </w:rPr>
              <w:t>SIA “BALTIC OIL ASSETS” viedoklis:</w:t>
            </w:r>
          </w:p>
          <w:p w14:paraId="0FD340D9" w14:textId="394F5F8E" w:rsidR="001625D3" w:rsidRDefault="001625D3" w:rsidP="001625D3">
            <w:pPr>
              <w:ind w:right="26"/>
              <w:jc w:val="both"/>
            </w:pPr>
            <w:r>
              <w:t>SIA “BALTIC OIL ASSETS”, turpmāk – Sabiedrība, no Baltijas ogļūdeņražu izpētes un ieguves asociācijas, turpmāk – Asociācija, ir uzzinājusi, ka likumprojekts tiek virzīts Valsts sekretāru sanāksmē.</w:t>
            </w:r>
          </w:p>
          <w:p w14:paraId="366B7AA2" w14:textId="6CBB1305" w:rsidR="001625D3" w:rsidRDefault="001625D3" w:rsidP="001625D3">
            <w:pPr>
              <w:ind w:right="26"/>
              <w:jc w:val="both"/>
            </w:pPr>
            <w:r>
              <w:t xml:space="preserve">Ņemot vērā, ka Asociācijas biedri, tai skaitā Sabiedrība, līdz pat šim brīdim nav saņēmuši atbildes no Vides aizsardzības un reģionālās attīstības ministrijas uz uzdotajiem būtiskajiem jautājumiem saistībā ar dabas resursu nodokli, Sabiedrība </w:t>
            </w:r>
            <w:r>
              <w:lastRenderedPageBreak/>
              <w:t xml:space="preserve">kategoriski iebilst pret likumprojektu. Sabiedrība lūdz to nevirzīt Valsts sekretāru sanāksmē, jo, diemžēl, nav izvērtēta tā ietekme uz konkrētajiem nozarē strādājošajiem komersantiem, kā arī nav sniegtas atbildes pēc būtības. </w:t>
            </w:r>
          </w:p>
          <w:p w14:paraId="1DFD29E9" w14:textId="621735DC" w:rsidR="001625D3" w:rsidRPr="005B688D" w:rsidRDefault="001625D3" w:rsidP="001625D3">
            <w:pPr>
              <w:ind w:right="26"/>
              <w:jc w:val="both"/>
              <w:rPr>
                <w:bCs/>
              </w:rPr>
            </w:pPr>
            <w:r>
              <w:t xml:space="preserve">Atbildi lūdzam sniegt nekavējoties par dabas resursu nodokļa saskaņošanu ar nozari.  </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35CEA826" w14:textId="1EEF2994" w:rsidR="001625D3" w:rsidRDefault="001625D3" w:rsidP="001625D3">
            <w:pPr>
              <w:pStyle w:val="naisc"/>
              <w:spacing w:before="0" w:after="0"/>
              <w:jc w:val="both"/>
            </w:pPr>
            <w:r>
              <w:lastRenderedPageBreak/>
              <w:t xml:space="preserve">VARAM norāda, ka </w:t>
            </w:r>
            <w:r w:rsidRPr="00C71189">
              <w:t>2021.</w:t>
            </w:r>
            <w:r>
              <w:t> </w:t>
            </w:r>
            <w:r w:rsidRPr="00C71189">
              <w:t>gada 19.</w:t>
            </w:r>
            <w:r>
              <w:t> </w:t>
            </w:r>
            <w:r w:rsidRPr="00C71189">
              <w:t>jūnijā rīkota atsevišķa sanāksme par ogļūdeņražu jautājumiem, kur</w:t>
            </w:r>
            <w:r>
              <w:t xml:space="preserve">ā bija iespēja uzdot visus interesējošos jautājumus. </w:t>
            </w:r>
          </w:p>
          <w:p w14:paraId="5DD60457" w14:textId="1FC4E0A1" w:rsidR="001625D3" w:rsidRPr="00C71189" w:rsidRDefault="001625D3" w:rsidP="001625D3">
            <w:pPr>
              <w:pStyle w:val="naisc"/>
              <w:spacing w:before="0" w:after="0"/>
              <w:jc w:val="both"/>
            </w:pPr>
            <w:r w:rsidRPr="00C71189">
              <w:t xml:space="preserve">Dabas resursu nodokļa ogļūdeņražu ieguvei likme noteikta atbilstoši Ekonomikas ministrijas </w:t>
            </w:r>
            <w:r w:rsidRPr="00C71189">
              <w:lastRenderedPageBreak/>
              <w:t>priekšlikumiem. Dabas resursu nodokļa likmes aprēķināšanas metodikas pamatprincips balstīts uz Ministru kabineta 2009.</w:t>
            </w:r>
            <w:r>
              <w:t> </w:t>
            </w:r>
            <w:r w:rsidRPr="00C71189">
              <w:t>gada 18.</w:t>
            </w:r>
            <w:r>
              <w:t> </w:t>
            </w:r>
            <w:r w:rsidRPr="00C71189">
              <w:t>augusta noteikumu Nr.</w:t>
            </w:r>
            <w:r>
              <w:t> </w:t>
            </w:r>
            <w:r w:rsidRPr="00C71189">
              <w:t>942 “Noteikumi par ogļūdeņražu ieguves valsts nodevu” nosacījumiem</w:t>
            </w:r>
            <w:r>
              <w:t>, kā arī vērtēta citu valstu, piemēram, Lietuvas, situācija</w:t>
            </w:r>
            <w:r w:rsidRPr="00C71189">
              <w:t>.</w:t>
            </w:r>
          </w:p>
          <w:p w14:paraId="76717723" w14:textId="7D058AD2" w:rsidR="001625D3" w:rsidRDefault="001625D3" w:rsidP="001625D3">
            <w:pPr>
              <w:pStyle w:val="naisc"/>
              <w:spacing w:before="0" w:after="0"/>
              <w:jc w:val="both"/>
            </w:pPr>
            <w:r w:rsidRPr="00C71189">
              <w:t>Informējam, ka Ekonomikas ministrija ir veikusi analīzi par ogļūdeņražu nodevas un nodokļu likmēm arī par citām valstīm. Pasaules prakse šajā jautājumā ir ļoti dažāda. Pastāv valstis, kur maksājama viena nodeva, kur iekļauts gan dabas resursu nodoklis, gan nodeva par ogļūdeņražu ieguvi, bet atsevišķās valstīs ir līdzīga prakse, kāda iecerēta arī Latvijā – ir veicami divi atsevišķi maksājumi – viens par nodevu, otrs par dabas resursu nodokli. Kopējais nodokļu (tai skaitā nodevas) slogs atsevišķās valstīs svārstās no 10 – 24</w:t>
            </w:r>
            <w:r>
              <w:t> </w:t>
            </w:r>
            <w:r w:rsidRPr="00C71189">
              <w:t>%. Piemēram, Lietuvā nodokļi sastāda 12</w:t>
            </w:r>
            <w:r>
              <w:t> </w:t>
            </w:r>
            <w:r w:rsidRPr="00C71189">
              <w:t>%, Vācijā 18 – 21</w:t>
            </w:r>
            <w:r>
              <w:t> </w:t>
            </w:r>
            <w:r w:rsidRPr="00C71189">
              <w:t xml:space="preserve">%, Itālijā </w:t>
            </w:r>
            <w:r>
              <w:t>–</w:t>
            </w:r>
            <w:r w:rsidRPr="00C71189">
              <w:t xml:space="preserve"> 24</w:t>
            </w:r>
            <w:r>
              <w:t> </w:t>
            </w:r>
            <w:r w:rsidRPr="00C71189">
              <w:t xml:space="preserve">%. </w:t>
            </w:r>
          </w:p>
          <w:p w14:paraId="79F48261" w14:textId="1B890702" w:rsidR="001625D3" w:rsidRPr="00C71189" w:rsidRDefault="001625D3" w:rsidP="001625D3">
            <w:pPr>
              <w:pStyle w:val="naisc"/>
              <w:spacing w:before="0" w:after="0"/>
              <w:jc w:val="both"/>
            </w:pPr>
            <w:r w:rsidRPr="00C71189">
              <w:t>Paralēli vērtē</w:t>
            </w:r>
            <w:r>
              <w:t>ti</w:t>
            </w:r>
            <w:r w:rsidRPr="00C71189">
              <w:t xml:space="preserve"> cit</w:t>
            </w:r>
            <w:r>
              <w:t>i</w:t>
            </w:r>
            <w:r w:rsidRPr="00C71189">
              <w:t xml:space="preserve"> statistikas dat</w:t>
            </w:r>
            <w:r>
              <w:t>i</w:t>
            </w:r>
            <w:r w:rsidRPr="00C71189">
              <w:t>, tai skaitā dat</w:t>
            </w:r>
            <w:r>
              <w:t>i</w:t>
            </w:r>
            <w:r w:rsidRPr="00C71189">
              <w:t xml:space="preserve"> no  “International Energy Agency”. Tāpat dažāda veida informācija par atsevišķu nodevu/nodokļu analīzi un  pētījumiem pieejama  Ernst&amp;Young tīmekļvietnē: </w:t>
            </w:r>
            <w:hyperlink r:id="rId12" w:history="1">
              <w:hyperlink r:id="rId13" w:history="1">
                <w:r w:rsidRPr="00C71189">
                  <w:t>https://www.ey.com/en_gl/tax</w:t>
                </w:r>
              </w:hyperlink>
            </w:hyperlink>
            <w:r w:rsidRPr="00C71189">
              <w:t>.</w:t>
            </w:r>
          </w:p>
          <w:p w14:paraId="464E5701" w14:textId="31A8DFA9" w:rsidR="001625D3" w:rsidRDefault="001625D3" w:rsidP="001625D3">
            <w:pPr>
              <w:pStyle w:val="naisc"/>
              <w:spacing w:before="0" w:after="0"/>
              <w:jc w:val="both"/>
            </w:pPr>
            <w:r>
              <w:t>Ievērojot saņemtos viedokļus sabiedrības līdzdalības laikā, dabas resursu nodokļa likme ir samazināta no 12 % uz 7 % par neapstrādātu naftu un no 10 % uz 5 % par dabasgāzi.</w:t>
            </w:r>
          </w:p>
          <w:p w14:paraId="143D897E" w14:textId="07BC163D" w:rsidR="001625D3" w:rsidRDefault="001625D3" w:rsidP="001625D3">
            <w:pPr>
              <w:pStyle w:val="naisc"/>
              <w:spacing w:before="0" w:after="0"/>
              <w:jc w:val="both"/>
            </w:pPr>
            <w:r>
              <w:t>Vēršam uzmanību, ka būs iespēja iesaistīties likumprojekta saskaņošanas procesā arī pēc tā izsludināšanas Valsts sekretāru sanāksmē</w:t>
            </w:r>
            <w:r w:rsidRPr="004D59C6">
              <w:t xml:space="preserve"> Ministru kabineta 2009. gada 7. aprīļa noteikumu Nr. 300 “Ministru kabineta kārtības rullis” </w:t>
            </w:r>
            <w:r>
              <w:t>noteiktajā kārtībā.</w:t>
            </w:r>
          </w:p>
        </w:tc>
      </w:tr>
      <w:tr w:rsidR="001625D3" w:rsidRPr="00C71189" w14:paraId="7FC883AB" w14:textId="77777777" w:rsidTr="00657982">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755B8B00" w14:textId="77777777" w:rsidR="001625D3" w:rsidRPr="00C71189" w:rsidRDefault="001625D3" w:rsidP="001625D3">
            <w:pPr>
              <w:pStyle w:val="naisc"/>
              <w:numPr>
                <w:ilvl w:val="1"/>
                <w:numId w:val="21"/>
              </w:numPr>
              <w:spacing w:before="0" w:after="0"/>
              <w:ind w:left="361" w:right="317"/>
              <w:jc w:val="left"/>
            </w:pPr>
          </w:p>
        </w:tc>
        <w:tc>
          <w:tcPr>
            <w:tcW w:w="14009" w:type="dxa"/>
            <w:gridSpan w:val="3"/>
            <w:tcBorders>
              <w:top w:val="single" w:sz="6" w:space="0" w:color="000000" w:themeColor="text1"/>
              <w:left w:val="single" w:sz="6" w:space="0" w:color="000000" w:themeColor="text1"/>
              <w:bottom w:val="single" w:sz="6" w:space="0" w:color="000000" w:themeColor="text1"/>
              <w:right w:val="single" w:sz="4" w:space="0" w:color="auto"/>
            </w:tcBorders>
            <w:shd w:val="clear" w:color="auto" w:fill="D9D9D9" w:themeFill="background1" w:themeFillShade="D9"/>
          </w:tcPr>
          <w:p w14:paraId="51352B3C" w14:textId="26AB4190" w:rsidR="001625D3" w:rsidRPr="008930BB" w:rsidRDefault="001625D3" w:rsidP="001625D3">
            <w:pPr>
              <w:pStyle w:val="naisc"/>
              <w:spacing w:before="0" w:after="0"/>
              <w:rPr>
                <w:b/>
                <w:bCs/>
              </w:rPr>
            </w:pPr>
            <w:r w:rsidRPr="008930BB">
              <w:rPr>
                <w:b/>
                <w:bCs/>
              </w:rPr>
              <w:t>Biedrības “Lauksaimnieku organizāciju sadarbības padome” 14.06.2021. viedoklis</w:t>
            </w:r>
          </w:p>
        </w:tc>
      </w:tr>
      <w:tr w:rsidR="001625D3" w:rsidRPr="00C71189" w14:paraId="07923C4C"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3D0668D7" w14:textId="77777777" w:rsidR="001625D3" w:rsidRPr="00C71189" w:rsidRDefault="001625D3" w:rsidP="001625D3">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40A11CE8" w14:textId="77777777" w:rsidR="001625D3" w:rsidRPr="00C71189" w:rsidRDefault="001625D3" w:rsidP="001625D3">
            <w:pPr>
              <w:spacing w:before="120"/>
              <w:jc w:val="both"/>
              <w:rPr>
                <w:b/>
                <w:bCs/>
              </w:rPr>
            </w:pPr>
            <w:r w:rsidRPr="00C71189">
              <w:rPr>
                <w:b/>
                <w:bCs/>
              </w:rPr>
              <w:t xml:space="preserve">Likumprojekta </w:t>
            </w:r>
            <w:r>
              <w:rPr>
                <w:b/>
                <w:bCs/>
              </w:rPr>
              <w:t>13. </w:t>
            </w:r>
            <w:r w:rsidRPr="00C71189">
              <w:rPr>
                <w:b/>
                <w:bCs/>
              </w:rPr>
              <w:t>panta likuma 14.</w:t>
            </w:r>
            <w:r w:rsidRPr="00C71189">
              <w:rPr>
                <w:b/>
                <w:bCs/>
                <w:vertAlign w:val="superscript"/>
              </w:rPr>
              <w:t>2</w:t>
            </w:r>
            <w:r w:rsidRPr="00C71189">
              <w:rPr>
                <w:b/>
                <w:bCs/>
              </w:rPr>
              <w:t> pants:</w:t>
            </w:r>
          </w:p>
          <w:p w14:paraId="7FDEB762" w14:textId="77777777" w:rsidR="001625D3" w:rsidRPr="00C71189" w:rsidRDefault="001625D3" w:rsidP="001625D3">
            <w:pPr>
              <w:pStyle w:val="NormalWeb"/>
              <w:spacing w:before="0" w:after="0"/>
              <w:jc w:val="both"/>
              <w:rPr>
                <w:b/>
              </w:rPr>
            </w:pPr>
            <w:r w:rsidRPr="00C71189">
              <w:t>“</w:t>
            </w:r>
            <w:r w:rsidRPr="00C71189">
              <w:rPr>
                <w:b/>
              </w:rPr>
              <w:t>14.</w:t>
            </w:r>
            <w:r w:rsidRPr="00C71189">
              <w:rPr>
                <w:b/>
                <w:vertAlign w:val="superscript"/>
              </w:rPr>
              <w:t>2</w:t>
            </w:r>
            <w:r w:rsidRPr="00C71189">
              <w:rPr>
                <w:b/>
              </w:rPr>
              <w:t> pants. Nodokļa aprēķināšana par ogļūdeņražu ieguvi</w:t>
            </w:r>
          </w:p>
          <w:p w14:paraId="1E2E3944" w14:textId="77777777" w:rsidR="001625D3" w:rsidRPr="00C71189" w:rsidRDefault="001625D3" w:rsidP="001625D3">
            <w:pPr>
              <w:pStyle w:val="NormalWeb"/>
              <w:spacing w:before="0" w:after="0"/>
              <w:jc w:val="both"/>
            </w:pPr>
            <w:r w:rsidRPr="00C71189">
              <w:t>(1) Nodokļa maksātājs aprēķina un maksā nodokli par taksācijas periodā iegūto ogļūdeņražu apjomu, piemērojot nodokļa likmi:</w:t>
            </w:r>
          </w:p>
          <w:p w14:paraId="6E57B98C" w14:textId="77777777" w:rsidR="001625D3" w:rsidRPr="00C71189" w:rsidRDefault="001625D3" w:rsidP="001625D3">
            <w:pPr>
              <w:pStyle w:val="NormalWeb"/>
              <w:spacing w:before="0" w:after="0"/>
              <w:jc w:val="both"/>
            </w:pPr>
            <w:r w:rsidRPr="00C71189">
              <w:t>1) 12 procentu apmērā no neapstrādātas naftas vērtības;</w:t>
            </w:r>
          </w:p>
          <w:p w14:paraId="36761384" w14:textId="77777777" w:rsidR="001625D3" w:rsidRPr="00C71189" w:rsidRDefault="001625D3" w:rsidP="001625D3">
            <w:pPr>
              <w:pStyle w:val="NormalWeb"/>
              <w:spacing w:before="0" w:after="0"/>
              <w:jc w:val="both"/>
            </w:pPr>
            <w:r w:rsidRPr="00C71189">
              <w:t xml:space="preserve">2) 10 procentu apmērā no dabasgāzes vērtības. </w:t>
            </w:r>
          </w:p>
          <w:p w14:paraId="6AD778E8" w14:textId="77777777" w:rsidR="001625D3" w:rsidRPr="00C71189" w:rsidRDefault="001625D3" w:rsidP="001625D3">
            <w:pPr>
              <w:pStyle w:val="NormalWeb"/>
              <w:spacing w:before="0" w:after="0"/>
              <w:jc w:val="both"/>
            </w:pPr>
          </w:p>
          <w:p w14:paraId="39F0D3A7" w14:textId="674640D5" w:rsidR="001625D3" w:rsidRPr="00C71189" w:rsidRDefault="001625D3" w:rsidP="001625D3">
            <w:pPr>
              <w:spacing w:before="120"/>
              <w:jc w:val="both"/>
              <w:rPr>
                <w:b/>
                <w:bCs/>
              </w:rPr>
            </w:pPr>
            <w:r w:rsidRPr="00C71189">
              <w:t>(2) Neapstrādātas naftas un dabasgāzes vērtības aprēķināšanas kārtību nosaka Ministru kabinets.”</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5440DE3E" w14:textId="42B0C0DC" w:rsidR="001625D3" w:rsidRPr="00C71189" w:rsidRDefault="001625D3" w:rsidP="001625D3">
            <w:pPr>
              <w:jc w:val="both"/>
              <w:rPr>
                <w:bCs/>
              </w:rPr>
            </w:pPr>
            <w:r w:rsidRPr="00C71189">
              <w:rPr>
                <w:shd w:val="clear" w:color="auto" w:fill="FFFFFF"/>
              </w:rPr>
              <w:t xml:space="preserve">Likumprojekta anotācijā norādīts, ka </w:t>
            </w:r>
            <w:r w:rsidRPr="00C71189">
              <w:t>dabas resursu nodoklis</w:t>
            </w:r>
            <w:r w:rsidRPr="00C71189">
              <w:rPr>
                <w:lang w:eastAsia="lv-LV"/>
              </w:rPr>
              <w:t xml:space="preserve"> ogļūdeņražu ieguvei ir nosakāms, pamatojoties uz  </w:t>
            </w:r>
            <w:r w:rsidRPr="00C71189">
              <w:t>Valsts kontroles revīzijas Nr. 2.4.1-38/2016 “Par Latvijas Republikas 2016.</w:t>
            </w:r>
            <w:r>
              <w:t xml:space="preserve"> </w:t>
            </w:r>
            <w:r w:rsidRPr="00C71189">
              <w:t xml:space="preserve">gada pārskatu par valsts budžeta izpildi un par pašvaldību budžetiem” </w:t>
            </w:r>
            <w:r w:rsidRPr="00C71189">
              <w:rPr>
                <w:bCs/>
              </w:rPr>
              <w:t xml:space="preserve">ziņojumu, kas paredz noteikt maksājumus valsts un pašvaldības budžetā par iegūtajiem ogļūdeņražu apjomiem visā Latvijas teritorijā, neatkarīgi no īpašuma piederības, taču nav ņemts vērā, ka viens no </w:t>
            </w:r>
            <w:r w:rsidRPr="00C71189">
              <w:t>dabas resursu nodokļa</w:t>
            </w:r>
            <w:r w:rsidRPr="00C71189">
              <w:rPr>
                <w:bCs/>
              </w:rPr>
              <w:t xml:space="preserve"> pamatmērķiem ir nodrošināt</w:t>
            </w:r>
            <w:r w:rsidRPr="00C71189">
              <w:t xml:space="preserve"> labāku enerģijas resursu ieguvi un izmantošanu, nevis piemērot augstu nodokļa likmi iegūtajam produktam.</w:t>
            </w:r>
          </w:p>
          <w:p w14:paraId="579AD7D9" w14:textId="77777777" w:rsidR="001625D3" w:rsidRPr="00C71189" w:rsidRDefault="001625D3" w:rsidP="001625D3">
            <w:pPr>
              <w:ind w:firstLine="720"/>
              <w:jc w:val="both"/>
              <w:rPr>
                <w:shd w:val="clear" w:color="auto" w:fill="FFFFFF"/>
              </w:rPr>
            </w:pPr>
            <w:r w:rsidRPr="00C71189">
              <w:t xml:space="preserve">Dabas resursu nodokļa piemērošana Likumprojektā ir pretrunā ar dabas resursu nodokļa aprēķināšanas kārtību. Kā piemēru var minēt ogļūdeņražu ieguvei piemērot dabas resursu nodokļa likumi 12% no neapstrādātas naftas vērtības un 10% no dabasgāzes vērtības. Šāda dabas resursu nodokļa likmes piemērošana nebūtu korekta, jo dabas resursu nodoklim jābūt aprēķināmam no mērvienības, nevis no vērtības. </w:t>
            </w:r>
            <w:r w:rsidRPr="00C71189">
              <w:rPr>
                <w:lang w:eastAsia="lv-LV"/>
              </w:rPr>
              <w:t>Saskaņā ar Ministru kabineta 19.06.2007. noteikumiem Nr.404 “Kārtība, kādā aprēķina un maksā dabas resursu nodokli, izsniedz dabas resursu lietošanas atļauju un auditē apsaimniekošanas sistēmas”,  n</w:t>
            </w:r>
            <w:r w:rsidRPr="00C71189">
              <w:rPr>
                <w:shd w:val="clear" w:color="auto" w:fill="FFFFFF"/>
              </w:rPr>
              <w:t>odokli par dabasgāzes iesūknēšanu ģeoloģiskajās struktūrās, ūdens ieguvi, par oglekļa dioksīda (CO</w:t>
            </w:r>
            <w:r w:rsidRPr="00C71189">
              <w:rPr>
                <w:shd w:val="clear" w:color="auto" w:fill="FFFFFF"/>
                <w:vertAlign w:val="subscript"/>
              </w:rPr>
              <w:t>2</w:t>
            </w:r>
            <w:r w:rsidRPr="00C71189">
              <w:rPr>
                <w:shd w:val="clear" w:color="auto" w:fill="FFFFFF"/>
              </w:rPr>
              <w:t xml:space="preserve">) emisiju un citiem dabas resursiem, nodokļa maksātājs aprēķina par taksācijas periodā faktisko iesūknēto, iegūto, radīto apjomu. Nav skaidrs, kāpēc ogļūdeņražu ieguvei būtu piemērojama atšķirīga </w:t>
            </w:r>
            <w:r w:rsidRPr="00C71189">
              <w:t>dabas resursu nodokļa</w:t>
            </w:r>
            <w:r w:rsidRPr="00C71189">
              <w:rPr>
                <w:shd w:val="clear" w:color="auto" w:fill="FFFFFF"/>
              </w:rPr>
              <w:t xml:space="preserve"> aprēķināšanas kārtība. Jāuzsver arī, ka </w:t>
            </w:r>
            <w:r w:rsidRPr="00C71189">
              <w:t>dabas resursu nodokļa</w:t>
            </w:r>
            <w:r w:rsidRPr="00C71189">
              <w:rPr>
                <w:shd w:val="clear" w:color="auto" w:fill="FFFFFF"/>
              </w:rPr>
              <w:t xml:space="preserve"> 12% apmērā paredzēts noteikt </w:t>
            </w:r>
            <w:r w:rsidRPr="00C71189">
              <w:rPr>
                <w:shd w:val="clear" w:color="auto" w:fill="FFFFFF"/>
              </w:rPr>
              <w:lastRenderedPageBreak/>
              <w:t>iegūtajam ogļūdeņražu apjomam, 12% aprēķinot no neapstrādātas jēlnaftas vērtības, tādējādi likmi piemērojot diviem vērtībā un pēc fizikāli ķīmiskajiem lielumiem atšķirīgiem objektiem.</w:t>
            </w:r>
          </w:p>
          <w:p w14:paraId="6A578C2D" w14:textId="4E3EE62D" w:rsidR="001625D3" w:rsidRPr="00C71189" w:rsidRDefault="001625D3" w:rsidP="001625D3">
            <w:pPr>
              <w:ind w:firstLine="720"/>
              <w:jc w:val="both"/>
              <w:rPr>
                <w:shd w:val="clear" w:color="auto" w:fill="FFFFFF"/>
              </w:rPr>
            </w:pPr>
            <w:r w:rsidRPr="00C71189">
              <w:rPr>
                <w:shd w:val="clear" w:color="auto" w:fill="FFFFFF"/>
              </w:rPr>
              <w:t xml:space="preserve">Papildus </w:t>
            </w:r>
            <w:r>
              <w:rPr>
                <w:shd w:val="clear" w:color="auto" w:fill="FFFFFF"/>
              </w:rPr>
              <w:t>biedrība “Lauksaimnieku organizāciju sadarbības padome” (turpmāk – LOSP)</w:t>
            </w:r>
            <w:r w:rsidRPr="00C71189">
              <w:rPr>
                <w:shd w:val="clear" w:color="auto" w:fill="FFFFFF"/>
              </w:rPr>
              <w:t xml:space="preserve"> vēlas uzsvērt, ka, ieviešot jaunus nodokļu maksājumus, nedrīkst neievērot tiesiskās paļāvības principu attiecībā uz tiem komersantiem, kas jau veic komercdarbību, ir veikuši ekonomiskos aprēķinus un uz tā pamata pieņēmuši lēmumus par līdzekļu investīciju un tās jau ieguldījuši attīstībā.</w:t>
            </w:r>
          </w:p>
          <w:p w14:paraId="3BA98D37" w14:textId="77777777" w:rsidR="001625D3" w:rsidRPr="00C71189" w:rsidRDefault="001625D3" w:rsidP="001625D3">
            <w:pPr>
              <w:ind w:firstLine="720"/>
              <w:jc w:val="both"/>
              <w:rPr>
                <w:shd w:val="clear" w:color="auto" w:fill="FFFFFF"/>
              </w:rPr>
            </w:pPr>
            <w:r w:rsidRPr="00C71189">
              <w:rPr>
                <w:shd w:val="clear" w:color="auto" w:fill="FFFFFF"/>
              </w:rPr>
              <w:t>Ņemot vērā visu augstāk minēto, LOSP lūdz sniegt atbildes par aprēķinu veikšanas pamatojumu, norādīt kādi dati un cita rakstura informācija izmatota, veicot minētos aprēķinus, kā arī ievērojot sanāksmes laikā minēto, ka ir ņemta vērā starptautiskā pieredze, informēt par konkrētu valstu piemēriem dabas resursu nodokļa piemērošanā ogļūdeņražu ieguves jomā, papildus norādot arī ieguves apjomus šajās valstīs. Vēlams  minēt arī rādītājus par atsevišķiem komersantiem.</w:t>
            </w:r>
          </w:p>
          <w:p w14:paraId="729B3BE9" w14:textId="77777777" w:rsidR="001625D3" w:rsidRPr="00C71189" w:rsidRDefault="001625D3" w:rsidP="001625D3">
            <w:pPr>
              <w:ind w:firstLine="720"/>
              <w:jc w:val="both"/>
              <w:rPr>
                <w:shd w:val="clear" w:color="auto" w:fill="FFFFFF"/>
              </w:rPr>
            </w:pPr>
            <w:r w:rsidRPr="00C71189">
              <w:rPr>
                <w:shd w:val="clear" w:color="auto" w:fill="FFFFFF"/>
              </w:rPr>
              <w:t>Fakts, ka Latvijā šobrīd joprojām darbojas tikai viens komersants ogļūdeņražu nozarē, un, neskatoties, ka ir vairākas izsniegtas licences, bet darbību vairs neviens licenciāts nav uzsācis, rosina uzdot jautājumu vai kopumā nav jāpārskata jau esošais normatīvo aktu regulējums, kas jūtami kavē darbības uzsākšanu, kāpēc netiek ieguldītas investīcijas šajā nozarē Latvijā? Vai jaunais dabas resursu nodoklis neradīs situāciju, ka neviens cits licenciāts tā arī neuzsāks darbību Latvijā? Vai ir veiktas kādas prognozes par iespējamo jaunu komersantu ienākšanu Latvijā ogļūdeņražu nozarē?</w:t>
            </w:r>
          </w:p>
          <w:p w14:paraId="48565E0B" w14:textId="77777777" w:rsidR="001625D3" w:rsidRPr="00C71189" w:rsidRDefault="001625D3" w:rsidP="001625D3">
            <w:pPr>
              <w:ind w:firstLine="720"/>
              <w:jc w:val="both"/>
              <w:rPr>
                <w:shd w:val="clear" w:color="auto" w:fill="FFFFFF"/>
              </w:rPr>
            </w:pPr>
            <w:r w:rsidRPr="00C71189">
              <w:rPr>
                <w:shd w:val="clear" w:color="auto" w:fill="FFFFFF"/>
              </w:rPr>
              <w:t xml:space="preserve">Līdzīgs jautājums attiecas arī uz tekstilizstrādājumu, kūdras un citām nozarēm. Vai dabas resursu nodoklis atsvērs to, ka iespējami netiks atvērti jauni uzņēmumi vai samazināti ražošanas apjomi esošajos uzņēmumos. Vai ir veiktas prognozes un veikti kādi aprēķini par tehnoloģisko iekārtu </w:t>
            </w:r>
            <w:r w:rsidRPr="00C71189">
              <w:rPr>
                <w:shd w:val="clear" w:color="auto" w:fill="FFFFFF"/>
              </w:rPr>
              <w:lastRenderedPageBreak/>
              <w:t>nomaiņu katlu mājās, ražotnēs, kas izmanto vienreiz lietojamo iepakojumu.</w:t>
            </w:r>
          </w:p>
          <w:p w14:paraId="3462A456" w14:textId="77E399C0" w:rsidR="001625D3" w:rsidRPr="00C71189" w:rsidRDefault="001625D3" w:rsidP="001625D3">
            <w:pPr>
              <w:rPr>
                <w:b/>
                <w:bCs/>
              </w:rPr>
            </w:pPr>
            <w:r w:rsidRPr="00C71189">
              <w:rPr>
                <w:b/>
                <w:bCs/>
              </w:rPr>
              <w:t xml:space="preserve">Vēršam uzmanību uz </w:t>
            </w:r>
            <w:r>
              <w:rPr>
                <w:b/>
                <w:bCs/>
              </w:rPr>
              <w:t>l</w:t>
            </w:r>
            <w:r w:rsidRPr="00C71189">
              <w:rPr>
                <w:b/>
                <w:bCs/>
              </w:rPr>
              <w:t>ikumprojekta: 14.</w:t>
            </w:r>
            <w:r w:rsidRPr="00C71189">
              <w:rPr>
                <w:b/>
                <w:bCs/>
                <w:vertAlign w:val="superscript"/>
              </w:rPr>
              <w:t>2</w:t>
            </w:r>
            <w:r w:rsidRPr="00C71189">
              <w:rPr>
                <w:b/>
                <w:bCs/>
              </w:rPr>
              <w:t xml:space="preserve"> pantu. Nodokļa aprēķināšana par ogļūdeņražu ieguvi</w:t>
            </w:r>
          </w:p>
          <w:p w14:paraId="47475700" w14:textId="77777777" w:rsidR="001625D3" w:rsidRPr="00C71189" w:rsidRDefault="001625D3" w:rsidP="001625D3">
            <w:pPr>
              <w:jc w:val="both"/>
            </w:pPr>
            <w:r w:rsidRPr="00C71189">
              <w:t>(1) Nodokļa maksātājs aprēķina un maksā nodokli par taksācijas periodā iegūto ogļūdeņražu apjomu, piemērojot nodokļa likmi:</w:t>
            </w:r>
          </w:p>
          <w:p w14:paraId="16E17A16" w14:textId="77777777" w:rsidR="001625D3" w:rsidRPr="00C71189" w:rsidRDefault="001625D3" w:rsidP="001625D3">
            <w:pPr>
              <w:jc w:val="both"/>
            </w:pPr>
            <w:r w:rsidRPr="00C71189">
              <w:t>1) 12 procentu apmērā no neapstrādātas naftas vērtības;</w:t>
            </w:r>
          </w:p>
          <w:p w14:paraId="631564B9" w14:textId="77777777" w:rsidR="001625D3" w:rsidRPr="00C71189" w:rsidRDefault="001625D3" w:rsidP="001625D3">
            <w:pPr>
              <w:jc w:val="both"/>
            </w:pPr>
            <w:r w:rsidRPr="00C71189">
              <w:t>2) 10 procentu apmērā no dabasgāzes vērtības.</w:t>
            </w:r>
          </w:p>
          <w:p w14:paraId="46C5F907" w14:textId="77777777" w:rsidR="001625D3" w:rsidRPr="00C71189" w:rsidRDefault="001625D3" w:rsidP="001625D3">
            <w:pPr>
              <w:jc w:val="both"/>
            </w:pPr>
            <w:r w:rsidRPr="00C71189">
              <w:t>Anotācijā saka: "9. Šobrīd saskaņā ar spēkā esošo regulējumu par Latvijas Republikas ekskluzīvajā ekonomiskajā zonā vai Latvijas teritorijā valsts īpašumā esošajās zemēs iegūtiem ogļūdeņražiem maksājama nodeva Ministru kabineta 2009. gada 18. augusta noteikumu Nr. 942 “Noteikumi par ogļūdeņražu ieguves valsts nodevu” noteiktajā kārtībā".</w:t>
            </w:r>
          </w:p>
          <w:p w14:paraId="33EF69FE" w14:textId="77777777" w:rsidR="001625D3" w:rsidRPr="00C71189" w:rsidRDefault="001625D3" w:rsidP="001625D3">
            <w:pPr>
              <w:jc w:val="both"/>
            </w:pPr>
            <w:r w:rsidRPr="00C71189">
              <w:t xml:space="preserve">Kāpēc šo pieminam? </w:t>
            </w:r>
          </w:p>
          <w:p w14:paraId="02C2170F" w14:textId="77777777" w:rsidR="001625D3" w:rsidRPr="00C71189" w:rsidRDefault="001625D3" w:rsidP="001625D3">
            <w:pPr>
              <w:jc w:val="both"/>
            </w:pPr>
            <w:r w:rsidRPr="00C71189">
              <w:t>- Jo biometāns (CH4) tāpat kā dabasgāze ir OGĻŪDEŅRADIS.</w:t>
            </w:r>
          </w:p>
          <w:p w14:paraId="6AFB4F7F" w14:textId="77777777" w:rsidR="001625D3" w:rsidRPr="00C71189" w:rsidRDefault="001625D3" w:rsidP="001625D3">
            <w:pPr>
              <w:jc w:val="both"/>
            </w:pPr>
            <w:r w:rsidRPr="00C71189">
              <w:t>- Pie transporta direktīvas biometānam un dabasgāzei nereti liek vienādības zīmi.</w:t>
            </w:r>
          </w:p>
          <w:p w14:paraId="4625AC0E" w14:textId="6D97E46A" w:rsidR="001625D3" w:rsidRPr="00C71189" w:rsidRDefault="001625D3" w:rsidP="001625D3">
            <w:pPr>
              <w:jc w:val="both"/>
            </w:pPr>
            <w:r w:rsidRPr="00C71189">
              <w:t xml:space="preserve">Ja pazūd anotācijas akcents par no zemes dzīlēm iegūtu gāzi un  ķīmija, bioloģija un gramatika klibo, tad anaerobā procesā iegūta biogāze un tālāk biometāns var ļoti vienkārši "pārvērsties" par dabasgāzi un aplikties ar </w:t>
            </w:r>
            <w:r>
              <w:t>dabas resursu nodokli</w:t>
            </w:r>
            <w:r w:rsidRPr="00C71189">
              <w:t>!!!</w:t>
            </w:r>
          </w:p>
          <w:p w14:paraId="66F47572" w14:textId="2E467BAA" w:rsidR="001625D3" w:rsidRPr="00C71189" w:rsidRDefault="001625D3" w:rsidP="001625D3">
            <w:pPr>
              <w:jc w:val="both"/>
            </w:pPr>
            <w:r w:rsidRPr="00C71189">
              <w:rPr>
                <w:b/>
                <w:bCs/>
              </w:rPr>
              <w:t>Lūdzam arī pašā likuma 14.</w:t>
            </w:r>
            <w:r w:rsidRPr="00C71189">
              <w:rPr>
                <w:b/>
                <w:bCs/>
                <w:vertAlign w:val="superscript"/>
              </w:rPr>
              <w:t>2</w:t>
            </w:r>
            <w:r w:rsidRPr="00C71189">
              <w:rPr>
                <w:b/>
                <w:bCs/>
              </w:rPr>
              <w:t xml:space="preserve"> pantu papildināt. Nodokļa aprēķināšana par ogļūdeņražu ieguvi no zemes dzīlēm.</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569B5C41" w14:textId="66D1C63A" w:rsidR="001625D3" w:rsidRPr="009B09B8" w:rsidRDefault="001625D3" w:rsidP="001625D3">
            <w:pPr>
              <w:pStyle w:val="naisc"/>
              <w:spacing w:before="0" w:after="0"/>
              <w:jc w:val="both"/>
              <w:rPr>
                <w:b/>
                <w:bCs/>
              </w:rPr>
            </w:pPr>
            <w:r w:rsidRPr="009B09B8">
              <w:rPr>
                <w:b/>
                <w:bCs/>
              </w:rPr>
              <w:lastRenderedPageBreak/>
              <w:t>Daļēji ņemts vērā.</w:t>
            </w:r>
          </w:p>
          <w:p w14:paraId="3548893C" w14:textId="15D8FB6E" w:rsidR="001625D3" w:rsidRPr="00C71189" w:rsidRDefault="001625D3" w:rsidP="001625D3">
            <w:pPr>
              <w:pStyle w:val="naisc"/>
              <w:spacing w:before="0" w:after="0"/>
              <w:jc w:val="both"/>
            </w:pPr>
            <w:r w:rsidRPr="00C71189">
              <w:t>Vēršam uzmanību, ka dabas resursu nodoklis ir aprēķināms arī no vērtības, piemēram, šobrīd šāda pieeja noteikta</w:t>
            </w:r>
            <w:r>
              <w:t xml:space="preserve"> Dabas resursu nodokļa likuma</w:t>
            </w:r>
            <w:r w:rsidRPr="00C71189">
              <w:t xml:space="preserve"> 24.</w:t>
            </w:r>
            <w:r w:rsidRPr="00C71189">
              <w:rPr>
                <w:vertAlign w:val="superscript"/>
              </w:rPr>
              <w:t>1</w:t>
            </w:r>
            <w:r>
              <w:rPr>
                <w:vertAlign w:val="superscript"/>
              </w:rPr>
              <w:t> </w:t>
            </w:r>
            <w:r w:rsidRPr="00C71189">
              <w:t>pantā, piemērojot dabas resursu nodokļa likmi trīs procentu apmērā no uguņošanas ierīču iegādes vērtības.</w:t>
            </w:r>
          </w:p>
          <w:p w14:paraId="6C5A3E90" w14:textId="5C82E7BF" w:rsidR="001625D3" w:rsidRPr="00C71189" w:rsidRDefault="001625D3" w:rsidP="001625D3">
            <w:pPr>
              <w:pStyle w:val="naisc"/>
              <w:spacing w:before="0" w:after="0"/>
              <w:jc w:val="both"/>
            </w:pPr>
            <w:r w:rsidRPr="00C71189">
              <w:t>Dabas resursu nodokļa ogļūdeņražu ieguvei likme noteikta atbilstoši Ekonomikas ministrijas priekšlikumiem. Dabas resursu nodokļa likmes aprēķināšanas metodikas pamatprincips balstīts uz Ministru kabineta 2009.</w:t>
            </w:r>
            <w:r>
              <w:t> </w:t>
            </w:r>
            <w:r w:rsidRPr="00C71189">
              <w:t>gada 18.</w:t>
            </w:r>
            <w:r>
              <w:t> </w:t>
            </w:r>
            <w:r w:rsidRPr="00C71189">
              <w:t>augusta noteikumu Nr.</w:t>
            </w:r>
            <w:r>
              <w:t> </w:t>
            </w:r>
            <w:r w:rsidRPr="00C71189">
              <w:t>942 “Noteikumi par ogļūdeņražu ieguves valsts nodevu” nosacījumiem</w:t>
            </w:r>
            <w:r>
              <w:t xml:space="preserve"> un ievērojot citu valstu, piemēram, Lietuvas, situāciju</w:t>
            </w:r>
            <w:r w:rsidRPr="00C71189">
              <w:t>.</w:t>
            </w:r>
          </w:p>
          <w:p w14:paraId="27010025" w14:textId="7981E470" w:rsidR="001625D3" w:rsidRPr="00C71189" w:rsidRDefault="001625D3" w:rsidP="001625D3">
            <w:pPr>
              <w:jc w:val="both"/>
            </w:pPr>
            <w:r w:rsidRPr="00C71189">
              <w:t>Informējam, ka Ekonomikas ministrija ir veikusi analīzi par ogļūdeņražu nodevas un nodokļu likmēm arī par citām valstīm. Pasaules prakse šajā jautājumā ir ļoti dažāda. Pastāv valstis, kur maksājama viena nodeva, kur iekļauts gan dabas resursu nodoklis, gan nodeva par ogļūdeņražu ieguvi, bet atsevišķās valstīs ir līdzīga prakse, kāda iecerēta arī Latvijā – ir veicami divi atsevišķi maksājumi – viens par nodevu, otrs par dabas resursu nodokli. Kopējais nodokļu (tai skaitā nodevas) slogs atsevišķās valstīs svārstās no 10 – 24</w:t>
            </w:r>
            <w:r>
              <w:t> </w:t>
            </w:r>
            <w:r w:rsidRPr="00C71189">
              <w:t>%. Piemēram, Lietuvā nodokļi sastāda 12</w:t>
            </w:r>
            <w:r>
              <w:t> </w:t>
            </w:r>
            <w:r w:rsidRPr="00C71189">
              <w:t xml:space="preserve">%, </w:t>
            </w:r>
            <w:r w:rsidRPr="00C71189">
              <w:lastRenderedPageBreak/>
              <w:t>Vācijā 18 – 21</w:t>
            </w:r>
            <w:r>
              <w:t> </w:t>
            </w:r>
            <w:r w:rsidRPr="00C71189">
              <w:t xml:space="preserve">%, Itālijā </w:t>
            </w:r>
            <w:r>
              <w:t>–</w:t>
            </w:r>
            <w:r w:rsidRPr="00C71189">
              <w:t xml:space="preserve"> 24</w:t>
            </w:r>
            <w:r>
              <w:t> </w:t>
            </w:r>
            <w:r w:rsidRPr="00C71189">
              <w:t>%. Paralēli vērtē</w:t>
            </w:r>
            <w:r>
              <w:t>ti</w:t>
            </w:r>
            <w:r w:rsidRPr="00C71189">
              <w:t xml:space="preserve"> cit</w:t>
            </w:r>
            <w:r>
              <w:t>i</w:t>
            </w:r>
            <w:r w:rsidRPr="00C71189">
              <w:t xml:space="preserve"> statistikas dat</w:t>
            </w:r>
            <w:r>
              <w:t>i</w:t>
            </w:r>
            <w:r w:rsidRPr="00C71189">
              <w:t>, tai skaitā dat</w:t>
            </w:r>
            <w:r>
              <w:t>i</w:t>
            </w:r>
            <w:r w:rsidRPr="00C71189">
              <w:t xml:space="preserve"> no “International Energy Agency”. Tāpat dažāda veida informācija par atsevišķu nodevu/nodokļu analīzi un  pētījumiem pieejama Ernst&amp;Young tīmekļvietnē: </w:t>
            </w:r>
            <w:hyperlink r:id="rId14" w:history="1">
              <w:r w:rsidRPr="00C71189">
                <w:rPr>
                  <w:rStyle w:val="Hyperlink"/>
                  <w:color w:val="auto"/>
                </w:rPr>
                <w:t>https://www.ey.com/en_gl/tax</w:t>
              </w:r>
            </w:hyperlink>
            <w:r w:rsidRPr="00C71189">
              <w:t>.</w:t>
            </w:r>
          </w:p>
          <w:p w14:paraId="1D7E379F" w14:textId="4061C758" w:rsidR="001625D3" w:rsidRPr="00C71189" w:rsidRDefault="001625D3" w:rsidP="001625D3">
            <w:pPr>
              <w:jc w:val="both"/>
            </w:pPr>
            <w:r w:rsidRPr="00C71189">
              <w:t>Ievērojot, ka ogļūdeņražu ieguves apjomam ir noteikts ierobežotas pieejamības informācijas statuss, ogļūdeņražu ieguves apjoms nav publiski izpaužams.</w:t>
            </w:r>
          </w:p>
          <w:p w14:paraId="58E89FF9" w14:textId="6DBF9816" w:rsidR="001625D3" w:rsidRPr="00C71189" w:rsidRDefault="001625D3" w:rsidP="001625D3">
            <w:pPr>
              <w:jc w:val="both"/>
            </w:pPr>
            <w:r w:rsidRPr="00C71189">
              <w:t xml:space="preserve">Dabas resursu nodoklis tiek piemērots ogļūdeņražiem likuma “Par zemes dzīlēm” izpratnē: </w:t>
            </w:r>
            <w:r w:rsidRPr="00D84CC4">
              <w:t xml:space="preserve">ogļūdeņraži </w:t>
            </w:r>
            <w:r w:rsidRPr="00C71189">
              <w:t xml:space="preserve">— neapstrādāta nafta (jēlnafta), dabas gāze un gāzes kondensāti, ogļūdeņražu ieguve - ogļūdeņražu atdalīšana no to dabiskās vides, lai gūtu peļņu no šo ogļūdeņražu pārdošanas. Tāpat </w:t>
            </w:r>
            <w:r>
              <w:t xml:space="preserve">Dabas resursu nodokļa </w:t>
            </w:r>
            <w:r w:rsidRPr="00C71189">
              <w:t>likum</w:t>
            </w:r>
            <w:r>
              <w:t>a</w:t>
            </w:r>
            <w:r w:rsidRPr="00C71189">
              <w:t xml:space="preserve"> 14.</w:t>
            </w:r>
            <w:r w:rsidRPr="00C71189">
              <w:rPr>
                <w:vertAlign w:val="superscript"/>
              </w:rPr>
              <w:t>2</w:t>
            </w:r>
            <w:r>
              <w:rPr>
                <w:vertAlign w:val="superscript"/>
              </w:rPr>
              <w:t> </w:t>
            </w:r>
            <w:r w:rsidRPr="00C71189">
              <w:t xml:space="preserve">pantā tiek paredzēts, ka ar nodokli tiek aplikts iegūtais ogļūdeņražu apjoms – </w:t>
            </w:r>
            <w:r>
              <w:t>7</w:t>
            </w:r>
            <w:r w:rsidRPr="00C71189">
              <w:t xml:space="preserve"> % apmērā no </w:t>
            </w:r>
            <w:r w:rsidRPr="00C71189">
              <w:rPr>
                <w:b/>
                <w:bCs/>
              </w:rPr>
              <w:t>neapstrādātas naftas</w:t>
            </w:r>
            <w:r w:rsidRPr="00C71189">
              <w:t xml:space="preserve"> vērtības un </w:t>
            </w:r>
            <w:r>
              <w:t>5 </w:t>
            </w:r>
            <w:r w:rsidRPr="00C71189">
              <w:t xml:space="preserve">% apmērā no </w:t>
            </w:r>
            <w:r w:rsidRPr="00C71189">
              <w:rPr>
                <w:b/>
                <w:bCs/>
              </w:rPr>
              <w:t>dabasgāzes</w:t>
            </w:r>
            <w:r w:rsidRPr="00C71189">
              <w:t xml:space="preserve"> vērtības.</w:t>
            </w:r>
          </w:p>
          <w:p w14:paraId="4817B043" w14:textId="6A34EA4E" w:rsidR="001625D3" w:rsidRPr="00C71189" w:rsidRDefault="001625D3" w:rsidP="001625D3">
            <w:pPr>
              <w:jc w:val="both"/>
            </w:pPr>
            <w:r w:rsidRPr="00C71189">
              <w:t>Papildināta anotācija.</w:t>
            </w:r>
            <w:r>
              <w:t xml:space="preserve"> Ievērojot saņemtos viedokļus sabiedrības līdzdalības laikā, dabas resursu nodokļa likme ir samazināta no 12 % uz 7 % par neapstrādātu naftu un no 10 % uz 5 % par dabasgāzi.</w:t>
            </w:r>
          </w:p>
          <w:p w14:paraId="69E8D32F" w14:textId="0F911022" w:rsidR="001625D3" w:rsidRPr="00C71189" w:rsidRDefault="001625D3" w:rsidP="001625D3">
            <w:pPr>
              <w:jc w:val="both"/>
            </w:pPr>
          </w:p>
          <w:p w14:paraId="4B4A9711" w14:textId="59E70FA3" w:rsidR="001625D3" w:rsidRPr="00C71189" w:rsidRDefault="001625D3" w:rsidP="001625D3">
            <w:pPr>
              <w:pStyle w:val="naisc"/>
              <w:spacing w:before="0" w:after="0"/>
              <w:jc w:val="both"/>
            </w:pPr>
          </w:p>
        </w:tc>
      </w:tr>
      <w:tr w:rsidR="001625D3" w:rsidRPr="00C71189" w14:paraId="247FCA90" w14:textId="77777777" w:rsidTr="00657982">
        <w:tc>
          <w:tcPr>
            <w:tcW w:w="627" w:type="dxa"/>
            <w:tcBorders>
              <w:top w:val="single" w:sz="6" w:space="0" w:color="000000" w:themeColor="text1"/>
              <w:left w:val="single" w:sz="6" w:space="0" w:color="000000" w:themeColor="text1"/>
              <w:bottom w:val="single" w:sz="6" w:space="0" w:color="000000" w:themeColor="text1"/>
            </w:tcBorders>
            <w:shd w:val="clear" w:color="auto" w:fill="DBDBDB" w:themeFill="accent3" w:themeFillTint="66"/>
          </w:tcPr>
          <w:p w14:paraId="10677AC9" w14:textId="77777777" w:rsidR="001625D3" w:rsidRPr="00C71189" w:rsidRDefault="001625D3" w:rsidP="001625D3">
            <w:pPr>
              <w:pStyle w:val="naisc"/>
              <w:numPr>
                <w:ilvl w:val="1"/>
                <w:numId w:val="21"/>
              </w:numPr>
              <w:spacing w:before="0" w:after="0"/>
              <w:ind w:left="361" w:right="317"/>
              <w:jc w:val="left"/>
            </w:pPr>
          </w:p>
        </w:tc>
        <w:tc>
          <w:tcPr>
            <w:tcW w:w="14009" w:type="dxa"/>
            <w:gridSpan w:val="3"/>
            <w:tcBorders>
              <w:top w:val="single" w:sz="6" w:space="0" w:color="000000" w:themeColor="text1"/>
              <w:left w:val="single" w:sz="6" w:space="0" w:color="000000" w:themeColor="text1"/>
              <w:bottom w:val="single" w:sz="6" w:space="0" w:color="000000" w:themeColor="text1"/>
              <w:right w:val="single" w:sz="4" w:space="0" w:color="auto"/>
            </w:tcBorders>
            <w:shd w:val="clear" w:color="auto" w:fill="DBDBDB" w:themeFill="accent3" w:themeFillTint="66"/>
          </w:tcPr>
          <w:p w14:paraId="026980D3" w14:textId="04FB67CE" w:rsidR="001625D3" w:rsidRPr="00C71189" w:rsidRDefault="001625D3" w:rsidP="001625D3">
            <w:pPr>
              <w:pStyle w:val="naisc"/>
              <w:spacing w:before="0" w:after="0"/>
              <w:rPr>
                <w:b/>
              </w:rPr>
            </w:pPr>
            <w:r w:rsidRPr="00C71189">
              <w:rPr>
                <w:b/>
              </w:rPr>
              <w:t>Biedrības “Latvijas Pašvaldību savienība” 14.06.2021. viedoklis</w:t>
            </w:r>
          </w:p>
        </w:tc>
      </w:tr>
      <w:tr w:rsidR="001625D3" w:rsidRPr="00C71189" w14:paraId="7D60AA8D" w14:textId="77777777" w:rsidTr="00D942F6">
        <w:tc>
          <w:tcPr>
            <w:tcW w:w="627"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6B14BFF6" w14:textId="77777777" w:rsidR="001625D3" w:rsidRPr="00C71189" w:rsidRDefault="001625D3" w:rsidP="001625D3">
            <w:pPr>
              <w:pStyle w:val="naisc"/>
              <w:numPr>
                <w:ilvl w:val="1"/>
                <w:numId w:val="21"/>
              </w:numPr>
              <w:spacing w:before="0" w:after="0"/>
              <w:ind w:left="361" w:right="317"/>
              <w:jc w:val="left"/>
            </w:pP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tcPr>
          <w:p w14:paraId="16153B7A" w14:textId="0F29E0BF" w:rsidR="001625D3" w:rsidRPr="00C71189" w:rsidRDefault="001625D3" w:rsidP="001625D3">
            <w:pPr>
              <w:spacing w:before="120"/>
              <w:jc w:val="both"/>
              <w:rPr>
                <w:b/>
                <w:bCs/>
              </w:rPr>
            </w:pPr>
            <w:r w:rsidRPr="00C71189">
              <w:rPr>
                <w:b/>
                <w:bCs/>
              </w:rPr>
              <w:t>Vispārīgi.</w:t>
            </w:r>
          </w:p>
        </w:tc>
        <w:tc>
          <w:tcPr>
            <w:tcW w:w="6266" w:type="dxa"/>
            <w:tcBorders>
              <w:top w:val="single" w:sz="6" w:space="0" w:color="000000" w:themeColor="text1"/>
              <w:left w:val="single" w:sz="4" w:space="0" w:color="auto"/>
              <w:bottom w:val="single" w:sz="6" w:space="0" w:color="000000" w:themeColor="text1"/>
            </w:tcBorders>
            <w:shd w:val="clear" w:color="auto" w:fill="auto"/>
          </w:tcPr>
          <w:p w14:paraId="47977B94" w14:textId="0ECD8138" w:rsidR="001625D3" w:rsidRPr="00C71189" w:rsidRDefault="001625D3" w:rsidP="001625D3">
            <w:pPr>
              <w:jc w:val="both"/>
            </w:pPr>
            <w:r w:rsidRPr="00C71189">
              <w:rPr>
                <w:bCs/>
              </w:rPr>
              <w:t>1. </w:t>
            </w:r>
            <w:r>
              <w:rPr>
                <w:bCs/>
              </w:rPr>
              <w:t>Biedrība “Latvijas Pašvaldību savienība” (turpmāk – LPS)</w:t>
            </w:r>
            <w:r w:rsidRPr="00C71189">
              <w:rPr>
                <w:bCs/>
              </w:rPr>
              <w:t xml:space="preserve"> neatbalsta ieceri dabas resursu nodokli kūdrai kā kurināmajam ieviest no 2022. gada 1. janvāra. Saskaņā ar </w:t>
            </w:r>
            <w:r>
              <w:rPr>
                <w:bCs/>
              </w:rPr>
              <w:t>l</w:t>
            </w:r>
            <w:r w:rsidRPr="00C71189">
              <w:rPr>
                <w:bCs/>
              </w:rPr>
              <w:t xml:space="preserve">ikumprojektā paredzēto </w:t>
            </w:r>
            <w:r>
              <w:rPr>
                <w:bCs/>
              </w:rPr>
              <w:t>dabas resursu nodokli</w:t>
            </w:r>
            <w:r w:rsidRPr="00C71189">
              <w:rPr>
                <w:bCs/>
              </w:rPr>
              <w:t xml:space="preserve"> kūdras kā kurināmā izmaksas par tonnu pieaugtu vairāk nekā 38 reizes, tādējādi būtiski paaugstinot gala maksu par siltumu, kas radītu ievērojamas problēmas patērētājiem un arī uzņēmējiem. LPS izprot </w:t>
            </w:r>
            <w:r>
              <w:rPr>
                <w:bCs/>
              </w:rPr>
              <w:t xml:space="preserve">dabas </w:t>
            </w:r>
            <w:r>
              <w:rPr>
                <w:bCs/>
              </w:rPr>
              <w:lastRenderedPageBreak/>
              <w:t>resursu nodokļa</w:t>
            </w:r>
            <w:r w:rsidRPr="00C71189">
              <w:rPr>
                <w:bCs/>
              </w:rPr>
              <w:t xml:space="preserve"> piemērošanu kūdrai kā kurināmajam, taču nepieciešams pārejas laiks un papildus finansējums, lai esošās katlu mājas, kurās šobrīd kā kurināmais tiek izmantota kūdra, tiktu pārbūvētas cita kurināmā izmantošanai. LPS ierosina noteikt pārejas periodu un Likumprojektā paredzēto </w:t>
            </w:r>
            <w:r>
              <w:rPr>
                <w:bCs/>
              </w:rPr>
              <w:t>dabas resursu nodokli</w:t>
            </w:r>
            <w:r w:rsidRPr="00C71189">
              <w:rPr>
                <w:bCs/>
              </w:rPr>
              <w:t xml:space="preserve"> kūdrai kā kurināmajam piemērot no brīža, kad stājušies spēkā attiecīgie Ministru kabineta noteikumi par Eiropas Savienības struktūrfondu un Kohēzijas fonda 2021.–2027. gada plānošanas perioda darbības programmas 2.2.3.SAM “Uzlabot dabas aizsardzību un bioloģisko daudzveidību, “zaļo” infrastruktūru, it īpaši pilsētvidē, un samazināt piesārņojumu”, ar nosacījumu, ka šajā SAM tiek paredzēts attiecīgs finansējums katlu māju pārbūvei no kurināšanas ar kūdru uz citu kurināmo.</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7A81B5B8" w14:textId="5CE5EF01" w:rsidR="001625D3" w:rsidRPr="00C71189" w:rsidRDefault="001625D3" w:rsidP="001625D3">
            <w:pPr>
              <w:pStyle w:val="naisc"/>
              <w:spacing w:before="0" w:after="0"/>
              <w:jc w:val="both"/>
              <w:rPr>
                <w:b/>
                <w:bCs/>
              </w:rPr>
            </w:pPr>
            <w:r w:rsidRPr="00C71189">
              <w:rPr>
                <w:b/>
                <w:bCs/>
              </w:rPr>
              <w:lastRenderedPageBreak/>
              <w:t>Ņemts vērā.</w:t>
            </w:r>
          </w:p>
          <w:p w14:paraId="7709C592" w14:textId="6ADD6C6B" w:rsidR="001625D3" w:rsidRPr="00C71189" w:rsidRDefault="001625D3" w:rsidP="001625D3">
            <w:pPr>
              <w:pStyle w:val="naisc"/>
              <w:spacing w:before="0" w:after="0"/>
              <w:jc w:val="both"/>
            </w:pPr>
            <w:r w:rsidRPr="00C71189">
              <w:t>Paredzēts, ka nodoklis tiks piemērots no 2024.</w:t>
            </w:r>
            <w:r>
              <w:t> </w:t>
            </w:r>
            <w:r w:rsidRPr="00C71189">
              <w:t>gada 1.</w:t>
            </w:r>
            <w:r>
              <w:t> </w:t>
            </w:r>
            <w:r w:rsidRPr="00C71189">
              <w:t>janvāra.</w:t>
            </w:r>
          </w:p>
          <w:p w14:paraId="196CC8D1" w14:textId="0BC8DEE9" w:rsidR="001625D3" w:rsidRPr="00C71189" w:rsidRDefault="001625D3" w:rsidP="001625D3">
            <w:pPr>
              <w:pStyle w:val="naisc"/>
              <w:spacing w:before="0" w:after="0"/>
              <w:jc w:val="both"/>
            </w:pPr>
          </w:p>
        </w:tc>
      </w:tr>
      <w:tr w:rsidR="001625D3" w:rsidRPr="00C71189" w14:paraId="3C90F9E8" w14:textId="77777777" w:rsidTr="00D942F6">
        <w:tc>
          <w:tcPr>
            <w:tcW w:w="627"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1D9B8242" w14:textId="77777777" w:rsidR="001625D3" w:rsidRPr="00C71189" w:rsidRDefault="001625D3" w:rsidP="001625D3">
            <w:pPr>
              <w:pStyle w:val="naisc"/>
              <w:numPr>
                <w:ilvl w:val="1"/>
                <w:numId w:val="21"/>
              </w:numPr>
              <w:spacing w:before="0" w:after="0"/>
              <w:ind w:left="361" w:right="317"/>
              <w:jc w:val="left"/>
            </w:pPr>
          </w:p>
        </w:tc>
        <w:tc>
          <w:tcPr>
            <w:tcW w:w="2687" w:type="dxa"/>
            <w:vMerge/>
            <w:tcBorders>
              <w:top w:val="single" w:sz="4" w:space="0" w:color="auto"/>
              <w:left w:val="single" w:sz="4" w:space="0" w:color="auto"/>
              <w:bottom w:val="single" w:sz="4" w:space="0" w:color="auto"/>
              <w:right w:val="single" w:sz="4" w:space="0" w:color="auto"/>
            </w:tcBorders>
          </w:tcPr>
          <w:p w14:paraId="71E0D426" w14:textId="5A28276B" w:rsidR="001625D3" w:rsidRPr="00C71189" w:rsidRDefault="001625D3" w:rsidP="001625D3">
            <w:pPr>
              <w:spacing w:before="120"/>
              <w:jc w:val="both"/>
              <w:rPr>
                <w:b/>
                <w:bCs/>
              </w:rPr>
            </w:pPr>
          </w:p>
        </w:tc>
        <w:tc>
          <w:tcPr>
            <w:tcW w:w="6266" w:type="dxa"/>
            <w:tcBorders>
              <w:top w:val="single" w:sz="6" w:space="0" w:color="000000" w:themeColor="text1"/>
              <w:left w:val="single" w:sz="4" w:space="0" w:color="auto"/>
              <w:bottom w:val="single" w:sz="6" w:space="0" w:color="000000" w:themeColor="text1"/>
            </w:tcBorders>
            <w:shd w:val="clear" w:color="auto" w:fill="auto"/>
          </w:tcPr>
          <w:p w14:paraId="59379C28" w14:textId="277E500B" w:rsidR="001625D3" w:rsidRPr="00C71189" w:rsidRDefault="001625D3" w:rsidP="001625D3">
            <w:pPr>
              <w:jc w:val="both"/>
            </w:pPr>
            <w:r w:rsidRPr="00C71189">
              <w:rPr>
                <w:bCs/>
              </w:rPr>
              <w:t xml:space="preserve">2. Sakarā ar to, ka saskaņā ar likuma “Par pašvaldībām” 15. pantu komunālo pakalpojumu, tai skaitā, siltumapgādes, organizēšana iedzīvotājiem ir pašvaldību autonomā funkcija, lūdzam </w:t>
            </w:r>
            <w:r>
              <w:rPr>
                <w:bCs/>
              </w:rPr>
              <w:t>dabas resursu nodokļa</w:t>
            </w:r>
            <w:r w:rsidRPr="00C71189">
              <w:rPr>
                <w:bCs/>
              </w:rPr>
              <w:t xml:space="preserve"> ieņēmumus par kūdru kā kurināmo ieskaitīt pašvaldību budžetos.</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2D7B5532" w14:textId="41F6EF44" w:rsidR="001625D3" w:rsidRPr="00C71189" w:rsidRDefault="001625D3" w:rsidP="001625D3">
            <w:pPr>
              <w:pStyle w:val="naisc"/>
              <w:spacing w:before="0" w:after="0"/>
              <w:jc w:val="both"/>
              <w:rPr>
                <w:b/>
                <w:bCs/>
              </w:rPr>
            </w:pPr>
            <w:r w:rsidRPr="00C71189">
              <w:rPr>
                <w:b/>
                <w:bCs/>
              </w:rPr>
              <w:t>Nav ņemts vērā.</w:t>
            </w:r>
          </w:p>
          <w:p w14:paraId="34FECFA8" w14:textId="040DC068" w:rsidR="001625D3" w:rsidRPr="00C71189" w:rsidRDefault="001625D3" w:rsidP="001625D3">
            <w:pPr>
              <w:pStyle w:val="naisc"/>
              <w:spacing w:before="0" w:after="0"/>
              <w:jc w:val="both"/>
            </w:pPr>
            <w:r w:rsidRPr="00C71189">
              <w:t>Tiek saglabāta esošā pieeja, ka dabas resursu nodokli par kurināmo ieskaita valsts budžetā.</w:t>
            </w:r>
          </w:p>
          <w:p w14:paraId="4BF540D3" w14:textId="00E1E375" w:rsidR="001625D3" w:rsidRPr="00C71189" w:rsidRDefault="001625D3" w:rsidP="001625D3">
            <w:pPr>
              <w:pStyle w:val="naisc"/>
              <w:spacing w:before="0" w:after="0"/>
              <w:jc w:val="both"/>
              <w:rPr>
                <w:b/>
                <w:bCs/>
              </w:rPr>
            </w:pPr>
          </w:p>
          <w:p w14:paraId="456E892A" w14:textId="5DDC1EF7" w:rsidR="001625D3" w:rsidRPr="00C71189" w:rsidRDefault="001625D3" w:rsidP="001625D3">
            <w:pPr>
              <w:pStyle w:val="naisc"/>
              <w:spacing w:before="0" w:after="0"/>
              <w:jc w:val="both"/>
              <w:rPr>
                <w:b/>
                <w:bCs/>
              </w:rPr>
            </w:pPr>
          </w:p>
        </w:tc>
      </w:tr>
      <w:tr w:rsidR="001625D3" w:rsidRPr="00C71189" w14:paraId="7E3040DC" w14:textId="77777777" w:rsidTr="00657982">
        <w:tc>
          <w:tcPr>
            <w:tcW w:w="627" w:type="dxa"/>
            <w:tcBorders>
              <w:top w:val="single" w:sz="6" w:space="0" w:color="000000" w:themeColor="text1"/>
              <w:left w:val="single" w:sz="6" w:space="0" w:color="000000" w:themeColor="text1"/>
              <w:bottom w:val="single" w:sz="6" w:space="0" w:color="000000" w:themeColor="text1"/>
            </w:tcBorders>
            <w:shd w:val="clear" w:color="auto" w:fill="DBDBDB" w:themeFill="accent3" w:themeFillTint="66"/>
          </w:tcPr>
          <w:p w14:paraId="3F51A961" w14:textId="77777777" w:rsidR="001625D3" w:rsidRPr="00C71189" w:rsidRDefault="001625D3" w:rsidP="001625D3">
            <w:pPr>
              <w:pStyle w:val="naisc"/>
              <w:numPr>
                <w:ilvl w:val="1"/>
                <w:numId w:val="21"/>
              </w:numPr>
              <w:spacing w:before="0" w:after="0"/>
              <w:ind w:left="361" w:right="317"/>
              <w:jc w:val="left"/>
            </w:pPr>
          </w:p>
        </w:tc>
        <w:tc>
          <w:tcPr>
            <w:tcW w:w="14009" w:type="dxa"/>
            <w:gridSpan w:val="3"/>
            <w:tcBorders>
              <w:top w:val="single" w:sz="6" w:space="0" w:color="000000" w:themeColor="text1"/>
              <w:left w:val="single" w:sz="6" w:space="0" w:color="000000" w:themeColor="text1"/>
              <w:bottom w:val="single" w:sz="6" w:space="0" w:color="000000" w:themeColor="text1"/>
              <w:right w:val="single" w:sz="4" w:space="0" w:color="auto"/>
            </w:tcBorders>
            <w:shd w:val="clear" w:color="auto" w:fill="DBDBDB" w:themeFill="accent3" w:themeFillTint="66"/>
          </w:tcPr>
          <w:p w14:paraId="4312DF4B" w14:textId="7A41EBAB" w:rsidR="001625D3" w:rsidRPr="00C71189" w:rsidRDefault="001625D3" w:rsidP="001625D3">
            <w:pPr>
              <w:pStyle w:val="naisc"/>
              <w:spacing w:before="0" w:after="0"/>
              <w:rPr>
                <w:b/>
                <w:bCs/>
              </w:rPr>
            </w:pPr>
            <w:r w:rsidRPr="00C71189">
              <w:rPr>
                <w:b/>
                <w:bCs/>
              </w:rPr>
              <w:t>Biedrības “Latvijas kūdras asociācija” 09.06.2021. viedoklis</w:t>
            </w:r>
          </w:p>
        </w:tc>
      </w:tr>
      <w:tr w:rsidR="001625D3" w:rsidRPr="00C71189" w14:paraId="18098BEF"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7EBE6EFA" w14:textId="77777777" w:rsidR="001625D3" w:rsidRPr="00C71189" w:rsidRDefault="001625D3" w:rsidP="001625D3">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6AB45BC9" w14:textId="25DFA9B1" w:rsidR="001625D3" w:rsidRPr="00C71189" w:rsidRDefault="001625D3" w:rsidP="001625D3">
            <w:pPr>
              <w:spacing w:before="120"/>
              <w:jc w:val="both"/>
              <w:rPr>
                <w:b/>
                <w:bCs/>
              </w:rPr>
            </w:pPr>
            <w:r w:rsidRPr="00C71189">
              <w:rPr>
                <w:b/>
                <w:bCs/>
              </w:rPr>
              <w:t>Vispārīgi.</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68A20B65" w14:textId="615C1489" w:rsidR="001625D3" w:rsidRPr="00C71189" w:rsidRDefault="001625D3" w:rsidP="001625D3">
            <w:pPr>
              <w:spacing w:after="120"/>
              <w:jc w:val="both"/>
              <w:rPr>
                <w:lang w:eastAsia="lv-LV"/>
              </w:rPr>
            </w:pPr>
            <w:r w:rsidRPr="00C71189">
              <w:t xml:space="preserve">1.Asociācija iebilst pret likumprojektā iekļauto dabas resursu nodokļa kūdrai kā kurināmajam ieviešanas termiņu – 2022. gada 1. janvāri.  </w:t>
            </w:r>
          </w:p>
          <w:p w14:paraId="2B9C1A07" w14:textId="18A6CDF5" w:rsidR="001625D3" w:rsidRPr="00C71189" w:rsidRDefault="001625D3" w:rsidP="001625D3">
            <w:pPr>
              <w:spacing w:after="120"/>
              <w:jc w:val="both"/>
            </w:pPr>
            <w:r w:rsidRPr="00C71189">
              <w:t xml:space="preserve"> 1.1. Tas ir pretrunā ar </w:t>
            </w:r>
            <w:r>
              <w:t xml:space="preserve">Taisnīgas pārkārtošanās teritoriālā plānu (turpmāk – </w:t>
            </w:r>
            <w:r w:rsidRPr="00C71189">
              <w:t>TPTP</w:t>
            </w:r>
            <w:r>
              <w:t>)</w:t>
            </w:r>
            <w:r w:rsidRPr="00C71189">
              <w:t xml:space="preserve">, kurā teikts: “Lai veicinātu kūdras nozares pārkārtošanos, TPTP ietvaros Latvijā plāno atteikties no kūdras ieguves un izmantošanas enerģētikā </w:t>
            </w:r>
            <w:r w:rsidRPr="00C71189">
              <w:rPr>
                <w:u w:val="single"/>
              </w:rPr>
              <w:t>līdz 2030.</w:t>
            </w:r>
            <w:r>
              <w:rPr>
                <w:u w:val="single"/>
              </w:rPr>
              <w:t xml:space="preserve"> </w:t>
            </w:r>
            <w:r w:rsidRPr="00C71189">
              <w:rPr>
                <w:u w:val="single"/>
              </w:rPr>
              <w:t>gadam</w:t>
            </w:r>
            <w:r w:rsidRPr="00C71189">
              <w:t>, paredzot to nostiprināt arī normatīvajā regulējumā. Lai pārkārtošanās neradītu straujas sociālekonomiskas sekas, līdz 2030.</w:t>
            </w:r>
            <w:r>
              <w:t xml:space="preserve"> </w:t>
            </w:r>
            <w:r w:rsidRPr="00C71189">
              <w:t xml:space="preserve">gadam plānots piemērot dabas resursu nodokli kūdras izmantošanai enerģētikā - nosakot, ka ar nodokli apliek kūdru kā kurināmo, kas veicinātu apjoma samazinājumu enerģētiskai kūdrai, jo tās izmantošana kļūs dārgāka.” </w:t>
            </w:r>
          </w:p>
          <w:p w14:paraId="1E9F4D72" w14:textId="5F790482" w:rsidR="001625D3" w:rsidRPr="00C71189" w:rsidRDefault="001625D3" w:rsidP="001625D3">
            <w:pPr>
              <w:spacing w:after="120"/>
              <w:ind w:left="57" w:right="57"/>
              <w:jc w:val="both"/>
            </w:pPr>
            <w:r w:rsidRPr="00C71189">
              <w:lastRenderedPageBreak/>
              <w:t>1.2. Pirms ievieš nodokli par kūdras izmantošanu enerģētikā (kurināšanai), ir jādod laiks, izmantojot taisnīgas pārkārtošanās fonda finansējumu, pārbūvēt esošās vai iegādāties jaunas sadedzināšanas iekārtas. No tik straujas nodokļa ieviešanas cietēji būs pašvaldības un iedzīvotāji, kam paaugstināsies maksa par siltumenerģiju. TPTP minēts, ka kopumā 2018. – 2019. gadā seši uzņēmumi un divas pašvaldības kūdru izmantoja enerģijas ieguvei. Pašvaldībām jāievēro publiskā iepirkuma procedūras, kas procesu pagarina. Vispirms pašvaldībām jāsniedz finansiāls atbalsts sadedzināšanas iekārtu nomaiņai, tad var paaugstināt nodokli. Straujas ieviešanas gadījumā šis nodoklis nesasniegs anotācijā minēto mērķi: ierobežot vides piesārņošanu. Saskaņā ar TPTP dabas resursu nodoklis enerģētiskajai kūdrai jāievieš, lai samazinātu siltumnīcefekta gāzu (SEG) emisijas. Strauji ieviests SEG nodoklis nesamazinās, jo apkures sistēmas nevar pārkārtot ļoti ātri, gan tehnoloģisku, gan administratīvu iemeslu dēļ, bet sadārdzinās apkuri tajās pašvaldībās, kur izmanto kūdru.</w:t>
            </w:r>
          </w:p>
          <w:p w14:paraId="24322EAC" w14:textId="634151FE" w:rsidR="001625D3" w:rsidRPr="00C71189" w:rsidRDefault="001625D3" w:rsidP="001625D3">
            <w:pPr>
              <w:spacing w:after="120"/>
              <w:ind w:left="57" w:right="57"/>
              <w:jc w:val="both"/>
            </w:pPr>
            <w:r w:rsidRPr="00C71189">
              <w:t>Lūdzam noteikt saprātīgu</w:t>
            </w:r>
            <w:r>
              <w:t xml:space="preserve"> dabas resursu nodokļa</w:t>
            </w:r>
            <w:r w:rsidRPr="00C71189">
              <w:t xml:space="preserve"> ieviešanas termiņu, kūdrai kā kurināmajam, piemēram no 2025.</w:t>
            </w:r>
            <w:r>
              <w:t xml:space="preserve"> </w:t>
            </w:r>
            <w:r w:rsidRPr="00C71189">
              <w:t>gada 1.</w:t>
            </w:r>
            <w:r>
              <w:t> </w:t>
            </w:r>
            <w:r w:rsidRPr="00C71189">
              <w:t>janvāra.</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1A8C5BF0" w14:textId="5CE5EF01" w:rsidR="001625D3" w:rsidRPr="00C71189" w:rsidRDefault="001625D3" w:rsidP="001625D3">
            <w:pPr>
              <w:pStyle w:val="naisc"/>
              <w:spacing w:before="0" w:after="0"/>
              <w:jc w:val="both"/>
              <w:rPr>
                <w:b/>
                <w:bCs/>
              </w:rPr>
            </w:pPr>
            <w:r w:rsidRPr="00C71189">
              <w:rPr>
                <w:b/>
                <w:bCs/>
              </w:rPr>
              <w:lastRenderedPageBreak/>
              <w:t>Ņemts vērā.</w:t>
            </w:r>
          </w:p>
          <w:p w14:paraId="5BCA3C36" w14:textId="5E7EAB7C" w:rsidR="001625D3" w:rsidRPr="00C71189" w:rsidRDefault="001625D3" w:rsidP="001625D3">
            <w:pPr>
              <w:pStyle w:val="naisc"/>
              <w:spacing w:before="0" w:after="0"/>
              <w:jc w:val="both"/>
            </w:pPr>
            <w:r w:rsidRPr="00C71189">
              <w:t>Paredzēts, ka nodoklis tiks piemērots no 2024.</w:t>
            </w:r>
            <w:r>
              <w:t> </w:t>
            </w:r>
            <w:r w:rsidRPr="00C71189">
              <w:t>gada 1.</w:t>
            </w:r>
            <w:r>
              <w:t> </w:t>
            </w:r>
            <w:r w:rsidRPr="00C71189">
              <w:t>janvāra.</w:t>
            </w:r>
          </w:p>
          <w:p w14:paraId="3435519B" w14:textId="180DBAA8" w:rsidR="001625D3" w:rsidRPr="00C71189" w:rsidRDefault="001625D3" w:rsidP="001625D3">
            <w:pPr>
              <w:pStyle w:val="naisc"/>
              <w:spacing w:before="0" w:after="0"/>
              <w:jc w:val="both"/>
            </w:pPr>
          </w:p>
        </w:tc>
      </w:tr>
      <w:tr w:rsidR="001625D3" w:rsidRPr="00C71189" w14:paraId="26DD3409"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5EDD885D" w14:textId="77777777" w:rsidR="001625D3" w:rsidRPr="00C71189" w:rsidRDefault="001625D3" w:rsidP="001625D3">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73C54687" w14:textId="73824C58" w:rsidR="001625D3" w:rsidRPr="00C71189" w:rsidRDefault="001625D3" w:rsidP="001625D3">
            <w:pPr>
              <w:spacing w:before="120"/>
              <w:jc w:val="both"/>
              <w:rPr>
                <w:b/>
                <w:bCs/>
              </w:rPr>
            </w:pPr>
            <w:r w:rsidRPr="00C71189">
              <w:rPr>
                <w:b/>
                <w:bCs/>
              </w:rPr>
              <w:t>Vispārīgi.</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722F94B6" w14:textId="7488042F" w:rsidR="001625D3" w:rsidRPr="00C71189" w:rsidRDefault="001625D3" w:rsidP="001625D3">
            <w:pPr>
              <w:pStyle w:val="naisc"/>
              <w:spacing w:before="0" w:after="0"/>
              <w:jc w:val="both"/>
              <w:rPr>
                <w:b/>
              </w:rPr>
            </w:pPr>
            <w:r w:rsidRPr="00C71189">
              <w:t>2. Asociācija norāda, ka strauja nodokļa ieviešana rada neprogrozējamību uzņēmējdarbībā.</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1D67E381" w14:textId="66A389D2" w:rsidR="001625D3" w:rsidRPr="00F43A71" w:rsidRDefault="001625D3" w:rsidP="001625D3">
            <w:pPr>
              <w:pStyle w:val="naisc"/>
              <w:spacing w:before="0" w:after="0"/>
              <w:jc w:val="both"/>
              <w:rPr>
                <w:b/>
                <w:bCs/>
              </w:rPr>
            </w:pPr>
            <w:r w:rsidRPr="00F43A71">
              <w:rPr>
                <w:b/>
                <w:bCs/>
              </w:rPr>
              <w:t>Ņemts vērā.</w:t>
            </w:r>
          </w:p>
          <w:p w14:paraId="26690B12" w14:textId="36FDED71" w:rsidR="001625D3" w:rsidRPr="00C71189" w:rsidRDefault="001625D3" w:rsidP="001625D3">
            <w:pPr>
              <w:pStyle w:val="naisc"/>
              <w:spacing w:before="0" w:after="0"/>
              <w:jc w:val="both"/>
            </w:pPr>
            <w:r w:rsidRPr="00C71189">
              <w:t>Paredzēts, ka nodoklis tiks piemērots no 2024.</w:t>
            </w:r>
            <w:r>
              <w:t> </w:t>
            </w:r>
            <w:r w:rsidRPr="00C71189">
              <w:t>gada 1.</w:t>
            </w:r>
            <w:r>
              <w:t> </w:t>
            </w:r>
            <w:r w:rsidRPr="00C71189">
              <w:t>janvāra.</w:t>
            </w:r>
          </w:p>
        </w:tc>
      </w:tr>
      <w:tr w:rsidR="001625D3" w:rsidRPr="00C71189" w14:paraId="2F2660AD"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4347BFA3" w14:textId="77777777" w:rsidR="001625D3" w:rsidRPr="00C71189" w:rsidRDefault="001625D3" w:rsidP="001625D3">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328FAC9A" w14:textId="57630528" w:rsidR="001625D3" w:rsidRPr="00C71189" w:rsidRDefault="001625D3" w:rsidP="001625D3">
            <w:pPr>
              <w:spacing w:before="120"/>
              <w:jc w:val="both"/>
              <w:rPr>
                <w:b/>
                <w:bCs/>
              </w:rPr>
            </w:pPr>
            <w:r w:rsidRPr="00C71189">
              <w:rPr>
                <w:b/>
                <w:bCs/>
              </w:rPr>
              <w:t>Likumprojekta 29. panta likuma 9. pielikums.</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4CDD685C" w14:textId="2DCAD67B" w:rsidR="001625D3" w:rsidRPr="00C71189" w:rsidRDefault="001625D3" w:rsidP="001625D3">
            <w:pPr>
              <w:pStyle w:val="naisc"/>
              <w:spacing w:before="0" w:after="0"/>
              <w:jc w:val="both"/>
              <w:rPr>
                <w:b/>
              </w:rPr>
            </w:pPr>
            <w:r w:rsidRPr="00C71189">
              <w:t>3. Asociācija iebilst, ka kūdra likumprojekta 29. pantā iekļauta zem virsraksta “Akmeņogļu, koksa un lignīta (brūnogļu) klasifikācija”, jo kūdra nav neviens no minētajiem produktiem.</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03A9E3E5" w14:textId="606B6F38" w:rsidR="001625D3" w:rsidRPr="00F43A71" w:rsidRDefault="001625D3" w:rsidP="001625D3">
            <w:pPr>
              <w:pStyle w:val="naisc"/>
              <w:spacing w:before="0" w:after="0"/>
              <w:jc w:val="both"/>
              <w:rPr>
                <w:b/>
                <w:bCs/>
              </w:rPr>
            </w:pPr>
            <w:r w:rsidRPr="00F43A71">
              <w:rPr>
                <w:b/>
                <w:bCs/>
              </w:rPr>
              <w:t>Ņemts vērā.</w:t>
            </w:r>
          </w:p>
          <w:p w14:paraId="64F97826" w14:textId="2D672AB2" w:rsidR="001625D3" w:rsidRPr="00C71189" w:rsidRDefault="001625D3" w:rsidP="001625D3">
            <w:pPr>
              <w:pStyle w:val="naisc"/>
              <w:spacing w:before="0" w:after="0"/>
              <w:jc w:val="both"/>
            </w:pPr>
            <w:r w:rsidRPr="00C71189">
              <w:t>Likuma 9.</w:t>
            </w:r>
            <w:r>
              <w:t> </w:t>
            </w:r>
            <w:r w:rsidRPr="00C71189">
              <w:t>pielikuma tabulas virsraksts “Akmeņogļu, koksa un lignīta (brūnogļu) klasifikācija” precizēts uz “Kurināmā veids”.</w:t>
            </w:r>
          </w:p>
        </w:tc>
      </w:tr>
      <w:tr w:rsidR="001625D3" w:rsidRPr="00C71189" w14:paraId="198BE2D4"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7AFA3580" w14:textId="77777777" w:rsidR="001625D3" w:rsidRPr="00C71189" w:rsidRDefault="001625D3" w:rsidP="001625D3">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6BE35F11" w14:textId="5280901F" w:rsidR="001625D3" w:rsidRPr="00C71189" w:rsidRDefault="001625D3" w:rsidP="001625D3">
            <w:pPr>
              <w:spacing w:before="120"/>
              <w:jc w:val="both"/>
              <w:rPr>
                <w:b/>
                <w:bCs/>
              </w:rPr>
            </w:pPr>
            <w:r w:rsidRPr="00C71189">
              <w:rPr>
                <w:b/>
                <w:bCs/>
              </w:rPr>
              <w:t>Vispārīgi.</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0CC2FADA" w14:textId="247B2184" w:rsidR="001625D3" w:rsidRPr="00C71189" w:rsidRDefault="001625D3" w:rsidP="001625D3">
            <w:pPr>
              <w:spacing w:after="120"/>
              <w:ind w:left="57" w:right="57"/>
              <w:jc w:val="both"/>
              <w:rPr>
                <w:lang w:val="en-US" w:eastAsia="lv-LV"/>
              </w:rPr>
            </w:pPr>
            <w:r w:rsidRPr="00C71189">
              <w:t xml:space="preserve"> 4. Nav skaidrs, kādēļ paredzēts, ka DRN ieņēmumi par kūdru kā kurināmo tiks ieskaitīti tikai valsts budžetā (anotācijas pielikums), kaut gan par siltumapgādi rūpējas pašvaldības. Pašvaldībām saskaņā ar Dabas resursu nodokļa likuma </w:t>
            </w:r>
            <w:r w:rsidRPr="00C71189">
              <w:lastRenderedPageBreak/>
              <w:t>29.</w:t>
            </w:r>
            <w:r>
              <w:t> </w:t>
            </w:r>
            <w:r w:rsidRPr="00C71189">
              <w:t>pantu būtu iespējams kā nodokli iekasētos līdzekļus izmantot vides aizsardzībai, bet valsts budžetam plānotie ieņēmumi 127 800 eiro apjomā nebūs pamanāms ieguvums, turklāt tos nebūs iespējams novirzīt vides jautājumiem.</w:t>
            </w:r>
            <w:r w:rsidRPr="00C71189">
              <w:rPr>
                <w:lang w:val="en-US"/>
              </w:rPr>
              <w:t xml:space="preserve">    </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60B91E4D" w14:textId="5B8432DB" w:rsidR="001625D3" w:rsidRPr="00F43A71" w:rsidRDefault="001625D3" w:rsidP="001625D3">
            <w:pPr>
              <w:pStyle w:val="naisc"/>
              <w:spacing w:before="0" w:after="0"/>
              <w:jc w:val="both"/>
              <w:rPr>
                <w:b/>
                <w:bCs/>
              </w:rPr>
            </w:pPr>
            <w:r w:rsidRPr="00F43A71">
              <w:rPr>
                <w:b/>
                <w:bCs/>
              </w:rPr>
              <w:lastRenderedPageBreak/>
              <w:t>Nav ņemts vērā.</w:t>
            </w:r>
          </w:p>
          <w:p w14:paraId="2F1E316C" w14:textId="526751C7" w:rsidR="001625D3" w:rsidRPr="00C71189" w:rsidRDefault="001625D3" w:rsidP="001625D3">
            <w:pPr>
              <w:pStyle w:val="naisc"/>
              <w:spacing w:before="0" w:after="0"/>
              <w:jc w:val="both"/>
            </w:pPr>
            <w:r w:rsidRPr="00C71189">
              <w:t>Tiek saglabāta esošā pieeja, ka dabas resursu nodokli par kurināmo ieskaita valsts budžetā.</w:t>
            </w:r>
          </w:p>
        </w:tc>
      </w:tr>
      <w:tr w:rsidR="001625D3" w:rsidRPr="00C71189" w14:paraId="322F6A38"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2707E3A9" w14:textId="77777777" w:rsidR="001625D3" w:rsidRPr="00C71189" w:rsidRDefault="001625D3" w:rsidP="001625D3">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74B58044" w14:textId="3DF5F4F7" w:rsidR="001625D3" w:rsidRPr="00C71189" w:rsidRDefault="001625D3" w:rsidP="001625D3">
            <w:pPr>
              <w:spacing w:before="120"/>
              <w:jc w:val="both"/>
              <w:rPr>
                <w:b/>
                <w:bCs/>
              </w:rPr>
            </w:pPr>
            <w:r w:rsidRPr="00C71189">
              <w:rPr>
                <w:b/>
                <w:bCs/>
              </w:rPr>
              <w:t>Anotācijas I. sadaļas 2. punkts.</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7206A18B" w14:textId="430A6359" w:rsidR="001625D3" w:rsidRPr="00C71189" w:rsidRDefault="001625D3" w:rsidP="001625D3">
            <w:pPr>
              <w:pStyle w:val="naisc"/>
              <w:spacing w:before="0" w:after="0"/>
              <w:jc w:val="both"/>
              <w:rPr>
                <w:b/>
              </w:rPr>
            </w:pPr>
            <w:r w:rsidRPr="00C71189">
              <w:t xml:space="preserve">5. Asociācija nepiekrīt anotācijā (7. lpp.) minētajam, ka “nav konstatējama </w:t>
            </w:r>
            <w:r>
              <w:t>dabas resursu nodokļa</w:t>
            </w:r>
            <w:r w:rsidRPr="00C71189">
              <w:t xml:space="preserve"> dubulta uzlikšana kūdrai”, jo būs jāsamaksā nodoklis par iegūto kūdru par kūdras ieguvi (0,55 </w:t>
            </w:r>
            <w:r w:rsidRPr="00C71189">
              <w:rPr>
                <w:i/>
                <w:iCs/>
              </w:rPr>
              <w:t>euro/</w:t>
            </w:r>
            <w:r w:rsidRPr="00C71189">
              <w:t>t pie mitruma 40%) un par izmantošanu kurināšanai - 21,3 </w:t>
            </w:r>
            <w:r w:rsidRPr="00C71189">
              <w:rPr>
                <w:i/>
                <w:iCs/>
              </w:rPr>
              <w:t>euro</w:t>
            </w:r>
            <w:r w:rsidRPr="00C71189">
              <w:t xml:space="preserve"> par tonnu. Tātad, par vienu produktu nodoklis būs jāsamaksā divas reizes, tikai maksātāji būs dažādi.</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0370409E" w14:textId="6AAB7EB4" w:rsidR="001625D3" w:rsidRPr="00C71189" w:rsidRDefault="001625D3" w:rsidP="001625D3">
            <w:pPr>
              <w:pStyle w:val="naisc"/>
              <w:spacing w:before="0" w:after="0"/>
              <w:jc w:val="both"/>
            </w:pPr>
            <w:r w:rsidRPr="00C71189">
              <w:t>VARAM ieskatā nav konstatējama nodokļa dubulta uzlikšana kūdrai, jo vienā gadījumā nodoklis tiek piemērots par dabas resursa ieguvi, tikmēr otrā gadījumā par produkta izmantošanu kā kurināmo, attiecīgi nodokļa mērķi ir dažādi.</w:t>
            </w:r>
          </w:p>
        </w:tc>
      </w:tr>
      <w:tr w:rsidR="001625D3" w:rsidRPr="00C71189" w14:paraId="5890875D"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2DAF9259" w14:textId="77777777" w:rsidR="001625D3" w:rsidRPr="00C71189" w:rsidRDefault="001625D3" w:rsidP="001625D3">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438E1FB9" w14:textId="55A2D613" w:rsidR="001625D3" w:rsidRPr="00C71189" w:rsidRDefault="001625D3" w:rsidP="001625D3">
            <w:pPr>
              <w:spacing w:before="120"/>
              <w:jc w:val="both"/>
              <w:rPr>
                <w:b/>
                <w:bCs/>
              </w:rPr>
            </w:pPr>
            <w:r w:rsidRPr="00C71189">
              <w:rPr>
                <w:b/>
                <w:bCs/>
              </w:rPr>
              <w:t>Anotācijas II. sadaļas 4. punkts.</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3E63C94F" w14:textId="19320932" w:rsidR="001625D3" w:rsidRPr="00C71189" w:rsidRDefault="001625D3" w:rsidP="001625D3">
            <w:pPr>
              <w:pStyle w:val="naisc"/>
              <w:spacing w:before="0" w:after="0"/>
              <w:jc w:val="both"/>
              <w:rPr>
                <w:b/>
              </w:rPr>
            </w:pPr>
            <w:r w:rsidRPr="00C71189">
              <w:t>6. Anotācijas 12.</w:t>
            </w:r>
            <w:r>
              <w:t xml:space="preserve"> </w:t>
            </w:r>
            <w:r w:rsidRPr="00C71189">
              <w:t>lpp. norādīts, ka “Likumprojekta prasību ieviešana palielinās kurināmās kūdras izmantošanas izmaksas. Kopumā tas vērtējams kā samērīgs, ievērojot, ka vidēji gadā kūdru sadedzināšanas iekārtās izmanto ierobežotā daudzumā (8000 t/gadā) un ir pieejamas citas kurināmā alternatīvas.” Asociācijas ieskatā ir jābūt pieejamiem aprēķiniem, cik nodokļa ieviešana izmaksās konkrētajām pašvaldībām, kas izmanto kurināmo kūdru. Kaut arī pieejamas citas alternatīvas, viena no pašvaldībām kūdru kurināšanai izmanto tikai tādēļ, ka tas ir lētāk.</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7249CBB7" w14:textId="63648A51" w:rsidR="001625D3" w:rsidRPr="00EA6A9E" w:rsidRDefault="001625D3" w:rsidP="001625D3">
            <w:pPr>
              <w:pStyle w:val="naisc"/>
              <w:spacing w:before="0" w:after="0"/>
              <w:jc w:val="both"/>
              <w:rPr>
                <w:b/>
                <w:bCs/>
              </w:rPr>
            </w:pPr>
            <w:r w:rsidRPr="00EA6A9E">
              <w:rPr>
                <w:b/>
                <w:bCs/>
              </w:rPr>
              <w:t>Ņemts vērā.</w:t>
            </w:r>
          </w:p>
          <w:p w14:paraId="152EB205" w14:textId="69923418" w:rsidR="001625D3" w:rsidRPr="00C71189" w:rsidRDefault="001625D3" w:rsidP="001625D3">
            <w:pPr>
              <w:pStyle w:val="naisc"/>
              <w:spacing w:before="0" w:after="0"/>
              <w:jc w:val="both"/>
            </w:pPr>
            <w:r w:rsidRPr="00C71189">
              <w:t>Papildināta anotācija. Tiks nodrošināts laiks pārejai uz alternatīviem kurināmā veidiem, kā arī finansiāls atbalsts Taisnīgas pārkārtošanās fonda ietvaros. Izmaksas vietējām pašvaldībām, kas izmanto kūdru kā kurināmo, var pieaugt par līdz 10</w:t>
            </w:r>
            <w:r>
              <w:t> </w:t>
            </w:r>
            <w:r w:rsidRPr="00C71189">
              <w:t>000</w:t>
            </w:r>
            <w:r>
              <w:t> </w:t>
            </w:r>
            <w:r w:rsidRPr="00567EB1">
              <w:rPr>
                <w:i/>
                <w:iCs/>
              </w:rPr>
              <w:t>euro</w:t>
            </w:r>
            <w:r w:rsidRPr="00C71189">
              <w:t xml:space="preserve"> gadā.</w:t>
            </w:r>
          </w:p>
        </w:tc>
      </w:tr>
      <w:tr w:rsidR="001625D3" w:rsidRPr="00C71189" w14:paraId="1A341689"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128655BC" w14:textId="77777777" w:rsidR="001625D3" w:rsidRPr="00C71189" w:rsidRDefault="001625D3" w:rsidP="001625D3">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4693D8F9" w14:textId="5681D767" w:rsidR="001625D3" w:rsidRPr="00C71189" w:rsidRDefault="001625D3" w:rsidP="001625D3">
            <w:pPr>
              <w:spacing w:before="120"/>
              <w:jc w:val="both"/>
              <w:rPr>
                <w:b/>
                <w:bCs/>
              </w:rPr>
            </w:pPr>
            <w:r w:rsidRPr="00C71189">
              <w:rPr>
                <w:b/>
                <w:bCs/>
              </w:rPr>
              <w:t>Vispārīgi.</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30F7B3D5" w14:textId="2F2426FF" w:rsidR="001625D3" w:rsidRPr="00C71189" w:rsidRDefault="001625D3" w:rsidP="001625D3">
            <w:pPr>
              <w:pStyle w:val="naisc"/>
              <w:spacing w:before="0" w:after="0"/>
              <w:jc w:val="both"/>
              <w:rPr>
                <w:b/>
              </w:rPr>
            </w:pPr>
            <w:r w:rsidRPr="00C71189">
              <w:t>7. Asociācija atgādina, ka kūdra ir Latvijas vietējais resurss, kuru, ja  nepieciešams, var izmantot kurināšanai. Labs piemērs bija 2017./2018. gada ziema, kad slikto laika apstākļu dēļ no meža nevarēja izvest šķeldu un tāpēc kūdra tika izmantots kā rezerves kurināmais, lai nodrošinātu nepārtrauktu siltumapgādi. Latvia ir atkarīga no importētiem energoresursiem, tāpēc jāņem vērā, ka ekstremālos apstākļos varētu rasties nepieciešamība šo vietējo resursu tomēr izmantot. Statistiski redzams, ka kūdru enerģētikā izmanto ļoti maz un piemēram 2019.</w:t>
            </w:r>
            <w:r>
              <w:t xml:space="preserve"> </w:t>
            </w:r>
            <w:r w:rsidRPr="00C71189">
              <w:t xml:space="preserve">gadā no kopējās energo bilances kūdra bija tikai 0,04%. Tādēļ pielīdzināt </w:t>
            </w:r>
            <w:r>
              <w:t>dabas resursu nodokli</w:t>
            </w:r>
            <w:r w:rsidRPr="00C71189">
              <w:t xml:space="preserve"> par kūdru nodoklim par akmeņoglēm, koksu un lignītu nav pamatoti, nodoklim par kūdru kurināšanai jābūt mazākam kā nodoklim par oglēm.</w:t>
            </w:r>
            <w:r w:rsidRPr="00C71189">
              <w:rPr>
                <w:lang w:val="en-US"/>
              </w:rPr>
              <w:t xml:space="preserve"> </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2C34B054" w14:textId="4ACC7C65" w:rsidR="001625D3" w:rsidRPr="007D4A56" w:rsidRDefault="001625D3" w:rsidP="001625D3">
            <w:pPr>
              <w:pStyle w:val="naisc"/>
              <w:spacing w:before="0" w:after="0"/>
              <w:jc w:val="both"/>
              <w:rPr>
                <w:b/>
                <w:bCs/>
              </w:rPr>
            </w:pPr>
            <w:r w:rsidRPr="007D4A56">
              <w:rPr>
                <w:b/>
                <w:bCs/>
              </w:rPr>
              <w:t>Nav ņemts vērā.</w:t>
            </w:r>
          </w:p>
          <w:p w14:paraId="29BAB105" w14:textId="7EAC1F2B" w:rsidR="001625D3" w:rsidRPr="00C71189" w:rsidRDefault="001625D3" w:rsidP="001625D3">
            <w:pPr>
              <w:pStyle w:val="naisc"/>
              <w:spacing w:before="0" w:after="0"/>
              <w:jc w:val="both"/>
            </w:pPr>
            <w:r w:rsidRPr="00C71189">
              <w:t>Kūdrai kā kurināmajam ir liela emisiju intensitāte (salīdzinot ar citiem kurināmā veidiem). Emisijas no kūdras sadedzināšanas rēķina kā no cietā kurināmā, un piemērojamais CO</w:t>
            </w:r>
            <w:r w:rsidRPr="00C71189">
              <w:rPr>
                <w:vertAlign w:val="subscript"/>
              </w:rPr>
              <w:t>2</w:t>
            </w:r>
            <w:r w:rsidRPr="00C71189">
              <w:t xml:space="preserve"> emisijas faktors ir lielākais no visiem fosilajiem kurināmajiem, tas ir 105,99 tCO</w:t>
            </w:r>
            <w:r w:rsidRPr="00C71189">
              <w:rPr>
                <w:vertAlign w:val="subscript"/>
              </w:rPr>
              <w:t>2</w:t>
            </w:r>
            <w:r w:rsidRPr="00C71189">
              <w:t>/TJ (piemēram, oglēm 100,99 tCO</w:t>
            </w:r>
            <w:r w:rsidRPr="00C71189">
              <w:rPr>
                <w:vertAlign w:val="subscript"/>
              </w:rPr>
              <w:t>2</w:t>
            </w:r>
            <w:r w:rsidRPr="00C71189">
              <w:t>/TJ, dabasgāzei 55,59 tCO</w:t>
            </w:r>
            <w:r w:rsidRPr="00C71189">
              <w:rPr>
                <w:vertAlign w:val="subscript"/>
              </w:rPr>
              <w:t>2</w:t>
            </w:r>
            <w:r w:rsidRPr="00C71189">
              <w:t>/TJ). Ievērojot minēto, nav pamatoti par kūdras kurināšanu piemērot zemāku nodokli kā par akmeņoglēm.</w:t>
            </w:r>
          </w:p>
        </w:tc>
      </w:tr>
      <w:tr w:rsidR="001625D3" w:rsidRPr="00C71189" w14:paraId="45A825FF" w14:textId="77777777" w:rsidTr="00657982">
        <w:tc>
          <w:tcPr>
            <w:tcW w:w="627" w:type="dxa"/>
            <w:tcBorders>
              <w:top w:val="single" w:sz="6" w:space="0" w:color="000000" w:themeColor="text1"/>
              <w:left w:val="single" w:sz="6" w:space="0" w:color="000000" w:themeColor="text1"/>
              <w:bottom w:val="single" w:sz="6" w:space="0" w:color="000000" w:themeColor="text1"/>
            </w:tcBorders>
            <w:shd w:val="clear" w:color="auto" w:fill="DBDBDB" w:themeFill="accent3" w:themeFillTint="66"/>
          </w:tcPr>
          <w:p w14:paraId="5DFDAC63" w14:textId="77777777" w:rsidR="001625D3" w:rsidRPr="00C71189" w:rsidRDefault="001625D3" w:rsidP="001625D3">
            <w:pPr>
              <w:pStyle w:val="naisc"/>
              <w:numPr>
                <w:ilvl w:val="1"/>
                <w:numId w:val="21"/>
              </w:numPr>
              <w:spacing w:before="0" w:after="0"/>
              <w:ind w:left="361" w:right="317"/>
              <w:jc w:val="left"/>
            </w:pPr>
          </w:p>
        </w:tc>
        <w:tc>
          <w:tcPr>
            <w:tcW w:w="14009" w:type="dxa"/>
            <w:gridSpan w:val="3"/>
            <w:tcBorders>
              <w:top w:val="single" w:sz="6" w:space="0" w:color="000000" w:themeColor="text1"/>
              <w:left w:val="single" w:sz="6" w:space="0" w:color="000000" w:themeColor="text1"/>
              <w:bottom w:val="single" w:sz="6" w:space="0" w:color="000000" w:themeColor="text1"/>
              <w:right w:val="single" w:sz="4" w:space="0" w:color="auto"/>
            </w:tcBorders>
            <w:shd w:val="clear" w:color="auto" w:fill="DBDBDB" w:themeFill="accent3" w:themeFillTint="66"/>
          </w:tcPr>
          <w:p w14:paraId="39267048" w14:textId="617E151C" w:rsidR="001625D3" w:rsidRPr="00C71189" w:rsidRDefault="001625D3" w:rsidP="001625D3">
            <w:pPr>
              <w:pStyle w:val="naisc"/>
              <w:spacing w:before="0" w:after="0"/>
              <w:rPr>
                <w:b/>
                <w:bCs/>
              </w:rPr>
            </w:pPr>
            <w:r w:rsidRPr="00C71189">
              <w:rPr>
                <w:b/>
                <w:bCs/>
              </w:rPr>
              <w:t>MAXIMA Latvija” SIA 10.06.2021. viedoklis</w:t>
            </w:r>
          </w:p>
        </w:tc>
      </w:tr>
      <w:tr w:rsidR="001625D3" w:rsidRPr="00C71189" w14:paraId="70C45EC9"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5EEC312C" w14:textId="77777777" w:rsidR="001625D3" w:rsidRPr="00C71189" w:rsidRDefault="001625D3" w:rsidP="001625D3">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642D31A7" w14:textId="61A66E7D" w:rsidR="001625D3" w:rsidRPr="00C71189" w:rsidRDefault="001625D3" w:rsidP="001625D3">
            <w:pPr>
              <w:spacing w:before="120"/>
              <w:jc w:val="both"/>
              <w:rPr>
                <w:b/>
                <w:bCs/>
              </w:rPr>
            </w:pPr>
            <w:r w:rsidRPr="00C71189">
              <w:rPr>
                <w:b/>
                <w:bCs/>
              </w:rPr>
              <w:t>Likumprojekta 8.</w:t>
            </w:r>
            <w:r>
              <w:t> </w:t>
            </w:r>
            <w:r w:rsidRPr="00C71189">
              <w:rPr>
                <w:b/>
                <w:bCs/>
              </w:rPr>
              <w:t xml:space="preserve">panta </w:t>
            </w:r>
            <w:r>
              <w:rPr>
                <w:b/>
                <w:bCs/>
              </w:rPr>
              <w:t>9.</w:t>
            </w:r>
            <w:r w:rsidRPr="00567EB1">
              <w:rPr>
                <w:b/>
                <w:bCs/>
                <w:vertAlign w:val="superscript"/>
              </w:rPr>
              <w:t>1</w:t>
            </w:r>
            <w:r>
              <w:rPr>
                <w:b/>
                <w:bCs/>
              </w:rPr>
              <w:t> </w:t>
            </w:r>
            <w:r w:rsidRPr="00C71189">
              <w:rPr>
                <w:b/>
                <w:bCs/>
              </w:rPr>
              <w:t>pants:</w:t>
            </w:r>
          </w:p>
          <w:p w14:paraId="26275860" w14:textId="3AF1728C" w:rsidR="001625D3" w:rsidRPr="00C71189" w:rsidRDefault="001625D3" w:rsidP="001625D3">
            <w:pPr>
              <w:spacing w:before="120"/>
              <w:jc w:val="both"/>
            </w:pPr>
            <w:r w:rsidRPr="00C71189">
              <w:t>9.</w:t>
            </w:r>
            <w:r w:rsidRPr="00C71189">
              <w:rPr>
                <w:vertAlign w:val="superscript"/>
              </w:rPr>
              <w:t>1</w:t>
            </w:r>
            <w:r w:rsidRPr="00C71189">
              <w:t> pants. Atbrīvojums no nodokļa samaksas par tekstilizstrādājumiem”..</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4E762A39" w14:textId="36884516" w:rsidR="001625D3" w:rsidRPr="00C71189" w:rsidRDefault="001625D3" w:rsidP="001625D3">
            <w:pPr>
              <w:pStyle w:val="naisc"/>
              <w:spacing w:before="0" w:after="0"/>
              <w:jc w:val="both"/>
            </w:pPr>
            <w:r w:rsidRPr="00C71189">
              <w:t>1.Dabas resursu nodokļa piemērošanas kārtību jaunam objektam – tekstilizstrādājumiem un prasībām saistībā ar iespējām saņemt atbrīvojumu no dabas resursu nodokļa samaksas par tekstilizstrādājumiem. Proti, likumprojektā ir noteiktas pamatprasības šāda atbrīvojuma saņemšanai, bet precīzi kritēriji un nodokļu maksātājam noteiktās prasības nav skaidras un saprotamas, sakarā ar ko nav iespējams objektīvi izvērtēt šo prasību samērīgumu un faktiskās iespējas veikt nepieciešamos pasākumus, lai saņemtu atbrīvojumu no dabas resursu nodokļa samaksas par tekstilizstrādājumiem;</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263EB443" w14:textId="1FB9AFC2" w:rsidR="001625D3" w:rsidRPr="00C71189" w:rsidRDefault="001625D3" w:rsidP="001625D3">
            <w:pPr>
              <w:pStyle w:val="naisc"/>
              <w:spacing w:before="0" w:after="0"/>
              <w:jc w:val="both"/>
            </w:pPr>
            <w:r>
              <w:t>Informējam</w:t>
            </w:r>
            <w:r w:rsidRPr="00C71189">
              <w:t>, ka dabas resursu nodokļa piemērošana tekstilizstrādājumiem stāsies spēkā 2023.</w:t>
            </w:r>
            <w:r>
              <w:t> </w:t>
            </w:r>
            <w:r w:rsidRPr="00C71189">
              <w:t>gada 1.</w:t>
            </w:r>
            <w:r>
              <w:t> </w:t>
            </w:r>
            <w:r w:rsidRPr="00C71189">
              <w:t xml:space="preserve">janvārī. </w:t>
            </w:r>
            <w:r w:rsidRPr="007D4A56">
              <w:t>Ministru kabinets līdz 2022.</w:t>
            </w:r>
            <w:r>
              <w:t> </w:t>
            </w:r>
            <w:r w:rsidRPr="007D4A56">
              <w:t>gada 30.</w:t>
            </w:r>
            <w:r>
              <w:t> </w:t>
            </w:r>
            <w:r w:rsidRPr="007D4A56">
              <w:t xml:space="preserve">septembrim </w:t>
            </w:r>
            <w:r w:rsidRPr="00C71189">
              <w:t>izstrādās precīzas prasības dabas resursu nodokļa atbrīvojuma saņemšanai.</w:t>
            </w:r>
          </w:p>
        </w:tc>
      </w:tr>
      <w:tr w:rsidR="001625D3" w:rsidRPr="00C71189" w14:paraId="18A65F3E"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44C4EC8D" w14:textId="77777777" w:rsidR="001625D3" w:rsidRPr="00C71189" w:rsidRDefault="001625D3" w:rsidP="001625D3">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51B3AA2C" w14:textId="2BE98441" w:rsidR="001625D3" w:rsidRPr="00C71189" w:rsidRDefault="001625D3" w:rsidP="001625D3">
            <w:pPr>
              <w:spacing w:before="120"/>
              <w:jc w:val="both"/>
              <w:rPr>
                <w:b/>
                <w:bCs/>
              </w:rPr>
            </w:pPr>
            <w:r w:rsidRPr="00C71189">
              <w:rPr>
                <w:b/>
                <w:bCs/>
              </w:rPr>
              <w:t>Anotācijas I. sadaļas 2. punkts.</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749448BA" w14:textId="14208DE9" w:rsidR="001625D3" w:rsidRPr="00C71189" w:rsidRDefault="001625D3" w:rsidP="001625D3">
            <w:pPr>
              <w:pStyle w:val="naisc"/>
              <w:spacing w:before="0" w:after="0"/>
              <w:jc w:val="both"/>
              <w:rPr>
                <w:b/>
                <w:bCs/>
              </w:rPr>
            </w:pPr>
            <w:r w:rsidRPr="00C71189">
              <w:t>2.Ievērojot likumprojekta anotācijā noteikto dabas resursu nodokļa tekstilizstrādājumiem ieviešanas mērķi - samazināt atkritumu poligonos nodoto tekstilizstrādājumu daudzumu, ir pamats bažām, ka tikai ar dabas resursu nodokļa piemērošanu personām, kas realizē vai izmanto savas saimnieciskās darbības nodrošināšanai šos izstrādājumus, šāds mērķis nevar tikt sasniegts. Minētā sakarā, vienlaikus ar nodokļa ieviešanu ir jāizvērtē iespējas veikt pasākumus, kas veicinātu galalietotājus dalīti vākt un nodot nolietotos tekstilizstrādājumus.</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77B6F33D" w14:textId="55EC48BB" w:rsidR="001625D3" w:rsidRPr="00C71189" w:rsidRDefault="001625D3" w:rsidP="001625D3">
            <w:pPr>
              <w:pStyle w:val="naisc"/>
              <w:spacing w:before="0" w:after="0"/>
              <w:jc w:val="both"/>
            </w:pPr>
            <w:r w:rsidRPr="00C71189">
              <w:t>Dabas resursu nodoklis plānots kā viens no instrumentiem, lai nodrošinātu ražotāju paplašināto atbildības sistēmu izveidi un piemērošanu, nodrošinātu infrastruktūru dalīti vākt un nodot tekstilizstrādājumus.</w:t>
            </w:r>
          </w:p>
        </w:tc>
      </w:tr>
      <w:tr w:rsidR="001625D3" w:rsidRPr="00C71189" w14:paraId="4CCB6762" w14:textId="77777777" w:rsidTr="00657982">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1180DE5F" w14:textId="77777777" w:rsidR="001625D3" w:rsidRPr="00C71189" w:rsidRDefault="001625D3" w:rsidP="001625D3">
            <w:pPr>
              <w:pStyle w:val="naisc"/>
              <w:numPr>
                <w:ilvl w:val="1"/>
                <w:numId w:val="21"/>
              </w:numPr>
              <w:spacing w:before="0" w:after="0"/>
              <w:ind w:left="361" w:right="317"/>
              <w:jc w:val="left"/>
            </w:pPr>
          </w:p>
        </w:tc>
        <w:tc>
          <w:tcPr>
            <w:tcW w:w="14009" w:type="dxa"/>
            <w:gridSpan w:val="3"/>
            <w:tcBorders>
              <w:top w:val="single" w:sz="6" w:space="0" w:color="000000" w:themeColor="text1"/>
              <w:left w:val="single" w:sz="6" w:space="0" w:color="000000" w:themeColor="text1"/>
              <w:bottom w:val="single" w:sz="6" w:space="0" w:color="000000" w:themeColor="text1"/>
              <w:right w:val="single" w:sz="4" w:space="0" w:color="auto"/>
            </w:tcBorders>
            <w:shd w:val="clear" w:color="auto" w:fill="DBDBDB" w:themeFill="accent3" w:themeFillTint="66"/>
          </w:tcPr>
          <w:p w14:paraId="6D64BD9F" w14:textId="308A4106" w:rsidR="001625D3" w:rsidRPr="00C71189" w:rsidRDefault="001625D3" w:rsidP="001625D3">
            <w:pPr>
              <w:pStyle w:val="naisc"/>
              <w:spacing w:before="0" w:after="0"/>
            </w:pPr>
            <w:r w:rsidRPr="00C71189">
              <w:rPr>
                <w:b/>
                <w:bCs/>
              </w:rPr>
              <w:t>AS “Valmieras Stikla Šķiedra” 10.06.2021. viedoklis</w:t>
            </w:r>
          </w:p>
        </w:tc>
      </w:tr>
      <w:tr w:rsidR="001625D3" w:rsidRPr="00C71189" w14:paraId="59D7876A"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1B4CFE52" w14:textId="77777777" w:rsidR="001625D3" w:rsidRPr="00C71189" w:rsidRDefault="001625D3" w:rsidP="001625D3">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73C561D5" w14:textId="0C8D6055" w:rsidR="001625D3" w:rsidRPr="00C71189" w:rsidRDefault="001625D3" w:rsidP="001625D3">
            <w:pPr>
              <w:spacing w:before="120"/>
              <w:jc w:val="both"/>
              <w:rPr>
                <w:b/>
                <w:bCs/>
              </w:rPr>
            </w:pPr>
            <w:r w:rsidRPr="00C71189">
              <w:rPr>
                <w:b/>
                <w:bCs/>
              </w:rPr>
              <w:t>Likumprojekta 25. panta likuma 3. pielikums.</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7647249B" w14:textId="729ECE58" w:rsidR="001625D3" w:rsidRPr="00C71189" w:rsidRDefault="001625D3" w:rsidP="001625D3">
            <w:pPr>
              <w:pStyle w:val="naisc"/>
              <w:spacing w:before="0" w:after="0"/>
              <w:jc w:val="both"/>
            </w:pPr>
            <w:r w:rsidRPr="00C71189">
              <w:t xml:space="preserve">1. Ievērojot, ka uzņēmums turpina maksāt </w:t>
            </w:r>
            <w:r>
              <w:t>dabas resursu nodokli</w:t>
            </w:r>
            <w:r w:rsidRPr="00C71189">
              <w:t xml:space="preserve"> par tādiem ražošanas atkritumiem, par kuriem citas valstis </w:t>
            </w:r>
            <w:r>
              <w:t>dabas resursu nodokli</w:t>
            </w:r>
            <w:r w:rsidRPr="00C71189">
              <w:t xml:space="preserve"> nepiemēro,  un to, ka jau esošajā likuma redakcijā </w:t>
            </w:r>
            <w:r>
              <w:t>dabas resursu nodokļa</w:t>
            </w:r>
            <w:r w:rsidRPr="00C71189">
              <w:t xml:space="preserve"> pieaugums ir ļoti augsts, uzņēmums lūdz atdalīt sadzīves atkritumus no ražošanas atkritumiem un ražošanas atkritumiem nepiemērot plānoto pieaugumu.</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2894F74A" w14:textId="75DFA4FA" w:rsidR="001625D3" w:rsidRDefault="001625D3" w:rsidP="001625D3">
            <w:pPr>
              <w:pStyle w:val="naisc"/>
              <w:spacing w:before="0" w:after="0"/>
              <w:jc w:val="both"/>
              <w:rPr>
                <w:b/>
                <w:bCs/>
              </w:rPr>
            </w:pPr>
            <w:r w:rsidRPr="00D21BBD">
              <w:rPr>
                <w:b/>
                <w:bCs/>
              </w:rPr>
              <w:t>Nav ņemts vērā.</w:t>
            </w:r>
          </w:p>
          <w:p w14:paraId="393C3AFB" w14:textId="77777777" w:rsidR="001625D3" w:rsidRDefault="001625D3" w:rsidP="001625D3">
            <w:pPr>
              <w:jc w:val="both"/>
            </w:pPr>
            <w:r>
              <w:t>N</w:t>
            </w:r>
            <w:r w:rsidRPr="00FF1D43">
              <w:t xml:space="preserve">orādām, ka saskaņā ar Vides aizsardzības likumu Latvijā tiek piemērots princips “piesārņotājs maksā” – kas nozīmē, ka persona sedz visus izdevumus, kas saistīti ar tās darbības rezultātā radīta piesārņojuma novērtēšanu, novēršanu, ierobežošanu un seku likvidēšanu. Šis princips ir viens no dabas resursu nodokļa piemērošanas pamatiem. Nosakot iespēju nepiemērot vai samazināt dabas resursa nodokli par tādu ražošanas atkritumu apglabāšanu, kuriem objektīvu apsvērumu dēļ nav pārstrādes iespējas, tas būtu pretrunā principam “piesārņotājs maksā” un tādējādi šādu ražošanas atkritumu radītāji būtu </w:t>
            </w:r>
            <w:r w:rsidRPr="00FF1D43">
              <w:lastRenderedPageBreak/>
              <w:t>priviliģētākā stāvoklī nekā citi ražošanas atkritumu radītāji. Šāda pieeja nemotivētu samazināt apglabājamo atkritumu apjomu un meklēt jaunus risinājumus un metodes atkritumu apjoma samazināšanai un novēršanai.</w:t>
            </w:r>
          </w:p>
          <w:p w14:paraId="225454CF" w14:textId="7FA832A1" w:rsidR="001625D3" w:rsidRPr="00FF1D43" w:rsidRDefault="001625D3" w:rsidP="001625D3">
            <w:pPr>
              <w:pStyle w:val="naisc"/>
              <w:spacing w:before="0" w:after="0"/>
              <w:jc w:val="both"/>
            </w:pPr>
            <w:r w:rsidRPr="00FF1D43">
              <w:t xml:space="preserve">Lai ievērotu Eiropas Savienības direktīvās izvirzītos mērķus atkritumu apsaimniekošanas jomā un lai veidotu aprites ekonomikas pamatu, Latvijai ir jāuzlabo atkritumu apsaimniekošana, jāpalielina atkritumu rašanās novēršana un pārstrāde, kā arī jāstiprina ekonomiskie instrumenti. Saskaņā ar </w:t>
            </w:r>
            <w:r w:rsidRPr="00FF1D43">
              <w:rPr>
                <w:lang w:eastAsia="lv-LV"/>
              </w:rPr>
              <w:t>Ekonomiskās sadarbības un attīstības organizācijas (turpmāk – ESAO)  2019. gada Vides raksturlielumu pārskatā minētajām rekomendācijām, Latvijai</w:t>
            </w:r>
            <w:r w:rsidRPr="00FF1D43">
              <w:t xml:space="preserve"> īpaši ir nepieciešams paaugstināt nodokli par atkritumu apglabāšanu.</w:t>
            </w:r>
          </w:p>
        </w:tc>
      </w:tr>
      <w:tr w:rsidR="001625D3" w:rsidRPr="00C71189" w14:paraId="6B26E3A9"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474341CC" w14:textId="77777777" w:rsidR="001625D3" w:rsidRPr="00C71189" w:rsidRDefault="001625D3" w:rsidP="001625D3">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632A8AC4" w14:textId="764D9999" w:rsidR="001625D3" w:rsidRPr="00C71189" w:rsidRDefault="001625D3" w:rsidP="001625D3">
            <w:pPr>
              <w:pStyle w:val="NoSpacing"/>
              <w:rPr>
                <w:b/>
                <w:bCs/>
                <w:szCs w:val="24"/>
              </w:rPr>
            </w:pPr>
            <w:r w:rsidRPr="00C71189">
              <w:rPr>
                <w:b/>
                <w:bCs/>
                <w:szCs w:val="24"/>
              </w:rPr>
              <w:t>Likumprojekta 12. un 26. pants:</w:t>
            </w:r>
          </w:p>
          <w:p w14:paraId="7BFD7A4E" w14:textId="1430E1C1" w:rsidR="001625D3" w:rsidRPr="00C71189" w:rsidRDefault="001625D3" w:rsidP="001625D3">
            <w:pPr>
              <w:pStyle w:val="NormalWeb"/>
              <w:spacing w:before="0" w:after="0"/>
              <w:jc w:val="both"/>
            </w:pPr>
            <w:r w:rsidRPr="00C71189">
              <w:t>12. Aizstāt 14.</w:t>
            </w:r>
            <w:r w:rsidRPr="00C71189">
              <w:rPr>
                <w:vertAlign w:val="superscript"/>
              </w:rPr>
              <w:t>1</w:t>
            </w:r>
            <w:r w:rsidRPr="00C71189">
              <w:t> pantā apzīmējumu “PM</w:t>
            </w:r>
            <w:r w:rsidRPr="00C71189">
              <w:rPr>
                <w:vertAlign w:val="subscript"/>
              </w:rPr>
              <w:t>10</w:t>
            </w:r>
            <w:r w:rsidRPr="00C71189">
              <w:t xml:space="preserve">” ar apzīmējumu “PM”. </w:t>
            </w:r>
          </w:p>
          <w:p w14:paraId="7A3FFBAF" w14:textId="4FEEEC5F" w:rsidR="001625D3" w:rsidRPr="00C71189" w:rsidRDefault="001625D3" w:rsidP="001625D3">
            <w:pPr>
              <w:pStyle w:val="NoSpacing"/>
              <w:spacing w:before="120"/>
            </w:pPr>
            <w:r w:rsidRPr="00C71189">
              <w:t>26. Aizstāt 4. pielikuma 3. punktā apzīmējumu “PM</w:t>
            </w:r>
            <w:r w:rsidRPr="00C71189">
              <w:rPr>
                <w:vertAlign w:val="subscript"/>
              </w:rPr>
              <w:t>10</w:t>
            </w:r>
            <w:r w:rsidRPr="00C71189">
              <w:t>” ar apzīmējumu “PM”.</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779D0FCE" w14:textId="49F2184F" w:rsidR="001625D3" w:rsidRPr="00C71189" w:rsidRDefault="001625D3" w:rsidP="001625D3">
            <w:pPr>
              <w:pStyle w:val="naisc"/>
              <w:spacing w:before="0" w:after="0"/>
              <w:jc w:val="both"/>
            </w:pPr>
            <w:r w:rsidRPr="00C71189">
              <w:t xml:space="preserve">2. Uzņēmuma priekšlikumi </w:t>
            </w:r>
            <w:r>
              <w:t>dabas resursu nodokļa</w:t>
            </w:r>
            <w:r w:rsidRPr="00C71189">
              <w:t xml:space="preserve"> izmaiņām ir sekojoši:</w:t>
            </w:r>
          </w:p>
          <w:p w14:paraId="133DF510" w14:textId="2DEF4404" w:rsidR="001625D3" w:rsidRPr="00C71189" w:rsidRDefault="001625D3" w:rsidP="001625D3">
            <w:pPr>
              <w:pStyle w:val="naisc"/>
              <w:spacing w:before="0" w:after="0"/>
              <w:jc w:val="both"/>
            </w:pPr>
            <w:r w:rsidRPr="00C71189">
              <w:t xml:space="preserve">1. variants: maksājumu par </w:t>
            </w:r>
            <w:r>
              <w:t>dabas resursu nodokli</w:t>
            </w:r>
            <w:r w:rsidRPr="00C71189">
              <w:t xml:space="preserve"> nosaka tikai PM</w:t>
            </w:r>
            <w:r w:rsidRPr="006254CA">
              <w:rPr>
                <w:vertAlign w:val="subscript"/>
              </w:rPr>
              <w:t>2,5</w:t>
            </w:r>
            <w:r w:rsidRPr="00C71189">
              <w:t>, kas ir nosakāms teorētiskā aprēķinu ceļā no kopējām PM, ja pielietotie mērījumu instrumenti nevar uztvert PM</w:t>
            </w:r>
            <w:r w:rsidRPr="006254CA">
              <w:rPr>
                <w:vertAlign w:val="subscript"/>
              </w:rPr>
              <w:t>2,5</w:t>
            </w:r>
            <w:r w:rsidRPr="00C71189">
              <w:t>;</w:t>
            </w:r>
          </w:p>
          <w:p w14:paraId="33B8B53E" w14:textId="41FE1251" w:rsidR="001625D3" w:rsidRPr="00C71189" w:rsidRDefault="001625D3" w:rsidP="001625D3">
            <w:pPr>
              <w:pStyle w:val="naisc"/>
              <w:spacing w:before="0" w:after="0"/>
              <w:jc w:val="both"/>
            </w:pPr>
            <w:r w:rsidRPr="00C71189">
              <w:t>2. variants: atstāj līdzšinējā likuma redakciju par maksājumu PM</w:t>
            </w:r>
            <w:r w:rsidRPr="006254CA">
              <w:rPr>
                <w:vertAlign w:val="subscript"/>
              </w:rPr>
              <w:t>10</w:t>
            </w:r>
            <w:r w:rsidRPr="00C71189">
              <w:t xml:space="preserve"> daļiņām, kur jau ir ietverta likme par PM</w:t>
            </w:r>
            <w:r w:rsidRPr="00547AE4">
              <w:rPr>
                <w:vertAlign w:val="subscript"/>
              </w:rPr>
              <w:t xml:space="preserve">2,5 </w:t>
            </w:r>
            <w:r w:rsidRPr="00C71189">
              <w:t>daļiņām, bet noteikt valsts institūcijām valsts vides institūcijām vienotu metodi un kritērijus PM daļiņu diferencētam atspoguļojumam Atļauju nosacījumos;</w:t>
            </w:r>
          </w:p>
          <w:p w14:paraId="03A75AD8" w14:textId="76F546D5" w:rsidR="001625D3" w:rsidRPr="00C71189" w:rsidRDefault="001625D3" w:rsidP="001625D3">
            <w:pPr>
              <w:pStyle w:val="naisc"/>
              <w:spacing w:before="0" w:after="0"/>
              <w:jc w:val="both"/>
            </w:pPr>
            <w:r w:rsidRPr="00C71189">
              <w:t>3. variants: likumā iestrādā nosacījumu, ka operators maksā par kopējām PM tikai tad, ja Atļaujā PM</w:t>
            </w:r>
            <w:r w:rsidRPr="00547AE4">
              <w:rPr>
                <w:vertAlign w:val="subscript"/>
              </w:rPr>
              <w:t>10</w:t>
            </w:r>
            <w:r w:rsidRPr="00C71189">
              <w:t xml:space="preserve"> nav skaidri norādīta.</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0FA4E59F" w14:textId="1651B048" w:rsidR="001625D3" w:rsidRPr="006254CA" w:rsidRDefault="001625D3" w:rsidP="001625D3">
            <w:pPr>
              <w:pStyle w:val="naisc"/>
              <w:spacing w:before="0" w:after="0"/>
              <w:jc w:val="both"/>
              <w:rPr>
                <w:b/>
                <w:bCs/>
              </w:rPr>
            </w:pPr>
            <w:r w:rsidRPr="006254CA">
              <w:rPr>
                <w:b/>
                <w:bCs/>
              </w:rPr>
              <w:t>Nav ņemts vērā.</w:t>
            </w:r>
          </w:p>
          <w:p w14:paraId="4654C418" w14:textId="72CE2D89" w:rsidR="001625D3" w:rsidRPr="00C71189" w:rsidRDefault="001625D3" w:rsidP="001625D3">
            <w:pPr>
              <w:pStyle w:val="naisc"/>
              <w:spacing w:before="0" w:after="0"/>
              <w:jc w:val="both"/>
            </w:pPr>
            <w:r w:rsidRPr="00C71189">
              <w:t>Ievērojot Vides aizsardzības likuma 3. panta pirmās daļas 1. punktā noteikto principu “piesārņotājs maksā” un ietekmi uz vidi un cilvēka veselību, dabas resursu nodoklis ir maksājams ne tikai par daļiņu PM</w:t>
            </w:r>
            <w:r w:rsidRPr="00C71189">
              <w:rPr>
                <w:vertAlign w:val="subscript"/>
              </w:rPr>
              <w:t>10</w:t>
            </w:r>
            <w:r w:rsidRPr="00C71189">
              <w:t>, emisiju, bet arī cita izmēra gaisā suspendētajām cietajām daļiņām.</w:t>
            </w:r>
            <w:r>
              <w:t xml:space="preserve"> </w:t>
            </w:r>
            <w:r>
              <w:rPr>
                <w:lang w:eastAsia="lv-LV"/>
              </w:rPr>
              <w:t xml:space="preserve">Papildus jāatzīmē, ka saskaņā ar ESAO 2019. gada Vides raksturlielumu pārskatā minētajām rekomendācijām Latvijai ir jāintegrē gaisa kvalitātes mērķi nodokļu politikā, lai samazinātu PM emisijas. ESAO pārskatā norāda, </w:t>
            </w:r>
            <w:r>
              <w:t>ka ap 90 % iedzīvotāju vēl aizvien ir pakļauti tādam smalko cieto daļiņu (PM</w:t>
            </w:r>
            <w:r w:rsidRPr="008067E8">
              <w:rPr>
                <w:vertAlign w:val="subscript"/>
              </w:rPr>
              <w:t>2,5</w:t>
            </w:r>
            <w:r>
              <w:t>) līmenim, kas pārsniedz Pasaules Veselības organizācijas noteikto lielumu.</w:t>
            </w:r>
          </w:p>
        </w:tc>
      </w:tr>
      <w:tr w:rsidR="001625D3" w:rsidRPr="00C71189" w14:paraId="01E4FF39" w14:textId="77777777" w:rsidTr="00657982">
        <w:tc>
          <w:tcPr>
            <w:tcW w:w="627" w:type="dxa"/>
            <w:tcBorders>
              <w:top w:val="single" w:sz="6" w:space="0" w:color="000000" w:themeColor="text1"/>
              <w:left w:val="single" w:sz="6" w:space="0" w:color="000000" w:themeColor="text1"/>
              <w:bottom w:val="single" w:sz="6" w:space="0" w:color="000000" w:themeColor="text1"/>
            </w:tcBorders>
            <w:shd w:val="clear" w:color="auto" w:fill="DBDBDB" w:themeFill="accent3" w:themeFillTint="66"/>
          </w:tcPr>
          <w:p w14:paraId="4312C3EB" w14:textId="77777777" w:rsidR="001625D3" w:rsidRPr="00C71189" w:rsidRDefault="001625D3" w:rsidP="001625D3">
            <w:pPr>
              <w:pStyle w:val="naisc"/>
              <w:numPr>
                <w:ilvl w:val="1"/>
                <w:numId w:val="21"/>
              </w:numPr>
              <w:spacing w:before="0" w:after="0"/>
              <w:ind w:left="361" w:right="317"/>
              <w:jc w:val="left"/>
            </w:pPr>
          </w:p>
        </w:tc>
        <w:tc>
          <w:tcPr>
            <w:tcW w:w="14009" w:type="dxa"/>
            <w:gridSpan w:val="3"/>
            <w:tcBorders>
              <w:top w:val="single" w:sz="6" w:space="0" w:color="000000" w:themeColor="text1"/>
              <w:left w:val="single" w:sz="6" w:space="0" w:color="000000" w:themeColor="text1"/>
              <w:bottom w:val="single" w:sz="6" w:space="0" w:color="000000" w:themeColor="text1"/>
              <w:right w:val="single" w:sz="4" w:space="0" w:color="auto"/>
            </w:tcBorders>
            <w:shd w:val="clear" w:color="auto" w:fill="DBDBDB" w:themeFill="accent3" w:themeFillTint="66"/>
          </w:tcPr>
          <w:p w14:paraId="2F4EECF3" w14:textId="671CEAB5" w:rsidR="001625D3" w:rsidRPr="00C71189" w:rsidRDefault="001625D3" w:rsidP="001625D3">
            <w:pPr>
              <w:pStyle w:val="naisc"/>
              <w:spacing w:before="0" w:after="0"/>
              <w:rPr>
                <w:b/>
                <w:bCs/>
              </w:rPr>
            </w:pPr>
            <w:r w:rsidRPr="00C71189">
              <w:rPr>
                <w:b/>
                <w:bCs/>
              </w:rPr>
              <w:t>Biedrības “Latvijas siltumuzņēmumu asociācija” 14.06.2021. viedoklis</w:t>
            </w:r>
          </w:p>
        </w:tc>
      </w:tr>
      <w:tr w:rsidR="001625D3" w:rsidRPr="00C71189" w14:paraId="3D2444D6"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4F3D8956" w14:textId="77777777" w:rsidR="001625D3" w:rsidRPr="00C71189" w:rsidRDefault="001625D3" w:rsidP="001625D3">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5BD0B691" w14:textId="77777777" w:rsidR="001625D3" w:rsidRPr="00C71189" w:rsidRDefault="001625D3" w:rsidP="001625D3">
            <w:pPr>
              <w:pStyle w:val="NoSpacing"/>
              <w:rPr>
                <w:b/>
                <w:bCs/>
                <w:szCs w:val="24"/>
              </w:rPr>
            </w:pPr>
            <w:r w:rsidRPr="00C71189">
              <w:rPr>
                <w:b/>
                <w:bCs/>
                <w:szCs w:val="24"/>
              </w:rPr>
              <w:t>Likumprojekta 12. un 26. pants:</w:t>
            </w:r>
          </w:p>
          <w:p w14:paraId="70F8B4D6" w14:textId="77777777" w:rsidR="001625D3" w:rsidRPr="00C71189" w:rsidRDefault="001625D3" w:rsidP="001625D3">
            <w:pPr>
              <w:pStyle w:val="NormalWeb"/>
              <w:spacing w:before="0" w:after="0"/>
              <w:jc w:val="both"/>
            </w:pPr>
            <w:r w:rsidRPr="00C71189">
              <w:t>12. Aizstāt 14.</w:t>
            </w:r>
            <w:r w:rsidRPr="00C71189">
              <w:rPr>
                <w:vertAlign w:val="superscript"/>
              </w:rPr>
              <w:t>1</w:t>
            </w:r>
            <w:r w:rsidRPr="00C71189">
              <w:t> pantā apzīmējumu “PM</w:t>
            </w:r>
            <w:r w:rsidRPr="00C71189">
              <w:rPr>
                <w:vertAlign w:val="subscript"/>
              </w:rPr>
              <w:t>10</w:t>
            </w:r>
            <w:r w:rsidRPr="00C71189">
              <w:t xml:space="preserve">” ar apzīmējumu “PM”. </w:t>
            </w:r>
          </w:p>
          <w:p w14:paraId="103E5F9E" w14:textId="77777777" w:rsidR="001625D3" w:rsidRPr="00C71189" w:rsidRDefault="001625D3" w:rsidP="001625D3">
            <w:pPr>
              <w:pStyle w:val="NoSpacing"/>
              <w:rPr>
                <w:szCs w:val="24"/>
              </w:rPr>
            </w:pPr>
            <w:r w:rsidRPr="00C71189">
              <w:rPr>
                <w:szCs w:val="24"/>
              </w:rPr>
              <w:t>26. Aizstāt 4. pielikuma 3. punktā apzīmējumu “PM</w:t>
            </w:r>
            <w:r w:rsidRPr="00C71189">
              <w:rPr>
                <w:szCs w:val="24"/>
                <w:vertAlign w:val="subscript"/>
              </w:rPr>
              <w:t>10</w:t>
            </w:r>
            <w:r w:rsidRPr="00C71189">
              <w:rPr>
                <w:szCs w:val="24"/>
              </w:rPr>
              <w:t>” ar apzīmējumu “PM”</w:t>
            </w:r>
          </w:p>
          <w:p w14:paraId="06CA7785" w14:textId="77777777" w:rsidR="001625D3" w:rsidRPr="00C71189" w:rsidRDefault="001625D3" w:rsidP="001625D3">
            <w:pPr>
              <w:spacing w:before="120"/>
              <w:jc w:val="both"/>
              <w:rPr>
                <w:b/>
                <w:bCs/>
              </w:rPr>
            </w:pP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6B04EB9E" w14:textId="4B71E6B0" w:rsidR="001625D3" w:rsidRPr="00C71189" w:rsidRDefault="001625D3" w:rsidP="001625D3">
            <w:pPr>
              <w:pStyle w:val="Default"/>
              <w:jc w:val="both"/>
              <w:rPr>
                <w:rFonts w:ascii="Times New Roman" w:hAnsi="Times New Roman" w:cs="Times New Roman"/>
                <w:iCs/>
                <w:color w:val="auto"/>
              </w:rPr>
            </w:pPr>
            <w:r w:rsidRPr="00C71189">
              <w:rPr>
                <w:rFonts w:ascii="Times New Roman" w:hAnsi="Times New Roman" w:cs="Times New Roman"/>
                <w:iCs/>
                <w:color w:val="auto"/>
              </w:rPr>
              <w:t>Izvērtējot spēkā esošo normatīvo aktu prasības un Likumprojektā paredzēto, saredzam, ka tiek veidots dubults nodokļu slogs par PM cietajām daļiņām, kas var samazināt centralizētās siltumapgādes (</w:t>
            </w:r>
            <w:r>
              <w:rPr>
                <w:rFonts w:ascii="Times New Roman" w:hAnsi="Times New Roman" w:cs="Times New Roman"/>
                <w:iCs/>
                <w:color w:val="auto"/>
              </w:rPr>
              <w:t xml:space="preserve">turpmāk - </w:t>
            </w:r>
            <w:r w:rsidRPr="00C71189">
              <w:rPr>
                <w:rFonts w:ascii="Times New Roman" w:hAnsi="Times New Roman" w:cs="Times New Roman"/>
                <w:iCs/>
                <w:color w:val="auto"/>
              </w:rPr>
              <w:t xml:space="preserve">CSA) uzņēmumu konkurētspēju. Tāpat vēlamies uzsvērt, ka nozares uzņēmumi aktīvi strādā pie jaunu, videi draudzīgāku tehnoloģiju ieviešanas. Projekti tiek realizēti, gan izmantojot </w:t>
            </w:r>
            <w:r>
              <w:rPr>
                <w:rFonts w:ascii="Times New Roman" w:hAnsi="Times New Roman" w:cs="Times New Roman"/>
                <w:iCs/>
                <w:color w:val="auto"/>
              </w:rPr>
              <w:t>Eiropas Savienības Kohēzijas fonda</w:t>
            </w:r>
            <w:r w:rsidRPr="00C71189">
              <w:rPr>
                <w:rFonts w:ascii="Times New Roman" w:hAnsi="Times New Roman" w:cs="Times New Roman"/>
                <w:iCs/>
                <w:color w:val="auto"/>
              </w:rPr>
              <w:t xml:space="preserve"> programmas, gan pašu līdzekļus.  </w:t>
            </w:r>
          </w:p>
          <w:p w14:paraId="2057EF01" w14:textId="7FF5D36C" w:rsidR="001625D3" w:rsidRPr="00C71189" w:rsidRDefault="001625D3" w:rsidP="001625D3">
            <w:pPr>
              <w:pStyle w:val="Default"/>
              <w:jc w:val="both"/>
              <w:rPr>
                <w:rFonts w:ascii="Times New Roman" w:hAnsi="Times New Roman" w:cs="Times New Roman"/>
                <w:iCs/>
                <w:color w:val="auto"/>
              </w:rPr>
            </w:pPr>
            <w:r w:rsidRPr="00C71189">
              <w:rPr>
                <w:rFonts w:ascii="Times New Roman" w:hAnsi="Times New Roman" w:cs="Times New Roman"/>
                <w:iCs/>
                <w:color w:val="auto"/>
              </w:rPr>
              <w:t>2020. gada 16. aprīlī stājās spēkā “Gaisa piesārņojuma samazināšanas rīcības plāns 2020.-2030. gadam”, kur esošās situācijas aprakstā par daļiņu PM</w:t>
            </w:r>
            <w:r w:rsidRPr="00C71189">
              <w:rPr>
                <w:rFonts w:ascii="Times New Roman" w:hAnsi="Times New Roman" w:cs="Times New Roman"/>
                <w:iCs/>
                <w:color w:val="auto"/>
                <w:vertAlign w:val="subscript"/>
              </w:rPr>
              <w:t xml:space="preserve">2,5 </w:t>
            </w:r>
            <w:r w:rsidRPr="00C71189">
              <w:rPr>
                <w:rFonts w:ascii="Times New Roman" w:hAnsi="Times New Roman" w:cs="Times New Roman"/>
                <w:iCs/>
                <w:color w:val="auto"/>
              </w:rPr>
              <w:t xml:space="preserve">emisijām minēts, ka galvenie daļiņu avoti Latvijā 2016. gadā bijuši pakalpojumu un mājsaimniecību sektors (59%), kur emisijas rodas no biomasas sadedzināšanas apkurei. Vēlamies norādīt, ka prasību apmēram attiecībā uz ietekmi uz vidi ir jābūt līdzvērtīgam kā lielajiem ražotājiem, tā arī mājsaimniecībās un pakalpojumu sektorā izmantotajām tehnoloģijām. </w:t>
            </w:r>
            <w:r>
              <w:rPr>
                <w:rFonts w:ascii="Times New Roman" w:hAnsi="Times New Roman" w:cs="Times New Roman"/>
                <w:iCs/>
                <w:color w:val="auto"/>
              </w:rPr>
              <w:t xml:space="preserve">Biedrības </w:t>
            </w:r>
            <w:r w:rsidRPr="00C71189">
              <w:rPr>
                <w:rFonts w:ascii="Times New Roman" w:hAnsi="Times New Roman" w:cs="Times New Roman"/>
                <w:iCs/>
                <w:color w:val="auto"/>
              </w:rPr>
              <w:t xml:space="preserve">ieskatā, līdzvērtīgs  nodokļu slogs  sekmētu jaunu, efektīvāku tehnoloģiju ieviešanu mājsaimniecību sektorā un sekmētu mājsaimniecības un pakalpojumu sektora pārstāvju pieslēgšanos CSA vai bezemisiju tehnoloģiju ieviešanu. Šobrīd mājsaimniecību sektorā netiek veikta emisiju kontrole un tas ir pilnībā atbrīvots no </w:t>
            </w:r>
            <w:r>
              <w:rPr>
                <w:rFonts w:ascii="Times New Roman" w:hAnsi="Times New Roman" w:cs="Times New Roman"/>
                <w:iCs/>
                <w:color w:val="auto"/>
              </w:rPr>
              <w:t>dabas resursu nodokļa</w:t>
            </w:r>
            <w:r w:rsidRPr="00C71189">
              <w:rPr>
                <w:rFonts w:ascii="Times New Roman" w:hAnsi="Times New Roman" w:cs="Times New Roman"/>
                <w:iCs/>
                <w:color w:val="auto"/>
              </w:rPr>
              <w:t xml:space="preserve">. </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74E0973D" w14:textId="27784EE8" w:rsidR="001625D3" w:rsidRPr="008067E8" w:rsidRDefault="001625D3" w:rsidP="001625D3">
            <w:pPr>
              <w:pStyle w:val="naisc"/>
              <w:spacing w:before="0" w:after="0" w:line="259" w:lineRule="auto"/>
              <w:jc w:val="both"/>
              <w:rPr>
                <w:b/>
                <w:bCs/>
              </w:rPr>
            </w:pPr>
            <w:r w:rsidRPr="008067E8">
              <w:rPr>
                <w:b/>
                <w:bCs/>
              </w:rPr>
              <w:t>Nav ņemts vērā.</w:t>
            </w:r>
          </w:p>
          <w:p w14:paraId="6878A9FD" w14:textId="7B21393F" w:rsidR="001625D3" w:rsidRPr="00C71189" w:rsidRDefault="001625D3" w:rsidP="001625D3">
            <w:pPr>
              <w:pStyle w:val="naisc"/>
              <w:spacing w:before="0" w:after="0"/>
              <w:jc w:val="both"/>
            </w:pPr>
            <w:r w:rsidRPr="00C71189">
              <w:t>Saskaņā ar Dabas resursu nodokļa likuma 3.</w:t>
            </w:r>
            <w:r>
              <w:t> </w:t>
            </w:r>
            <w:r w:rsidRPr="00C71189">
              <w:t>panta pirmās daļas 1.</w:t>
            </w:r>
            <w:r>
              <w:t> </w:t>
            </w:r>
            <w:r w:rsidRPr="00C71189">
              <w:t>punktu nodokļa maksātājs ir persona, kura ir saņēmusi vai kurai saskaņā ar vides aizsardzības vai zemes dzīļu izmantošanas normatīvajiem aktiem bija pienākums saņemt vides aizsardzības normatīvajos aktos noteikto atļauju, licenci vai reģistrēt C kategorijas piesārņojošu darbību.</w:t>
            </w:r>
          </w:p>
        </w:tc>
      </w:tr>
      <w:tr w:rsidR="001625D3" w:rsidRPr="00C71189" w14:paraId="718E26D5" w14:textId="77777777" w:rsidTr="00657982">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50895B0F" w14:textId="77777777" w:rsidR="001625D3" w:rsidRPr="00C71189" w:rsidRDefault="001625D3" w:rsidP="001625D3">
            <w:pPr>
              <w:pStyle w:val="naisc"/>
              <w:numPr>
                <w:ilvl w:val="1"/>
                <w:numId w:val="21"/>
              </w:numPr>
              <w:spacing w:before="0" w:after="0"/>
              <w:ind w:left="361" w:right="317"/>
              <w:jc w:val="left"/>
            </w:pPr>
          </w:p>
        </w:tc>
        <w:tc>
          <w:tcPr>
            <w:tcW w:w="14009" w:type="dxa"/>
            <w:gridSpan w:val="3"/>
            <w:tcBorders>
              <w:top w:val="single" w:sz="6" w:space="0" w:color="000000" w:themeColor="text1"/>
              <w:left w:val="single" w:sz="6" w:space="0" w:color="000000" w:themeColor="text1"/>
              <w:bottom w:val="single" w:sz="6" w:space="0" w:color="000000" w:themeColor="text1"/>
              <w:right w:val="single" w:sz="4" w:space="0" w:color="auto"/>
            </w:tcBorders>
            <w:shd w:val="clear" w:color="auto" w:fill="DBDBDB" w:themeFill="accent3" w:themeFillTint="66"/>
          </w:tcPr>
          <w:p w14:paraId="3E5C2F44" w14:textId="66F1D8B2" w:rsidR="001625D3" w:rsidRPr="00C71189" w:rsidRDefault="001625D3" w:rsidP="001625D3">
            <w:pPr>
              <w:pStyle w:val="naisc"/>
              <w:spacing w:before="0" w:after="0"/>
              <w:rPr>
                <w:b/>
                <w:bCs/>
              </w:rPr>
            </w:pPr>
            <w:r w:rsidRPr="00C71189">
              <w:rPr>
                <w:b/>
                <w:bCs/>
              </w:rPr>
              <w:t>Biedrības “Latvijas Riepu apsaimniekošanas asociācija” 14.06.2021. viedoklis</w:t>
            </w:r>
          </w:p>
        </w:tc>
      </w:tr>
      <w:tr w:rsidR="001625D3" w:rsidRPr="00C71189" w14:paraId="6EF596D9" w14:textId="77777777" w:rsidTr="00D942F6">
        <w:tc>
          <w:tcPr>
            <w:tcW w:w="627"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6F4B4CD3" w14:textId="77777777" w:rsidR="001625D3" w:rsidRPr="00C71189" w:rsidRDefault="001625D3" w:rsidP="001625D3">
            <w:pPr>
              <w:pStyle w:val="naisc"/>
              <w:numPr>
                <w:ilvl w:val="1"/>
                <w:numId w:val="21"/>
              </w:numPr>
              <w:spacing w:before="0" w:after="0"/>
              <w:ind w:left="361" w:right="317"/>
              <w:jc w:val="left"/>
            </w:pP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tcPr>
          <w:p w14:paraId="5983531A" w14:textId="05F6C62A" w:rsidR="001625D3" w:rsidRPr="00C71189" w:rsidRDefault="001625D3" w:rsidP="001625D3">
            <w:pPr>
              <w:spacing w:before="120"/>
              <w:jc w:val="both"/>
              <w:rPr>
                <w:b/>
                <w:bCs/>
              </w:rPr>
            </w:pPr>
            <w:r w:rsidRPr="00C71189">
              <w:rPr>
                <w:b/>
                <w:bCs/>
              </w:rPr>
              <w:t>Vispārīgi.</w:t>
            </w:r>
          </w:p>
          <w:p w14:paraId="36CF262D" w14:textId="424ADF67" w:rsidR="001625D3" w:rsidRPr="00C71189" w:rsidRDefault="001625D3" w:rsidP="001625D3">
            <w:pPr>
              <w:spacing w:before="120"/>
              <w:jc w:val="both"/>
              <w:rPr>
                <w:b/>
                <w:bCs/>
              </w:rPr>
            </w:pPr>
          </w:p>
        </w:tc>
        <w:tc>
          <w:tcPr>
            <w:tcW w:w="6266" w:type="dxa"/>
            <w:tcBorders>
              <w:top w:val="single" w:sz="6" w:space="0" w:color="000000" w:themeColor="text1"/>
              <w:left w:val="single" w:sz="4" w:space="0" w:color="auto"/>
              <w:bottom w:val="single" w:sz="6" w:space="0" w:color="000000" w:themeColor="text1"/>
            </w:tcBorders>
            <w:shd w:val="clear" w:color="auto" w:fill="auto"/>
          </w:tcPr>
          <w:p w14:paraId="43F85900" w14:textId="637F2F67" w:rsidR="001625D3" w:rsidRPr="00C71189" w:rsidRDefault="001625D3" w:rsidP="001625D3">
            <w:pPr>
              <w:pStyle w:val="naisc"/>
              <w:spacing w:before="0" w:after="0"/>
              <w:jc w:val="both"/>
              <w:rPr>
                <w:b/>
                <w:bCs/>
              </w:rPr>
            </w:pPr>
            <w:r w:rsidRPr="00C71189">
              <w:t xml:space="preserve">1. Atbalstām </w:t>
            </w:r>
            <w:r>
              <w:t>l</w:t>
            </w:r>
            <w:r w:rsidRPr="00C71189">
              <w:t xml:space="preserve">ikumprojektā ietverto noteikumu, kas </w:t>
            </w:r>
            <w:r>
              <w:t>dabas resursu nodokļa</w:t>
            </w:r>
            <w:r w:rsidRPr="00C71189">
              <w:t xml:space="preserve"> maksātāju lokā iekļauj tās personas, kas reģistrē transportlīdzekli, uz kuru neattiecas Nolietotu transportlīdzekļu apsaimniekošanas likuma 3. panta pirmā daļa. Tomēr vienlaikus nepieciešams risināt arī situāciju ar traktortehnikas riepām.</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4ABD60B2" w14:textId="2D83FBFF" w:rsidR="001625D3" w:rsidRPr="00C71189" w:rsidRDefault="001625D3" w:rsidP="001625D3">
            <w:pPr>
              <w:pStyle w:val="naisc"/>
              <w:spacing w:before="0" w:after="0"/>
              <w:jc w:val="both"/>
            </w:pPr>
            <w:r w:rsidRPr="00C71189">
              <w:t>VARAM pieņem zināšanai sniegto viedokli, vienlaikus norāda, ka tas nav attiecināms uz likumprojektu.</w:t>
            </w:r>
          </w:p>
          <w:p w14:paraId="297B27DF" w14:textId="737D2C90" w:rsidR="001625D3" w:rsidRPr="00C71189" w:rsidRDefault="001625D3" w:rsidP="001625D3">
            <w:pPr>
              <w:pStyle w:val="naisc"/>
              <w:spacing w:before="0" w:after="0"/>
              <w:jc w:val="both"/>
            </w:pPr>
          </w:p>
        </w:tc>
      </w:tr>
      <w:tr w:rsidR="001625D3" w:rsidRPr="00C71189" w14:paraId="7CF60D3D" w14:textId="77777777" w:rsidTr="00D942F6">
        <w:tc>
          <w:tcPr>
            <w:tcW w:w="627"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68638E01" w14:textId="77777777" w:rsidR="001625D3" w:rsidRPr="00C71189" w:rsidRDefault="001625D3" w:rsidP="001625D3">
            <w:pPr>
              <w:pStyle w:val="naisc"/>
              <w:numPr>
                <w:ilvl w:val="1"/>
                <w:numId w:val="21"/>
              </w:numPr>
              <w:spacing w:before="0" w:after="0"/>
              <w:ind w:left="361" w:right="317"/>
              <w:jc w:val="left"/>
            </w:pPr>
          </w:p>
        </w:tc>
        <w:tc>
          <w:tcPr>
            <w:tcW w:w="2687" w:type="dxa"/>
            <w:vMerge/>
            <w:tcBorders>
              <w:top w:val="single" w:sz="4" w:space="0" w:color="auto"/>
              <w:left w:val="single" w:sz="4" w:space="0" w:color="auto"/>
              <w:bottom w:val="single" w:sz="4" w:space="0" w:color="auto"/>
              <w:right w:val="single" w:sz="4" w:space="0" w:color="auto"/>
            </w:tcBorders>
          </w:tcPr>
          <w:p w14:paraId="4E4BAF9A" w14:textId="6C7067C8" w:rsidR="001625D3" w:rsidRPr="00C71189" w:rsidRDefault="001625D3" w:rsidP="001625D3">
            <w:pPr>
              <w:spacing w:before="120"/>
              <w:jc w:val="both"/>
              <w:rPr>
                <w:b/>
                <w:bCs/>
              </w:rPr>
            </w:pPr>
          </w:p>
        </w:tc>
        <w:tc>
          <w:tcPr>
            <w:tcW w:w="6266" w:type="dxa"/>
            <w:tcBorders>
              <w:top w:val="single" w:sz="6" w:space="0" w:color="000000" w:themeColor="text1"/>
              <w:left w:val="single" w:sz="4" w:space="0" w:color="auto"/>
              <w:bottom w:val="single" w:sz="6" w:space="0" w:color="000000" w:themeColor="text1"/>
            </w:tcBorders>
            <w:shd w:val="clear" w:color="auto" w:fill="auto"/>
          </w:tcPr>
          <w:p w14:paraId="489C8EB9" w14:textId="52F01C3F" w:rsidR="001625D3" w:rsidRPr="00C71189" w:rsidRDefault="001625D3" w:rsidP="001625D3">
            <w:pPr>
              <w:pStyle w:val="naisc"/>
              <w:spacing w:before="0" w:after="0"/>
              <w:jc w:val="both"/>
              <w:rPr>
                <w:b/>
                <w:bCs/>
              </w:rPr>
            </w:pPr>
            <w:r w:rsidRPr="00C71189">
              <w:t>2. Aicinām riepas uz transportlīdzekļiem, uz kuriem attiecas Nolietotu transportlīdzekļu apsaimniekošanas likuma 3.</w:t>
            </w:r>
            <w:r>
              <w:t xml:space="preserve"> </w:t>
            </w:r>
            <w:r w:rsidRPr="00C71189">
              <w:t xml:space="preserve">panta pirmā daļa, noteikt kā atsevišķu </w:t>
            </w:r>
            <w:r>
              <w:t>dabas resursu nodokļa</w:t>
            </w:r>
            <w:r w:rsidRPr="00C71189">
              <w:t xml:space="preserve"> objektu;</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3F886BD4" w14:textId="0612BB9A" w:rsidR="001625D3" w:rsidRPr="00501228" w:rsidRDefault="001625D3" w:rsidP="001625D3">
            <w:pPr>
              <w:pStyle w:val="naisc"/>
              <w:spacing w:before="0" w:after="0"/>
              <w:jc w:val="both"/>
              <w:rPr>
                <w:b/>
                <w:bCs/>
              </w:rPr>
            </w:pPr>
            <w:r w:rsidRPr="00501228">
              <w:rPr>
                <w:b/>
                <w:bCs/>
              </w:rPr>
              <w:t>Nav ņemts vērā.</w:t>
            </w:r>
          </w:p>
          <w:p w14:paraId="391C18A3" w14:textId="250149F5" w:rsidR="001625D3" w:rsidRPr="00C71189" w:rsidRDefault="001625D3" w:rsidP="001625D3">
            <w:pPr>
              <w:pStyle w:val="naisc"/>
              <w:spacing w:before="0" w:after="0"/>
              <w:jc w:val="both"/>
            </w:pPr>
            <w:r w:rsidRPr="00C71189">
              <w:t>Ievērojot, ka par transportlīdzekļiem (ietvero</w:t>
            </w:r>
            <w:r>
              <w:t>t</w:t>
            </w:r>
            <w:r w:rsidRPr="00C71189">
              <w:t xml:space="preserve"> arī riepas), uz kuriem attiecas Nolietotu transportlīdzekļu apsaimniekošanas likuma 3.</w:t>
            </w:r>
            <w:r>
              <w:t xml:space="preserve"> </w:t>
            </w:r>
            <w:r w:rsidRPr="00C71189">
              <w:lastRenderedPageBreak/>
              <w:t>panta pirmā daļa, jau tiek maksāts dabas resursu nodoklis, nav paredzēts minētās riepas noteikt kā atsevišķu nodokļa objektu.</w:t>
            </w:r>
          </w:p>
        </w:tc>
      </w:tr>
      <w:tr w:rsidR="001625D3" w:rsidRPr="00C71189" w14:paraId="3031A011" w14:textId="77777777" w:rsidTr="00D942F6">
        <w:tc>
          <w:tcPr>
            <w:tcW w:w="627"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72FA7346" w14:textId="77777777" w:rsidR="001625D3" w:rsidRPr="00C71189" w:rsidRDefault="001625D3" w:rsidP="001625D3">
            <w:pPr>
              <w:pStyle w:val="naisc"/>
              <w:numPr>
                <w:ilvl w:val="1"/>
                <w:numId w:val="21"/>
              </w:numPr>
              <w:spacing w:before="0" w:after="0"/>
              <w:ind w:left="361" w:right="317"/>
              <w:jc w:val="left"/>
            </w:pPr>
          </w:p>
        </w:tc>
        <w:tc>
          <w:tcPr>
            <w:tcW w:w="2687" w:type="dxa"/>
            <w:vMerge/>
            <w:tcBorders>
              <w:top w:val="single" w:sz="4" w:space="0" w:color="auto"/>
              <w:left w:val="single" w:sz="4" w:space="0" w:color="auto"/>
              <w:bottom w:val="single" w:sz="4" w:space="0" w:color="auto"/>
              <w:right w:val="single" w:sz="4" w:space="0" w:color="auto"/>
            </w:tcBorders>
          </w:tcPr>
          <w:p w14:paraId="0D253F8A" w14:textId="7464E00B" w:rsidR="001625D3" w:rsidRPr="00C71189" w:rsidRDefault="001625D3" w:rsidP="001625D3">
            <w:pPr>
              <w:spacing w:before="120"/>
              <w:jc w:val="both"/>
              <w:rPr>
                <w:b/>
                <w:bCs/>
              </w:rPr>
            </w:pPr>
          </w:p>
        </w:tc>
        <w:tc>
          <w:tcPr>
            <w:tcW w:w="6266"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Pr>
          <w:p w14:paraId="69035564" w14:textId="14A15EF4" w:rsidR="001625D3" w:rsidRPr="00C71189" w:rsidRDefault="001625D3" w:rsidP="001625D3">
            <w:pPr>
              <w:pStyle w:val="naisc"/>
              <w:spacing w:before="0" w:after="0"/>
              <w:jc w:val="both"/>
              <w:rPr>
                <w:b/>
                <w:bCs/>
              </w:rPr>
            </w:pPr>
            <w:r w:rsidRPr="00C71189">
              <w:t xml:space="preserve">3. Aicinām noteikt, ka VAS “Ceļu satiksmes drošības direkcija” </w:t>
            </w:r>
            <w:r>
              <w:t xml:space="preserve">(turpmāk – </w:t>
            </w:r>
            <w:r w:rsidRPr="00C71189">
              <w:t>CSDD</w:t>
            </w:r>
            <w:r>
              <w:t>)</w:t>
            </w:r>
            <w:r w:rsidRPr="00C71189">
              <w:t xml:space="preserve"> iekasē </w:t>
            </w:r>
            <w:r>
              <w:t>dabas resursu nodokli</w:t>
            </w:r>
            <w:r w:rsidRPr="00C71189">
              <w:t xml:space="preserve"> atsevišķi par riepām uz transportlīdzekļiem, kā arī paredzēt, ka, balstoties uz CSDD sniegtajiem datiem par riepu apjomiem, par kuriem iekasēts nodoklis, finansējums atbilstošā apmērā tiek novirzīts pie ražotāju atbildības sistēmām, kas nodrošina riepu apsaimniekošanu;</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3FEFC960" w14:textId="2D83FBFF" w:rsidR="001625D3" w:rsidRPr="00C71189" w:rsidRDefault="001625D3" w:rsidP="001625D3">
            <w:pPr>
              <w:pStyle w:val="naisc"/>
              <w:spacing w:before="0" w:after="0"/>
              <w:jc w:val="both"/>
            </w:pPr>
            <w:r w:rsidRPr="00C71189">
              <w:t>VARAM pieņem zināšanai sniegto viedokli, vienlaikus norāda, ka tas nav attiecināms uz likumprojektu.</w:t>
            </w:r>
          </w:p>
          <w:p w14:paraId="1D188072" w14:textId="352DD755" w:rsidR="001625D3" w:rsidRPr="00C71189" w:rsidRDefault="001625D3" w:rsidP="001625D3">
            <w:pPr>
              <w:pStyle w:val="naisc"/>
              <w:spacing w:before="0" w:after="0"/>
              <w:jc w:val="both"/>
            </w:pPr>
          </w:p>
          <w:p w14:paraId="698B8C71" w14:textId="628DF45A" w:rsidR="001625D3" w:rsidRPr="00C71189" w:rsidRDefault="001625D3" w:rsidP="001625D3">
            <w:pPr>
              <w:pStyle w:val="naisc"/>
              <w:spacing w:before="0" w:after="0"/>
              <w:jc w:val="both"/>
            </w:pPr>
          </w:p>
        </w:tc>
      </w:tr>
      <w:tr w:rsidR="001625D3" w:rsidRPr="00C71189" w14:paraId="4D942AD7" w14:textId="77777777" w:rsidTr="00D942F6">
        <w:tc>
          <w:tcPr>
            <w:tcW w:w="627"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53035B7D" w14:textId="77777777" w:rsidR="001625D3" w:rsidRPr="00C71189" w:rsidRDefault="001625D3" w:rsidP="001625D3">
            <w:pPr>
              <w:pStyle w:val="naisc"/>
              <w:numPr>
                <w:ilvl w:val="1"/>
                <w:numId w:val="21"/>
              </w:numPr>
              <w:spacing w:before="0" w:after="0"/>
              <w:ind w:left="361" w:right="317"/>
              <w:jc w:val="left"/>
            </w:pPr>
          </w:p>
        </w:tc>
        <w:tc>
          <w:tcPr>
            <w:tcW w:w="2687" w:type="dxa"/>
            <w:vMerge/>
            <w:tcBorders>
              <w:top w:val="single" w:sz="4" w:space="0" w:color="auto"/>
              <w:left w:val="single" w:sz="4" w:space="0" w:color="auto"/>
              <w:bottom w:val="single" w:sz="4" w:space="0" w:color="auto"/>
              <w:right w:val="single" w:sz="4" w:space="0" w:color="auto"/>
            </w:tcBorders>
          </w:tcPr>
          <w:p w14:paraId="42D99E1B" w14:textId="4C9EA457" w:rsidR="001625D3" w:rsidRPr="00C71189" w:rsidRDefault="001625D3" w:rsidP="001625D3">
            <w:pPr>
              <w:spacing w:before="120"/>
              <w:jc w:val="both"/>
              <w:rPr>
                <w:b/>
                <w:bCs/>
              </w:rPr>
            </w:pPr>
          </w:p>
        </w:tc>
        <w:tc>
          <w:tcPr>
            <w:tcW w:w="6266"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Pr>
          <w:p w14:paraId="31934787" w14:textId="388D7432" w:rsidR="001625D3" w:rsidRPr="00C71189" w:rsidRDefault="001625D3" w:rsidP="001625D3">
            <w:pPr>
              <w:pStyle w:val="naisc"/>
              <w:spacing w:before="0" w:after="0"/>
              <w:jc w:val="both"/>
              <w:rPr>
                <w:b/>
                <w:bCs/>
              </w:rPr>
            </w:pPr>
            <w:r w:rsidRPr="00C71189">
              <w:t>4. Aicinām noteikt CSDD kā administrējošo iestādi, pie kuras iespējams noslēgt līgumu ar kādu no apsaimniekošanas sistēmām, tādējādi novirzot par apsaimniekošanu iekasēto naudu nolietoto riepu apsaimniekošanas sistēmām.</w:t>
            </w:r>
          </w:p>
        </w:tc>
        <w:tc>
          <w:tcPr>
            <w:tcW w:w="5056" w:type="dxa"/>
            <w:tcBorders>
              <w:left w:val="single" w:sz="6" w:space="0" w:color="000000" w:themeColor="text1"/>
              <w:bottom w:val="single" w:sz="6" w:space="0" w:color="000000" w:themeColor="text1"/>
              <w:right w:val="single" w:sz="4" w:space="0" w:color="auto"/>
            </w:tcBorders>
            <w:shd w:val="clear" w:color="auto" w:fill="auto"/>
          </w:tcPr>
          <w:p w14:paraId="5E9F9B3B" w14:textId="4AC2F57E" w:rsidR="001625D3" w:rsidRPr="00C71189" w:rsidRDefault="001625D3" w:rsidP="001625D3">
            <w:pPr>
              <w:pStyle w:val="naisc"/>
              <w:spacing w:before="0" w:after="0"/>
              <w:jc w:val="both"/>
            </w:pPr>
            <w:r w:rsidRPr="00C71189">
              <w:t>VARAM pieņem zināšanai sniegto viedokli, vienlaikus norāda, ka tas nav attiecināms uz likumprojektu.</w:t>
            </w:r>
          </w:p>
          <w:p w14:paraId="7A2BD816" w14:textId="628DF45A" w:rsidR="001625D3" w:rsidRPr="00C71189" w:rsidRDefault="001625D3" w:rsidP="001625D3">
            <w:pPr>
              <w:pStyle w:val="naisc"/>
              <w:spacing w:before="0" w:after="0"/>
              <w:jc w:val="both"/>
            </w:pPr>
          </w:p>
        </w:tc>
      </w:tr>
      <w:tr w:rsidR="001625D3" w:rsidRPr="00C71189" w14:paraId="585C9556" w14:textId="77777777" w:rsidTr="00657982">
        <w:tc>
          <w:tcPr>
            <w:tcW w:w="627" w:type="dxa"/>
            <w:tcBorders>
              <w:top w:val="single" w:sz="6" w:space="0" w:color="000000" w:themeColor="text1"/>
              <w:left w:val="single" w:sz="6" w:space="0" w:color="000000" w:themeColor="text1"/>
              <w:bottom w:val="single" w:sz="6" w:space="0" w:color="000000" w:themeColor="text1"/>
            </w:tcBorders>
            <w:shd w:val="clear" w:color="auto" w:fill="DBDBDB" w:themeFill="accent3" w:themeFillTint="66"/>
          </w:tcPr>
          <w:p w14:paraId="22A55CFD" w14:textId="77777777" w:rsidR="001625D3" w:rsidRPr="00C71189" w:rsidRDefault="001625D3" w:rsidP="001625D3">
            <w:pPr>
              <w:pStyle w:val="naisc"/>
              <w:numPr>
                <w:ilvl w:val="1"/>
                <w:numId w:val="21"/>
              </w:numPr>
              <w:spacing w:before="0" w:after="0"/>
              <w:ind w:left="361" w:right="317"/>
              <w:jc w:val="left"/>
            </w:pPr>
          </w:p>
        </w:tc>
        <w:tc>
          <w:tcPr>
            <w:tcW w:w="14009" w:type="dxa"/>
            <w:gridSpan w:val="3"/>
            <w:tcBorders>
              <w:top w:val="single" w:sz="6" w:space="0" w:color="000000" w:themeColor="text1"/>
              <w:left w:val="single" w:sz="6" w:space="0" w:color="000000" w:themeColor="text1"/>
              <w:bottom w:val="single" w:sz="6" w:space="0" w:color="000000" w:themeColor="text1"/>
              <w:right w:val="single" w:sz="4" w:space="0" w:color="auto"/>
            </w:tcBorders>
            <w:shd w:val="clear" w:color="auto" w:fill="DBDBDB" w:themeFill="accent3" w:themeFillTint="66"/>
          </w:tcPr>
          <w:p w14:paraId="5BF4C5FE" w14:textId="1CBD6FDF" w:rsidR="001625D3" w:rsidRPr="00C71189" w:rsidRDefault="001625D3" w:rsidP="001625D3">
            <w:pPr>
              <w:jc w:val="center"/>
            </w:pPr>
            <w:r w:rsidRPr="00C71189">
              <w:rPr>
                <w:b/>
                <w:bCs/>
              </w:rPr>
              <w:t xml:space="preserve">Biedrību “Latvijas Pārtikas uzņēmumu federācija” un “Latvijas Alus Darītāju savienība” 14.06.2021. </w:t>
            </w:r>
            <w:r>
              <w:rPr>
                <w:b/>
                <w:bCs/>
              </w:rPr>
              <w:t xml:space="preserve">un 28.06.2021. </w:t>
            </w:r>
            <w:r w:rsidRPr="00C71189">
              <w:rPr>
                <w:b/>
                <w:bCs/>
              </w:rPr>
              <w:t>viedoklis</w:t>
            </w:r>
          </w:p>
        </w:tc>
      </w:tr>
      <w:tr w:rsidR="001625D3" w:rsidRPr="00C71189" w14:paraId="522D653A"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068FDB92" w14:textId="77777777" w:rsidR="001625D3" w:rsidRPr="00C71189" w:rsidRDefault="001625D3" w:rsidP="001625D3">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57E72038" w14:textId="71F4B766" w:rsidR="001625D3" w:rsidRPr="00C71189" w:rsidRDefault="001625D3" w:rsidP="001625D3">
            <w:pPr>
              <w:spacing w:before="120"/>
              <w:jc w:val="both"/>
              <w:rPr>
                <w:b/>
                <w:bCs/>
              </w:rPr>
            </w:pPr>
            <w:r w:rsidRPr="00C71189">
              <w:rPr>
                <w:b/>
                <w:bCs/>
              </w:rPr>
              <w:t>Vispārīgi.</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58481110" w14:textId="7CA78AE8" w:rsidR="001625D3" w:rsidRPr="008810FB" w:rsidRDefault="001625D3" w:rsidP="001625D3">
            <w:pPr>
              <w:jc w:val="both"/>
              <w:rPr>
                <w:rFonts w:eastAsia="Calibri"/>
                <w:b/>
                <w:bCs/>
              </w:rPr>
            </w:pPr>
            <w:r w:rsidRPr="008810FB">
              <w:rPr>
                <w:rFonts w:eastAsia="Calibri"/>
                <w:b/>
                <w:bCs/>
              </w:rPr>
              <w:t>14.06.2021. viedoklis:</w:t>
            </w:r>
          </w:p>
          <w:p w14:paraId="797E8756" w14:textId="1C3CC982" w:rsidR="001625D3" w:rsidRPr="008810FB" w:rsidRDefault="001625D3" w:rsidP="001625D3">
            <w:pPr>
              <w:jc w:val="both"/>
              <w:rPr>
                <w:rFonts w:eastAsia="Calibri"/>
              </w:rPr>
            </w:pPr>
            <w:r w:rsidRPr="008810FB">
              <w:rPr>
                <w:rFonts w:eastAsia="Calibri"/>
              </w:rPr>
              <w:t xml:space="preserve">Latvijas ražotāji ar bažām raugās uz </w:t>
            </w:r>
            <w:r>
              <w:rPr>
                <w:rFonts w:eastAsia="Calibri"/>
              </w:rPr>
              <w:t>l</w:t>
            </w:r>
            <w:r w:rsidRPr="008810FB">
              <w:rPr>
                <w:rFonts w:eastAsia="Calibri"/>
              </w:rPr>
              <w:t>ikumprojektā iekļautajām tiesību normām, kas radīs papildus finanšu slogu vietējiem ražotājiem.</w:t>
            </w:r>
          </w:p>
          <w:p w14:paraId="061AF232" w14:textId="42029FC3" w:rsidR="001625D3" w:rsidRPr="008810FB" w:rsidRDefault="001625D3" w:rsidP="001625D3">
            <w:pPr>
              <w:jc w:val="both"/>
              <w:rPr>
                <w:rFonts w:eastAsia="Calibri"/>
              </w:rPr>
            </w:pPr>
            <w:r w:rsidRPr="008810FB">
              <w:rPr>
                <w:rFonts w:eastAsia="Calibri"/>
              </w:rPr>
              <w:t xml:space="preserve">Sākotnēji, iepazīstoties ar </w:t>
            </w:r>
            <w:r>
              <w:rPr>
                <w:rFonts w:eastAsia="Calibri"/>
              </w:rPr>
              <w:t>l</w:t>
            </w:r>
            <w:r w:rsidRPr="008810FB">
              <w:rPr>
                <w:rFonts w:eastAsia="Calibri"/>
              </w:rPr>
              <w:t>ikumprojektu, ražotājiem ir radušies sekojoši jautājumi:</w:t>
            </w:r>
          </w:p>
          <w:p w14:paraId="52CA16B2" w14:textId="371B1C28" w:rsidR="001625D3" w:rsidRPr="008810FB" w:rsidRDefault="001625D3" w:rsidP="001625D3">
            <w:pPr>
              <w:pStyle w:val="ListParagraph"/>
              <w:numPr>
                <w:ilvl w:val="0"/>
                <w:numId w:val="13"/>
              </w:numPr>
              <w:suppressAutoHyphens w:val="0"/>
              <w:spacing w:after="0" w:line="240" w:lineRule="auto"/>
              <w:jc w:val="both"/>
              <w:rPr>
                <w:rFonts w:ascii="Times New Roman" w:eastAsia="Calibri" w:hAnsi="Times New Roman" w:cs="Times New Roman"/>
                <w:sz w:val="24"/>
                <w:szCs w:val="24"/>
              </w:rPr>
            </w:pPr>
            <w:r w:rsidRPr="008810FB">
              <w:rPr>
                <w:rFonts w:ascii="Times New Roman" w:eastAsia="Calibri" w:hAnsi="Times New Roman" w:cs="Times New Roman"/>
                <w:sz w:val="24"/>
                <w:szCs w:val="24"/>
              </w:rPr>
              <w:t xml:space="preserve">Vai, turpmāk, dalība </w:t>
            </w:r>
            <w:r>
              <w:rPr>
                <w:rFonts w:ascii="Times New Roman" w:eastAsia="Calibri" w:hAnsi="Times New Roman" w:cs="Times New Roman"/>
                <w:sz w:val="24"/>
                <w:szCs w:val="24"/>
              </w:rPr>
              <w:t>ražotāja paplašinātas atbildības sistēmā</w:t>
            </w:r>
            <w:r w:rsidRPr="008810FB">
              <w:rPr>
                <w:rFonts w:ascii="Times New Roman" w:eastAsia="Calibri" w:hAnsi="Times New Roman" w:cs="Times New Roman"/>
                <w:sz w:val="24"/>
                <w:szCs w:val="24"/>
              </w:rPr>
              <w:t xml:space="preserve"> neatbrīvos no </w:t>
            </w:r>
            <w:r>
              <w:rPr>
                <w:rFonts w:ascii="Times New Roman" w:eastAsia="Calibri" w:hAnsi="Times New Roman" w:cs="Times New Roman"/>
                <w:sz w:val="24"/>
                <w:szCs w:val="24"/>
              </w:rPr>
              <w:t>dabas resursu nodokļa</w:t>
            </w:r>
            <w:r w:rsidRPr="008810FB">
              <w:rPr>
                <w:rFonts w:ascii="Times New Roman" w:eastAsia="Calibri" w:hAnsi="Times New Roman" w:cs="Times New Roman"/>
                <w:sz w:val="24"/>
                <w:szCs w:val="24"/>
              </w:rPr>
              <w:t xml:space="preserve"> samaksas par kompozīta materiāliem un glāzēm?</w:t>
            </w:r>
          </w:p>
          <w:p w14:paraId="2DD57CC9" w14:textId="6AFB978B" w:rsidR="001625D3" w:rsidRPr="008810FB" w:rsidRDefault="001625D3" w:rsidP="001625D3">
            <w:pPr>
              <w:pStyle w:val="ListParagraph"/>
              <w:numPr>
                <w:ilvl w:val="0"/>
                <w:numId w:val="13"/>
              </w:numPr>
              <w:suppressAutoHyphens w:val="0"/>
              <w:spacing w:after="0" w:line="240" w:lineRule="auto"/>
              <w:jc w:val="both"/>
              <w:rPr>
                <w:rFonts w:ascii="Times New Roman" w:eastAsia="Calibri" w:hAnsi="Times New Roman" w:cs="Times New Roman"/>
                <w:sz w:val="24"/>
                <w:szCs w:val="24"/>
              </w:rPr>
            </w:pPr>
            <w:r w:rsidRPr="008810FB">
              <w:rPr>
                <w:rFonts w:ascii="Times New Roman" w:eastAsia="Calibri" w:hAnsi="Times New Roman" w:cs="Times New Roman"/>
                <w:sz w:val="24"/>
                <w:szCs w:val="24"/>
              </w:rPr>
              <w:t xml:space="preserve">Vai par kartonu, kas jāuzskaita atsevišķi kompozīta materiālos būs jāmaksā līdzvērtīgs </w:t>
            </w:r>
            <w:r>
              <w:rPr>
                <w:rFonts w:ascii="Times New Roman" w:eastAsia="Calibri" w:hAnsi="Times New Roman" w:cs="Times New Roman"/>
                <w:sz w:val="24"/>
                <w:szCs w:val="24"/>
              </w:rPr>
              <w:t>dabas resursu nodoklis</w:t>
            </w:r>
            <w:r w:rsidRPr="008810FB">
              <w:rPr>
                <w:rFonts w:ascii="Times New Roman" w:eastAsia="Calibri" w:hAnsi="Times New Roman" w:cs="Times New Roman"/>
                <w:sz w:val="24"/>
                <w:szCs w:val="24"/>
              </w:rPr>
              <w:t xml:space="preserve"> plastmasai?</w:t>
            </w:r>
          </w:p>
          <w:p w14:paraId="722107DA" w14:textId="47682C73" w:rsidR="001625D3" w:rsidRPr="008810FB" w:rsidRDefault="001625D3" w:rsidP="001625D3">
            <w:pPr>
              <w:pStyle w:val="ListParagraph"/>
              <w:numPr>
                <w:ilvl w:val="0"/>
                <w:numId w:val="13"/>
              </w:numPr>
              <w:suppressAutoHyphens w:val="0"/>
              <w:spacing w:after="0" w:line="240" w:lineRule="auto"/>
              <w:jc w:val="both"/>
              <w:rPr>
                <w:rFonts w:ascii="Times New Roman" w:eastAsia="Calibri" w:hAnsi="Times New Roman" w:cs="Times New Roman"/>
                <w:sz w:val="24"/>
                <w:szCs w:val="24"/>
              </w:rPr>
            </w:pPr>
            <w:r w:rsidRPr="008810FB">
              <w:rPr>
                <w:rFonts w:ascii="Times New Roman" w:eastAsia="Calibri" w:hAnsi="Times New Roman" w:cs="Times New Roman"/>
                <w:sz w:val="24"/>
                <w:szCs w:val="24"/>
              </w:rPr>
              <w:t xml:space="preserve">Kā dalība depozīta sistēmā ietekmēs atbrīvojumu no </w:t>
            </w:r>
            <w:r>
              <w:rPr>
                <w:rFonts w:ascii="Times New Roman" w:eastAsia="Calibri" w:hAnsi="Times New Roman" w:cs="Times New Roman"/>
                <w:sz w:val="24"/>
                <w:szCs w:val="24"/>
              </w:rPr>
              <w:t>dabas resursu nodokļa</w:t>
            </w:r>
            <w:r w:rsidRPr="008810FB">
              <w:rPr>
                <w:rFonts w:ascii="Times New Roman" w:eastAsia="Calibri" w:hAnsi="Times New Roman" w:cs="Times New Roman"/>
                <w:sz w:val="24"/>
                <w:szCs w:val="24"/>
              </w:rPr>
              <w:t xml:space="preserve"> samaksas?</w:t>
            </w:r>
          </w:p>
          <w:p w14:paraId="17164AC8" w14:textId="178D56DC" w:rsidR="001625D3" w:rsidRPr="008810FB" w:rsidRDefault="001625D3" w:rsidP="001625D3">
            <w:pPr>
              <w:jc w:val="both"/>
              <w:rPr>
                <w:rFonts w:eastAsia="Calibri"/>
              </w:rPr>
            </w:pPr>
            <w:r w:rsidRPr="008810FB">
              <w:rPr>
                <w:rFonts w:eastAsia="Calibri"/>
              </w:rPr>
              <w:t xml:space="preserve">Atsaucoties uz augstāk minēto, uzskatām, ka būtu nepieciešams organizēt tiešsaistes sanāksmi starp VARAM un pārtikas un dzērienu ražotāju organizācijām (Latvijas Pārtikas uzņēmumu federāciju, Latvijas Alus Darītāju savienību), lai izdiskutētu </w:t>
            </w:r>
            <w:r w:rsidRPr="008810FB">
              <w:rPr>
                <w:rFonts w:eastAsia="Calibri"/>
              </w:rPr>
              <w:lastRenderedPageBreak/>
              <w:t xml:space="preserve">augstāk minētos un citus jautājumus, kā arī </w:t>
            </w:r>
            <w:r>
              <w:rPr>
                <w:rFonts w:eastAsia="Calibri"/>
              </w:rPr>
              <w:t>l</w:t>
            </w:r>
            <w:r w:rsidRPr="008810FB">
              <w:rPr>
                <w:rFonts w:eastAsia="Calibri"/>
              </w:rPr>
              <w:t>ikumprojektā iekļautās normas.</w:t>
            </w:r>
          </w:p>
          <w:p w14:paraId="1CB7C372" w14:textId="77777777" w:rsidR="001625D3" w:rsidRPr="008810FB" w:rsidRDefault="001625D3" w:rsidP="001625D3">
            <w:pPr>
              <w:jc w:val="both"/>
              <w:rPr>
                <w:rFonts w:eastAsia="Calibri"/>
              </w:rPr>
            </w:pPr>
          </w:p>
          <w:p w14:paraId="50D1A968" w14:textId="77777777" w:rsidR="001625D3" w:rsidRPr="008810FB" w:rsidRDefault="001625D3" w:rsidP="001625D3">
            <w:pPr>
              <w:jc w:val="both"/>
              <w:rPr>
                <w:rFonts w:eastAsia="Calibri"/>
                <w:b/>
                <w:bCs/>
              </w:rPr>
            </w:pPr>
            <w:r w:rsidRPr="008810FB">
              <w:rPr>
                <w:rFonts w:eastAsia="Calibri"/>
                <w:b/>
                <w:bCs/>
              </w:rPr>
              <w:t>28.06.2021. viedoklis:</w:t>
            </w:r>
          </w:p>
          <w:p w14:paraId="4F0B9B54" w14:textId="4365A1B8" w:rsidR="001625D3" w:rsidRPr="008810FB" w:rsidRDefault="001625D3" w:rsidP="001625D3">
            <w:pPr>
              <w:spacing w:line="240" w:lineRule="atLeast"/>
              <w:rPr>
                <w:rFonts w:cstheme="minorHAnsi"/>
                <w:i/>
                <w:iCs/>
              </w:rPr>
            </w:pPr>
            <w:r w:rsidRPr="008810FB">
              <w:rPr>
                <w:b/>
                <w:bCs/>
              </w:rPr>
              <w:t>[1.]</w:t>
            </w:r>
            <w:r w:rsidRPr="008810FB">
              <w:rPr>
                <w:sz w:val="28"/>
                <w:szCs w:val="28"/>
                <w:lang w:eastAsia="lv-LV"/>
              </w:rPr>
              <w:t xml:space="preserve"> </w:t>
            </w:r>
            <w:r w:rsidRPr="008810FB">
              <w:rPr>
                <w:rFonts w:cstheme="minorHAnsi"/>
                <w:lang w:eastAsia="lv-LV"/>
              </w:rPr>
              <w:t>Likumprojekta 5.</w:t>
            </w:r>
            <w:r>
              <w:rPr>
                <w:rFonts w:cstheme="minorHAnsi"/>
                <w:lang w:eastAsia="lv-LV"/>
              </w:rPr>
              <w:t xml:space="preserve"> </w:t>
            </w:r>
            <w:r w:rsidRPr="008810FB">
              <w:rPr>
                <w:rFonts w:cstheme="minorHAnsi"/>
                <w:lang w:eastAsia="lv-LV"/>
              </w:rPr>
              <w:t>pants</w:t>
            </w:r>
            <w:r w:rsidRPr="008810FB">
              <w:rPr>
                <w:rFonts w:cstheme="minorHAnsi"/>
              </w:rPr>
              <w:t xml:space="preserve">  paredz sekojošus grozījumus  Dabas resursu nodokļa likuma </w:t>
            </w:r>
            <w:r w:rsidRPr="009A2B3C">
              <w:rPr>
                <w:rFonts w:cstheme="minorHAnsi"/>
                <w:i/>
                <w:iCs/>
              </w:rPr>
              <w:t>8. pantā:</w:t>
            </w:r>
            <w:r w:rsidRPr="008810FB">
              <w:rPr>
                <w:rFonts w:cstheme="minorHAnsi"/>
                <w:i/>
                <w:iCs/>
              </w:rPr>
              <w:t xml:space="preserve"> </w:t>
            </w:r>
          </w:p>
          <w:p w14:paraId="0B52CBA5" w14:textId="77777777" w:rsidR="001625D3" w:rsidRPr="008810FB" w:rsidRDefault="001625D3" w:rsidP="001625D3">
            <w:pPr>
              <w:spacing w:line="240" w:lineRule="atLeast"/>
              <w:rPr>
                <w:i/>
                <w:iCs/>
              </w:rPr>
            </w:pPr>
            <w:r w:rsidRPr="008810FB">
              <w:rPr>
                <w:i/>
                <w:iCs/>
              </w:rPr>
              <w:t>”izteikt 1.</w:t>
            </w:r>
            <w:r w:rsidRPr="008810FB">
              <w:rPr>
                <w:i/>
                <w:iCs/>
                <w:vertAlign w:val="superscript"/>
              </w:rPr>
              <w:t>1</w:t>
            </w:r>
            <w:r w:rsidRPr="008810FB">
              <w:rPr>
                <w:i/>
                <w:iCs/>
              </w:rPr>
              <w:t> daļu šādā redakcijā:</w:t>
            </w:r>
          </w:p>
          <w:p w14:paraId="025B4286" w14:textId="77777777" w:rsidR="001625D3" w:rsidRPr="008810FB" w:rsidRDefault="001625D3" w:rsidP="001625D3">
            <w:pPr>
              <w:spacing w:line="240" w:lineRule="atLeast"/>
              <w:jc w:val="both"/>
              <w:rPr>
                <w:i/>
                <w:iCs/>
              </w:rPr>
            </w:pPr>
            <w:r w:rsidRPr="008810FB">
              <w:rPr>
                <w:i/>
                <w:iCs/>
              </w:rPr>
              <w:t>“(1</w:t>
            </w:r>
            <w:r w:rsidRPr="008810FB">
              <w:rPr>
                <w:i/>
                <w:iCs/>
                <w:vertAlign w:val="superscript"/>
              </w:rPr>
              <w:t>1</w:t>
            </w:r>
            <w:r w:rsidRPr="008810FB">
              <w:rPr>
                <w:i/>
                <w:iCs/>
              </w:rPr>
              <w:t>) Atbrīvojumu no nodokļa samaksas nepiemēro:</w:t>
            </w:r>
          </w:p>
          <w:p w14:paraId="0213D065" w14:textId="77777777" w:rsidR="001625D3" w:rsidRPr="008810FB" w:rsidRDefault="001625D3" w:rsidP="001625D3">
            <w:pPr>
              <w:spacing w:line="240" w:lineRule="atLeast"/>
              <w:jc w:val="both"/>
              <w:rPr>
                <w:i/>
                <w:iCs/>
              </w:rPr>
            </w:pPr>
            <w:bookmarkStart w:id="8" w:name="_Hlk71732851"/>
            <w:r w:rsidRPr="008810FB">
              <w:rPr>
                <w:i/>
                <w:iCs/>
              </w:rPr>
              <w:t>1) vienreiz lietojamām plastmasu saturošām glāzēm;</w:t>
            </w:r>
          </w:p>
          <w:p w14:paraId="09CA3482" w14:textId="3515E5E3" w:rsidR="001625D3" w:rsidRPr="008810FB" w:rsidRDefault="001625D3" w:rsidP="001625D3">
            <w:pPr>
              <w:spacing w:line="240" w:lineRule="atLeast"/>
              <w:jc w:val="both"/>
              <w:rPr>
                <w:i/>
                <w:iCs/>
              </w:rPr>
            </w:pPr>
            <w:r w:rsidRPr="008810FB">
              <w:rPr>
                <w:i/>
                <w:iCs/>
              </w:rPr>
              <w:t>2) iepakojumam no plastmasas un kompozīta iepakojumam, kura materiāla īpašības neļauj to izmantot otrreizējo izejvielu iegūšanai, kurš nav pārstrādāts vai kas nesatur pārstrādātu plastmasu;”</w:t>
            </w:r>
          </w:p>
          <w:p w14:paraId="2D4D1733" w14:textId="77777777" w:rsidR="001625D3" w:rsidRPr="008810FB" w:rsidRDefault="001625D3" w:rsidP="001625D3">
            <w:pPr>
              <w:jc w:val="both"/>
            </w:pPr>
            <w:r w:rsidRPr="008810FB">
              <w:t>Minētais grozījums pārtikas un dzērienu ražotājiem radīs ievērojamus papildus izdevumus. Saskaņā ar nozares aplēsēm dabas resursu nodokļa atbrīvojuma atcelšana tiesību  normas projektā iekļautajam iepakojumam ražotājiem radīs ievērojami lielākus zaudējumus par VARAM norādīto. Tomēr, vēlamies norādīt, ka patieso ietekmi nav iespējams aprēķināt līdz nav skaidri definēti kritēriji iepakojuma pārstrādājamībai.</w:t>
            </w:r>
          </w:p>
          <w:p w14:paraId="017FCD4F" w14:textId="77777777" w:rsidR="001625D3" w:rsidRPr="008810FB" w:rsidRDefault="001625D3" w:rsidP="001625D3">
            <w:pPr>
              <w:jc w:val="both"/>
            </w:pPr>
            <w:r w:rsidRPr="008810FB">
              <w:t>Pārtikas un dzērienu nozarei būtiskus zaudējumus ir radījusi COVID – 19 pandēmija un ar to saistītie ierobežojumi. Papildus dzērienu ražotāji, šobrīd, iegulda lielus līdzekļus depozīta sistēmas izveidē. Tāpat, izvērtējot Likumprojekta ietekmi uz pārtikas un dzērienu nozari, jāņem vērā tā pietiekoši straujā virzība, kas nav ļāvusi pārtikas un dzērienu ražotājiem savlaicīgi plānot sagaidāmo ražošanas izdevumu pieaugumu.</w:t>
            </w:r>
          </w:p>
          <w:p w14:paraId="1EF3F1A5" w14:textId="77777777" w:rsidR="001625D3" w:rsidRPr="008810FB" w:rsidRDefault="001625D3" w:rsidP="001625D3">
            <w:pPr>
              <w:jc w:val="both"/>
              <w:rPr>
                <w:b/>
                <w:bCs/>
              </w:rPr>
            </w:pPr>
            <w:r w:rsidRPr="008810FB">
              <w:rPr>
                <w:b/>
                <w:bCs/>
              </w:rPr>
              <w:t>Ņemot vērā minēto, lūdzam noteikt augstāk minētās tiesību normas spēkā stāšanās pārejas periodu 18 mēnešu garumā no Likumprojekta pieņemšanas brīža.</w:t>
            </w:r>
          </w:p>
          <w:p w14:paraId="0F8A0549" w14:textId="77777777" w:rsidR="001625D3" w:rsidRPr="008810FB" w:rsidRDefault="001625D3" w:rsidP="001625D3">
            <w:pPr>
              <w:jc w:val="both"/>
              <w:rPr>
                <w:b/>
                <w:bCs/>
              </w:rPr>
            </w:pPr>
            <w:r w:rsidRPr="008810FB">
              <w:rPr>
                <w:b/>
                <w:bCs/>
              </w:rPr>
              <w:t>Papildus vēlamies uzsvērt, ka nepieciešams saglabāt atvieglojumus tādai nepārstrādājamai plastmasai, kurai nav pieejamu pārtikas uzglabāšanai drošu pārstrādājamu alternatīvu.</w:t>
            </w:r>
          </w:p>
          <w:bookmarkEnd w:id="8"/>
          <w:p w14:paraId="4B7B602E" w14:textId="4AE3E5C7" w:rsidR="001625D3" w:rsidRPr="008810FB" w:rsidRDefault="001625D3" w:rsidP="001625D3">
            <w:pPr>
              <w:pStyle w:val="NoSpacing"/>
              <w:rPr>
                <w:rFonts w:eastAsia="WenQuanYi Micro Hei" w:cstheme="minorHAnsi"/>
                <w:kern w:val="2"/>
                <w:lang w:eastAsia="zh-CN" w:bidi="hi-IN"/>
              </w:rPr>
            </w:pPr>
            <w:r w:rsidRPr="008810FB">
              <w:rPr>
                <w:b/>
                <w:bCs/>
              </w:rPr>
              <w:lastRenderedPageBreak/>
              <w:t>[2.]</w:t>
            </w:r>
            <w:bookmarkStart w:id="9" w:name="_Hlk68803636"/>
            <w:r w:rsidRPr="008810FB">
              <w:rPr>
                <w:rFonts w:eastAsia="WenQuanYi Micro Hei"/>
                <w:kern w:val="2"/>
                <w:sz w:val="28"/>
                <w:szCs w:val="28"/>
                <w:lang w:eastAsia="zh-CN" w:bidi="hi-IN"/>
              </w:rPr>
              <w:t xml:space="preserve"> </w:t>
            </w:r>
            <w:r w:rsidRPr="008810FB">
              <w:rPr>
                <w:rFonts w:eastAsia="WenQuanYi Micro Hei" w:cstheme="minorHAnsi"/>
                <w:kern w:val="2"/>
                <w:lang w:eastAsia="zh-CN" w:bidi="hi-IN"/>
              </w:rPr>
              <w:t>Likumprojekta 17.</w:t>
            </w:r>
            <w:r>
              <w:rPr>
                <w:rFonts w:eastAsia="WenQuanYi Micro Hei" w:cstheme="minorHAnsi"/>
                <w:kern w:val="2"/>
                <w:lang w:eastAsia="zh-CN" w:bidi="hi-IN"/>
              </w:rPr>
              <w:t xml:space="preserve"> </w:t>
            </w:r>
            <w:r w:rsidRPr="008810FB">
              <w:rPr>
                <w:rFonts w:eastAsia="WenQuanYi Micro Hei" w:cstheme="minorHAnsi"/>
                <w:kern w:val="2"/>
                <w:lang w:eastAsia="zh-CN" w:bidi="hi-IN"/>
              </w:rPr>
              <w:t xml:space="preserve">pants  paredz sekojošus grozījumus </w:t>
            </w:r>
            <w:r w:rsidRPr="008810FB">
              <w:rPr>
                <w:rFonts w:cstheme="minorHAnsi"/>
              </w:rPr>
              <w:t xml:space="preserve">Dabas resursu nodokļa likuma </w:t>
            </w:r>
            <w:r w:rsidRPr="008810FB">
              <w:rPr>
                <w:rFonts w:eastAsia="WenQuanYi Micro Hei" w:cstheme="minorHAnsi"/>
                <w:kern w:val="2"/>
                <w:lang w:eastAsia="zh-CN" w:bidi="hi-IN"/>
              </w:rPr>
              <w:t>24. pantā:</w:t>
            </w:r>
            <w:bookmarkEnd w:id="9"/>
          </w:p>
          <w:p w14:paraId="59F570BF" w14:textId="39C71F1A" w:rsidR="001625D3" w:rsidRPr="008810FB" w:rsidRDefault="001625D3" w:rsidP="001625D3">
            <w:pPr>
              <w:pStyle w:val="NoSpacing"/>
              <w:rPr>
                <w:rFonts w:eastAsia="Times New Roman" w:cstheme="minorHAnsi"/>
                <w:shd w:val="clear" w:color="auto" w:fill="FFFFFF"/>
                <w:lang w:eastAsia="lv-LV"/>
              </w:rPr>
            </w:pPr>
            <w:r w:rsidRPr="008810FB">
              <w:rPr>
                <w:rFonts w:eastAsia="WenQuanYi Micro Hei" w:cstheme="minorHAnsi"/>
                <w:kern w:val="2"/>
                <w:lang w:eastAsia="zh-CN" w:bidi="hi-IN"/>
              </w:rPr>
              <w:t>“</w:t>
            </w:r>
            <w:r w:rsidRPr="008810FB">
              <w:rPr>
                <w:rFonts w:eastAsia="Times New Roman" w:cstheme="minorHAnsi"/>
                <w:lang w:eastAsia="lv-LV"/>
              </w:rPr>
              <w:t xml:space="preserve">papildināt ar astoto daļu šādā redakcijā: “(8) Nodokļa maksātājs, kas pats piemēro vai </w:t>
            </w:r>
            <w:r w:rsidRPr="008810FB">
              <w:rPr>
                <w:rFonts w:eastAsia="Times New Roman" w:cstheme="minorHAnsi"/>
                <w:shd w:val="clear" w:color="auto" w:fill="FFFFFF"/>
                <w:lang w:eastAsia="lv-LV"/>
              </w:rPr>
              <w:t>piedalās izlietotā iepakojuma vai vienreiz lietojamo galda trauku un piederumu apsaimniekošanas sistēmā, maksā nodokli par to plastmasas un kompozīta iepakojuma apjomu, kas pārskata periodā nav pārstrādāts.</w:t>
            </w:r>
            <w:r w:rsidRPr="008810FB">
              <w:rPr>
                <w:rFonts w:eastAsia="Times New Roman" w:cstheme="minorHAnsi"/>
                <w:lang w:eastAsia="lv-LV"/>
              </w:rPr>
              <w:t> I</w:t>
            </w:r>
            <w:r w:rsidRPr="008810FB">
              <w:rPr>
                <w:rFonts w:eastAsia="Times New Roman" w:cstheme="minorHAnsi"/>
                <w:shd w:val="clear" w:color="auto" w:fill="FFFFFF"/>
                <w:lang w:eastAsia="lv-LV"/>
              </w:rPr>
              <w:t>epakojumam no plastmasas un kompozīta šajā gadījumā piemēro nodokļa likmi 0,80 </w:t>
            </w:r>
            <w:r w:rsidRPr="008810FB">
              <w:rPr>
                <w:rFonts w:eastAsia="Times New Roman" w:cstheme="minorHAnsi"/>
                <w:i/>
                <w:iCs/>
                <w:shd w:val="clear" w:color="auto" w:fill="FFFFFF"/>
                <w:lang w:eastAsia="lv-LV"/>
              </w:rPr>
              <w:t>euro</w:t>
            </w:r>
            <w:r w:rsidRPr="008810FB">
              <w:rPr>
                <w:rFonts w:eastAsia="Times New Roman" w:cstheme="minorHAnsi"/>
                <w:shd w:val="clear" w:color="auto" w:fill="FFFFFF"/>
                <w:lang w:eastAsia="lv-LV"/>
              </w:rPr>
              <w:t xml:space="preserve"> par vienu kilogramu.””</w:t>
            </w:r>
          </w:p>
          <w:p w14:paraId="07C63922" w14:textId="0D24D844" w:rsidR="001625D3" w:rsidRPr="008810FB" w:rsidRDefault="001625D3" w:rsidP="001625D3">
            <w:pPr>
              <w:pStyle w:val="NoSpacing"/>
              <w:rPr>
                <w:rFonts w:eastAsia="Times New Roman" w:cstheme="minorHAnsi"/>
                <w:shd w:val="clear" w:color="auto" w:fill="FFFFFF"/>
                <w:lang w:eastAsia="lv-LV"/>
              </w:rPr>
            </w:pPr>
            <w:r w:rsidRPr="008810FB">
              <w:rPr>
                <w:rFonts w:eastAsia="Times New Roman" w:cstheme="minorHAnsi"/>
                <w:shd w:val="clear" w:color="auto" w:fill="FFFFFF"/>
                <w:lang w:eastAsia="lv-LV"/>
              </w:rPr>
              <w:t xml:space="preserve">Saskaņā ar VARAM sniegto informāciju </w:t>
            </w:r>
            <w:r w:rsidRPr="008810FB">
              <w:t>pirmais maksājums paredzēts 2023. gadā par 2022. gadā nepārstrādāto plastmasas un kompozīta iepakojuma apjomu.</w:t>
            </w:r>
          </w:p>
          <w:p w14:paraId="0D9FC0A6" w14:textId="356DE64B" w:rsidR="001625D3" w:rsidRPr="008810FB" w:rsidRDefault="001625D3" w:rsidP="001625D3">
            <w:pPr>
              <w:pStyle w:val="NoSpacing"/>
            </w:pPr>
            <w:r w:rsidRPr="008810FB">
              <w:t>Ņemot vērā minēto, vēlamies norādīt, ka kopējais 2020.</w:t>
            </w:r>
            <w:r>
              <w:t xml:space="preserve"> </w:t>
            </w:r>
            <w:r w:rsidRPr="008810FB">
              <w:t>gada alus nozares realizācijas apjoma kritums veidoja 7,8%</w:t>
            </w:r>
            <w:r w:rsidRPr="008810FB">
              <w:rPr>
                <w:rStyle w:val="FootnoteReference"/>
              </w:rPr>
              <w:footnoteReference w:id="2"/>
            </w:r>
            <w:r w:rsidRPr="008810FB">
              <w:t>, savukārt, 2021.</w:t>
            </w:r>
            <w:r>
              <w:t xml:space="preserve"> </w:t>
            </w:r>
            <w:r w:rsidRPr="008810FB">
              <w:t>gada pirmajos četros mēnešos realizācijas apjoma kritums ir sasniedzis 6,1%</w:t>
            </w:r>
            <w:r w:rsidRPr="008810FB">
              <w:rPr>
                <w:rStyle w:val="FootnoteReference"/>
              </w:rPr>
              <w:footnoteReference w:id="3"/>
            </w:r>
            <w:r w:rsidRPr="008810FB">
              <w:t>.</w:t>
            </w:r>
            <w:r w:rsidRPr="008810FB">
              <w:rPr>
                <w:rFonts w:ascii="Calibri" w:hAnsi="Calibri"/>
              </w:rPr>
              <w:t xml:space="preserve"> </w:t>
            </w:r>
            <w:r w:rsidRPr="008810FB">
              <w:t>2020. gadā, salīdzinot ar 2019. gada attiecīgo periodu, akcīzes nodokļa ieņēmumi par alkoholiskajiem dzērieniem (t.sk. alu) ir samazinājušies par 11,5 milj. EUR.</w:t>
            </w:r>
          </w:p>
          <w:p w14:paraId="704F4020" w14:textId="41A2EA34" w:rsidR="001625D3" w:rsidRPr="008810FB" w:rsidRDefault="001625D3" w:rsidP="001625D3">
            <w:pPr>
              <w:pStyle w:val="NoSpacing"/>
            </w:pPr>
            <w:r w:rsidRPr="008810FB">
              <w:t xml:space="preserve">Šobrīd, pārtikas un dzērienu ražotāji velta visas pūles, lai pārvarētu </w:t>
            </w:r>
            <w:r>
              <w:t>C</w:t>
            </w:r>
            <w:r w:rsidRPr="008810FB">
              <w:t>OVID – 19 radītās krīzes ietekmi, vienlaikus, strādājot pie depozīta sistēmas ieviešanas, kas attieksies uz to pašu iepakojumu veidu par, ko paredzēts aprēķināt papildus nodokli par nepārstrādātajiem apjomiem. Izvērtējot, minētās tiesību normas ietekmi uz nozari, jāsecina, ka tās piemērošana no 2022. gada ir pāragra.</w:t>
            </w:r>
          </w:p>
          <w:p w14:paraId="0386C9A1" w14:textId="25C53F0E" w:rsidR="001625D3" w:rsidRPr="008810FB" w:rsidRDefault="001625D3" w:rsidP="001625D3">
            <w:pPr>
              <w:pStyle w:val="NoSpacing"/>
              <w:rPr>
                <w:rFonts w:eastAsia="Times New Roman" w:cstheme="minorHAnsi"/>
                <w:b/>
                <w:bCs/>
                <w:shd w:val="clear" w:color="auto" w:fill="FFFFFF"/>
                <w:lang w:eastAsia="lv-LV"/>
              </w:rPr>
            </w:pPr>
            <w:r w:rsidRPr="008810FB">
              <w:rPr>
                <w:b/>
                <w:bCs/>
              </w:rPr>
              <w:t xml:space="preserve">Ņemot vērā minēto, lūdzam iekļaut Likumprojekta pārejas noteikumos tiesību normu, kas paredz  pirmo maksājumu 2024. gadā par 2023. gadā nepārstrādāto plastmasas un </w:t>
            </w:r>
            <w:r w:rsidRPr="008810FB">
              <w:rPr>
                <w:b/>
                <w:bCs/>
              </w:rPr>
              <w:lastRenderedPageBreak/>
              <w:t>kompozīta iepakojuma apjomu.</w:t>
            </w:r>
          </w:p>
          <w:p w14:paraId="64F1D0CB" w14:textId="5428A4DC" w:rsidR="001625D3" w:rsidRPr="008810FB" w:rsidRDefault="001625D3" w:rsidP="001625D3">
            <w:pPr>
              <w:jc w:val="both"/>
            </w:pPr>
            <w:r w:rsidRPr="008810FB">
              <w:rPr>
                <w:b/>
                <w:bCs/>
              </w:rPr>
              <w:t>[3.]</w:t>
            </w:r>
            <w:r w:rsidRPr="008810FB">
              <w:t xml:space="preserve"> Tāpat, vēlamies norādīt, ka Likumprojekta 17.</w:t>
            </w:r>
            <w:r>
              <w:t xml:space="preserve"> </w:t>
            </w:r>
            <w:r w:rsidRPr="008810FB">
              <w:t xml:space="preserve">pantā iekļautais grozījums paredz atbildību un ievērojamus izdevumus ražotājiem par nepārstrādāto iepakojuma apjomu, taču neparedz nekādas iespējas ražotājiem ietekmēt pārstrādes apjomus. Proti, minētā tiesību norma pēc būtības paredz sankcijas pārtikas ražotājiem par procesu, ko tie nevar ietekmēt. </w:t>
            </w:r>
          </w:p>
          <w:p w14:paraId="2BE3FB80" w14:textId="77777777" w:rsidR="001625D3" w:rsidRPr="008810FB" w:rsidRDefault="001625D3" w:rsidP="001625D3">
            <w:pPr>
              <w:jc w:val="both"/>
              <w:rPr>
                <w:b/>
                <w:bCs/>
              </w:rPr>
            </w:pPr>
            <w:r w:rsidRPr="008810FB">
              <w:rPr>
                <w:b/>
                <w:bCs/>
              </w:rPr>
              <w:t xml:space="preserve">Lai minētā tiesību norma atbilstu LR Satversmē nostiprinātajam tiesiskuma principam un vienlaikus sasniegtu to mērķi, kādam tā ir paredzēta, pienākumi pārstrādes jomā būtu nosakāmi tiem likuma subjektiem, kas šo pārstrādi faktiski veic. </w:t>
            </w:r>
          </w:p>
          <w:p w14:paraId="64342BB9" w14:textId="094C0B32" w:rsidR="001625D3" w:rsidRPr="008810FB" w:rsidRDefault="001625D3" w:rsidP="001625D3">
            <w:pPr>
              <w:jc w:val="both"/>
            </w:pPr>
            <w:r w:rsidRPr="008810FB">
              <w:rPr>
                <w:b/>
                <w:bCs/>
              </w:rPr>
              <w:t xml:space="preserve">[4.] </w:t>
            </w:r>
            <w:r w:rsidRPr="008810FB">
              <w:t xml:space="preserve">Papildus ar šo vēlamies vērst Jūsu uzmanību uz nepieciešamību izvērtēt pārējo Baltijas valstu politiku </w:t>
            </w:r>
            <w:r>
              <w:t>dabas resursu nodokļa</w:t>
            </w:r>
            <w:r w:rsidRPr="008810FB">
              <w:t xml:space="preserve"> jomā, lai nepalielinātu Latvijas ražotāju izmaksas salīdzinot ar Lietuvas un Igaunijas ražotājiem. Gadījumā, ja pēc Likumprojekta pieņemšanas izrādītos, ka Latvijā nodokļu slogs par dabas resursu izmantošanu ir augstāks nekā tuvākajās kaimiņvalstīs, tas nostādītu Latvijas ražotājus sliktākos konkurences apstākļos un radītu risku investīciju aizplūšanai no Latvijas. </w:t>
            </w:r>
          </w:p>
          <w:p w14:paraId="58CBD650" w14:textId="13DCD382" w:rsidR="001625D3" w:rsidRPr="008810FB" w:rsidRDefault="001625D3" w:rsidP="001625D3">
            <w:pPr>
              <w:jc w:val="both"/>
              <w:rPr>
                <w:b/>
                <w:bCs/>
              </w:rPr>
            </w:pPr>
            <w:r w:rsidRPr="008810FB">
              <w:t>Līdz šim ir pieredzēta vairāku pārtikas ražotņu pārcelšana uz tuvākajām kaimiņvalstīm, ražošanai izdevīgākas nodokļu politikas dēļ.</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5001B433" w14:textId="2EB6D79C" w:rsidR="001625D3" w:rsidRPr="007E431E" w:rsidRDefault="001625D3" w:rsidP="001625D3">
            <w:pPr>
              <w:pStyle w:val="naisc"/>
              <w:spacing w:before="0" w:after="0"/>
              <w:jc w:val="both"/>
              <w:rPr>
                <w:b/>
                <w:bCs/>
              </w:rPr>
            </w:pPr>
            <w:r>
              <w:rPr>
                <w:b/>
                <w:bCs/>
              </w:rPr>
              <w:lastRenderedPageBreak/>
              <w:t>Daļēji ņ</w:t>
            </w:r>
            <w:r w:rsidRPr="007E431E">
              <w:rPr>
                <w:b/>
                <w:bCs/>
              </w:rPr>
              <w:t>emts vērā.</w:t>
            </w:r>
          </w:p>
          <w:p w14:paraId="0A6387F9" w14:textId="4191B7A7" w:rsidR="001625D3" w:rsidRDefault="001625D3" w:rsidP="001625D3">
            <w:pPr>
              <w:pStyle w:val="naisc"/>
              <w:spacing w:before="0" w:after="0"/>
              <w:jc w:val="both"/>
            </w:pPr>
            <w:r w:rsidRPr="00C71189">
              <w:t>VARAM 2021.</w:t>
            </w:r>
            <w:r>
              <w:t> </w:t>
            </w:r>
            <w:r w:rsidRPr="00C71189">
              <w:t>gada 22.</w:t>
            </w:r>
            <w:r>
              <w:t> </w:t>
            </w:r>
            <w:r w:rsidRPr="00C71189">
              <w:t xml:space="preserve">jūnijā rīkojusi sanāksmi ar iesaistītajām pusēm un sniegusi atbildes uz biedrību </w:t>
            </w:r>
            <w:r>
              <w:t xml:space="preserve">14.06.2021. </w:t>
            </w:r>
            <w:r w:rsidRPr="00C71189">
              <w:t>jautājumiem.</w:t>
            </w:r>
          </w:p>
          <w:p w14:paraId="3427D32E" w14:textId="16E23CB1" w:rsidR="001625D3" w:rsidRDefault="001625D3" w:rsidP="001625D3">
            <w:pPr>
              <w:pStyle w:val="naisc"/>
              <w:spacing w:before="0" w:after="0"/>
              <w:jc w:val="both"/>
            </w:pPr>
            <w:r>
              <w:t>Norādām, ka iemaksa Eiropas Savienības budžetā par nepārstrādāto plastmasas un kompozīta iepakojumu Latvijai jāveic jau no šī gada, tikmēr dabas resursu nodokļa piemērošana par nepārstrādāto plastmasas un kompozīta iepakojumu jau plānota ar nobīdi – pirmo maksājumu paredzot 2023. gadā.</w:t>
            </w:r>
          </w:p>
          <w:p w14:paraId="0C389FBD" w14:textId="165359C9" w:rsidR="00CA73BD" w:rsidRPr="00C71189" w:rsidRDefault="00CA73BD" w:rsidP="00CA73BD">
            <w:pPr>
              <w:pStyle w:val="naisc"/>
              <w:spacing w:before="0" w:after="0"/>
              <w:jc w:val="both"/>
            </w:pPr>
            <w:r>
              <w:t>Lai nodrošinātu pārejas laiku, dabas resursu nodokļa atbrīvojums par nepārstrādājamu plastmasas un kompozīta iepakojumu tiks atcelts no 2023. gada 1. janvāra.</w:t>
            </w:r>
          </w:p>
          <w:p w14:paraId="5F6D2212" w14:textId="26EF751E" w:rsidR="001625D3" w:rsidRDefault="001625D3" w:rsidP="000E6172">
            <w:pPr>
              <w:jc w:val="both"/>
              <w:rPr>
                <w:sz w:val="22"/>
                <w:szCs w:val="22"/>
                <w:lang w:eastAsia="en-US"/>
              </w:rPr>
            </w:pPr>
            <w:r>
              <w:rPr>
                <w:lang w:eastAsia="en-US"/>
              </w:rPr>
              <w:t xml:space="preserve">Informējam, ka priekšlikumu apspriešana un izvērtēšana turpināsies arī pēc likumprojekta izsludināšanas Valsts sekretāru sanāksmē. </w:t>
            </w:r>
          </w:p>
          <w:p w14:paraId="1EE9B054" w14:textId="5631160D" w:rsidR="001625D3" w:rsidRPr="00C71189" w:rsidRDefault="001625D3" w:rsidP="001625D3">
            <w:pPr>
              <w:pStyle w:val="naisc"/>
              <w:spacing w:before="0" w:after="0"/>
              <w:jc w:val="both"/>
            </w:pPr>
            <w:r>
              <w:t xml:space="preserve"> </w:t>
            </w:r>
          </w:p>
        </w:tc>
      </w:tr>
      <w:tr w:rsidR="001625D3" w:rsidRPr="00C71189" w14:paraId="05BAA733" w14:textId="77777777" w:rsidTr="00657982">
        <w:tc>
          <w:tcPr>
            <w:tcW w:w="627" w:type="dxa"/>
            <w:tcBorders>
              <w:top w:val="single" w:sz="6" w:space="0" w:color="000000" w:themeColor="text1"/>
              <w:left w:val="single" w:sz="6" w:space="0" w:color="000000" w:themeColor="text1"/>
              <w:bottom w:val="single" w:sz="6" w:space="0" w:color="000000" w:themeColor="text1"/>
            </w:tcBorders>
            <w:shd w:val="clear" w:color="auto" w:fill="DBDBDB" w:themeFill="accent3" w:themeFillTint="66"/>
          </w:tcPr>
          <w:p w14:paraId="7732B135" w14:textId="77777777" w:rsidR="001625D3" w:rsidRPr="00C71189" w:rsidRDefault="001625D3" w:rsidP="001625D3">
            <w:pPr>
              <w:pStyle w:val="naisc"/>
              <w:numPr>
                <w:ilvl w:val="1"/>
                <w:numId w:val="21"/>
              </w:numPr>
              <w:spacing w:before="0" w:after="0"/>
              <w:ind w:left="361" w:right="317"/>
              <w:jc w:val="left"/>
            </w:pPr>
          </w:p>
        </w:tc>
        <w:tc>
          <w:tcPr>
            <w:tcW w:w="14009" w:type="dxa"/>
            <w:gridSpan w:val="3"/>
            <w:tcBorders>
              <w:top w:val="single" w:sz="6" w:space="0" w:color="000000" w:themeColor="text1"/>
              <w:left w:val="single" w:sz="6" w:space="0" w:color="000000" w:themeColor="text1"/>
              <w:bottom w:val="single" w:sz="6" w:space="0" w:color="000000" w:themeColor="text1"/>
              <w:right w:val="single" w:sz="4" w:space="0" w:color="auto"/>
            </w:tcBorders>
            <w:shd w:val="clear" w:color="auto" w:fill="DBDBDB" w:themeFill="accent3" w:themeFillTint="66"/>
          </w:tcPr>
          <w:p w14:paraId="2365715C" w14:textId="25320110" w:rsidR="001625D3" w:rsidRPr="00C71189" w:rsidRDefault="001625D3" w:rsidP="001625D3">
            <w:pPr>
              <w:pStyle w:val="naisc"/>
              <w:spacing w:before="0" w:after="0"/>
              <w:rPr>
                <w:b/>
                <w:bCs/>
              </w:rPr>
            </w:pPr>
            <w:r w:rsidRPr="00C71189">
              <w:rPr>
                <w:b/>
                <w:bCs/>
              </w:rPr>
              <w:t>Latvijas Tirdzniecības un rūpniecības kameras 15.06.2021. viedoklis</w:t>
            </w:r>
          </w:p>
        </w:tc>
      </w:tr>
      <w:tr w:rsidR="00C16D51" w:rsidRPr="00C71189" w14:paraId="11654110"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0DD53FAB" w14:textId="77777777" w:rsidR="00C16D51" w:rsidRPr="00C71189" w:rsidRDefault="00C16D51" w:rsidP="00C16D51">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3B011C47" w14:textId="77777777" w:rsidR="00C16D51" w:rsidRPr="00C71189" w:rsidRDefault="00C16D51" w:rsidP="00C16D51">
            <w:pPr>
              <w:spacing w:before="120"/>
              <w:jc w:val="both"/>
              <w:rPr>
                <w:b/>
                <w:bCs/>
              </w:rPr>
            </w:pPr>
            <w:r w:rsidRPr="00C71189">
              <w:rPr>
                <w:b/>
                <w:bCs/>
              </w:rPr>
              <w:t xml:space="preserve">Likumprojekta </w:t>
            </w:r>
            <w:r>
              <w:rPr>
                <w:b/>
                <w:bCs/>
              </w:rPr>
              <w:t>13. </w:t>
            </w:r>
            <w:r w:rsidRPr="00C71189">
              <w:rPr>
                <w:b/>
                <w:bCs/>
              </w:rPr>
              <w:t>panta likuma 14.</w:t>
            </w:r>
            <w:r w:rsidRPr="00C71189">
              <w:rPr>
                <w:b/>
                <w:bCs/>
                <w:vertAlign w:val="superscript"/>
              </w:rPr>
              <w:t>2</w:t>
            </w:r>
            <w:r w:rsidRPr="00C71189">
              <w:rPr>
                <w:b/>
                <w:bCs/>
              </w:rPr>
              <w:t> pants:</w:t>
            </w:r>
          </w:p>
          <w:p w14:paraId="34A6969A" w14:textId="77777777" w:rsidR="00C16D51" w:rsidRPr="00C71189" w:rsidRDefault="00C16D51" w:rsidP="00C16D51">
            <w:pPr>
              <w:pStyle w:val="NormalWeb"/>
              <w:spacing w:before="0" w:after="0"/>
              <w:jc w:val="both"/>
              <w:rPr>
                <w:b/>
              </w:rPr>
            </w:pPr>
            <w:r w:rsidRPr="00C71189">
              <w:t>“</w:t>
            </w:r>
            <w:r w:rsidRPr="00C71189">
              <w:rPr>
                <w:b/>
              </w:rPr>
              <w:t>14.</w:t>
            </w:r>
            <w:r w:rsidRPr="00C71189">
              <w:rPr>
                <w:b/>
                <w:vertAlign w:val="superscript"/>
              </w:rPr>
              <w:t>2</w:t>
            </w:r>
            <w:r w:rsidRPr="00C71189">
              <w:rPr>
                <w:b/>
              </w:rPr>
              <w:t> pants. Nodokļa aprēķināšana par ogļūdeņražu ieguvi</w:t>
            </w:r>
          </w:p>
          <w:p w14:paraId="75EC5E5F" w14:textId="77777777" w:rsidR="00C16D51" w:rsidRPr="00C71189" w:rsidRDefault="00C16D51" w:rsidP="00C16D51">
            <w:pPr>
              <w:pStyle w:val="NormalWeb"/>
              <w:spacing w:before="0" w:after="0"/>
              <w:jc w:val="both"/>
            </w:pPr>
            <w:r w:rsidRPr="00C71189">
              <w:t xml:space="preserve">(1) Nodokļa maksātājs aprēķina un maksā nodokli par taksācijas </w:t>
            </w:r>
            <w:r w:rsidRPr="00C71189">
              <w:lastRenderedPageBreak/>
              <w:t>periodā iegūto ogļūdeņražu apjomu, piemērojot nodokļa likmi:</w:t>
            </w:r>
          </w:p>
          <w:p w14:paraId="07ED46D8" w14:textId="77777777" w:rsidR="00C16D51" w:rsidRPr="00C71189" w:rsidRDefault="00C16D51" w:rsidP="00C16D51">
            <w:pPr>
              <w:pStyle w:val="NormalWeb"/>
              <w:spacing w:before="0" w:after="0"/>
              <w:jc w:val="both"/>
            </w:pPr>
            <w:r w:rsidRPr="00C71189">
              <w:t>1) 12 procentu apmērā no neapstrādātas naftas vērtības;</w:t>
            </w:r>
          </w:p>
          <w:p w14:paraId="34C38856" w14:textId="77777777" w:rsidR="00C16D51" w:rsidRPr="00C71189" w:rsidRDefault="00C16D51" w:rsidP="00C16D51">
            <w:pPr>
              <w:pStyle w:val="NormalWeb"/>
              <w:spacing w:before="0" w:after="0"/>
              <w:jc w:val="both"/>
            </w:pPr>
            <w:r w:rsidRPr="00C71189">
              <w:t xml:space="preserve">2) 10 procentu apmērā no dabasgāzes vērtības. </w:t>
            </w:r>
          </w:p>
          <w:p w14:paraId="4C522A1A" w14:textId="77777777" w:rsidR="00C16D51" w:rsidRPr="00C71189" w:rsidRDefault="00C16D51" w:rsidP="00C16D51">
            <w:pPr>
              <w:pStyle w:val="NormalWeb"/>
              <w:spacing w:before="0" w:after="0"/>
              <w:jc w:val="both"/>
            </w:pPr>
          </w:p>
          <w:p w14:paraId="48F84C67" w14:textId="0725FFA4" w:rsidR="00C16D51" w:rsidRPr="00C71189" w:rsidRDefault="00C16D51" w:rsidP="00C16D51">
            <w:pPr>
              <w:spacing w:before="120"/>
              <w:jc w:val="both"/>
              <w:rPr>
                <w:b/>
                <w:bCs/>
              </w:rPr>
            </w:pPr>
            <w:r w:rsidRPr="00C71189">
              <w:t>(2) Neapstrādātas naftas un dabasgāzes vērtības aprēķināšanas kārtību nosaka Ministru kabinets.”</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4B7DF23C" w14:textId="712DD6AC" w:rsidR="00C16D51" w:rsidRPr="00C71189" w:rsidRDefault="00C16D51" w:rsidP="00C16D51">
            <w:pPr>
              <w:jc w:val="both"/>
            </w:pPr>
            <w:r w:rsidRPr="00C71189">
              <w:lastRenderedPageBreak/>
              <w:t>1. Ogļūdeņražu ieguve</w:t>
            </w:r>
          </w:p>
          <w:p w14:paraId="39C2C6BB" w14:textId="79DCCD66" w:rsidR="00C16D51" w:rsidRPr="00C71189" w:rsidRDefault="00C16D51" w:rsidP="00C16D51">
            <w:pPr>
              <w:jc w:val="both"/>
            </w:pPr>
            <w:r w:rsidRPr="00C71189">
              <w:t xml:space="preserve">Ar Likumprojektu ogļūdeņražu ieguvei ir paredzēts piemērot </w:t>
            </w:r>
            <w:r>
              <w:t>dabas resursu nodokļa</w:t>
            </w:r>
            <w:r w:rsidRPr="00C71189">
              <w:t xml:space="preserve"> likmi 12 % no neapstrādātas naftas vērtības un 100 % no dabasgāzes vērtības. Šāda </w:t>
            </w:r>
            <w:r>
              <w:t>dabas resursu nodokļa</w:t>
            </w:r>
            <w:r w:rsidRPr="00C71189">
              <w:t xml:space="preserve"> likmes noteikšanas metodika ir pretrunā ar </w:t>
            </w:r>
            <w:r>
              <w:t>dabas resursu nodokļa</w:t>
            </w:r>
            <w:r w:rsidRPr="00C71189">
              <w:t xml:space="preserve"> aprēķināšanas kārtību, jo </w:t>
            </w:r>
            <w:r>
              <w:t>dabas resursu nodoklis</w:t>
            </w:r>
            <w:r w:rsidRPr="00C71189">
              <w:t xml:space="preserve"> ir aprēķināms no mērvienībām, nevis no vērtības. Proti, </w:t>
            </w:r>
            <w:r>
              <w:t>dabas resursu nodokli</w:t>
            </w:r>
            <w:r w:rsidRPr="00C71189">
              <w:t xml:space="preserve"> aprēķina atbilstoši </w:t>
            </w:r>
            <w:r>
              <w:t>Dabas resursu nodokļa</w:t>
            </w:r>
            <w:r w:rsidRPr="00C71189">
              <w:t xml:space="preserve"> likumā minētajām likmēm par katru iegūto vai </w:t>
            </w:r>
            <w:r w:rsidRPr="00C71189">
              <w:lastRenderedPageBreak/>
              <w:t>izmantoto dabas resursu vai vidē emitētā piesārņojuma vienību. Nodokli maksā par faktisko dabas resursu ieguves apjomu, kā arī par kārtējā taksācijas periodā ģeoloģiskajās struktūrās iesūknēto dabasgāzes apjomu un vides piesārņojuma veidu un apjomu. Piemēram, atbilstoši spēkā esošajiem Ministru kabineta 19.06.2007. noteikumiem Nr.404 “Kārtība, kādā aprēķina un maksā dabas resursu nodokli, izsniedz dabas resursu lietošanas atļauju un auditē apsaimniekošanas sistēmas”  nodokli par dabasgāzes iesūknēšanu ģeoloģiskajās struktūrās, ūdens ieguvi, par oglekļa dioksīda (CO</w:t>
            </w:r>
            <w:r w:rsidRPr="00A00B7D">
              <w:rPr>
                <w:vertAlign w:val="subscript"/>
              </w:rPr>
              <w:t>2</w:t>
            </w:r>
            <w:r w:rsidRPr="00C71189">
              <w:t xml:space="preserve">) emisiju u.c. dabas resursiem, nodokļa maksātājs aprēķina par taksācijas periodā faktisko iesūknēto, iegūto, radīto apjomu. Tas nozīmē, ka ogļūdeņražiem nebūtu piemērojama atšķirīga </w:t>
            </w:r>
            <w:r>
              <w:t>dabas resursu nodokļa</w:t>
            </w:r>
            <w:r w:rsidRPr="00C71189">
              <w:t xml:space="preserve"> aprēķināšanas kārtība. </w:t>
            </w:r>
          </w:p>
          <w:p w14:paraId="004ED319" w14:textId="7435556D" w:rsidR="00C16D51" w:rsidRPr="00C71189" w:rsidRDefault="00C16D51" w:rsidP="00C16D51">
            <w:pPr>
              <w:jc w:val="both"/>
            </w:pPr>
            <w:r w:rsidRPr="00C71189">
              <w:t xml:space="preserve">No Likumprojekta anotācijas izriet, ka </w:t>
            </w:r>
            <w:r>
              <w:t>dabas resursu nodoklis</w:t>
            </w:r>
            <w:r w:rsidRPr="00C71189">
              <w:t xml:space="preserve"> ogļūdeņražu ieguvei ir nosakāms, vadoties no  Valsts kontroles revīzijas Nr. 2.4.1-38/2016 “Par Latvijas Republikas 2016.gada pārskatu par valsts budžeta izpildi un par pašvaldību budžetiem” ziņojuma noteikt maksājumus valsts un/vai pašvaldības budžetā par iegūtajiem ogļūdeņražu apjomiem visā Latvijas teritorijā neatkarīgi no īpašuma piederības. Tomēr ar Likumprojektu saistītajos dokumentos iztrūkst pamatojums noteiktajam aprēķinam un nodokļa ietekmei, ņemot vērā nodokļu sloga palielināšanu un vienu no </w:t>
            </w:r>
            <w:r>
              <w:t>dabas resursu nodokļa</w:t>
            </w:r>
            <w:r w:rsidRPr="00C71189">
              <w:t xml:space="preserve"> pamatmērķiem – nodrošināt labāku enerģijas resursu ieguvi un izmantošanu, nevis piemērot pēc iespējas augstu nodokļa likmi iegūtajam produktam (dabas resursam).</w:t>
            </w:r>
          </w:p>
          <w:p w14:paraId="7897D79E" w14:textId="63DAA117" w:rsidR="00C16D51" w:rsidRPr="00C71189" w:rsidRDefault="00C16D51" w:rsidP="00C16D51">
            <w:pPr>
              <w:jc w:val="both"/>
            </w:pPr>
            <w:r w:rsidRPr="00C71189">
              <w:t xml:space="preserve">Pamatojoties uz augstāk minēto, </w:t>
            </w:r>
            <w:r>
              <w:t xml:space="preserve">Latvijas tirdzniecības un rūpniecības kamera (turpmāk – </w:t>
            </w:r>
            <w:r w:rsidRPr="00C71189">
              <w:t>LTRK</w:t>
            </w:r>
            <w:r>
              <w:t>)</w:t>
            </w:r>
            <w:r w:rsidRPr="00C71189">
              <w:t xml:space="preserve"> lūdz precizēt Likumprojekta anotāciju, norādot, kāds ir aprēķinu veikšanas metodoloģiskais pamatojums, izmantotie dati, to avoti un cita informācija, kas tika ņemta par pamatu aprēķinu veikšanai, kā arī informēt par </w:t>
            </w:r>
            <w:r>
              <w:t>dabas resursu nodokļa</w:t>
            </w:r>
            <w:r w:rsidRPr="00C71189">
              <w:t xml:space="preserve"> piemērošanu ogļūdeņražiem citās valstīs.</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571A7746" w14:textId="5280F476" w:rsidR="00C16D51" w:rsidRPr="00C71189" w:rsidRDefault="00C16D51" w:rsidP="00C16D51">
            <w:pPr>
              <w:pStyle w:val="naisc"/>
              <w:spacing w:before="0" w:after="0"/>
              <w:jc w:val="both"/>
              <w:rPr>
                <w:b/>
                <w:bCs/>
              </w:rPr>
            </w:pPr>
            <w:r w:rsidRPr="007E431E">
              <w:rPr>
                <w:b/>
                <w:bCs/>
              </w:rPr>
              <w:lastRenderedPageBreak/>
              <w:t>Daļēji ņemts vērā.</w:t>
            </w:r>
          </w:p>
          <w:p w14:paraId="0EE61954" w14:textId="3F206429" w:rsidR="00C16D51" w:rsidRPr="00C71189" w:rsidRDefault="00C16D51" w:rsidP="00C16D51">
            <w:pPr>
              <w:pStyle w:val="naisc"/>
              <w:spacing w:before="0" w:after="0"/>
              <w:jc w:val="both"/>
            </w:pPr>
            <w:r>
              <w:t>D</w:t>
            </w:r>
            <w:r w:rsidRPr="00C71189">
              <w:t xml:space="preserve">abas resursu nodoklis ir aprēķināms arī no vērtības, piemēram, šobrīd šāda pieeja noteikta </w:t>
            </w:r>
            <w:r>
              <w:t xml:space="preserve">Dabas resursu nodokļa likuma </w:t>
            </w:r>
            <w:r w:rsidRPr="00C71189">
              <w:t>24.</w:t>
            </w:r>
            <w:r w:rsidRPr="00310404">
              <w:rPr>
                <w:vertAlign w:val="superscript"/>
              </w:rPr>
              <w:t>1</w:t>
            </w:r>
            <w:r>
              <w:rPr>
                <w:vertAlign w:val="superscript"/>
              </w:rPr>
              <w:t> </w:t>
            </w:r>
            <w:r w:rsidRPr="00C71189">
              <w:t>pantā, piemērojot dabas resursu nodokļa likmi trīs procentu apmērā no uguņošanas ierīču iegādes vērtības.</w:t>
            </w:r>
          </w:p>
          <w:p w14:paraId="4892EA38" w14:textId="4D163F45" w:rsidR="00C16D51" w:rsidRPr="00C71189" w:rsidRDefault="00C16D51" w:rsidP="00C16D51">
            <w:pPr>
              <w:pStyle w:val="naisc"/>
              <w:spacing w:before="0" w:after="0"/>
              <w:jc w:val="both"/>
            </w:pPr>
            <w:r w:rsidRPr="00C71189">
              <w:t xml:space="preserve">Dabas resursu nodokļa ogļūdeņražu ieguvei likme noteikta atbilstoši Ekonomikas ministrijas </w:t>
            </w:r>
            <w:r w:rsidRPr="00C71189">
              <w:lastRenderedPageBreak/>
              <w:t>priekšlikumiem. Dabas resursu nodokļa likmes aprēķināšanas metodikas pamatprincips balstīts uz Ministru kabineta 2009.</w:t>
            </w:r>
            <w:r>
              <w:t> </w:t>
            </w:r>
            <w:r w:rsidRPr="00C71189">
              <w:t>gada 18.</w:t>
            </w:r>
            <w:r>
              <w:t> </w:t>
            </w:r>
            <w:r w:rsidRPr="00C71189">
              <w:t>augusta noteikumu Nr.</w:t>
            </w:r>
            <w:r>
              <w:t> </w:t>
            </w:r>
            <w:r w:rsidRPr="00C71189">
              <w:t>942 “Noteikumi par ogļūdeņražu ieguves valsts nodevu” nosacījumiem.</w:t>
            </w:r>
          </w:p>
          <w:p w14:paraId="53F9D54F" w14:textId="5D2DBC1E" w:rsidR="00C16D51" w:rsidRDefault="00C16D51" w:rsidP="00C16D51">
            <w:pPr>
              <w:jc w:val="both"/>
            </w:pPr>
            <w:r w:rsidRPr="00C71189">
              <w:t>Informējam, ka Ekonomikas ministrija ir veikusi analīzi par ogļūdeņražu nodevas un nodokļu likmēm arī par citām valstīm. Pasaules prakse šajā jautājumā ir ļoti dažāda. Pastāv valstis, kur maksājama viena nodeva, kur iekļauts gan dabas resursu nodoklis, gan nodeva par ogļūdeņražu ieguvi, bet atsevišķās valstīs ir līdzīga prakse, kāda iecerēta arī Latvijā – ir veicami divi atsevišķi maksājumi – viens par nodevu, otrs par dabas resursu nodokli. Kopējais nodokļu (tai skaitā nodevas) slogs atsevišķās valstīs svārstās no 10 – 24</w:t>
            </w:r>
            <w:r>
              <w:t> </w:t>
            </w:r>
            <w:r w:rsidRPr="00C71189">
              <w:t>%. Piemēram, Lietuvā nodokļi sastāda 12</w:t>
            </w:r>
            <w:r>
              <w:t> </w:t>
            </w:r>
            <w:r w:rsidRPr="00C71189">
              <w:t>%, Vācijā 18 – 21</w:t>
            </w:r>
            <w:r>
              <w:t> </w:t>
            </w:r>
            <w:r w:rsidRPr="00C71189">
              <w:t xml:space="preserve">%, Itālijā </w:t>
            </w:r>
            <w:r>
              <w:t>–</w:t>
            </w:r>
            <w:r w:rsidRPr="00C71189">
              <w:t xml:space="preserve"> 24</w:t>
            </w:r>
            <w:r>
              <w:t> </w:t>
            </w:r>
            <w:r w:rsidRPr="00C71189">
              <w:t>%. Paralēli vērtē</w:t>
            </w:r>
            <w:r>
              <w:t>ti</w:t>
            </w:r>
            <w:r w:rsidRPr="00C71189">
              <w:t xml:space="preserve"> cit</w:t>
            </w:r>
            <w:r>
              <w:t>i</w:t>
            </w:r>
            <w:r w:rsidRPr="00C71189">
              <w:t xml:space="preserve"> statistikas dat</w:t>
            </w:r>
            <w:r>
              <w:t>i</w:t>
            </w:r>
            <w:r w:rsidRPr="00C71189">
              <w:t>, tai skaitā dat</w:t>
            </w:r>
            <w:r>
              <w:t>i</w:t>
            </w:r>
            <w:r w:rsidRPr="00C71189">
              <w:t xml:space="preserve"> no “International Energy Agency”. Tāpat dažāda veida informācija par atsevišķu nodevu/nodokļu analīzi un  pētījumiem pieejama  Ernst&amp;Young tīmekļvietnē: </w:t>
            </w:r>
            <w:hyperlink r:id="rId15" w:history="1">
              <w:r w:rsidRPr="00C71189">
                <w:rPr>
                  <w:rStyle w:val="Hyperlink"/>
                  <w:color w:val="auto"/>
                </w:rPr>
                <w:t>https://www.ey.com/en_gl/tax</w:t>
              </w:r>
            </w:hyperlink>
            <w:r w:rsidRPr="00C71189">
              <w:t>.</w:t>
            </w:r>
          </w:p>
          <w:p w14:paraId="7E09F0B0" w14:textId="1F76E253" w:rsidR="00C16D51" w:rsidRPr="00C71189" w:rsidRDefault="00C16D51" w:rsidP="00C16D51">
            <w:pPr>
              <w:jc w:val="both"/>
            </w:pPr>
            <w:r>
              <w:t>Papildināta anotācija. Ievērojot saņemtos viedokļus sabiedrības līdzdalības laikā, DRN likme ir samazināta no 12 % uz 7 % par neapstrādātu naftu un no 10 % uz 5 % par dabasgāzi.</w:t>
            </w:r>
          </w:p>
          <w:p w14:paraId="7437BE2F" w14:textId="5E6388CC" w:rsidR="00C16D51" w:rsidRPr="00C71189" w:rsidRDefault="00C16D51" w:rsidP="00C16D51">
            <w:pPr>
              <w:jc w:val="both"/>
            </w:pPr>
          </w:p>
        </w:tc>
      </w:tr>
      <w:tr w:rsidR="00C16D51" w:rsidRPr="00C71189" w14:paraId="27AED113"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3F6345EF" w14:textId="77777777" w:rsidR="00C16D51" w:rsidRPr="00C71189" w:rsidRDefault="00C16D51" w:rsidP="00C16D51">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5E7EA7E1" w14:textId="1DB3A286" w:rsidR="00C16D51" w:rsidRPr="00C71189" w:rsidRDefault="00C16D51" w:rsidP="00C16D51">
            <w:pPr>
              <w:spacing w:before="120"/>
              <w:jc w:val="both"/>
              <w:rPr>
                <w:b/>
                <w:bCs/>
              </w:rPr>
            </w:pPr>
            <w:r w:rsidRPr="00C71189">
              <w:rPr>
                <w:b/>
                <w:bCs/>
              </w:rPr>
              <w:t>Vispārīgi.</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200B9B0F" w14:textId="360EB051" w:rsidR="00C16D51" w:rsidRPr="00C71189" w:rsidRDefault="00C16D51" w:rsidP="00C16D51">
            <w:pPr>
              <w:pStyle w:val="ListParagraph"/>
              <w:tabs>
                <w:tab w:val="left" w:pos="567"/>
              </w:tabs>
              <w:suppressAutoHyphens w:val="0"/>
              <w:spacing w:after="0" w:line="240" w:lineRule="auto"/>
              <w:ind w:left="0"/>
              <w:contextualSpacing w:val="0"/>
              <w:jc w:val="both"/>
              <w:rPr>
                <w:rFonts w:ascii="Times New Roman" w:hAnsi="Times New Roman" w:cs="Times New Roman"/>
                <w:sz w:val="24"/>
                <w:szCs w:val="24"/>
                <w:u w:val="single"/>
              </w:rPr>
            </w:pPr>
            <w:r w:rsidRPr="00C71189">
              <w:rPr>
                <w:rFonts w:ascii="Times New Roman" w:hAnsi="Times New Roman" w:cs="Times New Roman"/>
                <w:sz w:val="24"/>
                <w:szCs w:val="24"/>
                <w:u w:val="single"/>
              </w:rPr>
              <w:t>2. Kūdras ieguve dedzināšanai</w:t>
            </w:r>
          </w:p>
          <w:p w14:paraId="78485E3F" w14:textId="50406319" w:rsidR="00C16D51" w:rsidRPr="00C71189" w:rsidRDefault="00C16D51" w:rsidP="00C16D51">
            <w:pPr>
              <w:pStyle w:val="ListParagraph"/>
              <w:tabs>
                <w:tab w:val="left" w:pos="567"/>
              </w:tabs>
              <w:spacing w:after="0" w:line="240" w:lineRule="auto"/>
              <w:ind w:left="0"/>
              <w:jc w:val="both"/>
              <w:rPr>
                <w:rFonts w:ascii="Times New Roman" w:hAnsi="Times New Roman" w:cs="Times New Roman"/>
                <w:sz w:val="24"/>
                <w:szCs w:val="24"/>
              </w:rPr>
            </w:pPr>
            <w:r w:rsidRPr="00C71189">
              <w:rPr>
                <w:rFonts w:ascii="Times New Roman" w:hAnsi="Times New Roman" w:cs="Times New Roman"/>
                <w:sz w:val="24"/>
                <w:szCs w:val="24"/>
              </w:rPr>
              <w:t xml:space="preserve">LTRK ieskatā Likumprojekts un saistītie dokumenti nedod </w:t>
            </w:r>
            <w:r w:rsidRPr="00155855">
              <w:rPr>
                <w:rFonts w:ascii="Times New Roman" w:hAnsi="Times New Roman" w:cs="Times New Roman"/>
                <w:sz w:val="24"/>
                <w:szCs w:val="24"/>
              </w:rPr>
              <w:t>pietiekamu pamatojumu kūdras kā kurināmā aplikšanai ar dabas resursu nodokli.</w:t>
            </w:r>
            <w:r w:rsidRPr="00C71189">
              <w:rPr>
                <w:rFonts w:ascii="Times New Roman" w:hAnsi="Times New Roman" w:cs="Times New Roman"/>
                <w:sz w:val="24"/>
                <w:szCs w:val="24"/>
              </w:rPr>
              <w:t xml:space="preserve"> Lai arī kūdra kā kurināmais netiek plaši izmantots Latvijas enerģētikas bilancē (0,02% no enerģētikas bilances), ir tuvredzīgi ar papildus nodokļiem apgrūtināt tā izmantošanu. Kūdrai jāpaliek kā stratēģiskai rezervei, līdzīgi, kā šis kurināmais tiek izmantots, piemēram, Somijā. Tā pilda un arī turpmāk var pildīt balansējošu funkciju, kad nelabvēlīgu meteoroloģisku apstākļu rezultātā, biomasas/šķeldas pieejamība katlu mājām ir apgrūtinoša/dārga, kā arī gadījumiem, kad politisku un ekonomisku apsvērumu dēļ nav pieejams vai ievērojami sadārdzinājies no ārvalstīm iepirkto energoresursu apjoms. </w:t>
            </w:r>
          </w:p>
          <w:p w14:paraId="3BFB5C92" w14:textId="60FE265C" w:rsidR="00C16D51" w:rsidRPr="00C71189" w:rsidRDefault="00C16D51" w:rsidP="00C16D51">
            <w:pPr>
              <w:pStyle w:val="ListParagraph"/>
              <w:tabs>
                <w:tab w:val="left" w:pos="567"/>
              </w:tabs>
              <w:spacing w:line="240" w:lineRule="auto"/>
              <w:ind w:left="0"/>
              <w:jc w:val="both"/>
              <w:rPr>
                <w:rFonts w:ascii="Times New Roman" w:hAnsi="Times New Roman" w:cs="Times New Roman"/>
                <w:sz w:val="24"/>
                <w:szCs w:val="24"/>
              </w:rPr>
            </w:pPr>
            <w:r w:rsidRPr="00C71189">
              <w:rPr>
                <w:rFonts w:ascii="Times New Roman" w:hAnsi="Times New Roman" w:cs="Times New Roman"/>
                <w:sz w:val="24"/>
                <w:szCs w:val="24"/>
              </w:rPr>
              <w:t>Vienlaikus vēršam uzmanību, ka Latvija Taisnīgas pārkārtošanās fonda iniciatīvu ietvarā ir apņēmusies pārtraukt kūdras izmantošanu kurināšanai no 2030. gada, tamdēļ laika posmā līdz šāda kurināmā aizliegumam nebūtu pamatoti ar papildus slogu apgrūtināt šo kurināmā veidu, kura izmantošana iespējama stratēģiska alternatīva līdz pilnīgam šāda kurināmā aizliegumam.</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5968FC45" w14:textId="6A17DD0D" w:rsidR="00C16D51" w:rsidRPr="00E90B1C" w:rsidRDefault="00C16D51" w:rsidP="00C16D51">
            <w:pPr>
              <w:pStyle w:val="naisc"/>
              <w:spacing w:before="0" w:after="0"/>
              <w:jc w:val="both"/>
              <w:rPr>
                <w:b/>
                <w:bCs/>
              </w:rPr>
            </w:pPr>
            <w:r w:rsidRPr="00E90B1C">
              <w:rPr>
                <w:b/>
                <w:bCs/>
              </w:rPr>
              <w:t>Daļēji ņemts vērā.</w:t>
            </w:r>
          </w:p>
          <w:p w14:paraId="6B1973AB" w14:textId="2E9CB209" w:rsidR="00C16D51" w:rsidRPr="00C71189" w:rsidRDefault="00C16D51" w:rsidP="00C16D51">
            <w:pPr>
              <w:pStyle w:val="naisc"/>
              <w:spacing w:before="0" w:after="0"/>
              <w:jc w:val="both"/>
            </w:pPr>
            <w:r w:rsidRPr="00C71189">
              <w:t>Vēršam uzmanību, ka Latvijas Taisnīgas pārkārtošanās fonda iniciatīvu ietvarā ir apņēmusies arī ieviest d</w:t>
            </w:r>
            <w:r w:rsidRPr="00E90B1C">
              <w:t>abas</w:t>
            </w:r>
            <w:r>
              <w:t xml:space="preserve"> </w:t>
            </w:r>
            <w:r w:rsidRPr="00C71189">
              <w:t>resursu nodokli kūdrai kā kurināmajam. Nodoklis ir noteikts ar mērķi, lai pakāpeniski stimulētu kurināmās kūdras nomaiņu sadedzināšanas iekārtās līdz 2030.</w:t>
            </w:r>
            <w:r>
              <w:t> </w:t>
            </w:r>
            <w:r w:rsidRPr="00C71189">
              <w:t xml:space="preserve">gadam. Lai nodrošinātu pārejas laiku tehnoloģisko iekārtu nomaiņai, dabas resursu nodokļa piemērošana tiks </w:t>
            </w:r>
            <w:r>
              <w:t>noteikta no</w:t>
            </w:r>
            <w:r w:rsidRPr="00C71189">
              <w:t xml:space="preserve"> 2024.</w:t>
            </w:r>
            <w:r>
              <w:t> </w:t>
            </w:r>
            <w:r w:rsidRPr="00C71189">
              <w:t>gada 1.</w:t>
            </w:r>
            <w:r>
              <w:t> </w:t>
            </w:r>
            <w:r w:rsidRPr="00C71189">
              <w:t>janvār</w:t>
            </w:r>
            <w:r>
              <w:t>a</w:t>
            </w:r>
            <w:r w:rsidRPr="00C71189">
              <w:t xml:space="preserve">. </w:t>
            </w:r>
          </w:p>
          <w:p w14:paraId="351B3437" w14:textId="1CF82C23" w:rsidR="00C16D51" w:rsidRPr="00C71189" w:rsidRDefault="00C16D51" w:rsidP="00C16D51">
            <w:pPr>
              <w:pStyle w:val="naisc"/>
              <w:spacing w:before="0" w:after="0"/>
              <w:jc w:val="both"/>
              <w:rPr>
                <w:b/>
                <w:bCs/>
              </w:rPr>
            </w:pPr>
          </w:p>
        </w:tc>
      </w:tr>
      <w:tr w:rsidR="00C16D51" w:rsidRPr="00C71189" w14:paraId="2DB8782B"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2BBB3002" w14:textId="77777777" w:rsidR="00C16D51" w:rsidRPr="00C71189" w:rsidRDefault="00C16D51" w:rsidP="00C16D51">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3C486290" w14:textId="4CABAAA4" w:rsidR="00C16D51" w:rsidRPr="00C71189" w:rsidRDefault="00C16D51" w:rsidP="00C16D51">
            <w:pPr>
              <w:pStyle w:val="naisc"/>
              <w:spacing w:before="0" w:after="0"/>
              <w:ind w:firstLine="12"/>
              <w:jc w:val="both"/>
              <w:rPr>
                <w:b/>
              </w:rPr>
            </w:pPr>
            <w:r w:rsidRPr="00C71189">
              <w:rPr>
                <w:b/>
              </w:rPr>
              <w:t>Likumprojekta 19. panta likuma 26.</w:t>
            </w:r>
            <w:r>
              <w:rPr>
                <w:b/>
                <w:vertAlign w:val="superscript"/>
              </w:rPr>
              <w:t>2</w:t>
            </w:r>
            <w:r w:rsidRPr="00C71189">
              <w:rPr>
                <w:b/>
              </w:rPr>
              <w:t> pants:</w:t>
            </w:r>
          </w:p>
          <w:p w14:paraId="3FFA0049" w14:textId="4A1FB9B3" w:rsidR="00C16D51" w:rsidRPr="00C71189" w:rsidRDefault="00C16D51" w:rsidP="00C16D51">
            <w:pPr>
              <w:pStyle w:val="naisc"/>
              <w:ind w:firstLine="12"/>
              <w:jc w:val="both"/>
              <w:rPr>
                <w:bCs/>
              </w:rPr>
            </w:pPr>
            <w:r w:rsidRPr="00C71189">
              <w:rPr>
                <w:bCs/>
              </w:rPr>
              <w:t>“26.</w:t>
            </w:r>
            <w:r>
              <w:rPr>
                <w:bCs/>
                <w:vertAlign w:val="superscript"/>
              </w:rPr>
              <w:t>2</w:t>
            </w:r>
            <w:r w:rsidRPr="00C71189">
              <w:rPr>
                <w:bCs/>
              </w:rPr>
              <w:t xml:space="preserve"> pants. Nodokļa aprēķināšana par plastmasu saturošiem izstrādājumiem</w:t>
            </w:r>
          </w:p>
          <w:p w14:paraId="74E9BF6B" w14:textId="77777777" w:rsidR="00C16D51" w:rsidRPr="00C71189" w:rsidRDefault="00C16D51" w:rsidP="00C16D51">
            <w:pPr>
              <w:pStyle w:val="naisc"/>
              <w:ind w:firstLine="12"/>
              <w:jc w:val="both"/>
              <w:rPr>
                <w:bCs/>
              </w:rPr>
            </w:pPr>
            <w:r w:rsidRPr="00C71189">
              <w:rPr>
                <w:bCs/>
              </w:rPr>
              <w:t xml:space="preserve">(1) Nodokļa maksātājs aprēķina un maksā nodokli par Latvijas Republikā realizētiem vai savas saimnieciskās </w:t>
            </w:r>
            <w:r w:rsidRPr="00C71189">
              <w:rPr>
                <w:bCs/>
              </w:rPr>
              <w:lastRenderedPageBreak/>
              <w:t>darbības nodrošināšanai izmantotiem vienreiz lietojamajiem plastmasu saturošiem izstrādājumiem (mitrām salvetēm, baloniem, tabakas izstrādājumiem ar filtriem un filtriem, kas paredzēti lietošanai kopā ar tabakas izstrādājumiem) un plastmasu saturošiem zvejas rīkiem, piemērojot nodokli par katru izstrādājuma un zvejas rīka svara vienību. Nodokļa maksātājs nodrošina šo izstrādājumu un zvejas rīku uzskaiti, lai pamatotu nodokļa aprēķinu.</w:t>
            </w:r>
          </w:p>
          <w:p w14:paraId="46614FFA" w14:textId="77777777" w:rsidR="00C16D51" w:rsidRPr="00C71189" w:rsidRDefault="00C16D51" w:rsidP="00C16D51">
            <w:pPr>
              <w:pStyle w:val="naisc"/>
              <w:ind w:firstLine="12"/>
              <w:jc w:val="both"/>
              <w:rPr>
                <w:bCs/>
              </w:rPr>
            </w:pPr>
            <w:r w:rsidRPr="00C71189">
              <w:rPr>
                <w:bCs/>
              </w:rPr>
              <w:t>(2) Nodokli piemēro šādiem vienreiz lietojamajiem plastmasu saturošiem izstrādājumiem:</w:t>
            </w:r>
          </w:p>
          <w:p w14:paraId="1E45F713" w14:textId="77777777" w:rsidR="00C16D51" w:rsidRPr="00C71189" w:rsidRDefault="00C16D51" w:rsidP="00C16D51">
            <w:pPr>
              <w:pStyle w:val="naisc"/>
              <w:ind w:firstLine="12"/>
              <w:jc w:val="both"/>
              <w:rPr>
                <w:bCs/>
              </w:rPr>
            </w:pPr>
            <w:r w:rsidRPr="00C71189">
              <w:rPr>
                <w:bCs/>
              </w:rPr>
              <w:t>1) mitrās salvetes;</w:t>
            </w:r>
          </w:p>
          <w:p w14:paraId="7D2451CA" w14:textId="77777777" w:rsidR="00C16D51" w:rsidRPr="00C71189" w:rsidRDefault="00C16D51" w:rsidP="00C16D51">
            <w:pPr>
              <w:pStyle w:val="naisc"/>
              <w:ind w:firstLine="12"/>
              <w:jc w:val="both"/>
              <w:rPr>
                <w:bCs/>
              </w:rPr>
            </w:pPr>
            <w:r w:rsidRPr="00C71189">
              <w:rPr>
                <w:bCs/>
              </w:rPr>
              <w:t>2) baloni;</w:t>
            </w:r>
          </w:p>
          <w:p w14:paraId="7562B3EE" w14:textId="77777777" w:rsidR="00C16D51" w:rsidRPr="00C71189" w:rsidRDefault="00C16D51" w:rsidP="00C16D51">
            <w:pPr>
              <w:pStyle w:val="naisc"/>
              <w:ind w:firstLine="12"/>
              <w:jc w:val="both"/>
              <w:rPr>
                <w:bCs/>
              </w:rPr>
            </w:pPr>
            <w:r w:rsidRPr="00C71189">
              <w:rPr>
                <w:bCs/>
              </w:rPr>
              <w:t>3) tabakas izstrādājumi ar filtriem un filtri, kas paredzēti lietošanai kopā ar tabakas izstrādājumiem.</w:t>
            </w:r>
          </w:p>
          <w:p w14:paraId="472D7958" w14:textId="669DB3E9" w:rsidR="00C16D51" w:rsidRPr="00C71189" w:rsidRDefault="00C16D51" w:rsidP="00C16D51">
            <w:pPr>
              <w:spacing w:before="120"/>
              <w:jc w:val="both"/>
              <w:rPr>
                <w:b/>
                <w:bCs/>
              </w:rPr>
            </w:pPr>
            <w:r w:rsidRPr="00C71189">
              <w:rPr>
                <w:bCs/>
              </w:rPr>
              <w:lastRenderedPageBreak/>
              <w:t>(3) Vienreiz lietojamajiem plastmasu saturošiem izstrādājumiem un plastmasu saturošiem zvejas rīkiem piemēro nodokļa likmi 12,20 euro par katru šo izstrādājumu vai plastmasu saturošu zvejas rīku kilogramu.”</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28F0459C" w14:textId="5572278B" w:rsidR="00C16D51" w:rsidRPr="00F80248" w:rsidRDefault="00C16D51" w:rsidP="00C16D51">
            <w:pPr>
              <w:tabs>
                <w:tab w:val="left" w:pos="567"/>
              </w:tabs>
              <w:suppressAutoHyphens w:val="0"/>
              <w:spacing w:after="120"/>
              <w:jc w:val="both"/>
              <w:rPr>
                <w:u w:val="single"/>
              </w:rPr>
            </w:pPr>
            <w:r w:rsidRPr="00F80248">
              <w:rPr>
                <w:u w:val="single"/>
              </w:rPr>
              <w:lastRenderedPageBreak/>
              <w:t>3. Plastmasu saturoši izstrādājumi un plastmasu saturoši zvejas rīki, kam nepiemēro ražotāja paplašinātās atbildības sistēmu</w:t>
            </w:r>
          </w:p>
          <w:p w14:paraId="24AB4020" w14:textId="19F81F59" w:rsidR="00C16D51" w:rsidRPr="00F80248" w:rsidRDefault="00C16D51" w:rsidP="00C16D51">
            <w:pPr>
              <w:pStyle w:val="ListParagraph"/>
              <w:numPr>
                <w:ilvl w:val="0"/>
                <w:numId w:val="15"/>
              </w:numPr>
              <w:suppressAutoHyphens w:val="0"/>
              <w:spacing w:after="0" w:line="240" w:lineRule="auto"/>
              <w:ind w:left="567"/>
              <w:contextualSpacing w:val="0"/>
              <w:jc w:val="both"/>
              <w:rPr>
                <w:rFonts w:ascii="Times New Roman" w:hAnsi="Times New Roman" w:cs="Times New Roman"/>
                <w:sz w:val="24"/>
                <w:szCs w:val="24"/>
              </w:rPr>
            </w:pPr>
            <w:r w:rsidRPr="00F80248">
              <w:rPr>
                <w:rFonts w:ascii="Times New Roman" w:hAnsi="Times New Roman" w:cs="Times New Roman"/>
                <w:sz w:val="24"/>
                <w:szCs w:val="24"/>
              </w:rPr>
              <w:t xml:space="preserve">Atbilstoši Likumprojekta anotācijā norādītajam, Likumprojekts paredz noteikt jaunu </w:t>
            </w:r>
            <w:r w:rsidRPr="00155855">
              <w:rPr>
                <w:rFonts w:ascii="Times New Roman" w:hAnsi="Times New Roman" w:cs="Times New Roman"/>
                <w:sz w:val="24"/>
                <w:szCs w:val="24"/>
              </w:rPr>
              <w:t>dabas resursu nodokļa</w:t>
            </w:r>
            <w:r w:rsidRPr="00C71189">
              <w:t xml:space="preserve"> </w:t>
            </w:r>
            <w:r w:rsidRPr="00F80248">
              <w:rPr>
                <w:rFonts w:ascii="Times New Roman" w:hAnsi="Times New Roman" w:cs="Times New Roman"/>
                <w:sz w:val="24"/>
                <w:szCs w:val="24"/>
              </w:rPr>
              <w:t>objektu – vienreizlietojami plastmasu saturoši izstrādājumi (mitrās salvetes, baloni, tabakas izstrādājumi ar filtriem un filtri, kas paredzēti lietošanai kopā ar tabakas izstrādājumiem) un plastmasu saturoši zvejas rīki, kam nepiemēro ražotāja paplašinātās atbildības sistēmu atbilstoši Plastmasu saturošu izstrādājumu patēriņa samazināšanas likuma 10. pantā noteiktajām prasībām. Savukārt Likumprojekta 26.</w:t>
            </w:r>
            <w:r>
              <w:rPr>
                <w:rFonts w:ascii="Times New Roman" w:hAnsi="Times New Roman" w:cs="Times New Roman"/>
                <w:sz w:val="24"/>
                <w:szCs w:val="24"/>
                <w:vertAlign w:val="superscript"/>
              </w:rPr>
              <w:t>2</w:t>
            </w:r>
            <w:r w:rsidRPr="00F80248">
              <w:rPr>
                <w:rFonts w:ascii="Times New Roman" w:hAnsi="Times New Roman" w:cs="Times New Roman"/>
                <w:sz w:val="24"/>
                <w:szCs w:val="24"/>
                <w:vertAlign w:val="superscript"/>
              </w:rPr>
              <w:t xml:space="preserve"> </w:t>
            </w:r>
            <w:r w:rsidRPr="00F80248">
              <w:rPr>
                <w:rFonts w:ascii="Times New Roman" w:hAnsi="Times New Roman" w:cs="Times New Roman"/>
                <w:sz w:val="24"/>
                <w:szCs w:val="24"/>
              </w:rPr>
              <w:t xml:space="preserve">pantā nav norādīts, ka </w:t>
            </w:r>
            <w:r w:rsidRPr="00F80248">
              <w:rPr>
                <w:rFonts w:ascii="Times New Roman" w:hAnsi="Times New Roman" w:cs="Times New Roman"/>
                <w:sz w:val="24"/>
                <w:szCs w:val="24"/>
              </w:rPr>
              <w:lastRenderedPageBreak/>
              <w:t xml:space="preserve">jauniem nodokļa objektiem </w:t>
            </w:r>
            <w:r>
              <w:rPr>
                <w:rFonts w:ascii="Times New Roman" w:hAnsi="Times New Roman" w:cs="Times New Roman"/>
                <w:sz w:val="24"/>
                <w:szCs w:val="24"/>
              </w:rPr>
              <w:t>dabas resursu nodoklis</w:t>
            </w:r>
            <w:r w:rsidRPr="00F80248">
              <w:rPr>
                <w:rFonts w:ascii="Times New Roman" w:hAnsi="Times New Roman" w:cs="Times New Roman"/>
                <w:sz w:val="24"/>
                <w:szCs w:val="24"/>
              </w:rPr>
              <w:t xml:space="preserve"> tiek aprēķināts tikai gadījumā, ja netiek piemērota ražotāja paplašinātās atbildības sistēma (RAS).</w:t>
            </w:r>
          </w:p>
          <w:p w14:paraId="58C7C5EB" w14:textId="5589FF49" w:rsidR="00C16D51" w:rsidRPr="00F80248" w:rsidRDefault="00C16D51" w:rsidP="00C16D51">
            <w:pPr>
              <w:pStyle w:val="western"/>
              <w:spacing w:before="0" w:beforeAutospacing="0" w:after="120" w:afterAutospacing="0"/>
              <w:ind w:left="567"/>
              <w:jc w:val="both"/>
              <w:rPr>
                <w:rFonts w:ascii="Times New Roman" w:hAnsi="Times New Roman" w:cs="Times New Roman"/>
                <w:sz w:val="24"/>
                <w:szCs w:val="24"/>
              </w:rPr>
            </w:pPr>
            <w:r w:rsidRPr="00F80248">
              <w:rPr>
                <w:rFonts w:ascii="Times New Roman" w:hAnsi="Times New Roman" w:cs="Times New Roman"/>
                <w:sz w:val="24"/>
                <w:szCs w:val="24"/>
              </w:rPr>
              <w:t>Aicinām precizēt Likumprojekta 26.</w:t>
            </w:r>
            <w:r>
              <w:rPr>
                <w:rFonts w:ascii="Times New Roman" w:hAnsi="Times New Roman" w:cs="Times New Roman"/>
                <w:sz w:val="24"/>
                <w:szCs w:val="24"/>
                <w:vertAlign w:val="superscript"/>
              </w:rPr>
              <w:t>2</w:t>
            </w:r>
            <w:r w:rsidRPr="00F80248">
              <w:rPr>
                <w:rFonts w:ascii="Times New Roman" w:hAnsi="Times New Roman" w:cs="Times New Roman"/>
                <w:sz w:val="24"/>
                <w:szCs w:val="24"/>
                <w:vertAlign w:val="superscript"/>
              </w:rPr>
              <w:t xml:space="preserve"> </w:t>
            </w:r>
            <w:r w:rsidRPr="00F80248">
              <w:rPr>
                <w:rFonts w:ascii="Times New Roman" w:hAnsi="Times New Roman" w:cs="Times New Roman"/>
                <w:sz w:val="24"/>
                <w:szCs w:val="24"/>
              </w:rPr>
              <w:t xml:space="preserve">pantu nosakot, ka </w:t>
            </w:r>
            <w:r w:rsidRPr="004D164D">
              <w:rPr>
                <w:rFonts w:ascii="Times New Roman" w:hAnsi="Times New Roman" w:cs="Times New Roman"/>
                <w:sz w:val="24"/>
                <w:szCs w:val="24"/>
              </w:rPr>
              <w:t>dabas resursu nodoklis</w:t>
            </w:r>
            <w:r w:rsidRPr="00F80248">
              <w:rPr>
                <w:rFonts w:ascii="Times New Roman" w:hAnsi="Times New Roman" w:cs="Times New Roman"/>
                <w:sz w:val="24"/>
                <w:szCs w:val="24"/>
              </w:rPr>
              <w:t xml:space="preserve"> iepriekš minētiem vienreizlietojamiem plastmasu saturošiem izstrādājumiem piemēro tad, ja to ražotājs vai importētājs nepiedalās RAS Plastmasu saturošu izstrādājumu patēriņa samazināšanas likumā noteiktajā kārtībā. </w:t>
            </w:r>
          </w:p>
          <w:p w14:paraId="0300AE5A" w14:textId="41C5A881" w:rsidR="00C16D51" w:rsidRPr="00F80248" w:rsidRDefault="00C16D51" w:rsidP="00C16D51">
            <w:pPr>
              <w:pStyle w:val="western"/>
              <w:numPr>
                <w:ilvl w:val="0"/>
                <w:numId w:val="15"/>
              </w:numPr>
              <w:spacing w:before="0" w:beforeAutospacing="0" w:after="0" w:afterAutospacing="0"/>
              <w:ind w:left="567" w:hanging="283"/>
              <w:jc w:val="both"/>
              <w:rPr>
                <w:rFonts w:ascii="Times New Roman" w:hAnsi="Times New Roman" w:cs="Times New Roman"/>
                <w:sz w:val="24"/>
                <w:szCs w:val="24"/>
              </w:rPr>
            </w:pPr>
            <w:r w:rsidRPr="00F80248">
              <w:rPr>
                <w:rFonts w:ascii="Times New Roman" w:hAnsi="Times New Roman" w:cs="Times New Roman"/>
                <w:sz w:val="24"/>
                <w:szCs w:val="24"/>
              </w:rPr>
              <w:t xml:space="preserve">Likumprojektā kā </w:t>
            </w:r>
            <w:r w:rsidRPr="004D164D">
              <w:rPr>
                <w:rFonts w:ascii="Times New Roman" w:hAnsi="Times New Roman" w:cs="Times New Roman"/>
                <w:sz w:val="24"/>
                <w:szCs w:val="24"/>
              </w:rPr>
              <w:t>dabas resursu nodokļa objekts</w:t>
            </w:r>
            <w:r w:rsidRPr="00F80248">
              <w:rPr>
                <w:rFonts w:ascii="Times New Roman" w:hAnsi="Times New Roman" w:cs="Times New Roman"/>
                <w:sz w:val="24"/>
                <w:szCs w:val="24"/>
              </w:rPr>
              <w:t xml:space="preserve"> tiek noteikti “vienreizlietojami plastmasu saturoši izstrādājumi - tabakas izstrādājumi ar filtriem un filtri, kas paredzēti lietošanai kopā ar tabakas izstrādājumiem”. Tabakas izstrādājumi (piem. cigaretes, cigarillas) ir izstrādājumi, kas sastāv no tabakas un no filtra. Tabaka smēķēšanas procesā sadeg. Tabaka nesatur vienreizlietojamu plastmasu, to satur filtrs, līdz ar to par </w:t>
            </w:r>
            <w:r w:rsidRPr="004D164D">
              <w:rPr>
                <w:rFonts w:ascii="Times New Roman" w:hAnsi="Times New Roman" w:cs="Times New Roman"/>
                <w:sz w:val="24"/>
                <w:szCs w:val="24"/>
              </w:rPr>
              <w:t>dabas resursu nodokļa</w:t>
            </w:r>
            <w:r w:rsidRPr="00F80248">
              <w:rPr>
                <w:rFonts w:ascii="Times New Roman" w:hAnsi="Times New Roman" w:cs="Times New Roman"/>
                <w:sz w:val="24"/>
                <w:szCs w:val="24"/>
              </w:rPr>
              <w:t xml:space="preserve"> objektu būtu jābūt tikai tai daļai, kas satur plastmasu – t.i. tabakas izstrādājumu filtriem un filtriem, kas paredzēti lietošanai kopā ar tabakas izstrādājumiem. </w:t>
            </w:r>
          </w:p>
          <w:p w14:paraId="4C2D6E56" w14:textId="1F2754B0" w:rsidR="00C16D51" w:rsidRPr="00F80248" w:rsidRDefault="00C16D51" w:rsidP="00C16D51">
            <w:pPr>
              <w:pStyle w:val="western"/>
              <w:spacing w:before="0" w:beforeAutospacing="0" w:after="120" w:afterAutospacing="0"/>
              <w:ind w:left="567"/>
              <w:jc w:val="both"/>
              <w:rPr>
                <w:rFonts w:ascii="Times New Roman" w:hAnsi="Times New Roman" w:cs="Times New Roman"/>
                <w:sz w:val="24"/>
                <w:szCs w:val="24"/>
              </w:rPr>
            </w:pPr>
            <w:r w:rsidRPr="00F80248">
              <w:rPr>
                <w:rFonts w:ascii="Times New Roman" w:hAnsi="Times New Roman" w:cs="Times New Roman"/>
                <w:sz w:val="24"/>
                <w:szCs w:val="24"/>
              </w:rPr>
              <w:t xml:space="preserve">Aicinām precizēt likumprojektā </w:t>
            </w:r>
            <w:r w:rsidRPr="004D164D">
              <w:rPr>
                <w:rFonts w:ascii="Times New Roman" w:hAnsi="Times New Roman" w:cs="Times New Roman"/>
                <w:sz w:val="24"/>
                <w:szCs w:val="24"/>
              </w:rPr>
              <w:t>dabas resursu nodokļa</w:t>
            </w:r>
            <w:r w:rsidRPr="00F80248">
              <w:rPr>
                <w:rFonts w:ascii="Times New Roman" w:hAnsi="Times New Roman" w:cs="Times New Roman"/>
                <w:sz w:val="24"/>
                <w:szCs w:val="24"/>
              </w:rPr>
              <w:t xml:space="preserve"> objektu, aizvietojot vārdus ”tabakas izstrādājumi ar filtriem un filtri, kas paredzēti lietošanai kopā ar tabakas izstrādājumiem” ar “tabakas izstrādājumu filtri un filtri, kas paredzēti lietošanai kopā ar tabakas izstrādājumiem”.</w:t>
            </w:r>
          </w:p>
          <w:p w14:paraId="05EEC991" w14:textId="6C7DFD5E" w:rsidR="00C16D51" w:rsidRPr="00F80248" w:rsidRDefault="00C16D51" w:rsidP="00C16D51">
            <w:pPr>
              <w:pStyle w:val="western"/>
              <w:numPr>
                <w:ilvl w:val="0"/>
                <w:numId w:val="16"/>
              </w:numPr>
              <w:spacing w:before="0" w:beforeAutospacing="0" w:after="0" w:afterAutospacing="0"/>
              <w:ind w:left="567"/>
              <w:jc w:val="both"/>
              <w:rPr>
                <w:rFonts w:ascii="Times New Roman" w:hAnsi="Times New Roman" w:cs="Times New Roman"/>
                <w:sz w:val="24"/>
                <w:szCs w:val="24"/>
              </w:rPr>
            </w:pPr>
            <w:r w:rsidRPr="00F80248">
              <w:rPr>
                <w:rFonts w:ascii="Times New Roman" w:hAnsi="Times New Roman" w:cs="Times New Roman"/>
                <w:sz w:val="24"/>
                <w:szCs w:val="24"/>
              </w:rPr>
              <w:t>Likumprojekta 26.</w:t>
            </w:r>
            <w:r>
              <w:rPr>
                <w:rFonts w:ascii="Times New Roman" w:hAnsi="Times New Roman" w:cs="Times New Roman"/>
                <w:sz w:val="24"/>
                <w:szCs w:val="24"/>
                <w:vertAlign w:val="superscript"/>
              </w:rPr>
              <w:t>2</w:t>
            </w:r>
            <w:r w:rsidRPr="00F80248">
              <w:rPr>
                <w:rFonts w:ascii="Times New Roman" w:hAnsi="Times New Roman" w:cs="Times New Roman"/>
                <w:sz w:val="24"/>
                <w:szCs w:val="24"/>
                <w:vertAlign w:val="superscript"/>
              </w:rPr>
              <w:t> </w:t>
            </w:r>
            <w:r w:rsidRPr="00F80248">
              <w:rPr>
                <w:rFonts w:ascii="Times New Roman" w:hAnsi="Times New Roman" w:cs="Times New Roman"/>
                <w:sz w:val="24"/>
                <w:szCs w:val="24"/>
              </w:rPr>
              <w:t>panta trešā daļa paredz, ka “v</w:t>
            </w:r>
            <w:r w:rsidRPr="00F80248">
              <w:rPr>
                <w:rFonts w:ascii="Times New Roman" w:hAnsi="Times New Roman" w:cs="Times New Roman"/>
                <w:sz w:val="24"/>
                <w:szCs w:val="24"/>
                <w:shd w:val="clear" w:color="auto" w:fill="FFFFFF"/>
              </w:rPr>
              <w:t xml:space="preserve">ienreizlietojamajiem plastmasu saturošiem izstrādājumiem un plastmasu saturošiem zvejas rīkiem piemēro nodokļa likmi </w:t>
            </w:r>
            <w:r w:rsidRPr="00F80248">
              <w:rPr>
                <w:rFonts w:ascii="Times New Roman" w:hAnsi="Times New Roman" w:cs="Times New Roman"/>
                <w:sz w:val="24"/>
                <w:szCs w:val="24"/>
              </w:rPr>
              <w:t xml:space="preserve">12,20 </w:t>
            </w:r>
            <w:r w:rsidRPr="00DC54BD">
              <w:rPr>
                <w:rFonts w:ascii="Times New Roman" w:hAnsi="Times New Roman" w:cs="Times New Roman"/>
                <w:i/>
                <w:iCs/>
                <w:sz w:val="24"/>
                <w:szCs w:val="24"/>
              </w:rPr>
              <w:t>euro</w:t>
            </w:r>
            <w:r w:rsidRPr="00F80248">
              <w:rPr>
                <w:rFonts w:ascii="Times New Roman" w:hAnsi="Times New Roman" w:cs="Times New Roman"/>
                <w:sz w:val="24"/>
                <w:szCs w:val="24"/>
              </w:rPr>
              <w:t xml:space="preserve"> par katru šo izstrādājumu vai plastmasu saturošu zvejas rīku kilogramu.”</w:t>
            </w:r>
          </w:p>
          <w:p w14:paraId="34B76E82" w14:textId="7EAD4F8A" w:rsidR="00C16D51" w:rsidRPr="00F80248" w:rsidRDefault="00C16D51" w:rsidP="00C16D51">
            <w:pPr>
              <w:pStyle w:val="western"/>
              <w:spacing w:before="0" w:beforeAutospacing="0" w:after="0" w:afterAutospacing="0"/>
              <w:ind w:left="567"/>
              <w:jc w:val="both"/>
              <w:rPr>
                <w:rFonts w:ascii="Times New Roman" w:hAnsi="Times New Roman" w:cs="Times New Roman"/>
                <w:sz w:val="24"/>
                <w:szCs w:val="24"/>
              </w:rPr>
            </w:pPr>
            <w:r w:rsidRPr="00F80248">
              <w:rPr>
                <w:rFonts w:ascii="Times New Roman" w:hAnsi="Times New Roman" w:cs="Times New Roman"/>
                <w:sz w:val="24"/>
                <w:szCs w:val="24"/>
              </w:rPr>
              <w:lastRenderedPageBreak/>
              <w:t xml:space="preserve">12.20 </w:t>
            </w:r>
            <w:r w:rsidRPr="00DC54BD">
              <w:rPr>
                <w:rFonts w:ascii="Times New Roman" w:hAnsi="Times New Roman" w:cs="Times New Roman"/>
                <w:i/>
                <w:iCs/>
                <w:sz w:val="24"/>
                <w:szCs w:val="24"/>
              </w:rPr>
              <w:t>euro</w:t>
            </w:r>
            <w:r w:rsidRPr="00F80248">
              <w:rPr>
                <w:rFonts w:ascii="Times New Roman" w:hAnsi="Times New Roman" w:cs="Times New Roman"/>
                <w:sz w:val="24"/>
                <w:szCs w:val="24"/>
              </w:rPr>
              <w:t xml:space="preserve">/kg tika paredzēta kā soda nauda, izstrādājot Plastmasu saturošu izstrādājumu patēriņa samazināšanas likumu (sākotnēji soda naudas apjoms bija plānots 2,20 </w:t>
            </w:r>
            <w:r w:rsidRPr="00DC54BD">
              <w:rPr>
                <w:rFonts w:ascii="Times New Roman" w:hAnsi="Times New Roman" w:cs="Times New Roman"/>
                <w:i/>
                <w:iCs/>
                <w:sz w:val="24"/>
                <w:szCs w:val="24"/>
              </w:rPr>
              <w:t>euro</w:t>
            </w:r>
            <w:r w:rsidRPr="00F80248">
              <w:rPr>
                <w:rFonts w:ascii="Times New Roman" w:hAnsi="Times New Roman" w:cs="Times New Roman"/>
                <w:sz w:val="24"/>
                <w:szCs w:val="24"/>
              </w:rPr>
              <w:t xml:space="preserve">/kg, nevis 12,20 </w:t>
            </w:r>
            <w:r w:rsidRPr="00DC54BD">
              <w:rPr>
                <w:rFonts w:ascii="Times New Roman" w:hAnsi="Times New Roman" w:cs="Times New Roman"/>
                <w:i/>
                <w:iCs/>
                <w:sz w:val="24"/>
                <w:szCs w:val="24"/>
              </w:rPr>
              <w:t>euro</w:t>
            </w:r>
            <w:r w:rsidRPr="00F80248">
              <w:rPr>
                <w:rFonts w:ascii="Times New Roman" w:hAnsi="Times New Roman" w:cs="Times New Roman"/>
                <w:sz w:val="24"/>
                <w:szCs w:val="24"/>
              </w:rPr>
              <w:t xml:space="preserve">/kg). </w:t>
            </w:r>
            <w:r>
              <w:rPr>
                <w:rFonts w:ascii="Times New Roman" w:hAnsi="Times New Roman" w:cs="Times New Roman"/>
                <w:sz w:val="24"/>
                <w:szCs w:val="24"/>
                <w:u w:val="single"/>
              </w:rPr>
              <w:t>Li</w:t>
            </w:r>
            <w:r w:rsidRPr="00F80248">
              <w:rPr>
                <w:rFonts w:ascii="Times New Roman" w:hAnsi="Times New Roman" w:cs="Times New Roman"/>
                <w:sz w:val="24"/>
                <w:szCs w:val="24"/>
                <w:u w:val="single"/>
              </w:rPr>
              <w:t>kumprojektā netiek runāts par soda naudu, bet tiek noteikts jauns nodokļa objekts</w:t>
            </w:r>
            <w:r w:rsidRPr="00F80248">
              <w:rPr>
                <w:rFonts w:ascii="Times New Roman" w:hAnsi="Times New Roman" w:cs="Times New Roman"/>
                <w:sz w:val="24"/>
                <w:szCs w:val="24"/>
              </w:rPr>
              <w:t xml:space="preserve">, līdz ar to arī likmēm būtu jābūt samērīgām ar citu plastmasas izstrādājumu </w:t>
            </w:r>
            <w:r w:rsidRPr="00DC54BD">
              <w:rPr>
                <w:rFonts w:ascii="Times New Roman" w:hAnsi="Times New Roman" w:cs="Times New Roman"/>
                <w:sz w:val="24"/>
                <w:szCs w:val="24"/>
              </w:rPr>
              <w:t>dabas resursu nodokļa</w:t>
            </w:r>
            <w:r w:rsidRPr="00F80248">
              <w:rPr>
                <w:rFonts w:ascii="Times New Roman" w:hAnsi="Times New Roman" w:cs="Times New Roman"/>
                <w:sz w:val="24"/>
                <w:szCs w:val="24"/>
              </w:rPr>
              <w:t xml:space="preserve"> likmēm, piem. no plastmasas (polimēru) izejmateriāliem 1,22 </w:t>
            </w:r>
            <w:r w:rsidRPr="00DC54BD">
              <w:rPr>
                <w:rFonts w:ascii="Times New Roman" w:hAnsi="Times New Roman" w:cs="Times New Roman"/>
                <w:i/>
                <w:iCs/>
                <w:sz w:val="24"/>
                <w:szCs w:val="24"/>
              </w:rPr>
              <w:t>euro</w:t>
            </w:r>
            <w:r w:rsidRPr="00F80248">
              <w:rPr>
                <w:rFonts w:ascii="Times New Roman" w:hAnsi="Times New Roman" w:cs="Times New Roman"/>
                <w:sz w:val="24"/>
                <w:szCs w:val="24"/>
              </w:rPr>
              <w:t xml:space="preserve">/kg, no polistirola izejmateriāliem 2,20 </w:t>
            </w:r>
            <w:r w:rsidRPr="00DC54BD">
              <w:rPr>
                <w:rFonts w:ascii="Times New Roman" w:hAnsi="Times New Roman" w:cs="Times New Roman"/>
                <w:i/>
                <w:iCs/>
                <w:sz w:val="24"/>
                <w:szCs w:val="24"/>
              </w:rPr>
              <w:t>euro</w:t>
            </w:r>
            <w:r w:rsidRPr="00F80248">
              <w:rPr>
                <w:rFonts w:ascii="Times New Roman" w:hAnsi="Times New Roman" w:cs="Times New Roman"/>
                <w:sz w:val="24"/>
                <w:szCs w:val="24"/>
              </w:rPr>
              <w:t xml:space="preserve">/kg. </w:t>
            </w:r>
          </w:p>
          <w:p w14:paraId="7C1738DB" w14:textId="72812962" w:rsidR="00C16D51" w:rsidRPr="00F80248" w:rsidRDefault="00C16D51" w:rsidP="00C16D51">
            <w:pPr>
              <w:pStyle w:val="western"/>
              <w:spacing w:before="0" w:beforeAutospacing="0" w:after="0" w:afterAutospacing="0"/>
              <w:ind w:left="567"/>
              <w:jc w:val="both"/>
              <w:rPr>
                <w:rFonts w:ascii="Times New Roman" w:hAnsi="Times New Roman" w:cs="Times New Roman"/>
                <w:sz w:val="24"/>
                <w:szCs w:val="24"/>
              </w:rPr>
            </w:pPr>
            <w:r w:rsidRPr="00F80248">
              <w:rPr>
                <w:rFonts w:ascii="Times New Roman" w:hAnsi="Times New Roman" w:cs="Times New Roman"/>
                <w:sz w:val="24"/>
                <w:szCs w:val="24"/>
              </w:rPr>
              <w:t xml:space="preserve">Likumprojektā paredzētā </w:t>
            </w:r>
            <w:r w:rsidRPr="00DC54BD">
              <w:rPr>
                <w:rFonts w:ascii="Times New Roman" w:hAnsi="Times New Roman" w:cs="Times New Roman"/>
                <w:sz w:val="24"/>
                <w:szCs w:val="24"/>
              </w:rPr>
              <w:t>dabas resursu nodokļa</w:t>
            </w:r>
            <w:r w:rsidRPr="00F80248">
              <w:rPr>
                <w:rFonts w:ascii="Times New Roman" w:hAnsi="Times New Roman" w:cs="Times New Roman"/>
                <w:sz w:val="24"/>
                <w:szCs w:val="24"/>
              </w:rPr>
              <w:t xml:space="preserve"> likme 12</w:t>
            </w:r>
            <w:r>
              <w:rPr>
                <w:rFonts w:ascii="Times New Roman" w:hAnsi="Times New Roman" w:cs="Times New Roman"/>
                <w:sz w:val="24"/>
                <w:szCs w:val="24"/>
              </w:rPr>
              <w:t>,</w:t>
            </w:r>
            <w:r w:rsidRPr="00F80248">
              <w:rPr>
                <w:rFonts w:ascii="Times New Roman" w:hAnsi="Times New Roman" w:cs="Times New Roman"/>
                <w:sz w:val="24"/>
                <w:szCs w:val="24"/>
              </w:rPr>
              <w:t xml:space="preserve">20 </w:t>
            </w:r>
            <w:r w:rsidRPr="00DC54BD">
              <w:rPr>
                <w:rFonts w:ascii="Times New Roman" w:hAnsi="Times New Roman" w:cs="Times New Roman"/>
                <w:i/>
                <w:iCs/>
                <w:sz w:val="24"/>
                <w:szCs w:val="24"/>
              </w:rPr>
              <w:t>euro</w:t>
            </w:r>
            <w:r w:rsidRPr="00F80248">
              <w:rPr>
                <w:rFonts w:ascii="Times New Roman" w:hAnsi="Times New Roman" w:cs="Times New Roman"/>
                <w:sz w:val="24"/>
                <w:szCs w:val="24"/>
              </w:rPr>
              <w:t>/kg v</w:t>
            </w:r>
            <w:r w:rsidRPr="00F80248">
              <w:rPr>
                <w:rFonts w:ascii="Times New Roman" w:hAnsi="Times New Roman" w:cs="Times New Roman"/>
                <w:sz w:val="24"/>
                <w:szCs w:val="24"/>
                <w:shd w:val="clear" w:color="auto" w:fill="FFFFFF"/>
              </w:rPr>
              <w:t xml:space="preserve">ienreizlietojamajiem plastmasu saturošiem izstrādājumiem nesamērīgi pārsniedz noteiktās DRN likmes par citām videi kaitīgām precēm, un šāda apmēra likmes paredzētas tikai baterijām un akumulatoriem. Vienreizlietojamie plastmasu saturošie izstrādājumi (mitrās salvetes, baloni, tabakas izstrādājumu filtri) rada piegružojumu un vides piesārņojumu tāpat kā citi ar </w:t>
            </w:r>
            <w:r w:rsidRPr="00EE002B">
              <w:rPr>
                <w:rFonts w:ascii="Times New Roman" w:hAnsi="Times New Roman" w:cs="Times New Roman"/>
                <w:sz w:val="24"/>
                <w:szCs w:val="24"/>
              </w:rPr>
              <w:t>dabas resursu nodokli</w:t>
            </w:r>
            <w:r w:rsidRPr="00F80248">
              <w:rPr>
                <w:rFonts w:ascii="Times New Roman" w:hAnsi="Times New Roman" w:cs="Times New Roman"/>
                <w:sz w:val="24"/>
                <w:szCs w:val="24"/>
                <w:shd w:val="clear" w:color="auto" w:fill="FFFFFF"/>
              </w:rPr>
              <w:t xml:space="preserve"> jau apliktie plastmasu saturoši izstrādājumi un iepakojumi, tomēr to ietekmi nevar salīdzināt ar bateriju un akumulatoru ietekmi. Šis aspekts būtu jāņem vēra, nosakot </w:t>
            </w:r>
            <w:r w:rsidRPr="00060558">
              <w:rPr>
                <w:rFonts w:ascii="Times New Roman" w:hAnsi="Times New Roman" w:cs="Times New Roman"/>
                <w:sz w:val="24"/>
                <w:szCs w:val="24"/>
                <w:shd w:val="clear" w:color="auto" w:fill="FFFFFF"/>
              </w:rPr>
              <w:t>dabas resursu nodokļa</w:t>
            </w:r>
            <w:r w:rsidRPr="00F80248">
              <w:rPr>
                <w:rFonts w:ascii="Times New Roman" w:hAnsi="Times New Roman" w:cs="Times New Roman"/>
                <w:sz w:val="24"/>
                <w:szCs w:val="24"/>
                <w:shd w:val="clear" w:color="auto" w:fill="FFFFFF"/>
              </w:rPr>
              <w:t xml:space="preserve"> likmes jaunajiem nodokļa objektiem.</w:t>
            </w:r>
          </w:p>
          <w:p w14:paraId="3694FCC9" w14:textId="386DDDDC" w:rsidR="00C16D51" w:rsidRPr="00F80248" w:rsidRDefault="00C16D51" w:rsidP="00C16D51">
            <w:pPr>
              <w:pStyle w:val="western"/>
              <w:spacing w:before="0" w:beforeAutospacing="0" w:after="0" w:afterAutospacing="0"/>
              <w:ind w:left="567"/>
              <w:jc w:val="both"/>
              <w:rPr>
                <w:rFonts w:ascii="Times New Roman" w:hAnsi="Times New Roman" w:cs="Times New Roman"/>
                <w:sz w:val="24"/>
                <w:szCs w:val="24"/>
              </w:rPr>
            </w:pPr>
            <w:r w:rsidRPr="00F80248">
              <w:rPr>
                <w:rFonts w:ascii="Times New Roman" w:hAnsi="Times New Roman" w:cs="Times New Roman"/>
                <w:sz w:val="24"/>
                <w:szCs w:val="24"/>
              </w:rPr>
              <w:t>Aicinām izteikt Likumprojekta 26.</w:t>
            </w:r>
            <w:r>
              <w:rPr>
                <w:rFonts w:ascii="Times New Roman" w:hAnsi="Times New Roman" w:cs="Times New Roman"/>
                <w:sz w:val="24"/>
                <w:szCs w:val="24"/>
                <w:vertAlign w:val="superscript"/>
              </w:rPr>
              <w:t>2</w:t>
            </w:r>
            <w:r w:rsidRPr="00F80248">
              <w:rPr>
                <w:rFonts w:ascii="Times New Roman" w:hAnsi="Times New Roman" w:cs="Times New Roman"/>
                <w:sz w:val="24"/>
                <w:szCs w:val="24"/>
                <w:vertAlign w:val="superscript"/>
              </w:rPr>
              <w:t> </w:t>
            </w:r>
            <w:r w:rsidRPr="00F80248">
              <w:rPr>
                <w:rFonts w:ascii="Times New Roman" w:hAnsi="Times New Roman" w:cs="Times New Roman"/>
                <w:sz w:val="24"/>
                <w:szCs w:val="24"/>
              </w:rPr>
              <w:t>panta trešo daļu sekojošā redakcijā: “</w:t>
            </w:r>
            <w:r w:rsidRPr="00F80248">
              <w:rPr>
                <w:rFonts w:ascii="Times New Roman" w:hAnsi="Times New Roman" w:cs="Times New Roman"/>
                <w:sz w:val="24"/>
                <w:szCs w:val="24"/>
                <w:shd w:val="clear" w:color="auto" w:fill="FFFFFF"/>
              </w:rPr>
              <w:t xml:space="preserve">Vienreizlietojamajiem plastmasu saturošiem izstrādājumiem un plastmasu saturošiem zvejas rīkiem piemēro nodokļa likmi </w:t>
            </w:r>
            <w:r w:rsidRPr="00F80248">
              <w:rPr>
                <w:rFonts w:ascii="Times New Roman" w:hAnsi="Times New Roman" w:cs="Times New Roman"/>
                <w:sz w:val="24"/>
                <w:szCs w:val="24"/>
              </w:rPr>
              <w:t xml:space="preserve">2,20 </w:t>
            </w:r>
            <w:r w:rsidRPr="00060558">
              <w:rPr>
                <w:rFonts w:ascii="Times New Roman" w:hAnsi="Times New Roman" w:cs="Times New Roman"/>
                <w:i/>
                <w:iCs/>
                <w:sz w:val="24"/>
                <w:szCs w:val="24"/>
              </w:rPr>
              <w:t>euro</w:t>
            </w:r>
            <w:r w:rsidRPr="00F80248">
              <w:rPr>
                <w:rFonts w:ascii="Times New Roman" w:hAnsi="Times New Roman" w:cs="Times New Roman"/>
                <w:sz w:val="24"/>
                <w:szCs w:val="24"/>
              </w:rPr>
              <w:t xml:space="preserve"> par katru šo izstrādājumu vai plastmasu saturošu zvejas rīku kilogramu.”</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08414644" w14:textId="77777777" w:rsidR="00C16D51" w:rsidRDefault="00C16D51" w:rsidP="00C16D51">
            <w:pPr>
              <w:pStyle w:val="naisc"/>
              <w:jc w:val="both"/>
              <w:rPr>
                <w:b/>
                <w:bCs/>
              </w:rPr>
            </w:pPr>
            <w:r w:rsidRPr="00F24BF8">
              <w:rPr>
                <w:b/>
                <w:bCs/>
              </w:rPr>
              <w:lastRenderedPageBreak/>
              <w:t>Daļēji ņemts vērā.</w:t>
            </w:r>
          </w:p>
          <w:p w14:paraId="4B314691" w14:textId="165FEF95" w:rsidR="00C16D51" w:rsidRDefault="00C16D51" w:rsidP="00C16D51">
            <w:pPr>
              <w:pStyle w:val="naisc"/>
              <w:jc w:val="both"/>
            </w:pPr>
            <w:r>
              <w:t>Precizēts likumprojekta 26.</w:t>
            </w:r>
            <w:r>
              <w:rPr>
                <w:vertAlign w:val="superscript"/>
              </w:rPr>
              <w:t>2 </w:t>
            </w:r>
            <w:r>
              <w:t>pants attiecībā ar ražotāja paplašinātās atbildības sistēmu.</w:t>
            </w:r>
          </w:p>
          <w:p w14:paraId="595BE5A9" w14:textId="77777777" w:rsidR="00C16D51" w:rsidRDefault="00C16D51" w:rsidP="00C16D51">
            <w:pPr>
              <w:pStyle w:val="naisc"/>
              <w:spacing w:before="0" w:after="0"/>
              <w:jc w:val="both"/>
            </w:pPr>
            <w:r w:rsidRPr="00403AE1">
              <w:t>Pārējās prasības ir harmonizētas ar Plastmasu saturošu izstrādājumu patēriņa samazināšanas likumā noteikto terminoloģiju un prasībām.</w:t>
            </w:r>
          </w:p>
          <w:p w14:paraId="35866AE6" w14:textId="2F4E88E6" w:rsidR="00C16D51" w:rsidRDefault="00C16D51" w:rsidP="00C16D51">
            <w:pPr>
              <w:spacing w:before="120"/>
              <w:jc w:val="both"/>
              <w:rPr>
                <w:i/>
                <w:iCs/>
                <w:sz w:val="22"/>
                <w:szCs w:val="22"/>
                <w:lang w:eastAsia="en-US"/>
              </w:rPr>
            </w:pPr>
            <w:r w:rsidRPr="00ED71FD">
              <w:t xml:space="preserve">Vēršam uzmanību, ka </w:t>
            </w:r>
            <w:r>
              <w:t>dabas resursu nodokļa</w:t>
            </w:r>
            <w:r w:rsidRPr="00ED71FD">
              <w:t xml:space="preserve"> likme par v</w:t>
            </w:r>
            <w:r w:rsidRPr="00ED71FD">
              <w:rPr>
                <w:shd w:val="clear" w:color="auto" w:fill="FFFFFF"/>
              </w:rPr>
              <w:t xml:space="preserve">ienreizlietojamajiem plastmasu saturošiem izstrādājumiem un plastmasu saturošiem zvejas rīkiem, ja </w:t>
            </w:r>
            <w:r w:rsidRPr="00ED71FD">
              <w:t xml:space="preserve">netiek piemērota ražotāja paplašinātās atbildības sistēma atbilstoši Plastmasu saturošu </w:t>
            </w:r>
            <w:r w:rsidRPr="00ED71FD">
              <w:lastRenderedPageBreak/>
              <w:t>izstrādājumu patēriņa samazināšanas likuma 10. pantā noteiktajām prasībām, ir pārnesta no Plastmasu saturošu izstrādājumu patēriņa samazināšanas likuma, kuru visas iesaistītās puses bija saskaņojušas.</w:t>
            </w:r>
            <w:r>
              <w:t xml:space="preserve"> </w:t>
            </w:r>
            <w:r w:rsidRPr="000E221E">
              <w:t xml:space="preserve">Likme </w:t>
            </w:r>
            <w:r>
              <w:t xml:space="preserve">ir noteikta </w:t>
            </w:r>
            <w:r w:rsidRPr="000E221E">
              <w:t>atbilstoši desmitkārtīgai dabas resursu nodokļa likmei par no plastmasas izejmateriāliem ražotu preču un izstrādājumu iepakojumam un vienreiz lietojamiem galda traukiem un piederumiem, ko ražotājs iemaksā valsts pamatbudžetā.</w:t>
            </w:r>
            <w:r>
              <w:rPr>
                <w:i/>
                <w:iCs/>
              </w:rPr>
              <w:t xml:space="preserve"> </w:t>
            </w:r>
          </w:p>
          <w:p w14:paraId="0CB2805E" w14:textId="07F83D7F" w:rsidR="00C16D51" w:rsidRPr="00C71189" w:rsidRDefault="00C16D51" w:rsidP="00C16D51">
            <w:pPr>
              <w:pStyle w:val="naisc"/>
              <w:spacing w:before="0" w:after="0"/>
              <w:jc w:val="both"/>
            </w:pPr>
          </w:p>
        </w:tc>
      </w:tr>
      <w:tr w:rsidR="00C16D51" w:rsidRPr="00C71189" w14:paraId="711A0DD4"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7E802659" w14:textId="77777777" w:rsidR="00C16D51" w:rsidRPr="00C71189" w:rsidRDefault="00C16D51" w:rsidP="00C16D51">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2DBCD73B" w14:textId="77777777" w:rsidR="00C16D51" w:rsidRPr="00C71189" w:rsidRDefault="00C16D51" w:rsidP="00C16D51">
            <w:pPr>
              <w:spacing w:before="120"/>
              <w:jc w:val="both"/>
              <w:rPr>
                <w:b/>
                <w:bCs/>
              </w:rPr>
            </w:pPr>
            <w:r w:rsidRPr="00C71189">
              <w:rPr>
                <w:b/>
                <w:bCs/>
              </w:rPr>
              <w:t>Likumprojekta 3. panta likuma 4. panta pirmās daļas 11. punkts:</w:t>
            </w:r>
          </w:p>
          <w:p w14:paraId="154C14E1" w14:textId="2AFE2F8F" w:rsidR="00C16D51" w:rsidRPr="00C71189" w:rsidRDefault="00C16D51" w:rsidP="00C16D51">
            <w:pPr>
              <w:pStyle w:val="NormalWeb"/>
              <w:spacing w:before="0" w:after="0"/>
              <w:jc w:val="both"/>
            </w:pPr>
            <w:r w:rsidRPr="00C71189">
              <w:t>“11)</w:t>
            </w:r>
            <w:bookmarkStart w:id="10" w:name="_Hlk71793539"/>
            <w:r w:rsidRPr="00C71189">
              <w:t> riepas, ar ko ir aprīkoti transportlīdzekļi,</w:t>
            </w:r>
            <w:bookmarkEnd w:id="10"/>
            <w:r w:rsidRPr="00C71189">
              <w:t xml:space="preserve"> </w:t>
            </w:r>
            <w:r w:rsidRPr="00C71189">
              <w:lastRenderedPageBreak/>
              <w:t>uz kuriem neattiecas Nolietotu transportlīdzekļu apsaimniekošanas likuma 3. panta pirmā daļa, atbilstoši šā likuma 6. pielikumam;”</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11069270" w14:textId="2077799F" w:rsidR="00C16D51" w:rsidRPr="00F80248" w:rsidRDefault="00C16D51" w:rsidP="00C16D51">
            <w:pPr>
              <w:suppressAutoHyphens w:val="0"/>
              <w:spacing w:after="120"/>
              <w:jc w:val="both"/>
              <w:rPr>
                <w:u w:val="single"/>
                <w:lang w:eastAsia="lv-LV"/>
              </w:rPr>
            </w:pPr>
            <w:r w:rsidRPr="00F80248">
              <w:rPr>
                <w:u w:val="single"/>
                <w:lang w:eastAsia="lv-LV"/>
              </w:rPr>
              <w:lastRenderedPageBreak/>
              <w:t>4. Riepas, ar ko ir aprīkoti transportlīdzekļi (uz kuriem neattiecas Nolietotu transportlīdzekļu apsaimniekošanas likuma 3. panta pirmā daļa)</w:t>
            </w:r>
          </w:p>
          <w:p w14:paraId="442C7C93" w14:textId="63F2326B" w:rsidR="00C16D51" w:rsidRPr="00F80248" w:rsidRDefault="00C16D51" w:rsidP="00C16D51">
            <w:pPr>
              <w:pStyle w:val="western"/>
              <w:spacing w:before="0" w:beforeAutospacing="0" w:after="0" w:afterAutospacing="0"/>
              <w:jc w:val="both"/>
              <w:rPr>
                <w:rFonts w:ascii="Times New Roman" w:hAnsi="Times New Roman" w:cs="Times New Roman"/>
                <w:sz w:val="24"/>
                <w:szCs w:val="24"/>
              </w:rPr>
            </w:pPr>
            <w:r w:rsidRPr="00F80248">
              <w:rPr>
                <w:rFonts w:ascii="Times New Roman" w:hAnsi="Times New Roman" w:cs="Times New Roman"/>
                <w:sz w:val="24"/>
                <w:szCs w:val="24"/>
              </w:rPr>
              <w:t xml:space="preserve">No Likumprojekta var secināt, ka paredzēts noteikt jaunu </w:t>
            </w:r>
            <w:r w:rsidRPr="00060558">
              <w:rPr>
                <w:rFonts w:ascii="Times New Roman" w:hAnsi="Times New Roman" w:cs="Times New Roman"/>
                <w:sz w:val="24"/>
                <w:szCs w:val="24"/>
              </w:rPr>
              <w:t>dabas resursu nodokļa</w:t>
            </w:r>
            <w:r w:rsidRPr="00F80248">
              <w:rPr>
                <w:rFonts w:ascii="Times New Roman" w:hAnsi="Times New Roman" w:cs="Times New Roman"/>
                <w:sz w:val="24"/>
                <w:szCs w:val="24"/>
              </w:rPr>
              <w:t xml:space="preserve"> objektu – riepas, ar ko ir aprīkoti </w:t>
            </w:r>
            <w:r w:rsidRPr="00F80248">
              <w:rPr>
                <w:rFonts w:ascii="Times New Roman" w:hAnsi="Times New Roman" w:cs="Times New Roman"/>
                <w:sz w:val="24"/>
                <w:szCs w:val="24"/>
              </w:rPr>
              <w:lastRenderedPageBreak/>
              <w:t xml:space="preserve">transportlīdzekļi (uz kuriem neattiecas Nolietotu transportlīdzekļu apsaimniekošanas likuma 3. panta pirmā daļa). </w:t>
            </w:r>
          </w:p>
          <w:p w14:paraId="22C9A89F" w14:textId="6EA210CB" w:rsidR="00C16D51" w:rsidRPr="00F80248" w:rsidRDefault="00C16D51" w:rsidP="00C16D51">
            <w:pPr>
              <w:pStyle w:val="western"/>
              <w:spacing w:before="0" w:beforeAutospacing="0" w:after="0" w:afterAutospacing="0"/>
              <w:jc w:val="both"/>
              <w:rPr>
                <w:rFonts w:ascii="Times New Roman" w:hAnsi="Times New Roman" w:cs="Times New Roman"/>
                <w:sz w:val="24"/>
                <w:szCs w:val="24"/>
              </w:rPr>
            </w:pPr>
            <w:r w:rsidRPr="00F80248">
              <w:rPr>
                <w:rFonts w:ascii="Times New Roman" w:hAnsi="Times New Roman" w:cs="Times New Roman"/>
                <w:sz w:val="24"/>
                <w:szCs w:val="24"/>
              </w:rPr>
              <w:t xml:space="preserve">Vēršam uzmanību, ka komersantu ieskatā riepu apsaimniekošanas jomā nozīmīgākā problēma ir nevis </w:t>
            </w:r>
            <w:r w:rsidRPr="00060558">
              <w:rPr>
                <w:rFonts w:ascii="Times New Roman" w:hAnsi="Times New Roman" w:cs="Times New Roman"/>
                <w:sz w:val="24"/>
                <w:szCs w:val="24"/>
              </w:rPr>
              <w:t>dabas resursu nodokļa</w:t>
            </w:r>
            <w:r w:rsidRPr="00F80248">
              <w:rPr>
                <w:rFonts w:ascii="Times New Roman" w:hAnsi="Times New Roman" w:cs="Times New Roman"/>
                <w:sz w:val="24"/>
                <w:szCs w:val="24"/>
              </w:rPr>
              <w:t xml:space="preserve"> likmes, bet nodokļa administrētāja iespējas iekasēt nodokli. Vēršam uzmanību, ka papildus sloga uzlikšana godprātīgiem nodokļu maksātājiem vēl vairāk mazinās Latvijas starptautisko konkurētspēju, vienlaikus būtiski neuzlabojot situāciju nolietoto riepu apsaimniekošanas jomā. </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0DD20ED8" w14:textId="76CEE2B9" w:rsidR="00C16D51" w:rsidRPr="00C71189" w:rsidRDefault="00C16D51" w:rsidP="00C16D51">
            <w:pPr>
              <w:pStyle w:val="naisc"/>
              <w:spacing w:before="0" w:after="0"/>
              <w:jc w:val="both"/>
            </w:pPr>
            <w:r w:rsidRPr="00C71189">
              <w:lastRenderedPageBreak/>
              <w:t>VARAM</w:t>
            </w:r>
            <w:r>
              <w:t xml:space="preserve"> ir izvērtējusi un</w:t>
            </w:r>
            <w:r w:rsidRPr="00C71189">
              <w:t xml:space="preserve"> pieņem zināšanai sniegto viedokli attiecībā uz nodokļu administrēšanu.</w:t>
            </w:r>
          </w:p>
          <w:p w14:paraId="2D56AE09" w14:textId="1892129B" w:rsidR="00C16D51" w:rsidRPr="00C71189" w:rsidRDefault="00C16D51" w:rsidP="00C16D51">
            <w:pPr>
              <w:pStyle w:val="naisc"/>
              <w:spacing w:before="0" w:after="0"/>
              <w:jc w:val="both"/>
            </w:pPr>
          </w:p>
        </w:tc>
      </w:tr>
      <w:tr w:rsidR="00C16D51" w:rsidRPr="00C71189" w14:paraId="524BB7B0"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2E218E59" w14:textId="77777777" w:rsidR="00C16D51" w:rsidRPr="00C71189" w:rsidRDefault="00C16D51" w:rsidP="00C16D51">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76F19835" w14:textId="77777777" w:rsidR="00C16D51" w:rsidRPr="00C71189" w:rsidRDefault="00C16D51" w:rsidP="00C16D51">
            <w:pPr>
              <w:spacing w:before="120"/>
              <w:jc w:val="both"/>
              <w:rPr>
                <w:b/>
                <w:bCs/>
              </w:rPr>
            </w:pPr>
            <w:r w:rsidRPr="00C71189">
              <w:rPr>
                <w:b/>
                <w:bCs/>
              </w:rPr>
              <w:t>Likumprojekta 17. panta likuma 24. panta astotā daļa:</w:t>
            </w:r>
          </w:p>
          <w:p w14:paraId="585EBA68" w14:textId="33A9D3B9" w:rsidR="00C16D51" w:rsidRPr="00C71189" w:rsidRDefault="00C16D51" w:rsidP="00C16D51">
            <w:pPr>
              <w:pStyle w:val="NormalWeb"/>
              <w:spacing w:before="0" w:after="0"/>
              <w:jc w:val="both"/>
              <w:rPr>
                <w:shd w:val="clear" w:color="auto" w:fill="FFFFFF"/>
              </w:rPr>
            </w:pPr>
            <w:r w:rsidRPr="00C71189">
              <w:t>“(8)</w:t>
            </w:r>
            <w:bookmarkStart w:id="11" w:name="_Hlk72769494"/>
            <w:r w:rsidRPr="00C71189">
              <w:t xml:space="preserve"> Nodokļa maksātājs, kas pats piemēro vai </w:t>
            </w:r>
            <w:r w:rsidRPr="00C71189">
              <w:rPr>
                <w:shd w:val="clear" w:color="auto" w:fill="FFFFFF"/>
              </w:rPr>
              <w:t>piedalās izlietotā iepakojuma vai vienreiz lietojamo galda trauku un piederumu apsaimniekošanas sistēmā, maksā nodokli par to plastmasas un kompozīta iepakojuma apjomu, kas pārskata periodā nav pārstrādāts.</w:t>
            </w:r>
            <w:r w:rsidRPr="00C71189">
              <w:t> I</w:t>
            </w:r>
            <w:r w:rsidRPr="00C71189">
              <w:rPr>
                <w:shd w:val="clear" w:color="auto" w:fill="FFFFFF"/>
              </w:rPr>
              <w:t>epakojumam no plastmasas un kompozīta</w:t>
            </w:r>
            <w:bookmarkStart w:id="12" w:name="_Hlk71790797"/>
            <w:r w:rsidRPr="00C71189">
              <w:rPr>
                <w:shd w:val="clear" w:color="auto" w:fill="FFFFFF"/>
              </w:rPr>
              <w:t xml:space="preserve"> šajā gadījumā piemēro nodokļa likmi 0,80 </w:t>
            </w:r>
            <w:r w:rsidRPr="00C71189">
              <w:rPr>
                <w:i/>
                <w:iCs/>
                <w:shd w:val="clear" w:color="auto" w:fill="FFFFFF"/>
              </w:rPr>
              <w:t>euro</w:t>
            </w:r>
            <w:r w:rsidRPr="00C71189">
              <w:rPr>
                <w:shd w:val="clear" w:color="auto" w:fill="FFFFFF"/>
              </w:rPr>
              <w:t xml:space="preserve"> par vienu kilogramu.</w:t>
            </w:r>
            <w:bookmarkEnd w:id="11"/>
            <w:r w:rsidRPr="00C71189">
              <w:rPr>
                <w:shd w:val="clear" w:color="auto" w:fill="FFFFFF"/>
              </w:rPr>
              <w:t>”</w:t>
            </w:r>
            <w:bookmarkEnd w:id="12"/>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047700D1" w14:textId="178A2673" w:rsidR="00C16D51" w:rsidRPr="00C71189" w:rsidRDefault="00C16D51" w:rsidP="00C16D51">
            <w:pPr>
              <w:suppressAutoHyphens w:val="0"/>
              <w:rPr>
                <w:u w:val="single"/>
                <w:lang w:eastAsia="lv-LV"/>
              </w:rPr>
            </w:pPr>
            <w:r w:rsidRPr="00C71189">
              <w:rPr>
                <w:u w:val="single"/>
                <w:lang w:eastAsia="lv-LV"/>
              </w:rPr>
              <w:t>5. Iepakojums no plastmasas un kompozīta iepakojums, kas pārskata periodā nav pārstrādāts</w:t>
            </w:r>
          </w:p>
          <w:p w14:paraId="5D9AC55C" w14:textId="77777777" w:rsidR="00C16D51" w:rsidRPr="00C71189" w:rsidRDefault="00C16D51" w:rsidP="00C16D51">
            <w:pPr>
              <w:jc w:val="both"/>
              <w:rPr>
                <w:lang w:eastAsia="lv-LV"/>
              </w:rPr>
            </w:pPr>
            <w:r w:rsidRPr="00C71189">
              <w:rPr>
                <w:lang w:eastAsia="lv-LV"/>
              </w:rPr>
              <w:t xml:space="preserve">Likumprojekts paredz papildināt likuma 24. pantu ar pēc sākotnējās izpētes potenciāli ļoti ietilpīgu maksājumu: “(8) Nodokļa maksātājs, kas pats piemēro vai piedalās izlietotā iepakojuma vai vienreiz lietojamo galda trauku un piederumu apsaimniekošanas sistēmā, maksā nodokli par to plastmasas un kompozīta iepakojuma apjomu, kas pārskata periodā nav pārstrādāts. Iepakojumam no plastmasas un kompozīta šajā gadījumā piemēro nodokļa likmi 0,80 euro par vienu kilogramu.”  Arī anotācijā paredzēts, ka par nepārstrādāto plastmasu būs jāmaksā, neatkarīgi no dalības ražotāju atbildības sistēmā. Tāpat pietiekami būtisku ietekmi uz izmaksām varētu atstāt Likumprojekta grozījumi, ar ko tiek veiktas izmaiņas 8. pantā, izslēdzot no atbrīvojuma arī plastmasas glāzes (praktiski visām dzērienu glāzēm šobrīd sastāvā ir plastmasa). </w:t>
            </w:r>
          </w:p>
          <w:p w14:paraId="45220BF6" w14:textId="09D28D48" w:rsidR="00C16D51" w:rsidRPr="00C71189" w:rsidRDefault="00C16D51" w:rsidP="00C16D51">
            <w:pPr>
              <w:jc w:val="both"/>
              <w:rPr>
                <w:lang w:eastAsia="lv-LV"/>
              </w:rPr>
            </w:pPr>
            <w:r w:rsidRPr="00C71189">
              <w:rPr>
                <w:lang w:eastAsia="lv-LV"/>
              </w:rPr>
              <w:t xml:space="preserve">Lai mazinātu uz komersantiem sagaidāmās negatīvās finansiālās sekas no salīdzinoši novēlotās vienreiz lietojamās plastmasas aizlieguma ieviešanas, aicinām minētās normas par jaunu </w:t>
            </w:r>
            <w:r w:rsidRPr="00060558">
              <w:rPr>
                <w:lang w:eastAsia="lv-LV"/>
              </w:rPr>
              <w:t>dabas resursu nodokļa</w:t>
            </w:r>
            <w:r w:rsidRPr="00C71189">
              <w:rPr>
                <w:lang w:eastAsia="lv-LV"/>
              </w:rPr>
              <w:t xml:space="preserve"> objekta noteikšanu attiecībā uz vienreiz lietojamo plastmasas iepakojuma apjoma.</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70600993" w14:textId="6AE37E11" w:rsidR="00C16D51" w:rsidRPr="00C71189" w:rsidRDefault="00C16D51" w:rsidP="00C16D51">
            <w:pPr>
              <w:pStyle w:val="naisc"/>
              <w:spacing w:before="0" w:after="0"/>
              <w:jc w:val="both"/>
            </w:pPr>
            <w:r w:rsidRPr="00C71189">
              <w:t>Likumprojekts paredz, ka būs jāmaksā 0,80</w:t>
            </w:r>
            <w:r>
              <w:t> </w:t>
            </w:r>
            <w:r w:rsidRPr="00A74B5D">
              <w:rPr>
                <w:i/>
                <w:iCs/>
              </w:rPr>
              <w:t>euro</w:t>
            </w:r>
            <w:r w:rsidRPr="00C71189">
              <w:t xml:space="preserve">/kg par to </w:t>
            </w:r>
            <w:r w:rsidRPr="00A74B5D">
              <w:t>pārstrādājam</w:t>
            </w:r>
            <w:r w:rsidR="000B0C8B">
              <w:t>u</w:t>
            </w:r>
            <w:r w:rsidRPr="00A74B5D">
              <w:t xml:space="preserve"> </w:t>
            </w:r>
            <w:r w:rsidRPr="00C71189">
              <w:t>plastmasas un kompozīta iepakojuma apjomu, kas ražotāja paplašinātās atbildības sistēmas ietvaros pārskata periodā nav pārstrādāts.</w:t>
            </w:r>
          </w:p>
          <w:p w14:paraId="479FB0C0" w14:textId="49FA3066" w:rsidR="00C16D51" w:rsidRDefault="00C16D51" w:rsidP="00C16D51">
            <w:pPr>
              <w:pStyle w:val="naisc"/>
              <w:spacing w:before="0" w:after="0"/>
              <w:jc w:val="both"/>
            </w:pPr>
            <w:r w:rsidRPr="00C71189">
              <w:t>Vēršam uzmanību, ka jau šobrīd atbilstoši Dabas resursu nodokļa likuma 8.</w:t>
            </w:r>
            <w:r>
              <w:t> </w:t>
            </w:r>
            <w:r w:rsidRPr="00C71189">
              <w:t>panta 1.</w:t>
            </w:r>
            <w:r w:rsidRPr="0023199E">
              <w:rPr>
                <w:vertAlign w:val="superscript"/>
              </w:rPr>
              <w:t>1</w:t>
            </w:r>
            <w:r>
              <w:rPr>
                <w:vertAlign w:val="superscript"/>
              </w:rPr>
              <w:t> </w:t>
            </w:r>
            <w:r w:rsidRPr="00C71189">
              <w:t>daļai netiek piemērots atbrīvojums vienreiz lietojamiem galda traukiem un piederumiem, kas izgatavoti no plastmasas (polimēriem) un to kompozītmateriāliem (laminātiem). Grozījumi paredz precizēt atbrīvojuma nosacījumu, ievērojot Plastmasu saturošu izstrādājumu patēriņa samazināšanas likum</w:t>
            </w:r>
            <w:r>
              <w:t>a prasības</w:t>
            </w:r>
            <w:r w:rsidRPr="00C71189">
              <w:t>.</w:t>
            </w:r>
          </w:p>
          <w:p w14:paraId="1E1F8CFA" w14:textId="4FAEDA64" w:rsidR="00885C75" w:rsidRPr="00C71189" w:rsidRDefault="0038106C" w:rsidP="00C16D51">
            <w:pPr>
              <w:pStyle w:val="naisc"/>
              <w:spacing w:before="0" w:after="0"/>
              <w:jc w:val="both"/>
            </w:pPr>
            <w:r>
              <w:t xml:space="preserve">Lai nodrošinātu pārejas laiku, </w:t>
            </w:r>
            <w:r w:rsidR="00CA73BD">
              <w:t>d</w:t>
            </w:r>
            <w:r w:rsidR="00885C75">
              <w:t>abas resursu nodokļa atbrīvojums par nepārstrādājam</w:t>
            </w:r>
            <w:r>
              <w:t>u</w:t>
            </w:r>
            <w:r w:rsidR="00885C75">
              <w:t xml:space="preserve"> plastmas</w:t>
            </w:r>
            <w:r>
              <w:t>as un kompozīta iepakojumu tiks atcelts</w:t>
            </w:r>
            <w:r w:rsidR="00885C75">
              <w:t xml:space="preserve"> no 2023. gada 1. janvāra</w:t>
            </w:r>
            <w:r>
              <w:t>.</w:t>
            </w:r>
          </w:p>
          <w:p w14:paraId="4631B096" w14:textId="36A77808" w:rsidR="00C16D51" w:rsidRPr="00C71189" w:rsidRDefault="00C16D51" w:rsidP="00C16D51">
            <w:pPr>
              <w:pStyle w:val="naisc"/>
              <w:spacing w:before="0" w:after="0"/>
              <w:jc w:val="both"/>
            </w:pPr>
          </w:p>
        </w:tc>
      </w:tr>
      <w:tr w:rsidR="00C16D51" w:rsidRPr="00C71189" w14:paraId="0D3017F3"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4B7F8BC2" w14:textId="77777777" w:rsidR="00C16D51" w:rsidRPr="00C71189" w:rsidRDefault="00C16D51" w:rsidP="00C16D51">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77217545" w14:textId="6D4B8449" w:rsidR="00C16D51" w:rsidRPr="00C71189" w:rsidRDefault="00C16D51" w:rsidP="00C16D51">
            <w:pPr>
              <w:spacing w:before="120"/>
              <w:jc w:val="both"/>
              <w:rPr>
                <w:b/>
                <w:bCs/>
              </w:rPr>
            </w:pPr>
            <w:r w:rsidRPr="00C71189">
              <w:rPr>
                <w:b/>
                <w:bCs/>
              </w:rPr>
              <w:t>Likumprojekta 25. panta 3. pielikums.</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0290A80C" w14:textId="32887D6C" w:rsidR="00C16D51" w:rsidRPr="00C71189" w:rsidRDefault="00C16D51" w:rsidP="00C16D51">
            <w:pPr>
              <w:pStyle w:val="western"/>
              <w:numPr>
                <w:ilvl w:val="0"/>
                <w:numId w:val="17"/>
              </w:numPr>
              <w:spacing w:before="0" w:beforeAutospacing="0" w:after="0" w:afterAutospacing="0"/>
              <w:ind w:left="0" w:hanging="284"/>
              <w:jc w:val="both"/>
              <w:rPr>
                <w:rFonts w:ascii="Times New Roman" w:hAnsi="Times New Roman" w:cs="Times New Roman"/>
                <w:sz w:val="24"/>
                <w:szCs w:val="24"/>
              </w:rPr>
            </w:pPr>
            <w:r w:rsidRPr="00C71189">
              <w:rPr>
                <w:rFonts w:ascii="Times New Roman" w:hAnsi="Times New Roman" w:cs="Times New Roman"/>
                <w:sz w:val="24"/>
                <w:szCs w:val="24"/>
              </w:rPr>
              <w:t xml:space="preserve">6. Likumprojekta piedāvājums </w:t>
            </w:r>
            <w:r w:rsidRPr="00306C22">
              <w:rPr>
                <w:rFonts w:ascii="Times New Roman" w:hAnsi="Times New Roman" w:cs="Times New Roman"/>
                <w:sz w:val="24"/>
                <w:szCs w:val="24"/>
              </w:rPr>
              <w:t>dabas resursu nodokļa</w:t>
            </w:r>
            <w:r w:rsidRPr="00C71189">
              <w:rPr>
                <w:rFonts w:ascii="Times New Roman" w:hAnsi="Times New Roman" w:cs="Times New Roman"/>
                <w:sz w:val="24"/>
                <w:szCs w:val="24"/>
              </w:rPr>
              <w:t xml:space="preserve"> likmju paaugstināšanai par sadzīves atkritumiem</w:t>
            </w:r>
          </w:p>
          <w:p w14:paraId="028B9088" w14:textId="67224B61" w:rsidR="00C16D51" w:rsidRPr="00C71189" w:rsidRDefault="00C16D51" w:rsidP="00C16D51">
            <w:pPr>
              <w:pStyle w:val="western"/>
              <w:spacing w:before="0" w:beforeAutospacing="0" w:after="0" w:afterAutospacing="0"/>
              <w:jc w:val="both"/>
              <w:rPr>
                <w:rFonts w:ascii="Times New Roman" w:hAnsi="Times New Roman" w:cs="Times New Roman"/>
                <w:sz w:val="24"/>
                <w:szCs w:val="24"/>
              </w:rPr>
            </w:pPr>
            <w:r w:rsidRPr="00C71189">
              <w:rPr>
                <w:rFonts w:ascii="Times New Roman" w:hAnsi="Times New Roman" w:cs="Times New Roman"/>
                <w:sz w:val="24"/>
                <w:szCs w:val="24"/>
              </w:rPr>
              <w:lastRenderedPageBreak/>
              <w:t xml:space="preserve">Likumprojekta anotācijā un VARAM organizētajā informatīvajā pasākumā tika runāts tikai par </w:t>
            </w:r>
            <w:r w:rsidRPr="00306C22">
              <w:rPr>
                <w:rFonts w:ascii="Times New Roman" w:hAnsi="Times New Roman" w:cs="Times New Roman"/>
                <w:sz w:val="24"/>
                <w:szCs w:val="24"/>
              </w:rPr>
              <w:t>dabas resursu nodokļa</w:t>
            </w:r>
            <w:r w:rsidRPr="00C71189">
              <w:rPr>
                <w:rFonts w:ascii="Times New Roman" w:hAnsi="Times New Roman" w:cs="Times New Roman"/>
                <w:sz w:val="24"/>
                <w:szCs w:val="24"/>
              </w:rPr>
              <w:t xml:space="preserve"> likmes izmaiņām sadzīves atkritumiem, taču likumprojekta 25. punktā norādīts, ka 3. pielikumā plānotās </w:t>
            </w:r>
            <w:r w:rsidRPr="00306C22">
              <w:rPr>
                <w:rFonts w:ascii="Times New Roman" w:hAnsi="Times New Roman" w:cs="Times New Roman"/>
                <w:sz w:val="24"/>
                <w:szCs w:val="24"/>
              </w:rPr>
              <w:t>dabas resursu nodokļa</w:t>
            </w:r>
            <w:r w:rsidRPr="00C71189">
              <w:rPr>
                <w:rFonts w:ascii="Times New Roman" w:hAnsi="Times New Roman" w:cs="Times New Roman"/>
                <w:sz w:val="24"/>
                <w:szCs w:val="24"/>
              </w:rPr>
              <w:t xml:space="preserve"> izmaiņas attieksies ne tikai uz sadzīves atkritumiem, bet arī uz ražošanas atkritumiem, kas nav uzskatāmi par bīstamiem atkritumiem. Anotācijā un informatīvajā pasākumā kā pamatojums tika minēts Eiropas Savienības (turpmāk – ES) direktīvās izvirzīto mērķu sasniegšana, kas ir poligonos apglabājamo sadzīves atkritumu samazināšana. Tā kā Latvijas Republikā nav izveidota  infrastruktūra nepārstrādājamu ražošanas atkritumu apglabāšanai, tad tiek pielāgota esošo sadzīves poligonu infrastruktūra. Vairākās  ES dalībvalstīs, uz kurām arī ir attiecināmas ES direktīvas, inertiem ražošanas atkritumiem, kuriem nav pārstrādes vai reģenerācijas iespēju, </w:t>
            </w:r>
            <w:r w:rsidRPr="0058672E">
              <w:rPr>
                <w:rFonts w:ascii="Times New Roman" w:hAnsi="Times New Roman" w:cs="Times New Roman"/>
                <w:sz w:val="24"/>
                <w:szCs w:val="24"/>
              </w:rPr>
              <w:t>dabas resursu nodok</w:t>
            </w:r>
            <w:r>
              <w:rPr>
                <w:rFonts w:ascii="Times New Roman" w:hAnsi="Times New Roman" w:cs="Times New Roman"/>
                <w:sz w:val="24"/>
                <w:szCs w:val="24"/>
              </w:rPr>
              <w:t>lis</w:t>
            </w:r>
            <w:r w:rsidRPr="00C71189">
              <w:rPr>
                <w:rFonts w:ascii="Times New Roman" w:hAnsi="Times New Roman" w:cs="Times New Roman"/>
                <w:sz w:val="24"/>
                <w:szCs w:val="24"/>
              </w:rPr>
              <w:t xml:space="preserve"> netiek piemērots un tādējādi netiek pārkāptas arī direktīvu prasības. Vēršam uzmanību, ka šādā veidā Latvijas komersanti ik gadu maksā ievērojamus maksājumus valsts budžetā, bet ārvalstīs strādājošiem Latvijas uzņēmumu konkurentiem šāda rakstura nodoklis nav noteikts, kas būtiski iedragā Latvijas uzņēmumu konkurētspējas pozīcijas starptautiskajos tirgos. </w:t>
            </w:r>
          </w:p>
          <w:p w14:paraId="3F345F6A" w14:textId="1BEF0C24" w:rsidR="00C16D51" w:rsidRPr="00C71189" w:rsidRDefault="00C16D51" w:rsidP="00C16D51">
            <w:pPr>
              <w:pStyle w:val="western"/>
              <w:spacing w:before="0" w:beforeAutospacing="0" w:after="0" w:afterAutospacing="0"/>
              <w:jc w:val="both"/>
              <w:rPr>
                <w:rFonts w:ascii="Times New Roman" w:hAnsi="Times New Roman" w:cs="Times New Roman"/>
                <w:sz w:val="24"/>
                <w:szCs w:val="24"/>
              </w:rPr>
            </w:pPr>
            <w:r w:rsidRPr="00C71189">
              <w:rPr>
                <w:rFonts w:ascii="Times New Roman" w:hAnsi="Times New Roman" w:cs="Times New Roman"/>
                <w:sz w:val="24"/>
                <w:szCs w:val="24"/>
              </w:rPr>
              <w:t xml:space="preserve">LTRK izprot, ka, paaugstinot </w:t>
            </w:r>
            <w:r w:rsidRPr="0058672E">
              <w:rPr>
                <w:rFonts w:ascii="Times New Roman" w:hAnsi="Times New Roman" w:cs="Times New Roman"/>
                <w:sz w:val="24"/>
                <w:szCs w:val="24"/>
              </w:rPr>
              <w:t>dabas resursu nodokļa</w:t>
            </w:r>
            <w:r w:rsidRPr="00C71189">
              <w:rPr>
                <w:rFonts w:ascii="Times New Roman" w:hAnsi="Times New Roman" w:cs="Times New Roman"/>
                <w:sz w:val="24"/>
                <w:szCs w:val="24"/>
              </w:rPr>
              <w:t xml:space="preserve"> likmi sadzīves atkritumiem, tiks veicināta to šķirošana un pārstrāde, jo tā ir iespējama, taču nav izprotams, kā tā sekmēs nepārstrādājamu un nereģenerējamu atkritumu samazināšanos poligonā, nesekmējot citus atbalsta instrumentus. Šāda nodokļu sloga palielināšana Latvijas uzņēmumiem radīs papildus izmaksas un samazinās finanšu resursu pieejamību jaunu, vide un zaļajai politikai atbilstošu risinājumu atrašanai un ieviešanai.</w:t>
            </w:r>
          </w:p>
          <w:p w14:paraId="599CC6E2" w14:textId="115623A2" w:rsidR="00C16D51" w:rsidRPr="00C71189" w:rsidRDefault="00C16D51" w:rsidP="00C16D51">
            <w:pPr>
              <w:pStyle w:val="western"/>
              <w:spacing w:before="0" w:beforeAutospacing="0" w:after="0" w:afterAutospacing="0"/>
              <w:jc w:val="both"/>
              <w:rPr>
                <w:rFonts w:ascii="Times New Roman" w:hAnsi="Times New Roman" w:cs="Times New Roman"/>
                <w:sz w:val="24"/>
                <w:szCs w:val="24"/>
              </w:rPr>
            </w:pPr>
            <w:r w:rsidRPr="00C71189">
              <w:rPr>
                <w:rFonts w:ascii="Times New Roman" w:hAnsi="Times New Roman" w:cs="Times New Roman"/>
                <w:sz w:val="24"/>
                <w:szCs w:val="24"/>
              </w:rPr>
              <w:t xml:space="preserve">Pamatojoties uz augstāk minēto un to, ka minētais maksājums skars tādus nodokļa objektus, par kuriem citas ES valstis </w:t>
            </w:r>
            <w:r w:rsidRPr="0058672E">
              <w:rPr>
                <w:rFonts w:ascii="Times New Roman" w:hAnsi="Times New Roman" w:cs="Times New Roman"/>
                <w:sz w:val="24"/>
                <w:szCs w:val="24"/>
              </w:rPr>
              <w:t>dabas resursu nodok</w:t>
            </w:r>
            <w:r>
              <w:rPr>
                <w:rFonts w:ascii="Times New Roman" w:hAnsi="Times New Roman" w:cs="Times New Roman"/>
                <w:sz w:val="24"/>
                <w:szCs w:val="24"/>
              </w:rPr>
              <w:t>li</w:t>
            </w:r>
            <w:r w:rsidRPr="00C71189">
              <w:rPr>
                <w:rFonts w:ascii="Times New Roman" w:hAnsi="Times New Roman" w:cs="Times New Roman"/>
                <w:sz w:val="24"/>
                <w:szCs w:val="24"/>
              </w:rPr>
              <w:t xml:space="preserve"> nepiemēro, un to, ka jau esošajā likuma </w:t>
            </w:r>
            <w:r w:rsidRPr="00C71189">
              <w:rPr>
                <w:rFonts w:ascii="Times New Roman" w:hAnsi="Times New Roman" w:cs="Times New Roman"/>
                <w:sz w:val="24"/>
                <w:szCs w:val="24"/>
              </w:rPr>
              <w:lastRenderedPageBreak/>
              <w:t xml:space="preserve">redakcijā </w:t>
            </w:r>
            <w:r w:rsidRPr="0058672E">
              <w:rPr>
                <w:rFonts w:ascii="Times New Roman" w:hAnsi="Times New Roman" w:cs="Times New Roman"/>
                <w:sz w:val="24"/>
                <w:szCs w:val="24"/>
              </w:rPr>
              <w:t>dabas resursu nodokļa</w:t>
            </w:r>
            <w:r w:rsidRPr="00C71189">
              <w:rPr>
                <w:rFonts w:ascii="Times New Roman" w:hAnsi="Times New Roman" w:cs="Times New Roman"/>
                <w:sz w:val="24"/>
                <w:szCs w:val="24"/>
              </w:rPr>
              <w:t xml:space="preserve"> pieaugums ir ļoti augsts, lūdzam Likumprojektā nodalīt sadzīves atkritumus no ražošanas atkritumiem un ražošanas atkritumiem nepiemērot plānoto pieaugumu.</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0119B076" w14:textId="1F36B1F2" w:rsidR="00C16D51" w:rsidRPr="0023199E" w:rsidRDefault="00C16D51" w:rsidP="00C16D51">
            <w:pPr>
              <w:pStyle w:val="naisc"/>
              <w:spacing w:before="0" w:after="0"/>
              <w:jc w:val="both"/>
              <w:rPr>
                <w:b/>
                <w:bCs/>
              </w:rPr>
            </w:pPr>
            <w:r w:rsidRPr="0023199E">
              <w:rPr>
                <w:b/>
                <w:bCs/>
              </w:rPr>
              <w:lastRenderedPageBreak/>
              <w:t>Nav ņemts vērā.</w:t>
            </w:r>
          </w:p>
          <w:p w14:paraId="6797A472" w14:textId="77777777" w:rsidR="00C16D51" w:rsidRDefault="00C16D51" w:rsidP="00C16D51">
            <w:pPr>
              <w:jc w:val="both"/>
            </w:pPr>
            <w:r>
              <w:t>N</w:t>
            </w:r>
            <w:r w:rsidRPr="00FF1D43">
              <w:t xml:space="preserve">orādām, ka saskaņā ar Vides aizsardzības likumu Latvijā tiek piemērots princips “piesārņotājs </w:t>
            </w:r>
            <w:r w:rsidRPr="00FF1D43">
              <w:lastRenderedPageBreak/>
              <w:t>maksā” – kas nozīmē, ka persona sedz visus izdevumus, kas saistīti ar tās darbības rezultātā radīta piesārņojuma novērtēšanu, novēršanu, ierobežošanu un seku likvidēšanu. Šis princips ir viens no dabas resursu nodokļa piemērošanas pamatiem. Nosakot iespēju nepiemērot vai samazināt dabas resursa nodokli par tādu ražošanas atkritumu apglabāšanu, kuriem objektīvu apsvērumu dēļ nav pārstrādes iespējas, tas būtu pretrunā principam “piesārņotājs maksā” un tādējādi šādu ražošanas atkritumu radītāji būtu priviliģētākā stāvoklī nekā citi ražošanas atkritumu radītāji. Šāda pieeja nemotivētu samazināt apglabājamo atkritumu apjomu un meklēt jaunus risinājumus un metodes atkritumu apjoma samazināšanai un novēršanai.</w:t>
            </w:r>
          </w:p>
          <w:p w14:paraId="6E86BED0" w14:textId="454DBE80" w:rsidR="00C16D51" w:rsidRPr="00C71189" w:rsidRDefault="00C16D51" w:rsidP="00C16D51">
            <w:pPr>
              <w:pStyle w:val="naisc"/>
              <w:spacing w:before="0" w:after="0"/>
              <w:jc w:val="both"/>
              <w:rPr>
                <w:b/>
                <w:bCs/>
              </w:rPr>
            </w:pPr>
            <w:r w:rsidRPr="00FF1D43">
              <w:t xml:space="preserve">Lai ievērotu Eiropas Savienības direktīvās izvirzītos mērķus atkritumu apsaimniekošanas jomā un lai veidotu aprites ekonomikas pamatu, Latvijai ir jāuzlabo atkritumu apsaimniekošana, jāpalielina atkritumu rašanās novēršana un pārstrāde, kā arī jāstiprina ekonomiskie instrumenti. Saskaņā ar </w:t>
            </w:r>
            <w:r w:rsidRPr="00FF1D43">
              <w:rPr>
                <w:lang w:eastAsia="lv-LV"/>
              </w:rPr>
              <w:t>ESAO  2019. gada Vides raksturlielumu pārskatā minētajām rekomendācijām, Latvijai</w:t>
            </w:r>
            <w:r w:rsidRPr="00FF1D43">
              <w:t xml:space="preserve"> īpaši ir nepieciešams paaugstināt nodokli par atkritumu apglabāšanu.</w:t>
            </w:r>
          </w:p>
        </w:tc>
      </w:tr>
      <w:tr w:rsidR="00C16D51" w:rsidRPr="00C71189" w14:paraId="4EFB12C5"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7DABD303" w14:textId="77777777" w:rsidR="00C16D51" w:rsidRPr="00C71189" w:rsidRDefault="00C16D51" w:rsidP="00C16D51">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43CB21EF" w14:textId="6C92EF9F" w:rsidR="00C16D51" w:rsidRPr="00C71189" w:rsidRDefault="00C16D51" w:rsidP="00C16D51">
            <w:pPr>
              <w:spacing w:before="120"/>
              <w:jc w:val="both"/>
              <w:rPr>
                <w:b/>
                <w:bCs/>
              </w:rPr>
            </w:pPr>
            <w:r w:rsidRPr="00C71189">
              <w:rPr>
                <w:b/>
                <w:bCs/>
              </w:rPr>
              <w:t>Likumprojekta 7. panta likuma 9. panta 1.</w:t>
            </w:r>
            <w:r w:rsidRPr="00C71189">
              <w:rPr>
                <w:b/>
                <w:bCs/>
                <w:vertAlign w:val="superscript"/>
              </w:rPr>
              <w:t>1</w:t>
            </w:r>
            <w:r w:rsidRPr="00C71189">
              <w:rPr>
                <w:b/>
                <w:bCs/>
              </w:rPr>
              <w:t xml:space="preserve"> daļa, 18. panta likuma </w:t>
            </w:r>
            <w:r w:rsidRPr="00C71189">
              <w:rPr>
                <w:rFonts w:eastAsia="Calibri"/>
                <w:b/>
                <w:bCs/>
                <w:lang w:eastAsia="en-US"/>
              </w:rPr>
              <w:t xml:space="preserve">26. panta pirmās daļas 1. punkts un </w:t>
            </w:r>
            <w:r w:rsidRPr="00C71189">
              <w:rPr>
                <w:b/>
                <w:bCs/>
              </w:rPr>
              <w:t>27. panta likuma 6. pielikums.</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1C95AE40" w14:textId="19B6B9DA" w:rsidR="00C16D51" w:rsidRPr="0056534F" w:rsidRDefault="00C16D51" w:rsidP="00C16D51">
            <w:pPr>
              <w:pStyle w:val="ListParagraph"/>
              <w:numPr>
                <w:ilvl w:val="0"/>
                <w:numId w:val="17"/>
              </w:numPr>
              <w:suppressAutoHyphens w:val="0"/>
              <w:spacing w:after="0" w:line="240" w:lineRule="auto"/>
              <w:ind w:left="0" w:hanging="284"/>
              <w:contextualSpacing w:val="0"/>
              <w:jc w:val="both"/>
              <w:rPr>
                <w:rFonts w:ascii="Times New Roman" w:hAnsi="Times New Roman" w:cs="Times New Roman"/>
                <w:sz w:val="24"/>
                <w:szCs w:val="24"/>
              </w:rPr>
            </w:pPr>
            <w:r w:rsidRPr="0056534F">
              <w:rPr>
                <w:rFonts w:ascii="Times New Roman" w:hAnsi="Times New Roman" w:cs="Times New Roman"/>
                <w:sz w:val="24"/>
                <w:szCs w:val="24"/>
              </w:rPr>
              <w:t xml:space="preserve">Likumprojekta piedāvājums saistībā ar </w:t>
            </w:r>
            <w:r w:rsidRPr="0058672E">
              <w:rPr>
                <w:rFonts w:ascii="Times New Roman" w:hAnsi="Times New Roman" w:cs="Times New Roman"/>
                <w:sz w:val="24"/>
                <w:szCs w:val="24"/>
              </w:rPr>
              <w:t>dabas resursu nodokļa</w:t>
            </w:r>
            <w:r w:rsidRPr="0056534F">
              <w:rPr>
                <w:rFonts w:ascii="Times New Roman" w:hAnsi="Times New Roman" w:cs="Times New Roman"/>
                <w:sz w:val="24"/>
                <w:szCs w:val="24"/>
              </w:rPr>
              <w:t xml:space="preserve"> piemērošanas kārtības precizēšanu attiecībā uz baterijām un akumulatoriem, ievērojot jaunos veidus un formulējumus:</w:t>
            </w:r>
          </w:p>
          <w:p w14:paraId="354A891E" w14:textId="77777777" w:rsidR="00C16D51" w:rsidRPr="0056534F" w:rsidRDefault="00C16D51" w:rsidP="00C16D51">
            <w:pPr>
              <w:jc w:val="both"/>
            </w:pPr>
            <w:r w:rsidRPr="0056534F">
              <w:t>No likumprojekta var secināt, ka komersantiem, kas darbojas transporta nomas biznesā turpmāk būs:</w:t>
            </w:r>
          </w:p>
          <w:p w14:paraId="077B22C3" w14:textId="155A6D58" w:rsidR="00C16D51" w:rsidRPr="0056534F" w:rsidRDefault="00C16D51" w:rsidP="00C16D51">
            <w:pPr>
              <w:pStyle w:val="ListParagraph"/>
              <w:numPr>
                <w:ilvl w:val="0"/>
                <w:numId w:val="18"/>
              </w:numPr>
              <w:suppressAutoHyphens w:val="0"/>
              <w:spacing w:after="0" w:line="240" w:lineRule="auto"/>
              <w:contextualSpacing w:val="0"/>
              <w:jc w:val="both"/>
              <w:rPr>
                <w:rFonts w:ascii="Times New Roman" w:hAnsi="Times New Roman" w:cs="Times New Roman"/>
                <w:sz w:val="24"/>
                <w:szCs w:val="24"/>
              </w:rPr>
            </w:pPr>
            <w:r w:rsidRPr="0056534F">
              <w:rPr>
                <w:rFonts w:ascii="Times New Roman" w:hAnsi="Times New Roman" w:cs="Times New Roman"/>
                <w:sz w:val="24"/>
                <w:szCs w:val="24"/>
              </w:rPr>
              <w:t xml:space="preserve">Jāmaksā </w:t>
            </w:r>
            <w:r w:rsidRPr="00EE3F57">
              <w:rPr>
                <w:rFonts w:ascii="Times New Roman" w:hAnsi="Times New Roman" w:cs="Times New Roman"/>
                <w:sz w:val="24"/>
                <w:szCs w:val="24"/>
              </w:rPr>
              <w:t>dabas resursu nodok</w:t>
            </w:r>
            <w:r>
              <w:rPr>
                <w:rFonts w:ascii="Times New Roman" w:hAnsi="Times New Roman" w:cs="Times New Roman"/>
                <w:sz w:val="24"/>
                <w:szCs w:val="24"/>
              </w:rPr>
              <w:t>lis</w:t>
            </w:r>
            <w:r w:rsidRPr="0056534F">
              <w:rPr>
                <w:rFonts w:ascii="Times New Roman" w:hAnsi="Times New Roman" w:cs="Times New Roman"/>
                <w:sz w:val="24"/>
                <w:szCs w:val="24"/>
              </w:rPr>
              <w:t xml:space="preserve"> 50 </w:t>
            </w:r>
            <w:r w:rsidRPr="0058672E">
              <w:rPr>
                <w:rFonts w:ascii="Times New Roman" w:hAnsi="Times New Roman" w:cs="Times New Roman"/>
                <w:i/>
                <w:iCs/>
                <w:sz w:val="24"/>
                <w:szCs w:val="24"/>
              </w:rPr>
              <w:t>euro</w:t>
            </w:r>
            <w:r w:rsidRPr="0056534F">
              <w:rPr>
                <w:rFonts w:ascii="Times New Roman" w:hAnsi="Times New Roman" w:cs="Times New Roman"/>
                <w:sz w:val="24"/>
                <w:szCs w:val="24"/>
              </w:rPr>
              <w:t xml:space="preserve"> apmērā par katru akumulatora bateriju, kas ir elektro un hibrīda transporta līdzekļu sastāvdaļa, ja tās funkcija ir transportlīdzekļa vilces nodrošināšana;</w:t>
            </w:r>
          </w:p>
          <w:p w14:paraId="19F144AB" w14:textId="3F10421B" w:rsidR="00C16D51" w:rsidRPr="0056534F" w:rsidRDefault="00C16D51" w:rsidP="00C16D51">
            <w:pPr>
              <w:pStyle w:val="ListParagraph"/>
              <w:numPr>
                <w:ilvl w:val="0"/>
                <w:numId w:val="18"/>
              </w:numPr>
              <w:suppressAutoHyphens w:val="0"/>
              <w:spacing w:after="0" w:line="240" w:lineRule="auto"/>
              <w:contextualSpacing w:val="0"/>
              <w:jc w:val="both"/>
              <w:rPr>
                <w:rFonts w:ascii="Times New Roman" w:hAnsi="Times New Roman" w:cs="Times New Roman"/>
                <w:sz w:val="24"/>
                <w:szCs w:val="24"/>
              </w:rPr>
            </w:pPr>
            <w:r w:rsidRPr="0056534F">
              <w:rPr>
                <w:rFonts w:ascii="Times New Roman" w:hAnsi="Times New Roman" w:cs="Times New Roman"/>
                <w:sz w:val="24"/>
                <w:szCs w:val="24"/>
              </w:rPr>
              <w:t xml:space="preserve">Jāmaksā </w:t>
            </w:r>
            <w:r w:rsidRPr="00063D3C">
              <w:rPr>
                <w:rFonts w:ascii="Times New Roman" w:hAnsi="Times New Roman" w:cs="Times New Roman"/>
                <w:sz w:val="24"/>
                <w:szCs w:val="24"/>
              </w:rPr>
              <w:t>dabas resursu nodoklis</w:t>
            </w:r>
            <w:r w:rsidRPr="0056534F">
              <w:rPr>
                <w:rFonts w:ascii="Times New Roman" w:hAnsi="Times New Roman" w:cs="Times New Roman"/>
                <w:sz w:val="24"/>
                <w:szCs w:val="24"/>
              </w:rPr>
              <w:t xml:space="preserve"> 55 </w:t>
            </w:r>
            <w:r w:rsidRPr="00063D3C">
              <w:rPr>
                <w:rFonts w:ascii="Times New Roman" w:hAnsi="Times New Roman" w:cs="Times New Roman"/>
                <w:i/>
                <w:iCs/>
                <w:sz w:val="24"/>
                <w:szCs w:val="24"/>
              </w:rPr>
              <w:t>euro</w:t>
            </w:r>
            <w:r w:rsidRPr="0056534F">
              <w:rPr>
                <w:rFonts w:ascii="Times New Roman" w:hAnsi="Times New Roman" w:cs="Times New Roman"/>
                <w:sz w:val="24"/>
                <w:szCs w:val="24"/>
              </w:rPr>
              <w:t xml:space="preserve"> (šobrīd spēkā esoša prasība) par katru jaunu ievestu un realizētu transportlīdzekli, tajā skaitā par elektro un hibrīda transporta līdzekli. </w:t>
            </w:r>
          </w:p>
          <w:p w14:paraId="57E425F1" w14:textId="302A07E6" w:rsidR="00C16D51" w:rsidRPr="0056534F" w:rsidRDefault="00C16D51" w:rsidP="00C16D51">
            <w:pPr>
              <w:pStyle w:val="ListParagraph"/>
              <w:numPr>
                <w:ilvl w:val="0"/>
                <w:numId w:val="18"/>
              </w:numPr>
              <w:suppressAutoHyphens w:val="0"/>
              <w:spacing w:after="0" w:line="240" w:lineRule="auto"/>
              <w:ind w:left="714" w:hanging="357"/>
              <w:contextualSpacing w:val="0"/>
              <w:jc w:val="both"/>
              <w:rPr>
                <w:rFonts w:ascii="Times New Roman" w:hAnsi="Times New Roman" w:cs="Times New Roman"/>
                <w:sz w:val="24"/>
                <w:szCs w:val="24"/>
              </w:rPr>
            </w:pPr>
            <w:r w:rsidRPr="0056534F">
              <w:rPr>
                <w:rFonts w:ascii="Times New Roman" w:hAnsi="Times New Roman" w:cs="Times New Roman"/>
                <w:sz w:val="24"/>
                <w:szCs w:val="24"/>
              </w:rPr>
              <w:t xml:space="preserve">Ja komersanti iepirks “gaitas” akumulatoru no ražotāja kā rezerves daļu un veiks tās nomaiņu, tie būs atbrīvoti no </w:t>
            </w:r>
            <w:r w:rsidRPr="00063D3C">
              <w:rPr>
                <w:rFonts w:ascii="Times New Roman" w:hAnsi="Times New Roman" w:cs="Times New Roman"/>
                <w:sz w:val="24"/>
                <w:szCs w:val="24"/>
              </w:rPr>
              <w:t>dabas resursu nodokļa</w:t>
            </w:r>
            <w:r w:rsidRPr="0056534F">
              <w:rPr>
                <w:rFonts w:ascii="Times New Roman" w:hAnsi="Times New Roman" w:cs="Times New Roman"/>
                <w:sz w:val="24"/>
                <w:szCs w:val="24"/>
              </w:rPr>
              <w:t>, ja garantēs nolietotās akumulatoru baterijas izvešanu atpakaļ ražotājam.</w:t>
            </w:r>
          </w:p>
          <w:p w14:paraId="669075E0" w14:textId="070A46F4" w:rsidR="00C16D51" w:rsidRPr="0056534F" w:rsidRDefault="00C16D51" w:rsidP="00C16D51">
            <w:pPr>
              <w:jc w:val="both"/>
            </w:pPr>
            <w:r w:rsidRPr="0056534F">
              <w:t xml:space="preserve">Vēršam uzmanību, ka saistībā ar augstāk minēto 1.punktu vēršam uzmanību, ka nav pārdomāta Latvijas nodokļu politikas konkurētspēja šāda jauna </w:t>
            </w:r>
            <w:r w:rsidRPr="00063D3C">
              <w:t>dabas resursu nodokļa</w:t>
            </w:r>
            <w:r w:rsidRPr="0056534F">
              <w:t xml:space="preserve"> objekta noteikšanai, jo līdzīga vai šāda nodokļa esamība mūsu kaimiņvalstīs neeksistē. LTRK vērš uzmanību, ka šāds </w:t>
            </w:r>
            <w:r w:rsidRPr="00063D3C">
              <w:t>dabas resursu nodokļa</w:t>
            </w:r>
            <w:r w:rsidRPr="0056534F">
              <w:t xml:space="preserve"> objekta piedāvājums izveido situāciju, kurā kopējas virzības uz “zaļāku” vidi kontekstā tiek veidoti jauni nodokļi, kurus rezultātā maksās bez izmešu vai zemo izmešu transportlīdzekļu pircēji, kas veido iekšēju pretrunu – sekmēt videi draudzīgāka transporta izmantošanu, vienlaikus apliekot šādus transporta veidus ar papildus nodokļiem. </w:t>
            </w:r>
          </w:p>
          <w:p w14:paraId="4F06FEB9" w14:textId="2A85A8D2" w:rsidR="00C16D51" w:rsidRPr="0056534F" w:rsidRDefault="00C16D51" w:rsidP="00C16D51">
            <w:pPr>
              <w:jc w:val="both"/>
            </w:pPr>
            <w:r w:rsidRPr="0056534F">
              <w:t xml:space="preserve">Saistībā ar augstāk minēto 2. punktu, Likumprojekts un saistītie dokumenti nesniedz atbildi, kādēļ </w:t>
            </w:r>
            <w:r w:rsidRPr="00063D3C">
              <w:t>dabas resursu nodokļa</w:t>
            </w:r>
            <w:r w:rsidRPr="0056534F">
              <w:t xml:space="preserve"> </w:t>
            </w:r>
            <w:r w:rsidRPr="0056534F">
              <w:lastRenderedPageBreak/>
              <w:t xml:space="preserve">maksājams gan ievedot jaunu transportlīdzekli, tajā skaitā par elektro vai hibrīda akumulatora bateriju, kas ir transportlīdzekļa kopums, gan atsevišķi par akumulatora bateriju. Vēršam uzmanību, ka Latvijā darbojas Nolietotu transportlīdzekļu apsaimniekošanas likums, kas paredz nolietota transportlīdzekļa utilizācijas procesu. </w:t>
            </w:r>
          </w:p>
          <w:p w14:paraId="62E1B3CD" w14:textId="67C52DAD" w:rsidR="00C16D51" w:rsidRPr="0056534F" w:rsidRDefault="00C16D51" w:rsidP="00C16D51">
            <w:pPr>
              <w:jc w:val="both"/>
            </w:pPr>
            <w:r w:rsidRPr="0056534F">
              <w:t xml:space="preserve">Saistībā ar augstāk minēto 3. punktu vēršam uzmanību, ka nolietotās akumulatoru baterijas kā bīstamas preces izvešanas izmaksas vairākas reizes pārsniegs </w:t>
            </w:r>
            <w:r w:rsidRPr="00063D3C">
              <w:t>dabas resursu nodokļa</w:t>
            </w:r>
            <w:r w:rsidRPr="0056534F">
              <w:t xml:space="preserve"> likmi. Proti, vieglāk būs samaksāt </w:t>
            </w:r>
            <w:r w:rsidRPr="00063D3C">
              <w:t>dabas resursu nodok</w:t>
            </w:r>
            <w:r>
              <w:t>li</w:t>
            </w:r>
            <w:r w:rsidRPr="0056534F">
              <w:t>, akumulatora baterija būs jāutilizē kādam bīstamo preču apsaimniekotājiem Latvijā, tomēr pēc komersantu rīcībā esošās informācijas šādas iespējas elektro un hibrīda akumulatoru baterijām Latvijā neeksistē.</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58BB3753" w14:textId="744EE188" w:rsidR="00C16D51" w:rsidRPr="00C71189" w:rsidRDefault="00C16D51" w:rsidP="00C16D51">
            <w:pPr>
              <w:pStyle w:val="naisc"/>
              <w:spacing w:before="0" w:after="0"/>
              <w:jc w:val="both"/>
            </w:pPr>
            <w:r w:rsidRPr="00C71189">
              <w:lastRenderedPageBreak/>
              <w:t xml:space="preserve">Vēršam uzmanību, ka nav paredzēts noteikt jaunu objektu, bet precizēt nodokļa piemērošanas kārtības precizēšanu attiecībā uz baterijām un akumulatoriem, ievērojot jaunos veidus un formulējumus. Ņemot vērā elektroautomobiļu un hibrīdautomobiļu akumulatoru svaru, nepieciešams precizēt </w:t>
            </w:r>
            <w:r>
              <w:t>nodokļa</w:t>
            </w:r>
            <w:r w:rsidRPr="00C71189">
              <w:t xml:space="preserve"> aprēķināšanas kārtību, piemērojot nodokli par vienību, nevis par svaru kā citiem akumulatoriem un baterijām.</w:t>
            </w:r>
            <w:r>
              <w:t xml:space="preserve"> Tiek saglabāta esošā kārtība ar iespēju iesaistīties ražotāja paplašinātās atbildības sistēmā un saņemt nodokļa atbrīvojumu.</w:t>
            </w:r>
          </w:p>
          <w:p w14:paraId="07BBA17C" w14:textId="72C41B22" w:rsidR="00C16D51" w:rsidRPr="00C71189" w:rsidRDefault="00C16D51" w:rsidP="00C16D51">
            <w:pPr>
              <w:pStyle w:val="naisc"/>
              <w:spacing w:before="0" w:after="0"/>
              <w:jc w:val="both"/>
            </w:pPr>
            <w:r w:rsidRPr="00C71189">
              <w:t>Saskaņā ar biedrības “Auto Asociācija” sniegto informāciju praksē elektroautomobiļu un hibrīdautomobiļu akumulatori, kuri tiek mainīti, sniedzot servisa vai garantijas pakalpojumus elektroautomobiļiem un hibrīdautomobiļiem, jau tiek nosūtīti atpakaļ ražotājam.</w:t>
            </w:r>
          </w:p>
        </w:tc>
      </w:tr>
      <w:tr w:rsidR="00C16D51" w:rsidRPr="00C71189" w14:paraId="3DAB1C4C" w14:textId="77777777" w:rsidTr="001C1B73">
        <w:tc>
          <w:tcPr>
            <w:tcW w:w="14636" w:type="dxa"/>
            <w:gridSpan w:val="4"/>
            <w:tcBorders>
              <w:top w:val="single" w:sz="6" w:space="0" w:color="000000" w:themeColor="text1"/>
              <w:left w:val="single" w:sz="6" w:space="0" w:color="000000" w:themeColor="text1"/>
              <w:bottom w:val="single" w:sz="6" w:space="0" w:color="000000" w:themeColor="text1"/>
              <w:right w:val="single" w:sz="4" w:space="0" w:color="auto"/>
            </w:tcBorders>
            <w:shd w:val="clear" w:color="auto" w:fill="D9D9D9" w:themeFill="background1" w:themeFillShade="D9"/>
          </w:tcPr>
          <w:p w14:paraId="4B19F3CF" w14:textId="1CA9974F" w:rsidR="00C16D51" w:rsidRPr="0056534F" w:rsidRDefault="00C16D51" w:rsidP="00C16D51">
            <w:pPr>
              <w:pStyle w:val="naisc"/>
              <w:spacing w:before="0" w:after="0"/>
              <w:rPr>
                <w:b/>
                <w:bCs/>
              </w:rPr>
            </w:pPr>
            <w:r w:rsidRPr="0056534F">
              <w:rPr>
                <w:b/>
                <w:bCs/>
              </w:rPr>
              <w:t>Biedrības “</w:t>
            </w:r>
            <w:r w:rsidRPr="0056534F">
              <w:rPr>
                <w:b/>
                <w:bCs/>
                <w:color w:val="000000" w:themeColor="text1"/>
              </w:rPr>
              <w:t>LATVIJAS ATKRITUMU SAIMNIECĪBAS UZŅĒMUMU ASOCIĀCIJA”</w:t>
            </w:r>
            <w:r w:rsidRPr="0056534F">
              <w:rPr>
                <w:b/>
                <w:bCs/>
              </w:rPr>
              <w:t xml:space="preserve"> 28.06.2021. viedoklis</w:t>
            </w:r>
          </w:p>
        </w:tc>
      </w:tr>
      <w:tr w:rsidR="00C16D51" w:rsidRPr="00C71189" w14:paraId="179BC180"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459B8A6D" w14:textId="77777777" w:rsidR="00C16D51" w:rsidRPr="00C71189" w:rsidRDefault="00C16D51" w:rsidP="00C16D51">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05DC5D08" w14:textId="77777777" w:rsidR="00C16D51" w:rsidRPr="00C71189" w:rsidRDefault="00C16D51" w:rsidP="00C16D51">
            <w:pPr>
              <w:spacing w:before="120"/>
              <w:jc w:val="both"/>
              <w:rPr>
                <w:b/>
                <w:bCs/>
              </w:rPr>
            </w:pPr>
            <w:r w:rsidRPr="00C71189">
              <w:rPr>
                <w:b/>
                <w:bCs/>
              </w:rPr>
              <w:t>Likumprojekta 1. panta likuma 1. panta 16. punkts:</w:t>
            </w:r>
          </w:p>
          <w:p w14:paraId="7B1A4B24" w14:textId="71E9BC0B" w:rsidR="00C16D51" w:rsidRPr="00C71189" w:rsidRDefault="00C16D51" w:rsidP="00C16D51">
            <w:pPr>
              <w:spacing w:before="120"/>
              <w:jc w:val="both"/>
              <w:rPr>
                <w:b/>
                <w:bCs/>
              </w:rPr>
            </w:pPr>
            <w:r w:rsidRPr="00C71189">
              <w:t>“16) dzērienu kartona iepakojums – kompozīta iepakojums, kura viens no materiāla slāņiem ir kartons;”</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6D820545" w14:textId="77777777" w:rsidR="00C16D51" w:rsidRPr="0056534F" w:rsidRDefault="00C16D51" w:rsidP="00C16D51">
            <w:pPr>
              <w:jc w:val="both"/>
              <w:rPr>
                <w:color w:val="000000" w:themeColor="text1"/>
              </w:rPr>
            </w:pPr>
            <w:r w:rsidRPr="0056534F">
              <w:rPr>
                <w:b/>
                <w:bCs/>
                <w:color w:val="000000" w:themeColor="text1"/>
              </w:rPr>
              <w:t xml:space="preserve">[1] </w:t>
            </w:r>
            <w:r w:rsidRPr="0056534F">
              <w:rPr>
                <w:color w:val="000000" w:themeColor="text1"/>
              </w:rPr>
              <w:t xml:space="preserve">Ar Likumprojektu paredzēts papildināt Dabas resursu nodokļa likumu, turpmāk – </w:t>
            </w:r>
            <w:r w:rsidRPr="002B4CE6">
              <w:rPr>
                <w:color w:val="000000" w:themeColor="text1"/>
              </w:rPr>
              <w:t>DRN likums</w:t>
            </w:r>
            <w:r w:rsidRPr="0056534F">
              <w:rPr>
                <w:b/>
                <w:bCs/>
                <w:color w:val="000000" w:themeColor="text1"/>
              </w:rPr>
              <w:t>,</w:t>
            </w:r>
            <w:r w:rsidRPr="0056534F">
              <w:rPr>
                <w:color w:val="000000" w:themeColor="text1"/>
              </w:rPr>
              <w:t xml:space="preserve"> ar jaunu terminu, proti, dzērienu kartona iepakojumu, paredzot, kas tas ir kompozīta iepakojums, kura viens no materiāla slāņiem ir kartons (DRN likuma 1. panta 16. punkts).</w:t>
            </w:r>
          </w:p>
          <w:p w14:paraId="3AC19239" w14:textId="7E2A47BF" w:rsidR="00C16D51" w:rsidRPr="0056534F" w:rsidRDefault="00C16D51" w:rsidP="00C16D51">
            <w:pPr>
              <w:jc w:val="both"/>
              <w:rPr>
                <w:color w:val="000000" w:themeColor="text1"/>
              </w:rPr>
            </w:pPr>
            <w:r>
              <w:rPr>
                <w:color w:val="000000" w:themeColor="text1"/>
              </w:rPr>
              <w:t xml:space="preserve">Biedrība “Latvijas Atkritumu saimniecības uzņēmumu asociācija” (turpmāk – </w:t>
            </w:r>
            <w:r w:rsidRPr="0056534F">
              <w:rPr>
                <w:color w:val="000000" w:themeColor="text1"/>
              </w:rPr>
              <w:t>LASUA</w:t>
            </w:r>
            <w:r>
              <w:rPr>
                <w:color w:val="000000" w:themeColor="text1"/>
              </w:rPr>
              <w:t>)</w:t>
            </w:r>
            <w:r w:rsidRPr="0056534F">
              <w:rPr>
                <w:color w:val="000000" w:themeColor="text1"/>
              </w:rPr>
              <w:t xml:space="preserve"> atbalsta, ka DRN likumā būtu jāievieš attiecīgā definīcija, tomēr, ņemot vērā faktu, ka skaidrotā jēdziena tvērums pēc būtības aptver arī tādus iepakojuma viedus, kas nav raksturīgi tikai dzērienu iepakojumam, LASUA ieskatā, no paredzētā </w:t>
            </w:r>
            <w:r w:rsidRPr="0056534F">
              <w:rPr>
                <w:b/>
                <w:bCs/>
                <w:color w:val="000000" w:themeColor="text1"/>
              </w:rPr>
              <w:t>DRN likuma 1. panta 16. punktā norādītā termina “dzērienu kartona iepakojums” būtu svītrojams vārds “dzērienu”</w:t>
            </w:r>
            <w:r w:rsidRPr="0056534F">
              <w:rPr>
                <w:color w:val="000000" w:themeColor="text1"/>
              </w:rPr>
              <w:t>.</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3DCF0C22" w14:textId="25BDBE56" w:rsidR="00C16D51" w:rsidRDefault="00AD0132" w:rsidP="00C16D51">
            <w:pPr>
              <w:pStyle w:val="naisc"/>
              <w:spacing w:before="0" w:after="0"/>
              <w:jc w:val="both"/>
              <w:rPr>
                <w:b/>
                <w:bCs/>
              </w:rPr>
            </w:pPr>
            <w:r>
              <w:rPr>
                <w:b/>
                <w:bCs/>
              </w:rPr>
              <w:t>Ņ</w:t>
            </w:r>
            <w:r w:rsidR="00C16D51" w:rsidRPr="009F1128">
              <w:rPr>
                <w:b/>
                <w:bCs/>
              </w:rPr>
              <w:t>emts vērā.</w:t>
            </w:r>
          </w:p>
          <w:p w14:paraId="4B115BC1" w14:textId="00667F74" w:rsidR="00C16D51" w:rsidRPr="00C71189" w:rsidRDefault="00C16D51" w:rsidP="00C16D51">
            <w:pPr>
              <w:pStyle w:val="naisc"/>
              <w:spacing w:before="0" w:after="0"/>
              <w:jc w:val="both"/>
            </w:pPr>
            <w:r w:rsidRPr="00C71189">
              <w:t xml:space="preserve">Termins </w:t>
            </w:r>
            <w:r>
              <w:t>“</w:t>
            </w:r>
            <w:r w:rsidRPr="00C71189">
              <w:t>dzērienu kartona iepakojums</w:t>
            </w:r>
            <w:r>
              <w:t>”</w:t>
            </w:r>
            <w:r w:rsidRPr="00C71189">
              <w:t xml:space="preserve"> precizēts uz </w:t>
            </w:r>
            <w:r>
              <w:t>“</w:t>
            </w:r>
            <w:r w:rsidRPr="00C71189">
              <w:t>kartona iepakojums</w:t>
            </w:r>
            <w:r>
              <w:t>”</w:t>
            </w:r>
            <w:r w:rsidRPr="00C71189">
              <w:t>.</w:t>
            </w:r>
          </w:p>
          <w:p w14:paraId="2F136F26" w14:textId="43B2CF7F" w:rsidR="00C16D51" w:rsidRPr="009F1128" w:rsidRDefault="00C16D51" w:rsidP="00C16D51">
            <w:pPr>
              <w:pStyle w:val="naisc"/>
              <w:spacing w:before="0" w:after="0"/>
              <w:jc w:val="both"/>
              <w:rPr>
                <w:b/>
                <w:bCs/>
              </w:rPr>
            </w:pPr>
          </w:p>
        </w:tc>
      </w:tr>
      <w:tr w:rsidR="00C16D51" w:rsidRPr="00C71189" w14:paraId="064317D3"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6A2CD8AC" w14:textId="77777777" w:rsidR="00C16D51" w:rsidRPr="00C71189" w:rsidRDefault="00C16D51" w:rsidP="00C16D51">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0A50735F" w14:textId="77777777" w:rsidR="00C16D51" w:rsidRPr="00C71189" w:rsidRDefault="00C16D51" w:rsidP="00C16D51">
            <w:pPr>
              <w:spacing w:before="120"/>
              <w:jc w:val="both"/>
              <w:rPr>
                <w:b/>
                <w:bCs/>
              </w:rPr>
            </w:pPr>
            <w:r w:rsidRPr="00C71189">
              <w:rPr>
                <w:b/>
                <w:bCs/>
              </w:rPr>
              <w:t>Likumprojekta 5. panta likuma 8. pants:</w:t>
            </w:r>
          </w:p>
          <w:p w14:paraId="4B66A8E7" w14:textId="77777777" w:rsidR="00C16D51" w:rsidRPr="00C71189" w:rsidRDefault="00C16D51" w:rsidP="00C16D51">
            <w:pPr>
              <w:spacing w:before="120"/>
              <w:jc w:val="both"/>
            </w:pPr>
            <w:r w:rsidRPr="00C71189">
              <w:t>“(1</w:t>
            </w:r>
            <w:r w:rsidRPr="00C71189">
              <w:rPr>
                <w:vertAlign w:val="superscript"/>
              </w:rPr>
              <w:t>1</w:t>
            </w:r>
            <w:r w:rsidRPr="00C71189">
              <w:t>) Atbrīvojumu no nodokļa samaksas nepiemēro:</w:t>
            </w:r>
          </w:p>
          <w:p w14:paraId="3C6A71E5" w14:textId="77777777" w:rsidR="00C16D51" w:rsidRPr="00C71189" w:rsidRDefault="00C16D51" w:rsidP="00C16D51">
            <w:pPr>
              <w:spacing w:before="120"/>
              <w:jc w:val="both"/>
            </w:pPr>
            <w:r w:rsidRPr="00C71189">
              <w:lastRenderedPageBreak/>
              <w:t>1) vienreiz lietojamām plastmasu saturošām glāzēm;</w:t>
            </w:r>
          </w:p>
          <w:p w14:paraId="55812DFA" w14:textId="5AA03F13" w:rsidR="00C16D51" w:rsidRPr="00C71189" w:rsidRDefault="00C16D51" w:rsidP="00C16D51">
            <w:pPr>
              <w:spacing w:before="120"/>
              <w:jc w:val="both"/>
              <w:rPr>
                <w:b/>
                <w:bCs/>
              </w:rPr>
            </w:pPr>
            <w:r w:rsidRPr="00C71189">
              <w:t>2) iepakojumam no plastmasas un kompozīta iepakojumam, kura materiāla īpašības neļauj to izmantot otrreizējo izejvielu iegūšanai, kurš nav pārstrādāts vai kas nesatur pārstrādātu plastmasu;”</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0EAF7B2E" w14:textId="77777777" w:rsidR="00C16D51" w:rsidRPr="009F1128" w:rsidRDefault="00C16D51" w:rsidP="00C16D51">
            <w:pPr>
              <w:jc w:val="both"/>
              <w:rPr>
                <w:color w:val="000000" w:themeColor="text1"/>
              </w:rPr>
            </w:pPr>
            <w:r w:rsidRPr="009F1128">
              <w:rPr>
                <w:b/>
                <w:bCs/>
                <w:color w:val="000000" w:themeColor="text1"/>
              </w:rPr>
              <w:lastRenderedPageBreak/>
              <w:t xml:space="preserve">[2] </w:t>
            </w:r>
            <w:r w:rsidRPr="009F1128">
              <w:rPr>
                <w:color w:val="000000" w:themeColor="text1"/>
              </w:rPr>
              <w:t>Likumprojekta 5. pantā paredzēts izteikt DRN likuma</w:t>
            </w:r>
            <w:r w:rsidRPr="009F1128">
              <w:rPr>
                <w:b/>
                <w:bCs/>
                <w:color w:val="000000" w:themeColor="text1"/>
              </w:rPr>
              <w:t xml:space="preserve"> </w:t>
            </w:r>
            <w:r w:rsidRPr="009F1128">
              <w:rPr>
                <w:color w:val="000000" w:themeColor="text1"/>
              </w:rPr>
              <w:t>8. panta 1.</w:t>
            </w:r>
            <w:r w:rsidRPr="009F1128">
              <w:rPr>
                <w:color w:val="000000" w:themeColor="text1"/>
                <w:vertAlign w:val="superscript"/>
              </w:rPr>
              <w:t>1</w:t>
            </w:r>
            <w:r w:rsidRPr="009F1128">
              <w:rPr>
                <w:color w:val="000000" w:themeColor="text1"/>
              </w:rPr>
              <w:t xml:space="preserve"> daļu šādā redakcijā:</w:t>
            </w:r>
          </w:p>
          <w:p w14:paraId="7D154E60" w14:textId="77777777" w:rsidR="00C16D51" w:rsidRPr="009F1128" w:rsidRDefault="00C16D51" w:rsidP="00C16D51">
            <w:pPr>
              <w:jc w:val="both"/>
              <w:rPr>
                <w:color w:val="000000" w:themeColor="text1"/>
              </w:rPr>
            </w:pPr>
            <w:r w:rsidRPr="009F1128">
              <w:rPr>
                <w:color w:val="000000" w:themeColor="text1"/>
              </w:rPr>
              <w:t>“1</w:t>
            </w:r>
            <w:r w:rsidRPr="009F1128">
              <w:rPr>
                <w:color w:val="000000" w:themeColor="text1"/>
                <w:vertAlign w:val="superscript"/>
              </w:rPr>
              <w:t>1</w:t>
            </w:r>
            <w:r w:rsidRPr="009F1128">
              <w:rPr>
                <w:color w:val="000000" w:themeColor="text1"/>
              </w:rPr>
              <w:t>) Atbrīvojumu no nodokļa samaksas nepiemēro:</w:t>
            </w:r>
          </w:p>
          <w:p w14:paraId="356CC1B2" w14:textId="77777777" w:rsidR="00C16D51" w:rsidRPr="009F1128" w:rsidRDefault="00C16D51" w:rsidP="00C16D51">
            <w:pPr>
              <w:jc w:val="both"/>
              <w:rPr>
                <w:color w:val="000000" w:themeColor="text1"/>
              </w:rPr>
            </w:pPr>
            <w:r w:rsidRPr="009F1128">
              <w:rPr>
                <w:color w:val="000000" w:themeColor="text1"/>
              </w:rPr>
              <w:t>1) vienreiz lietojamām plastmasu saturošām glāzēm;</w:t>
            </w:r>
          </w:p>
          <w:p w14:paraId="284F9737" w14:textId="77777777" w:rsidR="00C16D51" w:rsidRPr="009F1128" w:rsidRDefault="00C16D51" w:rsidP="00C16D51">
            <w:pPr>
              <w:jc w:val="both"/>
              <w:rPr>
                <w:color w:val="000000" w:themeColor="text1"/>
              </w:rPr>
            </w:pPr>
            <w:r w:rsidRPr="009F1128">
              <w:rPr>
                <w:color w:val="000000" w:themeColor="text1"/>
              </w:rPr>
              <w:t xml:space="preserve">2) iepakojumam no plastmasas un kompozīta iepakojumam, kura materiāla īpašības neļauj to izmantot otrreizējo izejvielu </w:t>
            </w:r>
            <w:r w:rsidRPr="009F1128">
              <w:rPr>
                <w:color w:val="000000" w:themeColor="text1"/>
              </w:rPr>
              <w:lastRenderedPageBreak/>
              <w:t>iegūšanai, kurš nav pārstrādāts vai kas nesatur pārstrādātu plastmasu”.</w:t>
            </w:r>
          </w:p>
          <w:p w14:paraId="57CDB473" w14:textId="71C83765" w:rsidR="00C16D51" w:rsidRPr="009F1128" w:rsidRDefault="00C16D51" w:rsidP="00C16D51">
            <w:pPr>
              <w:jc w:val="both"/>
              <w:rPr>
                <w:color w:val="000000" w:themeColor="text1"/>
                <w:shd w:val="clear" w:color="auto" w:fill="FFFFFF"/>
              </w:rPr>
            </w:pPr>
            <w:r w:rsidRPr="009F1128">
              <w:rPr>
                <w:color w:val="000000" w:themeColor="text1"/>
              </w:rPr>
              <w:t>LASUA izprot, ka iespēju robežās ir jāveic pasākumi, kas vērsti uz to, lai samazinātu produktu iepakojumus no tādiem materiāliem, kurus pēc tam ir grūti vai neiespējami pārstrādāt. Tomēr jāņem vērā apstāklis, ka paredzot šāda veida DRN likuma 8. panta 1.</w:t>
            </w:r>
            <w:r w:rsidRPr="009F1128">
              <w:rPr>
                <w:color w:val="000000" w:themeColor="text1"/>
                <w:vertAlign w:val="superscript"/>
              </w:rPr>
              <w:t xml:space="preserve">1 </w:t>
            </w:r>
            <w:r w:rsidRPr="009F1128">
              <w:rPr>
                <w:color w:val="000000" w:themeColor="text1"/>
              </w:rPr>
              <w:t>daļas redakciju, gan prod</w:t>
            </w:r>
            <w:r>
              <w:rPr>
                <w:color w:val="000000" w:themeColor="text1"/>
              </w:rPr>
              <w:t>u</w:t>
            </w:r>
            <w:r w:rsidRPr="009F1128">
              <w:rPr>
                <w:color w:val="000000" w:themeColor="text1"/>
              </w:rPr>
              <w:t>ktu ražotājiem, gan atkritumu apsaimniekotājiem tiktu būtiski palielināts administratīvais slogs, jo faktiski, no minētās normas var izdarīt secinājumu, ka, ja kaut viens 1 % no izlietotā iepakojuma saturētu pārstrādātu plastmasu, tiktu piemērots atbrīvojums no dabas resursu nodokļa. Tādējādi, pēc LASUA domām, Likumprojekta 5. pantu būtu nepieciešams papildināt ar procentuālo slieksni 25 % apmērā, proti, būtu nepieciešams izteikt 8. panta 1.</w:t>
            </w:r>
            <w:r w:rsidRPr="009F1128">
              <w:rPr>
                <w:color w:val="000000" w:themeColor="text1"/>
                <w:vertAlign w:val="superscript"/>
              </w:rPr>
              <w:t>1</w:t>
            </w:r>
            <w:r w:rsidRPr="009F1128">
              <w:rPr>
                <w:color w:val="000000" w:themeColor="text1"/>
              </w:rPr>
              <w:t xml:space="preserve"> daļas 2. punktu šādā redakcijā: “</w:t>
            </w:r>
            <w:bookmarkStart w:id="13" w:name="_Hlk66182867"/>
            <w:bookmarkStart w:id="14" w:name="_Hlk72769240"/>
            <w:r w:rsidRPr="009F1128">
              <w:rPr>
                <w:color w:val="000000" w:themeColor="text1"/>
              </w:rPr>
              <w:t>2) </w:t>
            </w:r>
            <w:r w:rsidRPr="009F1128">
              <w:rPr>
                <w:color w:val="000000" w:themeColor="text1"/>
                <w:shd w:val="clear" w:color="auto" w:fill="FFFFFF"/>
              </w:rPr>
              <w:t>iepakojumam no plastmasas un kompozīta iepakojumam</w:t>
            </w:r>
            <w:bookmarkEnd w:id="13"/>
            <w:r w:rsidRPr="009F1128">
              <w:rPr>
                <w:color w:val="000000" w:themeColor="text1"/>
                <w:shd w:val="clear" w:color="auto" w:fill="FFFFFF"/>
              </w:rPr>
              <w:t>, kura materiāla īpašības neļauj to izmantot otrreizējo izejvielu iegūšanai, kurš nav pārstrādāts vai kas nesatur pārstrādātu plastmas</w:t>
            </w:r>
            <w:bookmarkEnd w:id="14"/>
            <w:r w:rsidRPr="009F1128">
              <w:rPr>
                <w:color w:val="000000" w:themeColor="text1"/>
                <w:shd w:val="clear" w:color="auto" w:fill="FFFFFF"/>
              </w:rPr>
              <w:t xml:space="preserve">u </w:t>
            </w:r>
            <w:r w:rsidRPr="009F1128">
              <w:rPr>
                <w:b/>
                <w:bCs/>
                <w:color w:val="000000" w:themeColor="text1"/>
                <w:shd w:val="clear" w:color="auto" w:fill="FFFFFF"/>
              </w:rPr>
              <w:t>vismaz 25 % apmērā</w:t>
            </w:r>
            <w:r w:rsidRPr="009F1128">
              <w:rPr>
                <w:color w:val="000000" w:themeColor="text1"/>
                <w:shd w:val="clear" w:color="auto" w:fill="FFFFFF"/>
              </w:rPr>
              <w:t>”.</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029C36D7" w14:textId="490D19AA" w:rsidR="00C16D51" w:rsidRPr="00905865" w:rsidRDefault="00C16D51" w:rsidP="00C16D51">
            <w:pPr>
              <w:pStyle w:val="naisc"/>
              <w:spacing w:before="0" w:after="0"/>
              <w:jc w:val="both"/>
              <w:rPr>
                <w:b/>
                <w:bCs/>
              </w:rPr>
            </w:pPr>
            <w:r w:rsidRPr="00905865">
              <w:rPr>
                <w:b/>
                <w:bCs/>
              </w:rPr>
              <w:lastRenderedPageBreak/>
              <w:t>Ņemts vērā.</w:t>
            </w:r>
          </w:p>
          <w:p w14:paraId="6C6B44BA" w14:textId="4E91B5D2" w:rsidR="00C16D51" w:rsidRPr="009711CF" w:rsidRDefault="00C16D51" w:rsidP="00C16D51">
            <w:pPr>
              <w:spacing w:before="120"/>
              <w:jc w:val="both"/>
            </w:pPr>
            <w:r w:rsidRPr="009711CF">
              <w:t>Likumprojekta 5. panta likuma 8. pants precizēts.</w:t>
            </w:r>
          </w:p>
          <w:p w14:paraId="09907772" w14:textId="321BB7E9" w:rsidR="00C16D51" w:rsidRPr="00C71189" w:rsidRDefault="00C16D51" w:rsidP="00C16D51">
            <w:pPr>
              <w:pStyle w:val="naisc"/>
              <w:spacing w:before="0" w:after="0"/>
              <w:jc w:val="both"/>
            </w:pPr>
          </w:p>
        </w:tc>
      </w:tr>
      <w:tr w:rsidR="00C16D51" w:rsidRPr="00C71189" w14:paraId="276BDCC2"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3D5E119F" w14:textId="77777777" w:rsidR="00C16D51" w:rsidRPr="00C71189" w:rsidRDefault="00C16D51" w:rsidP="00C16D51">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6B8643FB" w14:textId="77777777" w:rsidR="00C16D51" w:rsidRPr="00C71189" w:rsidRDefault="00C16D51" w:rsidP="00C16D51">
            <w:pPr>
              <w:spacing w:before="120"/>
              <w:jc w:val="both"/>
              <w:rPr>
                <w:b/>
                <w:bCs/>
              </w:rPr>
            </w:pPr>
            <w:r w:rsidRPr="00C71189">
              <w:rPr>
                <w:b/>
                <w:bCs/>
              </w:rPr>
              <w:t>Likumprojekta 17. panta likuma 24. panta astotā daļa:</w:t>
            </w:r>
          </w:p>
          <w:p w14:paraId="5CD6D92D" w14:textId="18EAD55E" w:rsidR="00C16D51" w:rsidRPr="00C71189" w:rsidRDefault="00C16D51" w:rsidP="00C16D51">
            <w:pPr>
              <w:spacing w:before="120"/>
              <w:jc w:val="both"/>
              <w:rPr>
                <w:b/>
                <w:bCs/>
              </w:rPr>
            </w:pPr>
            <w:r w:rsidRPr="00C71189">
              <w:t xml:space="preserve">“(8) Nodokļa maksātājs, kas pats piemēro vai </w:t>
            </w:r>
            <w:r w:rsidRPr="00C71189">
              <w:rPr>
                <w:shd w:val="clear" w:color="auto" w:fill="FFFFFF"/>
              </w:rPr>
              <w:t xml:space="preserve">piedalās izlietotā iepakojuma vai vienreiz lietojamo galda trauku un piederumu apsaimniekošanas sistēmā, maksā nodokli par to plastmasas un kompozīta iepakojuma apjomu, kas pārskata </w:t>
            </w:r>
            <w:r w:rsidRPr="00C71189">
              <w:rPr>
                <w:shd w:val="clear" w:color="auto" w:fill="FFFFFF"/>
              </w:rPr>
              <w:lastRenderedPageBreak/>
              <w:t>periodā nav pārstrādāts.</w:t>
            </w:r>
            <w:r w:rsidRPr="00C71189">
              <w:t> I</w:t>
            </w:r>
            <w:r w:rsidRPr="00C71189">
              <w:rPr>
                <w:shd w:val="clear" w:color="auto" w:fill="FFFFFF"/>
              </w:rPr>
              <w:t>epakojumam no plastmasas un kompozīta šajā gadījumā piemēro nodokļa likmi 0,80 </w:t>
            </w:r>
            <w:r w:rsidRPr="00C71189">
              <w:rPr>
                <w:i/>
                <w:iCs/>
                <w:shd w:val="clear" w:color="auto" w:fill="FFFFFF"/>
              </w:rPr>
              <w:t>euro</w:t>
            </w:r>
            <w:r w:rsidRPr="00C71189">
              <w:rPr>
                <w:shd w:val="clear" w:color="auto" w:fill="FFFFFF"/>
              </w:rPr>
              <w:t xml:space="preserve"> par vienu kilogramu.”</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388D3C69" w14:textId="77777777" w:rsidR="00C16D51" w:rsidRPr="00435641" w:rsidRDefault="00C16D51" w:rsidP="00C16D51">
            <w:pPr>
              <w:jc w:val="both"/>
              <w:rPr>
                <w:color w:val="000000" w:themeColor="text1"/>
              </w:rPr>
            </w:pPr>
            <w:r w:rsidRPr="00435641">
              <w:rPr>
                <w:b/>
                <w:bCs/>
                <w:color w:val="000000" w:themeColor="text1"/>
              </w:rPr>
              <w:lastRenderedPageBreak/>
              <w:t>[3]</w:t>
            </w:r>
            <w:r w:rsidRPr="00435641">
              <w:rPr>
                <w:color w:val="000000" w:themeColor="text1"/>
              </w:rPr>
              <w:t xml:space="preserve"> Ar Likumprojektu paredzēts papildināt DRN likuma 24. pantu ar astoto daļu, kurā noteikts, ka nodokļu maksātājs maksā nodokli par to plastmasas un kompozīta iepakojuma apjomu, kas pārskata periodā nav pārstrādāts, un nodokļa likme šādā gadījumā ir 0,80 </w:t>
            </w:r>
            <w:r w:rsidRPr="00435641">
              <w:rPr>
                <w:i/>
                <w:iCs/>
                <w:color w:val="000000" w:themeColor="text1"/>
              </w:rPr>
              <w:t>euro</w:t>
            </w:r>
            <w:r w:rsidRPr="00435641">
              <w:rPr>
                <w:color w:val="000000" w:themeColor="text1"/>
              </w:rPr>
              <w:t xml:space="preserve"> par vienu kilogramu.</w:t>
            </w:r>
          </w:p>
          <w:p w14:paraId="39567A13" w14:textId="7C947F09" w:rsidR="00C16D51" w:rsidRPr="00435641" w:rsidRDefault="00C16D51" w:rsidP="00C16D51">
            <w:pPr>
              <w:pStyle w:val="ListParagraph"/>
              <w:numPr>
                <w:ilvl w:val="0"/>
                <w:numId w:val="17"/>
              </w:numPr>
              <w:suppressAutoHyphens w:val="0"/>
              <w:spacing w:after="0" w:line="240" w:lineRule="auto"/>
              <w:ind w:left="0" w:hanging="284"/>
              <w:contextualSpacing w:val="0"/>
              <w:jc w:val="both"/>
              <w:rPr>
                <w:rFonts w:ascii="Times New Roman" w:hAnsi="Times New Roman" w:cs="Times New Roman"/>
                <w:sz w:val="24"/>
                <w:szCs w:val="24"/>
              </w:rPr>
            </w:pPr>
            <w:r w:rsidRPr="00435641">
              <w:rPr>
                <w:rFonts w:ascii="Times New Roman" w:hAnsi="Times New Roman" w:cs="Times New Roman"/>
                <w:color w:val="000000" w:themeColor="text1"/>
                <w:sz w:val="24"/>
                <w:szCs w:val="24"/>
              </w:rPr>
              <w:t xml:space="preserve">Ņemot vērā faktu, ka Likumprojektā paredzētie grozījumi, tajā skaitā saistībā ar jauna veida nodokļa likmes ieviešanu, atstāj būtiski ietekmi uz nodokļu maksātāju saimniecisko darbību, kā rezultātā nodokļu maksātājiem ir nepieciešams pārstrukturizēt un veikt izmaiņas pašreizējās darbībās, tajā skaitā informēt sadarbības partnerus, klientus par paredzētajām izmaiņām, aktualizēt un pielāgot esošās sistēmas, ieviest labākos un efektīvākos risinājumus attiecībā uz Likumprojektā paredzēto grozījumu realizēšanu, ir pašsaprotami, ka Likumprojektā tiek noteikts samērīgs šādu grozījumu pārejas periods. Pašreizējā </w:t>
            </w:r>
            <w:r w:rsidRPr="00435641">
              <w:rPr>
                <w:rFonts w:ascii="Times New Roman" w:hAnsi="Times New Roman" w:cs="Times New Roman"/>
                <w:color w:val="000000" w:themeColor="text1"/>
                <w:sz w:val="24"/>
                <w:szCs w:val="24"/>
              </w:rPr>
              <w:lastRenderedPageBreak/>
              <w:t>Likumprojekta anotācijā norādīts, ka plānotais Likumprojekta spēkā stāšanās datums būs 2022. gada 1. janvāris un  tikai noteikti Likumprojekta grozījumi stāsies spēkā 2023. gada 1.</w:t>
            </w:r>
            <w:r>
              <w:rPr>
                <w:rFonts w:ascii="Times New Roman" w:hAnsi="Times New Roman" w:cs="Times New Roman"/>
                <w:color w:val="000000" w:themeColor="text1"/>
                <w:sz w:val="24"/>
                <w:szCs w:val="24"/>
              </w:rPr>
              <w:t> </w:t>
            </w:r>
            <w:r w:rsidRPr="00435641">
              <w:rPr>
                <w:rFonts w:ascii="Times New Roman" w:hAnsi="Times New Roman" w:cs="Times New Roman"/>
                <w:color w:val="000000" w:themeColor="text1"/>
                <w:sz w:val="24"/>
                <w:szCs w:val="24"/>
              </w:rPr>
              <w:t xml:space="preserve">janvārī. LASUA ieskatā, ņemot vērā līdzšinējo praksi attiecībā uz normatīvo aktu ilgstošo saskaņošanas procesu, kā arī Likumprojekta grozījumu būtiskumu un to, ka ar šādu grozījumu spēkā stāšanos nodokļu maksātājiem ir jāveic dažādi saimnieciskās darbības pielāgošanas pasākumi, Likumprojektā ir jāparedz, ka paredzētie grozījumi, it īpaši attiecībā uz nodokļu likmi par nepārstrādātu plastmasas un kompozīta iepakojuma apjomu, kā arī kartona iepakojumu, </w:t>
            </w:r>
            <w:r w:rsidRPr="00435641">
              <w:rPr>
                <w:rFonts w:ascii="Times New Roman" w:hAnsi="Times New Roman" w:cs="Times New Roman"/>
                <w:b/>
                <w:bCs/>
                <w:color w:val="000000" w:themeColor="text1"/>
                <w:sz w:val="24"/>
                <w:szCs w:val="24"/>
              </w:rPr>
              <w:t>stājas spēkā ne ātrāk kā 2023. gada 1. janvārī</w:t>
            </w:r>
            <w:r w:rsidRPr="00435641">
              <w:rPr>
                <w:rFonts w:ascii="Times New Roman" w:hAnsi="Times New Roman" w:cs="Times New Roman"/>
                <w:color w:val="000000" w:themeColor="text1"/>
                <w:sz w:val="24"/>
                <w:szCs w:val="24"/>
              </w:rPr>
              <w:t xml:space="preserve">. Paredzot sapratīgu pārejas periodu, tiek garantētas arī </w:t>
            </w:r>
            <w:r w:rsidRPr="00435641">
              <w:rPr>
                <w:rFonts w:ascii="Times New Roman" w:hAnsi="Times New Roman" w:cs="Times New Roman"/>
                <w:sz w:val="24"/>
                <w:szCs w:val="24"/>
              </w:rPr>
              <w:t>lielākas iespējas, ka attiecīgie grozījumi tiks ieviesti kvalitatīvāk un efektīvāk, jo nodokļu maksātājiem būs nodrošināts atbilstošs laika periods izanalizēt un ieviest vispiemērotākos pasākumus, lai pēc iespējas korektāk realizētu ar Likumprojektu noteiktos pienākumus.</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58967D02" w14:textId="77777777" w:rsidR="00C16D51" w:rsidRDefault="00C16D51" w:rsidP="00C16D51">
            <w:pPr>
              <w:pStyle w:val="naisc"/>
              <w:spacing w:before="0" w:after="0"/>
              <w:jc w:val="both"/>
              <w:rPr>
                <w:b/>
                <w:bCs/>
              </w:rPr>
            </w:pPr>
            <w:r w:rsidRPr="00382CFD">
              <w:rPr>
                <w:b/>
                <w:bCs/>
              </w:rPr>
              <w:lastRenderedPageBreak/>
              <w:t>Nav ņemts vērā.</w:t>
            </w:r>
          </w:p>
          <w:p w14:paraId="2046A659" w14:textId="3233C79F" w:rsidR="00C16D51" w:rsidRDefault="00C16D51" w:rsidP="00C16D51">
            <w:pPr>
              <w:pStyle w:val="naisc"/>
              <w:spacing w:before="0" w:after="0"/>
              <w:jc w:val="both"/>
            </w:pPr>
            <w:r>
              <w:t>Norādām, ka iemaksa Eiropas Savienības budžetā par nepārstrādāto plastmasas un kompozīta iepakojumu Latvijai jāveic jau no šī gada, tikmēr dabas resursu nodokļa piemērošana par nepārstrādāto plastmasas un kompozīta iepakojumu jau plānota ar nobīdi – pirmo maksājumu paredzot 2023. gadā.</w:t>
            </w:r>
          </w:p>
          <w:p w14:paraId="459605DE" w14:textId="4B09F8B1" w:rsidR="00C16D51" w:rsidRPr="003F00FE" w:rsidRDefault="00C16D51" w:rsidP="00C16D51">
            <w:pPr>
              <w:pStyle w:val="naisc"/>
              <w:spacing w:before="0" w:after="0"/>
              <w:jc w:val="both"/>
              <w:rPr>
                <w:b/>
                <w:bCs/>
              </w:rPr>
            </w:pPr>
          </w:p>
        </w:tc>
      </w:tr>
      <w:tr w:rsidR="00C16D51" w:rsidRPr="00C71189" w14:paraId="6D1422F0"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59E9204D" w14:textId="77777777" w:rsidR="00C16D51" w:rsidRPr="00C71189" w:rsidRDefault="00C16D51" w:rsidP="00C16D51">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5F890B4E" w14:textId="57A8EE42" w:rsidR="00C16D51" w:rsidRPr="00C71189" w:rsidRDefault="00C16D51" w:rsidP="00C16D51">
            <w:pPr>
              <w:spacing w:before="120"/>
              <w:jc w:val="both"/>
              <w:rPr>
                <w:b/>
                <w:bCs/>
              </w:rPr>
            </w:pPr>
            <w:r>
              <w:rPr>
                <w:b/>
                <w:bCs/>
              </w:rPr>
              <w:t>Vispārīgi.</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2783874E" w14:textId="3BE3C8A2" w:rsidR="00C16D51" w:rsidRPr="00B07AD8" w:rsidRDefault="00C16D51" w:rsidP="00C16D51">
            <w:pPr>
              <w:jc w:val="both"/>
              <w:rPr>
                <w:color w:val="000000" w:themeColor="text1"/>
              </w:rPr>
            </w:pPr>
            <w:r w:rsidRPr="00B07AD8">
              <w:rPr>
                <w:b/>
                <w:bCs/>
              </w:rPr>
              <w:t>[4]</w:t>
            </w:r>
            <w:r w:rsidRPr="00B07AD8">
              <w:t xml:space="preserve"> Likumprojekta tekstā tiek lietoti termini “pārstrādāts”, “nepārstrādāts”, “nepārstrādājamība” un “pārstrādājamība”. Eiropas Padomes lēmuma 2020/2053 (2020. gada 14. decembra) par Eiropas Savienības pašu resursu sistēmu un ar ko atceļ Lēmumu 2014/335/ES, Euratom, turpmāk – </w:t>
            </w:r>
            <w:r w:rsidRPr="00B07AD8">
              <w:rPr>
                <w:b/>
                <w:bCs/>
              </w:rPr>
              <w:t>Lēmums 2020/2053</w:t>
            </w:r>
            <w:r w:rsidRPr="00380D10">
              <w:t>,</w:t>
            </w:r>
            <w:r w:rsidRPr="00B07AD8">
              <w:t xml:space="preserve"> preambulā norādīts, ka pašu resursa iemaksas </w:t>
            </w:r>
            <w:r w:rsidRPr="00B07AD8">
              <w:rPr>
                <w:shd w:val="clear" w:color="auto" w:fill="FFFFFF"/>
              </w:rPr>
              <w:t>aprēķina, balstoties uz nepārstrādātā izlietotā plastmasas iepakojuma daudzumu. Tāpat arī Lēmuma 2020/2053 2. panta 2. punktā noteikts, ka n</w:t>
            </w:r>
            <w:r w:rsidRPr="00B07AD8">
              <w:rPr>
                <w:color w:val="000000"/>
                <w:shd w:val="clear" w:color="auto" w:fill="FFFFFF"/>
              </w:rPr>
              <w:t xml:space="preserve">epārstrādātā izlietotā plastmasas iepakojuma svaru aprēķina kā starpību starp tā izlietotā plastmasas iepakojuma svaru, kas dalībvalstī radies konkrētā gadā, un tā izlietotā plastmasas iepakojuma svaru, kas attiecīgajā gadā pārstrādāts. Līdz ar to, nav šaubu, ka </w:t>
            </w:r>
            <w:r w:rsidRPr="00B07AD8">
              <w:rPr>
                <w:shd w:val="clear" w:color="auto" w:fill="FFFFFF"/>
              </w:rPr>
              <w:t xml:space="preserve">Lēmuma 2020/2053 </w:t>
            </w:r>
            <w:r w:rsidRPr="00B07AD8">
              <w:rPr>
                <w:color w:val="000000" w:themeColor="text1"/>
              </w:rPr>
              <w:t xml:space="preserve">tvērums attiecībā uz pašu resursu izlietotam plastmasas iepakojumam tiek attiecināts uz nepārstrādātu iepakojumu, kā rezultātā, lai panāktu vienotu formulējumu un izpratni par to, uz ko attiecas Likumprojekts un tajā ietvertie </w:t>
            </w:r>
            <w:r w:rsidRPr="00B07AD8">
              <w:rPr>
                <w:color w:val="000000" w:themeColor="text1"/>
              </w:rPr>
              <w:lastRenderedPageBreak/>
              <w:t xml:space="preserve">grozījumi, LASUA uzskata, ka </w:t>
            </w:r>
            <w:r w:rsidRPr="00B07AD8">
              <w:rPr>
                <w:b/>
                <w:bCs/>
                <w:color w:val="000000" w:themeColor="text1"/>
              </w:rPr>
              <w:t>Likumprojektā jālieto tikai termini “pārstrādāts”, “nepārstrādāts”</w:t>
            </w:r>
            <w:r w:rsidRPr="00B07AD8">
              <w:rPr>
                <w:color w:val="000000" w:themeColor="text1"/>
              </w:rPr>
              <w:t xml:space="preserve">. </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1711A457" w14:textId="77777777" w:rsidR="00C16D51" w:rsidRDefault="00C16D51" w:rsidP="00C16D51">
            <w:pPr>
              <w:pStyle w:val="naisc"/>
              <w:spacing w:before="0" w:after="0"/>
              <w:jc w:val="both"/>
              <w:rPr>
                <w:b/>
                <w:bCs/>
              </w:rPr>
            </w:pPr>
            <w:r w:rsidRPr="003C27E3">
              <w:rPr>
                <w:b/>
                <w:bCs/>
              </w:rPr>
              <w:lastRenderedPageBreak/>
              <w:t>Nav ņemts vērā.</w:t>
            </w:r>
          </w:p>
          <w:p w14:paraId="7BEA7840" w14:textId="56A2D316" w:rsidR="00C16D51" w:rsidRPr="000D5C5F" w:rsidRDefault="00C16D51" w:rsidP="00C16D51">
            <w:pPr>
              <w:pStyle w:val="naisc"/>
              <w:spacing w:before="0" w:after="0"/>
              <w:jc w:val="both"/>
            </w:pPr>
            <w:r>
              <w:t xml:space="preserve">VARAM ieskatā nepieciešami pasākumi, lai motivētu </w:t>
            </w:r>
            <w:r w:rsidRPr="009F1128">
              <w:rPr>
                <w:color w:val="000000" w:themeColor="text1"/>
              </w:rPr>
              <w:t xml:space="preserve">samazināt produktu </w:t>
            </w:r>
            <w:r w:rsidRPr="00396AD7">
              <w:rPr>
                <w:shd w:val="clear" w:color="auto" w:fill="FFFFFF"/>
              </w:rPr>
              <w:t>iepakojumus no plastmasas un kompozīta, kura materiāla īpašības neļauj to izmantot otrreizējo izejvielu iegūšanai, kurš nav pārstrādāts vai kas nesatur pārstrādātu plastmasu.</w:t>
            </w:r>
          </w:p>
        </w:tc>
      </w:tr>
      <w:tr w:rsidR="00C16D51" w:rsidRPr="00C71189" w14:paraId="115C01C6"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37E3C236" w14:textId="77777777" w:rsidR="00C16D51" w:rsidRPr="00C71189" w:rsidRDefault="00C16D51" w:rsidP="00C16D51">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3C61E944" w14:textId="77777777" w:rsidR="00C16D51" w:rsidRPr="00C71189" w:rsidRDefault="00C16D51" w:rsidP="00C16D51">
            <w:pPr>
              <w:spacing w:before="120"/>
              <w:jc w:val="both"/>
              <w:rPr>
                <w:b/>
                <w:bCs/>
              </w:rPr>
            </w:pPr>
            <w:r w:rsidRPr="00C71189">
              <w:rPr>
                <w:b/>
                <w:bCs/>
              </w:rPr>
              <w:t>Likumprojekta 17. panta likuma 24. panta astotā daļa:</w:t>
            </w:r>
          </w:p>
          <w:p w14:paraId="379E732D" w14:textId="133E9F10" w:rsidR="00C16D51" w:rsidRPr="00C71189" w:rsidRDefault="00C16D51" w:rsidP="00C16D51">
            <w:pPr>
              <w:spacing w:before="120"/>
              <w:jc w:val="both"/>
              <w:rPr>
                <w:b/>
                <w:bCs/>
              </w:rPr>
            </w:pPr>
            <w:r w:rsidRPr="00C71189">
              <w:t xml:space="preserve">“(8) Nodokļa maksātājs, kas pats piemēro vai </w:t>
            </w:r>
            <w:r w:rsidRPr="00C71189">
              <w:rPr>
                <w:shd w:val="clear" w:color="auto" w:fill="FFFFFF"/>
              </w:rPr>
              <w:t>piedalās izlietotā iepakojuma vai vienreiz lietojamo galda trauku un piederumu apsaimniekošanas sistēmā, maksā nodokli par to plastmasas un kompozīta iepakojuma apjomu, kas pārskata periodā nav pārstrādāts.</w:t>
            </w:r>
            <w:r w:rsidRPr="00C71189">
              <w:t> I</w:t>
            </w:r>
            <w:r w:rsidRPr="00C71189">
              <w:rPr>
                <w:shd w:val="clear" w:color="auto" w:fill="FFFFFF"/>
              </w:rPr>
              <w:t>epakojumam no plastmasas un kompozīta šajā gadījumā piemēro nodokļa likmi 0,80 </w:t>
            </w:r>
            <w:r w:rsidRPr="00C71189">
              <w:rPr>
                <w:i/>
                <w:iCs/>
                <w:shd w:val="clear" w:color="auto" w:fill="FFFFFF"/>
              </w:rPr>
              <w:t>euro</w:t>
            </w:r>
            <w:r w:rsidRPr="00C71189">
              <w:rPr>
                <w:shd w:val="clear" w:color="auto" w:fill="FFFFFF"/>
              </w:rPr>
              <w:t xml:space="preserve"> par vienu kilogramu.”</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54B54BDB" w14:textId="6310F140" w:rsidR="00C16D51" w:rsidRPr="00E75B34" w:rsidRDefault="00C16D51" w:rsidP="00C16D51">
            <w:pPr>
              <w:jc w:val="both"/>
              <w:rPr>
                <w:color w:val="000000" w:themeColor="text1"/>
                <w:shd w:val="clear" w:color="auto" w:fill="FFFFFF"/>
              </w:rPr>
            </w:pPr>
            <w:r w:rsidRPr="00F06982">
              <w:rPr>
                <w:b/>
                <w:bCs/>
                <w:color w:val="000000" w:themeColor="text1"/>
              </w:rPr>
              <w:t>[5]</w:t>
            </w:r>
            <w:r w:rsidRPr="00F06982">
              <w:rPr>
                <w:color w:val="000000" w:themeColor="text1"/>
              </w:rPr>
              <w:t xml:space="preserve"> Ministru kabineta 2017. gada 16. augusta noteikumos Nr. 480 “</w:t>
            </w:r>
            <w:r w:rsidRPr="00F06982">
              <w:rPr>
                <w:color w:val="000000" w:themeColor="text1"/>
                <w:shd w:val="clear" w:color="auto" w:fill="FFFFFF"/>
              </w:rPr>
              <w:t>Noteikumi par atbrīvojuma piemērošanu no dabas resursu nodokļa samaksas par iepakojumu un vienreiz lietojamiem galda traukiem un piederumiem”, turpmāk –</w:t>
            </w:r>
            <w:r w:rsidRPr="00F06982">
              <w:rPr>
                <w:b/>
                <w:bCs/>
                <w:color w:val="000000" w:themeColor="text1"/>
                <w:shd w:val="clear" w:color="auto" w:fill="FFFFFF"/>
              </w:rPr>
              <w:t xml:space="preserve"> Noteikumi Nr. 480, </w:t>
            </w:r>
            <w:r w:rsidRPr="00F06982">
              <w:rPr>
                <w:color w:val="000000" w:themeColor="text1"/>
                <w:shd w:val="clear" w:color="auto" w:fill="FFFFFF"/>
              </w:rPr>
              <w:t xml:space="preserve">cita starpā paredz sasniedzamos apjomus attiecībā uz izlietotā iepakojuma materiālu veida pārstrādes un reģenerācijas apjomiem. Pastāvot pašreizējai situācijai attiecībā uz iespējām pārstrādāt un reģenerēt izlietoto iepakojumu, LASUA ieskatā, ir jāparedz, ka Likumprojekta ietvaros, līdz brīdim, kamēr tiek sasniegti Noteikumos Nr. 480 norādītie apjomi (mērķi) attiecībā uz iepakojuma reģenerāciju un pārstrādi, arī reģenerācija tiek ietverta pārstrādes apjomos un par šo apjomu netiek piemērota </w:t>
            </w:r>
            <w:r w:rsidRPr="00AD0A1E">
              <w:rPr>
                <w:color w:val="000000" w:themeColor="text1"/>
                <w:shd w:val="clear" w:color="auto" w:fill="FFFFFF"/>
              </w:rPr>
              <w:t>dabas resursu nodokļa</w:t>
            </w:r>
            <w:r w:rsidRPr="00F06982">
              <w:rPr>
                <w:color w:val="000000" w:themeColor="text1"/>
                <w:shd w:val="clear" w:color="auto" w:fill="FFFFFF"/>
              </w:rPr>
              <w:t xml:space="preserve"> likme 0,80 </w:t>
            </w:r>
            <w:r w:rsidRPr="00F06982">
              <w:rPr>
                <w:i/>
                <w:iCs/>
                <w:color w:val="000000" w:themeColor="text1"/>
                <w:shd w:val="clear" w:color="auto" w:fill="FFFFFF"/>
              </w:rPr>
              <w:t>euro</w:t>
            </w:r>
            <w:r w:rsidRPr="00F06982">
              <w:rPr>
                <w:color w:val="000000" w:themeColor="text1"/>
                <w:shd w:val="clear" w:color="auto" w:fill="FFFFFF"/>
              </w:rPr>
              <w:t xml:space="preserve"> apmērā par vienu kilogramu.</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4E1FAEF1" w14:textId="0FCC0A34" w:rsidR="00C16D51" w:rsidRPr="0012510B" w:rsidRDefault="00C16D51" w:rsidP="00C16D51">
            <w:pPr>
              <w:pStyle w:val="naisc"/>
              <w:spacing w:before="0" w:after="0"/>
              <w:jc w:val="both"/>
              <w:rPr>
                <w:b/>
                <w:bCs/>
              </w:rPr>
            </w:pPr>
            <w:r w:rsidRPr="0012510B">
              <w:rPr>
                <w:b/>
                <w:bCs/>
              </w:rPr>
              <w:t>Nav ņemts vērā.</w:t>
            </w:r>
          </w:p>
          <w:p w14:paraId="4A2BE77A" w14:textId="6B4B926B" w:rsidR="00C16D51" w:rsidRPr="00C71189" w:rsidRDefault="00C16D51" w:rsidP="00C16D51">
            <w:pPr>
              <w:pStyle w:val="naisc"/>
              <w:spacing w:before="0" w:after="0"/>
              <w:jc w:val="both"/>
            </w:pPr>
            <w:r w:rsidRPr="00526F62">
              <w:t>Ievērojot, ka saskaņā ar Atkritumu apsaimniekošanas likuma 1. panta 1</w:t>
            </w:r>
            <w:r>
              <w:t>3</w:t>
            </w:r>
            <w:r w:rsidRPr="00526F62">
              <w:t>. un 1</w:t>
            </w:r>
            <w:r>
              <w:t>4</w:t>
            </w:r>
            <w:r w:rsidRPr="00526F62">
              <w:t>. punktu reģenerācija un pārstrāde ir divas dažādas darbības, reģenerāciju nevar ieskaitīt pārstrādes apjomos.</w:t>
            </w:r>
          </w:p>
        </w:tc>
      </w:tr>
      <w:tr w:rsidR="00C16D51" w:rsidRPr="00C71189" w14:paraId="208F56C4"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559F8600" w14:textId="77777777" w:rsidR="00C16D51" w:rsidRPr="00C71189" w:rsidRDefault="00C16D51" w:rsidP="00C16D51">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63E48C42" w14:textId="18740884" w:rsidR="00C16D51" w:rsidRPr="00C71189" w:rsidRDefault="00C16D51" w:rsidP="00C16D51">
            <w:pPr>
              <w:spacing w:before="120"/>
              <w:jc w:val="both"/>
              <w:rPr>
                <w:b/>
                <w:bCs/>
              </w:rPr>
            </w:pPr>
            <w:r>
              <w:rPr>
                <w:b/>
                <w:bCs/>
              </w:rPr>
              <w:t>Vispārīgi.</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51E5AD25" w14:textId="6AD32BFC" w:rsidR="00C16D51" w:rsidRPr="00853D87" w:rsidRDefault="00C16D51" w:rsidP="00C16D51">
            <w:pPr>
              <w:jc w:val="both"/>
              <w:rPr>
                <w:b/>
                <w:bCs/>
                <w:color w:val="000000" w:themeColor="text1"/>
                <w:shd w:val="clear" w:color="auto" w:fill="FFFFFF"/>
              </w:rPr>
            </w:pPr>
            <w:r w:rsidRPr="00853D87">
              <w:rPr>
                <w:b/>
                <w:bCs/>
                <w:color w:val="000000" w:themeColor="text1"/>
              </w:rPr>
              <w:t xml:space="preserve">[6] </w:t>
            </w:r>
            <w:r w:rsidRPr="00853D87">
              <w:rPr>
                <w:color w:val="000000" w:themeColor="text1"/>
              </w:rPr>
              <w:t xml:space="preserve">DRN likuma 1. pielikumā ir ietvertas nodokļa likmes par dabas resursu ieguvi, tajā skaitā arī par </w:t>
            </w:r>
            <w:r w:rsidRPr="00853D87">
              <w:rPr>
                <w:color w:val="000000" w:themeColor="text1"/>
                <w:shd w:val="clear" w:color="auto" w:fill="FFFFFF"/>
              </w:rPr>
              <w:t xml:space="preserve">augsni, smilšmālu un mālsmilti, aleirītu, kvarca smilti, smilti un smilti-granti (1. pielikuma 1.-5. punkts). Ar Eiropas Parlamenta un Padomes direktīvas  2018/851 (2018. gada 30. maijs), ar ko groza Direktīvu 2008/98 par atkritumiem, turpmāk – </w:t>
            </w:r>
            <w:r w:rsidRPr="00853D87">
              <w:rPr>
                <w:b/>
                <w:bCs/>
                <w:color w:val="000000" w:themeColor="text1"/>
                <w:shd w:val="clear" w:color="auto" w:fill="FFFFFF"/>
              </w:rPr>
              <w:t>Direktīva 2018/851</w:t>
            </w:r>
            <w:r w:rsidRPr="00853D87">
              <w:rPr>
                <w:color w:val="000000" w:themeColor="text1"/>
                <w:shd w:val="clear" w:color="auto" w:fill="FFFFFF"/>
              </w:rPr>
              <w:t xml:space="preserve">, 1. pantu cita starpā ir grozīts Direktīvas 2008/98 1. pants, nosakot, ka ir jāveic pasākumi, lai samazinātu resursu izmantošanas vispārējo ietekmi un veicinātu resursu efektīvāku izmantošanu, kas ir būtiski svarīgi pārejai uz aprites ekonomiku </w:t>
            </w:r>
            <w:r w:rsidRPr="00853D87">
              <w:rPr>
                <w:color w:val="000000" w:themeColor="text1"/>
                <w:shd w:val="clear" w:color="auto" w:fill="FFFFFF"/>
              </w:rPr>
              <w:lastRenderedPageBreak/>
              <w:t>un iespējai ilgtermiņā garantēt Eiropas Savienības konkurētspēju.</w:t>
            </w:r>
            <w:r w:rsidRPr="00853D87">
              <w:rPr>
                <w:color w:val="000000" w:themeColor="text1"/>
              </w:rPr>
              <w:t xml:space="preserve"> Tāpat Direktīvas 2018/851 preambulas 1. punktā cita starpā norādīts, ka </w:t>
            </w:r>
            <w:r w:rsidRPr="00853D87">
              <w:rPr>
                <w:color w:val="000000" w:themeColor="text1"/>
                <w:shd w:val="clear" w:color="auto" w:fill="FFFFFF"/>
              </w:rPr>
              <w:t>atkritumu apsaimniekošana būtu jāuzlabo un jāpārveido par ilgtspējīgu materiālu pārvaldību ar mērķi nodrošināt dabas resursu apdomīgu, efektīvu un racionālu izmantošanu, sekmēt aprites ekonomikas principus. Lai ekonomiku patiešām padarītu par aprites ekonomiku, ir nepieciešams veikt papildu pasākumus attiecībā uz ilgtspējīgu ražošanu un patēriņu, pievēršoties visam produktu aprites ciklam tādā veidā, kas saglabā resursus un noslēdz aprites loku. Nav šaubu, ka DRN likuma 1. pielikuma 1.</w:t>
            </w:r>
            <w:r>
              <w:rPr>
                <w:color w:val="000000" w:themeColor="text1"/>
                <w:shd w:val="clear" w:color="auto" w:fill="FFFFFF"/>
              </w:rPr>
              <w:t xml:space="preserve"> </w:t>
            </w:r>
            <w:r w:rsidRPr="00853D87">
              <w:rPr>
                <w:color w:val="000000" w:themeColor="text1"/>
                <w:shd w:val="clear" w:color="auto" w:fill="FFFFFF"/>
              </w:rPr>
              <w:t>-</w:t>
            </w:r>
            <w:r>
              <w:rPr>
                <w:color w:val="000000" w:themeColor="text1"/>
                <w:shd w:val="clear" w:color="auto" w:fill="FFFFFF"/>
              </w:rPr>
              <w:t xml:space="preserve"> </w:t>
            </w:r>
            <w:r w:rsidRPr="00853D87">
              <w:rPr>
                <w:color w:val="000000" w:themeColor="text1"/>
                <w:shd w:val="clear" w:color="auto" w:fill="FFFFFF"/>
              </w:rPr>
              <w:t xml:space="preserve">5. punktā norādītie resursi tiek plaši izmantoti ceļu būvniecībā vai ar to saistītās darbībās. Arī atkritumu pārstrādāšana otrreizējās izejvielās tiek veikta ar mērķi attiecīgos materiālus izmantot inženiertehniskām vajadzībām ceļu būvniecībā vai citā infrastruktūrā. Līdz ar to, LASUA ieskatā, viens no iespējamiem pasākumiem, kas veicinātu otrreizējo materiālu izmantošanu tautsaimniecībā, būtu vismaz par divām reizēm paaugstināt </w:t>
            </w:r>
            <w:r w:rsidRPr="00A82559">
              <w:rPr>
                <w:color w:val="000000" w:themeColor="text1"/>
                <w:shd w:val="clear" w:color="auto" w:fill="FFFFFF"/>
              </w:rPr>
              <w:t>dabas resursu nodokļa</w:t>
            </w:r>
            <w:r w:rsidRPr="00853D87">
              <w:rPr>
                <w:color w:val="000000" w:themeColor="text1"/>
                <w:shd w:val="clear" w:color="auto" w:fill="FFFFFF"/>
              </w:rPr>
              <w:t xml:space="preserve"> likmi DRN likuma 1.</w:t>
            </w:r>
            <w:r>
              <w:rPr>
                <w:color w:val="000000" w:themeColor="text1"/>
                <w:shd w:val="clear" w:color="auto" w:fill="FFFFFF"/>
              </w:rPr>
              <w:t> </w:t>
            </w:r>
            <w:r w:rsidRPr="00853D87">
              <w:rPr>
                <w:color w:val="000000" w:themeColor="text1"/>
                <w:shd w:val="clear" w:color="auto" w:fill="FFFFFF"/>
              </w:rPr>
              <w:t>pielikuma 1.</w:t>
            </w:r>
            <w:r>
              <w:rPr>
                <w:color w:val="000000" w:themeColor="text1"/>
                <w:shd w:val="clear" w:color="auto" w:fill="FFFFFF"/>
              </w:rPr>
              <w:t xml:space="preserve"> -</w:t>
            </w:r>
            <w:r w:rsidRPr="00853D87">
              <w:rPr>
                <w:color w:val="000000" w:themeColor="text1"/>
                <w:shd w:val="clear" w:color="auto" w:fill="FFFFFF"/>
              </w:rPr>
              <w:t xml:space="preserve">5. punktā norādītajiem resursiem. Proti, paaugstinot minētajiem resursiem </w:t>
            </w:r>
            <w:r w:rsidRPr="00A82559">
              <w:rPr>
                <w:color w:val="000000" w:themeColor="text1"/>
                <w:shd w:val="clear" w:color="auto" w:fill="FFFFFF"/>
              </w:rPr>
              <w:t>dabas resursu nodokļa</w:t>
            </w:r>
            <w:r w:rsidRPr="00853D87">
              <w:rPr>
                <w:color w:val="000000" w:themeColor="text1"/>
                <w:shd w:val="clear" w:color="auto" w:fill="FFFFFF"/>
              </w:rPr>
              <w:t xml:space="preserve"> likmi, netieši tiktu veicināta iedzīvotāju vēlme iegādāties otrreizējās izejvielas kā labākos alternatīvos risinājumus, tādējādi attīstot šādu izejvielu tirgus kopējo situāciju. LASUA piedāvātais risinājums sekmētu arī kopējos sasniedzamos Eiropas Savienības mērķus attiecībā uz materiālu reģenerāciju un pārstrādi, jo pieaugot pieprasījumam pēc otrreizējiem materiāliem, atkritumu pārstrādes industrija attīstītos un pilnveidotos vēl straujāk, jo saražotās otrreizējās izejvielas būtu iespējams sekmīgāk realizēt tirgū. Ievērojot iepriekš minēto, kā arī ar mērķi veicināt ottreizējo izejvielu (pārstrādāto atkritumi) lielāku izmantošanu, </w:t>
            </w:r>
            <w:r w:rsidRPr="00853D87">
              <w:rPr>
                <w:b/>
                <w:bCs/>
                <w:color w:val="000000" w:themeColor="text1"/>
                <w:shd w:val="clear" w:color="auto" w:fill="FFFFFF"/>
              </w:rPr>
              <w:t>LASUA ierosina Likumprojektā paredzēt, ka DRN likuma 1. pielikuma 1.</w:t>
            </w:r>
            <w:r>
              <w:rPr>
                <w:b/>
                <w:bCs/>
                <w:color w:val="000000" w:themeColor="text1"/>
                <w:shd w:val="clear" w:color="auto" w:fill="FFFFFF"/>
              </w:rPr>
              <w:t xml:space="preserve"> </w:t>
            </w:r>
            <w:r w:rsidRPr="00853D87">
              <w:rPr>
                <w:b/>
                <w:bCs/>
                <w:color w:val="000000" w:themeColor="text1"/>
                <w:shd w:val="clear" w:color="auto" w:fill="FFFFFF"/>
              </w:rPr>
              <w:noBreakHyphen/>
            </w:r>
            <w:r>
              <w:rPr>
                <w:b/>
                <w:bCs/>
                <w:color w:val="000000" w:themeColor="text1"/>
                <w:shd w:val="clear" w:color="auto" w:fill="FFFFFF"/>
              </w:rPr>
              <w:t xml:space="preserve"> </w:t>
            </w:r>
            <w:r w:rsidRPr="00853D87">
              <w:rPr>
                <w:b/>
                <w:bCs/>
                <w:color w:val="000000" w:themeColor="text1"/>
                <w:shd w:val="clear" w:color="auto" w:fill="FFFFFF"/>
              </w:rPr>
              <w:t xml:space="preserve">5. punktā </w:t>
            </w:r>
            <w:r w:rsidRPr="00853D87">
              <w:rPr>
                <w:b/>
                <w:bCs/>
                <w:color w:val="000000" w:themeColor="text1"/>
                <w:shd w:val="clear" w:color="auto" w:fill="FFFFFF"/>
              </w:rPr>
              <w:lastRenderedPageBreak/>
              <w:t xml:space="preserve">norādītajiem resursiem </w:t>
            </w:r>
            <w:r w:rsidRPr="00A82559">
              <w:rPr>
                <w:b/>
                <w:bCs/>
                <w:color w:val="000000" w:themeColor="text1"/>
                <w:shd w:val="clear" w:color="auto" w:fill="FFFFFF"/>
              </w:rPr>
              <w:t>dabas resursu nodokļa</w:t>
            </w:r>
            <w:r w:rsidRPr="00853D87">
              <w:rPr>
                <w:b/>
                <w:bCs/>
                <w:color w:val="000000" w:themeColor="text1"/>
                <w:shd w:val="clear" w:color="auto" w:fill="FFFFFF"/>
              </w:rPr>
              <w:t xml:space="preserve"> likme tiek paaugstināta vismaz divkāršā apmērā.</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011AC208" w14:textId="77BDCD06" w:rsidR="00C16D51" w:rsidRPr="00C17D0B" w:rsidRDefault="0009140F" w:rsidP="00C16D51">
            <w:pPr>
              <w:pStyle w:val="naisc"/>
              <w:jc w:val="both"/>
              <w:rPr>
                <w:b/>
                <w:bCs/>
              </w:rPr>
            </w:pPr>
            <w:r>
              <w:rPr>
                <w:b/>
                <w:bCs/>
              </w:rPr>
              <w:lastRenderedPageBreak/>
              <w:t>Ņ</w:t>
            </w:r>
            <w:r w:rsidR="00C16D51" w:rsidRPr="00C17D0B">
              <w:rPr>
                <w:b/>
                <w:bCs/>
              </w:rPr>
              <w:t>emts vērā.</w:t>
            </w:r>
          </w:p>
          <w:p w14:paraId="7330573B" w14:textId="72FD9DF0" w:rsidR="00C16D51" w:rsidRPr="00C71189" w:rsidRDefault="00C16D51" w:rsidP="00C16D51">
            <w:pPr>
              <w:pStyle w:val="naisc"/>
              <w:spacing w:before="0" w:after="0"/>
              <w:jc w:val="both"/>
            </w:pPr>
            <w:r>
              <w:t>Ievērojot kvarca smilts izmantošanas specifiku (stikla ražošana), nav pamatoti celt nodokļa likmi</w:t>
            </w:r>
            <w:r w:rsidR="0009140F">
              <w:t xml:space="preserve"> dubultā</w:t>
            </w:r>
            <w:r>
              <w:t xml:space="preserve"> par kvarca smilts ieguvi, lai veicinātu kompostēšanas, bioloģijas apstrādes vai būvgružu šķirošanas materiālu izmantošanu tautsaimniecībā</w:t>
            </w:r>
            <w:r w:rsidR="0007755F">
              <w:t xml:space="preserve">, </w:t>
            </w:r>
            <w:r w:rsidR="0007755F">
              <w:t>tāpēc piemērots mazāks likmes palielinājums</w:t>
            </w:r>
            <w:r w:rsidR="0007755F">
              <w:t>.</w:t>
            </w:r>
          </w:p>
        </w:tc>
      </w:tr>
      <w:tr w:rsidR="00E4096C" w:rsidRPr="00C71189" w14:paraId="06707E28" w14:textId="77777777" w:rsidTr="00E4096C">
        <w:tc>
          <w:tcPr>
            <w:tcW w:w="14636" w:type="dxa"/>
            <w:gridSpan w:val="4"/>
            <w:tcBorders>
              <w:top w:val="single" w:sz="6" w:space="0" w:color="000000" w:themeColor="text1"/>
              <w:left w:val="single" w:sz="6" w:space="0" w:color="000000" w:themeColor="text1"/>
              <w:bottom w:val="single" w:sz="6" w:space="0" w:color="000000" w:themeColor="text1"/>
              <w:right w:val="single" w:sz="4" w:space="0" w:color="auto"/>
            </w:tcBorders>
            <w:shd w:val="clear" w:color="auto" w:fill="D9D9D9" w:themeFill="background1" w:themeFillShade="D9"/>
          </w:tcPr>
          <w:p w14:paraId="39517E8B" w14:textId="45785DD1" w:rsidR="00E4096C" w:rsidRDefault="006A1F5A" w:rsidP="006A1F5A">
            <w:pPr>
              <w:pStyle w:val="naisc"/>
              <w:rPr>
                <w:b/>
                <w:bCs/>
              </w:rPr>
            </w:pPr>
            <w:r>
              <w:rPr>
                <w:b/>
                <w:bCs/>
              </w:rPr>
              <w:lastRenderedPageBreak/>
              <w:t>SIA “TETRA PAK” 05.07.2021. viedoklis</w:t>
            </w:r>
          </w:p>
        </w:tc>
      </w:tr>
      <w:tr w:rsidR="00E4096C" w:rsidRPr="00C71189" w14:paraId="626F82A6"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4BA2932B" w14:textId="77777777" w:rsidR="00E4096C" w:rsidRPr="00C71189" w:rsidRDefault="00E4096C" w:rsidP="00C16D51">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36F4B66F" w14:textId="3C5AE14F" w:rsidR="00E4096C" w:rsidRDefault="006A1F5A" w:rsidP="00C16D51">
            <w:pPr>
              <w:spacing w:before="120"/>
              <w:jc w:val="both"/>
              <w:rPr>
                <w:b/>
                <w:bCs/>
              </w:rPr>
            </w:pPr>
            <w:r>
              <w:rPr>
                <w:b/>
                <w:bCs/>
              </w:rPr>
              <w:t>Vispārīgi.</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7A13B3BB" w14:textId="3A5833CD" w:rsidR="0068213C" w:rsidRPr="0068213C" w:rsidRDefault="0068213C" w:rsidP="0068213C">
            <w:pPr>
              <w:suppressAutoHyphens w:val="0"/>
              <w:autoSpaceDE w:val="0"/>
              <w:autoSpaceDN w:val="0"/>
              <w:adjustRightInd w:val="0"/>
              <w:rPr>
                <w:color w:val="000000"/>
                <w:lang w:eastAsia="lv-LV"/>
              </w:rPr>
            </w:pPr>
            <w:r w:rsidRPr="0068213C">
              <w:rPr>
                <w:i/>
                <w:iCs/>
                <w:color w:val="000000"/>
                <w:lang w:eastAsia="lv-LV"/>
              </w:rPr>
              <w:t xml:space="preserve">Savākšanas mērķi dzēriena kartona iepakojumam </w:t>
            </w:r>
          </w:p>
          <w:p w14:paraId="650783AF" w14:textId="60E31441" w:rsidR="00E4096C" w:rsidRPr="00853D87" w:rsidRDefault="0068213C" w:rsidP="0068213C">
            <w:pPr>
              <w:jc w:val="both"/>
              <w:rPr>
                <w:b/>
                <w:bCs/>
                <w:color w:val="000000" w:themeColor="text1"/>
              </w:rPr>
            </w:pPr>
            <w:r w:rsidRPr="00375C5D">
              <w:rPr>
                <w:color w:val="000000"/>
                <w:lang w:eastAsia="lv-LV"/>
              </w:rPr>
              <w:t xml:space="preserve">Tetra Pak uzskata, ka ir svarīgi </w:t>
            </w:r>
            <w:r w:rsidRPr="00375C5D">
              <w:rPr>
                <w:b/>
                <w:bCs/>
                <w:color w:val="000000"/>
                <w:lang w:eastAsia="lv-LV"/>
              </w:rPr>
              <w:t>noteikt un ieviest obligātus savākšanas mērķus dzēriena kartona iepakojumam Latvijā</w:t>
            </w:r>
            <w:r w:rsidRPr="00375C5D">
              <w:rPr>
                <w:color w:val="000000"/>
                <w:lang w:eastAsia="lv-LV"/>
              </w:rPr>
              <w:t>, tādējādi garantējot, ka šis iepakojums tiek savākts un netiek izslēgts no kopējās atkritumu savākšanas un pārstrādes sistēmas nacionālā līmenī ekonomisku, vides vai tehnisku iemeslu dēļ, nodrošinot dzērienu kartona iepakojuma konkurētspēju salīdzinājumā ar citiem alternatīviem iepakojuma veidiem. Tetra Pak atzinīgi vērtē to, ka šis grozījumu likumprojekts dod pamatu pārstrādes mērķu noteikšanai dzērienu kartona iepakojumam Ministru kabineta noteikumos, tāpat kā tas ir citiem iepakojuma veidiem.</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07D123E1" w14:textId="4B6B3220" w:rsidR="00CA20C8" w:rsidRPr="00C71189" w:rsidRDefault="00CA20C8" w:rsidP="00CA20C8">
            <w:pPr>
              <w:pStyle w:val="naisc"/>
              <w:spacing w:before="0" w:after="0"/>
              <w:jc w:val="both"/>
            </w:pPr>
            <w:r w:rsidRPr="00C71189">
              <w:t>VARAM</w:t>
            </w:r>
            <w:r>
              <w:t xml:space="preserve"> ir izvērtējusi un</w:t>
            </w:r>
            <w:r w:rsidRPr="00C71189">
              <w:t xml:space="preserve"> pieņem zināšanai sniegto viedokli attiecībā uz </w:t>
            </w:r>
            <w:r>
              <w:t>savākšanas mērķiem kartona iepakojumam</w:t>
            </w:r>
            <w:r w:rsidRPr="00C71189">
              <w:t>.</w:t>
            </w:r>
          </w:p>
          <w:p w14:paraId="6C53B5BA" w14:textId="77777777" w:rsidR="00E4096C" w:rsidRDefault="00E4096C" w:rsidP="00C16D51">
            <w:pPr>
              <w:pStyle w:val="naisc"/>
              <w:jc w:val="both"/>
              <w:rPr>
                <w:b/>
                <w:bCs/>
              </w:rPr>
            </w:pPr>
          </w:p>
        </w:tc>
      </w:tr>
      <w:tr w:rsidR="0068213C" w:rsidRPr="00C71189" w14:paraId="52941AF1"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6A66517B" w14:textId="77777777" w:rsidR="0068213C" w:rsidRPr="00C71189" w:rsidRDefault="0068213C" w:rsidP="00C16D51">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6DAB7C97" w14:textId="77777777" w:rsidR="0068213C" w:rsidRPr="00DC75C8" w:rsidRDefault="00DC75C8" w:rsidP="00C16D51">
            <w:pPr>
              <w:spacing w:before="120"/>
              <w:jc w:val="both"/>
              <w:rPr>
                <w:b/>
                <w:bCs/>
              </w:rPr>
            </w:pPr>
            <w:r w:rsidRPr="00DC75C8">
              <w:rPr>
                <w:b/>
                <w:bCs/>
              </w:rPr>
              <w:t>Likumprojekta 5. panta likuma 8. panta otrās daļas 13. punkts:</w:t>
            </w:r>
          </w:p>
          <w:p w14:paraId="7250CE8C" w14:textId="6A06F40E" w:rsidR="00DC75C8" w:rsidRPr="00DC75C8" w:rsidRDefault="00DC75C8" w:rsidP="00DC75C8">
            <w:pPr>
              <w:pStyle w:val="NormalWeb"/>
              <w:shd w:val="clear" w:color="auto" w:fill="FFFFFF"/>
              <w:spacing w:before="0" w:after="0"/>
              <w:jc w:val="both"/>
              <w:rPr>
                <w:sz w:val="28"/>
                <w:szCs w:val="28"/>
              </w:rPr>
            </w:pPr>
            <w:r w:rsidRPr="00DC75C8">
              <w:rPr>
                <w:b/>
                <w:bCs/>
              </w:rPr>
              <w:t>“</w:t>
            </w:r>
            <w:r w:rsidRPr="00DC75C8">
              <w:rPr>
                <w:shd w:val="clear" w:color="auto" w:fill="FFFFFF"/>
              </w:rPr>
              <w:t>13) </w:t>
            </w:r>
            <w:r w:rsidRPr="00DC75C8">
              <w:t>kārtību, kādā nosaka plastmasas un kompozīta iepakojuma pārstrādājamību, un dokumentus, ar kuriem apliecina, ka šis iepakojums ir pārstrādājams.”</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0FC861D0" w14:textId="3F45AB9F" w:rsidR="00F87006" w:rsidRPr="00F87006" w:rsidRDefault="00F87006" w:rsidP="00375C5D">
            <w:pPr>
              <w:suppressAutoHyphens w:val="0"/>
              <w:autoSpaceDE w:val="0"/>
              <w:autoSpaceDN w:val="0"/>
              <w:adjustRightInd w:val="0"/>
              <w:jc w:val="both"/>
              <w:rPr>
                <w:color w:val="000000"/>
                <w:lang w:eastAsia="lv-LV"/>
              </w:rPr>
            </w:pPr>
            <w:r w:rsidRPr="00F87006">
              <w:rPr>
                <w:i/>
                <w:iCs/>
                <w:color w:val="000000"/>
                <w:lang w:eastAsia="lv-LV"/>
              </w:rPr>
              <w:t xml:space="preserve">Dzēriena kartona iepakojuma pārstrādājamība </w:t>
            </w:r>
          </w:p>
          <w:p w14:paraId="2110BC29" w14:textId="155D2DB9" w:rsidR="0068213C" w:rsidRPr="00375C5D" w:rsidRDefault="00F87006" w:rsidP="00375C5D">
            <w:pPr>
              <w:suppressAutoHyphens w:val="0"/>
              <w:autoSpaceDE w:val="0"/>
              <w:autoSpaceDN w:val="0"/>
              <w:adjustRightInd w:val="0"/>
              <w:jc w:val="both"/>
              <w:rPr>
                <w:i/>
                <w:iCs/>
                <w:color w:val="000000"/>
                <w:lang w:eastAsia="lv-LV"/>
              </w:rPr>
            </w:pPr>
            <w:r w:rsidRPr="00375C5D">
              <w:rPr>
                <w:b/>
                <w:bCs/>
                <w:color w:val="000000"/>
                <w:lang w:eastAsia="lv-LV"/>
              </w:rPr>
              <w:t>Dzēriena kartona iepakojums gan praksē, gan plašākā mērogā tiek klasificēts kā pārstrādājams iepakojums</w:t>
            </w:r>
            <w:r w:rsidRPr="00375C5D">
              <w:rPr>
                <w:color w:val="000000"/>
                <w:lang w:eastAsia="lv-LV"/>
              </w:rPr>
              <w:t xml:space="preserve">. Visi dzērienu kartona iepakojumos izmantotie materiāli (šķiedra, polimēri un alumīnijs) ir pārstrādājami. Dzērienu kartona iepakojuma pārstrāde Eiropā 2019. gadā sasniedza vidēji 51% un reģionā ir jau pieejamas un ir plānotas papildu pārstrādes jaudas šāda veida iepakojumu pārstrādei. </w:t>
            </w:r>
            <w:r w:rsidRPr="00375C5D">
              <w:rPr>
                <w:b/>
                <w:bCs/>
                <w:color w:val="000000"/>
                <w:lang w:eastAsia="lv-LV"/>
              </w:rPr>
              <w:t xml:space="preserve">Tetra Pak atzinīgi vērtē likumprojektā ietverto normu, kas paredz Ministru kabinetam izstrādāt kārtību, kādā nosaka plastmasas un kompozīta iepakojuma pārstrādājamību. </w:t>
            </w:r>
            <w:r w:rsidRPr="00375C5D">
              <w:rPr>
                <w:color w:val="000000"/>
                <w:lang w:eastAsia="lv-LV"/>
              </w:rPr>
              <w:t>Tas sniegs skaidrību visiem nozares dalībniekiem, un, ja nepieciešams, Tetra Pak ir gatava piedalīties kritēriju izstrādes procesā, daloties kā norisinās kompozītu dzērienu iepakojuma pārstrādes process.</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3DA3BC8F" w14:textId="4088FD0C" w:rsidR="00D661D0" w:rsidRPr="00C71189" w:rsidRDefault="00D661D0" w:rsidP="00D661D0">
            <w:pPr>
              <w:pStyle w:val="naisc"/>
              <w:spacing w:before="0" w:after="0"/>
              <w:jc w:val="both"/>
            </w:pPr>
            <w:r w:rsidRPr="00C71189">
              <w:t>VARAM</w:t>
            </w:r>
            <w:r>
              <w:t xml:space="preserve"> ir izvērtējusi un</w:t>
            </w:r>
            <w:r w:rsidRPr="00C71189">
              <w:t xml:space="preserve"> pieņem zināšanai sniegto viedokli attiecībā uz </w:t>
            </w:r>
            <w:r>
              <w:t>iepakojuma pārstrādājamību</w:t>
            </w:r>
            <w:r w:rsidRPr="00C71189">
              <w:t>.</w:t>
            </w:r>
            <w:r>
              <w:t xml:space="preserve"> Visas ieinteresētās puses tiks iesaistītas</w:t>
            </w:r>
            <w:r w:rsidR="004D4B50">
              <w:t xml:space="preserve"> Ministru kabineta noteikumu izstrādē.</w:t>
            </w:r>
          </w:p>
          <w:p w14:paraId="1A0F2892" w14:textId="06EFEEAB" w:rsidR="0068213C" w:rsidRDefault="0068213C" w:rsidP="00C16D51">
            <w:pPr>
              <w:pStyle w:val="naisc"/>
              <w:jc w:val="both"/>
              <w:rPr>
                <w:b/>
                <w:bCs/>
              </w:rPr>
            </w:pPr>
          </w:p>
        </w:tc>
      </w:tr>
      <w:tr w:rsidR="00441C76" w:rsidRPr="00C71189" w14:paraId="68A54773"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3DF49015" w14:textId="77777777" w:rsidR="00441C76" w:rsidRPr="00C71189" w:rsidRDefault="00441C76" w:rsidP="00C16D51">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6A4848F2" w14:textId="6E8563C9" w:rsidR="00441C76" w:rsidRDefault="00BA58F0" w:rsidP="00C16D51">
            <w:pPr>
              <w:spacing w:before="120"/>
              <w:jc w:val="both"/>
              <w:rPr>
                <w:b/>
                <w:bCs/>
              </w:rPr>
            </w:pPr>
            <w:r>
              <w:rPr>
                <w:b/>
                <w:bCs/>
              </w:rPr>
              <w:t>Vispārīgi.</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3A846C4C" w14:textId="7DFD60F1" w:rsidR="00441C76" w:rsidRPr="00441C76" w:rsidRDefault="00441C76" w:rsidP="00375C5D">
            <w:pPr>
              <w:suppressAutoHyphens w:val="0"/>
              <w:autoSpaceDE w:val="0"/>
              <w:autoSpaceDN w:val="0"/>
              <w:adjustRightInd w:val="0"/>
              <w:jc w:val="both"/>
              <w:rPr>
                <w:color w:val="000000"/>
                <w:lang w:eastAsia="lv-LV"/>
              </w:rPr>
            </w:pPr>
            <w:r w:rsidRPr="00441C76">
              <w:rPr>
                <w:i/>
                <w:iCs/>
                <w:color w:val="000000"/>
                <w:lang w:eastAsia="lv-LV"/>
              </w:rPr>
              <w:t xml:space="preserve">Vienota atkritumu savākšanas infrastruktūra </w:t>
            </w:r>
          </w:p>
          <w:p w14:paraId="72236B84" w14:textId="053B6539" w:rsidR="00441C76" w:rsidRPr="00375C5D" w:rsidRDefault="00441C76" w:rsidP="00375C5D">
            <w:pPr>
              <w:suppressAutoHyphens w:val="0"/>
              <w:autoSpaceDE w:val="0"/>
              <w:autoSpaceDN w:val="0"/>
              <w:adjustRightInd w:val="0"/>
              <w:jc w:val="both"/>
              <w:rPr>
                <w:i/>
                <w:iCs/>
                <w:color w:val="000000"/>
                <w:lang w:eastAsia="lv-LV"/>
              </w:rPr>
            </w:pPr>
            <w:r w:rsidRPr="00375C5D">
              <w:rPr>
                <w:color w:val="000000"/>
                <w:lang w:eastAsia="lv-LV"/>
              </w:rPr>
              <w:t xml:space="preserve">Lai sasniegtu mērķus, ir jāizveido pienācīga atkritumu savākšanas infrastruktūra – ir ļoti svarīgi ieviest un attīstīt vienotu atkritumu savākšanas sistēmu Latvijā. Dzērienu </w:t>
            </w:r>
            <w:r w:rsidRPr="00375C5D">
              <w:rPr>
                <w:color w:val="000000"/>
                <w:lang w:eastAsia="lv-LV"/>
              </w:rPr>
              <w:lastRenderedPageBreak/>
              <w:t>kartona savākšana atsevišķi no sadzīves atkritumiem, vēlams kopā ar citu vieglo iepakojumu, būtiski palielinās pārstrādei pieejamā materiāla apjomu, kas savukārt veidos daudz paredzamāku un kvalitatīvāku piegādi pārstrādātājiem.</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53E08D9B" w14:textId="4E095913" w:rsidR="00441C76" w:rsidRDefault="004A2732" w:rsidP="00C16D51">
            <w:pPr>
              <w:pStyle w:val="naisc"/>
              <w:jc w:val="both"/>
              <w:rPr>
                <w:b/>
                <w:bCs/>
              </w:rPr>
            </w:pPr>
            <w:r w:rsidRPr="00C71189">
              <w:lastRenderedPageBreak/>
              <w:t>VARAM</w:t>
            </w:r>
            <w:r>
              <w:t xml:space="preserve"> ir izvērtējusi un</w:t>
            </w:r>
            <w:r w:rsidRPr="00C71189">
              <w:t xml:space="preserve"> pieņem zināšanai sniegto viedokli attiecībā uz </w:t>
            </w:r>
            <w:r>
              <w:t>atkritumu savākšanas infrastruktūru</w:t>
            </w:r>
            <w:r w:rsidRPr="00C71189">
              <w:t>.</w:t>
            </w:r>
          </w:p>
        </w:tc>
      </w:tr>
      <w:tr w:rsidR="004D4B50" w:rsidRPr="00C71189" w14:paraId="4DE878FB"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5F8FF2D0" w14:textId="77777777" w:rsidR="004D4B50" w:rsidRPr="00C71189" w:rsidRDefault="004D4B50" w:rsidP="004D4B50">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3063043C" w14:textId="50B76D38" w:rsidR="004D4B50" w:rsidRDefault="009C6327" w:rsidP="004D4B50">
            <w:pPr>
              <w:spacing w:before="120"/>
              <w:jc w:val="both"/>
              <w:rPr>
                <w:b/>
                <w:bCs/>
              </w:rPr>
            </w:pPr>
            <w:r>
              <w:rPr>
                <w:b/>
                <w:bCs/>
              </w:rPr>
              <w:t>Vispārīgi.</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27DD08CD" w14:textId="65F61A4D" w:rsidR="004D4B50" w:rsidRPr="00BA58F0" w:rsidRDefault="004D4B50" w:rsidP="004D4B50">
            <w:pPr>
              <w:suppressAutoHyphens w:val="0"/>
              <w:autoSpaceDE w:val="0"/>
              <w:autoSpaceDN w:val="0"/>
              <w:adjustRightInd w:val="0"/>
              <w:jc w:val="both"/>
              <w:rPr>
                <w:color w:val="000000"/>
                <w:lang w:eastAsia="lv-LV"/>
              </w:rPr>
            </w:pPr>
            <w:r w:rsidRPr="00BA58F0">
              <w:rPr>
                <w:i/>
                <w:iCs/>
                <w:color w:val="000000"/>
                <w:lang w:eastAsia="lv-LV"/>
              </w:rPr>
              <w:t xml:space="preserve">Ražotāja paplašinātās atbildības sistēma </w:t>
            </w:r>
          </w:p>
          <w:p w14:paraId="61A63023" w14:textId="65A77AAF" w:rsidR="004D4B50" w:rsidRPr="00375C5D" w:rsidRDefault="004D4B50" w:rsidP="004D4B50">
            <w:pPr>
              <w:suppressAutoHyphens w:val="0"/>
              <w:autoSpaceDE w:val="0"/>
              <w:autoSpaceDN w:val="0"/>
              <w:adjustRightInd w:val="0"/>
              <w:jc w:val="both"/>
              <w:rPr>
                <w:i/>
                <w:iCs/>
                <w:color w:val="000000"/>
                <w:lang w:eastAsia="lv-LV"/>
              </w:rPr>
            </w:pPr>
            <w:r w:rsidRPr="00375C5D">
              <w:rPr>
                <w:color w:val="000000"/>
                <w:lang w:eastAsia="lv-LV"/>
              </w:rPr>
              <w:t xml:space="preserve">Tā kā tiek piemērota ražotāja paplašinātās atbildības sistēma un Ministru kabineta noteikumos tiks noteikti pārstrādes mērķi, nozarei būs laiks pielāgoties izmaiņām un veicināt šāda veida iepakojumu savākšanu un pārstrādi Latvijā. </w:t>
            </w:r>
            <w:r w:rsidRPr="00375C5D">
              <w:rPr>
                <w:b/>
                <w:bCs/>
                <w:color w:val="000000"/>
                <w:lang w:eastAsia="lv-LV"/>
              </w:rPr>
              <w:t xml:space="preserve">Tetra Pak vēlās pievērst uzmanību, ka dabas resursu nodoklis ir izstrādāts ar mērķi, ka piesārņotājs maksā, tādējādi mēs vēlamies uzsvērt, ka dabas resursu nodoklis nevar tikt piemērots gadījumā, ja ražotājs piedalās paplašinātās atbildības sistēmā, tādējādi ir nepieciešamas novērst jebkādu dubultu izmaksu aplikšanas riskus. </w:t>
            </w:r>
            <w:r w:rsidRPr="00375C5D">
              <w:rPr>
                <w:color w:val="000000"/>
                <w:lang w:eastAsia="lv-LV"/>
              </w:rPr>
              <w:t>Tetra Pak iebilst pret iepakojuma nodokļu uzlikšanu kā alternatīvu ražotāju paplašinātās atbildības sistēmām. Lielākā daļa centienu iekasēt iepakojuma nodokļus papildus vai kā alternatīvu nozares finansētām un pārvaldītām savākšanas un pārstrādes programmām nav sekmīgi uzlabojušas savākšanas un pārstrādes mērķus, kā arī tas ir izraisījis tirgus kropļojumus. No otras puses, paplašinātā atbildības sistēmas politika iepakojumam ir izrādījies efektīvs līdzeklis pārstrādes apjoma veicināšanai, tādējādi tā būtu jāpiemēro visiem patērētāju iepakojuma veidiem. Tas ir nepieciešams, lai radītu apstākļus godīgai konkurencei un apjomradītiem ietaupījumiem starp dažādiem iepakojuma risinājumiem.</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3F918D5A" w14:textId="24A2EEA6" w:rsidR="004D4B50" w:rsidRDefault="00DA7093" w:rsidP="004D4B50">
            <w:pPr>
              <w:pStyle w:val="naisc"/>
              <w:jc w:val="both"/>
              <w:rPr>
                <w:b/>
                <w:bCs/>
              </w:rPr>
            </w:pPr>
            <w:r>
              <w:rPr>
                <w:color w:val="000000"/>
                <w:lang w:eastAsia="lv-LV"/>
              </w:rPr>
              <w:t>VARAM norāda, kas nav paredzēts uzlikt</w:t>
            </w:r>
            <w:r w:rsidRPr="00375C5D">
              <w:rPr>
                <w:color w:val="000000"/>
                <w:lang w:eastAsia="lv-LV"/>
              </w:rPr>
              <w:t xml:space="preserve"> </w:t>
            </w:r>
            <w:r>
              <w:rPr>
                <w:color w:val="000000"/>
                <w:lang w:eastAsia="lv-LV"/>
              </w:rPr>
              <w:t>dabas resursu nodokli kā</w:t>
            </w:r>
            <w:r w:rsidRPr="00375C5D">
              <w:rPr>
                <w:color w:val="000000"/>
                <w:lang w:eastAsia="lv-LV"/>
              </w:rPr>
              <w:t xml:space="preserve"> alternatīvu ražotāju paplašinātās atbildības sistēmām.</w:t>
            </w:r>
            <w:r w:rsidR="00784BC0">
              <w:rPr>
                <w:color w:val="000000"/>
                <w:lang w:eastAsia="lv-LV"/>
              </w:rPr>
              <w:t xml:space="preserve"> Vienlaikus, ievērojot</w:t>
            </w:r>
            <w:r w:rsidR="004F5FDB">
              <w:rPr>
                <w:color w:val="000000"/>
                <w:lang w:eastAsia="lv-LV"/>
              </w:rPr>
              <w:t xml:space="preserve"> </w:t>
            </w:r>
            <w:r w:rsidR="004F5FDB" w:rsidRPr="002B5AF4">
              <w:rPr>
                <w:shd w:val="clear" w:color="auto" w:fill="FFFFFF"/>
              </w:rPr>
              <w:t>Eiropas Savienības dalībvalstu iemaksu,</w:t>
            </w:r>
            <w:r w:rsidR="004F5FDB">
              <w:rPr>
                <w:shd w:val="clear" w:color="auto" w:fill="FFFFFF"/>
              </w:rPr>
              <w:t xml:space="preserve"> kas no 2021. gada </w:t>
            </w:r>
            <w:r w:rsidR="002F07E7">
              <w:rPr>
                <w:shd w:val="clear" w:color="auto" w:fill="FFFFFF"/>
              </w:rPr>
              <w:t xml:space="preserve">Latvijai </w:t>
            </w:r>
            <w:r w:rsidR="004F5FDB">
              <w:rPr>
                <w:shd w:val="clear" w:color="auto" w:fill="FFFFFF"/>
              </w:rPr>
              <w:t>jāveic Eiropas Savienības budžetā un</w:t>
            </w:r>
            <w:r w:rsidR="004F5FDB" w:rsidRPr="002B5AF4">
              <w:rPr>
                <w:shd w:val="clear" w:color="auto" w:fill="FFFFFF"/>
              </w:rPr>
              <w:t xml:space="preserve"> kura balstās uz nepārstrādātā izlietotā plastmasas iepakojuma daudzumu</w:t>
            </w:r>
            <w:r w:rsidR="002F07E7">
              <w:rPr>
                <w:shd w:val="clear" w:color="auto" w:fill="FFFFFF"/>
              </w:rPr>
              <w:t>, nepieciešams noteikt</w:t>
            </w:r>
            <w:r w:rsidR="006E388D">
              <w:rPr>
                <w:shd w:val="clear" w:color="auto" w:fill="FFFFFF"/>
              </w:rPr>
              <w:t>,</w:t>
            </w:r>
            <w:r w:rsidR="002F07E7">
              <w:rPr>
                <w:shd w:val="clear" w:color="auto" w:fill="FFFFFF"/>
              </w:rPr>
              <w:t xml:space="preserve"> </w:t>
            </w:r>
            <w:r w:rsidR="006E388D" w:rsidRPr="002B5AF4">
              <w:t xml:space="preserve">ka </w:t>
            </w:r>
            <w:r w:rsidR="006E388D" w:rsidRPr="002B5AF4">
              <w:rPr>
                <w:shd w:val="clear" w:color="auto" w:fill="FFFFFF"/>
              </w:rPr>
              <w:t xml:space="preserve">par to pārstrādājamu plastmasas un kompozīta iepakojuma apjomu, kas ražotāja paplašinātās atbildības sistēmas ietvaros pārskata periodā nav pārstrādāts, jāmaksā </w:t>
            </w:r>
            <w:r w:rsidR="00FE4580">
              <w:rPr>
                <w:shd w:val="clear" w:color="auto" w:fill="FFFFFF"/>
              </w:rPr>
              <w:t>dabas resursu nodoklis</w:t>
            </w:r>
            <w:r w:rsidR="006E388D" w:rsidRPr="002B5AF4">
              <w:rPr>
                <w:shd w:val="clear" w:color="auto" w:fill="FFFFFF"/>
              </w:rPr>
              <w:t xml:space="preserve"> 0,80 </w:t>
            </w:r>
            <w:r w:rsidR="006E388D" w:rsidRPr="002B5AF4">
              <w:rPr>
                <w:i/>
                <w:iCs/>
                <w:shd w:val="clear" w:color="auto" w:fill="FFFFFF"/>
              </w:rPr>
              <w:t>euro</w:t>
            </w:r>
            <w:r w:rsidR="006E388D" w:rsidRPr="002B5AF4">
              <w:rPr>
                <w:shd w:val="clear" w:color="auto" w:fill="FFFFFF"/>
              </w:rPr>
              <w:t xml:space="preserve"> par vienu kilogramu</w:t>
            </w:r>
            <w:r w:rsidR="006E388D">
              <w:rPr>
                <w:shd w:val="clear" w:color="auto" w:fill="FFFFFF"/>
              </w:rPr>
              <w:t xml:space="preserve">. </w:t>
            </w:r>
            <w:r w:rsidR="003530DC">
              <w:rPr>
                <w:shd w:val="clear" w:color="auto" w:fill="FFFFFF"/>
              </w:rPr>
              <w:t xml:space="preserve">Nodoklis būs jāmaksā gadījumā, ja pārstrādājams plastmasas vai kompozīta iepakojums nebūs pārstrādāts. </w:t>
            </w:r>
            <w:r w:rsidR="003C513F">
              <w:rPr>
                <w:shd w:val="clear" w:color="auto" w:fill="FFFFFF"/>
              </w:rPr>
              <w:t xml:space="preserve"> </w:t>
            </w:r>
          </w:p>
        </w:tc>
      </w:tr>
      <w:tr w:rsidR="009C6327" w:rsidRPr="00C71189" w14:paraId="105668F8" w14:textId="77777777" w:rsidTr="00D942F6">
        <w:tc>
          <w:tcPr>
            <w:tcW w:w="627" w:type="dxa"/>
            <w:tcBorders>
              <w:top w:val="single" w:sz="6" w:space="0" w:color="000000" w:themeColor="text1"/>
              <w:left w:val="single" w:sz="6" w:space="0" w:color="000000" w:themeColor="text1"/>
              <w:bottom w:val="single" w:sz="6" w:space="0" w:color="000000" w:themeColor="text1"/>
            </w:tcBorders>
            <w:shd w:val="clear" w:color="auto" w:fill="auto"/>
          </w:tcPr>
          <w:p w14:paraId="0E707D21" w14:textId="77777777" w:rsidR="009C6327" w:rsidRPr="00C71189" w:rsidRDefault="009C6327" w:rsidP="009C6327">
            <w:pPr>
              <w:pStyle w:val="naisc"/>
              <w:numPr>
                <w:ilvl w:val="1"/>
                <w:numId w:val="21"/>
              </w:numPr>
              <w:spacing w:before="0" w:after="0"/>
              <w:ind w:left="361" w:right="317"/>
              <w:jc w:val="left"/>
            </w:pPr>
          </w:p>
        </w:tc>
        <w:tc>
          <w:tcPr>
            <w:tcW w:w="2687" w:type="dxa"/>
            <w:tcBorders>
              <w:top w:val="single" w:sz="6" w:space="0" w:color="000000" w:themeColor="text1"/>
              <w:left w:val="single" w:sz="6" w:space="0" w:color="000000" w:themeColor="text1"/>
              <w:bottom w:val="single" w:sz="6" w:space="0" w:color="000000" w:themeColor="text1"/>
            </w:tcBorders>
            <w:shd w:val="clear" w:color="auto" w:fill="auto"/>
          </w:tcPr>
          <w:p w14:paraId="53976F55" w14:textId="77777777" w:rsidR="009C6327" w:rsidRPr="00C71189" w:rsidRDefault="009C6327" w:rsidP="009C6327">
            <w:pPr>
              <w:spacing w:before="120"/>
              <w:jc w:val="both"/>
              <w:rPr>
                <w:b/>
                <w:bCs/>
              </w:rPr>
            </w:pPr>
            <w:r w:rsidRPr="00C71189">
              <w:rPr>
                <w:b/>
                <w:bCs/>
              </w:rPr>
              <w:t>Likumprojekta 17. panta likuma 24. panta astotā daļa:</w:t>
            </w:r>
          </w:p>
          <w:p w14:paraId="0C7D0EB2" w14:textId="7396EFEF" w:rsidR="009C6327" w:rsidRDefault="009C6327" w:rsidP="009C6327">
            <w:pPr>
              <w:spacing w:before="120"/>
              <w:jc w:val="both"/>
              <w:rPr>
                <w:b/>
                <w:bCs/>
              </w:rPr>
            </w:pPr>
            <w:r w:rsidRPr="00C71189">
              <w:t xml:space="preserve">“(8) Nodokļa maksātājs, kas pats piemēro vai </w:t>
            </w:r>
            <w:r w:rsidRPr="00C71189">
              <w:rPr>
                <w:shd w:val="clear" w:color="auto" w:fill="FFFFFF"/>
              </w:rPr>
              <w:t xml:space="preserve">piedalās izlietotā </w:t>
            </w:r>
            <w:r w:rsidRPr="00C71189">
              <w:rPr>
                <w:shd w:val="clear" w:color="auto" w:fill="FFFFFF"/>
              </w:rPr>
              <w:lastRenderedPageBreak/>
              <w:t>iepakojuma vai vienreiz lietojamo galda trauku un piederumu apsaimniekošanas sistēmā, maksā nodokli par to plastmasas un kompozīta iepakojuma apjomu, kas pārskata periodā nav pārstrādāts.</w:t>
            </w:r>
            <w:r w:rsidRPr="00C71189">
              <w:t> I</w:t>
            </w:r>
            <w:r w:rsidRPr="00C71189">
              <w:rPr>
                <w:shd w:val="clear" w:color="auto" w:fill="FFFFFF"/>
              </w:rPr>
              <w:t>epakojumam no plastmasas un kompozīta šajā gadījumā piemēro nodokļa likmi 0,80 </w:t>
            </w:r>
            <w:r w:rsidRPr="00C71189">
              <w:rPr>
                <w:i/>
                <w:iCs/>
                <w:shd w:val="clear" w:color="auto" w:fill="FFFFFF"/>
              </w:rPr>
              <w:t>euro</w:t>
            </w:r>
            <w:r w:rsidRPr="00C71189">
              <w:rPr>
                <w:shd w:val="clear" w:color="auto" w:fill="FFFFFF"/>
              </w:rPr>
              <w:t xml:space="preserve"> par vienu kilogramu.”</w:t>
            </w:r>
          </w:p>
        </w:tc>
        <w:tc>
          <w:tcPr>
            <w:tcW w:w="6266" w:type="dxa"/>
            <w:tcBorders>
              <w:top w:val="single" w:sz="6" w:space="0" w:color="000000" w:themeColor="text1"/>
              <w:left w:val="single" w:sz="6" w:space="0" w:color="000000" w:themeColor="text1"/>
              <w:bottom w:val="single" w:sz="6" w:space="0" w:color="000000" w:themeColor="text1"/>
            </w:tcBorders>
            <w:shd w:val="clear" w:color="auto" w:fill="auto"/>
          </w:tcPr>
          <w:p w14:paraId="3F86FD36" w14:textId="77777777" w:rsidR="009C6327" w:rsidRPr="00375C5D" w:rsidRDefault="009C6327" w:rsidP="009C6327">
            <w:pPr>
              <w:suppressAutoHyphens w:val="0"/>
              <w:autoSpaceDE w:val="0"/>
              <w:autoSpaceDN w:val="0"/>
              <w:adjustRightInd w:val="0"/>
              <w:jc w:val="both"/>
              <w:rPr>
                <w:color w:val="000000"/>
                <w:lang w:eastAsia="lv-LV"/>
              </w:rPr>
            </w:pPr>
            <w:r w:rsidRPr="00375C5D">
              <w:rPr>
                <w:i/>
                <w:iCs/>
                <w:color w:val="000000"/>
                <w:lang w:eastAsia="lv-LV"/>
              </w:rPr>
              <w:lastRenderedPageBreak/>
              <w:t xml:space="preserve">Eiropas Savienības plastmasas nodoklis </w:t>
            </w:r>
          </w:p>
          <w:p w14:paraId="34A97385" w14:textId="38ACE000" w:rsidR="009C6327" w:rsidRPr="00375C5D" w:rsidRDefault="009C6327" w:rsidP="009C6327">
            <w:pPr>
              <w:suppressAutoHyphens w:val="0"/>
              <w:autoSpaceDE w:val="0"/>
              <w:autoSpaceDN w:val="0"/>
              <w:adjustRightInd w:val="0"/>
              <w:jc w:val="both"/>
              <w:rPr>
                <w:color w:val="000000"/>
                <w:lang w:eastAsia="lv-LV"/>
              </w:rPr>
            </w:pPr>
            <w:r w:rsidRPr="00375C5D">
              <w:rPr>
                <w:b/>
                <w:bCs/>
                <w:color w:val="000000"/>
                <w:lang w:eastAsia="lv-LV"/>
              </w:rPr>
              <w:t xml:space="preserve">Likumprojekts nosaka, ka nodokļa maksātājs, kas piedalās apsaimniekošanas sistēmā, maksā 0.80 EUR par vienu kilogramu nodokļa likmi par to plastmasas un kompozīta iepakojuma apjomu, kas pārskata periodā nav pārstrādāts. Tetra Pak vēlas pievērst uzmanību, ka ir nepieciešams izstrādāt skaidru sistēmu, kā šī likumprojekta norma tiks </w:t>
            </w:r>
            <w:r w:rsidRPr="00375C5D">
              <w:rPr>
                <w:b/>
                <w:bCs/>
                <w:color w:val="000000"/>
                <w:lang w:eastAsia="lv-LV"/>
              </w:rPr>
              <w:lastRenderedPageBreak/>
              <w:t xml:space="preserve">piemērota praksē, atgādinot, ka dzērienu kartona iepakojums ir pilnībā pārstrādājams, pretēji citiem kompozīta materiālu iepakojumiem. </w:t>
            </w:r>
            <w:r w:rsidRPr="00375C5D">
              <w:rPr>
                <w:color w:val="000000"/>
                <w:lang w:eastAsia="lv-LV"/>
              </w:rPr>
              <w:t>Mēs vēlamies uzsvērt, ka dzērienu kartona iepakojums satur niecīgu plastmasas daļu, tādējādi piemērojot plastmasas nodokli dzērienu kartona iepakojumam būtu pretrunā ar sākotnējo ES plastmasas nodokļa mērķi – samazināt tieši nepārstrādāta plastmasas iepakojuma apjomu.</w:t>
            </w:r>
          </w:p>
        </w:tc>
        <w:tc>
          <w:tcPr>
            <w:tcW w:w="5056"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63C17946" w14:textId="08F2AFF2" w:rsidR="001D1957" w:rsidRPr="001D1957" w:rsidRDefault="00C2241F" w:rsidP="00FE4580">
            <w:pPr>
              <w:pStyle w:val="naisc"/>
              <w:jc w:val="both"/>
            </w:pPr>
            <w:r w:rsidRPr="00FE4580">
              <w:lastRenderedPageBreak/>
              <w:t>Tiek paredzēts,</w:t>
            </w:r>
            <w:r w:rsidR="00FE4580" w:rsidRPr="00FE4580">
              <w:t xml:space="preserve"> dabas resursu nodoklis būs jāmaksā</w:t>
            </w:r>
            <w:r w:rsidR="00FE4580">
              <w:rPr>
                <w:b/>
                <w:bCs/>
              </w:rPr>
              <w:t xml:space="preserve"> </w:t>
            </w:r>
            <w:r w:rsidR="00FE4580" w:rsidRPr="002B5AF4">
              <w:rPr>
                <w:shd w:val="clear" w:color="auto" w:fill="FFFFFF"/>
              </w:rPr>
              <w:t>par to pārstrādājamu plastmasas un kompozīta iepakojuma apjomu, kas ražotāja paplašinātās atbildības sistēmas ietvaros pārskata periodā nav pārstrādāts</w:t>
            </w:r>
            <w:r w:rsidR="00FE4580">
              <w:rPr>
                <w:shd w:val="clear" w:color="auto" w:fill="FFFFFF"/>
              </w:rPr>
              <w:t xml:space="preserve">. </w:t>
            </w:r>
            <w:r w:rsidR="001D1957" w:rsidRPr="001D1957">
              <w:t xml:space="preserve">Lūgums skatīt anotācijai </w:t>
            </w:r>
            <w:r w:rsidR="00FE4580">
              <w:t>p</w:t>
            </w:r>
            <w:r w:rsidR="001D1957" w:rsidRPr="001D1957">
              <w:t>ievienoto 3. pielikuma shēmu.</w:t>
            </w:r>
          </w:p>
        </w:tc>
      </w:tr>
    </w:tbl>
    <w:p w14:paraId="0965CE97" w14:textId="23378A63" w:rsidR="00B90A4D" w:rsidRPr="00C71189" w:rsidRDefault="00B90A4D" w:rsidP="00C71189"/>
    <w:p w14:paraId="21B328C3" w14:textId="77777777" w:rsidR="00B90A4D" w:rsidRPr="00C71189" w:rsidRDefault="00B90A4D" w:rsidP="00C71189"/>
    <w:p w14:paraId="712F7344" w14:textId="77777777" w:rsidR="00B90A4D" w:rsidRPr="00C71189" w:rsidRDefault="00774398" w:rsidP="00C71189">
      <w:r w:rsidRPr="00C71189">
        <w:t xml:space="preserve">Atbildīgā amatpersona: </w:t>
      </w:r>
    </w:p>
    <w:p w14:paraId="4465DAE9" w14:textId="77777777" w:rsidR="00B90A4D" w:rsidRPr="00C71189" w:rsidRDefault="00774398" w:rsidP="00C71189">
      <w:r w:rsidRPr="00C71189">
        <w:t>Kristīne Gāga</w:t>
      </w:r>
    </w:p>
    <w:p w14:paraId="128BE301" w14:textId="77777777" w:rsidR="00B90A4D" w:rsidRPr="00C71189" w:rsidRDefault="00774398" w:rsidP="00C71189">
      <w:r w:rsidRPr="00C71189">
        <w:t xml:space="preserve">Vides aizsardzības un reģionālās attīstības ministrijas </w:t>
      </w:r>
    </w:p>
    <w:p w14:paraId="1B906659" w14:textId="77777777" w:rsidR="00B90A4D" w:rsidRPr="00C71189" w:rsidRDefault="00774398" w:rsidP="00C71189">
      <w:r w:rsidRPr="00C71189">
        <w:t>Vides aizsardzības departamenta</w:t>
      </w:r>
    </w:p>
    <w:p w14:paraId="0DB314AA" w14:textId="77777777" w:rsidR="00B90A4D" w:rsidRPr="00C71189" w:rsidRDefault="00774398" w:rsidP="00C71189">
      <w:r w:rsidRPr="00C71189">
        <w:t>Vides kvalitātes un atkritumu apsaimniekošanas nodaļas</w:t>
      </w:r>
    </w:p>
    <w:p w14:paraId="2A2C774E" w14:textId="77777777" w:rsidR="00B90A4D" w:rsidRPr="00C71189" w:rsidRDefault="00774398" w:rsidP="00C71189">
      <w:r w:rsidRPr="00C71189">
        <w:t>vecākā eksperte</w:t>
      </w:r>
    </w:p>
    <w:p w14:paraId="06E9B1FF" w14:textId="77777777" w:rsidR="00B90A4D" w:rsidRPr="00C71189" w:rsidRDefault="00774398" w:rsidP="00C71189">
      <w:r w:rsidRPr="00C71189">
        <w:t>Tālrunis: 67026518</w:t>
      </w:r>
    </w:p>
    <w:p w14:paraId="4E5E4220" w14:textId="67BCDE89" w:rsidR="00B90A4D" w:rsidRDefault="00774398" w:rsidP="00C71189">
      <w:pPr>
        <w:jc w:val="both"/>
      </w:pPr>
      <w:r w:rsidRPr="00C71189">
        <w:t xml:space="preserve">e-pasts: </w:t>
      </w:r>
      <w:hyperlink r:id="rId16">
        <w:r w:rsidRPr="00C71189">
          <w:rPr>
            <w:rStyle w:val="Internetasaite"/>
            <w:color w:val="auto"/>
          </w:rPr>
          <w:t>kristine.gaga@varam.gov.lv</w:t>
        </w:r>
      </w:hyperlink>
      <w:r w:rsidR="00CA73BD">
        <w:rPr>
          <w:rStyle w:val="Internetasaite"/>
          <w:color w:val="auto"/>
        </w:rPr>
        <w:t xml:space="preserve"> </w:t>
      </w:r>
      <w:r w:rsidRPr="00C71189">
        <w:t xml:space="preserve"> </w:t>
      </w:r>
    </w:p>
    <w:p w14:paraId="70B431A1" w14:textId="4BE0DCE8" w:rsidR="002D2908" w:rsidRDefault="002D2908" w:rsidP="00C71189">
      <w:pPr>
        <w:jc w:val="both"/>
      </w:pPr>
    </w:p>
    <w:p w14:paraId="47601235" w14:textId="2B6ED6C6" w:rsidR="002D2908" w:rsidRPr="00C71189" w:rsidRDefault="002D2908" w:rsidP="002D2908">
      <w:r>
        <w:t>Tatjana Alekse</w:t>
      </w:r>
    </w:p>
    <w:p w14:paraId="4BA76487" w14:textId="77777777" w:rsidR="002D2908" w:rsidRPr="00C71189" w:rsidRDefault="002D2908" w:rsidP="002D2908">
      <w:r w:rsidRPr="00C71189">
        <w:t xml:space="preserve">Vides aizsardzības un reģionālās attīstības ministrijas </w:t>
      </w:r>
    </w:p>
    <w:p w14:paraId="6FC870BF" w14:textId="77777777" w:rsidR="002D2908" w:rsidRPr="00C71189" w:rsidRDefault="002D2908" w:rsidP="002D2908">
      <w:r w:rsidRPr="00C71189">
        <w:t>Vides aizsardzības departamenta</w:t>
      </w:r>
    </w:p>
    <w:p w14:paraId="779A4A31" w14:textId="77777777" w:rsidR="002D2908" w:rsidRPr="00C71189" w:rsidRDefault="002D2908" w:rsidP="002D2908">
      <w:r w:rsidRPr="00C71189">
        <w:t>Vides kvalitātes un atkritumu apsaimniekošanas nodaļas</w:t>
      </w:r>
    </w:p>
    <w:p w14:paraId="751D2EE9" w14:textId="77777777" w:rsidR="002D2908" w:rsidRPr="00C71189" w:rsidRDefault="002D2908" w:rsidP="002D2908">
      <w:r w:rsidRPr="00C71189">
        <w:t>vecākā eksperte</w:t>
      </w:r>
    </w:p>
    <w:p w14:paraId="7B9D9D3F" w14:textId="5AA2850A" w:rsidR="002D2908" w:rsidRPr="00C71189" w:rsidRDefault="002D2908" w:rsidP="002D2908">
      <w:r w:rsidRPr="00C71189">
        <w:t>Tālrunis: 67026</w:t>
      </w:r>
      <w:r w:rsidR="00F24C7C">
        <w:t>479</w:t>
      </w:r>
    </w:p>
    <w:p w14:paraId="68A67CC9" w14:textId="18D21C94" w:rsidR="002D2908" w:rsidRPr="00C71189" w:rsidRDefault="002D2908" w:rsidP="002D2908">
      <w:pPr>
        <w:jc w:val="both"/>
      </w:pPr>
      <w:r w:rsidRPr="00C71189">
        <w:t>e-pasts:</w:t>
      </w:r>
      <w:r w:rsidR="00F24C7C">
        <w:t xml:space="preserve"> </w:t>
      </w:r>
      <w:hyperlink r:id="rId17" w:history="1">
        <w:r w:rsidR="00F24C7C" w:rsidRPr="00CA73BD">
          <w:rPr>
            <w:rStyle w:val="Hyperlink"/>
            <w:color w:val="auto"/>
          </w:rPr>
          <w:t>tatjana.alekse@varam.gov.lv</w:t>
        </w:r>
      </w:hyperlink>
      <w:r w:rsidRPr="00CA73BD">
        <w:t xml:space="preserve"> </w:t>
      </w:r>
    </w:p>
    <w:p w14:paraId="0C878E05" w14:textId="77777777" w:rsidR="002D2908" w:rsidRPr="00C71189" w:rsidRDefault="002D2908" w:rsidP="00C71189">
      <w:pPr>
        <w:jc w:val="both"/>
      </w:pPr>
    </w:p>
    <w:sectPr w:rsidR="002D2908" w:rsidRPr="00C71189">
      <w:headerReference w:type="even" r:id="rId18"/>
      <w:headerReference w:type="default" r:id="rId19"/>
      <w:footerReference w:type="even" r:id="rId20"/>
      <w:footerReference w:type="default" r:id="rId21"/>
      <w:headerReference w:type="first" r:id="rId22"/>
      <w:footerReference w:type="first" r:id="rId23"/>
      <w:pgSz w:w="16838" w:h="11906" w:orient="landscape"/>
      <w:pgMar w:top="1134"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919C" w14:textId="77777777" w:rsidR="00BF1F57" w:rsidRDefault="00BF1F57">
      <w:r>
        <w:separator/>
      </w:r>
    </w:p>
  </w:endnote>
  <w:endnote w:type="continuationSeparator" w:id="0">
    <w:p w14:paraId="3E7F7A7F" w14:textId="77777777" w:rsidR="00BF1F57" w:rsidRDefault="00BF1F57">
      <w:r>
        <w:continuationSeparator/>
      </w:r>
    </w:p>
  </w:endnote>
  <w:endnote w:type="continuationNotice" w:id="1">
    <w:p w14:paraId="638CEF90" w14:textId="77777777" w:rsidR="00BF1F57" w:rsidRDefault="00BF1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WenQuanYi Micro Hei">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4206" w14:textId="77777777" w:rsidR="00473B70" w:rsidRDefault="00473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98B3" w14:textId="11C5A019" w:rsidR="00A36638" w:rsidRDefault="00A36638">
    <w:pPr>
      <w:pStyle w:val="Footer"/>
    </w:pPr>
    <w:r>
      <w:rPr>
        <w:color w:val="2B579A"/>
        <w:sz w:val="20"/>
        <w:szCs w:val="20"/>
        <w:shd w:val="clear" w:color="auto" w:fill="E6E6E6"/>
      </w:rPr>
      <w:fldChar w:fldCharType="begin"/>
    </w:r>
    <w:r>
      <w:rPr>
        <w:sz w:val="20"/>
        <w:szCs w:val="20"/>
      </w:rPr>
      <w:instrText>FILENAME</w:instrText>
    </w:r>
    <w:r>
      <w:rPr>
        <w:color w:val="2B579A"/>
        <w:sz w:val="20"/>
        <w:szCs w:val="20"/>
        <w:shd w:val="clear" w:color="auto" w:fill="E6E6E6"/>
      </w:rPr>
      <w:fldChar w:fldCharType="separate"/>
    </w:r>
    <w:r w:rsidR="00EE356C">
      <w:rPr>
        <w:sz w:val="20"/>
        <w:szCs w:val="20"/>
      </w:rPr>
      <w:t>VARAM</w:t>
    </w:r>
    <w:r w:rsidR="00BD56B3">
      <w:rPr>
        <w:sz w:val="20"/>
        <w:szCs w:val="20"/>
      </w:rPr>
      <w:t>anot</w:t>
    </w:r>
    <w:r w:rsidR="00EE356C">
      <w:rPr>
        <w:sz w:val="20"/>
        <w:szCs w:val="20"/>
      </w:rPr>
      <w:t>_</w:t>
    </w:r>
    <w:r w:rsidR="00BD56B3">
      <w:rPr>
        <w:sz w:val="20"/>
        <w:szCs w:val="20"/>
      </w:rPr>
      <w:t>piel_</w:t>
    </w:r>
    <w:r w:rsidR="00BE0D72">
      <w:rPr>
        <w:sz w:val="20"/>
        <w:szCs w:val="20"/>
      </w:rPr>
      <w:t>2</w:t>
    </w:r>
    <w:r w:rsidR="00BD56B3">
      <w:rPr>
        <w:sz w:val="20"/>
        <w:szCs w:val="20"/>
      </w:rPr>
      <w:t>_</w:t>
    </w:r>
    <w:r w:rsidR="00762AA1">
      <w:rPr>
        <w:sz w:val="20"/>
        <w:szCs w:val="20"/>
      </w:rPr>
      <w:t>0107</w:t>
    </w:r>
    <w:r w:rsidR="00630A8B">
      <w:rPr>
        <w:sz w:val="20"/>
        <w:szCs w:val="20"/>
      </w:rPr>
      <w:t>21</w:t>
    </w:r>
    <w:r>
      <w:rPr>
        <w:sz w:val="20"/>
        <w:szCs w:val="20"/>
      </w:rPr>
      <w:t>_</w:t>
    </w:r>
    <w:r w:rsidR="00630A8B">
      <w:rPr>
        <w:sz w:val="20"/>
        <w:szCs w:val="20"/>
      </w:rPr>
      <w:t>DRN</w:t>
    </w:r>
    <w:r>
      <w:rPr>
        <w:sz w:val="20"/>
        <w:szCs w:val="20"/>
      </w:rPr>
      <w:t>.docx</w:t>
    </w:r>
    <w:r>
      <w:rPr>
        <w:color w:val="2B579A"/>
        <w:sz w:val="20"/>
        <w:szCs w:val="20"/>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3D26" w14:textId="4C0467D7" w:rsidR="00A36638" w:rsidRPr="00BE0D72" w:rsidRDefault="00BD56B3" w:rsidP="00BD56B3">
    <w:pPr>
      <w:pStyle w:val="Footer"/>
      <w:rPr>
        <w:sz w:val="20"/>
        <w:szCs w:val="20"/>
      </w:rPr>
    </w:pPr>
    <w:r>
      <w:rPr>
        <w:color w:val="2B579A"/>
        <w:sz w:val="20"/>
        <w:szCs w:val="20"/>
        <w:shd w:val="clear" w:color="auto" w:fill="E6E6E6"/>
      </w:rPr>
      <w:fldChar w:fldCharType="begin"/>
    </w:r>
    <w:r>
      <w:rPr>
        <w:sz w:val="20"/>
        <w:szCs w:val="20"/>
      </w:rPr>
      <w:instrText>FILENAME</w:instrText>
    </w:r>
    <w:r>
      <w:rPr>
        <w:color w:val="2B579A"/>
        <w:sz w:val="20"/>
        <w:szCs w:val="20"/>
        <w:shd w:val="clear" w:color="auto" w:fill="E6E6E6"/>
      </w:rPr>
      <w:fldChar w:fldCharType="separate"/>
    </w:r>
    <w:r>
      <w:rPr>
        <w:sz w:val="20"/>
        <w:szCs w:val="20"/>
      </w:rPr>
      <w:t>VARAManot_piel_</w:t>
    </w:r>
    <w:r w:rsidR="00BE0D72">
      <w:rPr>
        <w:sz w:val="20"/>
        <w:szCs w:val="20"/>
      </w:rPr>
      <w:t>2</w:t>
    </w:r>
    <w:r>
      <w:rPr>
        <w:sz w:val="20"/>
        <w:szCs w:val="20"/>
      </w:rPr>
      <w:t>_</w:t>
    </w:r>
    <w:r w:rsidR="00473B70">
      <w:rPr>
        <w:sz w:val="20"/>
        <w:szCs w:val="20"/>
      </w:rPr>
      <w:t>0107</w:t>
    </w:r>
    <w:r>
      <w:rPr>
        <w:sz w:val="20"/>
        <w:szCs w:val="20"/>
      </w:rPr>
      <w:t>21_DRN.docx</w:t>
    </w:r>
    <w:r>
      <w:rPr>
        <w:color w:val="2B579A"/>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17400" w14:textId="77777777" w:rsidR="00BF1F57" w:rsidRDefault="00BF1F57">
      <w:r>
        <w:separator/>
      </w:r>
    </w:p>
  </w:footnote>
  <w:footnote w:type="continuationSeparator" w:id="0">
    <w:p w14:paraId="58AE11C2" w14:textId="77777777" w:rsidR="00BF1F57" w:rsidRDefault="00BF1F57">
      <w:r>
        <w:continuationSeparator/>
      </w:r>
    </w:p>
  </w:footnote>
  <w:footnote w:type="continuationNotice" w:id="1">
    <w:p w14:paraId="0651960E" w14:textId="77777777" w:rsidR="00BF1F57" w:rsidRDefault="00BF1F57"/>
  </w:footnote>
  <w:footnote w:id="2">
    <w:p w14:paraId="47F61E21" w14:textId="77777777" w:rsidR="001625D3" w:rsidRDefault="001625D3" w:rsidP="0019404F">
      <w:pPr>
        <w:pStyle w:val="FootnoteText"/>
      </w:pPr>
      <w:r>
        <w:rPr>
          <w:rStyle w:val="FootnoteReference"/>
        </w:rPr>
        <w:footnoteRef/>
      </w:r>
      <w:r>
        <w:t xml:space="preserve"> </w:t>
      </w:r>
      <w:r w:rsidRPr="0045098B">
        <w:t>https://www.vid.gov.lv/sites/default/files/alkohola_aprite_2020_12_0.pdf</w:t>
      </w:r>
      <w:r>
        <w:t>.</w:t>
      </w:r>
    </w:p>
  </w:footnote>
  <w:footnote w:id="3">
    <w:p w14:paraId="47EEB8DF" w14:textId="77777777" w:rsidR="001625D3" w:rsidRDefault="001625D3" w:rsidP="0019404F">
      <w:pPr>
        <w:pStyle w:val="FootnoteText"/>
      </w:pPr>
      <w:r>
        <w:rPr>
          <w:rStyle w:val="FootnoteReference"/>
        </w:rPr>
        <w:footnoteRef/>
      </w:r>
      <w:r>
        <w:t xml:space="preserve"> </w:t>
      </w:r>
      <w:r w:rsidRPr="00717F68">
        <w:t>https://www.vid.gov.lv/sites/default/files/alkohola_aprite_2021_0</w:t>
      </w:r>
      <w:r>
        <w:t>4</w:t>
      </w:r>
      <w:r w:rsidRPr="00717F68">
        <w:t>.pdf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B3BF" w14:textId="77777777" w:rsidR="00473B70" w:rsidRDefault="00473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B4F0" w14:textId="2D8E0BCD" w:rsidR="00A36638" w:rsidRDefault="00A36638">
    <w:pPr>
      <w:pStyle w:val="Header"/>
    </w:pPr>
    <w:r>
      <w:rPr>
        <w:noProof/>
        <w:color w:val="2B579A"/>
        <w:shd w:val="clear" w:color="auto" w:fill="E6E6E6"/>
        <w:lang w:eastAsia="lv-LV"/>
      </w:rPr>
      <mc:AlternateContent>
        <mc:Choice Requires="wps">
          <w:drawing>
            <wp:anchor distT="0" distB="0" distL="0" distR="0" simplePos="0" relativeHeight="251658240" behindDoc="1" locked="0" layoutInCell="1" allowOverlap="1" wp14:anchorId="1C70834A" wp14:editId="6D24884E">
              <wp:simplePos x="0" y="0"/>
              <wp:positionH relativeFrom="column">
                <wp:align>center</wp:align>
              </wp:positionH>
              <wp:positionV relativeFrom="paragraph">
                <wp:posOffset>635</wp:posOffset>
              </wp:positionV>
              <wp:extent cx="160020" cy="182245"/>
              <wp:effectExtent l="0" t="0" r="11430" b="8255"/>
              <wp:wrapSquare wrapText="bothSides"/>
              <wp:docPr id="2" name="Attēls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82245"/>
                      </a:xfrm>
                      <a:prstGeom prst="rect">
                        <a:avLst/>
                      </a:prstGeom>
                      <a:noFill/>
                      <a:ln>
                        <a:noFill/>
                      </a:ln>
                    </wps:spPr>
                    <wps:style>
                      <a:lnRef idx="0">
                        <a:scrgbClr r="0" g="0" b="0"/>
                      </a:lnRef>
                      <a:fillRef idx="0">
                        <a:scrgbClr r="0" g="0" b="0"/>
                      </a:fillRef>
                      <a:effectRef idx="0">
                        <a:scrgbClr r="0" g="0" b="0"/>
                      </a:effectRef>
                      <a:fontRef idx="minor"/>
                    </wps:style>
                    <wps:txbx>
                      <w:txbxContent>
                        <w:p w14:paraId="7802E34E" w14:textId="77777777" w:rsidR="00A36638" w:rsidRDefault="00A36638">
                          <w:pPr>
                            <w:pStyle w:val="Header"/>
                          </w:pPr>
                          <w:r>
                            <w:rPr>
                              <w:rStyle w:val="PageNumber"/>
                              <w:color w:val="000000"/>
                            </w:rPr>
                            <w:fldChar w:fldCharType="begin"/>
                          </w:r>
                          <w:r>
                            <w:rPr>
                              <w:rStyle w:val="PageNumber"/>
                            </w:rPr>
                            <w:instrText>PAGE</w:instrText>
                          </w:r>
                          <w:r>
                            <w:rPr>
                              <w:rStyle w:val="PageNumber"/>
                            </w:rPr>
                            <w:fldChar w:fldCharType="separate"/>
                          </w:r>
                          <w:r w:rsidR="00170F58">
                            <w:rPr>
                              <w:rStyle w:val="PageNumber"/>
                              <w:noProof/>
                            </w:rPr>
                            <w:t>18</w:t>
                          </w:r>
                          <w:r>
                            <w:rPr>
                              <w:rStyle w:val="PageNumber"/>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1C70834A" id="Attēls1" o:spid="_x0000_s1026" style="position:absolute;margin-left:0;margin-top:.05pt;width:12.6pt;height:14.35pt;z-index:-251658240;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" filled="f" stroked="f">
              <v:textbox inset="0,0,0,0">
                <w:txbxContent>
                  <w:p w14:paraId="7802E34E" w14:textId="77777777" w:rsidR="00A36638" w:rsidRDefault="00A36638">
                    <w:pPr>
                      <w:pStyle w:val="Header"/>
                    </w:pPr>
                    <w:r>
                      <w:rPr>
                        <w:rStyle w:val="PageNumber"/>
                        <w:color w:val="000000"/>
                      </w:rPr>
                      <w:fldChar w:fldCharType="begin"/>
                    </w:r>
                    <w:r>
                      <w:rPr>
                        <w:rStyle w:val="PageNumber"/>
                      </w:rPr>
                      <w:instrText>PAGE</w:instrText>
                    </w:r>
                    <w:r>
                      <w:rPr>
                        <w:rStyle w:val="PageNumber"/>
                      </w:rPr>
                      <w:fldChar w:fldCharType="separate"/>
                    </w:r>
                    <w:r w:rsidR="00170F58">
                      <w:rPr>
                        <w:rStyle w:val="PageNumber"/>
                        <w:noProof/>
                      </w:rPr>
                      <w:t>18</w:t>
                    </w:r>
                    <w:r>
                      <w:rPr>
                        <w:rStyle w:val="PageNumber"/>
                      </w:rPr>
                      <w:fldChar w:fldCharType="end"/>
                    </w: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B313" w14:textId="77777777" w:rsidR="00960999" w:rsidRDefault="00960999" w:rsidP="009609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E14"/>
    <w:multiLevelType w:val="hybridMultilevel"/>
    <w:tmpl w:val="880CD294"/>
    <w:lvl w:ilvl="0" w:tplc="0426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1620F0"/>
    <w:multiLevelType w:val="multilevel"/>
    <w:tmpl w:val="BB183B24"/>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0A374CB"/>
    <w:multiLevelType w:val="hybridMultilevel"/>
    <w:tmpl w:val="2BC6A9F0"/>
    <w:lvl w:ilvl="0" w:tplc="C84C81E0">
      <w:start w:val="1"/>
      <w:numFmt w:val="decimal"/>
      <w:lvlText w:val="%1)"/>
      <w:lvlJc w:val="left"/>
      <w:pPr>
        <w:ind w:left="644" w:hanging="360"/>
      </w:pPr>
      <w:rPr>
        <w:rFonts w:ascii="Times New Roman" w:eastAsia="MS Mincho" w:hAnsi="Times New Roman"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202617F8"/>
    <w:multiLevelType w:val="hybridMultilevel"/>
    <w:tmpl w:val="72B059B2"/>
    <w:lvl w:ilvl="0" w:tplc="9F725564">
      <w:start w:val="3"/>
      <w:numFmt w:val="lowerLetter"/>
      <w:lvlText w:val="%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D23EB8"/>
    <w:multiLevelType w:val="multilevel"/>
    <w:tmpl w:val="B4721B40"/>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6053C01"/>
    <w:multiLevelType w:val="hybridMultilevel"/>
    <w:tmpl w:val="08142C5E"/>
    <w:lvl w:ilvl="0" w:tplc="3B98A99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72C0017"/>
    <w:multiLevelType w:val="multilevel"/>
    <w:tmpl w:val="35C08240"/>
    <w:lvl w:ilvl="0">
      <w:start w:val="1"/>
      <w:numFmt w:val="bullet"/>
      <w:lvlText w:val="-"/>
      <w:lvlJc w:val="left"/>
      <w:pPr>
        <w:ind w:left="1004"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1">
    <w:nsid w:val="298A3CE3"/>
    <w:multiLevelType w:val="hybridMultilevel"/>
    <w:tmpl w:val="BFCA22E0"/>
    <w:lvl w:ilvl="0" w:tplc="2CF88B38">
      <w:start w:val="1"/>
      <w:numFmt w:val="decimal"/>
      <w:lvlText w:val="%1)"/>
      <w:lvlJc w:val="left"/>
      <w:pPr>
        <w:ind w:left="720" w:hanging="360"/>
      </w:pPr>
      <w:rPr>
        <w:rFonts w:hint="default"/>
        <w:i w:val="0"/>
      </w:rPr>
    </w:lvl>
    <w:lvl w:ilvl="1" w:tplc="83B63FD4" w:tentative="1">
      <w:start w:val="1"/>
      <w:numFmt w:val="lowerLetter"/>
      <w:lvlText w:val="%2."/>
      <w:lvlJc w:val="left"/>
      <w:pPr>
        <w:ind w:left="1440" w:hanging="360"/>
      </w:pPr>
    </w:lvl>
    <w:lvl w:ilvl="2" w:tplc="20F0F796" w:tentative="1">
      <w:start w:val="1"/>
      <w:numFmt w:val="lowerRoman"/>
      <w:lvlText w:val="%3."/>
      <w:lvlJc w:val="right"/>
      <w:pPr>
        <w:ind w:left="2160" w:hanging="180"/>
      </w:pPr>
    </w:lvl>
    <w:lvl w:ilvl="3" w:tplc="C9707D9E" w:tentative="1">
      <w:start w:val="1"/>
      <w:numFmt w:val="decimal"/>
      <w:lvlText w:val="%4."/>
      <w:lvlJc w:val="left"/>
      <w:pPr>
        <w:ind w:left="2880" w:hanging="360"/>
      </w:pPr>
    </w:lvl>
    <w:lvl w:ilvl="4" w:tplc="96AA7C60" w:tentative="1">
      <w:start w:val="1"/>
      <w:numFmt w:val="lowerLetter"/>
      <w:lvlText w:val="%5."/>
      <w:lvlJc w:val="left"/>
      <w:pPr>
        <w:ind w:left="3600" w:hanging="360"/>
      </w:pPr>
    </w:lvl>
    <w:lvl w:ilvl="5" w:tplc="E6063BC8" w:tentative="1">
      <w:start w:val="1"/>
      <w:numFmt w:val="lowerRoman"/>
      <w:lvlText w:val="%6."/>
      <w:lvlJc w:val="right"/>
      <w:pPr>
        <w:ind w:left="4320" w:hanging="180"/>
      </w:pPr>
    </w:lvl>
    <w:lvl w:ilvl="6" w:tplc="B6E60DB2" w:tentative="1">
      <w:start w:val="1"/>
      <w:numFmt w:val="decimal"/>
      <w:lvlText w:val="%7."/>
      <w:lvlJc w:val="left"/>
      <w:pPr>
        <w:ind w:left="5040" w:hanging="360"/>
      </w:pPr>
    </w:lvl>
    <w:lvl w:ilvl="7" w:tplc="A54CF8CA" w:tentative="1">
      <w:start w:val="1"/>
      <w:numFmt w:val="lowerLetter"/>
      <w:lvlText w:val="%8."/>
      <w:lvlJc w:val="left"/>
      <w:pPr>
        <w:ind w:left="5760" w:hanging="360"/>
      </w:pPr>
    </w:lvl>
    <w:lvl w:ilvl="8" w:tplc="00982466" w:tentative="1">
      <w:start w:val="1"/>
      <w:numFmt w:val="lowerRoman"/>
      <w:lvlText w:val="%9."/>
      <w:lvlJc w:val="right"/>
      <w:pPr>
        <w:ind w:left="6480" w:hanging="180"/>
      </w:pPr>
    </w:lvl>
  </w:abstractNum>
  <w:abstractNum w:abstractNumId="8" w15:restartNumberingAfterBreak="0">
    <w:nsid w:val="2CB67731"/>
    <w:multiLevelType w:val="multilevel"/>
    <w:tmpl w:val="FE442182"/>
    <w:lvl w:ilvl="0">
      <w:start w:val="1"/>
      <w:numFmt w:val="decimal"/>
      <w:lvlText w:val="%1."/>
      <w:lvlJc w:val="left"/>
      <w:pPr>
        <w:ind w:left="786"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FCA774E"/>
    <w:multiLevelType w:val="hybridMultilevel"/>
    <w:tmpl w:val="76CC0E9E"/>
    <w:lvl w:ilvl="0" w:tplc="E6AC1450">
      <w:start w:val="2"/>
      <w:numFmt w:val="decimal"/>
      <w:lvlText w:val="%1."/>
      <w:lvlJc w:val="left"/>
      <w:pPr>
        <w:ind w:left="1287"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4E3F76"/>
    <w:multiLevelType w:val="multilevel"/>
    <w:tmpl w:val="8B2CC0E0"/>
    <w:lvl w:ilvl="0">
      <w:start w:val="1"/>
      <w:numFmt w:val="decimal"/>
      <w:lvlText w:val="%1."/>
      <w:lvlJc w:val="left"/>
      <w:pPr>
        <w:ind w:left="2061"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1FC3451"/>
    <w:multiLevelType w:val="multilevel"/>
    <w:tmpl w:val="627A4D14"/>
    <w:lvl w:ilvl="0">
      <w:start w:val="18"/>
      <w:numFmt w:val="decimal"/>
      <w:lvlText w:val="%1."/>
      <w:lvlJc w:val="left"/>
      <w:pPr>
        <w:ind w:left="360" w:hanging="360"/>
      </w:pPr>
      <w:rPr>
        <w:rFonts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472637C5"/>
    <w:multiLevelType w:val="hybridMultilevel"/>
    <w:tmpl w:val="21C28378"/>
    <w:lvl w:ilvl="0" w:tplc="354C2648">
      <w:start w:val="1"/>
      <w:numFmt w:val="lowerLetter"/>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4FA449C"/>
    <w:multiLevelType w:val="hybridMultilevel"/>
    <w:tmpl w:val="78A862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8EC1324"/>
    <w:multiLevelType w:val="multilevel"/>
    <w:tmpl w:val="1E5AA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9E5447"/>
    <w:multiLevelType w:val="multilevel"/>
    <w:tmpl w:val="F98E63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DEE3177"/>
    <w:multiLevelType w:val="hybridMultilevel"/>
    <w:tmpl w:val="AF689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F26D53"/>
    <w:multiLevelType w:val="multilevel"/>
    <w:tmpl w:val="2396B002"/>
    <w:lvl w:ilvl="0">
      <w:start w:val="18"/>
      <w:numFmt w:val="decimal"/>
      <w:lvlText w:val="%1."/>
      <w:lvlJc w:val="left"/>
      <w:pPr>
        <w:ind w:left="360" w:hanging="360"/>
      </w:pPr>
      <w:rPr>
        <w:rFonts w:hint="default"/>
        <w:sz w:val="24"/>
        <w:szCs w:val="24"/>
      </w:rPr>
    </w:lvl>
    <w:lvl w:ilvl="1">
      <w:start w:val="19"/>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6B0C6B69"/>
    <w:multiLevelType w:val="hybridMultilevel"/>
    <w:tmpl w:val="45DEA29A"/>
    <w:lvl w:ilvl="0" w:tplc="47AAC746">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1">
    <w:nsid w:val="6FE86160"/>
    <w:multiLevelType w:val="hybridMultilevel"/>
    <w:tmpl w:val="F8C0A75C"/>
    <w:lvl w:ilvl="0" w:tplc="DDC6AA9A">
      <w:start w:val="1"/>
      <w:numFmt w:val="decimal"/>
      <w:lvlText w:val="%1."/>
      <w:lvlJc w:val="left"/>
      <w:pPr>
        <w:ind w:left="360" w:hanging="360"/>
      </w:pPr>
    </w:lvl>
    <w:lvl w:ilvl="1" w:tplc="56686316">
      <w:start w:val="1"/>
      <w:numFmt w:val="lowerLetter"/>
      <w:lvlText w:val="%2."/>
      <w:lvlJc w:val="left"/>
      <w:pPr>
        <w:ind w:left="1080" w:hanging="360"/>
      </w:pPr>
    </w:lvl>
    <w:lvl w:ilvl="2" w:tplc="CC267384">
      <w:start w:val="1"/>
      <w:numFmt w:val="lowerRoman"/>
      <w:lvlText w:val="%3."/>
      <w:lvlJc w:val="right"/>
      <w:pPr>
        <w:ind w:left="1800" w:hanging="180"/>
      </w:pPr>
    </w:lvl>
    <w:lvl w:ilvl="3" w:tplc="2878EE0A" w:tentative="1">
      <w:start w:val="1"/>
      <w:numFmt w:val="decimal"/>
      <w:lvlText w:val="%4."/>
      <w:lvlJc w:val="left"/>
      <w:pPr>
        <w:ind w:left="2520" w:hanging="360"/>
      </w:pPr>
    </w:lvl>
    <w:lvl w:ilvl="4" w:tplc="8390B54C" w:tentative="1">
      <w:start w:val="1"/>
      <w:numFmt w:val="lowerLetter"/>
      <w:lvlText w:val="%5."/>
      <w:lvlJc w:val="left"/>
      <w:pPr>
        <w:ind w:left="3240" w:hanging="360"/>
      </w:pPr>
    </w:lvl>
    <w:lvl w:ilvl="5" w:tplc="9AE60B9C" w:tentative="1">
      <w:start w:val="1"/>
      <w:numFmt w:val="lowerRoman"/>
      <w:lvlText w:val="%6."/>
      <w:lvlJc w:val="right"/>
      <w:pPr>
        <w:ind w:left="3960" w:hanging="180"/>
      </w:pPr>
    </w:lvl>
    <w:lvl w:ilvl="6" w:tplc="AB64B6F0" w:tentative="1">
      <w:start w:val="1"/>
      <w:numFmt w:val="decimal"/>
      <w:lvlText w:val="%7."/>
      <w:lvlJc w:val="left"/>
      <w:pPr>
        <w:ind w:left="4680" w:hanging="360"/>
      </w:pPr>
    </w:lvl>
    <w:lvl w:ilvl="7" w:tplc="A19C8BBE" w:tentative="1">
      <w:start w:val="1"/>
      <w:numFmt w:val="lowerLetter"/>
      <w:lvlText w:val="%8."/>
      <w:lvlJc w:val="left"/>
      <w:pPr>
        <w:ind w:left="5400" w:hanging="360"/>
      </w:pPr>
    </w:lvl>
    <w:lvl w:ilvl="8" w:tplc="68F2ADD6" w:tentative="1">
      <w:start w:val="1"/>
      <w:numFmt w:val="lowerRoman"/>
      <w:lvlText w:val="%9."/>
      <w:lvlJc w:val="right"/>
      <w:pPr>
        <w:ind w:left="6120" w:hanging="180"/>
      </w:pPr>
    </w:lvl>
  </w:abstractNum>
  <w:abstractNum w:abstractNumId="20" w15:restartNumberingAfterBreak="0">
    <w:nsid w:val="72A20673"/>
    <w:multiLevelType w:val="multilevel"/>
    <w:tmpl w:val="46A231E0"/>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5"/>
  </w:num>
  <w:num w:numId="2">
    <w:abstractNumId w:val="6"/>
  </w:num>
  <w:num w:numId="3">
    <w:abstractNumId w:val="8"/>
  </w:num>
  <w:num w:numId="4">
    <w:abstractNumId w:val="10"/>
  </w:num>
  <w:num w:numId="5">
    <w:abstractNumId w:val="20"/>
  </w:num>
  <w:num w:numId="6">
    <w:abstractNumId w:val="1"/>
  </w:num>
  <w:num w:numId="7">
    <w:abstractNumId w:val="19"/>
  </w:num>
  <w:num w:numId="8">
    <w:abstractNumId w:val="7"/>
  </w:num>
  <w:num w:numId="9">
    <w:abstractNumId w:val="5"/>
  </w:num>
  <w:num w:numId="10">
    <w:abstractNumId w:val="1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12"/>
  </w:num>
  <w:num w:numId="16">
    <w:abstractNumId w:val="3"/>
  </w:num>
  <w:num w:numId="17">
    <w:abstractNumId w:val="9"/>
  </w:num>
  <w:num w:numId="18">
    <w:abstractNumId w:val="0"/>
  </w:num>
  <w:num w:numId="19">
    <w:abstractNumId w:val="2"/>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A4D"/>
    <w:rsid w:val="00001335"/>
    <w:rsid w:val="0000348F"/>
    <w:rsid w:val="00005C6D"/>
    <w:rsid w:val="00024950"/>
    <w:rsid w:val="00024B3D"/>
    <w:rsid w:val="000328D8"/>
    <w:rsid w:val="00041D7E"/>
    <w:rsid w:val="00043989"/>
    <w:rsid w:val="00050B34"/>
    <w:rsid w:val="000603AD"/>
    <w:rsid w:val="00060558"/>
    <w:rsid w:val="000621E1"/>
    <w:rsid w:val="00063D3C"/>
    <w:rsid w:val="00065823"/>
    <w:rsid w:val="00070BB7"/>
    <w:rsid w:val="0007103D"/>
    <w:rsid w:val="00074163"/>
    <w:rsid w:val="00075F55"/>
    <w:rsid w:val="00076E92"/>
    <w:rsid w:val="0007755F"/>
    <w:rsid w:val="00081DA4"/>
    <w:rsid w:val="00083076"/>
    <w:rsid w:val="00090A3F"/>
    <w:rsid w:val="00091088"/>
    <w:rsid w:val="0009131D"/>
    <w:rsid w:val="0009140F"/>
    <w:rsid w:val="000948EE"/>
    <w:rsid w:val="00095C92"/>
    <w:rsid w:val="000A178C"/>
    <w:rsid w:val="000A2C60"/>
    <w:rsid w:val="000A57FB"/>
    <w:rsid w:val="000B0C8B"/>
    <w:rsid w:val="000D5213"/>
    <w:rsid w:val="000D5C5F"/>
    <w:rsid w:val="000D75ED"/>
    <w:rsid w:val="000E221E"/>
    <w:rsid w:val="000E6172"/>
    <w:rsid w:val="000F4118"/>
    <w:rsid w:val="000F6A85"/>
    <w:rsid w:val="001041AE"/>
    <w:rsid w:val="00107721"/>
    <w:rsid w:val="00113219"/>
    <w:rsid w:val="0012510B"/>
    <w:rsid w:val="0012655C"/>
    <w:rsid w:val="00127E55"/>
    <w:rsid w:val="00131A97"/>
    <w:rsid w:val="00142AA1"/>
    <w:rsid w:val="00151D3E"/>
    <w:rsid w:val="00155849"/>
    <w:rsid w:val="00155855"/>
    <w:rsid w:val="0016037D"/>
    <w:rsid w:val="001625D3"/>
    <w:rsid w:val="00164945"/>
    <w:rsid w:val="00170F58"/>
    <w:rsid w:val="00176E6E"/>
    <w:rsid w:val="0018045A"/>
    <w:rsid w:val="00181E44"/>
    <w:rsid w:val="00185DF9"/>
    <w:rsid w:val="001906FD"/>
    <w:rsid w:val="00191865"/>
    <w:rsid w:val="0019404F"/>
    <w:rsid w:val="00194202"/>
    <w:rsid w:val="00194DA8"/>
    <w:rsid w:val="00194E80"/>
    <w:rsid w:val="00196F35"/>
    <w:rsid w:val="001B26A6"/>
    <w:rsid w:val="001B3091"/>
    <w:rsid w:val="001B3C1D"/>
    <w:rsid w:val="001B4F9A"/>
    <w:rsid w:val="001B643E"/>
    <w:rsid w:val="001C05E6"/>
    <w:rsid w:val="001C1B73"/>
    <w:rsid w:val="001C672A"/>
    <w:rsid w:val="001D1957"/>
    <w:rsid w:val="001E0D48"/>
    <w:rsid w:val="001E3BFF"/>
    <w:rsid w:val="001E4A3B"/>
    <w:rsid w:val="001F1471"/>
    <w:rsid w:val="001F37F2"/>
    <w:rsid w:val="001F5830"/>
    <w:rsid w:val="0020002E"/>
    <w:rsid w:val="00200160"/>
    <w:rsid w:val="002132E3"/>
    <w:rsid w:val="00216C92"/>
    <w:rsid w:val="0023199E"/>
    <w:rsid w:val="00236B26"/>
    <w:rsid w:val="002374A4"/>
    <w:rsid w:val="00240339"/>
    <w:rsid w:val="00240435"/>
    <w:rsid w:val="0025180F"/>
    <w:rsid w:val="00254841"/>
    <w:rsid w:val="002611B0"/>
    <w:rsid w:val="00263C3F"/>
    <w:rsid w:val="0027627B"/>
    <w:rsid w:val="00286F57"/>
    <w:rsid w:val="00292DA0"/>
    <w:rsid w:val="002A04E5"/>
    <w:rsid w:val="002A6C90"/>
    <w:rsid w:val="002B4571"/>
    <w:rsid w:val="002B4CE6"/>
    <w:rsid w:val="002B71DD"/>
    <w:rsid w:val="002B761B"/>
    <w:rsid w:val="002C1051"/>
    <w:rsid w:val="002C6128"/>
    <w:rsid w:val="002D2908"/>
    <w:rsid w:val="002E48B0"/>
    <w:rsid w:val="002E5C4F"/>
    <w:rsid w:val="002E68C7"/>
    <w:rsid w:val="002F07E7"/>
    <w:rsid w:val="002F5883"/>
    <w:rsid w:val="002F5A7A"/>
    <w:rsid w:val="002F62EA"/>
    <w:rsid w:val="002F75D5"/>
    <w:rsid w:val="0030515B"/>
    <w:rsid w:val="00305B6A"/>
    <w:rsid w:val="00305E46"/>
    <w:rsid w:val="00306C22"/>
    <w:rsid w:val="00310404"/>
    <w:rsid w:val="00311CE6"/>
    <w:rsid w:val="00317212"/>
    <w:rsid w:val="00327476"/>
    <w:rsid w:val="00332A4D"/>
    <w:rsid w:val="00333FF9"/>
    <w:rsid w:val="00341CF6"/>
    <w:rsid w:val="00341F6D"/>
    <w:rsid w:val="003434FE"/>
    <w:rsid w:val="003530DC"/>
    <w:rsid w:val="003538B2"/>
    <w:rsid w:val="0036025F"/>
    <w:rsid w:val="00364E19"/>
    <w:rsid w:val="00365269"/>
    <w:rsid w:val="003658B0"/>
    <w:rsid w:val="003666E6"/>
    <w:rsid w:val="00375711"/>
    <w:rsid w:val="00375C5D"/>
    <w:rsid w:val="00380D10"/>
    <w:rsid w:val="0038106C"/>
    <w:rsid w:val="00382CFD"/>
    <w:rsid w:val="003944A0"/>
    <w:rsid w:val="00396AD7"/>
    <w:rsid w:val="003B2BE7"/>
    <w:rsid w:val="003B37D2"/>
    <w:rsid w:val="003B3B20"/>
    <w:rsid w:val="003C27E3"/>
    <w:rsid w:val="003C513F"/>
    <w:rsid w:val="003C572B"/>
    <w:rsid w:val="003D0D58"/>
    <w:rsid w:val="003D5E68"/>
    <w:rsid w:val="003E0841"/>
    <w:rsid w:val="003E345F"/>
    <w:rsid w:val="003E4B24"/>
    <w:rsid w:val="003E50E4"/>
    <w:rsid w:val="003F00FE"/>
    <w:rsid w:val="003F4F37"/>
    <w:rsid w:val="003F513C"/>
    <w:rsid w:val="003F5BC4"/>
    <w:rsid w:val="003F60D6"/>
    <w:rsid w:val="003F7A95"/>
    <w:rsid w:val="003F7E3F"/>
    <w:rsid w:val="00400545"/>
    <w:rsid w:val="004011EF"/>
    <w:rsid w:val="00403AE1"/>
    <w:rsid w:val="004049A9"/>
    <w:rsid w:val="00405452"/>
    <w:rsid w:val="0041008D"/>
    <w:rsid w:val="00413E0C"/>
    <w:rsid w:val="004168A8"/>
    <w:rsid w:val="00417845"/>
    <w:rsid w:val="00424F94"/>
    <w:rsid w:val="004268B8"/>
    <w:rsid w:val="00430A86"/>
    <w:rsid w:val="00432593"/>
    <w:rsid w:val="00435641"/>
    <w:rsid w:val="004418FD"/>
    <w:rsid w:val="00441C76"/>
    <w:rsid w:val="00444DD4"/>
    <w:rsid w:val="00453738"/>
    <w:rsid w:val="00454D2D"/>
    <w:rsid w:val="00467597"/>
    <w:rsid w:val="004678A6"/>
    <w:rsid w:val="00473B5D"/>
    <w:rsid w:val="00473B70"/>
    <w:rsid w:val="00493E4B"/>
    <w:rsid w:val="0049503B"/>
    <w:rsid w:val="004962E0"/>
    <w:rsid w:val="004A2732"/>
    <w:rsid w:val="004A407C"/>
    <w:rsid w:val="004B195C"/>
    <w:rsid w:val="004D164D"/>
    <w:rsid w:val="004D4337"/>
    <w:rsid w:val="004D4B50"/>
    <w:rsid w:val="004E3774"/>
    <w:rsid w:val="004F0C60"/>
    <w:rsid w:val="004F5FDB"/>
    <w:rsid w:val="004F704B"/>
    <w:rsid w:val="00501228"/>
    <w:rsid w:val="00505F3D"/>
    <w:rsid w:val="005127AD"/>
    <w:rsid w:val="00526CD9"/>
    <w:rsid w:val="00526F62"/>
    <w:rsid w:val="00530CE5"/>
    <w:rsid w:val="005444F2"/>
    <w:rsid w:val="00547AE4"/>
    <w:rsid w:val="005500B5"/>
    <w:rsid w:val="0055336F"/>
    <w:rsid w:val="00557459"/>
    <w:rsid w:val="0056534F"/>
    <w:rsid w:val="00567EB1"/>
    <w:rsid w:val="005702DD"/>
    <w:rsid w:val="0057481F"/>
    <w:rsid w:val="00574AFE"/>
    <w:rsid w:val="00576291"/>
    <w:rsid w:val="00577578"/>
    <w:rsid w:val="0058672E"/>
    <w:rsid w:val="00592920"/>
    <w:rsid w:val="00595072"/>
    <w:rsid w:val="00595FCB"/>
    <w:rsid w:val="00596A3A"/>
    <w:rsid w:val="00596D95"/>
    <w:rsid w:val="005A13BA"/>
    <w:rsid w:val="005B3BCE"/>
    <w:rsid w:val="005B6325"/>
    <w:rsid w:val="005B688D"/>
    <w:rsid w:val="005C4438"/>
    <w:rsid w:val="005E14A4"/>
    <w:rsid w:val="005E181A"/>
    <w:rsid w:val="005F2469"/>
    <w:rsid w:val="005F3FBE"/>
    <w:rsid w:val="00611741"/>
    <w:rsid w:val="00611C2B"/>
    <w:rsid w:val="006254CA"/>
    <w:rsid w:val="0062669B"/>
    <w:rsid w:val="00630A8B"/>
    <w:rsid w:val="00631D09"/>
    <w:rsid w:val="00652DEB"/>
    <w:rsid w:val="00655D8B"/>
    <w:rsid w:val="00657982"/>
    <w:rsid w:val="00663C91"/>
    <w:rsid w:val="00665014"/>
    <w:rsid w:val="0068213C"/>
    <w:rsid w:val="006868BA"/>
    <w:rsid w:val="00695156"/>
    <w:rsid w:val="006963C2"/>
    <w:rsid w:val="006A12CE"/>
    <w:rsid w:val="006A1F5A"/>
    <w:rsid w:val="006A4A17"/>
    <w:rsid w:val="006A4B3D"/>
    <w:rsid w:val="006B1678"/>
    <w:rsid w:val="006B1F16"/>
    <w:rsid w:val="006B2CE9"/>
    <w:rsid w:val="006B47F9"/>
    <w:rsid w:val="006D6AB7"/>
    <w:rsid w:val="006E0B8B"/>
    <w:rsid w:val="006E388D"/>
    <w:rsid w:val="006F1B83"/>
    <w:rsid w:val="006F49F7"/>
    <w:rsid w:val="006F4B4E"/>
    <w:rsid w:val="006F7C96"/>
    <w:rsid w:val="00701502"/>
    <w:rsid w:val="00704D78"/>
    <w:rsid w:val="0071024F"/>
    <w:rsid w:val="007156A5"/>
    <w:rsid w:val="00722EBE"/>
    <w:rsid w:val="00727295"/>
    <w:rsid w:val="00736F26"/>
    <w:rsid w:val="007452F0"/>
    <w:rsid w:val="00747B4B"/>
    <w:rsid w:val="00762380"/>
    <w:rsid w:val="00762AA1"/>
    <w:rsid w:val="00774398"/>
    <w:rsid w:val="00781F06"/>
    <w:rsid w:val="00783A98"/>
    <w:rsid w:val="00784B51"/>
    <w:rsid w:val="00784BC0"/>
    <w:rsid w:val="00787874"/>
    <w:rsid w:val="00792E5B"/>
    <w:rsid w:val="007A1320"/>
    <w:rsid w:val="007A23A8"/>
    <w:rsid w:val="007AC6AB"/>
    <w:rsid w:val="007B3437"/>
    <w:rsid w:val="007B3925"/>
    <w:rsid w:val="007B5D90"/>
    <w:rsid w:val="007C1A97"/>
    <w:rsid w:val="007C246E"/>
    <w:rsid w:val="007C2C88"/>
    <w:rsid w:val="007D4A56"/>
    <w:rsid w:val="007D5EF2"/>
    <w:rsid w:val="007E0434"/>
    <w:rsid w:val="007E07EA"/>
    <w:rsid w:val="007E431E"/>
    <w:rsid w:val="007E4DB2"/>
    <w:rsid w:val="007E6DCD"/>
    <w:rsid w:val="007F0A21"/>
    <w:rsid w:val="007F33BF"/>
    <w:rsid w:val="007F549A"/>
    <w:rsid w:val="008067E8"/>
    <w:rsid w:val="008075B1"/>
    <w:rsid w:val="008075FF"/>
    <w:rsid w:val="008151E4"/>
    <w:rsid w:val="0082052C"/>
    <w:rsid w:val="0082133E"/>
    <w:rsid w:val="00821A4D"/>
    <w:rsid w:val="00821B45"/>
    <w:rsid w:val="00837066"/>
    <w:rsid w:val="00842134"/>
    <w:rsid w:val="00853D87"/>
    <w:rsid w:val="00857832"/>
    <w:rsid w:val="008759F4"/>
    <w:rsid w:val="008810FB"/>
    <w:rsid w:val="00884C49"/>
    <w:rsid w:val="00884F34"/>
    <w:rsid w:val="00885C75"/>
    <w:rsid w:val="00885CCF"/>
    <w:rsid w:val="008930BB"/>
    <w:rsid w:val="00896218"/>
    <w:rsid w:val="00896233"/>
    <w:rsid w:val="00897812"/>
    <w:rsid w:val="008A7E09"/>
    <w:rsid w:val="008B1428"/>
    <w:rsid w:val="008B68A0"/>
    <w:rsid w:val="008C78CA"/>
    <w:rsid w:val="008D0333"/>
    <w:rsid w:val="008D2A73"/>
    <w:rsid w:val="008E202F"/>
    <w:rsid w:val="008E51AB"/>
    <w:rsid w:val="008E5487"/>
    <w:rsid w:val="008F0891"/>
    <w:rsid w:val="008F1C07"/>
    <w:rsid w:val="008F665E"/>
    <w:rsid w:val="00905865"/>
    <w:rsid w:val="00923397"/>
    <w:rsid w:val="00932FF3"/>
    <w:rsid w:val="009561E1"/>
    <w:rsid w:val="00960999"/>
    <w:rsid w:val="00965F92"/>
    <w:rsid w:val="00967F7E"/>
    <w:rsid w:val="00970701"/>
    <w:rsid w:val="009711CF"/>
    <w:rsid w:val="009742E1"/>
    <w:rsid w:val="00976698"/>
    <w:rsid w:val="009772A8"/>
    <w:rsid w:val="0098065A"/>
    <w:rsid w:val="00982811"/>
    <w:rsid w:val="0098314C"/>
    <w:rsid w:val="00984B0C"/>
    <w:rsid w:val="00986C7A"/>
    <w:rsid w:val="009A2B3C"/>
    <w:rsid w:val="009A6B3C"/>
    <w:rsid w:val="009A76C5"/>
    <w:rsid w:val="009B09B8"/>
    <w:rsid w:val="009B1F69"/>
    <w:rsid w:val="009B7ED5"/>
    <w:rsid w:val="009C18C6"/>
    <w:rsid w:val="009C1C39"/>
    <w:rsid w:val="009C6327"/>
    <w:rsid w:val="009C7AEA"/>
    <w:rsid w:val="009D0AC1"/>
    <w:rsid w:val="009E389F"/>
    <w:rsid w:val="009E5290"/>
    <w:rsid w:val="009E6DB3"/>
    <w:rsid w:val="009F1128"/>
    <w:rsid w:val="009F1502"/>
    <w:rsid w:val="009F3279"/>
    <w:rsid w:val="009F4286"/>
    <w:rsid w:val="009F6A71"/>
    <w:rsid w:val="00A00B7D"/>
    <w:rsid w:val="00A03535"/>
    <w:rsid w:val="00A03C07"/>
    <w:rsid w:val="00A04E14"/>
    <w:rsid w:val="00A1118E"/>
    <w:rsid w:val="00A14A37"/>
    <w:rsid w:val="00A15E59"/>
    <w:rsid w:val="00A1717A"/>
    <w:rsid w:val="00A20FF5"/>
    <w:rsid w:val="00A210E5"/>
    <w:rsid w:val="00A21EC8"/>
    <w:rsid w:val="00A23518"/>
    <w:rsid w:val="00A2392F"/>
    <w:rsid w:val="00A251BD"/>
    <w:rsid w:val="00A30B0C"/>
    <w:rsid w:val="00A30E1C"/>
    <w:rsid w:val="00A312EC"/>
    <w:rsid w:val="00A31C2F"/>
    <w:rsid w:val="00A339EA"/>
    <w:rsid w:val="00A3555D"/>
    <w:rsid w:val="00A359A3"/>
    <w:rsid w:val="00A36638"/>
    <w:rsid w:val="00A41F94"/>
    <w:rsid w:val="00A44B06"/>
    <w:rsid w:val="00A47B0D"/>
    <w:rsid w:val="00A52C69"/>
    <w:rsid w:val="00A553EF"/>
    <w:rsid w:val="00A62D20"/>
    <w:rsid w:val="00A6751A"/>
    <w:rsid w:val="00A70A76"/>
    <w:rsid w:val="00A70A8F"/>
    <w:rsid w:val="00A72546"/>
    <w:rsid w:val="00A74B5D"/>
    <w:rsid w:val="00A74BD4"/>
    <w:rsid w:val="00A82559"/>
    <w:rsid w:val="00A861B7"/>
    <w:rsid w:val="00A86E7F"/>
    <w:rsid w:val="00A87158"/>
    <w:rsid w:val="00A91E59"/>
    <w:rsid w:val="00A9789A"/>
    <w:rsid w:val="00AA1D83"/>
    <w:rsid w:val="00AB07B8"/>
    <w:rsid w:val="00AB2984"/>
    <w:rsid w:val="00AB52EE"/>
    <w:rsid w:val="00AC0A95"/>
    <w:rsid w:val="00AC3D62"/>
    <w:rsid w:val="00AD0132"/>
    <w:rsid w:val="00AD09D2"/>
    <w:rsid w:val="00AD0A1E"/>
    <w:rsid w:val="00AD2729"/>
    <w:rsid w:val="00AE6935"/>
    <w:rsid w:val="00AE796E"/>
    <w:rsid w:val="00B036F1"/>
    <w:rsid w:val="00B07AD8"/>
    <w:rsid w:val="00B25672"/>
    <w:rsid w:val="00B2571B"/>
    <w:rsid w:val="00B27FFB"/>
    <w:rsid w:val="00B30063"/>
    <w:rsid w:val="00B362F8"/>
    <w:rsid w:val="00B47CC0"/>
    <w:rsid w:val="00B5056C"/>
    <w:rsid w:val="00B51100"/>
    <w:rsid w:val="00B52757"/>
    <w:rsid w:val="00B54638"/>
    <w:rsid w:val="00B54773"/>
    <w:rsid w:val="00B55BDC"/>
    <w:rsid w:val="00B707BE"/>
    <w:rsid w:val="00B772BC"/>
    <w:rsid w:val="00B854DF"/>
    <w:rsid w:val="00B85E41"/>
    <w:rsid w:val="00B90A4D"/>
    <w:rsid w:val="00B90D3E"/>
    <w:rsid w:val="00B97907"/>
    <w:rsid w:val="00BA2DE1"/>
    <w:rsid w:val="00BA45C7"/>
    <w:rsid w:val="00BA4EF7"/>
    <w:rsid w:val="00BA58F0"/>
    <w:rsid w:val="00BA5F4E"/>
    <w:rsid w:val="00BB2C00"/>
    <w:rsid w:val="00BB3418"/>
    <w:rsid w:val="00BB44FB"/>
    <w:rsid w:val="00BC1D8F"/>
    <w:rsid w:val="00BD56B3"/>
    <w:rsid w:val="00BD57DF"/>
    <w:rsid w:val="00BE0526"/>
    <w:rsid w:val="00BE0D72"/>
    <w:rsid w:val="00BE4130"/>
    <w:rsid w:val="00BF1F57"/>
    <w:rsid w:val="00BF239C"/>
    <w:rsid w:val="00BF5403"/>
    <w:rsid w:val="00C05A0A"/>
    <w:rsid w:val="00C05C82"/>
    <w:rsid w:val="00C13F70"/>
    <w:rsid w:val="00C16D51"/>
    <w:rsid w:val="00C17D0B"/>
    <w:rsid w:val="00C21C2F"/>
    <w:rsid w:val="00C2241F"/>
    <w:rsid w:val="00C26163"/>
    <w:rsid w:val="00C2715A"/>
    <w:rsid w:val="00C27A53"/>
    <w:rsid w:val="00C27D6C"/>
    <w:rsid w:val="00C346BA"/>
    <w:rsid w:val="00C45BD1"/>
    <w:rsid w:val="00C460B3"/>
    <w:rsid w:val="00C4697A"/>
    <w:rsid w:val="00C47389"/>
    <w:rsid w:val="00C57814"/>
    <w:rsid w:val="00C57EF1"/>
    <w:rsid w:val="00C6149B"/>
    <w:rsid w:val="00C63C94"/>
    <w:rsid w:val="00C65BC6"/>
    <w:rsid w:val="00C67F34"/>
    <w:rsid w:val="00C710FF"/>
    <w:rsid w:val="00C71189"/>
    <w:rsid w:val="00C7208F"/>
    <w:rsid w:val="00C73357"/>
    <w:rsid w:val="00C75101"/>
    <w:rsid w:val="00C7547D"/>
    <w:rsid w:val="00C82829"/>
    <w:rsid w:val="00C86374"/>
    <w:rsid w:val="00C9260B"/>
    <w:rsid w:val="00C95DB8"/>
    <w:rsid w:val="00C97DB9"/>
    <w:rsid w:val="00CA20C8"/>
    <w:rsid w:val="00CA4D5F"/>
    <w:rsid w:val="00CA73BD"/>
    <w:rsid w:val="00CB3BA1"/>
    <w:rsid w:val="00CC1529"/>
    <w:rsid w:val="00CC247A"/>
    <w:rsid w:val="00CC3A92"/>
    <w:rsid w:val="00CC758A"/>
    <w:rsid w:val="00CE2FB2"/>
    <w:rsid w:val="00CE5EBA"/>
    <w:rsid w:val="00CF16B8"/>
    <w:rsid w:val="00CF6D6D"/>
    <w:rsid w:val="00D01096"/>
    <w:rsid w:val="00D10D54"/>
    <w:rsid w:val="00D21BBD"/>
    <w:rsid w:val="00D2451C"/>
    <w:rsid w:val="00D251FB"/>
    <w:rsid w:val="00D41278"/>
    <w:rsid w:val="00D44AA8"/>
    <w:rsid w:val="00D45B5B"/>
    <w:rsid w:val="00D46470"/>
    <w:rsid w:val="00D54040"/>
    <w:rsid w:val="00D60FE4"/>
    <w:rsid w:val="00D661D0"/>
    <w:rsid w:val="00D670C4"/>
    <w:rsid w:val="00D70996"/>
    <w:rsid w:val="00D72BF3"/>
    <w:rsid w:val="00D762EB"/>
    <w:rsid w:val="00D7E737"/>
    <w:rsid w:val="00D84CC4"/>
    <w:rsid w:val="00D86190"/>
    <w:rsid w:val="00D942F6"/>
    <w:rsid w:val="00D95599"/>
    <w:rsid w:val="00D969E8"/>
    <w:rsid w:val="00D96F71"/>
    <w:rsid w:val="00DA1C4F"/>
    <w:rsid w:val="00DA7093"/>
    <w:rsid w:val="00DB032D"/>
    <w:rsid w:val="00DC0066"/>
    <w:rsid w:val="00DC54BD"/>
    <w:rsid w:val="00DC75C8"/>
    <w:rsid w:val="00DD0DEA"/>
    <w:rsid w:val="00DD256A"/>
    <w:rsid w:val="00DD40D3"/>
    <w:rsid w:val="00DE3395"/>
    <w:rsid w:val="00DF3F11"/>
    <w:rsid w:val="00E01030"/>
    <w:rsid w:val="00E01335"/>
    <w:rsid w:val="00E01357"/>
    <w:rsid w:val="00E1433B"/>
    <w:rsid w:val="00E14346"/>
    <w:rsid w:val="00E14349"/>
    <w:rsid w:val="00E159BD"/>
    <w:rsid w:val="00E218B0"/>
    <w:rsid w:val="00E24271"/>
    <w:rsid w:val="00E3071B"/>
    <w:rsid w:val="00E31356"/>
    <w:rsid w:val="00E321E3"/>
    <w:rsid w:val="00E4096C"/>
    <w:rsid w:val="00E56658"/>
    <w:rsid w:val="00E60FBE"/>
    <w:rsid w:val="00E70C13"/>
    <w:rsid w:val="00E710AA"/>
    <w:rsid w:val="00E7220D"/>
    <w:rsid w:val="00E74E83"/>
    <w:rsid w:val="00E75B34"/>
    <w:rsid w:val="00E90B1C"/>
    <w:rsid w:val="00E97933"/>
    <w:rsid w:val="00EA35BD"/>
    <w:rsid w:val="00EA6A9E"/>
    <w:rsid w:val="00EB0D96"/>
    <w:rsid w:val="00EB0FC7"/>
    <w:rsid w:val="00EB6FC6"/>
    <w:rsid w:val="00EC7E7B"/>
    <w:rsid w:val="00ED2004"/>
    <w:rsid w:val="00ED55F3"/>
    <w:rsid w:val="00ED684D"/>
    <w:rsid w:val="00ED71FD"/>
    <w:rsid w:val="00EE002B"/>
    <w:rsid w:val="00EE356C"/>
    <w:rsid w:val="00EE3F57"/>
    <w:rsid w:val="00EE67C0"/>
    <w:rsid w:val="00EE7917"/>
    <w:rsid w:val="00EF5DDF"/>
    <w:rsid w:val="00EF70A3"/>
    <w:rsid w:val="00F000E9"/>
    <w:rsid w:val="00F01A2C"/>
    <w:rsid w:val="00F01A41"/>
    <w:rsid w:val="00F02193"/>
    <w:rsid w:val="00F03B78"/>
    <w:rsid w:val="00F06982"/>
    <w:rsid w:val="00F1025E"/>
    <w:rsid w:val="00F129FB"/>
    <w:rsid w:val="00F15A0E"/>
    <w:rsid w:val="00F222F6"/>
    <w:rsid w:val="00F24BF8"/>
    <w:rsid w:val="00F24C7C"/>
    <w:rsid w:val="00F269BC"/>
    <w:rsid w:val="00F43A71"/>
    <w:rsid w:val="00F45DA1"/>
    <w:rsid w:val="00F47D2A"/>
    <w:rsid w:val="00F573DB"/>
    <w:rsid w:val="00F60805"/>
    <w:rsid w:val="00F7297A"/>
    <w:rsid w:val="00F745A7"/>
    <w:rsid w:val="00F80248"/>
    <w:rsid w:val="00F80931"/>
    <w:rsid w:val="00F8167D"/>
    <w:rsid w:val="00F87006"/>
    <w:rsid w:val="00F967BA"/>
    <w:rsid w:val="00F9690E"/>
    <w:rsid w:val="00FA44BB"/>
    <w:rsid w:val="00FA500D"/>
    <w:rsid w:val="00FA5CF4"/>
    <w:rsid w:val="00FC2221"/>
    <w:rsid w:val="00FC4033"/>
    <w:rsid w:val="00FC7AA8"/>
    <w:rsid w:val="00FD33D4"/>
    <w:rsid w:val="00FD489D"/>
    <w:rsid w:val="00FD66CB"/>
    <w:rsid w:val="00FE27E1"/>
    <w:rsid w:val="00FE4580"/>
    <w:rsid w:val="00FF1D43"/>
    <w:rsid w:val="00FF5969"/>
    <w:rsid w:val="0112657A"/>
    <w:rsid w:val="0166727A"/>
    <w:rsid w:val="016C9FD2"/>
    <w:rsid w:val="01759FA2"/>
    <w:rsid w:val="01810A9F"/>
    <w:rsid w:val="026E04B8"/>
    <w:rsid w:val="0273B798"/>
    <w:rsid w:val="03489770"/>
    <w:rsid w:val="034D8A86"/>
    <w:rsid w:val="035FE080"/>
    <w:rsid w:val="037169EC"/>
    <w:rsid w:val="03A93825"/>
    <w:rsid w:val="03C5E1BF"/>
    <w:rsid w:val="0443C962"/>
    <w:rsid w:val="047C4E71"/>
    <w:rsid w:val="04992647"/>
    <w:rsid w:val="04A87C77"/>
    <w:rsid w:val="04BF7905"/>
    <w:rsid w:val="04EE69AB"/>
    <w:rsid w:val="051875B7"/>
    <w:rsid w:val="057E3644"/>
    <w:rsid w:val="05958C9D"/>
    <w:rsid w:val="064EEFDF"/>
    <w:rsid w:val="06593952"/>
    <w:rsid w:val="068CE9AE"/>
    <w:rsid w:val="06AF2697"/>
    <w:rsid w:val="06E52A06"/>
    <w:rsid w:val="06F9F86B"/>
    <w:rsid w:val="07090C69"/>
    <w:rsid w:val="07597A4E"/>
    <w:rsid w:val="078F64F6"/>
    <w:rsid w:val="07C2A447"/>
    <w:rsid w:val="0817B232"/>
    <w:rsid w:val="0844DB0F"/>
    <w:rsid w:val="084792FE"/>
    <w:rsid w:val="0851EE7C"/>
    <w:rsid w:val="086286F9"/>
    <w:rsid w:val="08686A91"/>
    <w:rsid w:val="08AA88FD"/>
    <w:rsid w:val="09481ABF"/>
    <w:rsid w:val="0948297E"/>
    <w:rsid w:val="0A270436"/>
    <w:rsid w:val="0B227EBC"/>
    <w:rsid w:val="0B7F33C0"/>
    <w:rsid w:val="0BC5064E"/>
    <w:rsid w:val="0C27C0FF"/>
    <w:rsid w:val="0C484ABF"/>
    <w:rsid w:val="0D0DE24E"/>
    <w:rsid w:val="0D465AA5"/>
    <w:rsid w:val="0DA09E82"/>
    <w:rsid w:val="0DBF838E"/>
    <w:rsid w:val="0DD9542B"/>
    <w:rsid w:val="0E2D2EA7"/>
    <w:rsid w:val="0E9518B5"/>
    <w:rsid w:val="0E95E701"/>
    <w:rsid w:val="0ECE0246"/>
    <w:rsid w:val="0ED4B705"/>
    <w:rsid w:val="0EF4C005"/>
    <w:rsid w:val="0F3C6EE3"/>
    <w:rsid w:val="0FD7C646"/>
    <w:rsid w:val="0FF954F3"/>
    <w:rsid w:val="100347C5"/>
    <w:rsid w:val="101B10B4"/>
    <w:rsid w:val="1065C1CD"/>
    <w:rsid w:val="109C1F0A"/>
    <w:rsid w:val="10F674FF"/>
    <w:rsid w:val="117F3823"/>
    <w:rsid w:val="117FCF3F"/>
    <w:rsid w:val="11DDD4D4"/>
    <w:rsid w:val="11F099BF"/>
    <w:rsid w:val="1200FFB5"/>
    <w:rsid w:val="1290085C"/>
    <w:rsid w:val="12B6FD6F"/>
    <w:rsid w:val="12B70A29"/>
    <w:rsid w:val="12E42918"/>
    <w:rsid w:val="1319D3E8"/>
    <w:rsid w:val="138B9040"/>
    <w:rsid w:val="13BF4203"/>
    <w:rsid w:val="13D078BD"/>
    <w:rsid w:val="13F3F79A"/>
    <w:rsid w:val="14004C37"/>
    <w:rsid w:val="144C9839"/>
    <w:rsid w:val="1490BD01"/>
    <w:rsid w:val="15493FD2"/>
    <w:rsid w:val="15C1526F"/>
    <w:rsid w:val="15E9A4DC"/>
    <w:rsid w:val="15F84D99"/>
    <w:rsid w:val="16330C87"/>
    <w:rsid w:val="16367DBE"/>
    <w:rsid w:val="16371D45"/>
    <w:rsid w:val="1690E261"/>
    <w:rsid w:val="16C6A08D"/>
    <w:rsid w:val="16EA42F9"/>
    <w:rsid w:val="17061D91"/>
    <w:rsid w:val="1708197F"/>
    <w:rsid w:val="17338787"/>
    <w:rsid w:val="1796D5ED"/>
    <w:rsid w:val="17C4F19E"/>
    <w:rsid w:val="181FB2E6"/>
    <w:rsid w:val="186270EE"/>
    <w:rsid w:val="18DEC432"/>
    <w:rsid w:val="1924A77B"/>
    <w:rsid w:val="193B4F53"/>
    <w:rsid w:val="1998A860"/>
    <w:rsid w:val="199BF0E3"/>
    <w:rsid w:val="1A10B848"/>
    <w:rsid w:val="1A7BFCBA"/>
    <w:rsid w:val="1A910799"/>
    <w:rsid w:val="1A9F1637"/>
    <w:rsid w:val="1AA2E431"/>
    <w:rsid w:val="1ABA838F"/>
    <w:rsid w:val="1B0CF20C"/>
    <w:rsid w:val="1C9C3C66"/>
    <w:rsid w:val="1CD89845"/>
    <w:rsid w:val="1D0649E5"/>
    <w:rsid w:val="1D12EC88"/>
    <w:rsid w:val="1DC4BEA9"/>
    <w:rsid w:val="1E1587C5"/>
    <w:rsid w:val="1E4814AA"/>
    <w:rsid w:val="1E557ECD"/>
    <w:rsid w:val="1E69342A"/>
    <w:rsid w:val="1ED1B272"/>
    <w:rsid w:val="1EE39DB0"/>
    <w:rsid w:val="1F76EF86"/>
    <w:rsid w:val="1FF5D189"/>
    <w:rsid w:val="2044E012"/>
    <w:rsid w:val="206D82D3"/>
    <w:rsid w:val="206E076E"/>
    <w:rsid w:val="20A4496C"/>
    <w:rsid w:val="20A96E7D"/>
    <w:rsid w:val="20C9FE9B"/>
    <w:rsid w:val="210E7ADC"/>
    <w:rsid w:val="21252238"/>
    <w:rsid w:val="212D39BD"/>
    <w:rsid w:val="2162BAA7"/>
    <w:rsid w:val="21C60D64"/>
    <w:rsid w:val="21CFE261"/>
    <w:rsid w:val="21E79CCE"/>
    <w:rsid w:val="220F60EC"/>
    <w:rsid w:val="22E26C41"/>
    <w:rsid w:val="22F523A7"/>
    <w:rsid w:val="23701BFB"/>
    <w:rsid w:val="23B61CFA"/>
    <w:rsid w:val="23B6A597"/>
    <w:rsid w:val="23EE32DD"/>
    <w:rsid w:val="23FF29D0"/>
    <w:rsid w:val="24A3CD0E"/>
    <w:rsid w:val="24AA3379"/>
    <w:rsid w:val="24B81FBF"/>
    <w:rsid w:val="24D93EFC"/>
    <w:rsid w:val="2510C951"/>
    <w:rsid w:val="26187A4E"/>
    <w:rsid w:val="268B6BDD"/>
    <w:rsid w:val="271429CC"/>
    <w:rsid w:val="2721BDA4"/>
    <w:rsid w:val="277069CB"/>
    <w:rsid w:val="27E76E54"/>
    <w:rsid w:val="27FEBE60"/>
    <w:rsid w:val="28101670"/>
    <w:rsid w:val="284AB387"/>
    <w:rsid w:val="2863B2D3"/>
    <w:rsid w:val="28837074"/>
    <w:rsid w:val="28FF6088"/>
    <w:rsid w:val="29172D3B"/>
    <w:rsid w:val="29B176CF"/>
    <w:rsid w:val="29BDA96C"/>
    <w:rsid w:val="29CE092E"/>
    <w:rsid w:val="29F983A5"/>
    <w:rsid w:val="2A063C27"/>
    <w:rsid w:val="2A1C529F"/>
    <w:rsid w:val="2A9CB051"/>
    <w:rsid w:val="2B8621FE"/>
    <w:rsid w:val="2C28F994"/>
    <w:rsid w:val="2C3CB989"/>
    <w:rsid w:val="2C4849B0"/>
    <w:rsid w:val="2CF20241"/>
    <w:rsid w:val="2CF847C4"/>
    <w:rsid w:val="2D41136B"/>
    <w:rsid w:val="2D49A4D9"/>
    <w:rsid w:val="2D60CAEB"/>
    <w:rsid w:val="2DB6C1C6"/>
    <w:rsid w:val="2E068A59"/>
    <w:rsid w:val="2E46A7D9"/>
    <w:rsid w:val="2E64C306"/>
    <w:rsid w:val="2ED01659"/>
    <w:rsid w:val="2F0FE579"/>
    <w:rsid w:val="30124E47"/>
    <w:rsid w:val="301C4D81"/>
    <w:rsid w:val="308B9423"/>
    <w:rsid w:val="30ACE53D"/>
    <w:rsid w:val="30C42E08"/>
    <w:rsid w:val="30E48EEB"/>
    <w:rsid w:val="30EA1587"/>
    <w:rsid w:val="30FBF0C7"/>
    <w:rsid w:val="315A34EA"/>
    <w:rsid w:val="315C1614"/>
    <w:rsid w:val="318DFE01"/>
    <w:rsid w:val="31B24EB0"/>
    <w:rsid w:val="320EC1BC"/>
    <w:rsid w:val="32276484"/>
    <w:rsid w:val="325DF713"/>
    <w:rsid w:val="32A5FA50"/>
    <w:rsid w:val="32C9E24C"/>
    <w:rsid w:val="32FA8D05"/>
    <w:rsid w:val="33205A6A"/>
    <w:rsid w:val="334A6487"/>
    <w:rsid w:val="334ECE75"/>
    <w:rsid w:val="3354063B"/>
    <w:rsid w:val="33DA5FD3"/>
    <w:rsid w:val="33DE7F8F"/>
    <w:rsid w:val="341D3B20"/>
    <w:rsid w:val="344053BF"/>
    <w:rsid w:val="34965D66"/>
    <w:rsid w:val="34D1E5A2"/>
    <w:rsid w:val="3533946B"/>
    <w:rsid w:val="35FC2C9B"/>
    <w:rsid w:val="36072883"/>
    <w:rsid w:val="360A3BD8"/>
    <w:rsid w:val="361A1896"/>
    <w:rsid w:val="3675F5C6"/>
    <w:rsid w:val="3693E9FB"/>
    <w:rsid w:val="36BB2F13"/>
    <w:rsid w:val="36F6E013"/>
    <w:rsid w:val="3773E419"/>
    <w:rsid w:val="378759B6"/>
    <w:rsid w:val="378BAD59"/>
    <w:rsid w:val="3797FCFC"/>
    <w:rsid w:val="37D6FF42"/>
    <w:rsid w:val="3805CC61"/>
    <w:rsid w:val="38382BA1"/>
    <w:rsid w:val="3868AA55"/>
    <w:rsid w:val="389855E9"/>
    <w:rsid w:val="38F431BE"/>
    <w:rsid w:val="3900D4D0"/>
    <w:rsid w:val="3908B706"/>
    <w:rsid w:val="393FD923"/>
    <w:rsid w:val="3944F721"/>
    <w:rsid w:val="39A19CC2"/>
    <w:rsid w:val="39CD7149"/>
    <w:rsid w:val="39D22619"/>
    <w:rsid w:val="3AE69B0C"/>
    <w:rsid w:val="3AFE2EF0"/>
    <w:rsid w:val="3B30828B"/>
    <w:rsid w:val="3C2D1F80"/>
    <w:rsid w:val="3C5B4575"/>
    <w:rsid w:val="3C8761DC"/>
    <w:rsid w:val="3CAF6730"/>
    <w:rsid w:val="3CBB8FF6"/>
    <w:rsid w:val="3D47F756"/>
    <w:rsid w:val="3D85D3E1"/>
    <w:rsid w:val="3DAF8F0B"/>
    <w:rsid w:val="3DD15196"/>
    <w:rsid w:val="3DD9EC51"/>
    <w:rsid w:val="3DF7C852"/>
    <w:rsid w:val="3E41849D"/>
    <w:rsid w:val="3ECF53A4"/>
    <w:rsid w:val="3EDB3EC2"/>
    <w:rsid w:val="3FB674C7"/>
    <w:rsid w:val="3FD2C076"/>
    <w:rsid w:val="3FD71435"/>
    <w:rsid w:val="3FEF5578"/>
    <w:rsid w:val="4077D045"/>
    <w:rsid w:val="408F1E50"/>
    <w:rsid w:val="41679DCC"/>
    <w:rsid w:val="41D9095E"/>
    <w:rsid w:val="42553F7E"/>
    <w:rsid w:val="427FD943"/>
    <w:rsid w:val="42887E22"/>
    <w:rsid w:val="42A42C64"/>
    <w:rsid w:val="4333A7CA"/>
    <w:rsid w:val="433B5AD3"/>
    <w:rsid w:val="438C3770"/>
    <w:rsid w:val="43B4D535"/>
    <w:rsid w:val="43D463EC"/>
    <w:rsid w:val="441E3BB8"/>
    <w:rsid w:val="446D62CA"/>
    <w:rsid w:val="4477383F"/>
    <w:rsid w:val="44E8436E"/>
    <w:rsid w:val="452979EF"/>
    <w:rsid w:val="454A7588"/>
    <w:rsid w:val="45506734"/>
    <w:rsid w:val="458ABEA8"/>
    <w:rsid w:val="459E248E"/>
    <w:rsid w:val="45E884C2"/>
    <w:rsid w:val="467D7110"/>
    <w:rsid w:val="46FC4F0F"/>
    <w:rsid w:val="47A12AFA"/>
    <w:rsid w:val="47BBFBDB"/>
    <w:rsid w:val="47BFD688"/>
    <w:rsid w:val="48242DEC"/>
    <w:rsid w:val="484639C4"/>
    <w:rsid w:val="48543824"/>
    <w:rsid w:val="48B9CCE2"/>
    <w:rsid w:val="48BE0BF6"/>
    <w:rsid w:val="48C28A66"/>
    <w:rsid w:val="49A2BC77"/>
    <w:rsid w:val="49AA445B"/>
    <w:rsid w:val="49E604A5"/>
    <w:rsid w:val="4A290399"/>
    <w:rsid w:val="4A30FFC0"/>
    <w:rsid w:val="4A310A10"/>
    <w:rsid w:val="4A67B2A7"/>
    <w:rsid w:val="4A6A0DCD"/>
    <w:rsid w:val="4A6EE511"/>
    <w:rsid w:val="4A78811E"/>
    <w:rsid w:val="4AC27FD2"/>
    <w:rsid w:val="4AF70A87"/>
    <w:rsid w:val="4AFFBDE4"/>
    <w:rsid w:val="4BA434CC"/>
    <w:rsid w:val="4C206295"/>
    <w:rsid w:val="4C55B8BF"/>
    <w:rsid w:val="4C594139"/>
    <w:rsid w:val="4C8755D2"/>
    <w:rsid w:val="4D3C5F10"/>
    <w:rsid w:val="4D56F639"/>
    <w:rsid w:val="4D93DE44"/>
    <w:rsid w:val="4E1A7FFB"/>
    <w:rsid w:val="4E369C66"/>
    <w:rsid w:val="4E487D0D"/>
    <w:rsid w:val="4E8131FF"/>
    <w:rsid w:val="4EC0AC8B"/>
    <w:rsid w:val="4EC50453"/>
    <w:rsid w:val="4F2A8189"/>
    <w:rsid w:val="4F8684C3"/>
    <w:rsid w:val="50CF9432"/>
    <w:rsid w:val="50DE9BAA"/>
    <w:rsid w:val="50F93FE1"/>
    <w:rsid w:val="5108D7CD"/>
    <w:rsid w:val="510CA5C7"/>
    <w:rsid w:val="510EF4B0"/>
    <w:rsid w:val="51B5BAE7"/>
    <w:rsid w:val="5274883A"/>
    <w:rsid w:val="5291A749"/>
    <w:rsid w:val="52965CED"/>
    <w:rsid w:val="52A24C8B"/>
    <w:rsid w:val="52A8DBE7"/>
    <w:rsid w:val="52E67CAB"/>
    <w:rsid w:val="534D5864"/>
    <w:rsid w:val="541E3973"/>
    <w:rsid w:val="542750EA"/>
    <w:rsid w:val="542AF8F9"/>
    <w:rsid w:val="5432C1C4"/>
    <w:rsid w:val="5448706A"/>
    <w:rsid w:val="54C72CEE"/>
    <w:rsid w:val="54F6CCB6"/>
    <w:rsid w:val="55241D4A"/>
    <w:rsid w:val="552638EC"/>
    <w:rsid w:val="5535D220"/>
    <w:rsid w:val="55430723"/>
    <w:rsid w:val="559784D2"/>
    <w:rsid w:val="56305530"/>
    <w:rsid w:val="56418BDF"/>
    <w:rsid w:val="56A9E537"/>
    <w:rsid w:val="56BF1331"/>
    <w:rsid w:val="572B3418"/>
    <w:rsid w:val="57F9505B"/>
    <w:rsid w:val="580411E5"/>
    <w:rsid w:val="587FBD09"/>
    <w:rsid w:val="5950C145"/>
    <w:rsid w:val="596BB2E9"/>
    <w:rsid w:val="59A4FACD"/>
    <w:rsid w:val="59AEBEED"/>
    <w:rsid w:val="5A3229C5"/>
    <w:rsid w:val="5ADFDAA6"/>
    <w:rsid w:val="5BE74F5A"/>
    <w:rsid w:val="5C1BE68A"/>
    <w:rsid w:val="5C75D796"/>
    <w:rsid w:val="5CCE75F1"/>
    <w:rsid w:val="5D63E6C7"/>
    <w:rsid w:val="5D6B1ECF"/>
    <w:rsid w:val="5D9519A4"/>
    <w:rsid w:val="5D9AABAC"/>
    <w:rsid w:val="5D9CC0FA"/>
    <w:rsid w:val="5DF8C460"/>
    <w:rsid w:val="5E4CEF11"/>
    <w:rsid w:val="5E54FDE4"/>
    <w:rsid w:val="5E72E69F"/>
    <w:rsid w:val="5ED04CFE"/>
    <w:rsid w:val="5EF637A5"/>
    <w:rsid w:val="5F2D856E"/>
    <w:rsid w:val="5F4309F3"/>
    <w:rsid w:val="5FB2B82B"/>
    <w:rsid w:val="5FBC32CD"/>
    <w:rsid w:val="5FD977E3"/>
    <w:rsid w:val="5FE53444"/>
    <w:rsid w:val="60C6C441"/>
    <w:rsid w:val="60C9C5F0"/>
    <w:rsid w:val="61ECC21E"/>
    <w:rsid w:val="621BF5C9"/>
    <w:rsid w:val="63E33AF8"/>
    <w:rsid w:val="64FF2899"/>
    <w:rsid w:val="65A61C9B"/>
    <w:rsid w:val="65C17C02"/>
    <w:rsid w:val="6618E0D5"/>
    <w:rsid w:val="6647597E"/>
    <w:rsid w:val="666E363C"/>
    <w:rsid w:val="6684C831"/>
    <w:rsid w:val="66A670D2"/>
    <w:rsid w:val="66DD8AB2"/>
    <w:rsid w:val="66E1DE4B"/>
    <w:rsid w:val="671295B7"/>
    <w:rsid w:val="67E79779"/>
    <w:rsid w:val="683E2F3E"/>
    <w:rsid w:val="68BE6FB9"/>
    <w:rsid w:val="68E487BA"/>
    <w:rsid w:val="68F03A95"/>
    <w:rsid w:val="68FAB8AC"/>
    <w:rsid w:val="6981C3FA"/>
    <w:rsid w:val="69DC3DD4"/>
    <w:rsid w:val="6A9DD889"/>
    <w:rsid w:val="6B3487E2"/>
    <w:rsid w:val="6B35CF44"/>
    <w:rsid w:val="6BFA1317"/>
    <w:rsid w:val="6C30DC04"/>
    <w:rsid w:val="6C7567D4"/>
    <w:rsid w:val="6CA22052"/>
    <w:rsid w:val="6CC59E82"/>
    <w:rsid w:val="6D0A52E1"/>
    <w:rsid w:val="6D3E3018"/>
    <w:rsid w:val="6D415151"/>
    <w:rsid w:val="6DBC23D4"/>
    <w:rsid w:val="6E1495D9"/>
    <w:rsid w:val="6E399156"/>
    <w:rsid w:val="6E58CCBF"/>
    <w:rsid w:val="6E607D34"/>
    <w:rsid w:val="6E9CBD4F"/>
    <w:rsid w:val="6EA2CD7F"/>
    <w:rsid w:val="6ED3EDAE"/>
    <w:rsid w:val="6F026657"/>
    <w:rsid w:val="6F2616AE"/>
    <w:rsid w:val="6F72789C"/>
    <w:rsid w:val="6FCE92D0"/>
    <w:rsid w:val="706FBE0F"/>
    <w:rsid w:val="707EFA48"/>
    <w:rsid w:val="70E4DB2A"/>
    <w:rsid w:val="70E6BCF9"/>
    <w:rsid w:val="70FA8231"/>
    <w:rsid w:val="71421469"/>
    <w:rsid w:val="71C53F9B"/>
    <w:rsid w:val="71FF97FE"/>
    <w:rsid w:val="72183EF5"/>
    <w:rsid w:val="7229662B"/>
    <w:rsid w:val="728DBEF8"/>
    <w:rsid w:val="72B60C4D"/>
    <w:rsid w:val="72FC5D64"/>
    <w:rsid w:val="7308D800"/>
    <w:rsid w:val="7351675F"/>
    <w:rsid w:val="73594927"/>
    <w:rsid w:val="73924D45"/>
    <w:rsid w:val="73954E02"/>
    <w:rsid w:val="73FAFEF7"/>
    <w:rsid w:val="742F9471"/>
    <w:rsid w:val="747E7B70"/>
    <w:rsid w:val="7481F2EC"/>
    <w:rsid w:val="74D351A2"/>
    <w:rsid w:val="74D98A4D"/>
    <w:rsid w:val="754CC7DD"/>
    <w:rsid w:val="7566AB9D"/>
    <w:rsid w:val="75777B4C"/>
    <w:rsid w:val="75BB434B"/>
    <w:rsid w:val="75C69E41"/>
    <w:rsid w:val="75E335CD"/>
    <w:rsid w:val="75E51A06"/>
    <w:rsid w:val="75EEE3F0"/>
    <w:rsid w:val="763892B2"/>
    <w:rsid w:val="769C6D40"/>
    <w:rsid w:val="76EB22F5"/>
    <w:rsid w:val="77024561"/>
    <w:rsid w:val="77134BAD"/>
    <w:rsid w:val="77A65265"/>
    <w:rsid w:val="77CA031B"/>
    <w:rsid w:val="77D9125E"/>
    <w:rsid w:val="78E99AD9"/>
    <w:rsid w:val="79204D89"/>
    <w:rsid w:val="794A265E"/>
    <w:rsid w:val="794A56D4"/>
    <w:rsid w:val="796FD466"/>
    <w:rsid w:val="797AB649"/>
    <w:rsid w:val="7A78736E"/>
    <w:rsid w:val="7A91EE7A"/>
    <w:rsid w:val="7AB2B28B"/>
    <w:rsid w:val="7AE0F9D5"/>
    <w:rsid w:val="7B2964AF"/>
    <w:rsid w:val="7BA996C1"/>
    <w:rsid w:val="7BD7C079"/>
    <w:rsid w:val="7C1B78E1"/>
    <w:rsid w:val="7C52E512"/>
    <w:rsid w:val="7C78E149"/>
    <w:rsid w:val="7C8EF1EA"/>
    <w:rsid w:val="7CC62697"/>
    <w:rsid w:val="7D02379D"/>
    <w:rsid w:val="7D449241"/>
    <w:rsid w:val="7DD30C30"/>
    <w:rsid w:val="7DFB2392"/>
    <w:rsid w:val="7E73F75C"/>
    <w:rsid w:val="7E74A251"/>
    <w:rsid w:val="7EAAC05A"/>
    <w:rsid w:val="7EBFDC64"/>
    <w:rsid w:val="7F20DDCC"/>
    <w:rsid w:val="7F3EFEB0"/>
    <w:rsid w:val="7F6D2850"/>
    <w:rsid w:val="7FFC2AE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F34B3"/>
  <w15:docId w15:val="{0CA66B52-A194-4370-A1BA-5A39A34A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BodyText"/>
    <w:qFormat/>
    <w:pPr>
      <w:numPr>
        <w:numId w:val="1"/>
      </w:numPr>
      <w:spacing w:before="280" w:after="280"/>
      <w:outlineLvl w:val="0"/>
    </w:pPr>
    <w:rPr>
      <w:rFonts w:ascii="Cambria" w:hAnsi="Cambria" w:cs="Cambria"/>
      <w:b/>
      <w:bCs/>
      <w:color w:val="365F91"/>
      <w:sz w:val="28"/>
      <w:szCs w:val="28"/>
      <w:lang w:val="x-none"/>
    </w:rPr>
  </w:style>
  <w:style w:type="paragraph" w:styleId="Heading2">
    <w:name w:val="heading 2"/>
    <w:basedOn w:val="Normal"/>
    <w:next w:val="Normal"/>
    <w:qFormat/>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Calibri" w:hAnsi="Times New Roman" w:cs="Times New Roman"/>
      <w:sz w:val="24"/>
      <w:szCs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color w:val="auto"/>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u w:val="none"/>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eastAsia="Times New Roman"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u w:val="none"/>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cs="Times New Roman"/>
    </w:rPr>
  </w:style>
  <w:style w:type="character" w:customStyle="1" w:styleId="WW8Num18z1">
    <w:name w:val="WW8Num18z1"/>
    <w:qFormat/>
    <w:rPr>
      <w:rFonts w:cs="Times New Roman"/>
    </w:rPr>
  </w:style>
  <w:style w:type="character" w:customStyle="1" w:styleId="WW8Num19z0">
    <w:name w:val="WW8Num19z0"/>
    <w:qFormat/>
    <w:rPr>
      <w:rFonts w:cs="Times New Roman"/>
    </w:rPr>
  </w:style>
  <w:style w:type="character" w:customStyle="1" w:styleId="WW8Num19z1">
    <w:name w:val="WW8Num19z1"/>
    <w:qFormat/>
    <w:rPr>
      <w:rFonts w:cs="Times New Roman"/>
    </w:rPr>
  </w:style>
  <w:style w:type="character" w:customStyle="1" w:styleId="WW8Num20z0">
    <w:name w:val="WW8Num20z0"/>
    <w:qFormat/>
    <w:rPr>
      <w:u w:val="none"/>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libri" w:eastAsia="Calibri" w:hAnsi="Calibri"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u w:val="none"/>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cs="Times New Roman"/>
    </w:rPr>
  </w:style>
  <w:style w:type="character" w:customStyle="1" w:styleId="WW8Num26z0">
    <w:name w:val="WW8Num26z0"/>
    <w:qFormat/>
    <w:rPr>
      <w:rFonts w:ascii="Symbol" w:hAnsi="Symbol" w:cs="Symbol"/>
      <w:sz w:val="20"/>
    </w:rPr>
  </w:style>
  <w:style w:type="character" w:customStyle="1" w:styleId="WW8Num26z1">
    <w:name w:val="WW8Num26z1"/>
    <w:qFormat/>
    <w:rPr>
      <w:rFonts w:ascii="Courier New" w:hAnsi="Courier New" w:cs="Courier New"/>
      <w:sz w:val="20"/>
    </w:rPr>
  </w:style>
  <w:style w:type="character" w:customStyle="1" w:styleId="WW8Num26z2">
    <w:name w:val="WW8Num26z2"/>
    <w:qFormat/>
    <w:rPr>
      <w:rFonts w:ascii="Wingdings" w:hAnsi="Wingdings" w:cs="Wingdings"/>
      <w:sz w:val="20"/>
    </w:rPr>
  </w:style>
  <w:style w:type="character" w:customStyle="1" w:styleId="Heading1Char">
    <w:name w:val="Heading 1 Char"/>
    <w:qFormat/>
    <w:rPr>
      <w:rFonts w:ascii="Cambria" w:hAnsi="Cambria" w:cs="Times New Roman"/>
      <w:b/>
      <w:bCs/>
      <w:color w:val="365F91"/>
      <w:sz w:val="28"/>
      <w:szCs w:val="28"/>
    </w:rPr>
  </w:style>
  <w:style w:type="character" w:customStyle="1" w:styleId="Internetasaite">
    <w:name w:val="Interneta saite"/>
    <w:rPr>
      <w:rFonts w:cs="Times New Roman"/>
      <w:color w:val="0000FF"/>
      <w:u w:val="single"/>
    </w:rPr>
  </w:style>
  <w:style w:type="character" w:styleId="FollowedHyperlink">
    <w:name w:val="FollowedHyperlink"/>
    <w:qFormat/>
    <w:rPr>
      <w:rFonts w:cs="Times New Roman"/>
      <w:color w:val="800080"/>
      <w:u w:val="single"/>
    </w:rPr>
  </w:style>
  <w:style w:type="character" w:customStyle="1" w:styleId="z-TopofFormChar">
    <w:name w:val="z-Top of Form Char"/>
    <w:qFormat/>
    <w:rPr>
      <w:rFonts w:ascii="Arial" w:hAnsi="Arial" w:cs="Arial"/>
      <w:vanish/>
      <w:sz w:val="16"/>
      <w:szCs w:val="16"/>
    </w:rPr>
  </w:style>
  <w:style w:type="character" w:customStyle="1" w:styleId="z-BottomofFormChar">
    <w:name w:val="z-Bottom of Form Char"/>
    <w:qFormat/>
    <w:rPr>
      <w:rFonts w:ascii="Arial" w:hAnsi="Arial" w:cs="Arial"/>
      <w:vanish/>
      <w:sz w:val="16"/>
      <w:szCs w:val="16"/>
    </w:rPr>
  </w:style>
  <w:style w:type="character" w:styleId="Strong">
    <w:name w:val="Strong"/>
    <w:uiPriority w:val="22"/>
    <w:qFormat/>
    <w:rPr>
      <w:rFonts w:cs="Times New Roman"/>
      <w:b/>
      <w:bCs/>
    </w:rPr>
  </w:style>
  <w:style w:type="character" w:customStyle="1" w:styleId="th1">
    <w:name w:val="th1"/>
    <w:qFormat/>
    <w:rPr>
      <w:rFonts w:cs="Times New Roman"/>
      <w:b/>
      <w:bCs/>
      <w:color w:val="333333"/>
    </w:rPr>
  </w:style>
  <w:style w:type="character" w:customStyle="1" w:styleId="Uzsvars">
    <w:name w:val="Uzsvars"/>
    <w:qFormat/>
    <w:rPr>
      <w:rFonts w:cs="Times New Roman"/>
      <w:i/>
      <w:iCs/>
    </w:rPr>
  </w:style>
  <w:style w:type="character" w:customStyle="1" w:styleId="BalloonTextChar">
    <w:name w:val="Balloon Text Char"/>
    <w:qFormat/>
    <w:rPr>
      <w:rFonts w:ascii="Tahoma" w:hAnsi="Tahoma" w:cs="Tahoma"/>
      <w:sz w:val="16"/>
      <w:szCs w:val="16"/>
    </w:rPr>
  </w:style>
  <w:style w:type="character" w:customStyle="1" w:styleId="BodyTextIndent3Char">
    <w:name w:val="Body Text Indent 3 Char"/>
    <w:qFormat/>
    <w:rPr>
      <w:rFonts w:cs="Times New Roman"/>
      <w:sz w:val="28"/>
      <w:szCs w:val="28"/>
      <w:lang w:val="lv-LV"/>
    </w:rPr>
  </w:style>
  <w:style w:type="character" w:customStyle="1" w:styleId="HeaderChar">
    <w:name w:val="Header Char"/>
    <w:qFormat/>
    <w:rPr>
      <w:rFonts w:cs="Times New Roman"/>
      <w:sz w:val="24"/>
      <w:szCs w:val="24"/>
      <w:lang w:val="lv-LV"/>
    </w:rPr>
  </w:style>
  <w:style w:type="character" w:styleId="PageNumber">
    <w:name w:val="page number"/>
    <w:qFormat/>
    <w:rPr>
      <w:rFonts w:cs="Times New Roman"/>
    </w:rPr>
  </w:style>
  <w:style w:type="character" w:customStyle="1" w:styleId="FooterChar">
    <w:name w:val="Footer Char"/>
    <w:qFormat/>
    <w:rPr>
      <w:rFonts w:cs="Times New Roman"/>
      <w:sz w:val="24"/>
      <w:szCs w:val="24"/>
      <w:lang w:val="lv-LV"/>
    </w:rPr>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customStyle="1" w:styleId="italic">
    <w:name w:val="italic"/>
    <w:qFormat/>
  </w:style>
  <w:style w:type="character" w:customStyle="1" w:styleId="ListParagraphChar">
    <w:name w:val="List Paragraph Char"/>
    <w:qFormat/>
    <w:rPr>
      <w:rFonts w:ascii="Calibri" w:hAnsi="Calibri" w:cs="Calibri"/>
      <w:sz w:val="22"/>
      <w:szCs w:val="22"/>
    </w:rPr>
  </w:style>
  <w:style w:type="character" w:customStyle="1" w:styleId="FootnoteTextChar">
    <w:name w:val="Footnote Text Char"/>
    <w:uiPriority w:val="99"/>
    <w:qFormat/>
    <w:rPr>
      <w:rFonts w:ascii="Calibri" w:eastAsia="Calibri" w:hAnsi="Calibri" w:cs="Calibri"/>
      <w:lang w:val="en-US"/>
    </w:rPr>
  </w:style>
  <w:style w:type="character" w:customStyle="1" w:styleId="Vresrakstzmes">
    <w:name w:val="Vēres rakstzīmes"/>
    <w:qFormat/>
    <w:rPr>
      <w:vertAlign w:val="superscript"/>
    </w:rPr>
  </w:style>
  <w:style w:type="character" w:customStyle="1" w:styleId="spelle">
    <w:name w:val="spelle"/>
    <w:qFormat/>
  </w:style>
  <w:style w:type="character" w:customStyle="1" w:styleId="BodyTextChar">
    <w:name w:val="Body Text Char"/>
    <w:qFormat/>
    <w:rPr>
      <w:sz w:val="24"/>
      <w:szCs w:val="24"/>
    </w:rPr>
  </w:style>
  <w:style w:type="character" w:customStyle="1" w:styleId="Heading2Char">
    <w:name w:val="Heading 2 Char"/>
    <w:qFormat/>
    <w:rPr>
      <w:rFonts w:ascii="Calibri Light" w:eastAsia="Times New Roman" w:hAnsi="Calibri Light" w:cs="Times New Roman"/>
      <w:b/>
      <w:bCs/>
      <w:i/>
      <w:iCs/>
      <w:sz w:val="28"/>
      <w:szCs w:val="28"/>
    </w:rPr>
  </w:style>
  <w:style w:type="character" w:customStyle="1" w:styleId="Heading3Char">
    <w:name w:val="Heading 3 Char"/>
    <w:qFormat/>
    <w:rPr>
      <w:rFonts w:ascii="Calibri Light" w:eastAsia="Times New Roman" w:hAnsi="Calibri Light" w:cs="Times New Roman"/>
      <w:b/>
      <w:bCs/>
      <w:sz w:val="26"/>
      <w:szCs w:val="26"/>
    </w:rPr>
  </w:style>
  <w:style w:type="character" w:customStyle="1" w:styleId="ListLabel12">
    <w:name w:val="ListLabel 12"/>
    <w:qFormat/>
    <w:rPr>
      <w:sz w:val="28"/>
      <w:szCs w:val="28"/>
    </w:rPr>
  </w:style>
  <w:style w:type="character" w:customStyle="1" w:styleId="Vresenkurs">
    <w:name w:val="Vēres enkurs"/>
    <w:rPr>
      <w:vertAlign w:val="superscript"/>
    </w:rPr>
  </w:style>
  <w:style w:type="character" w:customStyle="1" w:styleId="FootnoteCharacters">
    <w:name w:val="Footnote Characters"/>
    <w:qFormat/>
    <w:rPr>
      <w:vertAlign w:val="superscript"/>
    </w:rPr>
  </w:style>
  <w:style w:type="character" w:customStyle="1" w:styleId="Beiguvresenkurs">
    <w:name w:val="Beigu vēres enkurs"/>
    <w:rPr>
      <w:vertAlign w:val="superscript"/>
    </w:rPr>
  </w:style>
  <w:style w:type="character" w:customStyle="1" w:styleId="EndnoteCharacters">
    <w:name w:val="Endnote Characters"/>
    <w:qFormat/>
    <w:rPr>
      <w:vertAlign w:val="superscript"/>
    </w:rPr>
  </w:style>
  <w:style w:type="character" w:customStyle="1" w:styleId="Beiguvresrakstzme">
    <w:name w:val="Beigu vēres rakstzīme"/>
    <w:qFormat/>
  </w:style>
  <w:style w:type="character" w:customStyle="1" w:styleId="ListLabel13">
    <w:name w:val="ListLabel 13"/>
    <w:qFormat/>
    <w:rPr>
      <w:rFonts w:cs="Times New Roman"/>
      <w:sz w:val="24"/>
      <w:szCs w:val="24"/>
    </w:rPr>
  </w:style>
  <w:style w:type="character" w:customStyle="1" w:styleId="ListLabel14">
    <w:name w:val="ListLabel 14"/>
    <w:qFormat/>
    <w:rPr>
      <w:u w:val="none"/>
    </w:rPr>
  </w:style>
  <w:style w:type="character" w:customStyle="1" w:styleId="ListLabel15">
    <w:name w:val="ListLabel 15"/>
    <w:qFormat/>
  </w:style>
  <w:style w:type="character" w:customStyle="1" w:styleId="ListLabel16">
    <w:name w:val="ListLabel 16"/>
    <w:qFormat/>
    <w:rPr>
      <w:shd w:val="clear" w:color="auto" w:fill="FFFFFF"/>
    </w:rPr>
  </w:style>
  <w:style w:type="character" w:customStyle="1" w:styleId="ListLabel17">
    <w:name w:val="ListLabel 17"/>
    <w:qFormat/>
    <w:rPr>
      <w:bCs/>
    </w:rPr>
  </w:style>
  <w:style w:type="character" w:customStyle="1" w:styleId="ListLabel18">
    <w:name w:val="ListLabel 18"/>
    <w:qFormat/>
    <w:rPr>
      <w:color w:val="00859B"/>
    </w:rPr>
  </w:style>
  <w:style w:type="character" w:customStyle="1" w:styleId="ListLabel19">
    <w:name w:val="ListLabel 19"/>
    <w:qFormat/>
    <w:rPr>
      <w:rFonts w:eastAsia="Calibri"/>
      <w:color w:val="0563C1"/>
      <w:lang w:eastAsia="en-US"/>
    </w:rPr>
  </w:style>
  <w:style w:type="character" w:customStyle="1" w:styleId="ListLabel20">
    <w:name w:val="ListLabel 20"/>
    <w:qFormat/>
    <w:rPr>
      <w:rFonts w:cs="Times New Roman"/>
      <w:sz w:val="24"/>
      <w:szCs w:val="24"/>
    </w:rPr>
  </w:style>
  <w:style w:type="character" w:customStyle="1" w:styleId="ListLabel21">
    <w:name w:val="ListLabel 21"/>
    <w:qFormat/>
    <w:rPr>
      <w:u w:val="none"/>
    </w:rPr>
  </w:style>
  <w:style w:type="character" w:customStyle="1" w:styleId="ListLabel22">
    <w:name w:val="ListLabel 22"/>
    <w:qFormat/>
  </w:style>
  <w:style w:type="character" w:customStyle="1" w:styleId="ListLabel23">
    <w:name w:val="ListLabel 23"/>
    <w:qFormat/>
    <w:rPr>
      <w:highlight w:val="white"/>
    </w:rPr>
  </w:style>
  <w:style w:type="character" w:customStyle="1" w:styleId="ListLabel24">
    <w:name w:val="ListLabel 24"/>
    <w:qFormat/>
    <w:rPr>
      <w:bCs/>
    </w:rPr>
  </w:style>
  <w:style w:type="character" w:customStyle="1" w:styleId="ListLabel25">
    <w:name w:val="ListLabel 25"/>
    <w:qFormat/>
    <w:rPr>
      <w:color w:val="00859B"/>
    </w:rPr>
  </w:style>
  <w:style w:type="character" w:customStyle="1" w:styleId="ListLabel26">
    <w:name w:val="ListLabel 26"/>
    <w:qFormat/>
    <w:rPr>
      <w:rFonts w:eastAsia="Calibri"/>
      <w:color w:val="0563C1"/>
      <w:lang w:eastAsia="en-US"/>
    </w:rPr>
  </w:style>
  <w:style w:type="character" w:customStyle="1" w:styleId="ListLabel27">
    <w:name w:val="ListLabel 27"/>
    <w:qFormat/>
    <w:rPr>
      <w:rFonts w:cs="Times New Roman"/>
      <w:sz w:val="24"/>
      <w:szCs w:val="24"/>
    </w:rPr>
  </w:style>
  <w:style w:type="character" w:customStyle="1" w:styleId="ListLabel28">
    <w:name w:val="ListLabel 28"/>
    <w:qFormat/>
    <w:rPr>
      <w:u w:val="none"/>
    </w:rPr>
  </w:style>
  <w:style w:type="character" w:customStyle="1" w:styleId="ListLabel29">
    <w:name w:val="ListLabel 29"/>
    <w:qFormat/>
  </w:style>
  <w:style w:type="character" w:customStyle="1" w:styleId="ListLabel30">
    <w:name w:val="ListLabel 30"/>
    <w:qFormat/>
    <w:rPr>
      <w:highlight w:val="white"/>
    </w:rPr>
  </w:style>
  <w:style w:type="character" w:customStyle="1" w:styleId="ListLabel31">
    <w:name w:val="ListLabel 31"/>
    <w:qFormat/>
    <w:rPr>
      <w:bCs/>
    </w:rPr>
  </w:style>
  <w:style w:type="character" w:customStyle="1" w:styleId="ListLabel32">
    <w:name w:val="ListLabel 32"/>
    <w:qFormat/>
    <w:rPr>
      <w:color w:val="00859B"/>
    </w:rPr>
  </w:style>
  <w:style w:type="character" w:customStyle="1" w:styleId="ListLabel33">
    <w:name w:val="ListLabel 33"/>
    <w:qFormat/>
    <w:rPr>
      <w:rFonts w:eastAsia="Calibri"/>
      <w:color w:val="0563C1"/>
      <w:lang w:eastAsia="en-US"/>
    </w:rPr>
  </w:style>
  <w:style w:type="character" w:customStyle="1" w:styleId="ListLabel34">
    <w:name w:val="ListLabel 34"/>
    <w:qFormat/>
    <w:rPr>
      <w:rFonts w:cs="Times New Roman"/>
      <w:sz w:val="24"/>
      <w:szCs w:val="24"/>
    </w:rPr>
  </w:style>
  <w:style w:type="character" w:customStyle="1" w:styleId="ListLabel35">
    <w:name w:val="ListLabel 35"/>
    <w:qFormat/>
    <w:rPr>
      <w:u w:val="none"/>
    </w:rPr>
  </w:style>
  <w:style w:type="character" w:customStyle="1" w:styleId="ListLabel36">
    <w:name w:val="ListLabel 36"/>
    <w:qFormat/>
  </w:style>
  <w:style w:type="character" w:customStyle="1" w:styleId="ListLabel37">
    <w:name w:val="ListLabel 37"/>
    <w:qFormat/>
    <w:rPr>
      <w:highlight w:val="white"/>
    </w:rPr>
  </w:style>
  <w:style w:type="character" w:customStyle="1" w:styleId="ListLabel38">
    <w:name w:val="ListLabel 38"/>
    <w:qFormat/>
    <w:rPr>
      <w:bCs/>
    </w:rPr>
  </w:style>
  <w:style w:type="character" w:customStyle="1" w:styleId="ListLabel39">
    <w:name w:val="ListLabel 39"/>
    <w:qFormat/>
    <w:rPr>
      <w:color w:val="00859B"/>
    </w:rPr>
  </w:style>
  <w:style w:type="character" w:customStyle="1" w:styleId="ListLabel40">
    <w:name w:val="ListLabel 40"/>
    <w:qFormat/>
    <w:rPr>
      <w:rFonts w:eastAsia="Calibri"/>
      <w:color w:val="0563C1"/>
      <w:lang w:eastAsia="en-US"/>
    </w:rPr>
  </w:style>
  <w:style w:type="character" w:customStyle="1" w:styleId="ListLabel41">
    <w:name w:val="ListLabel 41"/>
    <w:qFormat/>
    <w:rPr>
      <w:rFonts w:cs="Times New Roman"/>
      <w:sz w:val="24"/>
      <w:szCs w:val="24"/>
    </w:rPr>
  </w:style>
  <w:style w:type="character" w:customStyle="1" w:styleId="ListLabel42">
    <w:name w:val="ListLabel 42"/>
    <w:qFormat/>
    <w:rPr>
      <w:u w:val="none"/>
    </w:rPr>
  </w:style>
  <w:style w:type="character" w:customStyle="1" w:styleId="ListLabel43">
    <w:name w:val="ListLabel 43"/>
    <w:qFormat/>
  </w:style>
  <w:style w:type="character" w:customStyle="1" w:styleId="ListLabel44">
    <w:name w:val="ListLabel 44"/>
    <w:qFormat/>
    <w:rPr>
      <w:highlight w:val="white"/>
    </w:rPr>
  </w:style>
  <w:style w:type="character" w:customStyle="1" w:styleId="ListLabel45">
    <w:name w:val="ListLabel 45"/>
    <w:qFormat/>
    <w:rPr>
      <w:bCs/>
    </w:rPr>
  </w:style>
  <w:style w:type="character" w:customStyle="1" w:styleId="ListLabel46">
    <w:name w:val="ListLabel 46"/>
    <w:qFormat/>
    <w:rPr>
      <w:color w:val="00859B"/>
    </w:rPr>
  </w:style>
  <w:style w:type="character" w:customStyle="1" w:styleId="ListLabel47">
    <w:name w:val="ListLabel 47"/>
    <w:qFormat/>
    <w:rPr>
      <w:rFonts w:eastAsia="Calibri"/>
      <w:color w:val="0563C1"/>
      <w:lang w:eastAsia="en-US"/>
    </w:rPr>
  </w:style>
  <w:style w:type="character" w:customStyle="1" w:styleId="ListLabel48">
    <w:name w:val="ListLabel 48"/>
    <w:qFormat/>
    <w:rPr>
      <w:rFonts w:cs="Times New Roman"/>
      <w:sz w:val="24"/>
      <w:szCs w:val="24"/>
    </w:rPr>
  </w:style>
  <w:style w:type="character" w:customStyle="1" w:styleId="ListLabel49">
    <w:name w:val="ListLabel 49"/>
    <w:qFormat/>
    <w:rPr>
      <w:u w:val="none"/>
    </w:rPr>
  </w:style>
  <w:style w:type="character" w:customStyle="1" w:styleId="ListLabel50">
    <w:name w:val="ListLabel 50"/>
    <w:qFormat/>
  </w:style>
  <w:style w:type="character" w:customStyle="1" w:styleId="ListLabel51">
    <w:name w:val="ListLabel 51"/>
    <w:qFormat/>
    <w:rPr>
      <w:highlight w:val="white"/>
    </w:rPr>
  </w:style>
  <w:style w:type="character" w:customStyle="1" w:styleId="ListLabel52">
    <w:name w:val="ListLabel 52"/>
    <w:qFormat/>
    <w:rPr>
      <w:bCs/>
    </w:rPr>
  </w:style>
  <w:style w:type="character" w:customStyle="1" w:styleId="ListLabel53">
    <w:name w:val="ListLabel 53"/>
    <w:qFormat/>
    <w:rPr>
      <w:color w:val="00859B"/>
    </w:rPr>
  </w:style>
  <w:style w:type="character" w:customStyle="1" w:styleId="ListLabel54">
    <w:name w:val="ListLabel 54"/>
    <w:qFormat/>
    <w:rPr>
      <w:rFonts w:eastAsia="Calibri"/>
      <w:color w:val="0563C1"/>
      <w:lang w:eastAsia="en-US"/>
    </w:rPr>
  </w:style>
  <w:style w:type="character" w:customStyle="1" w:styleId="ListLabel55">
    <w:name w:val="ListLabel 55"/>
    <w:qFormat/>
    <w:rPr>
      <w:rFonts w:cs="Times New Roman"/>
      <w:sz w:val="24"/>
      <w:szCs w:val="24"/>
    </w:rPr>
  </w:style>
  <w:style w:type="character" w:customStyle="1" w:styleId="ListLabel56">
    <w:name w:val="ListLabel 56"/>
    <w:qFormat/>
    <w:rPr>
      <w:u w:val="none"/>
    </w:rPr>
  </w:style>
  <w:style w:type="character" w:customStyle="1" w:styleId="ListLabel57">
    <w:name w:val="ListLabel 57"/>
    <w:qFormat/>
  </w:style>
  <w:style w:type="character" w:customStyle="1" w:styleId="ListLabel58">
    <w:name w:val="ListLabel 58"/>
    <w:qFormat/>
    <w:rPr>
      <w:highlight w:val="white"/>
    </w:rPr>
  </w:style>
  <w:style w:type="character" w:customStyle="1" w:styleId="ListLabel59">
    <w:name w:val="ListLabel 59"/>
    <w:qFormat/>
    <w:rPr>
      <w:bCs/>
    </w:rPr>
  </w:style>
  <w:style w:type="character" w:customStyle="1" w:styleId="ListLabel60">
    <w:name w:val="ListLabel 60"/>
    <w:qFormat/>
    <w:rPr>
      <w:color w:val="00859B"/>
    </w:rPr>
  </w:style>
  <w:style w:type="character" w:customStyle="1" w:styleId="ListLabel61">
    <w:name w:val="ListLabel 61"/>
    <w:qFormat/>
    <w:rPr>
      <w:rFonts w:eastAsia="Calibri"/>
      <w:color w:val="0563C1"/>
      <w:lang w:eastAsia="en-US"/>
    </w:rPr>
  </w:style>
  <w:style w:type="character" w:customStyle="1" w:styleId="ListLabel62">
    <w:name w:val="ListLabel 62"/>
    <w:qFormat/>
    <w:rPr>
      <w:rFonts w:cs="Times New Roman"/>
      <w:sz w:val="24"/>
      <w:szCs w:val="24"/>
    </w:rPr>
  </w:style>
  <w:style w:type="character" w:customStyle="1" w:styleId="ListLabel63">
    <w:name w:val="ListLabel 63"/>
    <w:qFormat/>
    <w:rPr>
      <w:u w:val="none"/>
    </w:rPr>
  </w:style>
  <w:style w:type="character" w:customStyle="1" w:styleId="ListLabel64">
    <w:name w:val="ListLabel 64"/>
    <w:qFormat/>
  </w:style>
  <w:style w:type="character" w:customStyle="1" w:styleId="ListLabel65">
    <w:name w:val="ListLabel 65"/>
    <w:qFormat/>
    <w:rPr>
      <w:highlight w:val="white"/>
    </w:rPr>
  </w:style>
  <w:style w:type="character" w:customStyle="1" w:styleId="ListLabel66">
    <w:name w:val="ListLabel 66"/>
    <w:qFormat/>
    <w:rPr>
      <w:bCs/>
    </w:rPr>
  </w:style>
  <w:style w:type="character" w:customStyle="1" w:styleId="ListLabel67">
    <w:name w:val="ListLabel 67"/>
    <w:qFormat/>
    <w:rPr>
      <w:color w:val="00859B"/>
    </w:rPr>
  </w:style>
  <w:style w:type="character" w:customStyle="1" w:styleId="ListLabel68">
    <w:name w:val="ListLabel 68"/>
    <w:qFormat/>
    <w:rPr>
      <w:rFonts w:eastAsia="Calibri"/>
      <w:color w:val="0563C1"/>
      <w:lang w:eastAsia="en-US"/>
    </w:rPr>
  </w:style>
  <w:style w:type="character" w:customStyle="1" w:styleId="ListLabel69">
    <w:name w:val="ListLabel 69"/>
    <w:qFormat/>
    <w:rPr>
      <w:rFonts w:cs="Times New Roman"/>
      <w:sz w:val="24"/>
      <w:szCs w:val="24"/>
    </w:rPr>
  </w:style>
  <w:style w:type="character" w:customStyle="1" w:styleId="ListLabel70">
    <w:name w:val="ListLabel 70"/>
    <w:qFormat/>
    <w:rPr>
      <w:u w:val="none"/>
    </w:rPr>
  </w:style>
  <w:style w:type="character" w:customStyle="1" w:styleId="ListLabel71">
    <w:name w:val="ListLabel 71"/>
    <w:qFormat/>
  </w:style>
  <w:style w:type="character" w:customStyle="1" w:styleId="ListLabel72">
    <w:name w:val="ListLabel 72"/>
    <w:qFormat/>
    <w:rPr>
      <w:highlight w:val="white"/>
    </w:rPr>
  </w:style>
  <w:style w:type="character" w:customStyle="1" w:styleId="ListLabel73">
    <w:name w:val="ListLabel 73"/>
    <w:qFormat/>
    <w:rPr>
      <w:bCs/>
    </w:rPr>
  </w:style>
  <w:style w:type="character" w:customStyle="1" w:styleId="ListLabel74">
    <w:name w:val="ListLabel 74"/>
    <w:qFormat/>
    <w:rPr>
      <w:color w:val="00859B"/>
    </w:rPr>
  </w:style>
  <w:style w:type="character" w:customStyle="1" w:styleId="ListLabel75">
    <w:name w:val="ListLabel 75"/>
    <w:qFormat/>
    <w:rPr>
      <w:rFonts w:eastAsia="Calibri"/>
      <w:color w:val="0563C1"/>
      <w:lang w:eastAsia="en-US"/>
    </w:rPr>
  </w:style>
  <w:style w:type="character" w:customStyle="1" w:styleId="ListLabel76">
    <w:name w:val="ListLabel 76"/>
    <w:qFormat/>
    <w:rPr>
      <w:rFonts w:cs="Times New Roman"/>
      <w:sz w:val="24"/>
      <w:szCs w:val="24"/>
    </w:rPr>
  </w:style>
  <w:style w:type="character" w:customStyle="1" w:styleId="ListLabel77">
    <w:name w:val="ListLabel 77"/>
    <w:qFormat/>
    <w:rPr>
      <w:u w:val="none"/>
    </w:rPr>
  </w:style>
  <w:style w:type="character" w:customStyle="1" w:styleId="ListLabel78">
    <w:name w:val="ListLabel 78"/>
    <w:qFormat/>
  </w:style>
  <w:style w:type="character" w:customStyle="1" w:styleId="ListLabel79">
    <w:name w:val="ListLabel 79"/>
    <w:qFormat/>
    <w:rPr>
      <w:highlight w:val="white"/>
    </w:rPr>
  </w:style>
  <w:style w:type="character" w:customStyle="1" w:styleId="ListLabel80">
    <w:name w:val="ListLabel 80"/>
    <w:qFormat/>
    <w:rPr>
      <w:bCs/>
    </w:rPr>
  </w:style>
  <w:style w:type="character" w:customStyle="1" w:styleId="ListLabel81">
    <w:name w:val="ListLabel 81"/>
    <w:qFormat/>
    <w:rPr>
      <w:color w:val="00859B"/>
    </w:rPr>
  </w:style>
  <w:style w:type="character" w:customStyle="1" w:styleId="ListLabel82">
    <w:name w:val="ListLabel 82"/>
    <w:qFormat/>
    <w:rPr>
      <w:rFonts w:eastAsia="Calibri"/>
      <w:color w:val="0563C1"/>
      <w:lang w:eastAsia="en-US"/>
    </w:rPr>
  </w:style>
  <w:style w:type="character" w:customStyle="1" w:styleId="ListLabel83">
    <w:name w:val="ListLabel 83"/>
    <w:qFormat/>
    <w:rPr>
      <w:rFonts w:cs="Times New Roman"/>
      <w:sz w:val="24"/>
      <w:szCs w:val="24"/>
    </w:rPr>
  </w:style>
  <w:style w:type="character" w:customStyle="1" w:styleId="ListLabel84">
    <w:name w:val="ListLabel 84"/>
    <w:qFormat/>
    <w:rPr>
      <w:u w:val="none"/>
    </w:rPr>
  </w:style>
  <w:style w:type="character" w:customStyle="1" w:styleId="ListLabel85">
    <w:name w:val="ListLabel 85"/>
    <w:qFormat/>
  </w:style>
  <w:style w:type="character" w:customStyle="1" w:styleId="ListLabel86">
    <w:name w:val="ListLabel 86"/>
    <w:qFormat/>
    <w:rPr>
      <w:highlight w:val="white"/>
    </w:rPr>
  </w:style>
  <w:style w:type="character" w:customStyle="1" w:styleId="ListLabel87">
    <w:name w:val="ListLabel 87"/>
    <w:qFormat/>
    <w:rPr>
      <w:bCs/>
    </w:rPr>
  </w:style>
  <w:style w:type="character" w:customStyle="1" w:styleId="ListLabel88">
    <w:name w:val="ListLabel 88"/>
    <w:qFormat/>
    <w:rPr>
      <w:color w:val="00859B"/>
    </w:rPr>
  </w:style>
  <w:style w:type="character" w:customStyle="1" w:styleId="ListLabel89">
    <w:name w:val="ListLabel 89"/>
    <w:qFormat/>
    <w:rPr>
      <w:rFonts w:eastAsia="Calibri"/>
      <w:color w:val="0563C1"/>
      <w:lang w:eastAsia="en-US"/>
    </w:rPr>
  </w:style>
  <w:style w:type="character" w:customStyle="1" w:styleId="ListLabel90">
    <w:name w:val="ListLabel 90"/>
    <w:qFormat/>
    <w:rPr>
      <w:rFonts w:cs="Times New Roman"/>
      <w:sz w:val="24"/>
      <w:szCs w:val="24"/>
    </w:rPr>
  </w:style>
  <w:style w:type="character" w:customStyle="1" w:styleId="ListLabel91">
    <w:name w:val="ListLabel 91"/>
    <w:qFormat/>
    <w:rPr>
      <w:u w:val="none"/>
    </w:rPr>
  </w:style>
  <w:style w:type="character" w:customStyle="1" w:styleId="ListLabel92">
    <w:name w:val="ListLabel 92"/>
    <w:qFormat/>
  </w:style>
  <w:style w:type="character" w:customStyle="1" w:styleId="ListLabel93">
    <w:name w:val="ListLabel 93"/>
    <w:qFormat/>
    <w:rPr>
      <w:highlight w:val="white"/>
    </w:rPr>
  </w:style>
  <w:style w:type="character" w:customStyle="1" w:styleId="ListLabel94">
    <w:name w:val="ListLabel 94"/>
    <w:qFormat/>
    <w:rPr>
      <w:bCs/>
    </w:rPr>
  </w:style>
  <w:style w:type="character" w:customStyle="1" w:styleId="ListLabel95">
    <w:name w:val="ListLabel 95"/>
    <w:qFormat/>
    <w:rPr>
      <w:color w:val="00859B"/>
    </w:rPr>
  </w:style>
  <w:style w:type="character" w:customStyle="1" w:styleId="ListLabel96">
    <w:name w:val="ListLabel 96"/>
    <w:qFormat/>
    <w:rPr>
      <w:rFonts w:eastAsia="Calibri"/>
      <w:color w:val="0563C1"/>
      <w:lang w:eastAsia="en-US"/>
    </w:rPr>
  </w:style>
  <w:style w:type="character" w:customStyle="1" w:styleId="ListLabel97">
    <w:name w:val="ListLabel 97"/>
    <w:qFormat/>
    <w:rPr>
      <w:rFonts w:cs="Times New Roman"/>
      <w:sz w:val="24"/>
      <w:szCs w:val="24"/>
    </w:rPr>
  </w:style>
  <w:style w:type="character" w:customStyle="1" w:styleId="ListLabel98">
    <w:name w:val="ListLabel 98"/>
    <w:qFormat/>
    <w:rPr>
      <w:u w:val="none"/>
    </w:rPr>
  </w:style>
  <w:style w:type="character" w:customStyle="1" w:styleId="ListLabel99">
    <w:name w:val="ListLabel 99"/>
    <w:qFormat/>
  </w:style>
  <w:style w:type="character" w:customStyle="1" w:styleId="ListLabel100">
    <w:name w:val="ListLabel 100"/>
    <w:qFormat/>
    <w:rPr>
      <w:highlight w:val="white"/>
    </w:rPr>
  </w:style>
  <w:style w:type="character" w:customStyle="1" w:styleId="ListLabel101">
    <w:name w:val="ListLabel 101"/>
    <w:qFormat/>
    <w:rPr>
      <w:bCs/>
    </w:rPr>
  </w:style>
  <w:style w:type="character" w:customStyle="1" w:styleId="ListLabel102">
    <w:name w:val="ListLabel 102"/>
    <w:qFormat/>
    <w:rPr>
      <w:color w:val="00859B"/>
    </w:rPr>
  </w:style>
  <w:style w:type="character" w:customStyle="1" w:styleId="ListLabel103">
    <w:name w:val="ListLabel 103"/>
    <w:qFormat/>
    <w:rPr>
      <w:rFonts w:eastAsia="Calibri"/>
      <w:color w:val="0563C1"/>
      <w:lang w:eastAsia="en-US"/>
    </w:rPr>
  </w:style>
  <w:style w:type="paragraph" w:customStyle="1" w:styleId="Virsraksts">
    <w:name w:val="Virsraksts"/>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2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Rdtjs">
    <w:name w:val="Rādītājs"/>
    <w:basedOn w:val="Normal"/>
    <w:qFormat/>
    <w:pPr>
      <w:suppressLineNumbers/>
    </w:pPr>
    <w:rPr>
      <w:rFonts w:cs="Arial Unicode MS"/>
    </w:rPr>
  </w:style>
  <w:style w:type="paragraph" w:customStyle="1" w:styleId="h1">
    <w:name w:val="h1"/>
    <w:basedOn w:val="Normal"/>
    <w:qFormat/>
    <w:pPr>
      <w:spacing w:after="150"/>
    </w:pPr>
    <w:rPr>
      <w:color w:val="306060"/>
      <w:sz w:val="31"/>
      <w:szCs w:val="31"/>
    </w:rPr>
  </w:style>
  <w:style w:type="paragraph" w:customStyle="1" w:styleId="h2">
    <w:name w:val="h2"/>
    <w:basedOn w:val="Normal"/>
    <w:qFormat/>
    <w:pPr>
      <w:spacing w:before="280" w:after="280"/>
    </w:pPr>
    <w:rPr>
      <w:color w:val="306060"/>
    </w:rPr>
  </w:style>
  <w:style w:type="paragraph" w:customStyle="1" w:styleId="a">
    <w:name w:val="a"/>
    <w:basedOn w:val="Normal"/>
    <w:qFormat/>
    <w:pPr>
      <w:spacing w:before="280" w:after="280"/>
    </w:pPr>
    <w:rPr>
      <w:color w:val="306060"/>
    </w:rPr>
  </w:style>
  <w:style w:type="paragraph" w:customStyle="1" w:styleId="b">
    <w:name w:val="b"/>
    <w:basedOn w:val="Normal"/>
    <w:qFormat/>
    <w:pPr>
      <w:spacing w:before="280" w:after="280"/>
    </w:pPr>
    <w:rPr>
      <w:color w:val="306060"/>
    </w:rPr>
  </w:style>
  <w:style w:type="paragraph" w:customStyle="1" w:styleId="body">
    <w:name w:val="body"/>
    <w:basedOn w:val="Normal"/>
    <w:qFormat/>
    <w:pPr>
      <w:shd w:val="clear" w:color="auto" w:fill="C9E1DF"/>
      <w:spacing w:before="280" w:after="280"/>
    </w:pPr>
    <w:rPr>
      <w:rFonts w:ascii="Arial" w:hAnsi="Arial" w:cs="Arial"/>
      <w:color w:val="333333"/>
    </w:rPr>
  </w:style>
  <w:style w:type="paragraph" w:customStyle="1" w:styleId="button">
    <w:name w:val="button"/>
    <w:basedOn w:val="Normal"/>
    <w:qFormat/>
    <w:pPr>
      <w:spacing w:before="280" w:after="280"/>
    </w:pPr>
    <w:rPr>
      <w:color w:val="F0F8F8"/>
    </w:rPr>
  </w:style>
  <w:style w:type="paragraph" w:customStyle="1" w:styleId="radio">
    <w:name w:val="radio"/>
    <w:basedOn w:val="Normal"/>
    <w:qFormat/>
    <w:pPr>
      <w:spacing w:before="280" w:after="280"/>
    </w:pPr>
  </w:style>
  <w:style w:type="paragraph" w:customStyle="1" w:styleId="headcol">
    <w:name w:val="headcol"/>
    <w:basedOn w:val="Normal"/>
    <w:qFormat/>
    <w:pPr>
      <w:spacing w:before="280" w:after="280"/>
    </w:pPr>
    <w:rPr>
      <w:color w:val="F0F8F8"/>
    </w:rPr>
  </w:style>
  <w:style w:type="paragraph" w:customStyle="1" w:styleId="titlecol">
    <w:name w:val="titlecol"/>
    <w:basedOn w:val="Normal"/>
    <w:qFormat/>
    <w:pPr>
      <w:spacing w:before="280" w:after="280"/>
      <w:jc w:val="right"/>
    </w:pPr>
    <w:rPr>
      <w:b/>
      <w:bCs/>
    </w:rPr>
  </w:style>
  <w:style w:type="paragraph" w:customStyle="1" w:styleId="th">
    <w:name w:val="th"/>
    <w:basedOn w:val="Normal"/>
    <w:qFormat/>
    <w:pPr>
      <w:spacing w:before="280" w:after="280"/>
    </w:pPr>
    <w:rPr>
      <w:b/>
      <w:bCs/>
      <w:color w:val="333333"/>
    </w:rPr>
  </w:style>
  <w:style w:type="paragraph" w:customStyle="1" w:styleId="thr">
    <w:name w:val="thr"/>
    <w:basedOn w:val="Normal"/>
    <w:qFormat/>
    <w:pPr>
      <w:spacing w:before="280" w:after="280"/>
      <w:jc w:val="right"/>
    </w:pPr>
  </w:style>
  <w:style w:type="paragraph" w:customStyle="1" w:styleId="bdc">
    <w:name w:val="bdc"/>
    <w:basedOn w:val="Normal"/>
    <w:qFormat/>
    <w:pPr>
      <w:spacing w:before="280" w:after="280"/>
    </w:pPr>
    <w:rPr>
      <w:b/>
      <w:bCs/>
    </w:rPr>
  </w:style>
  <w:style w:type="paragraph" w:customStyle="1" w:styleId="input">
    <w:name w:val="input"/>
    <w:basedOn w:val="Normal"/>
    <w:qFormat/>
    <w:pPr>
      <w:shd w:val="clear" w:color="auto" w:fill="F0F8F8"/>
      <w:spacing w:before="280" w:after="280"/>
    </w:pPr>
    <w:rPr>
      <w:rFonts w:ascii="Arial" w:hAnsi="Arial" w:cs="Arial"/>
      <w:color w:val="333333"/>
    </w:rPr>
  </w:style>
  <w:style w:type="paragraph" w:customStyle="1" w:styleId="myinput">
    <w:name w:val="myinput"/>
    <w:basedOn w:val="Normal"/>
    <w:qFormat/>
    <w:pPr>
      <w:shd w:val="clear" w:color="auto" w:fill="F0F8F8"/>
      <w:spacing w:before="280" w:after="280"/>
    </w:pPr>
    <w:rPr>
      <w:rFonts w:ascii="Arial" w:hAnsi="Arial" w:cs="Arial"/>
      <w:color w:val="333333"/>
    </w:rPr>
  </w:style>
  <w:style w:type="paragraph" w:customStyle="1" w:styleId="select">
    <w:name w:val="select"/>
    <w:basedOn w:val="Normal"/>
    <w:qFormat/>
    <w:pPr>
      <w:shd w:val="clear" w:color="auto" w:fill="F0F8F8"/>
      <w:spacing w:before="280" w:after="280"/>
    </w:pPr>
    <w:rPr>
      <w:color w:val="333333"/>
    </w:rPr>
  </w:style>
  <w:style w:type="paragraph" w:customStyle="1" w:styleId="top1">
    <w:name w:val="top1"/>
    <w:basedOn w:val="Normal"/>
    <w:qFormat/>
    <w:pPr>
      <w:spacing w:before="280" w:after="280"/>
    </w:pPr>
  </w:style>
  <w:style w:type="paragraph" w:customStyle="1" w:styleId="logo">
    <w:name w:val="logo"/>
    <w:basedOn w:val="Normal"/>
    <w:qFormat/>
    <w:pPr>
      <w:spacing w:before="280" w:after="280"/>
    </w:pPr>
  </w:style>
  <w:style w:type="paragraph" w:customStyle="1" w:styleId="top2">
    <w:name w:val="top2"/>
    <w:basedOn w:val="Normal"/>
    <w:qFormat/>
    <w:pPr>
      <w:spacing w:before="280" w:after="280"/>
    </w:pPr>
  </w:style>
  <w:style w:type="paragraph" w:customStyle="1" w:styleId="hline">
    <w:name w:val="hline"/>
    <w:basedOn w:val="Normal"/>
    <w:qFormat/>
    <w:pPr>
      <w:spacing w:before="280" w:after="280"/>
    </w:pPr>
  </w:style>
  <w:style w:type="paragraph" w:customStyle="1" w:styleId="vline">
    <w:name w:val="vline"/>
    <w:basedOn w:val="Normal"/>
    <w:qFormat/>
    <w:pPr>
      <w:spacing w:before="280" w:after="280"/>
    </w:pPr>
  </w:style>
  <w:style w:type="paragraph" w:customStyle="1" w:styleId="zvabri">
    <w:name w:val="zvabri"/>
    <w:basedOn w:val="Normal"/>
    <w:qFormat/>
    <w:pPr>
      <w:spacing w:before="280" w:after="280"/>
    </w:pPr>
    <w:rPr>
      <w:color w:val="FF0000"/>
    </w:rPr>
  </w:style>
  <w:style w:type="paragraph" w:styleId="z-TopofForm">
    <w:name w:val="HTML Top of Form"/>
    <w:basedOn w:val="Normal"/>
    <w:next w:val="Normal"/>
    <w:qFormat/>
    <w:pPr>
      <w:pBdr>
        <w:bottom w:val="single" w:sz="6" w:space="1" w:color="000000"/>
      </w:pBdr>
      <w:jc w:val="center"/>
    </w:pPr>
    <w:rPr>
      <w:rFonts w:ascii="Arial" w:hAnsi="Arial" w:cs="Arial"/>
      <w:vanish/>
      <w:sz w:val="16"/>
      <w:szCs w:val="16"/>
      <w:lang w:val="x-none"/>
    </w:rPr>
  </w:style>
  <w:style w:type="paragraph" w:styleId="z-BottomofForm">
    <w:name w:val="HTML Bottom of Form"/>
    <w:basedOn w:val="Normal"/>
    <w:next w:val="Normal"/>
    <w:qFormat/>
    <w:pPr>
      <w:pBdr>
        <w:top w:val="single" w:sz="6" w:space="1" w:color="000000"/>
      </w:pBdr>
      <w:jc w:val="center"/>
    </w:pPr>
    <w:rPr>
      <w:rFonts w:ascii="Arial" w:hAnsi="Arial" w:cs="Arial"/>
      <w:vanish/>
      <w:sz w:val="16"/>
      <w:szCs w:val="16"/>
      <w:lang w:val="x-none"/>
    </w:rPr>
  </w:style>
  <w:style w:type="paragraph" w:styleId="NormalWeb">
    <w:name w:val="Normal (Web)"/>
    <w:basedOn w:val="Normal"/>
    <w:uiPriority w:val="99"/>
    <w:qFormat/>
    <w:pPr>
      <w:spacing w:before="280" w:after="280"/>
    </w:pPr>
  </w:style>
  <w:style w:type="paragraph" w:customStyle="1" w:styleId="naisf">
    <w:name w:val="naisf"/>
    <w:basedOn w:val="Normal"/>
    <w:qFormat/>
    <w:pPr>
      <w:spacing w:before="75" w:after="75"/>
      <w:ind w:firstLine="375"/>
      <w:jc w:val="both"/>
    </w:pPr>
  </w:style>
  <w:style w:type="paragraph" w:customStyle="1" w:styleId="nais1">
    <w:name w:val="nais1"/>
    <w:basedOn w:val="Normal"/>
    <w:qFormat/>
    <w:pPr>
      <w:spacing w:before="75" w:after="75"/>
      <w:ind w:left="450" w:firstLine="375"/>
      <w:jc w:val="both"/>
    </w:pPr>
  </w:style>
  <w:style w:type="paragraph" w:customStyle="1" w:styleId="nais2">
    <w:name w:val="nais2"/>
    <w:basedOn w:val="Normal"/>
    <w:qFormat/>
    <w:pPr>
      <w:spacing w:before="75" w:after="75"/>
      <w:ind w:left="900" w:firstLine="375"/>
      <w:jc w:val="both"/>
    </w:pPr>
  </w:style>
  <w:style w:type="paragraph" w:customStyle="1" w:styleId="naispant">
    <w:name w:val="naispant"/>
    <w:basedOn w:val="Normal"/>
    <w:qFormat/>
    <w:pPr>
      <w:spacing w:before="75" w:after="75"/>
      <w:ind w:left="375" w:firstLine="375"/>
      <w:jc w:val="both"/>
    </w:pPr>
    <w:rPr>
      <w:b/>
      <w:bCs/>
    </w:rPr>
  </w:style>
  <w:style w:type="paragraph" w:customStyle="1" w:styleId="naisvisr">
    <w:name w:val="naisvisr"/>
    <w:basedOn w:val="Normal"/>
    <w:qFormat/>
    <w:pPr>
      <w:spacing w:before="150" w:after="150"/>
      <w:jc w:val="center"/>
    </w:pPr>
    <w:rPr>
      <w:b/>
      <w:bCs/>
      <w:sz w:val="28"/>
      <w:szCs w:val="28"/>
    </w:rPr>
  </w:style>
  <w:style w:type="paragraph" w:customStyle="1" w:styleId="naisnod">
    <w:name w:val="naisnod"/>
    <w:basedOn w:val="Normal"/>
    <w:qFormat/>
    <w:pPr>
      <w:spacing w:before="150" w:after="150"/>
      <w:jc w:val="center"/>
    </w:pPr>
    <w:rPr>
      <w:b/>
      <w:bCs/>
    </w:rPr>
  </w:style>
  <w:style w:type="paragraph" w:customStyle="1" w:styleId="naislab">
    <w:name w:val="naislab"/>
    <w:basedOn w:val="Normal"/>
    <w:qFormat/>
    <w:pPr>
      <w:spacing w:before="75" w:after="75"/>
      <w:jc w:val="right"/>
    </w:pPr>
  </w:style>
  <w:style w:type="paragraph" w:customStyle="1" w:styleId="naiskr">
    <w:name w:val="naiskr"/>
    <w:basedOn w:val="Normal"/>
    <w:qFormat/>
    <w:pPr>
      <w:spacing w:before="75" w:after="75"/>
    </w:pPr>
  </w:style>
  <w:style w:type="paragraph" w:customStyle="1" w:styleId="naisc">
    <w:name w:val="naisc"/>
    <w:basedOn w:val="Normal"/>
    <w:qFormat/>
    <w:pPr>
      <w:spacing w:before="75" w:after="75"/>
      <w:jc w:val="center"/>
    </w:pPr>
  </w:style>
  <w:style w:type="paragraph" w:styleId="BalloonText">
    <w:name w:val="Balloon Text"/>
    <w:basedOn w:val="Normal"/>
    <w:qFormat/>
    <w:rPr>
      <w:rFonts w:ascii="Tahoma" w:hAnsi="Tahoma" w:cs="Tahoma"/>
      <w:sz w:val="16"/>
      <w:szCs w:val="16"/>
      <w:lang w:val="x-none"/>
    </w:rPr>
  </w:style>
  <w:style w:type="paragraph" w:styleId="BodyTextIndent3">
    <w:name w:val="Body Text Indent 3"/>
    <w:basedOn w:val="Normal"/>
    <w:qFormat/>
    <w:pPr>
      <w:ind w:firstLine="709"/>
      <w:jc w:val="both"/>
    </w:pPr>
    <w:rPr>
      <w:sz w:val="28"/>
      <w:szCs w:val="28"/>
    </w:rPr>
  </w:style>
  <w:style w:type="paragraph" w:styleId="Header">
    <w:name w:val="header"/>
    <w:basedOn w:val="Normal"/>
  </w:style>
  <w:style w:type="paragraph" w:styleId="Footer">
    <w:name w:val="footer"/>
    <w:basedOn w:val="Normal"/>
  </w:style>
  <w:style w:type="paragraph" w:styleId="ListParagraph">
    <w:name w:val="List Paragraph"/>
    <w:basedOn w:val="Normal"/>
    <w:uiPriority w:val="34"/>
    <w:qFormat/>
    <w:pPr>
      <w:spacing w:after="200" w:line="276" w:lineRule="auto"/>
      <w:ind w:left="720"/>
      <w:contextualSpacing/>
    </w:pPr>
    <w:rPr>
      <w:rFonts w:ascii="Calibri" w:hAnsi="Calibri" w:cs="Calibri"/>
      <w:sz w:val="22"/>
      <w:szCs w:val="22"/>
    </w:rPr>
  </w:style>
  <w:style w:type="paragraph" w:styleId="CommentText">
    <w:name w:val="annotation text"/>
    <w:basedOn w:val="Normal"/>
    <w:qFormat/>
    <w:rPr>
      <w:sz w:val="20"/>
      <w:szCs w:val="20"/>
    </w:rPr>
  </w:style>
  <w:style w:type="paragraph" w:styleId="CommentSubject">
    <w:name w:val="annotation subject"/>
    <w:basedOn w:val="CommentText"/>
    <w:qFormat/>
    <w:rPr>
      <w:b/>
      <w:bCs/>
      <w:lang w:val="x-none"/>
    </w:rPr>
  </w:style>
  <w:style w:type="paragraph" w:customStyle="1" w:styleId="tv213">
    <w:name w:val="tv213"/>
    <w:basedOn w:val="Normal"/>
    <w:qFormat/>
    <w:pPr>
      <w:spacing w:before="280" w:after="280"/>
    </w:pPr>
  </w:style>
  <w:style w:type="paragraph" w:styleId="FootnoteText">
    <w:name w:val="footnote text"/>
    <w:basedOn w:val="Normal"/>
    <w:uiPriority w:val="99"/>
    <w:pPr>
      <w:widowControl w:val="0"/>
      <w:spacing w:after="200" w:line="276" w:lineRule="auto"/>
    </w:pPr>
    <w:rPr>
      <w:rFonts w:ascii="Calibri" w:eastAsia="Calibri" w:hAnsi="Calibri" w:cs="Calibri"/>
      <w:sz w:val="20"/>
      <w:szCs w:val="20"/>
      <w:lang w:val="en-US"/>
    </w:rPr>
  </w:style>
  <w:style w:type="paragraph" w:customStyle="1" w:styleId="FootnoteRefernece">
    <w:name w:val="Footnote Refernece"/>
    <w:basedOn w:val="Normal"/>
    <w:next w:val="Normal"/>
    <w:qFormat/>
    <w:pPr>
      <w:spacing w:after="160" w:line="240" w:lineRule="exact"/>
      <w:jc w:val="both"/>
      <w:textAlignment w:val="baseline"/>
    </w:pPr>
    <w:rPr>
      <w:sz w:val="20"/>
      <w:szCs w:val="20"/>
      <w:vertAlign w:val="superscript"/>
    </w:rPr>
  </w:style>
  <w:style w:type="paragraph" w:customStyle="1" w:styleId="Saturardtjs">
    <w:name w:val="Satura rādītājs"/>
    <w:basedOn w:val="Normal"/>
    <w:qFormat/>
    <w:pPr>
      <w:suppressLineNumbers/>
    </w:pPr>
  </w:style>
  <w:style w:type="paragraph" w:customStyle="1" w:styleId="Tabulasvirsraksts">
    <w:name w:val="Tabulas virsraksts"/>
    <w:basedOn w:val="Saturardtjs"/>
    <w:qFormat/>
    <w:pPr>
      <w:jc w:val="center"/>
    </w:pPr>
    <w:rPr>
      <w:b/>
      <w:bCs/>
    </w:rPr>
  </w:style>
  <w:style w:type="paragraph" w:customStyle="1" w:styleId="Ietvarasaturs">
    <w:name w:val="Ietvara saturs"/>
    <w:basedOn w:val="Normal"/>
    <w:qFormat/>
  </w:style>
  <w:style w:type="paragraph" w:customStyle="1" w:styleId="Galvenepakreisi">
    <w:name w:val="Galvene pa kreisi"/>
    <w:basedOn w:val="Normal"/>
    <w:qFormat/>
    <w:pPr>
      <w:suppressLineNumbers/>
      <w:tabs>
        <w:tab w:val="center" w:pos="7001"/>
        <w:tab w:val="right" w:pos="14003"/>
      </w:tabs>
    </w:pPr>
  </w:style>
  <w:style w:type="paragraph" w:styleId="NoSpacing">
    <w:name w:val="No Spacing"/>
    <w:basedOn w:val="Normal"/>
    <w:next w:val="Normal"/>
    <w:uiPriority w:val="1"/>
    <w:qFormat/>
    <w:rsid w:val="00F03B78"/>
    <w:pPr>
      <w:widowControl w:val="0"/>
      <w:suppressAutoHyphens w:val="0"/>
      <w:jc w:val="both"/>
    </w:pPr>
    <w:rPr>
      <w:rFonts w:eastAsia="Calibri"/>
      <w:szCs w:val="22"/>
      <w:lang w:eastAsia="en-US"/>
    </w:rPr>
  </w:style>
  <w:style w:type="character" w:customStyle="1" w:styleId="TitleChar">
    <w:name w:val="Title Char"/>
    <w:basedOn w:val="DefaultParagraphFont"/>
    <w:link w:val="Title"/>
    <w:qFormat/>
    <w:rsid w:val="00F03B78"/>
    <w:rPr>
      <w:sz w:val="28"/>
    </w:rPr>
  </w:style>
  <w:style w:type="paragraph" w:styleId="Title">
    <w:name w:val="Title"/>
    <w:basedOn w:val="Normal"/>
    <w:link w:val="TitleChar"/>
    <w:qFormat/>
    <w:rsid w:val="00F03B78"/>
    <w:pPr>
      <w:suppressAutoHyphens w:val="0"/>
      <w:jc w:val="center"/>
    </w:pPr>
    <w:rPr>
      <w:sz w:val="28"/>
      <w:szCs w:val="20"/>
      <w:lang w:eastAsia="lv-LV"/>
    </w:rPr>
  </w:style>
  <w:style w:type="character" w:customStyle="1" w:styleId="TitleChar1">
    <w:name w:val="Title Char1"/>
    <w:basedOn w:val="DefaultParagraphFont"/>
    <w:uiPriority w:val="10"/>
    <w:rsid w:val="00F03B78"/>
    <w:rPr>
      <w:rFonts w:asciiTheme="majorHAnsi" w:eastAsiaTheme="majorEastAsia" w:hAnsiTheme="majorHAnsi" w:cstheme="majorBidi"/>
      <w:spacing w:val="-10"/>
      <w:kern w:val="28"/>
      <w:sz w:val="56"/>
      <w:szCs w:val="56"/>
      <w:lang w:eastAsia="zh-CN"/>
    </w:rPr>
  </w:style>
  <w:style w:type="character" w:styleId="FootnoteReference">
    <w:name w:val="footnote reference"/>
    <w:aliases w:val="Footnote Reference Number,Footnote symbol,Footnotes refss,number,SUPERS,BVI fnr,Footnote symboFußnotenzeichen,Footnote sign,Footnote Reference Superscript,Footnote number,EN Footnote Reference,-E Fuﬂnotenzeichen,-E Fuûnotenzeichen"/>
    <w:basedOn w:val="DefaultParagraphFont"/>
    <w:uiPriority w:val="99"/>
    <w:unhideWhenUsed/>
    <w:qFormat/>
    <w:rsid w:val="00986C7A"/>
    <w:rPr>
      <w:vertAlign w:val="superscript"/>
    </w:rPr>
  </w:style>
  <w:style w:type="character" w:styleId="Hyperlink">
    <w:name w:val="Hyperlink"/>
    <w:basedOn w:val="DefaultParagraphFont"/>
    <w:uiPriority w:val="99"/>
    <w:unhideWhenUsed/>
    <w:rsid w:val="00986C7A"/>
    <w:rPr>
      <w:color w:val="0563C1" w:themeColor="hyperlink"/>
      <w:u w:val="single"/>
    </w:rPr>
  </w:style>
  <w:style w:type="character" w:customStyle="1" w:styleId="txtspecial">
    <w:name w:val="txt_special"/>
    <w:basedOn w:val="DefaultParagraphFont"/>
    <w:rsid w:val="006B1678"/>
  </w:style>
  <w:style w:type="paragraph" w:customStyle="1" w:styleId="msonormal804d7de8fd46f06a46511c7c60d1535e">
    <w:name w:val="msonormal_804d7de8fd46f06a46511c7c60d1535e"/>
    <w:basedOn w:val="Normal"/>
    <w:rsid w:val="009D0AC1"/>
    <w:pPr>
      <w:suppressAutoHyphens w:val="0"/>
      <w:spacing w:before="100" w:beforeAutospacing="1" w:after="100" w:afterAutospacing="1"/>
    </w:pPr>
    <w:rPr>
      <w:rFonts w:eastAsiaTheme="minorHAnsi"/>
      <w:lang w:eastAsia="lv-LV"/>
    </w:rPr>
  </w:style>
  <w:style w:type="paragraph" w:customStyle="1" w:styleId="Default">
    <w:name w:val="Default"/>
    <w:rsid w:val="00EE7917"/>
    <w:pPr>
      <w:autoSpaceDE w:val="0"/>
      <w:autoSpaceDN w:val="0"/>
      <w:adjustRightInd w:val="0"/>
    </w:pPr>
    <w:rPr>
      <w:rFonts w:ascii="Open Sans" w:eastAsiaTheme="minorHAnsi" w:hAnsi="Open Sans" w:cs="Open Sans"/>
      <w:color w:val="000000"/>
      <w:sz w:val="24"/>
      <w:szCs w:val="24"/>
      <w:lang w:eastAsia="en-US"/>
    </w:rPr>
  </w:style>
  <w:style w:type="paragraph" w:customStyle="1" w:styleId="western">
    <w:name w:val="western"/>
    <w:basedOn w:val="Normal"/>
    <w:rsid w:val="00194E80"/>
    <w:pPr>
      <w:suppressAutoHyphens w:val="0"/>
      <w:spacing w:before="100" w:beforeAutospacing="1" w:after="100" w:afterAutospacing="1"/>
    </w:pPr>
    <w:rPr>
      <w:rFonts w:ascii="Calibri" w:eastAsiaTheme="minorHAnsi" w:hAnsi="Calibri" w:cs="Calibri"/>
      <w:sz w:val="22"/>
      <w:szCs w:val="22"/>
      <w:lang w:eastAsia="lv-LV"/>
    </w:rPr>
  </w:style>
  <w:style w:type="character" w:customStyle="1" w:styleId="markedcontent">
    <w:name w:val="markedcontent"/>
    <w:basedOn w:val="DefaultParagraphFont"/>
    <w:rsid w:val="008075B1"/>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F24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2705">
      <w:bodyDiv w:val="1"/>
      <w:marLeft w:val="0"/>
      <w:marRight w:val="0"/>
      <w:marTop w:val="0"/>
      <w:marBottom w:val="0"/>
      <w:divBdr>
        <w:top w:val="none" w:sz="0" w:space="0" w:color="auto"/>
        <w:left w:val="none" w:sz="0" w:space="0" w:color="auto"/>
        <w:bottom w:val="none" w:sz="0" w:space="0" w:color="auto"/>
        <w:right w:val="none" w:sz="0" w:space="0" w:color="auto"/>
      </w:divBdr>
    </w:div>
    <w:div w:id="67264743">
      <w:bodyDiv w:val="1"/>
      <w:marLeft w:val="0"/>
      <w:marRight w:val="0"/>
      <w:marTop w:val="0"/>
      <w:marBottom w:val="0"/>
      <w:divBdr>
        <w:top w:val="none" w:sz="0" w:space="0" w:color="auto"/>
        <w:left w:val="none" w:sz="0" w:space="0" w:color="auto"/>
        <w:bottom w:val="none" w:sz="0" w:space="0" w:color="auto"/>
        <w:right w:val="none" w:sz="0" w:space="0" w:color="auto"/>
      </w:divBdr>
    </w:div>
    <w:div w:id="153762228">
      <w:bodyDiv w:val="1"/>
      <w:marLeft w:val="0"/>
      <w:marRight w:val="0"/>
      <w:marTop w:val="0"/>
      <w:marBottom w:val="0"/>
      <w:divBdr>
        <w:top w:val="none" w:sz="0" w:space="0" w:color="auto"/>
        <w:left w:val="none" w:sz="0" w:space="0" w:color="auto"/>
        <w:bottom w:val="none" w:sz="0" w:space="0" w:color="auto"/>
        <w:right w:val="none" w:sz="0" w:space="0" w:color="auto"/>
      </w:divBdr>
    </w:div>
    <w:div w:id="328101440">
      <w:bodyDiv w:val="1"/>
      <w:marLeft w:val="0"/>
      <w:marRight w:val="0"/>
      <w:marTop w:val="0"/>
      <w:marBottom w:val="0"/>
      <w:divBdr>
        <w:top w:val="none" w:sz="0" w:space="0" w:color="auto"/>
        <w:left w:val="none" w:sz="0" w:space="0" w:color="auto"/>
        <w:bottom w:val="none" w:sz="0" w:space="0" w:color="auto"/>
        <w:right w:val="none" w:sz="0" w:space="0" w:color="auto"/>
      </w:divBdr>
    </w:div>
    <w:div w:id="332152864">
      <w:bodyDiv w:val="1"/>
      <w:marLeft w:val="0"/>
      <w:marRight w:val="0"/>
      <w:marTop w:val="0"/>
      <w:marBottom w:val="0"/>
      <w:divBdr>
        <w:top w:val="none" w:sz="0" w:space="0" w:color="auto"/>
        <w:left w:val="none" w:sz="0" w:space="0" w:color="auto"/>
        <w:bottom w:val="none" w:sz="0" w:space="0" w:color="auto"/>
        <w:right w:val="none" w:sz="0" w:space="0" w:color="auto"/>
      </w:divBdr>
    </w:div>
    <w:div w:id="419641228">
      <w:bodyDiv w:val="1"/>
      <w:marLeft w:val="0"/>
      <w:marRight w:val="0"/>
      <w:marTop w:val="0"/>
      <w:marBottom w:val="0"/>
      <w:divBdr>
        <w:top w:val="none" w:sz="0" w:space="0" w:color="auto"/>
        <w:left w:val="none" w:sz="0" w:space="0" w:color="auto"/>
        <w:bottom w:val="none" w:sz="0" w:space="0" w:color="auto"/>
        <w:right w:val="none" w:sz="0" w:space="0" w:color="auto"/>
      </w:divBdr>
    </w:div>
    <w:div w:id="517237769">
      <w:bodyDiv w:val="1"/>
      <w:marLeft w:val="0"/>
      <w:marRight w:val="0"/>
      <w:marTop w:val="0"/>
      <w:marBottom w:val="0"/>
      <w:divBdr>
        <w:top w:val="none" w:sz="0" w:space="0" w:color="auto"/>
        <w:left w:val="none" w:sz="0" w:space="0" w:color="auto"/>
        <w:bottom w:val="none" w:sz="0" w:space="0" w:color="auto"/>
        <w:right w:val="none" w:sz="0" w:space="0" w:color="auto"/>
      </w:divBdr>
    </w:div>
    <w:div w:id="556551057">
      <w:bodyDiv w:val="1"/>
      <w:marLeft w:val="0"/>
      <w:marRight w:val="0"/>
      <w:marTop w:val="0"/>
      <w:marBottom w:val="0"/>
      <w:divBdr>
        <w:top w:val="none" w:sz="0" w:space="0" w:color="auto"/>
        <w:left w:val="none" w:sz="0" w:space="0" w:color="auto"/>
        <w:bottom w:val="none" w:sz="0" w:space="0" w:color="auto"/>
        <w:right w:val="none" w:sz="0" w:space="0" w:color="auto"/>
      </w:divBdr>
    </w:div>
    <w:div w:id="659162958">
      <w:bodyDiv w:val="1"/>
      <w:marLeft w:val="0"/>
      <w:marRight w:val="0"/>
      <w:marTop w:val="0"/>
      <w:marBottom w:val="0"/>
      <w:divBdr>
        <w:top w:val="none" w:sz="0" w:space="0" w:color="auto"/>
        <w:left w:val="none" w:sz="0" w:space="0" w:color="auto"/>
        <w:bottom w:val="none" w:sz="0" w:space="0" w:color="auto"/>
        <w:right w:val="none" w:sz="0" w:space="0" w:color="auto"/>
      </w:divBdr>
    </w:div>
    <w:div w:id="750545235">
      <w:bodyDiv w:val="1"/>
      <w:marLeft w:val="0"/>
      <w:marRight w:val="0"/>
      <w:marTop w:val="0"/>
      <w:marBottom w:val="0"/>
      <w:divBdr>
        <w:top w:val="none" w:sz="0" w:space="0" w:color="auto"/>
        <w:left w:val="none" w:sz="0" w:space="0" w:color="auto"/>
        <w:bottom w:val="none" w:sz="0" w:space="0" w:color="auto"/>
        <w:right w:val="none" w:sz="0" w:space="0" w:color="auto"/>
      </w:divBdr>
    </w:div>
    <w:div w:id="1086654693">
      <w:bodyDiv w:val="1"/>
      <w:marLeft w:val="0"/>
      <w:marRight w:val="0"/>
      <w:marTop w:val="0"/>
      <w:marBottom w:val="0"/>
      <w:divBdr>
        <w:top w:val="none" w:sz="0" w:space="0" w:color="auto"/>
        <w:left w:val="none" w:sz="0" w:space="0" w:color="auto"/>
        <w:bottom w:val="none" w:sz="0" w:space="0" w:color="auto"/>
        <w:right w:val="none" w:sz="0" w:space="0" w:color="auto"/>
      </w:divBdr>
    </w:div>
    <w:div w:id="1164317105">
      <w:bodyDiv w:val="1"/>
      <w:marLeft w:val="0"/>
      <w:marRight w:val="0"/>
      <w:marTop w:val="0"/>
      <w:marBottom w:val="0"/>
      <w:divBdr>
        <w:top w:val="none" w:sz="0" w:space="0" w:color="auto"/>
        <w:left w:val="none" w:sz="0" w:space="0" w:color="auto"/>
        <w:bottom w:val="none" w:sz="0" w:space="0" w:color="auto"/>
        <w:right w:val="none" w:sz="0" w:space="0" w:color="auto"/>
      </w:divBdr>
    </w:div>
    <w:div w:id="1270506682">
      <w:bodyDiv w:val="1"/>
      <w:marLeft w:val="0"/>
      <w:marRight w:val="0"/>
      <w:marTop w:val="0"/>
      <w:marBottom w:val="0"/>
      <w:divBdr>
        <w:top w:val="none" w:sz="0" w:space="0" w:color="auto"/>
        <w:left w:val="none" w:sz="0" w:space="0" w:color="auto"/>
        <w:bottom w:val="none" w:sz="0" w:space="0" w:color="auto"/>
        <w:right w:val="none" w:sz="0" w:space="0" w:color="auto"/>
      </w:divBdr>
    </w:div>
    <w:div w:id="1341005918">
      <w:bodyDiv w:val="1"/>
      <w:marLeft w:val="0"/>
      <w:marRight w:val="0"/>
      <w:marTop w:val="0"/>
      <w:marBottom w:val="0"/>
      <w:divBdr>
        <w:top w:val="none" w:sz="0" w:space="0" w:color="auto"/>
        <w:left w:val="none" w:sz="0" w:space="0" w:color="auto"/>
        <w:bottom w:val="none" w:sz="0" w:space="0" w:color="auto"/>
        <w:right w:val="none" w:sz="0" w:space="0" w:color="auto"/>
      </w:divBdr>
    </w:div>
    <w:div w:id="1473329275">
      <w:bodyDiv w:val="1"/>
      <w:marLeft w:val="0"/>
      <w:marRight w:val="0"/>
      <w:marTop w:val="0"/>
      <w:marBottom w:val="0"/>
      <w:divBdr>
        <w:top w:val="none" w:sz="0" w:space="0" w:color="auto"/>
        <w:left w:val="none" w:sz="0" w:space="0" w:color="auto"/>
        <w:bottom w:val="none" w:sz="0" w:space="0" w:color="auto"/>
        <w:right w:val="none" w:sz="0" w:space="0" w:color="auto"/>
      </w:divBdr>
    </w:div>
    <w:div w:id="1478182283">
      <w:bodyDiv w:val="1"/>
      <w:marLeft w:val="0"/>
      <w:marRight w:val="0"/>
      <w:marTop w:val="0"/>
      <w:marBottom w:val="0"/>
      <w:divBdr>
        <w:top w:val="none" w:sz="0" w:space="0" w:color="auto"/>
        <w:left w:val="none" w:sz="0" w:space="0" w:color="auto"/>
        <w:bottom w:val="none" w:sz="0" w:space="0" w:color="auto"/>
        <w:right w:val="none" w:sz="0" w:space="0" w:color="auto"/>
      </w:divBdr>
    </w:div>
    <w:div w:id="1618835640">
      <w:bodyDiv w:val="1"/>
      <w:marLeft w:val="0"/>
      <w:marRight w:val="0"/>
      <w:marTop w:val="0"/>
      <w:marBottom w:val="0"/>
      <w:divBdr>
        <w:top w:val="none" w:sz="0" w:space="0" w:color="auto"/>
        <w:left w:val="none" w:sz="0" w:space="0" w:color="auto"/>
        <w:bottom w:val="none" w:sz="0" w:space="0" w:color="auto"/>
        <w:right w:val="none" w:sz="0" w:space="0" w:color="auto"/>
      </w:divBdr>
    </w:div>
    <w:div w:id="1623222089">
      <w:bodyDiv w:val="1"/>
      <w:marLeft w:val="0"/>
      <w:marRight w:val="0"/>
      <w:marTop w:val="0"/>
      <w:marBottom w:val="0"/>
      <w:divBdr>
        <w:top w:val="none" w:sz="0" w:space="0" w:color="auto"/>
        <w:left w:val="none" w:sz="0" w:space="0" w:color="auto"/>
        <w:bottom w:val="none" w:sz="0" w:space="0" w:color="auto"/>
        <w:right w:val="none" w:sz="0" w:space="0" w:color="auto"/>
      </w:divBdr>
    </w:div>
    <w:div w:id="1753812896">
      <w:bodyDiv w:val="1"/>
      <w:marLeft w:val="0"/>
      <w:marRight w:val="0"/>
      <w:marTop w:val="0"/>
      <w:marBottom w:val="0"/>
      <w:divBdr>
        <w:top w:val="none" w:sz="0" w:space="0" w:color="auto"/>
        <w:left w:val="none" w:sz="0" w:space="0" w:color="auto"/>
        <w:bottom w:val="none" w:sz="0" w:space="0" w:color="auto"/>
        <w:right w:val="none" w:sz="0" w:space="0" w:color="auto"/>
      </w:divBdr>
    </w:div>
    <w:div w:id="1972054510">
      <w:bodyDiv w:val="1"/>
      <w:marLeft w:val="0"/>
      <w:marRight w:val="0"/>
      <w:marTop w:val="0"/>
      <w:marBottom w:val="0"/>
      <w:divBdr>
        <w:top w:val="none" w:sz="0" w:space="0" w:color="auto"/>
        <w:left w:val="none" w:sz="0" w:space="0" w:color="auto"/>
        <w:bottom w:val="none" w:sz="0" w:space="0" w:color="auto"/>
        <w:right w:val="none" w:sz="0" w:space="0" w:color="auto"/>
      </w:divBdr>
    </w:div>
    <w:div w:id="2112118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y.com/en_gl/tax" TargetMode="External"/><Relationship Id="rId13" Type="http://schemas.openxmlformats.org/officeDocument/2006/relationships/hyperlink" Target="https://www.ey.com/en_gl/ta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y.com/en_gl/tax" TargetMode="External"/><Relationship Id="rId17" Type="http://schemas.openxmlformats.org/officeDocument/2006/relationships/hyperlink" Target="mailto:tatjana.alekse@varam.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ristine.gaga@varam.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y.com/en_gl/ta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y.com/en_gl/tax" TargetMode="External"/><Relationship Id="rId23" Type="http://schemas.openxmlformats.org/officeDocument/2006/relationships/footer" Target="footer3.xml"/><Relationship Id="rId10" Type="http://schemas.openxmlformats.org/officeDocument/2006/relationships/hyperlink" Target="https://www.ey.com/en_gl/ta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y.com/en_gl/tax" TargetMode="External"/><Relationship Id="rId14" Type="http://schemas.openxmlformats.org/officeDocument/2006/relationships/hyperlink" Target="https://www.ey.com/en_gl/ta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702CF-FD69-4918-839C-9EEA78D4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44</Pages>
  <Words>68968</Words>
  <Characters>39312</Characters>
  <Application>Microsoft Office Word</Application>
  <DocSecurity>0</DocSecurity>
  <Lines>327</Lines>
  <Paragraphs>216</Paragraphs>
  <ScaleCrop>false</ScaleCrop>
  <HeadingPairs>
    <vt:vector size="2" baseType="variant">
      <vt:variant>
        <vt:lpstr>Title</vt:lpstr>
      </vt:variant>
      <vt:variant>
        <vt:i4>1</vt:i4>
      </vt:variant>
    </vt:vector>
  </HeadingPairs>
  <TitlesOfParts>
    <vt:vector size="1" baseType="lpstr">
      <vt:lpstr>"Grozījumi dabas resursu nodokļa likumā"</vt:lpstr>
    </vt:vector>
  </TitlesOfParts>
  <Company>VARAM</Company>
  <LinksUpToDate>false</LinksUpToDate>
  <CharactersWithSpaces>108064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dabas resursu nodokļa likumā"</dc:title>
  <dc:subject>Anotācijas 2. pielikums</dc:subject>
  <dc:creator>Kristīne Gāga</dc:creator>
  <cp:keywords/>
  <dc:description>67026518, kristine.gaga@varam.gov.lv</dc:description>
  <cp:lastModifiedBy>Kristīne Gāga</cp:lastModifiedBy>
  <cp:revision>103</cp:revision>
  <cp:lastPrinted>2018-09-05T14:50:00Z</cp:lastPrinted>
  <dcterms:created xsi:type="dcterms:W3CDTF">2021-07-01T10:46:00Z</dcterms:created>
  <dcterms:modified xsi:type="dcterms:W3CDTF">2021-07-06T04:09:00Z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