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4095" w14:textId="22858838" w:rsidR="00894C55" w:rsidRPr="00FE55E8" w:rsidRDefault="00EC6E12" w:rsidP="00EC6E12">
      <w:pPr>
        <w:pStyle w:val="NoSpacing"/>
        <w:jc w:val="center"/>
        <w:rPr>
          <w:rFonts w:ascii="Times New Roman" w:hAnsi="Times New Roman" w:cs="Times New Roman"/>
          <w:b/>
          <w:sz w:val="28"/>
          <w:szCs w:val="24"/>
          <w:lang w:eastAsia="lv-LV"/>
        </w:rPr>
      </w:pPr>
      <w:r w:rsidRPr="00FE55E8">
        <w:rPr>
          <w:rFonts w:ascii="Times New Roman" w:hAnsi="Times New Roman" w:cs="Times New Roman"/>
          <w:b/>
          <w:sz w:val="28"/>
          <w:szCs w:val="24"/>
          <w:lang w:eastAsia="lv-LV"/>
        </w:rPr>
        <w:t>Ministru kabineta rīkojuma projekta “</w:t>
      </w:r>
      <w:r w:rsidR="00246448" w:rsidRPr="00FE55E8">
        <w:rPr>
          <w:rFonts w:ascii="Times New Roman" w:hAnsi="Times New Roman" w:cs="Times New Roman"/>
          <w:b/>
          <w:sz w:val="28"/>
          <w:szCs w:val="24"/>
          <w:lang w:eastAsia="lv-LV"/>
        </w:rPr>
        <w:t>Grozījums Ministru kabineta 2021. gada 14. aprīļa rīkojumā Nr.247 “Par finanšu līdzekļu piešķiršanu no valsts budžeta programmas “Līdzekļi neparedzētiem gadījumiem””</w:t>
      </w:r>
      <w:r w:rsidRPr="00FE55E8">
        <w:rPr>
          <w:rFonts w:ascii="Times New Roman" w:hAnsi="Times New Roman" w:cs="Times New Roman"/>
          <w:b/>
          <w:sz w:val="28"/>
          <w:szCs w:val="24"/>
          <w:lang w:eastAsia="lv-LV"/>
        </w:rPr>
        <w:t xml:space="preserve">” </w:t>
      </w:r>
      <w:r w:rsidR="00894C55" w:rsidRPr="00FE55E8">
        <w:rPr>
          <w:rFonts w:ascii="Times New Roman" w:hAnsi="Times New Roman" w:cs="Times New Roman"/>
          <w:b/>
          <w:sz w:val="28"/>
          <w:szCs w:val="24"/>
          <w:lang w:eastAsia="lv-LV"/>
        </w:rPr>
        <w:t>sākotnējās ietekmes novērtējuma ziņojums (anotācija)</w:t>
      </w:r>
    </w:p>
    <w:p w14:paraId="0AFB7C83" w14:textId="77777777" w:rsidR="00EC6E12" w:rsidRPr="00FE55E8"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FE55E8"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FE55E8" w:rsidRDefault="006F193F" w:rsidP="006F193F">
            <w:pPr>
              <w:spacing w:before="100" w:beforeAutospacing="1" w:after="100" w:afterAutospacing="1" w:line="293" w:lineRule="atLeast"/>
              <w:jc w:val="center"/>
              <w:rPr>
                <w:b/>
                <w:bCs/>
              </w:rPr>
            </w:pPr>
            <w:r w:rsidRPr="00FE55E8">
              <w:rPr>
                <w:b/>
                <w:bCs/>
              </w:rPr>
              <w:t>Tiesību akta projekta anotācijas kopsavilkums</w:t>
            </w:r>
          </w:p>
        </w:tc>
      </w:tr>
      <w:tr w:rsidR="006F193F" w:rsidRPr="00FE55E8"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FE55E8" w:rsidRDefault="006F193F" w:rsidP="006F193F">
            <w:pPr>
              <w:spacing w:before="100" w:beforeAutospacing="1" w:after="100" w:afterAutospacing="1" w:line="293" w:lineRule="atLeast"/>
            </w:pPr>
            <w:r w:rsidRPr="00FE55E8">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FE55E8" w:rsidRDefault="006F193F" w:rsidP="006F193F">
            <w:pPr>
              <w:ind w:left="107" w:right="109"/>
              <w:jc w:val="both"/>
            </w:pPr>
            <w:r w:rsidRPr="00FE55E8">
              <w:rPr>
                <w:rFonts w:eastAsiaTheme="minorHAnsi"/>
              </w:rPr>
              <w:t>Projekts šo jomu neskar.</w:t>
            </w:r>
          </w:p>
        </w:tc>
      </w:tr>
    </w:tbl>
    <w:p w14:paraId="688C7FDA" w14:textId="77777777" w:rsidR="00EC6E12" w:rsidRPr="00FE55E8"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RPr="00FE55E8" w14:paraId="4FC3D7C8" w14:textId="77777777" w:rsidTr="0079260F">
        <w:tc>
          <w:tcPr>
            <w:tcW w:w="9356" w:type="dxa"/>
            <w:gridSpan w:val="3"/>
          </w:tcPr>
          <w:p w14:paraId="7111B7C4" w14:textId="77777777" w:rsidR="00EC6E12" w:rsidRPr="00FE55E8" w:rsidRDefault="00EC6E12" w:rsidP="00EC6E12">
            <w:pPr>
              <w:pStyle w:val="NoSpacing"/>
              <w:jc w:val="center"/>
              <w:rPr>
                <w:rFonts w:ascii="Times New Roman" w:hAnsi="Times New Roman" w:cs="Times New Roman"/>
                <w:b/>
                <w:sz w:val="24"/>
                <w:szCs w:val="24"/>
                <w:lang w:eastAsia="lv-LV"/>
              </w:rPr>
            </w:pPr>
            <w:r w:rsidRPr="00FE55E8">
              <w:rPr>
                <w:rFonts w:ascii="Times New Roman" w:hAnsi="Times New Roman" w:cs="Times New Roman"/>
                <w:b/>
                <w:iCs/>
                <w:sz w:val="24"/>
                <w:szCs w:val="24"/>
                <w:lang w:eastAsia="lv-LV"/>
              </w:rPr>
              <w:t>I. Tiesību akta projekta izstrādes nepieciešamība</w:t>
            </w:r>
          </w:p>
        </w:tc>
      </w:tr>
      <w:tr w:rsidR="00130487" w:rsidRPr="00FE55E8" w14:paraId="7EC9416D" w14:textId="77777777" w:rsidTr="0079260F">
        <w:tc>
          <w:tcPr>
            <w:tcW w:w="568" w:type="dxa"/>
          </w:tcPr>
          <w:p w14:paraId="2739FDFB" w14:textId="77777777" w:rsidR="00130487" w:rsidRPr="00FE55E8" w:rsidRDefault="00130487" w:rsidP="00130487">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1.</w:t>
            </w:r>
          </w:p>
        </w:tc>
        <w:tc>
          <w:tcPr>
            <w:tcW w:w="1559" w:type="dxa"/>
          </w:tcPr>
          <w:p w14:paraId="76D1565B" w14:textId="77777777" w:rsidR="00130487" w:rsidRPr="00FE55E8" w:rsidRDefault="00130487" w:rsidP="00130487">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Pamatojums</w:t>
            </w:r>
          </w:p>
        </w:tc>
        <w:tc>
          <w:tcPr>
            <w:tcW w:w="7229" w:type="dxa"/>
          </w:tcPr>
          <w:p w14:paraId="57EAC889" w14:textId="58CE84B7" w:rsidR="00116F95" w:rsidRPr="00FE55E8" w:rsidRDefault="0079260F" w:rsidP="00116F95">
            <w:pPr>
              <w:pStyle w:val="NoSpacing"/>
              <w:ind w:firstLine="311"/>
              <w:jc w:val="both"/>
              <w:rPr>
                <w:rFonts w:ascii="Times New Roman" w:hAnsi="Times New Roman" w:cs="Times New Roman"/>
                <w:sz w:val="24"/>
              </w:rPr>
            </w:pPr>
            <w:r w:rsidRPr="00FE55E8">
              <w:rPr>
                <w:rFonts w:ascii="Times New Roman" w:hAnsi="Times New Roman" w:cs="Times New Roman"/>
                <w:sz w:val="24"/>
              </w:rPr>
              <w:t>Ministru kabineta rīkojuma projekts “</w:t>
            </w:r>
            <w:r w:rsidR="00246448" w:rsidRPr="00FE55E8">
              <w:rPr>
                <w:rFonts w:ascii="Times New Roman" w:hAnsi="Times New Roman" w:cs="Times New Roman"/>
                <w:sz w:val="24"/>
              </w:rPr>
              <w:t>Grozījums Ministru kabineta 2021. gada 14. aprīļa rīkojumā Nr. 247 “Par finanšu līdzekļu piešķiršanu no valsts budžeta programmas “Līdzekļi neparedzētiem gadījumiem””</w:t>
            </w:r>
            <w:r w:rsidRPr="00FE55E8">
              <w:rPr>
                <w:rFonts w:ascii="Times New Roman" w:hAnsi="Times New Roman" w:cs="Times New Roman"/>
                <w:sz w:val="24"/>
              </w:rPr>
              <w:t xml:space="preserve">” (turpmāk – rīkojuma projekts) izstrādāts, pamatojoties uz: </w:t>
            </w:r>
          </w:p>
          <w:p w14:paraId="651C03C3" w14:textId="292EC3CA" w:rsidR="00246448" w:rsidRPr="00FE55E8" w:rsidRDefault="00246448" w:rsidP="00AC3D9D">
            <w:pPr>
              <w:jc w:val="both"/>
            </w:pPr>
            <w:r w:rsidRPr="00FE55E8">
              <w:t xml:space="preserve">MK 2021.gada 15.jūnija sēdēs </w:t>
            </w:r>
            <w:proofErr w:type="spellStart"/>
            <w:r w:rsidRPr="00FE55E8">
              <w:t>protokollēmum</w:t>
            </w:r>
            <w:r w:rsidR="006C2182" w:rsidRPr="00FE55E8">
              <w:t>a</w:t>
            </w:r>
            <w:proofErr w:type="spellEnd"/>
            <w:r w:rsidRPr="00FE55E8">
              <w:t xml:space="preserve"> (prot.Nr.48 44.§) “Informatīvais ziņojums “Par Ministru kabineta 2021.gada 14.aprīļa (prot. Nr.33 26.§) rīkojumā Nr.247 "Par finanšu līdzekļu piešķiršanu no valsts budžeta programmas “Līdzekļi neparedzētiem gadījumiem”” piešķirto līdzekļu daļēju pārvirzi”” 4.punkt</w:t>
            </w:r>
            <w:r w:rsidR="006C2182" w:rsidRPr="00FE55E8">
              <w:t>u</w:t>
            </w:r>
            <w:r w:rsidR="007E1E08">
              <w:t xml:space="preserve">, </w:t>
            </w:r>
            <w:r w:rsidR="007E1E08" w:rsidRPr="007E1E08">
              <w:t xml:space="preserve">kas nosaka, ka </w:t>
            </w:r>
            <w:r w:rsidR="007E1E08" w:rsidRPr="00AC3D9D">
              <w:t>Veselības ministrijai divu nedēļu laikā sagatavot un iesniegt izskatīšanai Ministru kabinetā grozījumus Ministru kabineta 2021.gada 14.aprīļa rīkojumā Nr.247 "Par finanšu līdzekļu piešķiršanu no valsts budžeta programmas</w:t>
            </w:r>
            <w:r w:rsidR="007E1E08" w:rsidRPr="007E1E08">
              <w:t xml:space="preserve"> "Līdzekļi neparedzētiem gadījumiem"" (prot. Nr.33 26.§).</w:t>
            </w:r>
          </w:p>
        </w:tc>
      </w:tr>
      <w:tr w:rsidR="0079260F" w:rsidRPr="00FE55E8" w14:paraId="16277A4C" w14:textId="77777777" w:rsidTr="0079260F">
        <w:tc>
          <w:tcPr>
            <w:tcW w:w="568" w:type="dxa"/>
          </w:tcPr>
          <w:p w14:paraId="09E000E4" w14:textId="77777777" w:rsidR="0079260F" w:rsidRPr="00FE55E8" w:rsidRDefault="0079260F" w:rsidP="0079260F">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2.</w:t>
            </w:r>
          </w:p>
        </w:tc>
        <w:tc>
          <w:tcPr>
            <w:tcW w:w="1559" w:type="dxa"/>
          </w:tcPr>
          <w:p w14:paraId="718EDBE7" w14:textId="77777777" w:rsidR="00152501" w:rsidRPr="00FE55E8" w:rsidRDefault="0079260F" w:rsidP="0079260F">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Pr="00FE55E8" w:rsidRDefault="0079260F" w:rsidP="00152501">
            <w:pPr>
              <w:jc w:val="center"/>
            </w:pPr>
          </w:p>
          <w:p w14:paraId="128571C5" w14:textId="77777777" w:rsidR="00485E78" w:rsidRPr="00FE55E8" w:rsidRDefault="00485E78" w:rsidP="00485E78"/>
          <w:p w14:paraId="246A3C61" w14:textId="77777777" w:rsidR="00485E78" w:rsidRPr="00FE55E8" w:rsidRDefault="00485E78" w:rsidP="00485E78"/>
          <w:p w14:paraId="1A9B165B" w14:textId="77777777" w:rsidR="00485E78" w:rsidRPr="00FE55E8" w:rsidRDefault="00485E78" w:rsidP="00485E78"/>
          <w:p w14:paraId="4AB54E9D" w14:textId="77777777" w:rsidR="00485E78" w:rsidRPr="00FE55E8" w:rsidRDefault="00485E78" w:rsidP="00485E78"/>
          <w:p w14:paraId="2895C7A9" w14:textId="77777777" w:rsidR="00485E78" w:rsidRPr="00FE55E8" w:rsidRDefault="00485E78" w:rsidP="00485E78"/>
          <w:p w14:paraId="15196415" w14:textId="77777777" w:rsidR="00485E78" w:rsidRPr="00FE55E8" w:rsidRDefault="00485E78" w:rsidP="00485E78"/>
          <w:p w14:paraId="0A212A43" w14:textId="77777777" w:rsidR="00485E78" w:rsidRPr="00FE55E8" w:rsidRDefault="00485E78" w:rsidP="00485E78"/>
          <w:p w14:paraId="355EFB65" w14:textId="77777777" w:rsidR="00485E78" w:rsidRPr="00FE55E8" w:rsidRDefault="00485E78" w:rsidP="00485E78"/>
          <w:p w14:paraId="17DF2E3B" w14:textId="77777777" w:rsidR="00485E78" w:rsidRPr="00FE55E8" w:rsidRDefault="00485E78" w:rsidP="00485E78"/>
          <w:p w14:paraId="67FD4D6C" w14:textId="77777777" w:rsidR="00485E78" w:rsidRPr="00FE55E8" w:rsidRDefault="00485E78" w:rsidP="00485E78"/>
          <w:p w14:paraId="7B9006B7" w14:textId="77777777" w:rsidR="00485E78" w:rsidRPr="00FE55E8" w:rsidRDefault="00485E78" w:rsidP="00485E78"/>
          <w:p w14:paraId="5F5E9C8E" w14:textId="77777777" w:rsidR="00485E78" w:rsidRPr="00FE55E8" w:rsidRDefault="00485E78" w:rsidP="00485E78"/>
          <w:p w14:paraId="4BA8DA03" w14:textId="77777777" w:rsidR="00485E78" w:rsidRPr="00FE55E8" w:rsidRDefault="00485E78" w:rsidP="00485E78"/>
          <w:p w14:paraId="27C08A8B" w14:textId="77777777" w:rsidR="00485E78" w:rsidRPr="00FE55E8" w:rsidRDefault="00485E78" w:rsidP="00485E78"/>
          <w:p w14:paraId="208FCE17" w14:textId="77777777" w:rsidR="00485E78" w:rsidRPr="00FE55E8" w:rsidRDefault="00485E78" w:rsidP="00485E78"/>
          <w:p w14:paraId="47E208CB" w14:textId="77777777" w:rsidR="00485E78" w:rsidRPr="00FE55E8" w:rsidRDefault="00485E78" w:rsidP="00485E78"/>
          <w:p w14:paraId="457835AD" w14:textId="77777777" w:rsidR="00485E78" w:rsidRPr="00FE55E8" w:rsidRDefault="00485E78" w:rsidP="00485E78"/>
          <w:p w14:paraId="2FB01733" w14:textId="77777777" w:rsidR="00485E78" w:rsidRPr="00FE55E8" w:rsidRDefault="00485E78" w:rsidP="00485E78"/>
          <w:p w14:paraId="1176C1D8" w14:textId="77777777" w:rsidR="00485E78" w:rsidRPr="00FE55E8" w:rsidRDefault="00485E78" w:rsidP="00485E78"/>
          <w:p w14:paraId="13F7256E" w14:textId="77777777" w:rsidR="00485E78" w:rsidRPr="00FE55E8" w:rsidRDefault="00485E78" w:rsidP="00485E78"/>
          <w:p w14:paraId="0B63BC04" w14:textId="77777777" w:rsidR="00485E78" w:rsidRPr="00FE55E8" w:rsidRDefault="00485E78" w:rsidP="00485E78">
            <w:pPr>
              <w:jc w:val="center"/>
            </w:pPr>
          </w:p>
        </w:tc>
        <w:tc>
          <w:tcPr>
            <w:tcW w:w="7229" w:type="dxa"/>
          </w:tcPr>
          <w:p w14:paraId="14E6DB67" w14:textId="3ABEE97F" w:rsidR="00F017F1" w:rsidRPr="00FE55E8" w:rsidRDefault="001D0301" w:rsidP="001D0301">
            <w:pPr>
              <w:ind w:firstLine="720"/>
              <w:jc w:val="both"/>
            </w:pPr>
            <w:r w:rsidRPr="00FE55E8">
              <w:lastRenderedPageBreak/>
              <w:t>Saskaņā ar Ministru kabineta 2021.gada 14.aprīļa rīkojumu Nr.247 ““Par finanšu līdzekļu piešķiršanu no valsts budžeta programmas “Līdzekļi neparedzētiem gadījumiem””</w:t>
            </w:r>
            <w:r w:rsidR="00F017F1" w:rsidRPr="00FE55E8">
              <w:t xml:space="preserve"> tika piešķirti 5 587 529 </w:t>
            </w:r>
            <w:proofErr w:type="spellStart"/>
            <w:r w:rsidR="00F017F1" w:rsidRPr="00FE55E8">
              <w:rPr>
                <w:i/>
                <w:iCs/>
              </w:rPr>
              <w:t>euro</w:t>
            </w:r>
            <w:proofErr w:type="spellEnd"/>
            <w:r w:rsidR="00F017F1" w:rsidRPr="00FE55E8">
              <w:rPr>
                <w:i/>
                <w:iCs/>
              </w:rPr>
              <w:t xml:space="preserve"> </w:t>
            </w:r>
            <w:r w:rsidR="00F017F1" w:rsidRPr="00FE55E8">
              <w:t>apmērā, lai nodrošinātu nacionāla mēroga vakcinācijas kompleksu darbību, no tiem:</w:t>
            </w:r>
          </w:p>
          <w:p w14:paraId="29245415" w14:textId="65B6E75E" w:rsidR="001D0301" w:rsidRPr="00AC3D9D" w:rsidRDefault="001D0301" w:rsidP="00F017F1">
            <w:pPr>
              <w:pStyle w:val="ListParagraph"/>
              <w:numPr>
                <w:ilvl w:val="0"/>
                <w:numId w:val="8"/>
              </w:numPr>
              <w:jc w:val="both"/>
            </w:pPr>
            <w:r w:rsidRPr="00AC3D9D">
              <w:t xml:space="preserve">Veselības ministrijai (Nacionālajam veselības dienestam) tika piešķirti </w:t>
            </w:r>
            <w:r w:rsidR="00F017F1" w:rsidRPr="00AC3D9D">
              <w:t>1 036 913</w:t>
            </w:r>
            <w:r w:rsidRPr="00AC3D9D">
              <w:t xml:space="preserve"> </w:t>
            </w:r>
            <w:proofErr w:type="spellStart"/>
            <w:r w:rsidRPr="00AC3D9D">
              <w:rPr>
                <w:i/>
                <w:iCs/>
              </w:rPr>
              <w:t>euro</w:t>
            </w:r>
            <w:proofErr w:type="spellEnd"/>
            <w:r w:rsidRPr="00AC3D9D">
              <w:rPr>
                <w:i/>
                <w:iCs/>
              </w:rPr>
              <w:t xml:space="preserve"> </w:t>
            </w:r>
            <w:r w:rsidRPr="00AC3D9D">
              <w:t>apmērā</w:t>
            </w:r>
            <w:r w:rsidRPr="00AC3D9D">
              <w:rPr>
                <w:i/>
                <w:iCs/>
              </w:rPr>
              <w:t>,</w:t>
            </w:r>
            <w:r w:rsidRPr="00AC3D9D">
              <w:t xml:space="preserve"> lai nodrošinātu </w:t>
            </w:r>
            <w:r w:rsidR="00F017F1" w:rsidRPr="00AC3D9D">
              <w:t>nacionāla mēroga vakcinācijas kompleksu darbību;</w:t>
            </w:r>
          </w:p>
          <w:p w14:paraId="6EBAAC15" w14:textId="650B9F5A" w:rsidR="00F017F1" w:rsidRPr="00FE55E8" w:rsidRDefault="00F017F1" w:rsidP="00F017F1">
            <w:pPr>
              <w:pStyle w:val="ListParagraph"/>
              <w:numPr>
                <w:ilvl w:val="0"/>
                <w:numId w:val="8"/>
              </w:numPr>
              <w:jc w:val="both"/>
            </w:pPr>
            <w:r w:rsidRPr="00FE55E8">
              <w:t xml:space="preserve">Vides aizsardzības un reģionālās attīstības ministrijai tika piešķirti 4 550 616 </w:t>
            </w:r>
            <w:proofErr w:type="spellStart"/>
            <w:r w:rsidRPr="00FE55E8">
              <w:rPr>
                <w:i/>
                <w:iCs/>
              </w:rPr>
              <w:t>euro</w:t>
            </w:r>
            <w:proofErr w:type="spellEnd"/>
            <w:r w:rsidRPr="00FE55E8">
              <w:t xml:space="preserve"> apmērā, lai segtu izdevumus, kas pašvaldībām radušies 2021. gadā, nodrošinot nacionāla mēroga vakcinācijas kompleksu darbību.</w:t>
            </w:r>
          </w:p>
          <w:p w14:paraId="09ED2680" w14:textId="5435FB1B" w:rsidR="00F017F1" w:rsidRPr="00FE55E8" w:rsidRDefault="00F017F1" w:rsidP="00F017F1">
            <w:pPr>
              <w:jc w:val="both"/>
            </w:pPr>
          </w:p>
          <w:p w14:paraId="39A2C2D4" w14:textId="0BBE310B" w:rsidR="00F017F1" w:rsidRPr="00FE55E8" w:rsidRDefault="00F017F1" w:rsidP="00F017F1">
            <w:pPr>
              <w:ind w:firstLine="878"/>
              <w:jc w:val="both"/>
            </w:pPr>
            <w:r w:rsidRPr="00FE55E8">
              <w:t xml:space="preserve">Lai nodrošinātu masveida vakcinācijas pret Covid-19 uzsākšanu un sasniegtu vakcinēšanas kapacitāti vienā Nacionālā mēroga vakcinācijas centrā </w:t>
            </w:r>
            <w:r w:rsidR="007F29F6" w:rsidRPr="00FE55E8">
              <w:t xml:space="preserve">(turpmāk – NMVC) </w:t>
            </w:r>
            <w:r w:rsidRPr="00FE55E8">
              <w:t xml:space="preserve">līdz 20 000 vakcinācijas nedēļā (180 – 360 vakcinācijas stundā) 2021.gada aprīlī tika atvērti divi </w:t>
            </w:r>
            <w:r w:rsidR="007F29F6" w:rsidRPr="00FE55E8">
              <w:t>NMVC</w:t>
            </w:r>
            <w:r w:rsidRPr="00FE55E8">
              <w:t xml:space="preserve"> Rīgā:</w:t>
            </w:r>
          </w:p>
          <w:p w14:paraId="32AA649D" w14:textId="3F3B9AC4" w:rsidR="00F017F1" w:rsidRPr="00FE55E8" w:rsidRDefault="00F017F1" w:rsidP="00F017F1">
            <w:pPr>
              <w:pStyle w:val="ListParagraph"/>
              <w:numPr>
                <w:ilvl w:val="0"/>
                <w:numId w:val="9"/>
              </w:numPr>
              <w:jc w:val="both"/>
              <w:rPr>
                <w:shd w:val="clear" w:color="auto" w:fill="FFFFFF"/>
              </w:rPr>
            </w:pPr>
            <w:r w:rsidRPr="00FE55E8">
              <w:t xml:space="preserve">Starptautiskais izstāžu centrs Ķīpsalā (adrese: </w:t>
            </w:r>
            <w:r w:rsidRPr="00FE55E8">
              <w:rPr>
                <w:shd w:val="clear" w:color="auto" w:fill="FFFFFF"/>
              </w:rPr>
              <w:t>Ķīpsalas iela 8, Rīga)</w:t>
            </w:r>
            <w:r w:rsidRPr="00FE55E8">
              <w:rPr>
                <w:bdr w:val="none" w:sz="0" w:space="0" w:color="auto" w:frame="1"/>
              </w:rPr>
              <w:t xml:space="preserve"> (</w:t>
            </w:r>
            <w:r w:rsidRPr="00FE55E8">
              <w:t>Iznomātājs - SIA „RTU-BT 1”, reģ.nr.</w:t>
            </w:r>
            <w:r w:rsidRPr="00FE55E8">
              <w:rPr>
                <w:shd w:val="clear" w:color="auto" w:fill="FFFFFF"/>
              </w:rPr>
              <w:t>40003325653,</w:t>
            </w:r>
            <w:r w:rsidRPr="00FE55E8">
              <w:rPr>
                <w:rFonts w:ascii="Arial" w:hAnsi="Arial" w:cs="Arial"/>
                <w:sz w:val="20"/>
                <w:szCs w:val="20"/>
                <w:shd w:val="clear" w:color="auto" w:fill="FFFFFF"/>
              </w:rPr>
              <w:t xml:space="preserve"> </w:t>
            </w:r>
            <w:r w:rsidRPr="00FE55E8">
              <w:rPr>
                <w:shd w:val="clear" w:color="auto" w:fill="FFFFFF"/>
              </w:rPr>
              <w:t>jur. adrese: Ķīpsalas iela 8, Rīga, LV-1048, Latvija);</w:t>
            </w:r>
          </w:p>
          <w:p w14:paraId="5CAF499D" w14:textId="77777777" w:rsidR="00F017F1" w:rsidRPr="00FE55E8" w:rsidRDefault="00F017F1" w:rsidP="00F017F1">
            <w:pPr>
              <w:pStyle w:val="ListParagraph"/>
              <w:numPr>
                <w:ilvl w:val="0"/>
                <w:numId w:val="9"/>
              </w:numPr>
              <w:jc w:val="both"/>
              <w:rPr>
                <w:shd w:val="clear" w:color="auto" w:fill="FFFFFF"/>
              </w:rPr>
            </w:pPr>
            <w:r w:rsidRPr="00FE55E8">
              <w:t xml:space="preserve">ATTA CENTRE (adrese: Krasta iela 60, Rīga) (Iznomātājs - SIA “ANEKSO”, </w:t>
            </w:r>
            <w:proofErr w:type="spellStart"/>
            <w:r w:rsidRPr="00FE55E8">
              <w:t>reģ.Nr</w:t>
            </w:r>
            <w:proofErr w:type="spellEnd"/>
            <w:r w:rsidRPr="00FE55E8">
              <w:t xml:space="preserve">. 40103553195, </w:t>
            </w:r>
            <w:proofErr w:type="spellStart"/>
            <w:r w:rsidRPr="00FE55E8">
              <w:t>jur.adrese</w:t>
            </w:r>
            <w:proofErr w:type="spellEnd"/>
            <w:r w:rsidRPr="00FE55E8">
              <w:t>: Kurzemes prospekts 88 – 18, Rīga)</w:t>
            </w:r>
          </w:p>
          <w:p w14:paraId="5A86E988" w14:textId="393DAE33" w:rsidR="00F017F1" w:rsidRPr="00FE55E8" w:rsidRDefault="00F017F1" w:rsidP="00F017F1">
            <w:pPr>
              <w:jc w:val="both"/>
              <w:rPr>
                <w:shd w:val="clear" w:color="auto" w:fill="FFFFFF"/>
              </w:rPr>
            </w:pPr>
            <w:r w:rsidRPr="00FE55E8">
              <w:lastRenderedPageBreak/>
              <w:t xml:space="preserve">Šos divus lielos centrus tika plānots uzturēt no 2021.gada 1.aprīļa līdz 2021.gada 31.augustam. </w:t>
            </w:r>
          </w:p>
          <w:p w14:paraId="6D6BD98F" w14:textId="77777777" w:rsidR="00F017F1" w:rsidRPr="00FE55E8" w:rsidRDefault="00F017F1" w:rsidP="00F017F1">
            <w:pPr>
              <w:ind w:firstLine="878"/>
              <w:jc w:val="both"/>
            </w:pPr>
          </w:p>
          <w:p w14:paraId="0095027C" w14:textId="08E4C345" w:rsidR="00F017F1" w:rsidRPr="00FE55E8" w:rsidRDefault="00F017F1" w:rsidP="00F017F1">
            <w:pPr>
              <w:ind w:firstLine="736"/>
              <w:jc w:val="both"/>
            </w:pPr>
            <w:r w:rsidRPr="00FE55E8">
              <w:t xml:space="preserve">Abu centru izmaksas kopā mēnesī tika plānotas 207 382,62 </w:t>
            </w:r>
            <w:proofErr w:type="spellStart"/>
            <w:r w:rsidRPr="00FE55E8">
              <w:rPr>
                <w:i/>
                <w:iCs/>
              </w:rPr>
              <w:t>euro</w:t>
            </w:r>
            <w:proofErr w:type="spellEnd"/>
            <w:r w:rsidRPr="00FE55E8">
              <w:t xml:space="preserve"> (Starptautiskais izstāžu centrs Ķīpsalā 102 324,58 </w:t>
            </w:r>
            <w:proofErr w:type="spellStart"/>
            <w:r w:rsidRPr="00FE55E8">
              <w:rPr>
                <w:i/>
                <w:iCs/>
              </w:rPr>
              <w:t>euro</w:t>
            </w:r>
            <w:proofErr w:type="spellEnd"/>
            <w:r w:rsidRPr="00FE55E8">
              <w:t xml:space="preserve">; ATTA CENTRE 105 058,04 </w:t>
            </w:r>
            <w:proofErr w:type="spellStart"/>
            <w:r w:rsidRPr="00FE55E8">
              <w:rPr>
                <w:i/>
                <w:iCs/>
              </w:rPr>
              <w:t>euro</w:t>
            </w:r>
            <w:proofErr w:type="spellEnd"/>
            <w:r w:rsidRPr="00FE55E8">
              <w:t xml:space="preserve">), savukārt viena vakcinējamā izmaksas katrā </w:t>
            </w:r>
            <w:r w:rsidR="007F29F6" w:rsidRPr="00FE55E8">
              <w:t>NMVC</w:t>
            </w:r>
            <w:r w:rsidRPr="00FE55E8">
              <w:t xml:space="preserve"> tika plānota attiecīgi 1,28 </w:t>
            </w:r>
            <w:proofErr w:type="spellStart"/>
            <w:r w:rsidRPr="00FE55E8">
              <w:rPr>
                <w:i/>
                <w:iCs/>
              </w:rPr>
              <w:t>euro</w:t>
            </w:r>
            <w:proofErr w:type="spellEnd"/>
            <w:r w:rsidRPr="00FE55E8">
              <w:t xml:space="preserve"> un 1,31 </w:t>
            </w:r>
            <w:proofErr w:type="spellStart"/>
            <w:r w:rsidRPr="00FE55E8">
              <w:rPr>
                <w:i/>
                <w:iCs/>
              </w:rPr>
              <w:t>euro</w:t>
            </w:r>
            <w:proofErr w:type="spellEnd"/>
            <w:r w:rsidRPr="00FE55E8">
              <w:t xml:space="preserve"> apmērā.</w:t>
            </w:r>
            <w:r w:rsidR="00D81E5D" w:rsidRPr="00FE55E8">
              <w:t xml:space="preserve"> </w:t>
            </w:r>
            <w:r w:rsidR="0021692B" w:rsidRPr="00FE55E8">
              <w:t xml:space="preserve">Starp </w:t>
            </w:r>
            <w:r w:rsidR="004F48C7">
              <w:t xml:space="preserve">Nacionālo veselības dienestu (turpmāk – </w:t>
            </w:r>
            <w:r w:rsidR="0021692B" w:rsidRPr="00FE55E8">
              <w:t>NVD</w:t>
            </w:r>
            <w:r w:rsidR="004F48C7">
              <w:t>)</w:t>
            </w:r>
            <w:r w:rsidR="0021692B" w:rsidRPr="00FE55E8">
              <w:t xml:space="preserve"> un abu vakcinācijas centru telpu un aprīkojuma iznomātājiem un pakalpojuma sniedzēju, kas nodrošina nomātu telpu uzkopšanu, noslēgtie līgumi  paredz NVD tiesības izbeigt tos ātrāk par līgumos noteiktajiem to darbības termiņiem, proti, 7 dienas iepriekš brīdinot, kā arī norēķinus veicot par faktiski saņemto pakalpojumu.</w:t>
            </w:r>
          </w:p>
          <w:p w14:paraId="35EF226F" w14:textId="78F2A187" w:rsidR="00F017F1" w:rsidRPr="00FE55E8" w:rsidRDefault="00F017F1" w:rsidP="00F017F1">
            <w:pPr>
              <w:ind w:firstLine="736"/>
              <w:jc w:val="both"/>
            </w:pPr>
            <w:r w:rsidRPr="00FE55E8">
              <w:t xml:space="preserve">Sākotnēji </w:t>
            </w:r>
            <w:r w:rsidR="007F29F6" w:rsidRPr="00FE55E8">
              <w:t>NMVC</w:t>
            </w:r>
            <w:r w:rsidRPr="00FE55E8">
              <w:t xml:space="preserve"> plānotās vakcinācijas jaudas tika īstenotas, taču šobrīd vidēji katrā centrā tiek nodrošinātas vidēji 3 350 (tajā skaitā I. un II. potes) vakcinācijas nedēļā, kas nozīmē, ka mazinās sabiedrības iesaiste vakcinācijā. Uz doto brīdi kopumā strādā 29 masu vakcinācijas centri 23 dažādās pilsētās un novados (tostarp 5 Rīgā).  </w:t>
            </w:r>
          </w:p>
          <w:p w14:paraId="21E9E0E6" w14:textId="4B23D481" w:rsidR="001D0301" w:rsidRPr="00FE55E8" w:rsidRDefault="004171EE" w:rsidP="00133502">
            <w:pPr>
              <w:ind w:firstLine="720"/>
              <w:jc w:val="both"/>
              <w:rPr>
                <w:color w:val="000000" w:themeColor="text1"/>
                <w:shd w:val="clear" w:color="auto" w:fill="FFFFFF"/>
              </w:rPr>
            </w:pPr>
            <w:r w:rsidRPr="00FE55E8">
              <w:rPr>
                <w:color w:val="000000" w:themeColor="text1"/>
                <w:shd w:val="clear" w:color="auto" w:fill="FFFFFF"/>
              </w:rPr>
              <w:t xml:space="preserve">Ņemot vērā minēto, ir nepieciešams mainīt stratēģiju vakcinācijas mērķa sasniegšanai (pēc iespējas ātrāk vakcinēt 70% visu Latvijas pieaugušo iedzīvotāju), turpinot attīstīt vakcinācijas pieejamības procesu, izvirzot vakcinācijas stratēģijas mērķi - “vakcīna dodas pie vakcinējamā”.  Papildus mārketinga kampaņu organizēšanai šaubīgo iedrošināšanai ir nepieciešams radīt iespēju vakcinācijai pret vīrus infekciju Covid-19 būt arvien ērtāk pieejamākai sabiedrībai, līdz ar to nav vairs lietderīgi turpināt uzturēt vakcināciju pret Covid-19 koncentrēti divos </w:t>
            </w:r>
            <w:r w:rsidR="007F29F6" w:rsidRPr="00FE55E8">
              <w:rPr>
                <w:color w:val="000000" w:themeColor="text1"/>
                <w:shd w:val="clear" w:color="auto" w:fill="FFFFFF"/>
              </w:rPr>
              <w:t>NMVC (Starptautiskais izstāžu centrs Ķīpsalā un ATTA CENTRE)</w:t>
            </w:r>
            <w:r w:rsidRPr="00FE55E8">
              <w:rPr>
                <w:color w:val="000000" w:themeColor="text1"/>
                <w:shd w:val="clear" w:color="auto" w:fill="FFFFFF"/>
              </w:rPr>
              <w:t>, bet to vietā atvērt papildus vakcinācijas punktus tirdzniecības centros, tirgos un sabiedriskās vietās gan Rīgā, gan reģionos, gan arī aktīvi piedalīties dažādos privātuzņēmumu organizētos publiskajos pasākumos ar izbraukuma vakcināciju, lai sasniegtu plašāku ģeogrāfisko tvērumu.</w:t>
            </w:r>
          </w:p>
          <w:p w14:paraId="77FEDA97" w14:textId="389C39AC" w:rsidR="007F29F6" w:rsidRPr="00AC3D9D" w:rsidRDefault="007F29F6" w:rsidP="007F29F6">
            <w:pPr>
              <w:ind w:firstLine="720"/>
              <w:jc w:val="both"/>
              <w:rPr>
                <w:color w:val="000000" w:themeColor="text1"/>
                <w:shd w:val="clear" w:color="auto" w:fill="FFFFFF"/>
              </w:rPr>
            </w:pPr>
            <w:r w:rsidRPr="00FE55E8">
              <w:rPr>
                <w:color w:val="000000" w:themeColor="text1"/>
                <w:shd w:val="clear" w:color="auto" w:fill="FFFFFF"/>
              </w:rPr>
              <w:t xml:space="preserve">Veselības ministrijas ieskatā, optimāla vakcinēšanas sistēmas resursu izmantošanai būtu lietderīgi abus NMVC (Starptautiskais izstāžu centrs Ķīpsalā un ATTA CENTRE), </w:t>
            </w:r>
            <w:r w:rsidRPr="00AC3D9D">
              <w:rPr>
                <w:color w:val="000000" w:themeColor="text1"/>
                <w:shd w:val="clear" w:color="auto" w:fill="FFFFFF"/>
              </w:rPr>
              <w:t>ne vēlāk kā ar 2021.gada 31.jūliju aizvērt un to vietā</w:t>
            </w:r>
            <w:r w:rsidR="00030D5A" w:rsidRPr="00AC3D9D">
              <w:rPr>
                <w:color w:val="000000" w:themeColor="text1"/>
                <w:shd w:val="clear" w:color="auto" w:fill="FFFFFF"/>
              </w:rPr>
              <w:t>, sākot ar 2021.gada 18.jūniju pakāpeniski līdz 2021.gada 18.jūlijam,</w:t>
            </w:r>
            <w:r w:rsidRPr="00AC3D9D">
              <w:rPr>
                <w:color w:val="000000" w:themeColor="text1"/>
                <w:shd w:val="clear" w:color="auto" w:fill="FFFFFF"/>
              </w:rPr>
              <w:t xml:space="preserve"> izveidot plašu vakcinācijas tīklu Latvijas Republikas teritorijā ar vismaz 25 jauniem vakcinācijas punktiem</w:t>
            </w:r>
            <w:r w:rsidRPr="00FE55E8">
              <w:rPr>
                <w:color w:val="000000" w:themeColor="text1"/>
                <w:shd w:val="clear" w:color="auto" w:fill="FFFFFF"/>
              </w:rPr>
              <w:t xml:space="preserve"> (Rīgā,  Liepājā, Daugavpilī, Valmierā, Siguldā, Ventspilī, Kuldīgā, Jēkabpilī, Rēzeknē, Jūrmalā, Preiļos, Bauskā, u.c.), </w:t>
            </w:r>
            <w:r w:rsidR="00030D5A" w:rsidRPr="00FE55E8">
              <w:rPr>
                <w:color w:val="000000" w:themeColor="text1"/>
                <w:shd w:val="clear" w:color="auto" w:fill="FFFFFF"/>
              </w:rPr>
              <w:t xml:space="preserve">plānojot to darbības laiku līdz 2021.gada </w:t>
            </w:r>
            <w:r w:rsidR="00F77CEF" w:rsidRPr="00FE55E8">
              <w:rPr>
                <w:color w:val="000000" w:themeColor="text1"/>
                <w:shd w:val="clear" w:color="auto" w:fill="FFFFFF"/>
              </w:rPr>
              <w:t>31.</w:t>
            </w:r>
            <w:r w:rsidR="00030D5A" w:rsidRPr="00FE55E8">
              <w:rPr>
                <w:color w:val="000000" w:themeColor="text1"/>
                <w:shd w:val="clear" w:color="auto" w:fill="FFFFFF"/>
              </w:rPr>
              <w:t xml:space="preserve">decembrim, tādējādi </w:t>
            </w:r>
            <w:r w:rsidRPr="00FE55E8">
              <w:rPr>
                <w:color w:val="000000" w:themeColor="text1"/>
                <w:shd w:val="clear" w:color="auto" w:fill="FFFFFF"/>
              </w:rPr>
              <w:t xml:space="preserve">radot sabiedrībai vēl ērtāku piekļuvi vakcinācijai, jebkuram indivīdam viņam ērtākā laikā un vietā ar vai bez iepriekšēja pieraksta. Kā mērķa objekti vakcinācijas punktu izveidei ir izvēlēti tirdzniecības centri dažādos Latvijas reģionos, jo tirdzniecības centri </w:t>
            </w:r>
            <w:r w:rsidRPr="00AC3D9D">
              <w:rPr>
                <w:color w:val="000000" w:themeColor="text1"/>
                <w:shd w:val="clear" w:color="auto" w:fill="FFFFFF"/>
              </w:rPr>
              <w:t xml:space="preserve">ir tās vietas, kurus ikdienu apmeklē liels skaits cilvēku. </w:t>
            </w:r>
          </w:p>
          <w:p w14:paraId="781CB848" w14:textId="24F88853" w:rsidR="00030D5A" w:rsidRPr="00FE55E8" w:rsidRDefault="00030D5A" w:rsidP="00030D5A">
            <w:pPr>
              <w:ind w:firstLine="720"/>
              <w:jc w:val="both"/>
              <w:rPr>
                <w:color w:val="000000" w:themeColor="text1"/>
                <w:shd w:val="clear" w:color="auto" w:fill="FFFFFF"/>
              </w:rPr>
            </w:pPr>
            <w:r w:rsidRPr="00AC3D9D">
              <w:rPr>
                <w:color w:val="000000" w:themeColor="text1"/>
                <w:shd w:val="clear" w:color="auto" w:fill="FFFFFF"/>
              </w:rPr>
              <w:t>2021.gada 18.jūnijā tika atvērti Rīgā pirmie trīs vakcinācijas pagaidu punkti. 2021.gada 21.jūnijā tiks atvērti vēl divi Rīgā un viens Liepājā, 2021.gada 22.jūnijā  viens Madonā, 2021.gada 28.jūnijā  pa vienam Rīgā un Daugavpilī, savukārt 2021.gada 1.jūlijā vēl viens punkts tiks atvērts Rīgā.</w:t>
            </w:r>
            <w:r w:rsidRPr="00FE55E8">
              <w:rPr>
                <w:color w:val="000000" w:themeColor="text1"/>
                <w:shd w:val="clear" w:color="auto" w:fill="FFFFFF"/>
              </w:rPr>
              <w:t xml:space="preserve">  </w:t>
            </w:r>
          </w:p>
          <w:p w14:paraId="2B13F6CA" w14:textId="77777777" w:rsidR="00030D5A" w:rsidRPr="00FE55E8" w:rsidRDefault="00030D5A" w:rsidP="00030D5A">
            <w:pPr>
              <w:ind w:firstLine="720"/>
              <w:jc w:val="both"/>
              <w:rPr>
                <w:color w:val="000000" w:themeColor="text1"/>
                <w:shd w:val="clear" w:color="auto" w:fill="FFFFFF"/>
              </w:rPr>
            </w:pPr>
            <w:r w:rsidRPr="00FE55E8">
              <w:rPr>
                <w:color w:val="000000" w:themeColor="text1"/>
                <w:shd w:val="clear" w:color="auto" w:fill="FFFFFF"/>
              </w:rPr>
              <w:t xml:space="preserve">Attiecīgi vēl 15 vakcinācijas pagaidu punktus plānots atvērt līdz 2021.gada 18.jūlijam, par kuru atvēršanu tirdzniecības centros tuvākajā </w:t>
            </w:r>
            <w:r w:rsidRPr="00FE55E8">
              <w:rPr>
                <w:color w:val="000000" w:themeColor="text1"/>
                <w:shd w:val="clear" w:color="auto" w:fill="FFFFFF"/>
              </w:rPr>
              <w:lastRenderedPageBreak/>
              <w:t xml:space="preserve">laikā tiks uzsāktas/turpinātas  pārrunas. Plānotās pilsētas, kurās tos varētu atvērt ir Valmiera, Sigulda, Ventspils, Kuldīga, Jēkabpils, Rēzekne, Jūrmala, Preiļi, Bauska un citas pilsētas, izvērtējot ģeogrāfisko atrašanās vietu, lai nodrošinātu pēc iespējas labāko ģeogrāfisko aptveri. </w:t>
            </w:r>
          </w:p>
          <w:p w14:paraId="0714D216" w14:textId="2BB3C832" w:rsidR="007F29F6" w:rsidRPr="00AC3D9D" w:rsidRDefault="007F29F6" w:rsidP="00030D5A">
            <w:pPr>
              <w:ind w:firstLine="720"/>
              <w:jc w:val="both"/>
              <w:rPr>
                <w:color w:val="000000" w:themeColor="text1"/>
                <w:shd w:val="clear" w:color="auto" w:fill="FFFFFF"/>
              </w:rPr>
            </w:pPr>
            <w:r w:rsidRPr="00AC3D9D">
              <w:rPr>
                <w:color w:val="000000" w:themeColor="text1"/>
                <w:shd w:val="clear" w:color="auto" w:fill="FFFFFF"/>
              </w:rPr>
              <w:t xml:space="preserve">Katrā no punktiem plānots nodrošinot vismaz vienu ārstniecības personu brigādi, kas dienā var apkalpot vidēji 300 personas, līdz ar to, kopējā vakcinācijas jauda nedēļā 25 jaunos vakcinācijas punktos varētu veidot līdz 7 500 vakcinācijām nedēļā. </w:t>
            </w:r>
            <w:r w:rsidR="008947F1" w:rsidRPr="00AC3D9D">
              <w:rPr>
                <w:color w:val="000000" w:themeColor="text1"/>
                <w:shd w:val="clear" w:color="auto" w:fill="FFFFFF"/>
              </w:rPr>
              <w:t>Šajos punktos plānota vakcinācija gan pēc iepriekšēja pieraksta, gan arī bez iepriekšēja pieraksta.</w:t>
            </w:r>
            <w:r w:rsidRPr="00AC3D9D">
              <w:rPr>
                <w:color w:val="000000" w:themeColor="text1"/>
                <w:shd w:val="clear" w:color="auto" w:fill="FFFFFF"/>
              </w:rPr>
              <w:t xml:space="preserve">   </w:t>
            </w:r>
          </w:p>
          <w:p w14:paraId="44CC59F4" w14:textId="77777777" w:rsidR="007F29F6" w:rsidRPr="00AC3D9D" w:rsidRDefault="007F29F6" w:rsidP="007F29F6">
            <w:pPr>
              <w:ind w:firstLine="720"/>
              <w:jc w:val="both"/>
              <w:rPr>
                <w:color w:val="000000" w:themeColor="text1"/>
                <w:shd w:val="clear" w:color="auto" w:fill="FFFFFF"/>
              </w:rPr>
            </w:pPr>
            <w:r w:rsidRPr="00AC3D9D">
              <w:rPr>
                <w:color w:val="000000" w:themeColor="text1"/>
                <w:shd w:val="clear" w:color="auto" w:fill="FFFFFF"/>
              </w:rPr>
              <w:t xml:space="preserve">Lai minēto īstenotu, nepieciešams turpmāk pārorientēties uz vakcinācijas punktu veidošanu tirdzniecības centru teritorijās (gan iekštelpās, gan ārpusē), pilsētu un novadu tirgos, dažādos publiskajos pasākumos organizējot izbraukuma vakcinācijas ar pārvietojamajām teltīm gadatirgos, koncertos un citos publiskajos pasākumos, un citās publiskajās ēkās/telpās.  </w:t>
            </w:r>
          </w:p>
          <w:p w14:paraId="3DB141DD" w14:textId="618242A9" w:rsidR="008947F1" w:rsidRPr="00AC3D9D" w:rsidRDefault="008947F1" w:rsidP="007F29F6">
            <w:pPr>
              <w:ind w:firstLine="720"/>
              <w:jc w:val="both"/>
              <w:rPr>
                <w:color w:val="000000" w:themeColor="text1"/>
                <w:shd w:val="clear" w:color="auto" w:fill="FFFFFF"/>
              </w:rPr>
            </w:pPr>
            <w:r w:rsidRPr="00AC3D9D">
              <w:rPr>
                <w:color w:val="000000" w:themeColor="text1"/>
                <w:shd w:val="clear" w:color="auto" w:fill="FFFFFF"/>
              </w:rPr>
              <w:t>Galvenie nosacījumi vakcinācijas pagaidu punktu atvēršanai ir vieta, kurā ik dienu ir liela cilvēku plūsma un arī sabiedrisko telpu īpašnieks/iznomātājs, kurš ir gatavs iesaistīties un piekrist vakcinācijas punktu atvēršanai privātuzņēmēja telpās/ēkā par noteikto līdzmaksājumu.</w:t>
            </w:r>
          </w:p>
          <w:p w14:paraId="1982D40B" w14:textId="0256240A" w:rsidR="007F29F6" w:rsidRPr="00FE55E8" w:rsidRDefault="007F29F6" w:rsidP="007F29F6">
            <w:pPr>
              <w:ind w:firstLine="720"/>
              <w:jc w:val="both"/>
              <w:rPr>
                <w:color w:val="000000" w:themeColor="text1"/>
                <w:shd w:val="clear" w:color="auto" w:fill="FFFFFF"/>
              </w:rPr>
            </w:pPr>
            <w:r w:rsidRPr="00AC3D9D">
              <w:rPr>
                <w:color w:val="000000" w:themeColor="text1"/>
                <w:shd w:val="clear" w:color="auto" w:fill="FFFFFF"/>
              </w:rPr>
              <w:t xml:space="preserve">Tirdzniecības centri šobrīd gatavi nodot vakcinācijas punkta izveidei telpas vai konkrētu vietu tirdzniecības centrā bez atlīdzības. Kā vienīgos maksājumus būtu nepieciešams nodrošināt par telpu uzkopšanu, apsardzi, ūdens un kanalizācijas apgādi, elektroenerģiju, interneta </w:t>
            </w:r>
            <w:proofErr w:type="spellStart"/>
            <w:r w:rsidRPr="00AC3D9D">
              <w:rPr>
                <w:color w:val="000000" w:themeColor="text1"/>
                <w:shd w:val="clear" w:color="auto" w:fill="FFFFFF"/>
              </w:rPr>
              <w:t>pieslēgumu</w:t>
            </w:r>
            <w:proofErr w:type="spellEnd"/>
            <w:r w:rsidRPr="00AC3D9D">
              <w:rPr>
                <w:color w:val="000000" w:themeColor="text1"/>
                <w:shd w:val="clear" w:color="auto" w:fill="FFFFFF"/>
              </w:rPr>
              <w:t xml:space="preserve">, sadzīves atkritumu izvešanu un pēc nepieciešamības arī par minimālo mēbeļu aprīkojumu (galdi, krēsli u.c.) nomu līdzmaksājuma veidā. Uz doto brīdi pēc apzinātajām aplēsēm, vienam tirdzniecības centrā iekārtotajam vakcinācijas punktam, </w:t>
            </w:r>
            <w:proofErr w:type="spellStart"/>
            <w:r w:rsidRPr="00AC3D9D">
              <w:rPr>
                <w:color w:val="000000" w:themeColor="text1"/>
                <w:shd w:val="clear" w:color="auto" w:fill="FFFFFF"/>
              </w:rPr>
              <w:t>līdzmaksājums</w:t>
            </w:r>
            <w:proofErr w:type="spellEnd"/>
            <w:r w:rsidRPr="00AC3D9D">
              <w:rPr>
                <w:color w:val="000000" w:themeColor="text1"/>
                <w:shd w:val="clear" w:color="auto" w:fill="FFFFFF"/>
              </w:rPr>
              <w:t xml:space="preserve"> indikatīvi varētu veidot līdz 1 400 </w:t>
            </w:r>
            <w:proofErr w:type="spellStart"/>
            <w:r w:rsidRPr="00AC3D9D">
              <w:rPr>
                <w:i/>
                <w:iCs/>
                <w:color w:val="000000" w:themeColor="text1"/>
                <w:shd w:val="clear" w:color="auto" w:fill="FFFFFF"/>
              </w:rPr>
              <w:t>euro</w:t>
            </w:r>
            <w:proofErr w:type="spellEnd"/>
            <w:r w:rsidRPr="00AC3D9D">
              <w:rPr>
                <w:color w:val="000000" w:themeColor="text1"/>
                <w:shd w:val="clear" w:color="auto" w:fill="FFFFFF"/>
              </w:rPr>
              <w:t xml:space="preserve"> apmērā mēnesī, atkarībā no tā, vai ir nepieciešams papildus nodrošināt ar minimāli nepieciešamo mēbeļu, aizslietņu u.c. aprīkojumu. Papildus jaunajos vakcinācijas punktos (plānots 5 vakcinācijas punktos) nepieciešams būs nodrošināt vienas ārstniecības iestādes brigādes tehnisko aprīkojumu, kur </w:t>
            </w:r>
            <w:proofErr w:type="spellStart"/>
            <w:r w:rsidRPr="00AC3D9D">
              <w:rPr>
                <w:color w:val="000000" w:themeColor="text1"/>
                <w:shd w:val="clear" w:color="auto" w:fill="FFFFFF"/>
              </w:rPr>
              <w:t>līdzmaksājums</w:t>
            </w:r>
            <w:proofErr w:type="spellEnd"/>
            <w:r w:rsidRPr="00AC3D9D">
              <w:rPr>
                <w:color w:val="000000" w:themeColor="text1"/>
                <w:shd w:val="clear" w:color="auto" w:fill="FFFFFF"/>
              </w:rPr>
              <w:t xml:space="preserve"> indikatīvi varētu veidot līdz 900 </w:t>
            </w:r>
            <w:proofErr w:type="spellStart"/>
            <w:r w:rsidRPr="00AC3D9D">
              <w:rPr>
                <w:i/>
                <w:iCs/>
                <w:color w:val="000000" w:themeColor="text1"/>
                <w:shd w:val="clear" w:color="auto" w:fill="FFFFFF"/>
              </w:rPr>
              <w:t>euro</w:t>
            </w:r>
            <w:proofErr w:type="spellEnd"/>
            <w:r w:rsidRPr="00AC3D9D">
              <w:rPr>
                <w:color w:val="000000" w:themeColor="text1"/>
                <w:shd w:val="clear" w:color="auto" w:fill="FFFFFF"/>
              </w:rPr>
              <w:t xml:space="preserve"> apmērā mēnesī.</w:t>
            </w:r>
            <w:r w:rsidRPr="00FE55E8">
              <w:rPr>
                <w:color w:val="000000" w:themeColor="text1"/>
                <w:shd w:val="clear" w:color="auto" w:fill="FFFFFF"/>
              </w:rPr>
              <w:t xml:space="preserve"> </w:t>
            </w:r>
          </w:p>
          <w:p w14:paraId="69EC1D09" w14:textId="00925B95" w:rsidR="001D0301" w:rsidRPr="00FE55E8" w:rsidRDefault="007F29F6" w:rsidP="007F29F6">
            <w:pPr>
              <w:ind w:firstLine="720"/>
              <w:jc w:val="both"/>
              <w:rPr>
                <w:color w:val="000000" w:themeColor="text1"/>
                <w:shd w:val="clear" w:color="auto" w:fill="FFFFFF"/>
              </w:rPr>
            </w:pPr>
            <w:r w:rsidRPr="00FE55E8">
              <w:rPr>
                <w:color w:val="000000" w:themeColor="text1"/>
                <w:shd w:val="clear" w:color="auto" w:fill="FFFFFF"/>
              </w:rPr>
              <w:t>Papildus plānots organizēt vakcināciju bez pieraksta arī privātuzņēmumu organizētajos publiskajos pasākumos</w:t>
            </w:r>
            <w:r w:rsidR="00030D5A" w:rsidRPr="00FE55E8">
              <w:rPr>
                <w:color w:val="000000" w:themeColor="text1"/>
                <w:shd w:val="clear" w:color="auto" w:fill="FFFFFF"/>
              </w:rPr>
              <w:t xml:space="preserve"> vai vietās</w:t>
            </w:r>
            <w:r w:rsidRPr="00FE55E8">
              <w:rPr>
                <w:color w:val="000000" w:themeColor="text1"/>
                <w:shd w:val="clear" w:color="auto" w:fill="FFFFFF"/>
              </w:rPr>
              <w:t xml:space="preserve"> (koncerti</w:t>
            </w:r>
            <w:r w:rsidR="00030D5A" w:rsidRPr="00FE55E8">
              <w:rPr>
                <w:color w:val="000000" w:themeColor="text1"/>
                <w:shd w:val="clear" w:color="auto" w:fill="FFFFFF"/>
              </w:rPr>
              <w:t xml:space="preserve">, ielu tirdzniecība, gadatirgi </w:t>
            </w:r>
            <w:r w:rsidRPr="00FE55E8">
              <w:rPr>
                <w:color w:val="000000" w:themeColor="text1"/>
                <w:shd w:val="clear" w:color="auto" w:fill="FFFFFF"/>
              </w:rPr>
              <w:t>u.c.) izbraukuma vakcinācijas ietvaros</w:t>
            </w:r>
            <w:r w:rsidR="00030D5A" w:rsidRPr="00FE55E8">
              <w:rPr>
                <w:color w:val="000000" w:themeColor="text1"/>
                <w:shd w:val="clear" w:color="auto" w:fill="FFFFFF"/>
              </w:rPr>
              <w:t xml:space="preserve">, kā mērķa grupu nosakot </w:t>
            </w:r>
            <w:r w:rsidR="003652EC" w:rsidRPr="00FE55E8">
              <w:rPr>
                <w:color w:val="000000" w:themeColor="text1"/>
                <w:shd w:val="clear" w:color="auto" w:fill="FFFFFF"/>
              </w:rPr>
              <w:t>Covid-19 izslimojušas un testētas personas</w:t>
            </w:r>
            <w:r w:rsidRPr="00FE55E8">
              <w:rPr>
                <w:color w:val="000000" w:themeColor="text1"/>
                <w:shd w:val="clear" w:color="auto" w:fill="FFFFFF"/>
              </w:rPr>
              <w:t xml:space="preserve">. Kā līdzfinansējumu, nodrošinot par elektroenerģiju, atkritumu izvešanu, pārvietojamo labierīcību nodrošināšanu utt., indikatīvi varētu veidot līdz </w:t>
            </w:r>
            <w:r w:rsidRPr="00AC3D9D">
              <w:rPr>
                <w:color w:val="000000" w:themeColor="text1"/>
                <w:shd w:val="clear" w:color="auto" w:fill="FFFFFF"/>
              </w:rPr>
              <w:t xml:space="preserve">100 </w:t>
            </w:r>
            <w:proofErr w:type="spellStart"/>
            <w:r w:rsidRPr="00AC3D9D">
              <w:rPr>
                <w:color w:val="000000" w:themeColor="text1"/>
                <w:shd w:val="clear" w:color="auto" w:fill="FFFFFF"/>
              </w:rPr>
              <w:t>euro</w:t>
            </w:r>
            <w:proofErr w:type="spellEnd"/>
            <w:r w:rsidRPr="00AC3D9D">
              <w:rPr>
                <w:color w:val="000000" w:themeColor="text1"/>
                <w:shd w:val="clear" w:color="auto" w:fill="FFFFFF"/>
              </w:rPr>
              <w:t xml:space="preserve"> vienas dienas pasākumā. Kopumā plānots piedalīties līdz 9 privātuzņēmumu organizētajos publiskajos pasākumos tuvāko trīs mēnešu ietvaros), kura laikā provizoriski varētu savakcinēt līdz </w:t>
            </w:r>
            <w:r w:rsidR="006C2182" w:rsidRPr="00AC3D9D">
              <w:rPr>
                <w:color w:val="000000" w:themeColor="text1"/>
                <w:shd w:val="clear" w:color="auto" w:fill="FFFFFF"/>
              </w:rPr>
              <w:t xml:space="preserve">300 </w:t>
            </w:r>
            <w:r w:rsidRPr="00AC3D9D">
              <w:rPr>
                <w:color w:val="000000" w:themeColor="text1"/>
                <w:shd w:val="clear" w:color="auto" w:fill="FFFFFF"/>
              </w:rPr>
              <w:t>cilvēkiem vienā pasākumā.</w:t>
            </w:r>
          </w:p>
          <w:p w14:paraId="399DD340" w14:textId="40A5251E" w:rsidR="007F29F6" w:rsidRPr="00FE55E8" w:rsidRDefault="007F29F6" w:rsidP="007F29F6">
            <w:pPr>
              <w:ind w:firstLine="720"/>
              <w:jc w:val="both"/>
              <w:rPr>
                <w:color w:val="000000" w:themeColor="text1"/>
                <w:shd w:val="clear" w:color="auto" w:fill="FFFFFF"/>
              </w:rPr>
            </w:pPr>
            <w:r w:rsidRPr="00AC3D9D">
              <w:rPr>
                <w:color w:val="000000" w:themeColor="text1"/>
                <w:shd w:val="clear" w:color="auto" w:fill="FFFFFF"/>
              </w:rPr>
              <w:t xml:space="preserve">Pieņemot, ka izveidojot plašu vakcinācijas punktu tīklu ar vismaz 25 jauniem vakcinācijas punktiem visā Latvijas Republikas teritorijā  tirdzniecības centros, tirgos un citās sabiedriskās vietās, ka arī noorganizējot dalību līdz 9 privātuzņēmumu organizētajos publiskajos pasākumos un veicot līdzmaksājumu par telpu uzkopšanu, apsardzi, ūdens un kanalizācijas apgādi, elektroenerģiju, interneta </w:t>
            </w:r>
            <w:proofErr w:type="spellStart"/>
            <w:r w:rsidRPr="00AC3D9D">
              <w:rPr>
                <w:color w:val="000000" w:themeColor="text1"/>
                <w:shd w:val="clear" w:color="auto" w:fill="FFFFFF"/>
              </w:rPr>
              <w:t>pieslēgumu</w:t>
            </w:r>
            <w:proofErr w:type="spellEnd"/>
            <w:r w:rsidRPr="00AC3D9D">
              <w:rPr>
                <w:color w:val="000000" w:themeColor="text1"/>
                <w:shd w:val="clear" w:color="auto" w:fill="FFFFFF"/>
              </w:rPr>
              <w:t xml:space="preserve">, sadzīves atkritumu izvešanu un pēc nepieciešamības arī par minimālo mēbeļu aprīkojumu (galdi, krēsli, </w:t>
            </w:r>
            <w:proofErr w:type="spellStart"/>
            <w:r w:rsidRPr="00AC3D9D">
              <w:rPr>
                <w:color w:val="000000" w:themeColor="text1"/>
                <w:shd w:val="clear" w:color="auto" w:fill="FFFFFF"/>
              </w:rPr>
              <w:t>aizlietņi</w:t>
            </w:r>
            <w:proofErr w:type="spellEnd"/>
            <w:r w:rsidRPr="00AC3D9D">
              <w:rPr>
                <w:color w:val="000000" w:themeColor="text1"/>
                <w:shd w:val="clear" w:color="auto" w:fill="FFFFFF"/>
              </w:rPr>
              <w:t xml:space="preserve"> u.c.) nomu - līdz 1 400 </w:t>
            </w:r>
            <w:proofErr w:type="spellStart"/>
            <w:r w:rsidRPr="00AC3D9D">
              <w:rPr>
                <w:i/>
                <w:iCs/>
                <w:color w:val="000000" w:themeColor="text1"/>
                <w:shd w:val="clear" w:color="auto" w:fill="FFFFFF"/>
              </w:rPr>
              <w:t>euro</w:t>
            </w:r>
            <w:proofErr w:type="spellEnd"/>
            <w:r w:rsidRPr="00AC3D9D">
              <w:rPr>
                <w:color w:val="000000" w:themeColor="text1"/>
                <w:shd w:val="clear" w:color="auto" w:fill="FFFFFF"/>
              </w:rPr>
              <w:t xml:space="preserve"> mēnesī vai </w:t>
            </w:r>
            <w:r w:rsidRPr="00AC3D9D">
              <w:rPr>
                <w:color w:val="000000" w:themeColor="text1"/>
                <w:shd w:val="clear" w:color="auto" w:fill="FFFFFF"/>
              </w:rPr>
              <w:lastRenderedPageBreak/>
              <w:t xml:space="preserve">līdz 100 </w:t>
            </w:r>
            <w:proofErr w:type="spellStart"/>
            <w:r w:rsidRPr="00AC3D9D">
              <w:rPr>
                <w:i/>
                <w:iCs/>
                <w:color w:val="000000" w:themeColor="text1"/>
                <w:shd w:val="clear" w:color="auto" w:fill="FFFFFF"/>
              </w:rPr>
              <w:t>euro</w:t>
            </w:r>
            <w:proofErr w:type="spellEnd"/>
            <w:r w:rsidRPr="00AC3D9D">
              <w:rPr>
                <w:color w:val="000000" w:themeColor="text1"/>
                <w:shd w:val="clear" w:color="auto" w:fill="FFFFFF"/>
              </w:rPr>
              <w:t xml:space="preserve"> dienā par dalību privātuzņēmuma organizētajā publiskajā pasākumā</w:t>
            </w:r>
            <w:r w:rsidR="003226A1" w:rsidRPr="00AC3D9D">
              <w:rPr>
                <w:color w:val="000000" w:themeColor="text1"/>
                <w:shd w:val="clear" w:color="auto" w:fill="FFFFFF"/>
              </w:rPr>
              <w:t>.</w:t>
            </w:r>
            <w:r w:rsidRPr="00AC3D9D">
              <w:rPr>
                <w:color w:val="000000" w:themeColor="text1"/>
                <w:shd w:val="clear" w:color="auto" w:fill="FFFFFF"/>
              </w:rPr>
              <w:t xml:space="preserve"> </w:t>
            </w:r>
            <w:r w:rsidR="003226A1" w:rsidRPr="00AC3D9D">
              <w:rPr>
                <w:color w:val="000000" w:themeColor="text1"/>
                <w:shd w:val="clear" w:color="auto" w:fill="FFFFFF"/>
              </w:rPr>
              <w:t>J</w:t>
            </w:r>
            <w:r w:rsidRPr="00AC3D9D">
              <w:rPr>
                <w:color w:val="000000" w:themeColor="text1"/>
                <w:shd w:val="clear" w:color="auto" w:fill="FFFFFF"/>
              </w:rPr>
              <w:t>aunajos vakcinācijas punktos</w:t>
            </w:r>
            <w:r w:rsidR="003226A1" w:rsidRPr="00AC3D9D">
              <w:rPr>
                <w:color w:val="000000" w:themeColor="text1"/>
                <w:shd w:val="clear" w:color="auto" w:fill="FFFFFF"/>
              </w:rPr>
              <w:t xml:space="preserve"> var būt </w:t>
            </w:r>
            <w:r w:rsidRPr="00AC3D9D">
              <w:rPr>
                <w:color w:val="000000" w:themeColor="text1"/>
                <w:shd w:val="clear" w:color="auto" w:fill="FFFFFF"/>
              </w:rPr>
              <w:t xml:space="preserve">nepieciešams nodrošināt </w:t>
            </w:r>
            <w:r w:rsidR="003226A1" w:rsidRPr="00AC3D9D">
              <w:rPr>
                <w:color w:val="000000" w:themeColor="text1"/>
                <w:shd w:val="clear" w:color="auto" w:fill="FFFFFF"/>
              </w:rPr>
              <w:t>papildus</w:t>
            </w:r>
            <w:r w:rsidRPr="00AC3D9D">
              <w:rPr>
                <w:color w:val="000000" w:themeColor="text1"/>
                <w:shd w:val="clear" w:color="auto" w:fill="FFFFFF"/>
              </w:rPr>
              <w:t xml:space="preserve"> ārstniecības iestādes brigādes tehnisko aprīkojumu, kur </w:t>
            </w:r>
            <w:proofErr w:type="spellStart"/>
            <w:r w:rsidRPr="00AC3D9D">
              <w:rPr>
                <w:color w:val="000000" w:themeColor="text1"/>
                <w:shd w:val="clear" w:color="auto" w:fill="FFFFFF"/>
              </w:rPr>
              <w:t>līdzmaksājums</w:t>
            </w:r>
            <w:proofErr w:type="spellEnd"/>
            <w:r w:rsidRPr="00AC3D9D">
              <w:rPr>
                <w:color w:val="000000" w:themeColor="text1"/>
                <w:shd w:val="clear" w:color="auto" w:fill="FFFFFF"/>
              </w:rPr>
              <w:t xml:space="preserve"> indikatīvi varētu veidot līdz 900 </w:t>
            </w:r>
            <w:proofErr w:type="spellStart"/>
            <w:r w:rsidRPr="00AC3D9D">
              <w:rPr>
                <w:i/>
                <w:iCs/>
                <w:color w:val="000000" w:themeColor="text1"/>
                <w:shd w:val="clear" w:color="auto" w:fill="FFFFFF"/>
              </w:rPr>
              <w:t>euro</w:t>
            </w:r>
            <w:proofErr w:type="spellEnd"/>
            <w:r w:rsidRPr="00AC3D9D">
              <w:rPr>
                <w:color w:val="000000" w:themeColor="text1"/>
                <w:shd w:val="clear" w:color="auto" w:fill="FFFFFF"/>
              </w:rPr>
              <w:t xml:space="preserve"> mēnesī.</w:t>
            </w:r>
            <w:r w:rsidRPr="00FE55E8">
              <w:rPr>
                <w:color w:val="000000" w:themeColor="text1"/>
                <w:shd w:val="clear" w:color="auto" w:fill="FFFFFF"/>
              </w:rPr>
              <w:t xml:space="preserve"> Tādējādi kopējās maksimālās indikatīvās izmaksas mēnesī varētu veidot līdz 35</w:t>
            </w:r>
            <w:r w:rsidR="0076636F" w:rsidRPr="00FE55E8">
              <w:rPr>
                <w:color w:val="000000" w:themeColor="text1"/>
                <w:shd w:val="clear" w:color="auto" w:fill="FFFFFF"/>
              </w:rPr>
              <w:t> </w:t>
            </w:r>
            <w:r w:rsidRPr="00FE55E8">
              <w:rPr>
                <w:color w:val="000000" w:themeColor="text1"/>
                <w:shd w:val="clear" w:color="auto" w:fill="FFFFFF"/>
              </w:rPr>
              <w:t xml:space="preserve">900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 xml:space="preserve">, savukārt par visu periodu no 2021.gada 18.jūnija līdz 2021.gada 31.decembrim 228 400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w:t>
            </w:r>
          </w:p>
          <w:p w14:paraId="76BE1769" w14:textId="1EEB64AB" w:rsidR="007F29F6" w:rsidRPr="00FE55E8" w:rsidRDefault="007F29F6" w:rsidP="007F29F6">
            <w:pPr>
              <w:ind w:firstLine="720"/>
              <w:jc w:val="both"/>
              <w:rPr>
                <w:color w:val="000000" w:themeColor="text1"/>
                <w:shd w:val="clear" w:color="auto" w:fill="FFFFFF"/>
              </w:rPr>
            </w:pPr>
            <w:r w:rsidRPr="00FE55E8">
              <w:rPr>
                <w:color w:val="000000" w:themeColor="text1"/>
                <w:shd w:val="clear" w:color="auto" w:fill="FFFFFF"/>
              </w:rPr>
              <w:t xml:space="preserve">Plānots, ka viena vakcinējamā indikatīvas izmaksas vidēji būs līdz 1,16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 xml:space="preserve">  (35 900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 xml:space="preserve"> </w:t>
            </w:r>
            <w:r w:rsidR="00BD14D9">
              <w:rPr>
                <w:color w:val="000000" w:themeColor="text1"/>
                <w:shd w:val="clear" w:color="auto" w:fill="FFFFFF"/>
              </w:rPr>
              <w:t>(izdevumi mēnesī)</w:t>
            </w:r>
            <w:r w:rsidRPr="00FE55E8">
              <w:rPr>
                <w:color w:val="000000" w:themeColor="text1"/>
                <w:shd w:val="clear" w:color="auto" w:fill="FFFFFF"/>
              </w:rPr>
              <w:t xml:space="preserve">/ ((7500 </w:t>
            </w:r>
            <w:r w:rsidR="00BD14D9">
              <w:rPr>
                <w:color w:val="000000" w:themeColor="text1"/>
                <w:shd w:val="clear" w:color="auto" w:fill="FFFFFF"/>
              </w:rPr>
              <w:t>(cilvēku skaits nedēļā)</w:t>
            </w:r>
            <w:r w:rsidRPr="00FE55E8">
              <w:rPr>
                <w:color w:val="000000" w:themeColor="text1"/>
                <w:shd w:val="clear" w:color="auto" w:fill="FFFFFF"/>
              </w:rPr>
              <w:t>x 4 ned</w:t>
            </w:r>
            <w:r w:rsidR="00BD14D9">
              <w:rPr>
                <w:color w:val="000000" w:themeColor="text1"/>
                <w:shd w:val="clear" w:color="auto" w:fill="FFFFFF"/>
              </w:rPr>
              <w:t>ēļas</w:t>
            </w:r>
            <w:r w:rsidRPr="00FE55E8">
              <w:rPr>
                <w:color w:val="000000" w:themeColor="text1"/>
                <w:shd w:val="clear" w:color="auto" w:fill="FFFFFF"/>
              </w:rPr>
              <w:t>) + 900</w:t>
            </w:r>
            <w:r w:rsidR="00F76FB8">
              <w:rPr>
                <w:color w:val="000000" w:themeColor="text1"/>
                <w:shd w:val="clear" w:color="auto" w:fill="FFFFFF"/>
              </w:rPr>
              <w:t xml:space="preserve"> </w:t>
            </w:r>
            <w:r w:rsidR="00124FA9">
              <w:rPr>
                <w:color w:val="000000" w:themeColor="text1"/>
                <w:shd w:val="clear" w:color="auto" w:fill="FFFFFF"/>
              </w:rPr>
              <w:t xml:space="preserve"> </w:t>
            </w:r>
            <w:r w:rsidR="00BD14D9">
              <w:rPr>
                <w:color w:val="000000" w:themeColor="text1"/>
                <w:shd w:val="clear" w:color="auto" w:fill="FFFFFF"/>
              </w:rPr>
              <w:t>(</w:t>
            </w:r>
            <w:r w:rsidR="00FA04AF">
              <w:rPr>
                <w:color w:val="000000" w:themeColor="text1"/>
                <w:shd w:val="clear" w:color="auto" w:fill="FFFFFF"/>
              </w:rPr>
              <w:t>cilvēku skaits (</w:t>
            </w:r>
            <w:r w:rsidR="00BD14D9">
              <w:rPr>
                <w:color w:val="000000" w:themeColor="text1"/>
                <w:shd w:val="clear" w:color="auto" w:fill="FFFFFF"/>
              </w:rPr>
              <w:t>mēnesī 3 pasākumi un katrā pasākumā 300 vakcinācijas)</w:t>
            </w:r>
            <w:r w:rsidRPr="00FE55E8">
              <w:rPr>
                <w:color w:val="000000" w:themeColor="text1"/>
                <w:shd w:val="clear" w:color="auto" w:fill="FFFFFF"/>
              </w:rPr>
              <w:t xml:space="preserve">)), pie nosacījuma, ka visos tirdzniecības centros tiktu piemērots maksimālais līdzfinansējuma apmērs. </w:t>
            </w:r>
          </w:p>
          <w:p w14:paraId="5D6C9033" w14:textId="5A4F3410" w:rsidR="00B53558" w:rsidRPr="00FE55E8" w:rsidRDefault="007F29F6" w:rsidP="007F29F6">
            <w:pPr>
              <w:ind w:firstLine="720"/>
              <w:jc w:val="both"/>
              <w:rPr>
                <w:color w:val="000000" w:themeColor="text1"/>
                <w:shd w:val="clear" w:color="auto" w:fill="FFFFFF"/>
              </w:rPr>
            </w:pPr>
            <w:r w:rsidRPr="00AC3D9D">
              <w:rPr>
                <w:color w:val="000000" w:themeColor="text1"/>
                <w:shd w:val="clear" w:color="auto" w:fill="FFFFFF"/>
              </w:rPr>
              <w:t xml:space="preserve">Minētais līdzfinansējums varētu tikt segts no finanšu līdzekļu uzkrājuma, kas veidosies par 2021.gada augusta periodu, kad abi </w:t>
            </w:r>
            <w:r w:rsidR="00DB3037" w:rsidRPr="00AC3D9D">
              <w:rPr>
                <w:color w:val="000000" w:themeColor="text1"/>
                <w:shd w:val="clear" w:color="auto" w:fill="FFFFFF"/>
              </w:rPr>
              <w:t>NMVC</w:t>
            </w:r>
            <w:r w:rsidRPr="00AC3D9D">
              <w:rPr>
                <w:color w:val="000000" w:themeColor="text1"/>
                <w:shd w:val="clear" w:color="auto" w:fill="FFFFFF"/>
              </w:rPr>
              <w:t xml:space="preserve"> vairs netiks uzturēti, kā iepriekš bija plānots.</w:t>
            </w:r>
            <w:r w:rsidR="00AB7FD2" w:rsidRPr="00AC3D9D">
              <w:rPr>
                <w:color w:val="000000" w:themeColor="text1"/>
                <w:shd w:val="clear" w:color="auto" w:fill="FFFFFF"/>
              </w:rPr>
              <w:t xml:space="preserve"> Abu centru izmaksas kopā mēnesī tika plānotas 207</w:t>
            </w:r>
            <w:r w:rsidR="0076636F" w:rsidRPr="00AC3D9D">
              <w:rPr>
                <w:color w:val="000000" w:themeColor="text1"/>
                <w:shd w:val="clear" w:color="auto" w:fill="FFFFFF"/>
              </w:rPr>
              <w:t> </w:t>
            </w:r>
            <w:r w:rsidR="00AB7FD2" w:rsidRPr="00AC3D9D">
              <w:rPr>
                <w:color w:val="000000" w:themeColor="text1"/>
                <w:shd w:val="clear" w:color="auto" w:fill="FFFFFF"/>
              </w:rPr>
              <w:t xml:space="preserve">382,62 </w:t>
            </w:r>
            <w:proofErr w:type="spellStart"/>
            <w:r w:rsidR="00AB7FD2" w:rsidRPr="00AC3D9D">
              <w:rPr>
                <w:i/>
                <w:iCs/>
                <w:color w:val="000000" w:themeColor="text1"/>
                <w:shd w:val="clear" w:color="auto" w:fill="FFFFFF"/>
              </w:rPr>
              <w:t>euro</w:t>
            </w:r>
            <w:proofErr w:type="spellEnd"/>
            <w:r w:rsidR="00AB7FD2" w:rsidRPr="00AC3D9D">
              <w:rPr>
                <w:color w:val="000000" w:themeColor="text1"/>
                <w:shd w:val="clear" w:color="auto" w:fill="FFFFFF"/>
              </w:rPr>
              <w:t xml:space="preserve"> (Starptautiskais izstāžu centrs Ķīpsalā 102 324,58 </w:t>
            </w:r>
            <w:proofErr w:type="spellStart"/>
            <w:r w:rsidR="00AB7FD2" w:rsidRPr="00AC3D9D">
              <w:rPr>
                <w:i/>
                <w:iCs/>
                <w:color w:val="000000" w:themeColor="text1"/>
                <w:shd w:val="clear" w:color="auto" w:fill="FFFFFF"/>
              </w:rPr>
              <w:t>euro</w:t>
            </w:r>
            <w:proofErr w:type="spellEnd"/>
            <w:r w:rsidR="00AB7FD2" w:rsidRPr="00AC3D9D">
              <w:rPr>
                <w:color w:val="000000" w:themeColor="text1"/>
                <w:shd w:val="clear" w:color="auto" w:fill="FFFFFF"/>
              </w:rPr>
              <w:t xml:space="preserve">; ATTA CENTRE 105 058,04 </w:t>
            </w:r>
            <w:proofErr w:type="spellStart"/>
            <w:r w:rsidR="00AB7FD2" w:rsidRPr="00AC3D9D">
              <w:rPr>
                <w:i/>
                <w:iCs/>
                <w:color w:val="000000" w:themeColor="text1"/>
                <w:shd w:val="clear" w:color="auto" w:fill="FFFFFF"/>
              </w:rPr>
              <w:t>euro</w:t>
            </w:r>
            <w:proofErr w:type="spellEnd"/>
            <w:r w:rsidR="00AB7FD2" w:rsidRPr="00AC3D9D">
              <w:rPr>
                <w:color w:val="000000" w:themeColor="text1"/>
                <w:shd w:val="clear" w:color="auto" w:fill="FFFFFF"/>
              </w:rPr>
              <w:t xml:space="preserve">), savukārt trūkstošo finansējumu </w:t>
            </w:r>
            <w:r w:rsidR="00C605C2" w:rsidRPr="00AC3D9D">
              <w:rPr>
                <w:color w:val="000000" w:themeColor="text1"/>
                <w:shd w:val="clear" w:color="auto" w:fill="FFFFFF"/>
              </w:rPr>
              <w:t>21</w:t>
            </w:r>
            <w:r w:rsidR="0076636F" w:rsidRPr="00AC3D9D">
              <w:rPr>
                <w:color w:val="000000" w:themeColor="text1"/>
                <w:shd w:val="clear" w:color="auto" w:fill="FFFFFF"/>
              </w:rPr>
              <w:t> </w:t>
            </w:r>
            <w:r w:rsidR="00C605C2" w:rsidRPr="00AC3D9D">
              <w:rPr>
                <w:color w:val="000000" w:themeColor="text1"/>
                <w:shd w:val="clear" w:color="auto" w:fill="FFFFFF"/>
              </w:rPr>
              <w:t xml:space="preserve">017 </w:t>
            </w:r>
            <w:proofErr w:type="spellStart"/>
            <w:r w:rsidR="00C605C2" w:rsidRPr="00AC3D9D">
              <w:rPr>
                <w:i/>
                <w:iCs/>
                <w:color w:val="000000" w:themeColor="text1"/>
                <w:shd w:val="clear" w:color="auto" w:fill="FFFFFF"/>
              </w:rPr>
              <w:t>euro</w:t>
            </w:r>
            <w:proofErr w:type="spellEnd"/>
            <w:r w:rsidR="00C605C2" w:rsidRPr="00AC3D9D">
              <w:rPr>
                <w:i/>
                <w:iCs/>
                <w:color w:val="000000" w:themeColor="text1"/>
                <w:shd w:val="clear" w:color="auto" w:fill="FFFFFF"/>
              </w:rPr>
              <w:t xml:space="preserve"> </w:t>
            </w:r>
            <w:r w:rsidR="00C605C2" w:rsidRPr="00AC3D9D">
              <w:rPr>
                <w:color w:val="000000" w:themeColor="text1"/>
                <w:shd w:val="clear" w:color="auto" w:fill="FFFFFF"/>
              </w:rPr>
              <w:t xml:space="preserve">apmērā </w:t>
            </w:r>
            <w:r w:rsidR="00AB7FD2" w:rsidRPr="00AC3D9D">
              <w:rPr>
                <w:color w:val="000000" w:themeColor="text1"/>
                <w:shd w:val="clear" w:color="auto" w:fill="FFFFFF"/>
              </w:rPr>
              <w:t>plānots novirzīt no šo iestā</w:t>
            </w:r>
            <w:r w:rsidR="00D21352" w:rsidRPr="00AC3D9D">
              <w:rPr>
                <w:color w:val="000000" w:themeColor="text1"/>
                <w:shd w:val="clear" w:color="auto" w:fill="FFFFFF"/>
              </w:rPr>
              <w:t xml:space="preserve">žu </w:t>
            </w:r>
            <w:r w:rsidR="00AB7FD2" w:rsidRPr="00AC3D9D">
              <w:rPr>
                <w:color w:val="000000" w:themeColor="text1"/>
                <w:shd w:val="clear" w:color="auto" w:fill="FFFFFF"/>
              </w:rPr>
              <w:t xml:space="preserve"> uzturēšanas izmaksām (</w:t>
            </w:r>
            <w:r w:rsidR="00C605C2" w:rsidRPr="00AC3D9D">
              <w:rPr>
                <w:color w:val="000000" w:themeColor="text1"/>
                <w:shd w:val="clear" w:color="auto" w:fill="FFFFFF"/>
              </w:rPr>
              <w:t xml:space="preserve">proti, no </w:t>
            </w:r>
            <w:r w:rsidR="00AB7FD2" w:rsidRPr="00AC3D9D">
              <w:rPr>
                <w:color w:val="000000" w:themeColor="text1"/>
                <w:shd w:val="clear" w:color="auto" w:fill="FFFFFF"/>
              </w:rPr>
              <w:t>uzkopšana</w:t>
            </w:r>
            <w:r w:rsidR="00C605C2" w:rsidRPr="00AC3D9D">
              <w:rPr>
                <w:color w:val="000000" w:themeColor="text1"/>
                <w:shd w:val="clear" w:color="auto" w:fill="FFFFFF"/>
              </w:rPr>
              <w:t>s</w:t>
            </w:r>
            <w:r w:rsidR="00AB7FD2" w:rsidRPr="00AC3D9D">
              <w:rPr>
                <w:color w:val="000000" w:themeColor="text1"/>
                <w:shd w:val="clear" w:color="auto" w:fill="FFFFFF"/>
              </w:rPr>
              <w:t xml:space="preserve"> un dezinfekcija</w:t>
            </w:r>
            <w:r w:rsidR="00C605C2" w:rsidRPr="00AC3D9D">
              <w:rPr>
                <w:color w:val="000000" w:themeColor="text1"/>
                <w:shd w:val="clear" w:color="auto" w:fill="FFFFFF"/>
              </w:rPr>
              <w:t>s izmaksām</w:t>
            </w:r>
            <w:r w:rsidR="00AB7FD2" w:rsidRPr="00AC3D9D">
              <w:rPr>
                <w:color w:val="000000" w:themeColor="text1"/>
                <w:shd w:val="clear" w:color="auto" w:fill="FFFFFF"/>
              </w:rPr>
              <w:t>), kur veidosies līdzekļu ekonomija</w:t>
            </w:r>
            <w:r w:rsidR="00845F7A" w:rsidRPr="00AC3D9D">
              <w:rPr>
                <w:color w:val="000000" w:themeColor="text1"/>
                <w:shd w:val="clear" w:color="auto" w:fill="FFFFFF"/>
              </w:rPr>
              <w:t xml:space="preserve"> 21</w:t>
            </w:r>
            <w:r w:rsidR="00011B59" w:rsidRPr="00AC3D9D">
              <w:rPr>
                <w:color w:val="000000" w:themeColor="text1"/>
                <w:shd w:val="clear" w:color="auto" w:fill="FFFFFF"/>
              </w:rPr>
              <w:t> </w:t>
            </w:r>
            <w:r w:rsidR="00845F7A" w:rsidRPr="00AC3D9D">
              <w:rPr>
                <w:color w:val="000000" w:themeColor="text1"/>
                <w:shd w:val="clear" w:color="auto" w:fill="FFFFFF"/>
              </w:rPr>
              <w:t xml:space="preserve">017 </w:t>
            </w:r>
            <w:proofErr w:type="spellStart"/>
            <w:r w:rsidR="00845F7A" w:rsidRPr="00AC3D9D">
              <w:rPr>
                <w:i/>
                <w:iCs/>
                <w:color w:val="000000" w:themeColor="text1"/>
                <w:shd w:val="clear" w:color="auto" w:fill="FFFFFF"/>
              </w:rPr>
              <w:t>euro</w:t>
            </w:r>
            <w:proofErr w:type="spellEnd"/>
            <w:r w:rsidR="00845F7A" w:rsidRPr="00AC3D9D">
              <w:rPr>
                <w:i/>
                <w:iCs/>
                <w:color w:val="000000" w:themeColor="text1"/>
                <w:shd w:val="clear" w:color="auto" w:fill="FFFFFF"/>
              </w:rPr>
              <w:t xml:space="preserve"> </w:t>
            </w:r>
            <w:r w:rsidR="00845F7A" w:rsidRPr="00AC3D9D">
              <w:rPr>
                <w:color w:val="000000" w:themeColor="text1"/>
                <w:shd w:val="clear" w:color="auto" w:fill="FFFFFF"/>
              </w:rPr>
              <w:t>apmērā,</w:t>
            </w:r>
            <w:r w:rsidR="00AB7FD2" w:rsidRPr="00AC3D9D">
              <w:rPr>
                <w:color w:val="000000" w:themeColor="text1"/>
                <w:shd w:val="clear" w:color="auto" w:fill="FFFFFF"/>
              </w:rPr>
              <w:t xml:space="preserve"> ņemot vērā, noslēgto līgumu par  šo</w:t>
            </w:r>
            <w:r w:rsidR="00C605C2" w:rsidRPr="00AC3D9D">
              <w:rPr>
                <w:color w:val="000000" w:themeColor="text1"/>
                <w:shd w:val="clear" w:color="auto" w:fill="FFFFFF"/>
              </w:rPr>
              <w:t xml:space="preserve"> divu</w:t>
            </w:r>
            <w:r w:rsidR="00AB7FD2" w:rsidRPr="00AC3D9D">
              <w:rPr>
                <w:color w:val="000000" w:themeColor="text1"/>
                <w:shd w:val="clear" w:color="auto" w:fill="FFFFFF"/>
              </w:rPr>
              <w:t xml:space="preserve"> NMVC </w:t>
            </w:r>
            <w:r w:rsidR="00C605C2" w:rsidRPr="00AC3D9D">
              <w:rPr>
                <w:color w:val="000000" w:themeColor="text1"/>
                <w:shd w:val="clear" w:color="auto" w:fill="FFFFFF"/>
              </w:rPr>
              <w:t>(Starptautiskais izstāžu centrs Ķīpsalā un ATTA CENTRE)</w:t>
            </w:r>
            <w:r w:rsidR="003D0A28" w:rsidRPr="00AC3D9D">
              <w:rPr>
                <w:color w:val="000000" w:themeColor="text1"/>
                <w:shd w:val="clear" w:color="auto" w:fill="FFFFFF"/>
              </w:rPr>
              <w:t xml:space="preserve"> </w:t>
            </w:r>
            <w:r w:rsidR="00AB7FD2" w:rsidRPr="00AC3D9D">
              <w:rPr>
                <w:color w:val="000000" w:themeColor="text1"/>
                <w:shd w:val="clear" w:color="auto" w:fill="FFFFFF"/>
              </w:rPr>
              <w:t>uzkopšanu, dezinfekciju un sadzīves atkritumu izvešanu.</w:t>
            </w:r>
          </w:p>
          <w:p w14:paraId="0B7553EB" w14:textId="5F2F4368" w:rsidR="00DB3037" w:rsidRPr="00FE55E8" w:rsidRDefault="00DB3037" w:rsidP="00DB3037">
            <w:pPr>
              <w:ind w:firstLine="720"/>
              <w:jc w:val="both"/>
              <w:rPr>
                <w:color w:val="000000" w:themeColor="text1"/>
                <w:shd w:val="clear" w:color="auto" w:fill="FFFFFF"/>
              </w:rPr>
            </w:pPr>
            <w:r w:rsidRPr="00FE55E8">
              <w:rPr>
                <w:color w:val="000000" w:themeColor="text1"/>
                <w:shd w:val="clear" w:color="auto" w:fill="FFFFFF"/>
              </w:rPr>
              <w:t xml:space="preserve">Ņemot vērā iepriekš minēto, nepieciešams veikt grozījumus Ministru kabineta 2021.gada 14.aprīļa rīkojumā Nr.247 “Par finanšu līdzekļu piešķiršanu no valsts budžeta programmas “Līdzekļi neparedzētiem gadījumiem”” 1.punktā, izsakot to šāda redakcijā: </w:t>
            </w:r>
          </w:p>
          <w:p w14:paraId="518702B1" w14:textId="73D9667A" w:rsidR="00DB3037" w:rsidRPr="00FE55E8" w:rsidRDefault="00DB3037" w:rsidP="00DB3037">
            <w:pPr>
              <w:ind w:firstLine="720"/>
              <w:jc w:val="both"/>
              <w:rPr>
                <w:color w:val="000000" w:themeColor="text1"/>
                <w:shd w:val="clear" w:color="auto" w:fill="FFFFFF"/>
              </w:rPr>
            </w:pPr>
            <w:r w:rsidRPr="00FE55E8">
              <w:rPr>
                <w:color w:val="000000" w:themeColor="text1"/>
                <w:shd w:val="clear" w:color="auto" w:fill="FFFFFF"/>
              </w:rPr>
              <w:t xml:space="preserve">“1. Finanšu ministrijai no valsts budžeta programmas 02.00.00 “Līdzekļi neparedzētiem gadījumiem” piešķirt Veselības ministrijai (Nacionālajam veselības dienestam) finansējumu, kas nepārsniedz               1 036 913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 xml:space="preserve">, </w:t>
            </w:r>
            <w:r w:rsidR="006C2182" w:rsidRPr="00FE55E8">
              <w:rPr>
                <w:color w:val="000000" w:themeColor="text1"/>
                <w:shd w:val="clear" w:color="auto" w:fill="FFFFFF"/>
              </w:rPr>
              <w:t>lai nodrošinātu nacionāla mēroga vakcinācijas kompleksu darbību un vakcinācijas punktu izveidi un uzturēšanu tirdzniecības centros, tirgos un sabiedriskās vietās</w:t>
            </w:r>
            <w:r w:rsidRPr="00FE55E8">
              <w:rPr>
                <w:color w:val="000000" w:themeColor="text1"/>
                <w:shd w:val="clear" w:color="auto" w:fill="FFFFFF"/>
              </w:rPr>
              <w:t>, no tiem:</w:t>
            </w:r>
          </w:p>
          <w:p w14:paraId="437F2514" w14:textId="77777777" w:rsidR="00DB3037" w:rsidRPr="00FE55E8" w:rsidRDefault="00DB3037" w:rsidP="00DB3037">
            <w:pPr>
              <w:ind w:firstLine="720"/>
              <w:jc w:val="both"/>
              <w:rPr>
                <w:color w:val="000000" w:themeColor="text1"/>
                <w:shd w:val="clear" w:color="auto" w:fill="FFFFFF"/>
              </w:rPr>
            </w:pPr>
            <w:r w:rsidRPr="00FE55E8">
              <w:rPr>
                <w:color w:val="000000" w:themeColor="text1"/>
                <w:shd w:val="clear" w:color="auto" w:fill="FFFFFF"/>
              </w:rPr>
              <w:t>1.1.</w:t>
            </w:r>
            <w:r w:rsidRPr="00FE55E8">
              <w:rPr>
                <w:color w:val="000000" w:themeColor="text1"/>
                <w:shd w:val="clear" w:color="auto" w:fill="FFFFFF"/>
              </w:rPr>
              <w:tab/>
              <w:t xml:space="preserve">finansējumu, kas nepārsniedz 808 513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 xml:space="preserve"> apmērā, lai nodrošinātu nacionāla mēroga vakcinācijas kompleksu darbību;</w:t>
            </w:r>
          </w:p>
          <w:p w14:paraId="3339D1A3" w14:textId="7FBE55DD" w:rsidR="00DB3037" w:rsidRPr="00FE55E8" w:rsidRDefault="00DB3037" w:rsidP="00DB3037">
            <w:pPr>
              <w:ind w:firstLine="720"/>
              <w:jc w:val="both"/>
              <w:rPr>
                <w:color w:val="000000" w:themeColor="text1"/>
                <w:shd w:val="clear" w:color="auto" w:fill="FFFFFF"/>
              </w:rPr>
            </w:pPr>
            <w:r w:rsidRPr="00FE55E8">
              <w:rPr>
                <w:color w:val="000000" w:themeColor="text1"/>
                <w:shd w:val="clear" w:color="auto" w:fill="FFFFFF"/>
              </w:rPr>
              <w:t>1.2.</w:t>
            </w:r>
            <w:r w:rsidRPr="00FE55E8">
              <w:rPr>
                <w:color w:val="000000" w:themeColor="text1"/>
                <w:shd w:val="clear" w:color="auto" w:fill="FFFFFF"/>
              </w:rPr>
              <w:tab/>
              <w:t xml:space="preserve">finansējumu, kas nepārsniedz 228 400 </w:t>
            </w:r>
            <w:proofErr w:type="spellStart"/>
            <w:r w:rsidRPr="00FE55E8">
              <w:rPr>
                <w:i/>
                <w:iCs/>
                <w:color w:val="000000" w:themeColor="text1"/>
                <w:shd w:val="clear" w:color="auto" w:fill="FFFFFF"/>
              </w:rPr>
              <w:t>euro</w:t>
            </w:r>
            <w:proofErr w:type="spellEnd"/>
            <w:r w:rsidRPr="00FE55E8">
              <w:rPr>
                <w:color w:val="000000" w:themeColor="text1"/>
                <w:shd w:val="clear" w:color="auto" w:fill="FFFFFF"/>
              </w:rPr>
              <w:t xml:space="preserve"> apmērā, lai nodrošinātu vakcinācijas punktu izveidi un uzturēšanu tirdzniecības centros, tirgos un sabiedriskās vietās.”</w:t>
            </w:r>
          </w:p>
          <w:p w14:paraId="3D4D0E88" w14:textId="77777777" w:rsidR="00DB3037" w:rsidRPr="00FE55E8" w:rsidRDefault="00DB3037" w:rsidP="007F29F6">
            <w:pPr>
              <w:ind w:firstLine="720"/>
              <w:jc w:val="both"/>
              <w:rPr>
                <w:color w:val="000000" w:themeColor="text1"/>
                <w:shd w:val="clear" w:color="auto" w:fill="FFFFFF"/>
              </w:rPr>
            </w:pPr>
          </w:p>
          <w:p w14:paraId="6D6639B2" w14:textId="37C8DAA2" w:rsidR="002B544F" w:rsidRPr="00FE55E8" w:rsidRDefault="002B544F" w:rsidP="00EF68A5">
            <w:pPr>
              <w:ind w:firstLine="720"/>
              <w:jc w:val="both"/>
              <w:rPr>
                <w:color w:val="000000" w:themeColor="text1"/>
                <w:shd w:val="clear" w:color="auto" w:fill="FFFFFF"/>
              </w:rPr>
            </w:pPr>
            <w:r w:rsidRPr="00FE55E8">
              <w:rPr>
                <w:color w:val="000000" w:themeColor="text1"/>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2F7858E9" w14:textId="77777777" w:rsidR="002B544F" w:rsidRPr="00FE55E8" w:rsidRDefault="002B544F" w:rsidP="00EF68A5">
            <w:pPr>
              <w:ind w:firstLine="720"/>
              <w:jc w:val="both"/>
              <w:rPr>
                <w:color w:val="000000" w:themeColor="text1"/>
                <w:shd w:val="clear" w:color="auto" w:fill="FFFFFF"/>
              </w:rPr>
            </w:pPr>
          </w:p>
          <w:p w14:paraId="42ECEC06" w14:textId="55BBF1D7" w:rsidR="00EF68A5" w:rsidRPr="00FE55E8" w:rsidRDefault="00EF68A5" w:rsidP="00EF68A5">
            <w:pPr>
              <w:ind w:firstLine="720"/>
              <w:jc w:val="both"/>
              <w:rPr>
                <w:color w:val="000000" w:themeColor="text1"/>
                <w:shd w:val="clear" w:color="auto" w:fill="FFFFFF"/>
              </w:rPr>
            </w:pPr>
            <w:r w:rsidRPr="00FE55E8">
              <w:rPr>
                <w:color w:val="000000" w:themeColor="text1"/>
                <w:shd w:val="clear" w:color="auto" w:fill="FFFFFF"/>
              </w:rPr>
              <w:t>Attiecībā par pārējiem atvērtajiem masu vakcinācijas centriem, informējam, ka šobrīd tiek apzināta faktiskā situācija par vakcinācijas jaudām</w:t>
            </w:r>
            <w:r w:rsidR="003652EC" w:rsidRPr="00FE55E8">
              <w:rPr>
                <w:color w:val="000000" w:themeColor="text1"/>
                <w:shd w:val="clear" w:color="auto" w:fill="FFFFFF"/>
              </w:rPr>
              <w:t xml:space="preserve"> un </w:t>
            </w:r>
            <w:r w:rsidRPr="00FE55E8">
              <w:rPr>
                <w:color w:val="000000" w:themeColor="text1"/>
                <w:shd w:val="clear" w:color="auto" w:fill="FFFFFF"/>
              </w:rPr>
              <w:t>sabiedrības interesi katrā no Latvijas reģioniem un līdz 2021.gada jūlija beigām tiks sagatavoti priekšlikumi par turpmāko rīcību Latvijas reģionos</w:t>
            </w:r>
            <w:r w:rsidR="006828BD" w:rsidRPr="00FE55E8">
              <w:rPr>
                <w:color w:val="000000" w:themeColor="text1"/>
                <w:shd w:val="clear" w:color="auto" w:fill="FFFFFF"/>
              </w:rPr>
              <w:t>,</w:t>
            </w:r>
            <w:r w:rsidR="006828BD" w:rsidRPr="00FE55E8">
              <w:t xml:space="preserve"> </w:t>
            </w:r>
            <w:r w:rsidR="006828BD" w:rsidRPr="00FE55E8">
              <w:rPr>
                <w:color w:val="000000" w:themeColor="text1"/>
                <w:shd w:val="clear" w:color="auto" w:fill="FFFFFF"/>
              </w:rPr>
              <w:t>izvērtējot ģeogrāfisko pieejamību jauniem vakcinācijas punktiem ar masu vakcinācijas centriem, proti, lai tie nebūtu viens otram blakus</w:t>
            </w:r>
            <w:r w:rsidRPr="00FE55E8">
              <w:rPr>
                <w:color w:val="000000" w:themeColor="text1"/>
                <w:shd w:val="clear" w:color="auto" w:fill="FFFFFF"/>
              </w:rPr>
              <w:t xml:space="preserve">. Vienlaikus ar to, </w:t>
            </w:r>
            <w:r w:rsidR="00C67084" w:rsidRPr="00C67084">
              <w:rPr>
                <w:color w:val="000000" w:themeColor="text1"/>
                <w:shd w:val="clear" w:color="auto" w:fill="FFFFFF"/>
              </w:rPr>
              <w:t xml:space="preserve">Veselības ministrija līdz 2021. gada 15. jūlijam </w:t>
            </w:r>
            <w:r w:rsidR="00C67084" w:rsidRPr="00C67084">
              <w:rPr>
                <w:color w:val="000000" w:themeColor="text1"/>
                <w:shd w:val="clear" w:color="auto" w:fill="FFFFFF"/>
              </w:rPr>
              <w:lastRenderedPageBreak/>
              <w:t>apkopo</w:t>
            </w:r>
            <w:r w:rsidR="00C67084">
              <w:rPr>
                <w:color w:val="000000" w:themeColor="text1"/>
                <w:shd w:val="clear" w:color="auto" w:fill="FFFFFF"/>
              </w:rPr>
              <w:t>s</w:t>
            </w:r>
            <w:r w:rsidR="00C67084" w:rsidRPr="00C67084">
              <w:rPr>
                <w:color w:val="000000" w:themeColor="text1"/>
                <w:shd w:val="clear" w:color="auto" w:fill="FFFFFF"/>
              </w:rPr>
              <w:t xml:space="preserve"> un izvērtē</w:t>
            </w:r>
            <w:r w:rsidR="00C67084">
              <w:rPr>
                <w:color w:val="000000" w:themeColor="text1"/>
                <w:shd w:val="clear" w:color="auto" w:fill="FFFFFF"/>
              </w:rPr>
              <w:t>s</w:t>
            </w:r>
            <w:r w:rsidR="00C67084" w:rsidRPr="00C67084">
              <w:rPr>
                <w:color w:val="000000" w:themeColor="text1"/>
                <w:shd w:val="clear" w:color="auto" w:fill="FFFFFF"/>
              </w:rPr>
              <w:t xml:space="preserve"> pašvaldību pieprasījumus par faktiskajiem izdevumiem</w:t>
            </w:r>
            <w:r w:rsidR="00C67084">
              <w:rPr>
                <w:color w:val="000000" w:themeColor="text1"/>
                <w:shd w:val="clear" w:color="auto" w:fill="FFFFFF"/>
              </w:rPr>
              <w:t xml:space="preserve"> </w:t>
            </w:r>
            <w:r w:rsidRPr="00FE55E8">
              <w:rPr>
                <w:color w:val="000000" w:themeColor="text1"/>
                <w:shd w:val="clear" w:color="auto" w:fill="FFFFFF"/>
              </w:rPr>
              <w:t xml:space="preserve">aprīļa, maija un jūnija mēnešos, </w:t>
            </w:r>
            <w:r w:rsidR="00C67084">
              <w:rPr>
                <w:color w:val="000000" w:themeColor="text1"/>
                <w:shd w:val="clear" w:color="auto" w:fill="FFFFFF"/>
              </w:rPr>
              <w:t>un</w:t>
            </w:r>
            <w:r w:rsidR="00841E3C">
              <w:rPr>
                <w:color w:val="000000" w:themeColor="text1"/>
                <w:shd w:val="clear" w:color="auto" w:fill="FFFFFF"/>
              </w:rPr>
              <w:t xml:space="preserve"> </w:t>
            </w:r>
            <w:r w:rsidRPr="00FE55E8">
              <w:rPr>
                <w:color w:val="000000" w:themeColor="text1"/>
                <w:shd w:val="clear" w:color="auto" w:fill="FFFFFF"/>
              </w:rPr>
              <w:t>vērtēs līdzekļu izlietojum</w:t>
            </w:r>
            <w:r w:rsidR="00841E3C">
              <w:rPr>
                <w:color w:val="000000" w:themeColor="text1"/>
                <w:shd w:val="clear" w:color="auto" w:fill="FFFFFF"/>
              </w:rPr>
              <w:t>u</w:t>
            </w:r>
            <w:r w:rsidRPr="00FE55E8">
              <w:rPr>
                <w:color w:val="000000" w:themeColor="text1"/>
                <w:shd w:val="clear" w:color="auto" w:fill="FFFFFF"/>
              </w:rPr>
              <w:t xml:space="preserve"> kontekstā ar sagatavotiem priekšlikumiem par turpmāko rīcību Latvijas reģionos, lai sasniegtu izvirzīto vakcinācijas stratēģijas mērķi - “vakcīna dodas pie vakcinējamā”.  </w:t>
            </w:r>
          </w:p>
        </w:tc>
      </w:tr>
      <w:tr w:rsidR="00130487" w:rsidRPr="00FE55E8" w14:paraId="7C23384A" w14:textId="77777777" w:rsidTr="0079260F">
        <w:tc>
          <w:tcPr>
            <w:tcW w:w="568" w:type="dxa"/>
          </w:tcPr>
          <w:p w14:paraId="038B8077" w14:textId="77777777" w:rsidR="00130487" w:rsidRPr="00FE55E8" w:rsidRDefault="00130487" w:rsidP="00130487">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lastRenderedPageBreak/>
              <w:t>3.</w:t>
            </w:r>
          </w:p>
        </w:tc>
        <w:tc>
          <w:tcPr>
            <w:tcW w:w="1559" w:type="dxa"/>
          </w:tcPr>
          <w:p w14:paraId="19CC1A51" w14:textId="77777777" w:rsidR="00130487" w:rsidRPr="00FE55E8" w:rsidRDefault="00130487" w:rsidP="00130487">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37E31CF1" w:rsidR="00130487" w:rsidRPr="00FE55E8" w:rsidRDefault="009F0D89" w:rsidP="006335C0">
            <w:pPr>
              <w:pStyle w:val="NoSpacing"/>
              <w:jc w:val="both"/>
              <w:rPr>
                <w:rFonts w:ascii="Times New Roman" w:hAnsi="Times New Roman" w:cs="Times New Roman"/>
                <w:sz w:val="24"/>
                <w:szCs w:val="24"/>
                <w:lang w:eastAsia="lv-LV"/>
              </w:rPr>
            </w:pPr>
            <w:r w:rsidRPr="00FE55E8">
              <w:rPr>
                <w:rFonts w:ascii="Times New Roman" w:hAnsi="Times New Roman" w:cs="Times New Roman"/>
                <w:sz w:val="24"/>
                <w:szCs w:val="24"/>
              </w:rPr>
              <w:t>Veselības ministrija, N</w:t>
            </w:r>
            <w:r w:rsidR="00841E3C">
              <w:rPr>
                <w:rFonts w:ascii="Times New Roman" w:hAnsi="Times New Roman" w:cs="Times New Roman"/>
                <w:sz w:val="24"/>
                <w:szCs w:val="24"/>
              </w:rPr>
              <w:t>VD</w:t>
            </w:r>
            <w:r w:rsidRPr="00FE55E8">
              <w:rPr>
                <w:rFonts w:ascii="Times New Roman" w:hAnsi="Times New Roman" w:cs="Times New Roman"/>
                <w:sz w:val="24"/>
                <w:szCs w:val="24"/>
              </w:rPr>
              <w:t xml:space="preserve"> un publiskas personas kapitālsabiedrības un komercsabiedrības.</w:t>
            </w:r>
          </w:p>
        </w:tc>
      </w:tr>
      <w:tr w:rsidR="00130487" w:rsidRPr="00FE55E8" w14:paraId="24319FFB" w14:textId="77777777" w:rsidTr="0079260F">
        <w:tc>
          <w:tcPr>
            <w:tcW w:w="568" w:type="dxa"/>
          </w:tcPr>
          <w:p w14:paraId="6E336EC8" w14:textId="77777777" w:rsidR="00130487" w:rsidRPr="00FE55E8" w:rsidRDefault="00130487" w:rsidP="00130487">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4.</w:t>
            </w:r>
          </w:p>
        </w:tc>
        <w:tc>
          <w:tcPr>
            <w:tcW w:w="1559" w:type="dxa"/>
          </w:tcPr>
          <w:p w14:paraId="462DF142" w14:textId="77777777" w:rsidR="00130487" w:rsidRPr="00FE55E8" w:rsidRDefault="00130487" w:rsidP="00130487">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Cita informācija</w:t>
            </w:r>
          </w:p>
        </w:tc>
        <w:tc>
          <w:tcPr>
            <w:tcW w:w="7229" w:type="dxa"/>
          </w:tcPr>
          <w:p w14:paraId="6B8D3B87" w14:textId="77777777" w:rsidR="00130487" w:rsidRPr="00FE55E8" w:rsidRDefault="006335C0" w:rsidP="006335C0">
            <w:pPr>
              <w:pStyle w:val="NoSpacing"/>
              <w:jc w:val="both"/>
              <w:rPr>
                <w:rFonts w:ascii="Times New Roman" w:hAnsi="Times New Roman" w:cs="Times New Roman"/>
                <w:sz w:val="24"/>
                <w:szCs w:val="24"/>
                <w:lang w:eastAsia="lv-LV"/>
              </w:rPr>
            </w:pPr>
            <w:r w:rsidRPr="00FE55E8">
              <w:rPr>
                <w:rFonts w:ascii="Times New Roman" w:hAnsi="Times New Roman" w:cs="Times New Roman"/>
                <w:sz w:val="24"/>
                <w:szCs w:val="24"/>
                <w:lang w:eastAsia="lv-LV"/>
              </w:rPr>
              <w:t>Nav</w:t>
            </w:r>
          </w:p>
        </w:tc>
      </w:tr>
    </w:tbl>
    <w:p w14:paraId="1ED3366E" w14:textId="77777777" w:rsidR="00EC6E12" w:rsidRPr="00FE55E8"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FE55E8" w14:paraId="36C9AED5" w14:textId="77777777" w:rsidTr="006936E5">
        <w:tc>
          <w:tcPr>
            <w:tcW w:w="9356" w:type="dxa"/>
          </w:tcPr>
          <w:p w14:paraId="27DBD010" w14:textId="77777777" w:rsidR="00EC6E12" w:rsidRPr="00FE55E8" w:rsidRDefault="00842AD1" w:rsidP="003903BF">
            <w:pPr>
              <w:pStyle w:val="NoSpacing"/>
              <w:jc w:val="center"/>
              <w:rPr>
                <w:rFonts w:ascii="Times New Roman" w:hAnsi="Times New Roman" w:cs="Times New Roman"/>
                <w:b/>
                <w:sz w:val="24"/>
                <w:szCs w:val="24"/>
                <w:lang w:eastAsia="lv-LV"/>
              </w:rPr>
            </w:pPr>
            <w:r w:rsidRPr="00FE55E8">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RPr="00FE55E8" w14:paraId="5CB6B5E2" w14:textId="77777777" w:rsidTr="006936E5">
        <w:tc>
          <w:tcPr>
            <w:tcW w:w="9356" w:type="dxa"/>
          </w:tcPr>
          <w:p w14:paraId="724503FB" w14:textId="77777777" w:rsidR="00155578" w:rsidRPr="00FE55E8" w:rsidRDefault="00155578" w:rsidP="003903BF">
            <w:pPr>
              <w:pStyle w:val="NoSpacing"/>
              <w:jc w:val="center"/>
              <w:rPr>
                <w:rFonts w:ascii="Times New Roman" w:hAnsi="Times New Roman" w:cs="Times New Roman"/>
                <w:b/>
                <w:iCs/>
                <w:sz w:val="24"/>
                <w:szCs w:val="24"/>
                <w:lang w:eastAsia="lv-LV"/>
              </w:rPr>
            </w:pPr>
            <w:r w:rsidRPr="00FE55E8">
              <w:rPr>
                <w:rFonts w:ascii="Times New Roman" w:hAnsi="Times New Roman" w:cs="Times New Roman"/>
                <w:sz w:val="24"/>
                <w:szCs w:val="24"/>
              </w:rPr>
              <w:t>Projekts šo jomu neskar</w:t>
            </w:r>
          </w:p>
        </w:tc>
      </w:tr>
    </w:tbl>
    <w:p w14:paraId="686C891F" w14:textId="77777777" w:rsidR="00842AD1" w:rsidRPr="00FE55E8" w:rsidRDefault="00E5323B" w:rsidP="00EC6E12">
      <w:pPr>
        <w:pStyle w:val="NoSpacing"/>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rsidRPr="00FE55E8" w14:paraId="6481C77A" w14:textId="77777777" w:rsidTr="006936E5">
        <w:tc>
          <w:tcPr>
            <w:tcW w:w="9356" w:type="dxa"/>
            <w:gridSpan w:val="8"/>
          </w:tcPr>
          <w:p w14:paraId="26D56B4A" w14:textId="77777777" w:rsidR="00842AD1" w:rsidRPr="00AC3D9D" w:rsidRDefault="00842AD1" w:rsidP="00842AD1">
            <w:pPr>
              <w:pStyle w:val="NoSpacing"/>
              <w:jc w:val="center"/>
              <w:rPr>
                <w:rFonts w:ascii="Times New Roman" w:hAnsi="Times New Roman" w:cs="Times New Roman"/>
                <w:b/>
                <w:iCs/>
                <w:sz w:val="24"/>
                <w:szCs w:val="24"/>
                <w:lang w:eastAsia="lv-LV"/>
              </w:rPr>
            </w:pPr>
            <w:r w:rsidRPr="00AC3D9D">
              <w:rPr>
                <w:rFonts w:ascii="Times New Roman" w:hAnsi="Times New Roman" w:cs="Times New Roman"/>
                <w:b/>
                <w:iCs/>
                <w:sz w:val="24"/>
                <w:szCs w:val="24"/>
                <w:lang w:eastAsia="lv-LV"/>
              </w:rPr>
              <w:t>III. Tiesību akta projekta ietekme uz valsts budžetu un pašvaldību budžetiem</w:t>
            </w:r>
          </w:p>
        </w:tc>
      </w:tr>
      <w:tr w:rsidR="00842AD1" w:rsidRPr="00FE55E8" w14:paraId="3B65C925" w14:textId="77777777" w:rsidTr="00AD2450">
        <w:tc>
          <w:tcPr>
            <w:tcW w:w="1560" w:type="dxa"/>
            <w:vMerge w:val="restart"/>
          </w:tcPr>
          <w:p w14:paraId="61CE8C1A" w14:textId="77777777" w:rsidR="00842AD1" w:rsidRPr="00AC3D9D" w:rsidRDefault="00842AD1" w:rsidP="00EC6E1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Pr="00AC3D9D" w:rsidRDefault="00037CA6" w:rsidP="00EC6E1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20</w:t>
            </w:r>
            <w:r w:rsidR="00335899" w:rsidRPr="00AC3D9D">
              <w:rPr>
                <w:rFonts w:ascii="Times New Roman" w:hAnsi="Times New Roman" w:cs="Times New Roman"/>
                <w:iCs/>
                <w:sz w:val="24"/>
                <w:szCs w:val="24"/>
                <w:lang w:eastAsia="lv-LV"/>
              </w:rPr>
              <w:t>2</w:t>
            </w:r>
            <w:r w:rsidR="00AF69C9" w:rsidRPr="00AC3D9D">
              <w:rPr>
                <w:rFonts w:ascii="Times New Roman" w:hAnsi="Times New Roman" w:cs="Times New Roman"/>
                <w:iCs/>
                <w:sz w:val="24"/>
                <w:szCs w:val="24"/>
                <w:lang w:eastAsia="lv-LV"/>
              </w:rPr>
              <w:t>1</w:t>
            </w:r>
            <w:r w:rsidRPr="00AC3D9D">
              <w:rPr>
                <w:rFonts w:ascii="Times New Roman" w:hAnsi="Times New Roman" w:cs="Times New Roman"/>
                <w:iCs/>
                <w:sz w:val="24"/>
                <w:szCs w:val="24"/>
                <w:lang w:eastAsia="lv-LV"/>
              </w:rPr>
              <w:t>. gads</w:t>
            </w:r>
          </w:p>
        </w:tc>
        <w:tc>
          <w:tcPr>
            <w:tcW w:w="5394" w:type="dxa"/>
            <w:gridSpan w:val="5"/>
          </w:tcPr>
          <w:p w14:paraId="2DAF5BE9" w14:textId="77777777" w:rsidR="00842AD1" w:rsidRPr="00AC3D9D" w:rsidRDefault="00842AD1" w:rsidP="00EC6E1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Turpmākie trīs gadi (</w:t>
            </w:r>
            <w:proofErr w:type="spellStart"/>
            <w:r w:rsidRPr="00AC3D9D">
              <w:rPr>
                <w:rFonts w:ascii="Times New Roman" w:hAnsi="Times New Roman" w:cs="Times New Roman"/>
                <w:i/>
                <w:iCs/>
                <w:sz w:val="24"/>
                <w:szCs w:val="24"/>
                <w:lang w:eastAsia="lv-LV"/>
              </w:rPr>
              <w:t>euro</w:t>
            </w:r>
            <w:proofErr w:type="spellEnd"/>
            <w:r w:rsidRPr="00AC3D9D">
              <w:rPr>
                <w:rFonts w:ascii="Times New Roman" w:hAnsi="Times New Roman" w:cs="Times New Roman"/>
                <w:iCs/>
                <w:sz w:val="24"/>
                <w:szCs w:val="24"/>
                <w:lang w:eastAsia="lv-LV"/>
              </w:rPr>
              <w:t>)</w:t>
            </w:r>
          </w:p>
        </w:tc>
      </w:tr>
      <w:tr w:rsidR="00842AD1" w:rsidRPr="00FE55E8" w14:paraId="0AD5DA0B" w14:textId="77777777" w:rsidTr="00AD2450">
        <w:tc>
          <w:tcPr>
            <w:tcW w:w="1560" w:type="dxa"/>
            <w:vMerge/>
          </w:tcPr>
          <w:p w14:paraId="4AE25F91" w14:textId="77777777" w:rsidR="00842AD1" w:rsidRPr="00AC3D9D"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Pr="00AC3D9D"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Pr="00AC3D9D" w:rsidRDefault="00037CA6" w:rsidP="00EC6E1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20</w:t>
            </w:r>
            <w:r w:rsidR="006C12A6" w:rsidRPr="00AC3D9D">
              <w:rPr>
                <w:rFonts w:ascii="Times New Roman" w:hAnsi="Times New Roman" w:cs="Times New Roman"/>
                <w:iCs/>
                <w:sz w:val="24"/>
                <w:szCs w:val="24"/>
                <w:lang w:eastAsia="lv-LV"/>
              </w:rPr>
              <w:t>2</w:t>
            </w:r>
            <w:r w:rsidR="00AF69C9" w:rsidRPr="00AC3D9D">
              <w:rPr>
                <w:rFonts w:ascii="Times New Roman" w:hAnsi="Times New Roman" w:cs="Times New Roman"/>
                <w:iCs/>
                <w:sz w:val="24"/>
                <w:szCs w:val="24"/>
                <w:lang w:eastAsia="lv-LV"/>
              </w:rPr>
              <w:t>2</w:t>
            </w:r>
            <w:r w:rsidRPr="00AC3D9D">
              <w:rPr>
                <w:rFonts w:ascii="Times New Roman" w:hAnsi="Times New Roman" w:cs="Times New Roman"/>
                <w:iCs/>
                <w:sz w:val="24"/>
                <w:szCs w:val="24"/>
                <w:lang w:eastAsia="lv-LV"/>
              </w:rPr>
              <w:t>. gads</w:t>
            </w:r>
          </w:p>
        </w:tc>
        <w:tc>
          <w:tcPr>
            <w:tcW w:w="1984" w:type="dxa"/>
            <w:gridSpan w:val="2"/>
          </w:tcPr>
          <w:p w14:paraId="5158C203" w14:textId="579AE8D5" w:rsidR="00842AD1" w:rsidRPr="00AC3D9D" w:rsidRDefault="00037CA6" w:rsidP="00EC6E1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202</w:t>
            </w:r>
            <w:r w:rsidR="00AF69C9" w:rsidRPr="00AC3D9D">
              <w:rPr>
                <w:rFonts w:ascii="Times New Roman" w:hAnsi="Times New Roman" w:cs="Times New Roman"/>
                <w:iCs/>
                <w:sz w:val="24"/>
                <w:szCs w:val="24"/>
                <w:lang w:eastAsia="lv-LV"/>
              </w:rPr>
              <w:t>3</w:t>
            </w:r>
            <w:r w:rsidRPr="00AC3D9D">
              <w:rPr>
                <w:rFonts w:ascii="Times New Roman" w:hAnsi="Times New Roman" w:cs="Times New Roman"/>
                <w:iCs/>
                <w:sz w:val="24"/>
                <w:szCs w:val="24"/>
                <w:lang w:eastAsia="lv-LV"/>
              </w:rPr>
              <w:t>. gads</w:t>
            </w:r>
          </w:p>
        </w:tc>
        <w:tc>
          <w:tcPr>
            <w:tcW w:w="1276" w:type="dxa"/>
          </w:tcPr>
          <w:p w14:paraId="5517BDB6" w14:textId="60562E4B" w:rsidR="00842AD1" w:rsidRPr="00AC3D9D" w:rsidRDefault="00037CA6" w:rsidP="00EC6E1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202</w:t>
            </w:r>
            <w:r w:rsidR="00AF69C9" w:rsidRPr="00AC3D9D">
              <w:rPr>
                <w:rFonts w:ascii="Times New Roman" w:hAnsi="Times New Roman" w:cs="Times New Roman"/>
                <w:iCs/>
                <w:sz w:val="24"/>
                <w:szCs w:val="24"/>
                <w:lang w:eastAsia="lv-LV"/>
              </w:rPr>
              <w:t>4</w:t>
            </w:r>
            <w:r w:rsidRPr="00AC3D9D">
              <w:rPr>
                <w:rFonts w:ascii="Times New Roman" w:hAnsi="Times New Roman" w:cs="Times New Roman"/>
                <w:iCs/>
                <w:sz w:val="24"/>
                <w:szCs w:val="24"/>
                <w:lang w:eastAsia="lv-LV"/>
              </w:rPr>
              <w:t>. gads</w:t>
            </w:r>
          </w:p>
        </w:tc>
      </w:tr>
      <w:tr w:rsidR="006E71F7" w:rsidRPr="00FE55E8" w14:paraId="1C96B50C" w14:textId="77777777" w:rsidTr="00AD2450">
        <w:tc>
          <w:tcPr>
            <w:tcW w:w="1560" w:type="dxa"/>
            <w:vMerge/>
          </w:tcPr>
          <w:p w14:paraId="491A9330" w14:textId="77777777" w:rsidR="00842AD1" w:rsidRPr="00AC3D9D"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Pr="00AC3D9D" w:rsidRDefault="00842AD1" w:rsidP="00842AD1">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Pr="00AC3D9D" w:rsidRDefault="00842AD1" w:rsidP="00842AD1">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Pr="00AC3D9D" w:rsidRDefault="00842AD1" w:rsidP="00842AD1">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Pr="00AC3D9D" w:rsidRDefault="00842AD1" w:rsidP="00842AD1">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izmaiņas, salīdzi</w:t>
            </w:r>
            <w:r w:rsidR="006E71F7" w:rsidRPr="00AC3D9D">
              <w:rPr>
                <w:rFonts w:ascii="Times New Roman" w:hAnsi="Times New Roman" w:cs="Times New Roman"/>
                <w:iCs/>
                <w:sz w:val="24"/>
                <w:szCs w:val="24"/>
                <w:lang w:eastAsia="lv-LV"/>
              </w:rPr>
              <w:t>-</w:t>
            </w:r>
          </w:p>
          <w:p w14:paraId="2FBEDB8A" w14:textId="208660DE" w:rsidR="00842AD1" w:rsidRPr="00AC3D9D" w:rsidRDefault="00842AD1" w:rsidP="00037CA6">
            <w:pPr>
              <w:pStyle w:val="NoSpacing"/>
              <w:jc w:val="both"/>
              <w:rPr>
                <w:rFonts w:ascii="Times New Roman" w:hAnsi="Times New Roman" w:cs="Times New Roman"/>
                <w:iCs/>
                <w:sz w:val="24"/>
                <w:szCs w:val="24"/>
                <w:lang w:eastAsia="lv-LV"/>
              </w:rPr>
            </w:pPr>
            <w:proofErr w:type="spellStart"/>
            <w:r w:rsidRPr="00AC3D9D">
              <w:rPr>
                <w:rFonts w:ascii="Times New Roman" w:hAnsi="Times New Roman" w:cs="Times New Roman"/>
                <w:iCs/>
                <w:sz w:val="24"/>
                <w:szCs w:val="24"/>
                <w:lang w:eastAsia="lv-LV"/>
              </w:rPr>
              <w:t>not</w:t>
            </w:r>
            <w:proofErr w:type="spellEnd"/>
            <w:r w:rsidRPr="00AC3D9D">
              <w:rPr>
                <w:rFonts w:ascii="Times New Roman" w:hAnsi="Times New Roman" w:cs="Times New Roman"/>
                <w:iCs/>
                <w:sz w:val="24"/>
                <w:szCs w:val="24"/>
                <w:lang w:eastAsia="lv-LV"/>
              </w:rPr>
              <w:t xml:space="preserve"> ar vidēja termiņa budžeta ietvaru </w:t>
            </w:r>
            <w:r w:rsidR="00037CA6" w:rsidRPr="00AC3D9D">
              <w:rPr>
                <w:rFonts w:ascii="Times New Roman" w:hAnsi="Times New Roman" w:cs="Times New Roman"/>
                <w:iCs/>
                <w:sz w:val="24"/>
                <w:szCs w:val="24"/>
                <w:lang w:eastAsia="lv-LV"/>
              </w:rPr>
              <w:t>20</w:t>
            </w:r>
            <w:r w:rsidR="00335899" w:rsidRPr="00AC3D9D">
              <w:rPr>
                <w:rFonts w:ascii="Times New Roman" w:hAnsi="Times New Roman" w:cs="Times New Roman"/>
                <w:iCs/>
                <w:sz w:val="24"/>
                <w:szCs w:val="24"/>
                <w:lang w:eastAsia="lv-LV"/>
              </w:rPr>
              <w:t>2</w:t>
            </w:r>
            <w:r w:rsidR="00AF69C9" w:rsidRPr="00AC3D9D">
              <w:rPr>
                <w:rFonts w:ascii="Times New Roman" w:hAnsi="Times New Roman" w:cs="Times New Roman"/>
                <w:iCs/>
                <w:sz w:val="24"/>
                <w:szCs w:val="24"/>
                <w:lang w:eastAsia="lv-LV"/>
              </w:rPr>
              <w:t>2</w:t>
            </w:r>
            <w:r w:rsidR="00037CA6" w:rsidRPr="00AC3D9D">
              <w:rPr>
                <w:rFonts w:ascii="Times New Roman" w:hAnsi="Times New Roman" w:cs="Times New Roman"/>
                <w:iCs/>
                <w:sz w:val="24"/>
                <w:szCs w:val="24"/>
                <w:lang w:eastAsia="lv-LV"/>
              </w:rPr>
              <w:t>.</w:t>
            </w:r>
            <w:r w:rsidRPr="00AC3D9D">
              <w:rPr>
                <w:rFonts w:ascii="Times New Roman" w:hAnsi="Times New Roman" w:cs="Times New Roman"/>
                <w:iCs/>
                <w:sz w:val="24"/>
                <w:szCs w:val="24"/>
                <w:lang w:eastAsia="lv-LV"/>
              </w:rPr>
              <w:t xml:space="preserve"> gadam</w:t>
            </w:r>
          </w:p>
        </w:tc>
        <w:tc>
          <w:tcPr>
            <w:tcW w:w="992" w:type="dxa"/>
          </w:tcPr>
          <w:p w14:paraId="47F906B6" w14:textId="77777777" w:rsidR="00842AD1" w:rsidRPr="00AC3D9D" w:rsidRDefault="00842AD1" w:rsidP="00842AD1">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Pr="00AC3D9D" w:rsidRDefault="0004685C" w:rsidP="00842AD1">
            <w:pPr>
              <w:pStyle w:val="NoSpacing"/>
              <w:jc w:val="both"/>
              <w:rPr>
                <w:rFonts w:ascii="Times New Roman" w:hAnsi="Times New Roman" w:cs="Times New Roman"/>
                <w:iCs/>
                <w:sz w:val="24"/>
                <w:szCs w:val="24"/>
                <w:lang w:eastAsia="lv-LV"/>
              </w:rPr>
            </w:pPr>
            <w:proofErr w:type="spellStart"/>
            <w:r w:rsidRPr="00AC3D9D">
              <w:rPr>
                <w:rFonts w:ascii="Times New Roman" w:hAnsi="Times New Roman" w:cs="Times New Roman"/>
                <w:iCs/>
                <w:sz w:val="24"/>
                <w:szCs w:val="24"/>
                <w:lang w:eastAsia="lv-LV"/>
              </w:rPr>
              <w:t>i</w:t>
            </w:r>
            <w:r w:rsidR="00842AD1" w:rsidRPr="00AC3D9D">
              <w:rPr>
                <w:rFonts w:ascii="Times New Roman" w:hAnsi="Times New Roman" w:cs="Times New Roman"/>
                <w:iCs/>
                <w:sz w:val="24"/>
                <w:szCs w:val="24"/>
                <w:lang w:eastAsia="lv-LV"/>
              </w:rPr>
              <w:t>zmai</w:t>
            </w:r>
            <w:proofErr w:type="spellEnd"/>
            <w:r w:rsidR="00037CA6" w:rsidRPr="00AC3D9D">
              <w:rPr>
                <w:rFonts w:ascii="Times New Roman" w:hAnsi="Times New Roman" w:cs="Times New Roman"/>
                <w:iCs/>
                <w:sz w:val="24"/>
                <w:szCs w:val="24"/>
                <w:lang w:eastAsia="lv-LV"/>
              </w:rPr>
              <w:t>-</w:t>
            </w:r>
          </w:p>
          <w:p w14:paraId="4574A91B" w14:textId="77777777" w:rsidR="006E71F7" w:rsidRPr="00AC3D9D" w:rsidRDefault="00842AD1" w:rsidP="00842AD1">
            <w:pPr>
              <w:pStyle w:val="NoSpacing"/>
              <w:jc w:val="both"/>
              <w:rPr>
                <w:rFonts w:ascii="Times New Roman" w:hAnsi="Times New Roman" w:cs="Times New Roman"/>
                <w:iCs/>
                <w:sz w:val="24"/>
                <w:szCs w:val="24"/>
                <w:lang w:eastAsia="lv-LV"/>
              </w:rPr>
            </w:pPr>
            <w:proofErr w:type="spellStart"/>
            <w:r w:rsidRPr="00AC3D9D">
              <w:rPr>
                <w:rFonts w:ascii="Times New Roman" w:hAnsi="Times New Roman" w:cs="Times New Roman"/>
                <w:iCs/>
                <w:sz w:val="24"/>
                <w:szCs w:val="24"/>
                <w:lang w:eastAsia="lv-LV"/>
              </w:rPr>
              <w:t>ņas</w:t>
            </w:r>
            <w:proofErr w:type="spellEnd"/>
            <w:r w:rsidRPr="00AC3D9D">
              <w:rPr>
                <w:rFonts w:ascii="Times New Roman" w:hAnsi="Times New Roman" w:cs="Times New Roman"/>
                <w:iCs/>
                <w:sz w:val="24"/>
                <w:szCs w:val="24"/>
                <w:lang w:eastAsia="lv-LV"/>
              </w:rPr>
              <w:t>, salīdzi</w:t>
            </w:r>
            <w:r w:rsidR="006E71F7" w:rsidRPr="00AC3D9D">
              <w:rPr>
                <w:rFonts w:ascii="Times New Roman" w:hAnsi="Times New Roman" w:cs="Times New Roman"/>
                <w:iCs/>
                <w:sz w:val="24"/>
                <w:szCs w:val="24"/>
                <w:lang w:eastAsia="lv-LV"/>
              </w:rPr>
              <w:t>-</w:t>
            </w:r>
          </w:p>
          <w:p w14:paraId="27883A77" w14:textId="2DB0C162" w:rsidR="00842AD1" w:rsidRPr="00AC3D9D" w:rsidRDefault="00842AD1" w:rsidP="00037CA6">
            <w:pPr>
              <w:pStyle w:val="NoSpacing"/>
              <w:jc w:val="both"/>
              <w:rPr>
                <w:rFonts w:ascii="Times New Roman" w:hAnsi="Times New Roman" w:cs="Times New Roman"/>
                <w:iCs/>
                <w:sz w:val="24"/>
                <w:szCs w:val="24"/>
                <w:lang w:eastAsia="lv-LV"/>
              </w:rPr>
            </w:pPr>
            <w:proofErr w:type="spellStart"/>
            <w:r w:rsidRPr="00AC3D9D">
              <w:rPr>
                <w:rFonts w:ascii="Times New Roman" w:hAnsi="Times New Roman" w:cs="Times New Roman"/>
                <w:iCs/>
                <w:sz w:val="24"/>
                <w:szCs w:val="24"/>
                <w:lang w:eastAsia="lv-LV"/>
              </w:rPr>
              <w:t>not</w:t>
            </w:r>
            <w:proofErr w:type="spellEnd"/>
            <w:r w:rsidRPr="00AC3D9D">
              <w:rPr>
                <w:rFonts w:ascii="Times New Roman" w:hAnsi="Times New Roman" w:cs="Times New Roman"/>
                <w:iCs/>
                <w:sz w:val="24"/>
                <w:szCs w:val="24"/>
                <w:lang w:eastAsia="lv-LV"/>
              </w:rPr>
              <w:t xml:space="preserve"> ar vidēja termiņa budžeta ietvaru </w:t>
            </w:r>
            <w:r w:rsidR="00037CA6" w:rsidRPr="00AC3D9D">
              <w:rPr>
                <w:rFonts w:ascii="Times New Roman" w:hAnsi="Times New Roman" w:cs="Times New Roman"/>
                <w:iCs/>
                <w:sz w:val="24"/>
                <w:szCs w:val="24"/>
                <w:lang w:eastAsia="lv-LV"/>
              </w:rPr>
              <w:t>202</w:t>
            </w:r>
            <w:r w:rsidR="00AF69C9" w:rsidRPr="00AC3D9D">
              <w:rPr>
                <w:rFonts w:ascii="Times New Roman" w:hAnsi="Times New Roman" w:cs="Times New Roman"/>
                <w:iCs/>
                <w:sz w:val="24"/>
                <w:szCs w:val="24"/>
                <w:lang w:eastAsia="lv-LV"/>
              </w:rPr>
              <w:t>3</w:t>
            </w:r>
            <w:r w:rsidR="00037CA6" w:rsidRPr="00AC3D9D">
              <w:rPr>
                <w:rFonts w:ascii="Times New Roman" w:hAnsi="Times New Roman" w:cs="Times New Roman"/>
                <w:iCs/>
                <w:sz w:val="24"/>
                <w:szCs w:val="24"/>
                <w:lang w:eastAsia="lv-LV"/>
              </w:rPr>
              <w:t>.</w:t>
            </w:r>
            <w:r w:rsidRPr="00AC3D9D">
              <w:rPr>
                <w:rFonts w:ascii="Times New Roman" w:hAnsi="Times New Roman" w:cs="Times New Roman"/>
                <w:iCs/>
                <w:sz w:val="24"/>
                <w:szCs w:val="24"/>
                <w:lang w:eastAsia="lv-LV"/>
              </w:rPr>
              <w:t xml:space="preserve"> gadam</w:t>
            </w:r>
          </w:p>
        </w:tc>
        <w:tc>
          <w:tcPr>
            <w:tcW w:w="1276" w:type="dxa"/>
          </w:tcPr>
          <w:p w14:paraId="3037AFEA" w14:textId="77777777" w:rsidR="006E71F7" w:rsidRPr="00AC3D9D" w:rsidRDefault="00842AD1" w:rsidP="00842AD1">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izmaiņas, salīdzi</w:t>
            </w:r>
            <w:r w:rsidR="006E71F7" w:rsidRPr="00AC3D9D">
              <w:rPr>
                <w:rFonts w:ascii="Times New Roman" w:hAnsi="Times New Roman" w:cs="Times New Roman"/>
                <w:iCs/>
                <w:sz w:val="24"/>
                <w:szCs w:val="24"/>
                <w:lang w:eastAsia="lv-LV"/>
              </w:rPr>
              <w:t>-</w:t>
            </w:r>
          </w:p>
          <w:p w14:paraId="63645ED3" w14:textId="6488B373" w:rsidR="00842AD1" w:rsidRPr="00AC3D9D" w:rsidRDefault="00842AD1" w:rsidP="00037CA6">
            <w:pPr>
              <w:pStyle w:val="NoSpacing"/>
              <w:jc w:val="both"/>
              <w:rPr>
                <w:rFonts w:ascii="Times New Roman" w:hAnsi="Times New Roman" w:cs="Times New Roman"/>
                <w:iCs/>
                <w:sz w:val="24"/>
                <w:szCs w:val="24"/>
                <w:lang w:eastAsia="lv-LV"/>
              </w:rPr>
            </w:pPr>
            <w:proofErr w:type="spellStart"/>
            <w:r w:rsidRPr="00AC3D9D">
              <w:rPr>
                <w:rFonts w:ascii="Times New Roman" w:hAnsi="Times New Roman" w:cs="Times New Roman"/>
                <w:iCs/>
                <w:sz w:val="24"/>
                <w:szCs w:val="24"/>
                <w:lang w:eastAsia="lv-LV"/>
              </w:rPr>
              <w:t>not</w:t>
            </w:r>
            <w:proofErr w:type="spellEnd"/>
            <w:r w:rsidRPr="00AC3D9D">
              <w:rPr>
                <w:rFonts w:ascii="Times New Roman" w:hAnsi="Times New Roman" w:cs="Times New Roman"/>
                <w:iCs/>
                <w:sz w:val="24"/>
                <w:szCs w:val="24"/>
                <w:lang w:eastAsia="lv-LV"/>
              </w:rPr>
              <w:t xml:space="preserve"> ar vidēja termiņa budžeta ietvaru </w:t>
            </w:r>
            <w:r w:rsidR="00037CA6" w:rsidRPr="00AC3D9D">
              <w:rPr>
                <w:rFonts w:ascii="Times New Roman" w:hAnsi="Times New Roman" w:cs="Times New Roman"/>
                <w:iCs/>
                <w:sz w:val="24"/>
                <w:szCs w:val="24"/>
                <w:lang w:eastAsia="lv-LV"/>
              </w:rPr>
              <w:t>202</w:t>
            </w:r>
            <w:r w:rsidR="00AF69C9" w:rsidRPr="00AC3D9D">
              <w:rPr>
                <w:rFonts w:ascii="Times New Roman" w:hAnsi="Times New Roman" w:cs="Times New Roman"/>
                <w:iCs/>
                <w:sz w:val="24"/>
                <w:szCs w:val="24"/>
                <w:lang w:eastAsia="lv-LV"/>
              </w:rPr>
              <w:t>3</w:t>
            </w:r>
            <w:r w:rsidR="00037CA6" w:rsidRPr="00AC3D9D">
              <w:rPr>
                <w:rFonts w:ascii="Times New Roman" w:hAnsi="Times New Roman" w:cs="Times New Roman"/>
                <w:iCs/>
                <w:sz w:val="24"/>
                <w:szCs w:val="24"/>
                <w:lang w:eastAsia="lv-LV"/>
              </w:rPr>
              <w:t>.</w:t>
            </w:r>
            <w:r w:rsidRPr="00AC3D9D">
              <w:rPr>
                <w:rFonts w:ascii="Times New Roman" w:hAnsi="Times New Roman" w:cs="Times New Roman"/>
                <w:iCs/>
                <w:sz w:val="24"/>
                <w:szCs w:val="24"/>
                <w:lang w:eastAsia="lv-LV"/>
              </w:rPr>
              <w:t xml:space="preserve"> gadam</w:t>
            </w:r>
          </w:p>
        </w:tc>
      </w:tr>
      <w:tr w:rsidR="006E71F7" w:rsidRPr="00FE55E8" w14:paraId="771DF34B" w14:textId="77777777" w:rsidTr="00AD2450">
        <w:tc>
          <w:tcPr>
            <w:tcW w:w="1560" w:type="dxa"/>
            <w:vAlign w:val="center"/>
          </w:tcPr>
          <w:p w14:paraId="5CAC5284"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1</w:t>
            </w:r>
          </w:p>
        </w:tc>
        <w:tc>
          <w:tcPr>
            <w:tcW w:w="1134" w:type="dxa"/>
            <w:vAlign w:val="center"/>
          </w:tcPr>
          <w:p w14:paraId="59E684E4"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w:t>
            </w:r>
          </w:p>
        </w:tc>
        <w:tc>
          <w:tcPr>
            <w:tcW w:w="1268" w:type="dxa"/>
            <w:vAlign w:val="center"/>
          </w:tcPr>
          <w:p w14:paraId="7B851117"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3</w:t>
            </w:r>
          </w:p>
        </w:tc>
        <w:tc>
          <w:tcPr>
            <w:tcW w:w="1000" w:type="dxa"/>
            <w:vAlign w:val="center"/>
          </w:tcPr>
          <w:p w14:paraId="3AED9FA2"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4</w:t>
            </w:r>
          </w:p>
        </w:tc>
        <w:tc>
          <w:tcPr>
            <w:tcW w:w="1134" w:type="dxa"/>
            <w:vAlign w:val="center"/>
          </w:tcPr>
          <w:p w14:paraId="4911E27E"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5</w:t>
            </w:r>
          </w:p>
        </w:tc>
        <w:tc>
          <w:tcPr>
            <w:tcW w:w="992" w:type="dxa"/>
            <w:vAlign w:val="center"/>
          </w:tcPr>
          <w:p w14:paraId="4E2AD10B"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6</w:t>
            </w:r>
          </w:p>
        </w:tc>
        <w:tc>
          <w:tcPr>
            <w:tcW w:w="992" w:type="dxa"/>
            <w:vAlign w:val="center"/>
          </w:tcPr>
          <w:p w14:paraId="5BA26198"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7</w:t>
            </w:r>
          </w:p>
        </w:tc>
        <w:tc>
          <w:tcPr>
            <w:tcW w:w="1276" w:type="dxa"/>
            <w:vAlign w:val="center"/>
          </w:tcPr>
          <w:p w14:paraId="7F86F2CF" w14:textId="77777777" w:rsidR="00842AD1" w:rsidRPr="00AC3D9D" w:rsidRDefault="00842AD1" w:rsidP="00842AD1">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8</w:t>
            </w:r>
          </w:p>
        </w:tc>
      </w:tr>
      <w:tr w:rsidR="006C12A6" w:rsidRPr="00FE55E8" w14:paraId="2705A3A2" w14:textId="77777777" w:rsidTr="00AD2450">
        <w:tc>
          <w:tcPr>
            <w:tcW w:w="1560" w:type="dxa"/>
            <w:vAlign w:val="center"/>
          </w:tcPr>
          <w:p w14:paraId="530B8D70" w14:textId="77777777" w:rsidR="006C12A6" w:rsidRPr="00AC3D9D" w:rsidRDefault="006C12A6" w:rsidP="006C12A6">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1. Budžeta ieņēmumi</w:t>
            </w:r>
          </w:p>
        </w:tc>
        <w:tc>
          <w:tcPr>
            <w:tcW w:w="1134" w:type="dxa"/>
            <w:vAlign w:val="center"/>
          </w:tcPr>
          <w:p w14:paraId="7D3DF200" w14:textId="308F67C4" w:rsidR="006C12A6" w:rsidRPr="00AC3D9D" w:rsidRDefault="000F01C5"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vAlign w:val="center"/>
          </w:tcPr>
          <w:p w14:paraId="4C79F4EB"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7DB5AC37"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3D9CB9CF"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40910F8B"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180E1D11"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707DD948"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6C12A6" w:rsidRPr="00FE55E8" w14:paraId="6BAC9BE6" w14:textId="77777777" w:rsidTr="00AD2450">
        <w:tc>
          <w:tcPr>
            <w:tcW w:w="1560" w:type="dxa"/>
            <w:vAlign w:val="center"/>
          </w:tcPr>
          <w:p w14:paraId="1E6336B9" w14:textId="77777777" w:rsidR="006C12A6" w:rsidRPr="00AC3D9D" w:rsidRDefault="006C12A6" w:rsidP="006C12A6">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088C85ED" w:rsidR="006C12A6" w:rsidRPr="00AC3D9D" w:rsidRDefault="000F01C5"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vAlign w:val="center"/>
          </w:tcPr>
          <w:p w14:paraId="629B13F4"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725960D6"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69E4F2D7"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0F45211D"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6A140470"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1CFB31A7" w14:textId="77777777" w:rsidR="006C12A6" w:rsidRPr="00AC3D9D" w:rsidRDefault="006C12A6" w:rsidP="006C12A6">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C605C2" w:rsidRPr="00FE55E8" w14:paraId="411D21F9" w14:textId="77777777" w:rsidTr="003D0A28">
        <w:tc>
          <w:tcPr>
            <w:tcW w:w="1560" w:type="dxa"/>
            <w:vAlign w:val="center"/>
          </w:tcPr>
          <w:p w14:paraId="6878BEDA" w14:textId="11FA7FA9" w:rsidR="00C605C2" w:rsidRPr="00AC3D9D" w:rsidRDefault="00236D71" w:rsidP="00C605C2">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99.00.00</w:t>
            </w:r>
          </w:p>
        </w:tc>
        <w:tc>
          <w:tcPr>
            <w:tcW w:w="1134" w:type="dxa"/>
            <w:vAlign w:val="center"/>
          </w:tcPr>
          <w:p w14:paraId="7B3EB1FE" w14:textId="52003077" w:rsidR="00C605C2" w:rsidRPr="00AC3D9D" w:rsidRDefault="000F01C5" w:rsidP="00AC3D9D">
            <w:pPr>
              <w:pStyle w:val="NoSpacing"/>
              <w:rPr>
                <w:rFonts w:ascii="Times New Roman" w:hAnsi="Times New Roman" w:cs="Times New Roman"/>
                <w:iCs/>
                <w:lang w:eastAsia="lv-LV"/>
              </w:rPr>
            </w:pPr>
            <w:r w:rsidRPr="00AC3D9D">
              <w:rPr>
                <w:rFonts w:ascii="Times New Roman" w:hAnsi="Times New Roman" w:cs="Times New Roman"/>
                <w:iCs/>
              </w:rPr>
              <w:t>0</w:t>
            </w:r>
          </w:p>
        </w:tc>
        <w:tc>
          <w:tcPr>
            <w:tcW w:w="1268" w:type="dxa"/>
            <w:vAlign w:val="center"/>
          </w:tcPr>
          <w:p w14:paraId="2F3F66B1" w14:textId="174AE8C6" w:rsidR="00C605C2" w:rsidRPr="00AC3D9D" w:rsidRDefault="00C605C2" w:rsidP="00AC3D9D">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2E53733D" w14:textId="2FD0AD7A" w:rsidR="00C605C2" w:rsidRPr="00AC3D9D" w:rsidRDefault="00C605C2" w:rsidP="00AC3D9D">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5278A3F4" w14:textId="739BE7FA" w:rsidR="00C605C2" w:rsidRPr="00AC3D9D" w:rsidRDefault="00C605C2" w:rsidP="00AC3D9D">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7936BBB4" w14:textId="3F1F46AD" w:rsidR="00C605C2" w:rsidRPr="00AC3D9D" w:rsidRDefault="00C605C2" w:rsidP="00AC3D9D">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43CBD017" w14:textId="2DE72135" w:rsidR="00C605C2" w:rsidRPr="00AC3D9D" w:rsidRDefault="00C605C2" w:rsidP="00AC3D9D">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7CFAEB2D" w14:textId="16F1B73D" w:rsidR="00C605C2" w:rsidRPr="00AC3D9D" w:rsidRDefault="00C605C2" w:rsidP="00AC3D9D">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C605C2" w:rsidRPr="00FE55E8" w14:paraId="3AC25DED" w14:textId="77777777" w:rsidTr="00AD2450">
        <w:tc>
          <w:tcPr>
            <w:tcW w:w="1560" w:type="dxa"/>
            <w:vAlign w:val="center"/>
          </w:tcPr>
          <w:p w14:paraId="57E5A44A" w14:textId="77777777" w:rsidR="00C605C2" w:rsidRPr="00AC3D9D" w:rsidRDefault="00C605C2" w:rsidP="00C605C2">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1.2. valsts speciālais budžets</w:t>
            </w:r>
          </w:p>
        </w:tc>
        <w:tc>
          <w:tcPr>
            <w:tcW w:w="1134" w:type="dxa"/>
            <w:vAlign w:val="center"/>
          </w:tcPr>
          <w:p w14:paraId="1FDC8DB7"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vAlign w:val="center"/>
          </w:tcPr>
          <w:p w14:paraId="6B356F5C"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7BFDFA01"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596CF39E"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43CAECF5"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5AF156CF"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779C1AF0"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C605C2" w:rsidRPr="00FE55E8" w14:paraId="6647C15C" w14:textId="77777777" w:rsidTr="00AD2450">
        <w:tc>
          <w:tcPr>
            <w:tcW w:w="1560" w:type="dxa"/>
            <w:vAlign w:val="center"/>
          </w:tcPr>
          <w:p w14:paraId="4D9A26F0" w14:textId="77777777" w:rsidR="00C605C2" w:rsidRPr="00AC3D9D" w:rsidRDefault="00C605C2" w:rsidP="00C605C2">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1.3. pašvaldību budžets</w:t>
            </w:r>
          </w:p>
        </w:tc>
        <w:tc>
          <w:tcPr>
            <w:tcW w:w="1134" w:type="dxa"/>
            <w:vAlign w:val="center"/>
          </w:tcPr>
          <w:p w14:paraId="2DD496DC"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vAlign w:val="center"/>
          </w:tcPr>
          <w:p w14:paraId="4FAC4F50"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206B7E4A"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56D8A8A2"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50CA4131"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7A33D5AE"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31996F18"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C605C2" w:rsidRPr="00FE55E8" w14:paraId="6DD21194" w14:textId="77777777" w:rsidTr="00AD2450">
        <w:tc>
          <w:tcPr>
            <w:tcW w:w="1560" w:type="dxa"/>
            <w:vAlign w:val="center"/>
          </w:tcPr>
          <w:p w14:paraId="69D1D7DC" w14:textId="77777777" w:rsidR="00C605C2" w:rsidRPr="00AC3D9D" w:rsidRDefault="00C605C2" w:rsidP="00C605C2">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lastRenderedPageBreak/>
              <w:t>2. Budžeta izdevumi</w:t>
            </w:r>
          </w:p>
        </w:tc>
        <w:tc>
          <w:tcPr>
            <w:tcW w:w="1134" w:type="dxa"/>
          </w:tcPr>
          <w:p w14:paraId="32531346" w14:textId="7F238A10" w:rsidR="00C605C2" w:rsidRPr="00AC3D9D" w:rsidRDefault="00C30FA9" w:rsidP="00AC3D9D">
            <w:pPr>
              <w:ind w:left="-111"/>
              <w:rPr>
                <w:sz w:val="22"/>
                <w:szCs w:val="22"/>
              </w:rPr>
            </w:pPr>
            <w:r>
              <w:rPr>
                <w:iCs/>
                <w:sz w:val="22"/>
                <w:szCs w:val="22"/>
              </w:rPr>
              <w:t xml:space="preserve">  </w:t>
            </w:r>
            <w:r w:rsidR="0095302A" w:rsidRPr="00AC3D9D">
              <w:rPr>
                <w:iCs/>
                <w:sz w:val="22"/>
                <w:szCs w:val="22"/>
              </w:rPr>
              <w:t>0</w:t>
            </w:r>
          </w:p>
        </w:tc>
        <w:tc>
          <w:tcPr>
            <w:tcW w:w="1268" w:type="dxa"/>
            <w:shd w:val="clear" w:color="auto" w:fill="auto"/>
            <w:vAlign w:val="center"/>
          </w:tcPr>
          <w:p w14:paraId="3817440A" w14:textId="57747657" w:rsidR="00C605C2" w:rsidRPr="00AC3D9D" w:rsidRDefault="00236D71" w:rsidP="00C605C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228 400</w:t>
            </w:r>
          </w:p>
        </w:tc>
        <w:tc>
          <w:tcPr>
            <w:tcW w:w="1000" w:type="dxa"/>
            <w:vAlign w:val="center"/>
          </w:tcPr>
          <w:p w14:paraId="6F9A04C7"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02B63BA2" w14:textId="6217BCAA"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0 </w:t>
            </w:r>
          </w:p>
        </w:tc>
        <w:tc>
          <w:tcPr>
            <w:tcW w:w="992" w:type="dxa"/>
            <w:vAlign w:val="center"/>
          </w:tcPr>
          <w:p w14:paraId="241A7AB6"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26E26F30"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57D05176"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C605C2" w:rsidRPr="00FE55E8" w14:paraId="4C9240C1" w14:textId="77777777" w:rsidTr="00AD2450">
        <w:tc>
          <w:tcPr>
            <w:tcW w:w="1560" w:type="dxa"/>
            <w:vAlign w:val="center"/>
          </w:tcPr>
          <w:p w14:paraId="2EF94251" w14:textId="77777777" w:rsidR="00C605C2" w:rsidRPr="00AC3D9D" w:rsidRDefault="00C605C2" w:rsidP="00C605C2">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2.1. valsts pamatbudžets</w:t>
            </w:r>
          </w:p>
        </w:tc>
        <w:tc>
          <w:tcPr>
            <w:tcW w:w="1134" w:type="dxa"/>
          </w:tcPr>
          <w:p w14:paraId="2B71F877" w14:textId="279C2DD9" w:rsidR="00C605C2" w:rsidRPr="00AC3D9D" w:rsidRDefault="00AC3D9D" w:rsidP="00AC3D9D">
            <w:pPr>
              <w:rPr>
                <w:sz w:val="22"/>
                <w:szCs w:val="22"/>
              </w:rPr>
            </w:pPr>
            <w:r>
              <w:rPr>
                <w:iCs/>
                <w:sz w:val="22"/>
                <w:szCs w:val="22"/>
              </w:rPr>
              <w:t>0</w:t>
            </w:r>
          </w:p>
        </w:tc>
        <w:tc>
          <w:tcPr>
            <w:tcW w:w="1268" w:type="dxa"/>
            <w:shd w:val="clear" w:color="auto" w:fill="auto"/>
            <w:vAlign w:val="center"/>
          </w:tcPr>
          <w:p w14:paraId="4E55BB4E" w14:textId="7DFC1F18" w:rsidR="00C605C2" w:rsidRPr="00AC3D9D" w:rsidRDefault="00236D71" w:rsidP="00C605C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0</w:t>
            </w:r>
          </w:p>
        </w:tc>
        <w:tc>
          <w:tcPr>
            <w:tcW w:w="1000" w:type="dxa"/>
            <w:vAlign w:val="center"/>
          </w:tcPr>
          <w:p w14:paraId="49FF8384"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6A65332C" w14:textId="78A7ED0B"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0  </w:t>
            </w:r>
          </w:p>
        </w:tc>
        <w:tc>
          <w:tcPr>
            <w:tcW w:w="992" w:type="dxa"/>
            <w:vAlign w:val="center"/>
          </w:tcPr>
          <w:p w14:paraId="4768FF1E"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220FFD77"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5A7B705B" w14:textId="7777777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C605C2" w:rsidRPr="00FE55E8" w14:paraId="45BC459D" w14:textId="77777777" w:rsidTr="00AD2450">
        <w:tc>
          <w:tcPr>
            <w:tcW w:w="1560" w:type="dxa"/>
            <w:vAlign w:val="center"/>
          </w:tcPr>
          <w:p w14:paraId="63367F74" w14:textId="1725ACE5" w:rsidR="00C605C2" w:rsidRPr="00AC3D9D" w:rsidRDefault="00236D71" w:rsidP="00C605C2">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99.00.00</w:t>
            </w:r>
          </w:p>
        </w:tc>
        <w:tc>
          <w:tcPr>
            <w:tcW w:w="1134" w:type="dxa"/>
          </w:tcPr>
          <w:p w14:paraId="3CC4662C" w14:textId="1B66962D" w:rsidR="00C605C2" w:rsidRPr="00AC3D9D" w:rsidRDefault="00812A38" w:rsidP="00C605C2">
            <w:pPr>
              <w:rPr>
                <w:iCs/>
                <w:sz w:val="22"/>
                <w:szCs w:val="22"/>
              </w:rPr>
            </w:pPr>
            <w:r w:rsidRPr="00AC3D9D">
              <w:rPr>
                <w:iCs/>
                <w:sz w:val="22"/>
                <w:szCs w:val="22"/>
              </w:rPr>
              <w:t>0</w:t>
            </w:r>
          </w:p>
        </w:tc>
        <w:tc>
          <w:tcPr>
            <w:tcW w:w="1268" w:type="dxa"/>
            <w:shd w:val="clear" w:color="auto" w:fill="auto"/>
            <w:vAlign w:val="center"/>
          </w:tcPr>
          <w:p w14:paraId="55908870" w14:textId="499BECAD" w:rsidR="00C605C2" w:rsidRPr="00AC3D9D" w:rsidRDefault="00236D71" w:rsidP="00C605C2">
            <w:pPr>
              <w:pStyle w:val="NoSpacing"/>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228 400</w:t>
            </w:r>
          </w:p>
        </w:tc>
        <w:tc>
          <w:tcPr>
            <w:tcW w:w="1000" w:type="dxa"/>
            <w:vAlign w:val="center"/>
          </w:tcPr>
          <w:p w14:paraId="24CF2474" w14:textId="0EAE546E"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39B641F8" w14:textId="50E9BFA6"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200D9A0B" w14:textId="326A2C48"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44DB4E65" w14:textId="2E318BFE"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2C5B4D96" w14:textId="3DD44DD7" w:rsidR="00C605C2" w:rsidRPr="00AC3D9D" w:rsidRDefault="00C605C2" w:rsidP="00C605C2">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3CA514EE" w14:textId="77777777" w:rsidTr="00AD2450">
        <w:tc>
          <w:tcPr>
            <w:tcW w:w="1560" w:type="dxa"/>
            <w:vAlign w:val="center"/>
          </w:tcPr>
          <w:p w14:paraId="21CB02F5"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2.2. valsts speciālais budžets</w:t>
            </w:r>
          </w:p>
        </w:tc>
        <w:tc>
          <w:tcPr>
            <w:tcW w:w="1134" w:type="dxa"/>
            <w:vAlign w:val="center"/>
          </w:tcPr>
          <w:p w14:paraId="043D387D"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shd w:val="clear" w:color="auto" w:fill="auto"/>
            <w:vAlign w:val="center"/>
          </w:tcPr>
          <w:p w14:paraId="3BACD1D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6FFA7141"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75D7B02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6E8D33B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3A05B6D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08443B5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364A8407" w14:textId="77777777" w:rsidTr="00AD2450">
        <w:tc>
          <w:tcPr>
            <w:tcW w:w="1560" w:type="dxa"/>
            <w:vAlign w:val="center"/>
          </w:tcPr>
          <w:p w14:paraId="2420BB44"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2.3. pašvaldību budžets</w:t>
            </w:r>
          </w:p>
        </w:tc>
        <w:tc>
          <w:tcPr>
            <w:tcW w:w="1134" w:type="dxa"/>
            <w:vAlign w:val="center"/>
          </w:tcPr>
          <w:p w14:paraId="16BCDA2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shd w:val="clear" w:color="auto" w:fill="auto"/>
            <w:vAlign w:val="center"/>
          </w:tcPr>
          <w:p w14:paraId="6609B15A"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1CE5C9D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367C6E5B"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5EA27691"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19AB8CE4"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6548D61A"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26AA93A1" w14:textId="77777777" w:rsidTr="0017000F">
        <w:tc>
          <w:tcPr>
            <w:tcW w:w="1560" w:type="dxa"/>
            <w:vAlign w:val="center"/>
          </w:tcPr>
          <w:p w14:paraId="63B7DF8D"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3. Finansiālā ietekme</w:t>
            </w:r>
          </w:p>
        </w:tc>
        <w:tc>
          <w:tcPr>
            <w:tcW w:w="1134" w:type="dxa"/>
            <w:vAlign w:val="center"/>
          </w:tcPr>
          <w:p w14:paraId="20080A5A"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shd w:val="clear" w:color="auto" w:fill="auto"/>
            <w:vAlign w:val="center"/>
          </w:tcPr>
          <w:p w14:paraId="6F81E846" w14:textId="7DD388C1" w:rsidR="00FC381C" w:rsidRPr="00AC3D9D" w:rsidRDefault="00812A38" w:rsidP="00FC381C">
            <w:pPr>
              <w:rPr>
                <w:rFonts w:eastAsiaTheme="minorHAnsi"/>
                <w:iCs/>
                <w:sz w:val="22"/>
                <w:szCs w:val="22"/>
              </w:rPr>
            </w:pPr>
            <w:r w:rsidRPr="00AC3D9D">
              <w:rPr>
                <w:iCs/>
              </w:rPr>
              <w:t>-</w:t>
            </w:r>
            <w:r w:rsidR="00236D71" w:rsidRPr="00AC3D9D">
              <w:rPr>
                <w:iCs/>
              </w:rPr>
              <w:t>228 400</w:t>
            </w:r>
          </w:p>
        </w:tc>
        <w:tc>
          <w:tcPr>
            <w:tcW w:w="1000" w:type="dxa"/>
            <w:vAlign w:val="center"/>
          </w:tcPr>
          <w:p w14:paraId="65B8AD81"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78E5133D" w14:textId="47C8BC1E"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0720022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71FF305D"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65EF415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3B76C9FB" w14:textId="77777777" w:rsidTr="0017000F">
        <w:tc>
          <w:tcPr>
            <w:tcW w:w="1560" w:type="dxa"/>
            <w:vAlign w:val="center"/>
          </w:tcPr>
          <w:p w14:paraId="78EE45FA"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3.1. valsts pamatbudžets</w:t>
            </w:r>
          </w:p>
        </w:tc>
        <w:tc>
          <w:tcPr>
            <w:tcW w:w="1134" w:type="dxa"/>
            <w:vAlign w:val="center"/>
          </w:tcPr>
          <w:p w14:paraId="67FF7464"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shd w:val="clear" w:color="auto" w:fill="auto"/>
          </w:tcPr>
          <w:p w14:paraId="4E2101CF" w14:textId="37324123" w:rsidR="00FC381C" w:rsidRPr="00AC3D9D" w:rsidRDefault="00812A38" w:rsidP="00FC381C">
            <w:pPr>
              <w:rPr>
                <w:rFonts w:eastAsiaTheme="minorHAnsi"/>
                <w:iCs/>
                <w:sz w:val="22"/>
                <w:szCs w:val="22"/>
              </w:rPr>
            </w:pPr>
            <w:r w:rsidRPr="00AC3D9D">
              <w:t>-</w:t>
            </w:r>
            <w:r w:rsidR="00236D71" w:rsidRPr="00AC3D9D">
              <w:t>228 400</w:t>
            </w:r>
          </w:p>
        </w:tc>
        <w:tc>
          <w:tcPr>
            <w:tcW w:w="1000" w:type="dxa"/>
            <w:vAlign w:val="center"/>
          </w:tcPr>
          <w:p w14:paraId="634F481A"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738DE87B" w14:textId="563B8059"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0 </w:t>
            </w:r>
          </w:p>
        </w:tc>
        <w:tc>
          <w:tcPr>
            <w:tcW w:w="992" w:type="dxa"/>
            <w:vAlign w:val="center"/>
          </w:tcPr>
          <w:p w14:paraId="261CAB20"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34DDA89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36998B0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5464172B" w14:textId="77777777" w:rsidTr="0017000F">
        <w:tc>
          <w:tcPr>
            <w:tcW w:w="1560" w:type="dxa"/>
            <w:vAlign w:val="center"/>
          </w:tcPr>
          <w:p w14:paraId="70367456" w14:textId="74A8DAC6"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Veselības ministrijai</w:t>
            </w:r>
          </w:p>
        </w:tc>
        <w:tc>
          <w:tcPr>
            <w:tcW w:w="1134" w:type="dxa"/>
          </w:tcPr>
          <w:p w14:paraId="7419FF33" w14:textId="0CDDD418" w:rsidR="00FC381C" w:rsidRPr="00AC3D9D" w:rsidRDefault="00FC381C" w:rsidP="00FC381C">
            <w:pPr>
              <w:pStyle w:val="NoSpacing"/>
              <w:rPr>
                <w:rFonts w:ascii="Times New Roman" w:hAnsi="Times New Roman" w:cs="Times New Roman"/>
                <w:iCs/>
                <w:lang w:eastAsia="lv-LV"/>
              </w:rPr>
            </w:pPr>
            <w:r w:rsidRPr="00AC3D9D">
              <w:rPr>
                <w:iCs/>
              </w:rPr>
              <w:t>0</w:t>
            </w:r>
          </w:p>
        </w:tc>
        <w:tc>
          <w:tcPr>
            <w:tcW w:w="1268" w:type="dxa"/>
            <w:shd w:val="clear" w:color="auto" w:fill="auto"/>
          </w:tcPr>
          <w:p w14:paraId="50919549" w14:textId="77777777" w:rsidR="00FC381C" w:rsidRPr="00AC3D9D" w:rsidRDefault="00FC381C" w:rsidP="00FC381C">
            <w:r w:rsidRPr="00AC3D9D">
              <w:t>0</w:t>
            </w:r>
          </w:p>
          <w:p w14:paraId="24604064" w14:textId="2F9A6140" w:rsidR="00FC381C" w:rsidRPr="00AC3D9D" w:rsidRDefault="00FC381C" w:rsidP="00FC381C">
            <w:pPr>
              <w:rPr>
                <w:iCs/>
              </w:rPr>
            </w:pPr>
          </w:p>
        </w:tc>
        <w:tc>
          <w:tcPr>
            <w:tcW w:w="1000" w:type="dxa"/>
            <w:vAlign w:val="center"/>
          </w:tcPr>
          <w:p w14:paraId="1B92EF5B" w14:textId="698C821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6EF54448" w14:textId="4E6790FC"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52497045" w14:textId="7631EB36"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6664F97B" w14:textId="74196462"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4AC3CB89" w14:textId="0D2D07DA"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6E221FDA" w14:textId="77777777" w:rsidTr="0017000F">
        <w:tc>
          <w:tcPr>
            <w:tcW w:w="1560" w:type="dxa"/>
            <w:vAlign w:val="center"/>
          </w:tcPr>
          <w:p w14:paraId="08546B7C" w14:textId="1393009A"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Vides aizsardzības un reģionālās attīstības ministrijai</w:t>
            </w:r>
          </w:p>
        </w:tc>
        <w:tc>
          <w:tcPr>
            <w:tcW w:w="1134" w:type="dxa"/>
          </w:tcPr>
          <w:p w14:paraId="29AC1C5C" w14:textId="098AD596" w:rsidR="00FC381C" w:rsidRPr="00AC3D9D" w:rsidRDefault="00FC381C" w:rsidP="00FC381C">
            <w:pPr>
              <w:pStyle w:val="NoSpacing"/>
              <w:rPr>
                <w:rFonts w:ascii="Times New Roman" w:hAnsi="Times New Roman" w:cs="Times New Roman"/>
                <w:iCs/>
                <w:lang w:eastAsia="lv-LV"/>
              </w:rPr>
            </w:pPr>
            <w:r w:rsidRPr="00AC3D9D">
              <w:rPr>
                <w:iCs/>
              </w:rPr>
              <w:t>0</w:t>
            </w:r>
          </w:p>
        </w:tc>
        <w:tc>
          <w:tcPr>
            <w:tcW w:w="1268" w:type="dxa"/>
            <w:shd w:val="clear" w:color="auto" w:fill="auto"/>
            <w:vAlign w:val="center"/>
          </w:tcPr>
          <w:p w14:paraId="4AC8C49F" w14:textId="66DB4E1F" w:rsidR="00FC381C" w:rsidRPr="00AC3D9D" w:rsidRDefault="00FC381C" w:rsidP="00FC381C">
            <w:pPr>
              <w:rPr>
                <w:iCs/>
              </w:rPr>
            </w:pPr>
            <w:r w:rsidRPr="00AC3D9D">
              <w:rPr>
                <w:iCs/>
              </w:rPr>
              <w:t>0</w:t>
            </w:r>
          </w:p>
        </w:tc>
        <w:tc>
          <w:tcPr>
            <w:tcW w:w="1000" w:type="dxa"/>
            <w:vAlign w:val="center"/>
          </w:tcPr>
          <w:p w14:paraId="132BE161" w14:textId="18960A02"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15720302" w14:textId="4F0AB708"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51EA231D" w14:textId="691C929C"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1E520301" w14:textId="0831494F"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4B49ED51" w14:textId="65D61EFC"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4F9C7387" w14:textId="77777777" w:rsidTr="00AD2450">
        <w:tc>
          <w:tcPr>
            <w:tcW w:w="1560" w:type="dxa"/>
            <w:vAlign w:val="center"/>
          </w:tcPr>
          <w:p w14:paraId="572F7E7F"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3.2. speciālais budžets</w:t>
            </w:r>
          </w:p>
        </w:tc>
        <w:tc>
          <w:tcPr>
            <w:tcW w:w="1134" w:type="dxa"/>
            <w:vAlign w:val="center"/>
          </w:tcPr>
          <w:p w14:paraId="54149F95"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shd w:val="clear" w:color="auto" w:fill="auto"/>
            <w:vAlign w:val="center"/>
          </w:tcPr>
          <w:p w14:paraId="363B01FA"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10C7AE69"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577ABCC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1AA8CE79"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5905C9ED"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4E207E5C"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7FC1CF64" w14:textId="77777777" w:rsidTr="00AD2450">
        <w:tc>
          <w:tcPr>
            <w:tcW w:w="1560" w:type="dxa"/>
            <w:vAlign w:val="center"/>
          </w:tcPr>
          <w:p w14:paraId="4008CF4B"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3.3. pašvaldību budžets</w:t>
            </w:r>
          </w:p>
        </w:tc>
        <w:tc>
          <w:tcPr>
            <w:tcW w:w="1134" w:type="dxa"/>
            <w:vAlign w:val="center"/>
          </w:tcPr>
          <w:p w14:paraId="2D055480"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68" w:type="dxa"/>
            <w:shd w:val="clear" w:color="auto" w:fill="auto"/>
            <w:vAlign w:val="center"/>
          </w:tcPr>
          <w:p w14:paraId="40878DB0"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Align w:val="center"/>
          </w:tcPr>
          <w:p w14:paraId="2B5374F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3BBA6A3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798994F2"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2E24075E"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373B79F0"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18A4D8AA" w14:textId="77777777" w:rsidTr="00AD2450">
        <w:tc>
          <w:tcPr>
            <w:tcW w:w="1560" w:type="dxa"/>
            <w:vAlign w:val="center"/>
          </w:tcPr>
          <w:p w14:paraId="493E1C0D"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X</w:t>
            </w:r>
          </w:p>
        </w:tc>
        <w:tc>
          <w:tcPr>
            <w:tcW w:w="1268" w:type="dxa"/>
            <w:shd w:val="clear" w:color="auto" w:fill="auto"/>
            <w:vAlign w:val="center"/>
          </w:tcPr>
          <w:p w14:paraId="5FB69AF4" w14:textId="1DF99A48" w:rsidR="00FC381C" w:rsidRPr="00AC3D9D" w:rsidRDefault="00236D71" w:rsidP="00FC381C">
            <w:pPr>
              <w:pStyle w:val="NoSpacing"/>
              <w:rPr>
                <w:rFonts w:ascii="Times New Roman" w:hAnsi="Times New Roman" w:cs="Times New Roman"/>
                <w:iCs/>
                <w:lang w:eastAsia="lv-LV"/>
              </w:rPr>
            </w:pPr>
            <w:r w:rsidRPr="00AC3D9D">
              <w:rPr>
                <w:rFonts w:ascii="Times New Roman" w:hAnsi="Times New Roman" w:cs="Times New Roman"/>
                <w:iCs/>
                <w:sz w:val="24"/>
                <w:szCs w:val="24"/>
                <w:lang w:eastAsia="lv-LV"/>
              </w:rPr>
              <w:t>228 400</w:t>
            </w:r>
          </w:p>
        </w:tc>
        <w:tc>
          <w:tcPr>
            <w:tcW w:w="1000" w:type="dxa"/>
            <w:vAlign w:val="center"/>
          </w:tcPr>
          <w:p w14:paraId="7B635E9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2E3028BC" w14:textId="2A102C00"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0 </w:t>
            </w:r>
          </w:p>
        </w:tc>
        <w:tc>
          <w:tcPr>
            <w:tcW w:w="992" w:type="dxa"/>
            <w:vAlign w:val="center"/>
          </w:tcPr>
          <w:p w14:paraId="08978D8A"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391DA76C"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41ACAE3B"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4A0A1126" w14:textId="77777777" w:rsidTr="00AD2450">
        <w:tc>
          <w:tcPr>
            <w:tcW w:w="1560" w:type="dxa"/>
            <w:vAlign w:val="center"/>
          </w:tcPr>
          <w:p w14:paraId="0718B353"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X</w:t>
            </w:r>
          </w:p>
        </w:tc>
        <w:tc>
          <w:tcPr>
            <w:tcW w:w="1268" w:type="dxa"/>
            <w:vAlign w:val="center"/>
          </w:tcPr>
          <w:p w14:paraId="09A5586E"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Merge w:val="restart"/>
            <w:vAlign w:val="center"/>
          </w:tcPr>
          <w:p w14:paraId="273E3BE5"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134" w:type="dxa"/>
            <w:vAlign w:val="center"/>
          </w:tcPr>
          <w:p w14:paraId="198C820E"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Merge w:val="restart"/>
            <w:vAlign w:val="center"/>
          </w:tcPr>
          <w:p w14:paraId="3E661FF6"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Align w:val="center"/>
          </w:tcPr>
          <w:p w14:paraId="6EE50824"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63763CDF"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08D7F3D4" w14:textId="77777777" w:rsidTr="00AD2450">
        <w:tc>
          <w:tcPr>
            <w:tcW w:w="1560" w:type="dxa"/>
            <w:vAlign w:val="center"/>
          </w:tcPr>
          <w:p w14:paraId="7F40CC59"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C381C" w:rsidRPr="00AC3D9D" w:rsidRDefault="00FC381C" w:rsidP="00FC381C">
            <w:pPr>
              <w:pStyle w:val="NoSpacing"/>
              <w:rPr>
                <w:rFonts w:ascii="Times New Roman" w:hAnsi="Times New Roman" w:cs="Times New Roman"/>
                <w:iCs/>
                <w:lang w:eastAsia="lv-LV"/>
              </w:rPr>
            </w:pPr>
          </w:p>
        </w:tc>
        <w:tc>
          <w:tcPr>
            <w:tcW w:w="1268" w:type="dxa"/>
            <w:vAlign w:val="center"/>
          </w:tcPr>
          <w:p w14:paraId="4E6920BE"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Merge/>
            <w:vAlign w:val="center"/>
          </w:tcPr>
          <w:p w14:paraId="321A0419" w14:textId="77777777" w:rsidR="00FC381C" w:rsidRPr="00AC3D9D" w:rsidRDefault="00FC381C" w:rsidP="00FC381C">
            <w:pPr>
              <w:pStyle w:val="NoSpacing"/>
              <w:rPr>
                <w:rFonts w:ascii="Times New Roman" w:hAnsi="Times New Roman" w:cs="Times New Roman"/>
                <w:iCs/>
                <w:lang w:eastAsia="lv-LV"/>
              </w:rPr>
            </w:pPr>
          </w:p>
        </w:tc>
        <w:tc>
          <w:tcPr>
            <w:tcW w:w="1134" w:type="dxa"/>
            <w:vAlign w:val="center"/>
          </w:tcPr>
          <w:p w14:paraId="2B1BFC3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Merge/>
            <w:vAlign w:val="center"/>
          </w:tcPr>
          <w:p w14:paraId="6BA7883E" w14:textId="77777777" w:rsidR="00FC381C" w:rsidRPr="00AC3D9D" w:rsidRDefault="00FC381C" w:rsidP="00FC381C">
            <w:pPr>
              <w:pStyle w:val="NoSpacing"/>
              <w:rPr>
                <w:rFonts w:ascii="Times New Roman" w:hAnsi="Times New Roman" w:cs="Times New Roman"/>
                <w:iCs/>
                <w:lang w:eastAsia="lv-LV"/>
              </w:rPr>
            </w:pPr>
          </w:p>
        </w:tc>
        <w:tc>
          <w:tcPr>
            <w:tcW w:w="992" w:type="dxa"/>
            <w:vAlign w:val="center"/>
          </w:tcPr>
          <w:p w14:paraId="1522B08E"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6EDBFF24"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2D7EB16C" w14:textId="77777777" w:rsidTr="00AD2450">
        <w:tc>
          <w:tcPr>
            <w:tcW w:w="1560" w:type="dxa"/>
            <w:vAlign w:val="center"/>
          </w:tcPr>
          <w:p w14:paraId="5FB1C748"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C381C" w:rsidRPr="00AC3D9D" w:rsidRDefault="00FC381C" w:rsidP="00FC381C">
            <w:pPr>
              <w:pStyle w:val="NoSpacing"/>
              <w:rPr>
                <w:rFonts w:ascii="Times New Roman" w:hAnsi="Times New Roman" w:cs="Times New Roman"/>
                <w:iCs/>
                <w:lang w:eastAsia="lv-LV"/>
              </w:rPr>
            </w:pPr>
          </w:p>
        </w:tc>
        <w:tc>
          <w:tcPr>
            <w:tcW w:w="1268" w:type="dxa"/>
            <w:vAlign w:val="center"/>
          </w:tcPr>
          <w:p w14:paraId="5460F16E"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Merge/>
            <w:vAlign w:val="center"/>
          </w:tcPr>
          <w:p w14:paraId="261AFE27" w14:textId="77777777" w:rsidR="00FC381C" w:rsidRPr="00AC3D9D" w:rsidRDefault="00FC381C" w:rsidP="00FC381C">
            <w:pPr>
              <w:pStyle w:val="NoSpacing"/>
              <w:rPr>
                <w:rFonts w:ascii="Times New Roman" w:hAnsi="Times New Roman" w:cs="Times New Roman"/>
                <w:iCs/>
                <w:lang w:eastAsia="lv-LV"/>
              </w:rPr>
            </w:pPr>
          </w:p>
        </w:tc>
        <w:tc>
          <w:tcPr>
            <w:tcW w:w="1134" w:type="dxa"/>
            <w:vAlign w:val="center"/>
          </w:tcPr>
          <w:p w14:paraId="7494D4F0"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Merge/>
            <w:vAlign w:val="center"/>
          </w:tcPr>
          <w:p w14:paraId="0CB9F2ED" w14:textId="77777777" w:rsidR="00FC381C" w:rsidRPr="00AC3D9D" w:rsidRDefault="00FC381C" w:rsidP="00FC381C">
            <w:pPr>
              <w:pStyle w:val="NoSpacing"/>
              <w:rPr>
                <w:rFonts w:ascii="Times New Roman" w:hAnsi="Times New Roman" w:cs="Times New Roman"/>
                <w:iCs/>
                <w:lang w:eastAsia="lv-LV"/>
              </w:rPr>
            </w:pPr>
          </w:p>
        </w:tc>
        <w:tc>
          <w:tcPr>
            <w:tcW w:w="992" w:type="dxa"/>
            <w:vAlign w:val="center"/>
          </w:tcPr>
          <w:p w14:paraId="54A92BC3"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7900C47C"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1CDB2E49" w14:textId="77777777" w:rsidTr="00AD2450">
        <w:tc>
          <w:tcPr>
            <w:tcW w:w="1560" w:type="dxa"/>
            <w:vAlign w:val="center"/>
          </w:tcPr>
          <w:p w14:paraId="7069571F" w14:textId="77777777" w:rsidR="00FC381C" w:rsidRPr="00AC3D9D" w:rsidRDefault="00FC381C" w:rsidP="00FC381C">
            <w:pPr>
              <w:pStyle w:val="NoSpacing"/>
              <w:jc w:val="both"/>
              <w:rPr>
                <w:rFonts w:ascii="Times New Roman" w:hAnsi="Times New Roman" w:cs="Times New Roman"/>
                <w:iCs/>
                <w:sz w:val="24"/>
                <w:szCs w:val="24"/>
                <w:lang w:eastAsia="lv-LV"/>
              </w:rPr>
            </w:pPr>
            <w:r w:rsidRPr="00AC3D9D">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C381C" w:rsidRPr="00AC3D9D" w:rsidRDefault="00FC381C" w:rsidP="00FC381C">
            <w:pPr>
              <w:pStyle w:val="NoSpacing"/>
              <w:rPr>
                <w:rFonts w:ascii="Times New Roman" w:hAnsi="Times New Roman" w:cs="Times New Roman"/>
                <w:iCs/>
                <w:lang w:eastAsia="lv-LV"/>
              </w:rPr>
            </w:pPr>
          </w:p>
        </w:tc>
        <w:tc>
          <w:tcPr>
            <w:tcW w:w="1268" w:type="dxa"/>
            <w:vAlign w:val="center"/>
          </w:tcPr>
          <w:p w14:paraId="7C1BF342"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000" w:type="dxa"/>
            <w:vMerge/>
            <w:vAlign w:val="center"/>
          </w:tcPr>
          <w:p w14:paraId="575024CF" w14:textId="77777777" w:rsidR="00FC381C" w:rsidRPr="00AC3D9D" w:rsidRDefault="00FC381C" w:rsidP="00FC381C">
            <w:pPr>
              <w:pStyle w:val="NoSpacing"/>
              <w:rPr>
                <w:rFonts w:ascii="Times New Roman" w:hAnsi="Times New Roman" w:cs="Times New Roman"/>
                <w:iCs/>
                <w:lang w:eastAsia="lv-LV"/>
              </w:rPr>
            </w:pPr>
          </w:p>
        </w:tc>
        <w:tc>
          <w:tcPr>
            <w:tcW w:w="1134" w:type="dxa"/>
            <w:vAlign w:val="center"/>
          </w:tcPr>
          <w:p w14:paraId="38A10087"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992" w:type="dxa"/>
            <w:vMerge/>
            <w:vAlign w:val="center"/>
          </w:tcPr>
          <w:p w14:paraId="139E0107" w14:textId="77777777" w:rsidR="00FC381C" w:rsidRPr="00AC3D9D" w:rsidRDefault="00FC381C" w:rsidP="00FC381C">
            <w:pPr>
              <w:pStyle w:val="NoSpacing"/>
              <w:rPr>
                <w:rFonts w:ascii="Times New Roman" w:hAnsi="Times New Roman" w:cs="Times New Roman"/>
                <w:iCs/>
                <w:lang w:eastAsia="lv-LV"/>
              </w:rPr>
            </w:pPr>
          </w:p>
        </w:tc>
        <w:tc>
          <w:tcPr>
            <w:tcW w:w="992" w:type="dxa"/>
            <w:vAlign w:val="center"/>
          </w:tcPr>
          <w:p w14:paraId="2F9A360C"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c>
          <w:tcPr>
            <w:tcW w:w="1276" w:type="dxa"/>
            <w:vAlign w:val="center"/>
          </w:tcPr>
          <w:p w14:paraId="4A182F4B" w14:textId="77777777" w:rsidR="00FC381C" w:rsidRPr="00AC3D9D" w:rsidRDefault="00FC381C" w:rsidP="00FC381C">
            <w:pPr>
              <w:pStyle w:val="NoSpacing"/>
              <w:rPr>
                <w:rFonts w:ascii="Times New Roman" w:hAnsi="Times New Roman" w:cs="Times New Roman"/>
                <w:iCs/>
                <w:lang w:eastAsia="lv-LV"/>
              </w:rPr>
            </w:pPr>
            <w:r w:rsidRPr="00AC3D9D">
              <w:rPr>
                <w:rFonts w:ascii="Times New Roman" w:hAnsi="Times New Roman" w:cs="Times New Roman"/>
                <w:iCs/>
                <w:lang w:eastAsia="lv-LV"/>
              </w:rPr>
              <w:t>0</w:t>
            </w:r>
          </w:p>
        </w:tc>
      </w:tr>
      <w:tr w:rsidR="00FC381C" w:rsidRPr="00FE55E8" w14:paraId="591241A7" w14:textId="77777777" w:rsidTr="00AD2450">
        <w:tc>
          <w:tcPr>
            <w:tcW w:w="1560" w:type="dxa"/>
            <w:vAlign w:val="center"/>
          </w:tcPr>
          <w:p w14:paraId="1F8B586D" w14:textId="77777777" w:rsidR="00FC381C" w:rsidRPr="00FE55E8" w:rsidRDefault="00FC381C" w:rsidP="00FC381C">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 xml:space="preserve">6. Detalizēts ieņēmumu un izdevumu aprēķins (ja </w:t>
            </w:r>
            <w:r w:rsidRPr="00FE55E8">
              <w:rPr>
                <w:rFonts w:ascii="Times New Roman" w:hAnsi="Times New Roman" w:cs="Times New Roman"/>
                <w:iCs/>
                <w:sz w:val="24"/>
                <w:szCs w:val="24"/>
                <w:lang w:eastAsia="lv-LV"/>
              </w:rPr>
              <w:lastRenderedPageBreak/>
              <w:t>nepieciešams, detalizētu ieņēmumu un izdevumu aprēķinu var pievienot anotācijas pielikumā)</w:t>
            </w:r>
          </w:p>
        </w:tc>
        <w:tc>
          <w:tcPr>
            <w:tcW w:w="7796" w:type="dxa"/>
            <w:gridSpan w:val="7"/>
            <w:vMerge w:val="restart"/>
            <w:shd w:val="clear" w:color="auto" w:fill="auto"/>
          </w:tcPr>
          <w:p w14:paraId="56C31F35" w14:textId="59BE0EE2" w:rsidR="00236D71" w:rsidRPr="00236D71" w:rsidRDefault="00236D71" w:rsidP="006C2182">
            <w:pPr>
              <w:jc w:val="both"/>
            </w:pPr>
            <w:r>
              <w:lastRenderedPageBreak/>
              <w:t xml:space="preserve">Vakcinācijas punktu izveidei un uzturēšanai tirdzniecības centros, tirgos un sabiedriskās vietās ir nepieciešams 228 400 </w:t>
            </w:r>
            <w:proofErr w:type="spellStart"/>
            <w:r w:rsidRPr="00AC3D9D">
              <w:rPr>
                <w:i/>
                <w:iCs/>
              </w:rPr>
              <w:t>euro</w:t>
            </w:r>
            <w:proofErr w:type="spellEnd"/>
            <w:r w:rsidR="00351669">
              <w:t xml:space="preserve">, kas tika rasti veicot grozījumus </w:t>
            </w:r>
            <w:r w:rsidR="00351669" w:rsidRPr="00FE55E8">
              <w:t xml:space="preserve">Ministru kabineta 2021.gada 14.aprīļa rīkojumā Nr.247 “Par </w:t>
            </w:r>
            <w:r w:rsidR="00351669" w:rsidRPr="00FE55E8">
              <w:lastRenderedPageBreak/>
              <w:t>finanšu līdzekļu piešķiršanu no valsts budžeta programmas “Līdzekļi neparedzētiem gadījumiem””</w:t>
            </w:r>
            <w:r w:rsidR="00351669">
              <w:t>.</w:t>
            </w:r>
          </w:p>
          <w:p w14:paraId="08A5BD35" w14:textId="77777777" w:rsidR="00236D71" w:rsidRDefault="00236D71" w:rsidP="006C2182">
            <w:pPr>
              <w:jc w:val="both"/>
            </w:pPr>
          </w:p>
          <w:p w14:paraId="3C37050A" w14:textId="0BA08956" w:rsidR="006C2182" w:rsidRPr="00FE55E8" w:rsidRDefault="00351669" w:rsidP="006C2182">
            <w:pPr>
              <w:jc w:val="both"/>
            </w:pPr>
            <w:r>
              <w:t>Ņemot vērā iepriekš minēto, r</w:t>
            </w:r>
            <w:r w:rsidR="00FC381C" w:rsidRPr="00FE55E8">
              <w:t xml:space="preserve">īkojuma projekts paredz </w:t>
            </w:r>
            <w:r w:rsidR="006C2182" w:rsidRPr="00FE55E8">
              <w:t xml:space="preserve">veikt grozījumus Ministru kabineta 2021.gada 14.aprīļa rīkojumā Nr.247 “Par finanšu līdzekļu piešķiršanu no valsts budžeta programmas “Līdzekļi neparedzētiem gadījumiem”” 1.punktā, izsakot to šāda redakcijā: </w:t>
            </w:r>
          </w:p>
          <w:p w14:paraId="25C9368A" w14:textId="0EA626E0" w:rsidR="006C2182" w:rsidRPr="00FE55E8" w:rsidRDefault="006C2182" w:rsidP="006C2182">
            <w:pPr>
              <w:jc w:val="both"/>
            </w:pPr>
            <w:r w:rsidRPr="00FE55E8">
              <w:t>“1. Finanšu ministrijai no valsts budžeta programmas 02.00.00 “Līdzekļi neparedzētiem gadījumiem” piešķirt Veselības ministrijai (Nacionālajam veselības dienestam) finansējumu, kas nepārsniedz 1</w:t>
            </w:r>
            <w:r w:rsidR="00F1519E">
              <w:t> </w:t>
            </w:r>
            <w:r w:rsidRPr="00FE55E8">
              <w:t>036</w:t>
            </w:r>
            <w:r w:rsidR="00F1519E">
              <w:t> </w:t>
            </w:r>
            <w:r w:rsidRPr="00FE55E8">
              <w:t xml:space="preserve">913 </w:t>
            </w:r>
            <w:proofErr w:type="spellStart"/>
            <w:r w:rsidRPr="00FE55E8">
              <w:rPr>
                <w:i/>
                <w:iCs/>
              </w:rPr>
              <w:t>euro</w:t>
            </w:r>
            <w:proofErr w:type="spellEnd"/>
            <w:r w:rsidRPr="00FE55E8">
              <w:t>, lai nodrošinātu nacionāla mēroga vakcinācijas kompleksu darbību un vakcinācijas punktu izveidi un uzturēšanu tirdzniecības centros, tirgos un sabiedriskās vietās, no tiem:</w:t>
            </w:r>
          </w:p>
          <w:p w14:paraId="333E00CF" w14:textId="77777777" w:rsidR="006C2182" w:rsidRPr="00FE55E8" w:rsidRDefault="006C2182" w:rsidP="006C2182">
            <w:pPr>
              <w:jc w:val="both"/>
            </w:pPr>
            <w:r w:rsidRPr="00FE55E8">
              <w:t>1.1.</w:t>
            </w:r>
            <w:r w:rsidRPr="00FE55E8">
              <w:tab/>
              <w:t xml:space="preserve">finansējumu, kas nepārsniedz 808 513 </w:t>
            </w:r>
            <w:proofErr w:type="spellStart"/>
            <w:r w:rsidRPr="00FE55E8">
              <w:rPr>
                <w:i/>
                <w:iCs/>
              </w:rPr>
              <w:t>euro</w:t>
            </w:r>
            <w:proofErr w:type="spellEnd"/>
            <w:r w:rsidRPr="00FE55E8">
              <w:t xml:space="preserve"> apmērā, lai nodrošinātu nacionāla mēroga vakcinācijas kompleksu darbību;</w:t>
            </w:r>
          </w:p>
          <w:p w14:paraId="6AA33901" w14:textId="6CB1D346" w:rsidR="00FC381C" w:rsidRPr="00FE55E8" w:rsidRDefault="006C2182" w:rsidP="006C2182">
            <w:pPr>
              <w:jc w:val="both"/>
            </w:pPr>
            <w:r w:rsidRPr="00FE55E8">
              <w:t>1.2.</w:t>
            </w:r>
            <w:r w:rsidRPr="00FE55E8">
              <w:tab/>
              <w:t xml:space="preserve">finansējumu, kas nepārsniedz 228 400 </w:t>
            </w:r>
            <w:proofErr w:type="spellStart"/>
            <w:r w:rsidRPr="00FE55E8">
              <w:rPr>
                <w:i/>
                <w:iCs/>
              </w:rPr>
              <w:t>euro</w:t>
            </w:r>
            <w:proofErr w:type="spellEnd"/>
            <w:r w:rsidRPr="00FE55E8">
              <w:t xml:space="preserve"> apmērā, lai nodrošinātu vakcinācijas punktu izveidi un uzturēšanu tirdzniecības centros, tirgos un sabiedriskās vietās.”</w:t>
            </w:r>
          </w:p>
          <w:p w14:paraId="12CECFE1" w14:textId="77777777" w:rsidR="00FC381C" w:rsidRPr="00FE55E8" w:rsidRDefault="00FC381C" w:rsidP="00FC381C">
            <w:pPr>
              <w:jc w:val="both"/>
            </w:pPr>
          </w:p>
          <w:p w14:paraId="2309AF86" w14:textId="77777777" w:rsidR="00FC381C" w:rsidRPr="00FE55E8" w:rsidRDefault="00FC381C" w:rsidP="00FC381C">
            <w:pPr>
              <w:jc w:val="both"/>
            </w:pPr>
            <w:r w:rsidRPr="00FE55E8">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36EDE3C4" w14:textId="77777777" w:rsidR="009F0D89" w:rsidRPr="00FE55E8" w:rsidRDefault="009F0D89" w:rsidP="00FC381C">
            <w:pPr>
              <w:ind w:left="709"/>
              <w:contextualSpacing/>
              <w:jc w:val="both"/>
              <w:rPr>
                <w:iCs/>
                <w:lang w:eastAsia="en-US"/>
              </w:rPr>
            </w:pPr>
          </w:p>
          <w:tbl>
            <w:tblPr>
              <w:tblStyle w:val="TableGrid"/>
              <w:tblW w:w="6403" w:type="dxa"/>
              <w:tblLayout w:type="fixed"/>
              <w:tblLook w:val="04A0" w:firstRow="1" w:lastRow="0" w:firstColumn="1" w:lastColumn="0" w:noHBand="0" w:noVBand="1"/>
            </w:tblPr>
            <w:tblGrid>
              <w:gridCol w:w="1867"/>
              <w:gridCol w:w="1134"/>
              <w:gridCol w:w="1134"/>
              <w:gridCol w:w="851"/>
              <w:gridCol w:w="1417"/>
            </w:tblGrid>
            <w:tr w:rsidR="009F0D89" w:rsidRPr="00FE55E8" w14:paraId="7007369D" w14:textId="77777777" w:rsidTr="009F0D89">
              <w:tc>
                <w:tcPr>
                  <w:tcW w:w="1867" w:type="dxa"/>
                  <w:vAlign w:val="center"/>
                </w:tcPr>
                <w:p w14:paraId="7BB537EF" w14:textId="77777777" w:rsidR="009F0D89" w:rsidRPr="00FE55E8" w:rsidRDefault="009F0D89" w:rsidP="009F0D89">
                  <w:pPr>
                    <w:tabs>
                      <w:tab w:val="left" w:pos="3544"/>
                    </w:tabs>
                    <w:jc w:val="center"/>
                    <w:rPr>
                      <w:b/>
                      <w:bCs/>
                      <w:sz w:val="16"/>
                      <w:szCs w:val="16"/>
                    </w:rPr>
                  </w:pPr>
                  <w:r w:rsidRPr="00FE55E8">
                    <w:rPr>
                      <w:b/>
                      <w:bCs/>
                      <w:sz w:val="16"/>
                      <w:szCs w:val="16"/>
                    </w:rPr>
                    <w:t>Pozīcija</w:t>
                  </w:r>
                </w:p>
              </w:tc>
              <w:tc>
                <w:tcPr>
                  <w:tcW w:w="1134" w:type="dxa"/>
                  <w:vAlign w:val="center"/>
                </w:tcPr>
                <w:p w14:paraId="722FD8B0" w14:textId="77777777" w:rsidR="009F0D89" w:rsidRPr="00FE55E8" w:rsidRDefault="009F0D89" w:rsidP="009F0D89">
                  <w:pPr>
                    <w:tabs>
                      <w:tab w:val="left" w:pos="3544"/>
                    </w:tabs>
                    <w:jc w:val="center"/>
                    <w:rPr>
                      <w:b/>
                      <w:bCs/>
                      <w:sz w:val="16"/>
                      <w:szCs w:val="16"/>
                    </w:rPr>
                  </w:pPr>
                  <w:r w:rsidRPr="00FE55E8">
                    <w:rPr>
                      <w:b/>
                      <w:bCs/>
                      <w:sz w:val="16"/>
                      <w:szCs w:val="16"/>
                    </w:rPr>
                    <w:t xml:space="preserve">Vienas vienības izmaksas (t.sk. PVN), </w:t>
                  </w:r>
                  <w:proofErr w:type="spellStart"/>
                  <w:r w:rsidRPr="00FE55E8">
                    <w:rPr>
                      <w:b/>
                      <w:bCs/>
                      <w:i/>
                      <w:iCs/>
                      <w:sz w:val="16"/>
                      <w:szCs w:val="16"/>
                    </w:rPr>
                    <w:t>euro</w:t>
                  </w:r>
                  <w:proofErr w:type="spellEnd"/>
                </w:p>
              </w:tc>
              <w:tc>
                <w:tcPr>
                  <w:tcW w:w="1134" w:type="dxa"/>
                  <w:vAlign w:val="center"/>
                </w:tcPr>
                <w:p w14:paraId="3098C45C" w14:textId="77777777" w:rsidR="009F0D89" w:rsidRPr="00FE55E8" w:rsidRDefault="009F0D89" w:rsidP="009F0D89">
                  <w:pPr>
                    <w:tabs>
                      <w:tab w:val="left" w:pos="3544"/>
                    </w:tabs>
                    <w:jc w:val="center"/>
                    <w:rPr>
                      <w:b/>
                      <w:bCs/>
                      <w:sz w:val="16"/>
                      <w:szCs w:val="16"/>
                    </w:rPr>
                  </w:pPr>
                  <w:r w:rsidRPr="00FE55E8">
                    <w:rPr>
                      <w:b/>
                      <w:bCs/>
                      <w:sz w:val="16"/>
                      <w:szCs w:val="16"/>
                    </w:rPr>
                    <w:t>Vienību skaits</w:t>
                  </w:r>
                </w:p>
                <w:p w14:paraId="6FB1D0F7" w14:textId="77777777" w:rsidR="009F0D89" w:rsidRPr="00FE55E8" w:rsidRDefault="009F0D89" w:rsidP="009F0D89">
                  <w:pPr>
                    <w:tabs>
                      <w:tab w:val="left" w:pos="3544"/>
                    </w:tabs>
                    <w:jc w:val="center"/>
                    <w:rPr>
                      <w:b/>
                      <w:bCs/>
                      <w:sz w:val="16"/>
                      <w:szCs w:val="16"/>
                    </w:rPr>
                  </w:pPr>
                </w:p>
              </w:tc>
              <w:tc>
                <w:tcPr>
                  <w:tcW w:w="851" w:type="dxa"/>
                  <w:vAlign w:val="center"/>
                </w:tcPr>
                <w:p w14:paraId="13AA81E1" w14:textId="77777777" w:rsidR="009F0D89" w:rsidRPr="00FE55E8" w:rsidRDefault="009F0D89" w:rsidP="009F0D89">
                  <w:pPr>
                    <w:tabs>
                      <w:tab w:val="left" w:pos="3544"/>
                    </w:tabs>
                    <w:jc w:val="center"/>
                    <w:rPr>
                      <w:b/>
                      <w:bCs/>
                      <w:sz w:val="16"/>
                      <w:szCs w:val="16"/>
                    </w:rPr>
                  </w:pPr>
                  <w:r w:rsidRPr="00FE55E8">
                    <w:rPr>
                      <w:b/>
                      <w:bCs/>
                      <w:sz w:val="16"/>
                      <w:szCs w:val="16"/>
                    </w:rPr>
                    <w:t xml:space="preserve">KOPĀ mēnesī (t.sk. PVN), </w:t>
                  </w:r>
                  <w:proofErr w:type="spellStart"/>
                  <w:r w:rsidRPr="00FE55E8">
                    <w:rPr>
                      <w:b/>
                      <w:bCs/>
                      <w:i/>
                      <w:iCs/>
                      <w:sz w:val="16"/>
                      <w:szCs w:val="16"/>
                    </w:rPr>
                    <w:t>euro</w:t>
                  </w:r>
                  <w:proofErr w:type="spellEnd"/>
                </w:p>
              </w:tc>
              <w:tc>
                <w:tcPr>
                  <w:tcW w:w="1417" w:type="dxa"/>
                  <w:vAlign w:val="center"/>
                </w:tcPr>
                <w:p w14:paraId="0F4548D1" w14:textId="77777777" w:rsidR="009F0D89" w:rsidRPr="00FE55E8" w:rsidRDefault="009F0D89" w:rsidP="009F0D89">
                  <w:pPr>
                    <w:tabs>
                      <w:tab w:val="left" w:pos="3544"/>
                    </w:tabs>
                    <w:jc w:val="center"/>
                    <w:rPr>
                      <w:b/>
                      <w:bCs/>
                      <w:sz w:val="16"/>
                      <w:szCs w:val="16"/>
                    </w:rPr>
                  </w:pPr>
                  <w:r w:rsidRPr="00FE55E8">
                    <w:rPr>
                      <w:b/>
                      <w:bCs/>
                      <w:sz w:val="16"/>
                      <w:szCs w:val="16"/>
                    </w:rPr>
                    <w:t xml:space="preserve">KOPĀ 6,5 mēnešos (t.sk. PVN), </w:t>
                  </w:r>
                  <w:proofErr w:type="spellStart"/>
                  <w:r w:rsidRPr="00FE55E8">
                    <w:rPr>
                      <w:b/>
                      <w:bCs/>
                      <w:i/>
                      <w:iCs/>
                      <w:sz w:val="16"/>
                      <w:szCs w:val="16"/>
                    </w:rPr>
                    <w:t>euro</w:t>
                  </w:r>
                  <w:proofErr w:type="spellEnd"/>
                </w:p>
              </w:tc>
            </w:tr>
            <w:tr w:rsidR="009F0D89" w:rsidRPr="00FE55E8" w14:paraId="4589318B" w14:textId="77777777" w:rsidTr="009F0D89">
              <w:tc>
                <w:tcPr>
                  <w:tcW w:w="1867" w:type="dxa"/>
                </w:tcPr>
                <w:p w14:paraId="5FC72A2E" w14:textId="77777777" w:rsidR="009F0D89" w:rsidRPr="00AC3D9D" w:rsidRDefault="009F0D89" w:rsidP="009F0D89">
                  <w:pPr>
                    <w:tabs>
                      <w:tab w:val="left" w:pos="3544"/>
                    </w:tabs>
                    <w:jc w:val="both"/>
                    <w:rPr>
                      <w:sz w:val="16"/>
                      <w:szCs w:val="16"/>
                    </w:rPr>
                  </w:pPr>
                  <w:r w:rsidRPr="00AC3D9D">
                    <w:rPr>
                      <w:sz w:val="16"/>
                      <w:szCs w:val="16"/>
                    </w:rPr>
                    <w:t xml:space="preserve">Tirdzniecības centrs, u.c., nodrošina tikai par telpu/vietu (iekštelpās) (neatkarīgi no ārstniecības iestādes brigāžu skaita). </w:t>
                  </w:r>
                  <w:proofErr w:type="spellStart"/>
                  <w:r w:rsidRPr="00AC3D9D">
                    <w:rPr>
                      <w:b/>
                      <w:bCs/>
                      <w:sz w:val="16"/>
                      <w:szCs w:val="16"/>
                    </w:rPr>
                    <w:t>Līdzmaksājums</w:t>
                  </w:r>
                  <w:proofErr w:type="spellEnd"/>
                  <w:r w:rsidRPr="00AC3D9D">
                    <w:rPr>
                      <w:b/>
                      <w:bCs/>
                      <w:sz w:val="16"/>
                      <w:szCs w:val="16"/>
                    </w:rPr>
                    <w:t xml:space="preserve"> par telpu uzkopšanu, apsardzi, ūdens un kanalizācijas apgādi, elektroenerģiju, interneta </w:t>
                  </w:r>
                  <w:proofErr w:type="spellStart"/>
                  <w:r w:rsidRPr="00AC3D9D">
                    <w:rPr>
                      <w:b/>
                      <w:bCs/>
                      <w:sz w:val="16"/>
                      <w:szCs w:val="16"/>
                    </w:rPr>
                    <w:t>pieslēgumu</w:t>
                  </w:r>
                  <w:proofErr w:type="spellEnd"/>
                  <w:r w:rsidRPr="00AC3D9D">
                    <w:rPr>
                      <w:b/>
                      <w:bCs/>
                      <w:sz w:val="16"/>
                      <w:szCs w:val="16"/>
                    </w:rPr>
                    <w:t>, sadzīves atkritumu izvešanu.</w:t>
                  </w:r>
                </w:p>
              </w:tc>
              <w:tc>
                <w:tcPr>
                  <w:tcW w:w="1134" w:type="dxa"/>
                  <w:vAlign w:val="center"/>
                </w:tcPr>
                <w:p w14:paraId="76AA1E5E" w14:textId="77777777" w:rsidR="009F0D89" w:rsidRPr="00AC3D9D" w:rsidRDefault="009F0D89" w:rsidP="009F0D89">
                  <w:pPr>
                    <w:tabs>
                      <w:tab w:val="left" w:pos="3544"/>
                    </w:tabs>
                    <w:jc w:val="center"/>
                    <w:rPr>
                      <w:sz w:val="16"/>
                      <w:szCs w:val="16"/>
                    </w:rPr>
                  </w:pPr>
                  <w:r w:rsidRPr="00AC3D9D">
                    <w:rPr>
                      <w:sz w:val="16"/>
                      <w:szCs w:val="16"/>
                    </w:rPr>
                    <w:t>500</w:t>
                  </w:r>
                </w:p>
              </w:tc>
              <w:tc>
                <w:tcPr>
                  <w:tcW w:w="1134" w:type="dxa"/>
                  <w:vAlign w:val="center"/>
                </w:tcPr>
                <w:p w14:paraId="775BFF6B" w14:textId="77777777" w:rsidR="009F0D89" w:rsidRPr="00AC3D9D" w:rsidRDefault="009F0D89" w:rsidP="009F0D89">
                  <w:pPr>
                    <w:tabs>
                      <w:tab w:val="left" w:pos="3544"/>
                    </w:tabs>
                    <w:jc w:val="center"/>
                    <w:rPr>
                      <w:sz w:val="16"/>
                      <w:szCs w:val="16"/>
                    </w:rPr>
                  </w:pPr>
                  <w:r w:rsidRPr="00AC3D9D">
                    <w:rPr>
                      <w:sz w:val="16"/>
                      <w:szCs w:val="16"/>
                    </w:rPr>
                    <w:t>5</w:t>
                  </w:r>
                </w:p>
              </w:tc>
              <w:tc>
                <w:tcPr>
                  <w:tcW w:w="851" w:type="dxa"/>
                  <w:vAlign w:val="center"/>
                </w:tcPr>
                <w:p w14:paraId="1F62B511" w14:textId="77777777" w:rsidR="009F0D89" w:rsidRPr="00AC3D9D" w:rsidRDefault="009F0D89" w:rsidP="009F0D89">
                  <w:pPr>
                    <w:tabs>
                      <w:tab w:val="left" w:pos="3544"/>
                    </w:tabs>
                    <w:jc w:val="center"/>
                    <w:rPr>
                      <w:sz w:val="16"/>
                      <w:szCs w:val="16"/>
                    </w:rPr>
                  </w:pPr>
                  <w:r w:rsidRPr="00AC3D9D">
                    <w:rPr>
                      <w:sz w:val="16"/>
                      <w:szCs w:val="16"/>
                    </w:rPr>
                    <w:t>2 500</w:t>
                  </w:r>
                </w:p>
              </w:tc>
              <w:tc>
                <w:tcPr>
                  <w:tcW w:w="1417" w:type="dxa"/>
                  <w:vAlign w:val="center"/>
                </w:tcPr>
                <w:p w14:paraId="28C91722" w14:textId="77777777" w:rsidR="009F0D89" w:rsidRPr="00AC3D9D" w:rsidRDefault="009F0D89" w:rsidP="009F0D89">
                  <w:pPr>
                    <w:tabs>
                      <w:tab w:val="left" w:pos="3544"/>
                    </w:tabs>
                    <w:jc w:val="center"/>
                    <w:rPr>
                      <w:sz w:val="16"/>
                      <w:szCs w:val="16"/>
                    </w:rPr>
                  </w:pPr>
                  <w:r w:rsidRPr="00AC3D9D">
                    <w:rPr>
                      <w:sz w:val="16"/>
                      <w:szCs w:val="16"/>
                    </w:rPr>
                    <w:t>16 250</w:t>
                  </w:r>
                </w:p>
              </w:tc>
            </w:tr>
            <w:tr w:rsidR="009F0D89" w:rsidRPr="00FE55E8" w14:paraId="0D9A21D3" w14:textId="77777777" w:rsidTr="009F0D89">
              <w:trPr>
                <w:trHeight w:val="2240"/>
              </w:trPr>
              <w:tc>
                <w:tcPr>
                  <w:tcW w:w="1867" w:type="dxa"/>
                </w:tcPr>
                <w:p w14:paraId="6C449B8A" w14:textId="7D798224" w:rsidR="009F0D89" w:rsidRPr="00AC3D9D" w:rsidRDefault="009F0D89" w:rsidP="009F0D89">
                  <w:pPr>
                    <w:tabs>
                      <w:tab w:val="left" w:pos="3544"/>
                    </w:tabs>
                    <w:jc w:val="both"/>
                    <w:rPr>
                      <w:sz w:val="16"/>
                      <w:szCs w:val="16"/>
                    </w:rPr>
                  </w:pPr>
                  <w:r w:rsidRPr="00AC3D9D">
                    <w:rPr>
                      <w:sz w:val="16"/>
                      <w:szCs w:val="16"/>
                    </w:rPr>
                    <w:t>Tirdzniecības centrs, u.c., nodrošina telpas/vietu un minimālo aprīkojumu. (</w:t>
                  </w:r>
                  <w:proofErr w:type="spellStart"/>
                  <w:r w:rsidRPr="00AC3D9D">
                    <w:rPr>
                      <w:b/>
                      <w:bCs/>
                      <w:sz w:val="16"/>
                      <w:szCs w:val="16"/>
                    </w:rPr>
                    <w:t>Līdzmaksājums</w:t>
                  </w:r>
                  <w:proofErr w:type="spellEnd"/>
                  <w:r w:rsidRPr="00AC3D9D">
                    <w:rPr>
                      <w:b/>
                      <w:bCs/>
                      <w:sz w:val="16"/>
                      <w:szCs w:val="16"/>
                    </w:rPr>
                    <w:t xml:space="preserve"> par telpu uzkopšanu, apsardzi, ūdens un kanalizācijas apgādi, elektroenerģiju, interneta </w:t>
                  </w:r>
                  <w:proofErr w:type="spellStart"/>
                  <w:r w:rsidRPr="00AC3D9D">
                    <w:rPr>
                      <w:b/>
                      <w:bCs/>
                      <w:sz w:val="16"/>
                      <w:szCs w:val="16"/>
                    </w:rPr>
                    <w:t>pieslēgumu</w:t>
                  </w:r>
                  <w:proofErr w:type="spellEnd"/>
                  <w:r w:rsidRPr="00AC3D9D">
                    <w:rPr>
                      <w:b/>
                      <w:bCs/>
                      <w:sz w:val="16"/>
                      <w:szCs w:val="16"/>
                    </w:rPr>
                    <w:t>, sadzīves atkritumu izvešanu un par minimālo aprīkojumu</w:t>
                  </w:r>
                  <w:r w:rsidRPr="00AC3D9D">
                    <w:rPr>
                      <w:sz w:val="16"/>
                      <w:szCs w:val="16"/>
                    </w:rPr>
                    <w:t xml:space="preserve"> (galdi, krēsli, pārvietojamās kabīnes, aizslietņi </w:t>
                  </w:r>
                  <w:proofErr w:type="spellStart"/>
                  <w:r w:rsidRPr="00AC3D9D">
                    <w:rPr>
                      <w:sz w:val="16"/>
                      <w:szCs w:val="16"/>
                    </w:rPr>
                    <w:t>utt</w:t>
                  </w:r>
                  <w:proofErr w:type="spellEnd"/>
                  <w:r w:rsidRPr="00AC3D9D">
                    <w:rPr>
                      <w:sz w:val="16"/>
                      <w:szCs w:val="16"/>
                    </w:rPr>
                    <w:t xml:space="preserve">) (iekštelpās)).  </w:t>
                  </w:r>
                </w:p>
              </w:tc>
              <w:tc>
                <w:tcPr>
                  <w:tcW w:w="1134" w:type="dxa"/>
                  <w:vAlign w:val="center"/>
                </w:tcPr>
                <w:p w14:paraId="1F0FF6E5" w14:textId="77777777" w:rsidR="009F0D89" w:rsidRPr="00AC3D9D" w:rsidRDefault="009F0D89" w:rsidP="009F0D89">
                  <w:pPr>
                    <w:tabs>
                      <w:tab w:val="left" w:pos="3544"/>
                    </w:tabs>
                    <w:jc w:val="center"/>
                    <w:rPr>
                      <w:sz w:val="16"/>
                      <w:szCs w:val="16"/>
                    </w:rPr>
                  </w:pPr>
                  <w:r w:rsidRPr="00AC3D9D">
                    <w:rPr>
                      <w:sz w:val="16"/>
                      <w:szCs w:val="16"/>
                    </w:rPr>
                    <w:t>1 400</w:t>
                  </w:r>
                </w:p>
                <w:p w14:paraId="427F691C" w14:textId="77777777" w:rsidR="009F0D89" w:rsidRPr="00AC3D9D" w:rsidRDefault="009F0D89" w:rsidP="009F0D89">
                  <w:pPr>
                    <w:tabs>
                      <w:tab w:val="left" w:pos="3544"/>
                    </w:tabs>
                    <w:jc w:val="center"/>
                    <w:rPr>
                      <w:sz w:val="16"/>
                      <w:szCs w:val="16"/>
                    </w:rPr>
                  </w:pPr>
                </w:p>
              </w:tc>
              <w:tc>
                <w:tcPr>
                  <w:tcW w:w="1134" w:type="dxa"/>
                  <w:vAlign w:val="center"/>
                </w:tcPr>
                <w:p w14:paraId="2CF040AC" w14:textId="77777777" w:rsidR="009F0D89" w:rsidRPr="00AC3D9D" w:rsidRDefault="009F0D89" w:rsidP="009F0D89">
                  <w:pPr>
                    <w:tabs>
                      <w:tab w:val="left" w:pos="3544"/>
                    </w:tabs>
                    <w:jc w:val="center"/>
                    <w:rPr>
                      <w:sz w:val="16"/>
                      <w:szCs w:val="16"/>
                    </w:rPr>
                  </w:pPr>
                  <w:r w:rsidRPr="00AC3D9D">
                    <w:rPr>
                      <w:sz w:val="16"/>
                      <w:szCs w:val="16"/>
                    </w:rPr>
                    <w:t>20</w:t>
                  </w:r>
                </w:p>
                <w:p w14:paraId="17EDD6BC" w14:textId="77777777" w:rsidR="009F0D89" w:rsidRPr="00AC3D9D" w:rsidRDefault="009F0D89" w:rsidP="009F0D89">
                  <w:pPr>
                    <w:tabs>
                      <w:tab w:val="left" w:pos="3544"/>
                    </w:tabs>
                    <w:jc w:val="center"/>
                    <w:rPr>
                      <w:sz w:val="16"/>
                      <w:szCs w:val="16"/>
                    </w:rPr>
                  </w:pPr>
                </w:p>
              </w:tc>
              <w:tc>
                <w:tcPr>
                  <w:tcW w:w="851" w:type="dxa"/>
                  <w:vAlign w:val="center"/>
                </w:tcPr>
                <w:p w14:paraId="1A53B261" w14:textId="77777777" w:rsidR="009F0D89" w:rsidRPr="00AC3D9D" w:rsidRDefault="009F0D89" w:rsidP="009F0D89">
                  <w:pPr>
                    <w:tabs>
                      <w:tab w:val="left" w:pos="3544"/>
                    </w:tabs>
                    <w:jc w:val="center"/>
                    <w:rPr>
                      <w:sz w:val="16"/>
                      <w:szCs w:val="16"/>
                    </w:rPr>
                  </w:pPr>
                  <w:r w:rsidRPr="00AC3D9D">
                    <w:rPr>
                      <w:sz w:val="16"/>
                      <w:szCs w:val="16"/>
                    </w:rPr>
                    <w:t>28 000</w:t>
                  </w:r>
                </w:p>
                <w:p w14:paraId="17EF030A" w14:textId="77777777" w:rsidR="009F0D89" w:rsidRPr="00AC3D9D" w:rsidRDefault="009F0D89" w:rsidP="009F0D89">
                  <w:pPr>
                    <w:tabs>
                      <w:tab w:val="left" w:pos="3544"/>
                    </w:tabs>
                    <w:jc w:val="center"/>
                    <w:rPr>
                      <w:sz w:val="16"/>
                      <w:szCs w:val="16"/>
                    </w:rPr>
                  </w:pPr>
                </w:p>
              </w:tc>
              <w:tc>
                <w:tcPr>
                  <w:tcW w:w="1417" w:type="dxa"/>
                  <w:vAlign w:val="center"/>
                </w:tcPr>
                <w:p w14:paraId="47545B44" w14:textId="77777777" w:rsidR="009F0D89" w:rsidRPr="00AC3D9D" w:rsidRDefault="009F0D89" w:rsidP="009F0D89">
                  <w:pPr>
                    <w:tabs>
                      <w:tab w:val="left" w:pos="3544"/>
                    </w:tabs>
                    <w:jc w:val="center"/>
                    <w:rPr>
                      <w:sz w:val="16"/>
                      <w:szCs w:val="16"/>
                    </w:rPr>
                  </w:pPr>
                  <w:r w:rsidRPr="00AC3D9D">
                    <w:rPr>
                      <w:sz w:val="16"/>
                      <w:szCs w:val="16"/>
                    </w:rPr>
                    <w:t>182 000</w:t>
                  </w:r>
                </w:p>
                <w:p w14:paraId="0A3E283B" w14:textId="77777777" w:rsidR="009F0D89" w:rsidRPr="00AC3D9D" w:rsidRDefault="009F0D89" w:rsidP="009F0D89">
                  <w:pPr>
                    <w:tabs>
                      <w:tab w:val="left" w:pos="3544"/>
                    </w:tabs>
                    <w:jc w:val="center"/>
                    <w:rPr>
                      <w:sz w:val="16"/>
                      <w:szCs w:val="16"/>
                    </w:rPr>
                  </w:pPr>
                </w:p>
              </w:tc>
            </w:tr>
            <w:tr w:rsidR="009F0D89" w:rsidRPr="00FE55E8" w14:paraId="5B6A8FBC" w14:textId="77777777" w:rsidTr="009F0D89">
              <w:trPr>
                <w:trHeight w:val="485"/>
              </w:trPr>
              <w:tc>
                <w:tcPr>
                  <w:tcW w:w="1867" w:type="dxa"/>
                </w:tcPr>
                <w:p w14:paraId="6D104C94" w14:textId="20AE9E4F" w:rsidR="009F0D89" w:rsidRPr="00AC3D9D" w:rsidRDefault="009F0D89" w:rsidP="009F0D89">
                  <w:pPr>
                    <w:tabs>
                      <w:tab w:val="left" w:pos="3544"/>
                    </w:tabs>
                    <w:jc w:val="both"/>
                    <w:rPr>
                      <w:sz w:val="16"/>
                      <w:szCs w:val="16"/>
                    </w:rPr>
                  </w:pPr>
                  <w:r w:rsidRPr="00AC3D9D">
                    <w:rPr>
                      <w:sz w:val="16"/>
                      <w:szCs w:val="16"/>
                    </w:rPr>
                    <w:t xml:space="preserve">(Par vienas ārstniecības iestādes brigādes tehniskā aprīkojuma nodrošināšanu līdzfinansējums – līdz 900 </w:t>
                  </w:r>
                  <w:proofErr w:type="spellStart"/>
                  <w:r w:rsidRPr="00AC3D9D">
                    <w:rPr>
                      <w:sz w:val="16"/>
                      <w:szCs w:val="16"/>
                    </w:rPr>
                    <w:t>euro</w:t>
                  </w:r>
                  <w:proofErr w:type="spellEnd"/>
                  <w:r w:rsidRPr="00AC3D9D">
                    <w:rPr>
                      <w:sz w:val="16"/>
                      <w:szCs w:val="16"/>
                    </w:rPr>
                    <w:t xml:space="preserve"> mēnesī, ja būs </w:t>
                  </w:r>
                  <w:r w:rsidRPr="00AC3D9D">
                    <w:rPr>
                      <w:sz w:val="16"/>
                      <w:szCs w:val="16"/>
                    </w:rPr>
                    <w:lastRenderedPageBreak/>
                    <w:t>nepieciešams piesaistīt  papildus ārstniecības iestādes brigādi).</w:t>
                  </w:r>
                </w:p>
              </w:tc>
              <w:tc>
                <w:tcPr>
                  <w:tcW w:w="1134" w:type="dxa"/>
                  <w:vAlign w:val="center"/>
                </w:tcPr>
                <w:p w14:paraId="2556BB0F" w14:textId="77777777" w:rsidR="009F0D89" w:rsidRPr="00AC3D9D" w:rsidRDefault="009F0D89" w:rsidP="009F0D89">
                  <w:pPr>
                    <w:tabs>
                      <w:tab w:val="left" w:pos="3544"/>
                    </w:tabs>
                    <w:jc w:val="center"/>
                    <w:rPr>
                      <w:sz w:val="16"/>
                      <w:szCs w:val="16"/>
                    </w:rPr>
                  </w:pPr>
                  <w:r w:rsidRPr="00AC3D9D">
                    <w:rPr>
                      <w:sz w:val="16"/>
                      <w:szCs w:val="16"/>
                    </w:rPr>
                    <w:lastRenderedPageBreak/>
                    <w:t>900</w:t>
                  </w:r>
                </w:p>
              </w:tc>
              <w:tc>
                <w:tcPr>
                  <w:tcW w:w="1134" w:type="dxa"/>
                  <w:vAlign w:val="center"/>
                </w:tcPr>
                <w:p w14:paraId="0B52FA81" w14:textId="77777777" w:rsidR="009F0D89" w:rsidRPr="00AC3D9D" w:rsidRDefault="009F0D89" w:rsidP="009F0D89">
                  <w:pPr>
                    <w:tabs>
                      <w:tab w:val="left" w:pos="3544"/>
                    </w:tabs>
                    <w:jc w:val="center"/>
                    <w:rPr>
                      <w:sz w:val="16"/>
                      <w:szCs w:val="16"/>
                    </w:rPr>
                  </w:pPr>
                  <w:r w:rsidRPr="00AC3D9D">
                    <w:rPr>
                      <w:sz w:val="16"/>
                      <w:szCs w:val="16"/>
                    </w:rPr>
                    <w:t>5</w:t>
                  </w:r>
                </w:p>
              </w:tc>
              <w:tc>
                <w:tcPr>
                  <w:tcW w:w="851" w:type="dxa"/>
                  <w:vAlign w:val="center"/>
                </w:tcPr>
                <w:p w14:paraId="0960E85B" w14:textId="77777777" w:rsidR="009F0D89" w:rsidRPr="00AC3D9D" w:rsidRDefault="009F0D89" w:rsidP="009F0D89">
                  <w:pPr>
                    <w:tabs>
                      <w:tab w:val="left" w:pos="3544"/>
                    </w:tabs>
                    <w:jc w:val="center"/>
                    <w:rPr>
                      <w:sz w:val="16"/>
                      <w:szCs w:val="16"/>
                    </w:rPr>
                  </w:pPr>
                  <w:r w:rsidRPr="00AC3D9D">
                    <w:rPr>
                      <w:sz w:val="16"/>
                      <w:szCs w:val="16"/>
                    </w:rPr>
                    <w:t>4 500</w:t>
                  </w:r>
                </w:p>
              </w:tc>
              <w:tc>
                <w:tcPr>
                  <w:tcW w:w="1417" w:type="dxa"/>
                  <w:vAlign w:val="center"/>
                </w:tcPr>
                <w:p w14:paraId="65BE9517" w14:textId="77777777" w:rsidR="009F0D89" w:rsidRPr="00AC3D9D" w:rsidRDefault="009F0D89" w:rsidP="009F0D89">
                  <w:pPr>
                    <w:tabs>
                      <w:tab w:val="left" w:pos="3544"/>
                    </w:tabs>
                    <w:jc w:val="center"/>
                    <w:rPr>
                      <w:sz w:val="16"/>
                      <w:szCs w:val="16"/>
                    </w:rPr>
                  </w:pPr>
                  <w:r w:rsidRPr="00AC3D9D">
                    <w:rPr>
                      <w:sz w:val="16"/>
                      <w:szCs w:val="16"/>
                    </w:rPr>
                    <w:t>29 250</w:t>
                  </w:r>
                </w:p>
              </w:tc>
            </w:tr>
            <w:tr w:rsidR="009F0D89" w:rsidRPr="00FE55E8" w14:paraId="49485968" w14:textId="77777777" w:rsidTr="009F0D89">
              <w:trPr>
                <w:trHeight w:val="556"/>
              </w:trPr>
              <w:tc>
                <w:tcPr>
                  <w:tcW w:w="1867" w:type="dxa"/>
                </w:tcPr>
                <w:p w14:paraId="22190D38" w14:textId="77777777" w:rsidR="009F0D89" w:rsidRPr="00AC3D9D" w:rsidRDefault="009F0D89" w:rsidP="009F0D89">
                  <w:pPr>
                    <w:tabs>
                      <w:tab w:val="left" w:pos="3544"/>
                    </w:tabs>
                    <w:jc w:val="both"/>
                    <w:rPr>
                      <w:sz w:val="16"/>
                      <w:szCs w:val="16"/>
                    </w:rPr>
                  </w:pPr>
                  <w:r w:rsidRPr="00AC3D9D">
                    <w:rPr>
                      <w:sz w:val="16"/>
                      <w:szCs w:val="16"/>
                    </w:rPr>
                    <w:t xml:space="preserve">Citi privātuzņēmumu organizēti publiski pasākumi – izbraukuma vakcinācijas ietvaros (līdzfinansējums par elektroenerģiju, atkritumu izvešanu, pārvietojamo labierīcību nodrošināšanu </w:t>
                  </w:r>
                  <w:proofErr w:type="spellStart"/>
                  <w:r w:rsidRPr="00AC3D9D">
                    <w:rPr>
                      <w:sz w:val="16"/>
                      <w:szCs w:val="16"/>
                    </w:rPr>
                    <w:t>utt</w:t>
                  </w:r>
                  <w:proofErr w:type="spellEnd"/>
                  <w:r w:rsidRPr="00AC3D9D">
                    <w:rPr>
                      <w:sz w:val="16"/>
                      <w:szCs w:val="16"/>
                    </w:rPr>
                    <w:t xml:space="preserve">). (Līdz 100 </w:t>
                  </w:r>
                  <w:proofErr w:type="spellStart"/>
                  <w:r w:rsidRPr="00AC3D9D">
                    <w:rPr>
                      <w:i/>
                      <w:iCs/>
                      <w:sz w:val="16"/>
                      <w:szCs w:val="16"/>
                    </w:rPr>
                    <w:t>euro</w:t>
                  </w:r>
                  <w:proofErr w:type="spellEnd"/>
                  <w:r w:rsidRPr="00AC3D9D">
                    <w:rPr>
                      <w:sz w:val="16"/>
                      <w:szCs w:val="16"/>
                    </w:rPr>
                    <w:t xml:space="preserve"> vienas dienas pasākumā, līdz 9 pasākumiem 6,5 mēnešu periodā)</w:t>
                  </w:r>
                </w:p>
              </w:tc>
              <w:tc>
                <w:tcPr>
                  <w:tcW w:w="1134" w:type="dxa"/>
                  <w:vAlign w:val="center"/>
                </w:tcPr>
                <w:p w14:paraId="361CE2BA" w14:textId="77777777" w:rsidR="009F0D89" w:rsidRPr="00AC3D9D" w:rsidRDefault="009F0D89" w:rsidP="009F0D89">
                  <w:pPr>
                    <w:tabs>
                      <w:tab w:val="left" w:pos="3544"/>
                    </w:tabs>
                    <w:jc w:val="center"/>
                    <w:rPr>
                      <w:sz w:val="16"/>
                      <w:szCs w:val="16"/>
                    </w:rPr>
                  </w:pPr>
                  <w:r w:rsidRPr="00AC3D9D">
                    <w:rPr>
                      <w:sz w:val="16"/>
                      <w:szCs w:val="16"/>
                    </w:rPr>
                    <w:t>100</w:t>
                  </w:r>
                </w:p>
              </w:tc>
              <w:tc>
                <w:tcPr>
                  <w:tcW w:w="1134" w:type="dxa"/>
                  <w:vAlign w:val="center"/>
                </w:tcPr>
                <w:p w14:paraId="0D32DB0E" w14:textId="77777777" w:rsidR="009F0D89" w:rsidRPr="00AC3D9D" w:rsidRDefault="009F0D89" w:rsidP="009F0D89">
                  <w:pPr>
                    <w:tabs>
                      <w:tab w:val="left" w:pos="3544"/>
                    </w:tabs>
                    <w:jc w:val="center"/>
                    <w:rPr>
                      <w:sz w:val="16"/>
                      <w:szCs w:val="16"/>
                    </w:rPr>
                  </w:pPr>
                  <w:r w:rsidRPr="00AC3D9D">
                    <w:rPr>
                      <w:sz w:val="16"/>
                      <w:szCs w:val="16"/>
                    </w:rPr>
                    <w:t>9</w:t>
                  </w:r>
                </w:p>
              </w:tc>
              <w:tc>
                <w:tcPr>
                  <w:tcW w:w="851" w:type="dxa"/>
                  <w:vAlign w:val="center"/>
                </w:tcPr>
                <w:p w14:paraId="730A679F" w14:textId="77777777" w:rsidR="009F0D89" w:rsidRPr="00AC3D9D" w:rsidRDefault="009F0D89" w:rsidP="009F0D89">
                  <w:pPr>
                    <w:tabs>
                      <w:tab w:val="left" w:pos="3544"/>
                    </w:tabs>
                    <w:jc w:val="center"/>
                    <w:rPr>
                      <w:sz w:val="16"/>
                      <w:szCs w:val="16"/>
                    </w:rPr>
                  </w:pPr>
                  <w:r w:rsidRPr="00AC3D9D">
                    <w:rPr>
                      <w:sz w:val="16"/>
                      <w:szCs w:val="16"/>
                    </w:rPr>
                    <w:t>900</w:t>
                  </w:r>
                </w:p>
              </w:tc>
              <w:tc>
                <w:tcPr>
                  <w:tcW w:w="1417" w:type="dxa"/>
                  <w:vAlign w:val="center"/>
                </w:tcPr>
                <w:p w14:paraId="71364029" w14:textId="77777777" w:rsidR="009F0D89" w:rsidRPr="00AC3D9D" w:rsidRDefault="009F0D89" w:rsidP="009F0D89">
                  <w:pPr>
                    <w:tabs>
                      <w:tab w:val="left" w:pos="3544"/>
                    </w:tabs>
                    <w:jc w:val="center"/>
                    <w:rPr>
                      <w:sz w:val="16"/>
                      <w:szCs w:val="16"/>
                    </w:rPr>
                  </w:pPr>
                  <w:r w:rsidRPr="00AC3D9D">
                    <w:rPr>
                      <w:sz w:val="16"/>
                      <w:szCs w:val="16"/>
                    </w:rPr>
                    <w:t>900*</w:t>
                  </w:r>
                </w:p>
              </w:tc>
            </w:tr>
            <w:tr w:rsidR="009F0D89" w:rsidRPr="00FE55E8" w14:paraId="160AB97E" w14:textId="77777777" w:rsidTr="009F0D89">
              <w:trPr>
                <w:trHeight w:val="391"/>
              </w:trPr>
              <w:tc>
                <w:tcPr>
                  <w:tcW w:w="1867" w:type="dxa"/>
                  <w:vAlign w:val="center"/>
                </w:tcPr>
                <w:p w14:paraId="779AD600" w14:textId="77777777" w:rsidR="009F0D89" w:rsidRPr="00FE55E8" w:rsidRDefault="009F0D89" w:rsidP="009F0D89">
                  <w:pPr>
                    <w:tabs>
                      <w:tab w:val="left" w:pos="3544"/>
                    </w:tabs>
                    <w:jc w:val="center"/>
                    <w:rPr>
                      <w:b/>
                      <w:bCs/>
                      <w:sz w:val="16"/>
                      <w:szCs w:val="16"/>
                    </w:rPr>
                  </w:pPr>
                  <w:r w:rsidRPr="00FE55E8">
                    <w:rPr>
                      <w:b/>
                      <w:bCs/>
                      <w:sz w:val="16"/>
                      <w:szCs w:val="16"/>
                    </w:rPr>
                    <w:t>KOPĀ:</w:t>
                  </w:r>
                </w:p>
              </w:tc>
              <w:tc>
                <w:tcPr>
                  <w:tcW w:w="2268" w:type="dxa"/>
                  <w:gridSpan w:val="2"/>
                  <w:vAlign w:val="center"/>
                </w:tcPr>
                <w:p w14:paraId="46F6BC52" w14:textId="77777777" w:rsidR="009F0D89" w:rsidRPr="00FE55E8" w:rsidRDefault="009F0D89" w:rsidP="009F0D89">
                  <w:pPr>
                    <w:tabs>
                      <w:tab w:val="left" w:pos="3544"/>
                    </w:tabs>
                    <w:jc w:val="right"/>
                    <w:rPr>
                      <w:b/>
                      <w:bCs/>
                      <w:sz w:val="16"/>
                      <w:szCs w:val="16"/>
                    </w:rPr>
                  </w:pPr>
                </w:p>
              </w:tc>
              <w:tc>
                <w:tcPr>
                  <w:tcW w:w="851" w:type="dxa"/>
                  <w:vAlign w:val="center"/>
                </w:tcPr>
                <w:p w14:paraId="0A10BB6F" w14:textId="40D56910" w:rsidR="009F0D89" w:rsidRPr="00FE55E8" w:rsidRDefault="009F0D89" w:rsidP="009F0D89">
                  <w:pPr>
                    <w:tabs>
                      <w:tab w:val="left" w:pos="3544"/>
                    </w:tabs>
                    <w:jc w:val="right"/>
                    <w:rPr>
                      <w:b/>
                      <w:bCs/>
                      <w:sz w:val="16"/>
                      <w:szCs w:val="16"/>
                    </w:rPr>
                  </w:pPr>
                  <w:r w:rsidRPr="00FE55E8">
                    <w:rPr>
                      <w:b/>
                      <w:bCs/>
                      <w:sz w:val="16"/>
                      <w:szCs w:val="16"/>
                    </w:rPr>
                    <w:t>35 900</w:t>
                  </w:r>
                </w:p>
              </w:tc>
              <w:tc>
                <w:tcPr>
                  <w:tcW w:w="1417" w:type="dxa"/>
                  <w:vAlign w:val="center"/>
                </w:tcPr>
                <w:p w14:paraId="3EF3477F" w14:textId="77777777" w:rsidR="009F0D89" w:rsidRPr="00FE55E8" w:rsidRDefault="009F0D89" w:rsidP="009F0D89">
                  <w:pPr>
                    <w:tabs>
                      <w:tab w:val="left" w:pos="3544"/>
                    </w:tabs>
                    <w:jc w:val="right"/>
                    <w:rPr>
                      <w:b/>
                      <w:bCs/>
                      <w:sz w:val="16"/>
                      <w:szCs w:val="16"/>
                    </w:rPr>
                  </w:pPr>
                  <w:r w:rsidRPr="00FE55E8">
                    <w:rPr>
                      <w:b/>
                      <w:bCs/>
                      <w:sz w:val="16"/>
                      <w:szCs w:val="16"/>
                    </w:rPr>
                    <w:t>228 400</w:t>
                  </w:r>
                </w:p>
              </w:tc>
            </w:tr>
          </w:tbl>
          <w:p w14:paraId="3FCDE68B" w14:textId="4129E39B" w:rsidR="00FC381C" w:rsidRPr="00FE55E8" w:rsidRDefault="009F0D89" w:rsidP="00FC381C">
            <w:pPr>
              <w:pStyle w:val="tv213"/>
              <w:tabs>
                <w:tab w:val="left" w:pos="709"/>
              </w:tabs>
              <w:spacing w:before="0" w:beforeAutospacing="0" w:after="0" w:afterAutospacing="0"/>
              <w:jc w:val="both"/>
              <w:rPr>
                <w:color w:val="000000" w:themeColor="text1"/>
                <w:shd w:val="clear" w:color="auto" w:fill="FFFFFF"/>
                <w:vertAlign w:val="superscript"/>
              </w:rPr>
            </w:pPr>
            <w:r w:rsidRPr="00FE55E8">
              <w:rPr>
                <w:color w:val="000000" w:themeColor="text1"/>
                <w:shd w:val="clear" w:color="auto" w:fill="FFFFFF"/>
                <w:vertAlign w:val="superscript"/>
              </w:rPr>
              <w:t>*Kopumā plānots piedalīties līdz 9 privātuzņēmumu organizētajos publiskajos pasākumos 6,5 mēnešu periodā.</w:t>
            </w:r>
          </w:p>
        </w:tc>
      </w:tr>
      <w:tr w:rsidR="00FC381C" w:rsidRPr="00FE55E8" w14:paraId="7FB7D7AC" w14:textId="77777777" w:rsidTr="00AD2450">
        <w:tc>
          <w:tcPr>
            <w:tcW w:w="1560" w:type="dxa"/>
            <w:vAlign w:val="center"/>
          </w:tcPr>
          <w:p w14:paraId="2C6D97BC" w14:textId="77777777" w:rsidR="00FC381C" w:rsidRPr="00FE55E8" w:rsidRDefault="00FC381C" w:rsidP="00FC381C">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lastRenderedPageBreak/>
              <w:t>6.1. detalizēts ieņēmumu aprēķins</w:t>
            </w:r>
          </w:p>
        </w:tc>
        <w:tc>
          <w:tcPr>
            <w:tcW w:w="7796" w:type="dxa"/>
            <w:gridSpan w:val="7"/>
            <w:vMerge/>
            <w:shd w:val="clear" w:color="auto" w:fill="auto"/>
            <w:vAlign w:val="center"/>
          </w:tcPr>
          <w:p w14:paraId="0362C8A3" w14:textId="77777777" w:rsidR="00FC381C" w:rsidRPr="00FE55E8" w:rsidRDefault="00FC381C" w:rsidP="00FC381C">
            <w:pPr>
              <w:pStyle w:val="NoSpacing"/>
              <w:rPr>
                <w:rFonts w:ascii="Times New Roman" w:hAnsi="Times New Roman" w:cs="Times New Roman"/>
                <w:iCs/>
                <w:sz w:val="24"/>
                <w:szCs w:val="24"/>
                <w:lang w:eastAsia="lv-LV"/>
              </w:rPr>
            </w:pPr>
          </w:p>
        </w:tc>
      </w:tr>
      <w:tr w:rsidR="00FC381C" w:rsidRPr="00FE55E8" w14:paraId="3315D75A" w14:textId="77777777" w:rsidTr="00AD2450">
        <w:tc>
          <w:tcPr>
            <w:tcW w:w="1560" w:type="dxa"/>
            <w:vAlign w:val="center"/>
          </w:tcPr>
          <w:p w14:paraId="4AD9E61B" w14:textId="77777777" w:rsidR="00FC381C" w:rsidRPr="00FE55E8" w:rsidRDefault="00FC381C" w:rsidP="00FC381C">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C381C" w:rsidRPr="00FE55E8" w:rsidRDefault="00FC381C" w:rsidP="00FC381C">
            <w:pPr>
              <w:pStyle w:val="NoSpacing"/>
              <w:rPr>
                <w:rFonts w:ascii="Times New Roman" w:hAnsi="Times New Roman" w:cs="Times New Roman"/>
                <w:iCs/>
                <w:sz w:val="24"/>
                <w:szCs w:val="24"/>
                <w:lang w:eastAsia="lv-LV"/>
              </w:rPr>
            </w:pPr>
          </w:p>
        </w:tc>
      </w:tr>
      <w:tr w:rsidR="00FC381C" w:rsidRPr="00FE55E8" w14:paraId="7D423F28" w14:textId="77777777" w:rsidTr="00AD2450">
        <w:tc>
          <w:tcPr>
            <w:tcW w:w="1560" w:type="dxa"/>
            <w:vAlign w:val="center"/>
          </w:tcPr>
          <w:p w14:paraId="67F373C8" w14:textId="77777777" w:rsidR="00FC381C" w:rsidRPr="00FE55E8" w:rsidRDefault="00FC381C" w:rsidP="00FC381C">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C381C" w:rsidRPr="00FE55E8" w:rsidRDefault="00FC381C" w:rsidP="00FC381C">
            <w:pPr>
              <w:pStyle w:val="NoSpacing"/>
              <w:rPr>
                <w:rFonts w:ascii="Times New Roman" w:hAnsi="Times New Roman" w:cs="Times New Roman"/>
                <w:iCs/>
                <w:sz w:val="24"/>
                <w:szCs w:val="24"/>
                <w:lang w:eastAsia="lv-LV"/>
              </w:rPr>
            </w:pPr>
            <w:r w:rsidRPr="00FE55E8">
              <w:rPr>
                <w:rFonts w:ascii="Times New Roman" w:hAnsi="Times New Roman" w:cs="Times New Roman"/>
                <w:sz w:val="24"/>
              </w:rPr>
              <w:t>Projekts šo jomu neskar.</w:t>
            </w:r>
          </w:p>
        </w:tc>
      </w:tr>
      <w:tr w:rsidR="00FC381C" w:rsidRPr="00FE55E8" w14:paraId="685EF0AE" w14:textId="77777777" w:rsidTr="00AD2450">
        <w:tc>
          <w:tcPr>
            <w:tcW w:w="1560" w:type="dxa"/>
            <w:vAlign w:val="center"/>
          </w:tcPr>
          <w:p w14:paraId="717DE15C" w14:textId="77777777" w:rsidR="00FC381C" w:rsidRPr="00FE55E8" w:rsidRDefault="00FC381C" w:rsidP="00FC381C">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8. Cita informācija</w:t>
            </w:r>
          </w:p>
        </w:tc>
        <w:tc>
          <w:tcPr>
            <w:tcW w:w="7796" w:type="dxa"/>
            <w:gridSpan w:val="7"/>
            <w:vAlign w:val="center"/>
          </w:tcPr>
          <w:p w14:paraId="602E3974" w14:textId="191006D9" w:rsidR="00FC381C" w:rsidRPr="00FE55E8" w:rsidRDefault="00FC381C" w:rsidP="00FC381C">
            <w:pPr>
              <w:pStyle w:val="NoSpacing"/>
              <w:jc w:val="both"/>
              <w:rPr>
                <w:rFonts w:ascii="Times New Roman" w:hAnsi="Times New Roman" w:cs="Times New Roman"/>
                <w:iCs/>
                <w:sz w:val="24"/>
                <w:szCs w:val="24"/>
                <w:lang w:eastAsia="lv-LV"/>
              </w:rPr>
            </w:pPr>
            <w:r w:rsidRPr="00FE55E8">
              <w:rPr>
                <w:rFonts w:ascii="Times New Roman" w:hAnsi="Times New Roman" w:cs="Times New Roman"/>
                <w:color w:val="000000"/>
                <w:sz w:val="24"/>
                <w:szCs w:val="24"/>
              </w:rPr>
              <w:t>Izdevumi 2021.gadā tiks veikti Veselības ministrijas un Vides aizsardzības un reģionālās attīstības ministrijas budžeta programmas 99.00.00 “Līdzekļu neparedzētiem gadījumiem izlietojums” piešķirtā līdzekļu ietvaros.</w:t>
            </w:r>
          </w:p>
        </w:tc>
      </w:tr>
    </w:tbl>
    <w:p w14:paraId="1D441F60" w14:textId="77777777" w:rsidR="00E5323B" w:rsidRPr="00FE55E8"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FE55E8" w14:paraId="61FBC7B1" w14:textId="77777777" w:rsidTr="006936E5">
        <w:tc>
          <w:tcPr>
            <w:tcW w:w="9356" w:type="dxa"/>
          </w:tcPr>
          <w:p w14:paraId="59746962" w14:textId="77777777" w:rsidR="007F6F87" w:rsidRPr="00FE55E8" w:rsidRDefault="007F6F87" w:rsidP="003903BF">
            <w:pPr>
              <w:pStyle w:val="NoSpacing"/>
              <w:jc w:val="center"/>
              <w:rPr>
                <w:rFonts w:ascii="Times New Roman" w:hAnsi="Times New Roman" w:cs="Times New Roman"/>
                <w:b/>
                <w:sz w:val="24"/>
                <w:szCs w:val="24"/>
                <w:lang w:eastAsia="lv-LV"/>
              </w:rPr>
            </w:pPr>
            <w:r w:rsidRPr="00FE55E8">
              <w:rPr>
                <w:rFonts w:ascii="Times New Roman" w:hAnsi="Times New Roman" w:cs="Times New Roman"/>
                <w:b/>
                <w:iCs/>
                <w:sz w:val="24"/>
                <w:szCs w:val="24"/>
                <w:lang w:eastAsia="lv-LV"/>
              </w:rPr>
              <w:t>IV. Tiesību akta projekta ietekme uz spēkā esošo tiesību normu sistēmu</w:t>
            </w:r>
          </w:p>
        </w:tc>
      </w:tr>
      <w:tr w:rsidR="007F6F87" w:rsidRPr="00FE55E8" w14:paraId="1A3A55C1" w14:textId="77777777" w:rsidTr="006936E5">
        <w:tc>
          <w:tcPr>
            <w:tcW w:w="9356" w:type="dxa"/>
          </w:tcPr>
          <w:p w14:paraId="1328AB25" w14:textId="77777777" w:rsidR="007F6F87" w:rsidRPr="00FE55E8" w:rsidRDefault="007F6F87" w:rsidP="003903BF">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Projekts šo jomu neskar</w:t>
            </w:r>
            <w:r w:rsidR="007272A8" w:rsidRPr="00FE55E8">
              <w:rPr>
                <w:rFonts w:ascii="Times New Roman" w:hAnsi="Times New Roman" w:cs="Times New Roman"/>
                <w:sz w:val="24"/>
                <w:szCs w:val="24"/>
                <w:lang w:eastAsia="lv-LV"/>
              </w:rPr>
              <w:t>.</w:t>
            </w:r>
          </w:p>
        </w:tc>
      </w:tr>
    </w:tbl>
    <w:p w14:paraId="4AF88024" w14:textId="77777777" w:rsidR="007F6F87" w:rsidRPr="00FE55E8"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FE55E8" w14:paraId="77E38316" w14:textId="77777777" w:rsidTr="006936E5">
        <w:tc>
          <w:tcPr>
            <w:tcW w:w="9356" w:type="dxa"/>
          </w:tcPr>
          <w:p w14:paraId="3A58B34E" w14:textId="77777777" w:rsidR="007F6F87" w:rsidRPr="00FE55E8" w:rsidRDefault="007F6F87" w:rsidP="003903BF">
            <w:pPr>
              <w:pStyle w:val="NoSpacing"/>
              <w:jc w:val="center"/>
              <w:rPr>
                <w:rFonts w:ascii="Times New Roman" w:hAnsi="Times New Roman" w:cs="Times New Roman"/>
                <w:b/>
                <w:sz w:val="24"/>
                <w:szCs w:val="24"/>
                <w:lang w:eastAsia="lv-LV"/>
              </w:rPr>
            </w:pPr>
            <w:r w:rsidRPr="00FE55E8">
              <w:rPr>
                <w:rFonts w:ascii="Times New Roman" w:hAnsi="Times New Roman" w:cs="Times New Roman"/>
                <w:b/>
                <w:iCs/>
                <w:sz w:val="24"/>
                <w:szCs w:val="24"/>
                <w:lang w:eastAsia="lv-LV"/>
              </w:rPr>
              <w:t>V. Tiesību akta projekta atbilstība Latvijas Republikas starptautiskajām saistībām</w:t>
            </w:r>
          </w:p>
        </w:tc>
      </w:tr>
      <w:tr w:rsidR="007F6F87" w:rsidRPr="00FE55E8" w14:paraId="2F8CFEEA" w14:textId="77777777" w:rsidTr="006936E5">
        <w:tc>
          <w:tcPr>
            <w:tcW w:w="9356" w:type="dxa"/>
          </w:tcPr>
          <w:p w14:paraId="6E28D555" w14:textId="77777777" w:rsidR="007F6F87" w:rsidRPr="00FE55E8" w:rsidRDefault="007F6F87" w:rsidP="003903BF">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Projekts šo jomu neskar</w:t>
            </w:r>
            <w:r w:rsidR="007272A8" w:rsidRPr="00FE55E8">
              <w:rPr>
                <w:rFonts w:ascii="Times New Roman" w:hAnsi="Times New Roman" w:cs="Times New Roman"/>
                <w:sz w:val="24"/>
                <w:szCs w:val="24"/>
                <w:lang w:eastAsia="lv-LV"/>
              </w:rPr>
              <w:t>.</w:t>
            </w:r>
          </w:p>
        </w:tc>
      </w:tr>
    </w:tbl>
    <w:p w14:paraId="4F1C132D" w14:textId="77777777" w:rsidR="007F6F87" w:rsidRPr="00FE55E8"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FE55E8" w14:paraId="5D024F8C" w14:textId="77777777" w:rsidTr="006936E5">
        <w:tc>
          <w:tcPr>
            <w:tcW w:w="9356" w:type="dxa"/>
          </w:tcPr>
          <w:p w14:paraId="031879B9" w14:textId="77777777" w:rsidR="007F6F87" w:rsidRPr="00FE55E8" w:rsidRDefault="007F6F87" w:rsidP="003903BF">
            <w:pPr>
              <w:pStyle w:val="NoSpacing"/>
              <w:jc w:val="center"/>
              <w:rPr>
                <w:rFonts w:ascii="Times New Roman" w:hAnsi="Times New Roman" w:cs="Times New Roman"/>
                <w:b/>
                <w:sz w:val="24"/>
                <w:szCs w:val="24"/>
                <w:lang w:eastAsia="lv-LV"/>
              </w:rPr>
            </w:pPr>
            <w:r w:rsidRPr="00FE55E8">
              <w:rPr>
                <w:rFonts w:ascii="Times New Roman" w:hAnsi="Times New Roman" w:cs="Times New Roman"/>
                <w:b/>
                <w:iCs/>
                <w:sz w:val="24"/>
                <w:szCs w:val="24"/>
                <w:lang w:eastAsia="lv-LV"/>
              </w:rPr>
              <w:t>VI. Sabiedrības līdzdalība un komunikācijas aktivitātes</w:t>
            </w:r>
          </w:p>
        </w:tc>
      </w:tr>
      <w:tr w:rsidR="007F6F87" w:rsidRPr="00FE55E8" w14:paraId="2CD26FBD" w14:textId="77777777" w:rsidTr="006936E5">
        <w:tc>
          <w:tcPr>
            <w:tcW w:w="9356" w:type="dxa"/>
          </w:tcPr>
          <w:p w14:paraId="3CB2A78C" w14:textId="77777777" w:rsidR="007F6F87" w:rsidRPr="00FE55E8" w:rsidRDefault="007F6F87" w:rsidP="003903BF">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Projekts šo jomu neskar</w:t>
            </w:r>
            <w:r w:rsidR="007272A8" w:rsidRPr="00FE55E8">
              <w:rPr>
                <w:rFonts w:ascii="Times New Roman" w:hAnsi="Times New Roman" w:cs="Times New Roman"/>
                <w:sz w:val="24"/>
                <w:szCs w:val="24"/>
                <w:lang w:eastAsia="lv-LV"/>
              </w:rPr>
              <w:t>.</w:t>
            </w:r>
          </w:p>
        </w:tc>
      </w:tr>
    </w:tbl>
    <w:p w14:paraId="2015833F" w14:textId="77777777" w:rsidR="007F6F87" w:rsidRPr="00FE55E8" w:rsidRDefault="00E5323B" w:rsidP="00EC6E12">
      <w:pPr>
        <w:pStyle w:val="NoSpacing"/>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RPr="00FE55E8" w14:paraId="1017D6E9" w14:textId="77777777" w:rsidTr="006936E5">
        <w:tc>
          <w:tcPr>
            <w:tcW w:w="9356" w:type="dxa"/>
            <w:gridSpan w:val="3"/>
          </w:tcPr>
          <w:p w14:paraId="7458DCB4" w14:textId="77777777" w:rsidR="007F6F87" w:rsidRPr="00FE55E8" w:rsidRDefault="007F6F87" w:rsidP="003903BF">
            <w:pPr>
              <w:pStyle w:val="NoSpacing"/>
              <w:jc w:val="center"/>
              <w:rPr>
                <w:rFonts w:ascii="Times New Roman" w:hAnsi="Times New Roman" w:cs="Times New Roman"/>
                <w:b/>
                <w:sz w:val="24"/>
                <w:szCs w:val="24"/>
                <w:lang w:eastAsia="lv-LV"/>
              </w:rPr>
            </w:pPr>
            <w:r w:rsidRPr="00FE55E8">
              <w:rPr>
                <w:rFonts w:ascii="Times New Roman" w:hAnsi="Times New Roman" w:cs="Times New Roman"/>
                <w:b/>
                <w:iCs/>
                <w:sz w:val="24"/>
                <w:szCs w:val="24"/>
                <w:lang w:eastAsia="lv-LV"/>
              </w:rPr>
              <w:t>VII. Tiesību akta projekta izpildes nodrošināšana un tās ietekme uz institūcijām</w:t>
            </w:r>
          </w:p>
        </w:tc>
      </w:tr>
      <w:tr w:rsidR="007F7D5A" w:rsidRPr="00FE55E8" w14:paraId="1064137E" w14:textId="77777777" w:rsidTr="006936E5">
        <w:tc>
          <w:tcPr>
            <w:tcW w:w="568" w:type="dxa"/>
          </w:tcPr>
          <w:p w14:paraId="7D9C634F" w14:textId="77777777" w:rsidR="007F7D5A" w:rsidRPr="00FE55E8" w:rsidRDefault="007F7D5A" w:rsidP="007F7D5A">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1.</w:t>
            </w:r>
          </w:p>
        </w:tc>
        <w:tc>
          <w:tcPr>
            <w:tcW w:w="3260" w:type="dxa"/>
          </w:tcPr>
          <w:p w14:paraId="739AD684" w14:textId="77777777" w:rsidR="007F7D5A" w:rsidRPr="00FE55E8" w:rsidRDefault="007F7D5A" w:rsidP="007F7D5A">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Projekta izpildē iesaistītās institūcijas</w:t>
            </w:r>
          </w:p>
        </w:tc>
        <w:tc>
          <w:tcPr>
            <w:tcW w:w="5528" w:type="dxa"/>
          </w:tcPr>
          <w:p w14:paraId="162479DF" w14:textId="60E5A3EF" w:rsidR="007F7D5A" w:rsidRPr="00FE55E8" w:rsidRDefault="00AE52A0" w:rsidP="007F7D5A">
            <w:pPr>
              <w:jc w:val="both"/>
            </w:pPr>
            <w:r w:rsidRPr="00FE55E8">
              <w:t>Veselības ministrija, N</w:t>
            </w:r>
            <w:r w:rsidR="00F1519E">
              <w:t>VD</w:t>
            </w:r>
            <w:r w:rsidR="0052046E" w:rsidRPr="00FE55E8">
              <w:t xml:space="preserve"> un publiskas personas kapitālsabiedrības</w:t>
            </w:r>
            <w:r w:rsidR="009F0D89" w:rsidRPr="00FE55E8">
              <w:t xml:space="preserve"> un komercsabiedrības</w:t>
            </w:r>
            <w:r w:rsidR="0052046E" w:rsidRPr="00FE55E8">
              <w:t>.</w:t>
            </w:r>
          </w:p>
        </w:tc>
      </w:tr>
      <w:tr w:rsidR="0049601C" w:rsidRPr="00FE55E8" w14:paraId="2BFF82C0" w14:textId="77777777" w:rsidTr="006936E5">
        <w:tc>
          <w:tcPr>
            <w:tcW w:w="568" w:type="dxa"/>
          </w:tcPr>
          <w:p w14:paraId="6A4C7414" w14:textId="77777777" w:rsidR="0049601C" w:rsidRPr="00FE55E8" w:rsidRDefault="0049601C" w:rsidP="0049601C">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2.</w:t>
            </w:r>
          </w:p>
        </w:tc>
        <w:tc>
          <w:tcPr>
            <w:tcW w:w="3260" w:type="dxa"/>
          </w:tcPr>
          <w:p w14:paraId="120E2306" w14:textId="77777777" w:rsidR="0049601C" w:rsidRPr="00FE55E8" w:rsidRDefault="0049601C" w:rsidP="0049601C">
            <w:pPr>
              <w:pStyle w:val="NoSpacing"/>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Projekta izpildes ietekme uz pārvaldes funkcijām un institucionālo struktūru.</w:t>
            </w:r>
            <w:r w:rsidRPr="00FE55E8">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FE55E8" w:rsidRDefault="0049601C" w:rsidP="0049601C">
            <w:r w:rsidRPr="00FE55E8">
              <w:t>Projekts šo jomu neskar.</w:t>
            </w:r>
          </w:p>
        </w:tc>
      </w:tr>
      <w:tr w:rsidR="0049601C" w:rsidRPr="00FE55E8" w14:paraId="16E17E0A" w14:textId="77777777" w:rsidTr="006936E5">
        <w:tc>
          <w:tcPr>
            <w:tcW w:w="568" w:type="dxa"/>
          </w:tcPr>
          <w:p w14:paraId="0447CBBB" w14:textId="77777777" w:rsidR="0049601C" w:rsidRPr="00FE55E8" w:rsidRDefault="0049601C" w:rsidP="0049601C">
            <w:pPr>
              <w:pStyle w:val="NoSpacing"/>
              <w:jc w:val="center"/>
              <w:rPr>
                <w:rFonts w:ascii="Times New Roman" w:hAnsi="Times New Roman" w:cs="Times New Roman"/>
                <w:sz w:val="24"/>
                <w:szCs w:val="24"/>
                <w:lang w:eastAsia="lv-LV"/>
              </w:rPr>
            </w:pPr>
            <w:r w:rsidRPr="00FE55E8">
              <w:rPr>
                <w:rFonts w:ascii="Times New Roman" w:hAnsi="Times New Roman" w:cs="Times New Roman"/>
                <w:sz w:val="24"/>
                <w:szCs w:val="24"/>
                <w:lang w:eastAsia="lv-LV"/>
              </w:rPr>
              <w:t>3.</w:t>
            </w:r>
          </w:p>
        </w:tc>
        <w:tc>
          <w:tcPr>
            <w:tcW w:w="3260" w:type="dxa"/>
          </w:tcPr>
          <w:p w14:paraId="515F7F74" w14:textId="77777777" w:rsidR="0049601C" w:rsidRPr="00FE55E8" w:rsidRDefault="0049601C" w:rsidP="0049601C">
            <w:pPr>
              <w:pStyle w:val="NoSpacing"/>
              <w:jc w:val="both"/>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Cita informācija</w:t>
            </w:r>
          </w:p>
        </w:tc>
        <w:tc>
          <w:tcPr>
            <w:tcW w:w="5528" w:type="dxa"/>
          </w:tcPr>
          <w:p w14:paraId="57A959A9" w14:textId="77777777" w:rsidR="0049601C" w:rsidRPr="00FE55E8" w:rsidRDefault="0049601C" w:rsidP="0049601C">
            <w:pPr>
              <w:pStyle w:val="NoSpacing"/>
              <w:rPr>
                <w:rFonts w:ascii="Times New Roman" w:hAnsi="Times New Roman" w:cs="Times New Roman"/>
                <w:sz w:val="24"/>
                <w:szCs w:val="24"/>
                <w:lang w:eastAsia="lv-LV"/>
              </w:rPr>
            </w:pPr>
            <w:r w:rsidRPr="00FE55E8">
              <w:rPr>
                <w:rFonts w:ascii="Times New Roman" w:hAnsi="Times New Roman" w:cs="Times New Roman"/>
                <w:sz w:val="24"/>
                <w:szCs w:val="24"/>
                <w:lang w:eastAsia="lv-LV"/>
              </w:rPr>
              <w:t>Nav</w:t>
            </w:r>
          </w:p>
        </w:tc>
      </w:tr>
    </w:tbl>
    <w:p w14:paraId="63AD10B6" w14:textId="77777777" w:rsidR="008B37B7" w:rsidRPr="00FE55E8" w:rsidRDefault="00E5323B" w:rsidP="00EC6E12">
      <w:pPr>
        <w:pStyle w:val="NoSpacing"/>
        <w:rPr>
          <w:rFonts w:ascii="Times New Roman" w:hAnsi="Times New Roman" w:cs="Times New Roman"/>
          <w:iCs/>
          <w:sz w:val="24"/>
          <w:szCs w:val="24"/>
          <w:lang w:eastAsia="lv-LV"/>
        </w:rPr>
      </w:pPr>
      <w:r w:rsidRPr="00FE55E8">
        <w:rPr>
          <w:rFonts w:ascii="Times New Roman" w:hAnsi="Times New Roman" w:cs="Times New Roman"/>
          <w:iCs/>
          <w:sz w:val="24"/>
          <w:szCs w:val="24"/>
          <w:lang w:eastAsia="lv-LV"/>
        </w:rPr>
        <w:t xml:space="preserve"> </w:t>
      </w:r>
    </w:p>
    <w:p w14:paraId="0166F01C" w14:textId="77777777" w:rsidR="008B37B7" w:rsidRPr="00FE55E8" w:rsidRDefault="008B37B7" w:rsidP="00EC6E12">
      <w:pPr>
        <w:pStyle w:val="NoSpacing"/>
        <w:rPr>
          <w:rFonts w:ascii="Times New Roman" w:hAnsi="Times New Roman" w:cs="Times New Roman"/>
          <w:iCs/>
          <w:sz w:val="24"/>
          <w:szCs w:val="24"/>
          <w:lang w:eastAsia="lv-LV"/>
        </w:rPr>
      </w:pPr>
    </w:p>
    <w:p w14:paraId="65161B6A" w14:textId="12E75840" w:rsidR="00DF461F" w:rsidRPr="00FE55E8" w:rsidRDefault="00DC2DAF" w:rsidP="00DF461F">
      <w:pPr>
        <w:ind w:right="-765"/>
        <w:rPr>
          <w:sz w:val="28"/>
          <w:szCs w:val="28"/>
        </w:rPr>
      </w:pPr>
      <w:bookmarkStart w:id="0" w:name="_Hlk60918739"/>
      <w:r w:rsidRPr="00FE55E8">
        <w:rPr>
          <w:sz w:val="28"/>
          <w:szCs w:val="28"/>
        </w:rPr>
        <w:t>Veselības ministr</w:t>
      </w:r>
      <w:r w:rsidR="00344B73" w:rsidRPr="00FE55E8">
        <w:rPr>
          <w:sz w:val="28"/>
          <w:szCs w:val="28"/>
        </w:rPr>
        <w:t>s</w:t>
      </w:r>
      <w:r w:rsidRPr="00FE55E8">
        <w:rPr>
          <w:sz w:val="28"/>
          <w:szCs w:val="28"/>
        </w:rPr>
        <w:tab/>
      </w:r>
      <w:r w:rsidRPr="00FE55E8">
        <w:rPr>
          <w:sz w:val="28"/>
          <w:szCs w:val="28"/>
        </w:rPr>
        <w:tab/>
      </w:r>
      <w:r w:rsidRPr="00FE55E8">
        <w:rPr>
          <w:sz w:val="28"/>
          <w:szCs w:val="28"/>
        </w:rPr>
        <w:tab/>
      </w:r>
      <w:r w:rsidRPr="00FE55E8">
        <w:rPr>
          <w:sz w:val="28"/>
          <w:szCs w:val="28"/>
        </w:rPr>
        <w:tab/>
      </w:r>
      <w:r w:rsidRPr="00FE55E8">
        <w:rPr>
          <w:sz w:val="28"/>
          <w:szCs w:val="28"/>
        </w:rPr>
        <w:tab/>
      </w:r>
      <w:r w:rsidRPr="00FE55E8">
        <w:rPr>
          <w:sz w:val="28"/>
          <w:szCs w:val="28"/>
        </w:rPr>
        <w:tab/>
      </w:r>
      <w:proofErr w:type="spellStart"/>
      <w:r w:rsidR="00344B73" w:rsidRPr="00FE55E8">
        <w:rPr>
          <w:sz w:val="28"/>
          <w:szCs w:val="28"/>
        </w:rPr>
        <w:t>D.Pavļuts</w:t>
      </w:r>
      <w:proofErr w:type="spellEnd"/>
    </w:p>
    <w:bookmarkEnd w:id="0"/>
    <w:p w14:paraId="1C26A906" w14:textId="77777777" w:rsidR="00DF461F" w:rsidRPr="00FE55E8" w:rsidRDefault="00DF461F" w:rsidP="00DF461F">
      <w:pPr>
        <w:tabs>
          <w:tab w:val="left" w:pos="6237"/>
        </w:tabs>
        <w:ind w:firstLine="720"/>
        <w:rPr>
          <w:rFonts w:eastAsiaTheme="minorHAnsi"/>
          <w:sz w:val="28"/>
          <w:szCs w:val="28"/>
        </w:rPr>
      </w:pPr>
      <w:r w:rsidRPr="00FE55E8">
        <w:rPr>
          <w:sz w:val="28"/>
          <w:szCs w:val="28"/>
        </w:rPr>
        <w:tab/>
      </w:r>
    </w:p>
    <w:p w14:paraId="300343AB" w14:textId="33153FEB" w:rsidR="00155578" w:rsidRPr="00FE55E8" w:rsidRDefault="00DF461F" w:rsidP="00DF461F">
      <w:pPr>
        <w:pStyle w:val="NormalWeb"/>
        <w:spacing w:before="0" w:beforeAutospacing="0" w:after="0" w:afterAutospacing="0"/>
        <w:rPr>
          <w:sz w:val="20"/>
          <w:szCs w:val="20"/>
        </w:rPr>
      </w:pPr>
      <w:r w:rsidRPr="00FE55E8">
        <w:rPr>
          <w:rFonts w:eastAsia="Calibri"/>
          <w:color w:val="000000" w:themeColor="text1"/>
          <w:sz w:val="28"/>
          <w:szCs w:val="28"/>
        </w:rPr>
        <w:t>Vīza: Valsts sekretār</w:t>
      </w:r>
      <w:r w:rsidR="00340618" w:rsidRPr="00FE55E8">
        <w:rPr>
          <w:rFonts w:eastAsia="Calibri"/>
          <w:color w:val="000000" w:themeColor="text1"/>
          <w:sz w:val="28"/>
          <w:szCs w:val="28"/>
        </w:rPr>
        <w:t>e</w:t>
      </w:r>
      <w:r w:rsidR="00340618" w:rsidRPr="00FE55E8">
        <w:rPr>
          <w:rFonts w:eastAsia="Calibri"/>
          <w:color w:val="000000" w:themeColor="text1"/>
          <w:sz w:val="28"/>
          <w:szCs w:val="28"/>
        </w:rPr>
        <w:tab/>
      </w:r>
      <w:r w:rsidRPr="00FE55E8">
        <w:rPr>
          <w:rFonts w:eastAsia="Calibri"/>
          <w:color w:val="000000" w:themeColor="text1"/>
          <w:sz w:val="28"/>
          <w:szCs w:val="28"/>
        </w:rPr>
        <w:tab/>
      </w:r>
      <w:r w:rsidRPr="00FE55E8">
        <w:rPr>
          <w:rFonts w:eastAsia="Calibri"/>
          <w:color w:val="000000" w:themeColor="text1"/>
          <w:sz w:val="28"/>
          <w:szCs w:val="28"/>
        </w:rPr>
        <w:tab/>
      </w:r>
      <w:r w:rsidRPr="00FE55E8">
        <w:rPr>
          <w:rFonts w:eastAsia="Calibri"/>
          <w:color w:val="000000" w:themeColor="text1"/>
          <w:sz w:val="28"/>
          <w:szCs w:val="28"/>
        </w:rPr>
        <w:tab/>
      </w:r>
      <w:r w:rsidRPr="00FE55E8">
        <w:rPr>
          <w:rFonts w:eastAsia="Calibri"/>
          <w:color w:val="000000" w:themeColor="text1"/>
          <w:sz w:val="28"/>
          <w:szCs w:val="28"/>
        </w:rPr>
        <w:tab/>
      </w:r>
      <w:proofErr w:type="spellStart"/>
      <w:r w:rsidR="009F0D89" w:rsidRPr="00FE55E8">
        <w:rPr>
          <w:rFonts w:eastAsia="Calibri"/>
          <w:color w:val="000000" w:themeColor="text1"/>
          <w:sz w:val="28"/>
          <w:szCs w:val="28"/>
        </w:rPr>
        <w:t>I.Dreika</w:t>
      </w:r>
      <w:proofErr w:type="spellEnd"/>
    </w:p>
    <w:p w14:paraId="46E5F681" w14:textId="77777777" w:rsidR="00B6729B" w:rsidRPr="00FE55E8" w:rsidRDefault="00B6729B" w:rsidP="00155578">
      <w:pPr>
        <w:pStyle w:val="NormalWeb"/>
        <w:spacing w:before="0" w:beforeAutospacing="0" w:after="0" w:afterAutospacing="0"/>
      </w:pPr>
    </w:p>
    <w:p w14:paraId="7F2E88CD" w14:textId="7DBB9FDD" w:rsidR="00155578" w:rsidRPr="00FE55E8" w:rsidRDefault="00AF69C9" w:rsidP="00155578">
      <w:pPr>
        <w:pStyle w:val="NormalWeb"/>
        <w:spacing w:before="0" w:beforeAutospacing="0" w:after="0" w:afterAutospacing="0"/>
      </w:pPr>
      <w:r w:rsidRPr="00FE55E8">
        <w:t>Belovs</w:t>
      </w:r>
      <w:r w:rsidR="00155578" w:rsidRPr="00FE55E8">
        <w:t xml:space="preserve"> 67876</w:t>
      </w:r>
      <w:r w:rsidR="00470506" w:rsidRPr="00FE55E8">
        <w:t>0</w:t>
      </w:r>
      <w:r w:rsidRPr="00FE55E8">
        <w:t>05</w:t>
      </w:r>
    </w:p>
    <w:p w14:paraId="37432DCA" w14:textId="4A1F61D8" w:rsidR="00E465CE" w:rsidRDefault="00B45ED1">
      <w:pPr>
        <w:pStyle w:val="NormalWeb"/>
        <w:spacing w:before="0" w:beforeAutospacing="0" w:after="0" w:afterAutospacing="0"/>
      </w:pPr>
      <w:hyperlink r:id="rId8" w:history="1">
        <w:r w:rsidR="00AF69C9" w:rsidRPr="00FE55E8">
          <w:rPr>
            <w:rStyle w:val="Hyperlink"/>
          </w:rPr>
          <w:t>igors.belovs@vm.gov.lv</w:t>
        </w:r>
      </w:hyperlink>
    </w:p>
    <w:sectPr w:rsidR="00E465CE"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CC12" w14:textId="77777777" w:rsidR="00EE6069" w:rsidRDefault="00EE6069" w:rsidP="00894C55">
      <w:r>
        <w:separator/>
      </w:r>
    </w:p>
  </w:endnote>
  <w:endnote w:type="continuationSeparator" w:id="0">
    <w:p w14:paraId="6CFC23BD" w14:textId="77777777" w:rsidR="00EE6069" w:rsidRDefault="00EE60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B7CE" w14:textId="77777777" w:rsidR="00B45ED1" w:rsidRDefault="00B45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74B175ED" w:rsidR="0017000F" w:rsidRPr="00AF69C9" w:rsidRDefault="0017000F" w:rsidP="00B45ED1">
    <w:pPr>
      <w:pStyle w:val="Footer"/>
      <w:tabs>
        <w:tab w:val="clear" w:pos="4153"/>
        <w:tab w:val="clear" w:pos="8306"/>
        <w:tab w:val="left" w:pos="3300"/>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w:t>
    </w:r>
    <w:r w:rsidR="00B45ED1">
      <w:rPr>
        <w:rFonts w:ascii="Times New Roman" w:hAnsi="Times New Roman" w:cs="Times New Roman"/>
        <w:noProof/>
        <w:sz w:val="20"/>
        <w:szCs w:val="20"/>
      </w:rPr>
      <w:t>0107</w:t>
    </w:r>
    <w:r>
      <w:rPr>
        <w:rFonts w:ascii="Times New Roman" w:hAnsi="Times New Roman" w:cs="Times New Roman"/>
        <w:noProof/>
        <w:sz w:val="20"/>
        <w:szCs w:val="20"/>
      </w:rPr>
      <w:t>21_groz_247</w:t>
    </w:r>
    <w:r>
      <w:rPr>
        <w:rFonts w:ascii="Times New Roman" w:hAnsi="Times New Roman" w:cs="Times New Roman"/>
        <w:sz w:val="20"/>
        <w:szCs w:val="20"/>
      </w:rPr>
      <w:fldChar w:fldCharType="end"/>
    </w:r>
    <w:r w:rsidR="00B45ED1">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0FDABD80" w:rsidR="0017000F" w:rsidRPr="00AF69C9" w:rsidRDefault="0017000F"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w:t>
    </w:r>
    <w:r w:rsidR="00B45ED1">
      <w:rPr>
        <w:rFonts w:ascii="Times New Roman" w:hAnsi="Times New Roman" w:cs="Times New Roman"/>
        <w:noProof/>
        <w:sz w:val="20"/>
        <w:szCs w:val="20"/>
      </w:rPr>
      <w:t>0107</w:t>
    </w:r>
    <w:r>
      <w:rPr>
        <w:rFonts w:ascii="Times New Roman" w:hAnsi="Times New Roman" w:cs="Times New Roman"/>
        <w:noProof/>
        <w:sz w:val="20"/>
        <w:szCs w:val="20"/>
      </w:rPr>
      <w:t>21_groz_247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D0BC" w14:textId="77777777" w:rsidR="00EE6069" w:rsidRDefault="00EE6069" w:rsidP="00894C55">
      <w:r>
        <w:separator/>
      </w:r>
    </w:p>
  </w:footnote>
  <w:footnote w:type="continuationSeparator" w:id="0">
    <w:p w14:paraId="5720C987" w14:textId="77777777" w:rsidR="00EE6069" w:rsidRDefault="00EE60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4925" w14:textId="77777777" w:rsidR="00B45ED1" w:rsidRDefault="00B45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E61538" w14:textId="6819EBA9" w:rsidR="0017000F" w:rsidRPr="00BA5778" w:rsidRDefault="0017000F" w:rsidP="00536C44">
        <w:pPr>
          <w:pStyle w:val="Header"/>
          <w:jc w:val="center"/>
          <w:rPr>
            <w:rFonts w:ascii="Times New Roman" w:hAnsi="Times New Roman"/>
            <w:sz w:val="28"/>
            <w:szCs w:val="28"/>
          </w:rPr>
        </w:pPr>
      </w:p>
      <w:p w14:paraId="32E696C2" w14:textId="5FC8DBBC" w:rsidR="0017000F" w:rsidRPr="00C25B49" w:rsidRDefault="001700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2AB2" w14:textId="77777777" w:rsidR="00B45ED1" w:rsidRDefault="00B4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5A7"/>
    <w:multiLevelType w:val="hybridMultilevel"/>
    <w:tmpl w:val="DE841056"/>
    <w:lvl w:ilvl="0" w:tplc="1E6A33E2">
      <w:start w:val="1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FB653F"/>
    <w:multiLevelType w:val="hybridMultilevel"/>
    <w:tmpl w:val="BD46AB82"/>
    <w:lvl w:ilvl="0" w:tplc="1B7A89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390E2F"/>
    <w:multiLevelType w:val="hybridMultilevel"/>
    <w:tmpl w:val="136EE570"/>
    <w:lvl w:ilvl="0" w:tplc="81226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08A17DC"/>
    <w:multiLevelType w:val="hybridMultilevel"/>
    <w:tmpl w:val="EAB81C10"/>
    <w:lvl w:ilvl="0" w:tplc="A77A8F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7"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DC6C36"/>
    <w:multiLevelType w:val="hybridMultilevel"/>
    <w:tmpl w:val="1EA29D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1"/>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65"/>
    <w:rsid w:val="000066AF"/>
    <w:rsid w:val="000066F5"/>
    <w:rsid w:val="0000729D"/>
    <w:rsid w:val="00010109"/>
    <w:rsid w:val="00011B59"/>
    <w:rsid w:val="00012055"/>
    <w:rsid w:val="000140B8"/>
    <w:rsid w:val="00015508"/>
    <w:rsid w:val="000179BB"/>
    <w:rsid w:val="0002126E"/>
    <w:rsid w:val="00021774"/>
    <w:rsid w:val="00023E6A"/>
    <w:rsid w:val="00030D5A"/>
    <w:rsid w:val="00031925"/>
    <w:rsid w:val="00035CD5"/>
    <w:rsid w:val="00035E6E"/>
    <w:rsid w:val="00037257"/>
    <w:rsid w:val="00037B1E"/>
    <w:rsid w:val="00037CA6"/>
    <w:rsid w:val="0004022B"/>
    <w:rsid w:val="00041BCC"/>
    <w:rsid w:val="0004685C"/>
    <w:rsid w:val="00047FF1"/>
    <w:rsid w:val="00050143"/>
    <w:rsid w:val="00051EE3"/>
    <w:rsid w:val="00052526"/>
    <w:rsid w:val="00055704"/>
    <w:rsid w:val="00060509"/>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1AE"/>
    <w:rsid w:val="000A4A1E"/>
    <w:rsid w:val="000A7DB5"/>
    <w:rsid w:val="000B0AED"/>
    <w:rsid w:val="000B0F4A"/>
    <w:rsid w:val="000B32B9"/>
    <w:rsid w:val="000B54FA"/>
    <w:rsid w:val="000C16C7"/>
    <w:rsid w:val="000C4480"/>
    <w:rsid w:val="000C568F"/>
    <w:rsid w:val="000C7E9B"/>
    <w:rsid w:val="000D04E5"/>
    <w:rsid w:val="000D069C"/>
    <w:rsid w:val="000D26B7"/>
    <w:rsid w:val="000D3254"/>
    <w:rsid w:val="000D4B04"/>
    <w:rsid w:val="000D7BBA"/>
    <w:rsid w:val="000E0D22"/>
    <w:rsid w:val="000E6028"/>
    <w:rsid w:val="000E6A4B"/>
    <w:rsid w:val="000E6D72"/>
    <w:rsid w:val="000F01C5"/>
    <w:rsid w:val="000F458A"/>
    <w:rsid w:val="000F470B"/>
    <w:rsid w:val="001001E8"/>
    <w:rsid w:val="0011229A"/>
    <w:rsid w:val="00113381"/>
    <w:rsid w:val="00114A05"/>
    <w:rsid w:val="001154B8"/>
    <w:rsid w:val="00116F95"/>
    <w:rsid w:val="00124FA9"/>
    <w:rsid w:val="00127069"/>
    <w:rsid w:val="00130487"/>
    <w:rsid w:val="00133502"/>
    <w:rsid w:val="00133FF1"/>
    <w:rsid w:val="001360AF"/>
    <w:rsid w:val="00136376"/>
    <w:rsid w:val="001364E9"/>
    <w:rsid w:val="00140644"/>
    <w:rsid w:val="00141039"/>
    <w:rsid w:val="001412C1"/>
    <w:rsid w:val="001416FE"/>
    <w:rsid w:val="0014584E"/>
    <w:rsid w:val="00146F65"/>
    <w:rsid w:val="0015016B"/>
    <w:rsid w:val="001507E7"/>
    <w:rsid w:val="0015188C"/>
    <w:rsid w:val="00152501"/>
    <w:rsid w:val="001525D7"/>
    <w:rsid w:val="00154A6D"/>
    <w:rsid w:val="00155578"/>
    <w:rsid w:val="00157405"/>
    <w:rsid w:val="00162996"/>
    <w:rsid w:val="001650D3"/>
    <w:rsid w:val="00165A7E"/>
    <w:rsid w:val="0017000F"/>
    <w:rsid w:val="0017373E"/>
    <w:rsid w:val="00174225"/>
    <w:rsid w:val="00177A29"/>
    <w:rsid w:val="001834A1"/>
    <w:rsid w:val="0018516A"/>
    <w:rsid w:val="0019349E"/>
    <w:rsid w:val="001A2778"/>
    <w:rsid w:val="001A5587"/>
    <w:rsid w:val="001A559D"/>
    <w:rsid w:val="001A5818"/>
    <w:rsid w:val="001A6129"/>
    <w:rsid w:val="001A7F37"/>
    <w:rsid w:val="001B6C59"/>
    <w:rsid w:val="001C2F68"/>
    <w:rsid w:val="001C4251"/>
    <w:rsid w:val="001C4FAF"/>
    <w:rsid w:val="001C5360"/>
    <w:rsid w:val="001C5440"/>
    <w:rsid w:val="001C768D"/>
    <w:rsid w:val="001C797C"/>
    <w:rsid w:val="001C7E53"/>
    <w:rsid w:val="001D0301"/>
    <w:rsid w:val="001D0F46"/>
    <w:rsid w:val="001D4B02"/>
    <w:rsid w:val="001D5E4E"/>
    <w:rsid w:val="001D66EB"/>
    <w:rsid w:val="001D723F"/>
    <w:rsid w:val="001E37ED"/>
    <w:rsid w:val="001E7774"/>
    <w:rsid w:val="001E7EAF"/>
    <w:rsid w:val="001F0653"/>
    <w:rsid w:val="001F0CB6"/>
    <w:rsid w:val="001F1B21"/>
    <w:rsid w:val="001F3932"/>
    <w:rsid w:val="001F4EA3"/>
    <w:rsid w:val="001F6AC3"/>
    <w:rsid w:val="002019D8"/>
    <w:rsid w:val="002074A4"/>
    <w:rsid w:val="002119C3"/>
    <w:rsid w:val="0021692B"/>
    <w:rsid w:val="00220B1B"/>
    <w:rsid w:val="00221B13"/>
    <w:rsid w:val="00223CED"/>
    <w:rsid w:val="0022453A"/>
    <w:rsid w:val="00230446"/>
    <w:rsid w:val="00230841"/>
    <w:rsid w:val="0023168A"/>
    <w:rsid w:val="00232316"/>
    <w:rsid w:val="00235072"/>
    <w:rsid w:val="002355FE"/>
    <w:rsid w:val="00236D71"/>
    <w:rsid w:val="0024076E"/>
    <w:rsid w:val="00243426"/>
    <w:rsid w:val="00246448"/>
    <w:rsid w:val="002549F5"/>
    <w:rsid w:val="00256091"/>
    <w:rsid w:val="00256B6E"/>
    <w:rsid w:val="002702EA"/>
    <w:rsid w:val="0027706F"/>
    <w:rsid w:val="00282312"/>
    <w:rsid w:val="002834FB"/>
    <w:rsid w:val="00284852"/>
    <w:rsid w:val="00284C2D"/>
    <w:rsid w:val="0028659C"/>
    <w:rsid w:val="00287A59"/>
    <w:rsid w:val="00293399"/>
    <w:rsid w:val="002948BA"/>
    <w:rsid w:val="00294C24"/>
    <w:rsid w:val="002971E2"/>
    <w:rsid w:val="002A1225"/>
    <w:rsid w:val="002A217A"/>
    <w:rsid w:val="002A5E5F"/>
    <w:rsid w:val="002A7A18"/>
    <w:rsid w:val="002B2E76"/>
    <w:rsid w:val="002B544F"/>
    <w:rsid w:val="002B6C5A"/>
    <w:rsid w:val="002C1F22"/>
    <w:rsid w:val="002C6CE2"/>
    <w:rsid w:val="002C75B1"/>
    <w:rsid w:val="002D1E95"/>
    <w:rsid w:val="002D3B06"/>
    <w:rsid w:val="002D3F58"/>
    <w:rsid w:val="002E1C05"/>
    <w:rsid w:val="002E384B"/>
    <w:rsid w:val="002E6CE7"/>
    <w:rsid w:val="002F2DDA"/>
    <w:rsid w:val="002F32CD"/>
    <w:rsid w:val="002F4A30"/>
    <w:rsid w:val="002F4F43"/>
    <w:rsid w:val="002F7B64"/>
    <w:rsid w:val="00303246"/>
    <w:rsid w:val="003102E6"/>
    <w:rsid w:val="00312097"/>
    <w:rsid w:val="00312466"/>
    <w:rsid w:val="00313AD3"/>
    <w:rsid w:val="003142B7"/>
    <w:rsid w:val="0031451C"/>
    <w:rsid w:val="00317A20"/>
    <w:rsid w:val="00320014"/>
    <w:rsid w:val="003205CD"/>
    <w:rsid w:val="003226A1"/>
    <w:rsid w:val="003243B6"/>
    <w:rsid w:val="0033371C"/>
    <w:rsid w:val="00334745"/>
    <w:rsid w:val="00335899"/>
    <w:rsid w:val="00340618"/>
    <w:rsid w:val="00340F13"/>
    <w:rsid w:val="00341D70"/>
    <w:rsid w:val="00344B73"/>
    <w:rsid w:val="00350806"/>
    <w:rsid w:val="00351669"/>
    <w:rsid w:val="003605E4"/>
    <w:rsid w:val="00360972"/>
    <w:rsid w:val="00361916"/>
    <w:rsid w:val="00362642"/>
    <w:rsid w:val="00362E82"/>
    <w:rsid w:val="003652EC"/>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0A28"/>
    <w:rsid w:val="003D23E3"/>
    <w:rsid w:val="003D3453"/>
    <w:rsid w:val="003D4330"/>
    <w:rsid w:val="003D6DD6"/>
    <w:rsid w:val="003E0791"/>
    <w:rsid w:val="003E0FF4"/>
    <w:rsid w:val="003E4147"/>
    <w:rsid w:val="003F1F2D"/>
    <w:rsid w:val="003F28AC"/>
    <w:rsid w:val="003F66CA"/>
    <w:rsid w:val="00401F30"/>
    <w:rsid w:val="00403A2F"/>
    <w:rsid w:val="00406416"/>
    <w:rsid w:val="004115D1"/>
    <w:rsid w:val="00414F58"/>
    <w:rsid w:val="004150E1"/>
    <w:rsid w:val="00416490"/>
    <w:rsid w:val="0041654D"/>
    <w:rsid w:val="004171EE"/>
    <w:rsid w:val="00417A7A"/>
    <w:rsid w:val="00420133"/>
    <w:rsid w:val="00421EB1"/>
    <w:rsid w:val="0043006E"/>
    <w:rsid w:val="00431C39"/>
    <w:rsid w:val="00431DAF"/>
    <w:rsid w:val="004329FC"/>
    <w:rsid w:val="0043377F"/>
    <w:rsid w:val="00434D1C"/>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309D"/>
    <w:rsid w:val="00485E78"/>
    <w:rsid w:val="0048753C"/>
    <w:rsid w:val="004875DD"/>
    <w:rsid w:val="004923A9"/>
    <w:rsid w:val="00493BF2"/>
    <w:rsid w:val="00494F80"/>
    <w:rsid w:val="00495760"/>
    <w:rsid w:val="0049601C"/>
    <w:rsid w:val="004963DB"/>
    <w:rsid w:val="004B15B6"/>
    <w:rsid w:val="004B5A63"/>
    <w:rsid w:val="004B7D07"/>
    <w:rsid w:val="004C09A5"/>
    <w:rsid w:val="004C1FE7"/>
    <w:rsid w:val="004C44A1"/>
    <w:rsid w:val="004D2294"/>
    <w:rsid w:val="004D6991"/>
    <w:rsid w:val="004D7640"/>
    <w:rsid w:val="004D7C7F"/>
    <w:rsid w:val="004E0175"/>
    <w:rsid w:val="004E1BA2"/>
    <w:rsid w:val="004E282B"/>
    <w:rsid w:val="004E29AE"/>
    <w:rsid w:val="004E734B"/>
    <w:rsid w:val="004F0343"/>
    <w:rsid w:val="004F48C7"/>
    <w:rsid w:val="004F7DEC"/>
    <w:rsid w:val="0050150D"/>
    <w:rsid w:val="0050178F"/>
    <w:rsid w:val="00502D97"/>
    <w:rsid w:val="00503281"/>
    <w:rsid w:val="00504A65"/>
    <w:rsid w:val="005109D3"/>
    <w:rsid w:val="005169EA"/>
    <w:rsid w:val="0052046E"/>
    <w:rsid w:val="00520FE1"/>
    <w:rsid w:val="005242EC"/>
    <w:rsid w:val="00526ADC"/>
    <w:rsid w:val="00526E2C"/>
    <w:rsid w:val="00527D8B"/>
    <w:rsid w:val="00527F00"/>
    <w:rsid w:val="00533206"/>
    <w:rsid w:val="005349F0"/>
    <w:rsid w:val="00534E5E"/>
    <w:rsid w:val="00535C88"/>
    <w:rsid w:val="00536C44"/>
    <w:rsid w:val="00541371"/>
    <w:rsid w:val="005534E6"/>
    <w:rsid w:val="00553E16"/>
    <w:rsid w:val="005609D6"/>
    <w:rsid w:val="00564C6B"/>
    <w:rsid w:val="0056696D"/>
    <w:rsid w:val="00566AD6"/>
    <w:rsid w:val="005728A3"/>
    <w:rsid w:val="00577052"/>
    <w:rsid w:val="00577E5A"/>
    <w:rsid w:val="005805C4"/>
    <w:rsid w:val="00580732"/>
    <w:rsid w:val="005826B6"/>
    <w:rsid w:val="005856D9"/>
    <w:rsid w:val="00592966"/>
    <w:rsid w:val="00594B91"/>
    <w:rsid w:val="005956D5"/>
    <w:rsid w:val="005972FC"/>
    <w:rsid w:val="005A4C76"/>
    <w:rsid w:val="005A64B5"/>
    <w:rsid w:val="005B1660"/>
    <w:rsid w:val="005B6A4C"/>
    <w:rsid w:val="005C26DA"/>
    <w:rsid w:val="005C5A84"/>
    <w:rsid w:val="005D34DD"/>
    <w:rsid w:val="005D54F2"/>
    <w:rsid w:val="005D6386"/>
    <w:rsid w:val="005D68A5"/>
    <w:rsid w:val="005E25B2"/>
    <w:rsid w:val="005E5FFC"/>
    <w:rsid w:val="005F0566"/>
    <w:rsid w:val="005F4FE2"/>
    <w:rsid w:val="005F7BA4"/>
    <w:rsid w:val="00600901"/>
    <w:rsid w:val="00601CF7"/>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6492"/>
    <w:rsid w:val="0065758B"/>
    <w:rsid w:val="006620AD"/>
    <w:rsid w:val="00663AF4"/>
    <w:rsid w:val="0066441B"/>
    <w:rsid w:val="00665761"/>
    <w:rsid w:val="0066594E"/>
    <w:rsid w:val="0066749E"/>
    <w:rsid w:val="00672B20"/>
    <w:rsid w:val="0067466F"/>
    <w:rsid w:val="00680A3B"/>
    <w:rsid w:val="00681F74"/>
    <w:rsid w:val="00682356"/>
    <w:rsid w:val="006828BD"/>
    <w:rsid w:val="006842C0"/>
    <w:rsid w:val="00685E0B"/>
    <w:rsid w:val="006936E5"/>
    <w:rsid w:val="006A31D0"/>
    <w:rsid w:val="006A3331"/>
    <w:rsid w:val="006A3B84"/>
    <w:rsid w:val="006A479C"/>
    <w:rsid w:val="006A4B9B"/>
    <w:rsid w:val="006A4BF8"/>
    <w:rsid w:val="006A5A9B"/>
    <w:rsid w:val="006A5AFA"/>
    <w:rsid w:val="006A5DEF"/>
    <w:rsid w:val="006B0C6A"/>
    <w:rsid w:val="006B221B"/>
    <w:rsid w:val="006B490A"/>
    <w:rsid w:val="006C0EB5"/>
    <w:rsid w:val="006C12A6"/>
    <w:rsid w:val="006C2182"/>
    <w:rsid w:val="006C219D"/>
    <w:rsid w:val="006C2DFF"/>
    <w:rsid w:val="006C56FC"/>
    <w:rsid w:val="006C7AE7"/>
    <w:rsid w:val="006D12DB"/>
    <w:rsid w:val="006D2DEB"/>
    <w:rsid w:val="006D3FE3"/>
    <w:rsid w:val="006D4250"/>
    <w:rsid w:val="006E0366"/>
    <w:rsid w:val="006E1081"/>
    <w:rsid w:val="006E4F13"/>
    <w:rsid w:val="006E537D"/>
    <w:rsid w:val="006E587D"/>
    <w:rsid w:val="006E71F7"/>
    <w:rsid w:val="006F09C2"/>
    <w:rsid w:val="006F0FC6"/>
    <w:rsid w:val="006F193F"/>
    <w:rsid w:val="006F20CD"/>
    <w:rsid w:val="006F265C"/>
    <w:rsid w:val="006F4690"/>
    <w:rsid w:val="006F56B9"/>
    <w:rsid w:val="00700907"/>
    <w:rsid w:val="00701AC4"/>
    <w:rsid w:val="00702CFD"/>
    <w:rsid w:val="00706417"/>
    <w:rsid w:val="00707161"/>
    <w:rsid w:val="00711F72"/>
    <w:rsid w:val="00714300"/>
    <w:rsid w:val="00715106"/>
    <w:rsid w:val="007166F1"/>
    <w:rsid w:val="00717FAF"/>
    <w:rsid w:val="00720585"/>
    <w:rsid w:val="00720987"/>
    <w:rsid w:val="0072127C"/>
    <w:rsid w:val="00726660"/>
    <w:rsid w:val="007272A8"/>
    <w:rsid w:val="00727895"/>
    <w:rsid w:val="0073369E"/>
    <w:rsid w:val="00735298"/>
    <w:rsid w:val="00740D0B"/>
    <w:rsid w:val="00740EEA"/>
    <w:rsid w:val="00742254"/>
    <w:rsid w:val="00742F60"/>
    <w:rsid w:val="007441D5"/>
    <w:rsid w:val="00745EE2"/>
    <w:rsid w:val="00746399"/>
    <w:rsid w:val="0074680C"/>
    <w:rsid w:val="00750D89"/>
    <w:rsid w:val="00751927"/>
    <w:rsid w:val="00753685"/>
    <w:rsid w:val="00757346"/>
    <w:rsid w:val="007606BC"/>
    <w:rsid w:val="007606BD"/>
    <w:rsid w:val="007614B1"/>
    <w:rsid w:val="007644AC"/>
    <w:rsid w:val="00765B2E"/>
    <w:rsid w:val="0076636F"/>
    <w:rsid w:val="00766BFA"/>
    <w:rsid w:val="00773AF6"/>
    <w:rsid w:val="00773EC6"/>
    <w:rsid w:val="00776EE7"/>
    <w:rsid w:val="00777DA2"/>
    <w:rsid w:val="00780184"/>
    <w:rsid w:val="00781317"/>
    <w:rsid w:val="00781D27"/>
    <w:rsid w:val="00782C47"/>
    <w:rsid w:val="00783617"/>
    <w:rsid w:val="0078647F"/>
    <w:rsid w:val="007864E5"/>
    <w:rsid w:val="0079260F"/>
    <w:rsid w:val="00793180"/>
    <w:rsid w:val="00795DD0"/>
    <w:rsid w:val="00795F71"/>
    <w:rsid w:val="007A0DA7"/>
    <w:rsid w:val="007A3F62"/>
    <w:rsid w:val="007A5119"/>
    <w:rsid w:val="007A7695"/>
    <w:rsid w:val="007A7826"/>
    <w:rsid w:val="007B1C39"/>
    <w:rsid w:val="007B1D31"/>
    <w:rsid w:val="007B24E0"/>
    <w:rsid w:val="007B3917"/>
    <w:rsid w:val="007B3A0F"/>
    <w:rsid w:val="007B4E09"/>
    <w:rsid w:val="007B79F5"/>
    <w:rsid w:val="007B7A0E"/>
    <w:rsid w:val="007C3D1F"/>
    <w:rsid w:val="007D632A"/>
    <w:rsid w:val="007D695F"/>
    <w:rsid w:val="007D6D57"/>
    <w:rsid w:val="007E06B4"/>
    <w:rsid w:val="007E1E08"/>
    <w:rsid w:val="007E2463"/>
    <w:rsid w:val="007E3BCE"/>
    <w:rsid w:val="007E4DF3"/>
    <w:rsid w:val="007E5F7A"/>
    <w:rsid w:val="007E6AAA"/>
    <w:rsid w:val="007E6AD3"/>
    <w:rsid w:val="007E73AB"/>
    <w:rsid w:val="007F1797"/>
    <w:rsid w:val="007F29F6"/>
    <w:rsid w:val="007F2EF9"/>
    <w:rsid w:val="007F6F87"/>
    <w:rsid w:val="007F7D5A"/>
    <w:rsid w:val="008026A5"/>
    <w:rsid w:val="00804DE2"/>
    <w:rsid w:val="0080508B"/>
    <w:rsid w:val="008055ED"/>
    <w:rsid w:val="00805F4C"/>
    <w:rsid w:val="00807CCA"/>
    <w:rsid w:val="00811F73"/>
    <w:rsid w:val="008127C3"/>
    <w:rsid w:val="00812A38"/>
    <w:rsid w:val="00815106"/>
    <w:rsid w:val="008155C8"/>
    <w:rsid w:val="00816479"/>
    <w:rsid w:val="00816830"/>
    <w:rsid w:val="008168AC"/>
    <w:rsid w:val="00816C11"/>
    <w:rsid w:val="00817B91"/>
    <w:rsid w:val="00822C45"/>
    <w:rsid w:val="00824A17"/>
    <w:rsid w:val="008256CB"/>
    <w:rsid w:val="00830B14"/>
    <w:rsid w:val="00831629"/>
    <w:rsid w:val="00837620"/>
    <w:rsid w:val="008377DD"/>
    <w:rsid w:val="00840EE9"/>
    <w:rsid w:val="00841E3C"/>
    <w:rsid w:val="00842113"/>
    <w:rsid w:val="00842AD1"/>
    <w:rsid w:val="00844021"/>
    <w:rsid w:val="00845591"/>
    <w:rsid w:val="00845F7A"/>
    <w:rsid w:val="008470F2"/>
    <w:rsid w:val="00851D8B"/>
    <w:rsid w:val="00852F24"/>
    <w:rsid w:val="0085587F"/>
    <w:rsid w:val="0085714D"/>
    <w:rsid w:val="00860032"/>
    <w:rsid w:val="00861998"/>
    <w:rsid w:val="00863DCA"/>
    <w:rsid w:val="00867737"/>
    <w:rsid w:val="00873D19"/>
    <w:rsid w:val="00874A6E"/>
    <w:rsid w:val="00875194"/>
    <w:rsid w:val="0087595E"/>
    <w:rsid w:val="00875A9D"/>
    <w:rsid w:val="00877646"/>
    <w:rsid w:val="0087780A"/>
    <w:rsid w:val="00880941"/>
    <w:rsid w:val="00883B2D"/>
    <w:rsid w:val="0088607B"/>
    <w:rsid w:val="008870FC"/>
    <w:rsid w:val="00891AF0"/>
    <w:rsid w:val="00891CFD"/>
    <w:rsid w:val="00892AA6"/>
    <w:rsid w:val="00893D5C"/>
    <w:rsid w:val="008947F1"/>
    <w:rsid w:val="00894C55"/>
    <w:rsid w:val="008954E8"/>
    <w:rsid w:val="00896510"/>
    <w:rsid w:val="00896A9B"/>
    <w:rsid w:val="00896B28"/>
    <w:rsid w:val="008A66C9"/>
    <w:rsid w:val="008A6921"/>
    <w:rsid w:val="008B37B7"/>
    <w:rsid w:val="008B6A13"/>
    <w:rsid w:val="008B7B38"/>
    <w:rsid w:val="008C1794"/>
    <w:rsid w:val="008C2003"/>
    <w:rsid w:val="008C563B"/>
    <w:rsid w:val="008C7A4F"/>
    <w:rsid w:val="008C7E5C"/>
    <w:rsid w:val="008D16B8"/>
    <w:rsid w:val="008D1B67"/>
    <w:rsid w:val="008D372B"/>
    <w:rsid w:val="008E09D7"/>
    <w:rsid w:val="008E4FC1"/>
    <w:rsid w:val="008E61BF"/>
    <w:rsid w:val="008F504A"/>
    <w:rsid w:val="008F5220"/>
    <w:rsid w:val="008F746D"/>
    <w:rsid w:val="0090017B"/>
    <w:rsid w:val="00900815"/>
    <w:rsid w:val="00902944"/>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5D69"/>
    <w:rsid w:val="00947033"/>
    <w:rsid w:val="009505DA"/>
    <w:rsid w:val="00950BF1"/>
    <w:rsid w:val="00950DF4"/>
    <w:rsid w:val="00952108"/>
    <w:rsid w:val="00952FE1"/>
    <w:rsid w:val="0095302A"/>
    <w:rsid w:val="009547D2"/>
    <w:rsid w:val="0096085E"/>
    <w:rsid w:val="00960937"/>
    <w:rsid w:val="009644BB"/>
    <w:rsid w:val="00964ED7"/>
    <w:rsid w:val="00965502"/>
    <w:rsid w:val="00966B5F"/>
    <w:rsid w:val="00966DEF"/>
    <w:rsid w:val="00972E35"/>
    <w:rsid w:val="009740EA"/>
    <w:rsid w:val="009741D2"/>
    <w:rsid w:val="00985FA7"/>
    <w:rsid w:val="00986BC6"/>
    <w:rsid w:val="009870A7"/>
    <w:rsid w:val="009907E2"/>
    <w:rsid w:val="009936B8"/>
    <w:rsid w:val="009A0037"/>
    <w:rsid w:val="009A0228"/>
    <w:rsid w:val="009A2654"/>
    <w:rsid w:val="009A2BEE"/>
    <w:rsid w:val="009A3221"/>
    <w:rsid w:val="009A38DD"/>
    <w:rsid w:val="009A60F2"/>
    <w:rsid w:val="009A6794"/>
    <w:rsid w:val="009B0CA2"/>
    <w:rsid w:val="009B1EC7"/>
    <w:rsid w:val="009B37C5"/>
    <w:rsid w:val="009B61EE"/>
    <w:rsid w:val="009B7770"/>
    <w:rsid w:val="009C09D8"/>
    <w:rsid w:val="009C15CF"/>
    <w:rsid w:val="009D03F9"/>
    <w:rsid w:val="009E1A8B"/>
    <w:rsid w:val="009E38B2"/>
    <w:rsid w:val="009E4547"/>
    <w:rsid w:val="009E53FF"/>
    <w:rsid w:val="009E5E3E"/>
    <w:rsid w:val="009F0D89"/>
    <w:rsid w:val="009F0F42"/>
    <w:rsid w:val="009F25E7"/>
    <w:rsid w:val="009F2D30"/>
    <w:rsid w:val="00A01B73"/>
    <w:rsid w:val="00A01DD8"/>
    <w:rsid w:val="00A0244D"/>
    <w:rsid w:val="00A03A77"/>
    <w:rsid w:val="00A07BD4"/>
    <w:rsid w:val="00A10644"/>
    <w:rsid w:val="00A10FC3"/>
    <w:rsid w:val="00A15985"/>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95410"/>
    <w:rsid w:val="00A96DA2"/>
    <w:rsid w:val="00AA1C68"/>
    <w:rsid w:val="00AA4209"/>
    <w:rsid w:val="00AA4648"/>
    <w:rsid w:val="00AA4A7B"/>
    <w:rsid w:val="00AA55ED"/>
    <w:rsid w:val="00AB35AD"/>
    <w:rsid w:val="00AB6561"/>
    <w:rsid w:val="00AB7FD2"/>
    <w:rsid w:val="00AC3D9D"/>
    <w:rsid w:val="00AC50B8"/>
    <w:rsid w:val="00AC50CF"/>
    <w:rsid w:val="00AC5884"/>
    <w:rsid w:val="00AC58B1"/>
    <w:rsid w:val="00AD0171"/>
    <w:rsid w:val="00AD2450"/>
    <w:rsid w:val="00AD259C"/>
    <w:rsid w:val="00AD42C0"/>
    <w:rsid w:val="00AD7497"/>
    <w:rsid w:val="00AE1295"/>
    <w:rsid w:val="00AE3398"/>
    <w:rsid w:val="00AE3F78"/>
    <w:rsid w:val="00AE4324"/>
    <w:rsid w:val="00AE4BD0"/>
    <w:rsid w:val="00AE52A0"/>
    <w:rsid w:val="00AE5567"/>
    <w:rsid w:val="00AE5EAE"/>
    <w:rsid w:val="00AE73AA"/>
    <w:rsid w:val="00AF0CEB"/>
    <w:rsid w:val="00AF1239"/>
    <w:rsid w:val="00AF3AB8"/>
    <w:rsid w:val="00AF3E26"/>
    <w:rsid w:val="00AF69C9"/>
    <w:rsid w:val="00AF721A"/>
    <w:rsid w:val="00AF7C42"/>
    <w:rsid w:val="00B0394E"/>
    <w:rsid w:val="00B04418"/>
    <w:rsid w:val="00B07343"/>
    <w:rsid w:val="00B1213A"/>
    <w:rsid w:val="00B130ED"/>
    <w:rsid w:val="00B15FDD"/>
    <w:rsid w:val="00B16480"/>
    <w:rsid w:val="00B2165C"/>
    <w:rsid w:val="00B22B77"/>
    <w:rsid w:val="00B24C87"/>
    <w:rsid w:val="00B25499"/>
    <w:rsid w:val="00B2576B"/>
    <w:rsid w:val="00B25BAC"/>
    <w:rsid w:val="00B2686E"/>
    <w:rsid w:val="00B3170F"/>
    <w:rsid w:val="00B31BDD"/>
    <w:rsid w:val="00B34AB7"/>
    <w:rsid w:val="00B40D44"/>
    <w:rsid w:val="00B42909"/>
    <w:rsid w:val="00B430AD"/>
    <w:rsid w:val="00B45ED1"/>
    <w:rsid w:val="00B47986"/>
    <w:rsid w:val="00B53558"/>
    <w:rsid w:val="00B543AB"/>
    <w:rsid w:val="00B5648E"/>
    <w:rsid w:val="00B622AD"/>
    <w:rsid w:val="00B6729B"/>
    <w:rsid w:val="00B67377"/>
    <w:rsid w:val="00B716E9"/>
    <w:rsid w:val="00B8149C"/>
    <w:rsid w:val="00B83DE2"/>
    <w:rsid w:val="00B83EC8"/>
    <w:rsid w:val="00B84835"/>
    <w:rsid w:val="00B868EC"/>
    <w:rsid w:val="00B91FC6"/>
    <w:rsid w:val="00B9207C"/>
    <w:rsid w:val="00B9226B"/>
    <w:rsid w:val="00B927DC"/>
    <w:rsid w:val="00B976F8"/>
    <w:rsid w:val="00BA104A"/>
    <w:rsid w:val="00BA20AA"/>
    <w:rsid w:val="00BA33EF"/>
    <w:rsid w:val="00BA49EA"/>
    <w:rsid w:val="00BA4D7E"/>
    <w:rsid w:val="00BA7BA7"/>
    <w:rsid w:val="00BB15E3"/>
    <w:rsid w:val="00BB6937"/>
    <w:rsid w:val="00BC361A"/>
    <w:rsid w:val="00BD14D9"/>
    <w:rsid w:val="00BD3A14"/>
    <w:rsid w:val="00BD3CD6"/>
    <w:rsid w:val="00BD4425"/>
    <w:rsid w:val="00BD7CBF"/>
    <w:rsid w:val="00BD7F5E"/>
    <w:rsid w:val="00BE772D"/>
    <w:rsid w:val="00BE7C51"/>
    <w:rsid w:val="00BE7DC1"/>
    <w:rsid w:val="00BF02AF"/>
    <w:rsid w:val="00BF1BF5"/>
    <w:rsid w:val="00BF2A90"/>
    <w:rsid w:val="00C0281A"/>
    <w:rsid w:val="00C02AE6"/>
    <w:rsid w:val="00C03C0C"/>
    <w:rsid w:val="00C05E15"/>
    <w:rsid w:val="00C0601F"/>
    <w:rsid w:val="00C07AF6"/>
    <w:rsid w:val="00C10270"/>
    <w:rsid w:val="00C13819"/>
    <w:rsid w:val="00C16D72"/>
    <w:rsid w:val="00C200B1"/>
    <w:rsid w:val="00C2108C"/>
    <w:rsid w:val="00C232DC"/>
    <w:rsid w:val="00C24A45"/>
    <w:rsid w:val="00C24D49"/>
    <w:rsid w:val="00C25B49"/>
    <w:rsid w:val="00C264A6"/>
    <w:rsid w:val="00C26520"/>
    <w:rsid w:val="00C30F18"/>
    <w:rsid w:val="00C30FA9"/>
    <w:rsid w:val="00C32E2E"/>
    <w:rsid w:val="00C34290"/>
    <w:rsid w:val="00C348FC"/>
    <w:rsid w:val="00C34C39"/>
    <w:rsid w:val="00C35679"/>
    <w:rsid w:val="00C35C79"/>
    <w:rsid w:val="00C36745"/>
    <w:rsid w:val="00C36EA7"/>
    <w:rsid w:val="00C42475"/>
    <w:rsid w:val="00C43873"/>
    <w:rsid w:val="00C4614E"/>
    <w:rsid w:val="00C468ED"/>
    <w:rsid w:val="00C469A0"/>
    <w:rsid w:val="00C46CB3"/>
    <w:rsid w:val="00C47037"/>
    <w:rsid w:val="00C52888"/>
    <w:rsid w:val="00C53849"/>
    <w:rsid w:val="00C5418B"/>
    <w:rsid w:val="00C55F33"/>
    <w:rsid w:val="00C56F75"/>
    <w:rsid w:val="00C605C2"/>
    <w:rsid w:val="00C66852"/>
    <w:rsid w:val="00C67084"/>
    <w:rsid w:val="00C676A2"/>
    <w:rsid w:val="00C722A3"/>
    <w:rsid w:val="00C77477"/>
    <w:rsid w:val="00C83131"/>
    <w:rsid w:val="00C8678C"/>
    <w:rsid w:val="00C87250"/>
    <w:rsid w:val="00C901C5"/>
    <w:rsid w:val="00C948DC"/>
    <w:rsid w:val="00C94AE4"/>
    <w:rsid w:val="00C9634E"/>
    <w:rsid w:val="00CA1AEE"/>
    <w:rsid w:val="00CA747D"/>
    <w:rsid w:val="00CB0786"/>
    <w:rsid w:val="00CB0F1D"/>
    <w:rsid w:val="00CB1824"/>
    <w:rsid w:val="00CB19C9"/>
    <w:rsid w:val="00CB2C67"/>
    <w:rsid w:val="00CB6BA4"/>
    <w:rsid w:val="00CC0982"/>
    <w:rsid w:val="00CC0D2D"/>
    <w:rsid w:val="00CC4FDB"/>
    <w:rsid w:val="00CC720B"/>
    <w:rsid w:val="00CD015D"/>
    <w:rsid w:val="00CD2F04"/>
    <w:rsid w:val="00CD44BF"/>
    <w:rsid w:val="00CD6956"/>
    <w:rsid w:val="00CE13A0"/>
    <w:rsid w:val="00CE5657"/>
    <w:rsid w:val="00CF262B"/>
    <w:rsid w:val="00CF3D9F"/>
    <w:rsid w:val="00CF495E"/>
    <w:rsid w:val="00CF6439"/>
    <w:rsid w:val="00CF7143"/>
    <w:rsid w:val="00D00642"/>
    <w:rsid w:val="00D009B4"/>
    <w:rsid w:val="00D01A6E"/>
    <w:rsid w:val="00D02DDA"/>
    <w:rsid w:val="00D03237"/>
    <w:rsid w:val="00D03ADD"/>
    <w:rsid w:val="00D12358"/>
    <w:rsid w:val="00D133F8"/>
    <w:rsid w:val="00D138E7"/>
    <w:rsid w:val="00D13FBB"/>
    <w:rsid w:val="00D14A3E"/>
    <w:rsid w:val="00D21352"/>
    <w:rsid w:val="00D21D7F"/>
    <w:rsid w:val="00D22281"/>
    <w:rsid w:val="00D24501"/>
    <w:rsid w:val="00D24640"/>
    <w:rsid w:val="00D32463"/>
    <w:rsid w:val="00D37AAD"/>
    <w:rsid w:val="00D4052F"/>
    <w:rsid w:val="00D4751F"/>
    <w:rsid w:val="00D50278"/>
    <w:rsid w:val="00D507E2"/>
    <w:rsid w:val="00D548C7"/>
    <w:rsid w:val="00D56A82"/>
    <w:rsid w:val="00D56F78"/>
    <w:rsid w:val="00D76685"/>
    <w:rsid w:val="00D817B9"/>
    <w:rsid w:val="00D81E5D"/>
    <w:rsid w:val="00D857CF"/>
    <w:rsid w:val="00D900BB"/>
    <w:rsid w:val="00D903DA"/>
    <w:rsid w:val="00D92E60"/>
    <w:rsid w:val="00D9624A"/>
    <w:rsid w:val="00DB079D"/>
    <w:rsid w:val="00DB1AB8"/>
    <w:rsid w:val="00DB3037"/>
    <w:rsid w:val="00DB423E"/>
    <w:rsid w:val="00DB50C9"/>
    <w:rsid w:val="00DB6C09"/>
    <w:rsid w:val="00DC09E9"/>
    <w:rsid w:val="00DC2DAF"/>
    <w:rsid w:val="00DC4012"/>
    <w:rsid w:val="00DC43EB"/>
    <w:rsid w:val="00DC5AA3"/>
    <w:rsid w:val="00DC5EDB"/>
    <w:rsid w:val="00DC6B64"/>
    <w:rsid w:val="00DC7938"/>
    <w:rsid w:val="00DD4186"/>
    <w:rsid w:val="00DD58B7"/>
    <w:rsid w:val="00DD5E1F"/>
    <w:rsid w:val="00DD7197"/>
    <w:rsid w:val="00DE07F2"/>
    <w:rsid w:val="00DE3CBF"/>
    <w:rsid w:val="00DE669A"/>
    <w:rsid w:val="00DF027E"/>
    <w:rsid w:val="00DF2F1D"/>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349A"/>
    <w:rsid w:val="00E8749E"/>
    <w:rsid w:val="00E874D8"/>
    <w:rsid w:val="00E90C01"/>
    <w:rsid w:val="00E90D0B"/>
    <w:rsid w:val="00E93115"/>
    <w:rsid w:val="00E96DC6"/>
    <w:rsid w:val="00E972A1"/>
    <w:rsid w:val="00E97680"/>
    <w:rsid w:val="00EA0908"/>
    <w:rsid w:val="00EA130F"/>
    <w:rsid w:val="00EA2061"/>
    <w:rsid w:val="00EA486E"/>
    <w:rsid w:val="00EA5229"/>
    <w:rsid w:val="00EA633A"/>
    <w:rsid w:val="00EB0BFF"/>
    <w:rsid w:val="00EB17D4"/>
    <w:rsid w:val="00EB32C5"/>
    <w:rsid w:val="00EB3AFC"/>
    <w:rsid w:val="00EB49A7"/>
    <w:rsid w:val="00EB524F"/>
    <w:rsid w:val="00EC138B"/>
    <w:rsid w:val="00EC1502"/>
    <w:rsid w:val="00EC6E12"/>
    <w:rsid w:val="00EC766A"/>
    <w:rsid w:val="00EC7E28"/>
    <w:rsid w:val="00ED25EE"/>
    <w:rsid w:val="00ED2D59"/>
    <w:rsid w:val="00ED5BD1"/>
    <w:rsid w:val="00ED5F8C"/>
    <w:rsid w:val="00ED6520"/>
    <w:rsid w:val="00EE0AC0"/>
    <w:rsid w:val="00EE2F62"/>
    <w:rsid w:val="00EE3722"/>
    <w:rsid w:val="00EE6069"/>
    <w:rsid w:val="00EE6183"/>
    <w:rsid w:val="00EF34B9"/>
    <w:rsid w:val="00EF68A5"/>
    <w:rsid w:val="00EF7B71"/>
    <w:rsid w:val="00F00B5E"/>
    <w:rsid w:val="00F017F1"/>
    <w:rsid w:val="00F01AE4"/>
    <w:rsid w:val="00F01E73"/>
    <w:rsid w:val="00F02E84"/>
    <w:rsid w:val="00F04C70"/>
    <w:rsid w:val="00F05142"/>
    <w:rsid w:val="00F05D47"/>
    <w:rsid w:val="00F07B75"/>
    <w:rsid w:val="00F12351"/>
    <w:rsid w:val="00F12E92"/>
    <w:rsid w:val="00F145E9"/>
    <w:rsid w:val="00F14A00"/>
    <w:rsid w:val="00F1519E"/>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6FB8"/>
    <w:rsid w:val="00F77376"/>
    <w:rsid w:val="00F77C8C"/>
    <w:rsid w:val="00F77CEF"/>
    <w:rsid w:val="00F77F67"/>
    <w:rsid w:val="00F8145B"/>
    <w:rsid w:val="00F82318"/>
    <w:rsid w:val="00F85BFB"/>
    <w:rsid w:val="00F85DC5"/>
    <w:rsid w:val="00F87284"/>
    <w:rsid w:val="00F87CAE"/>
    <w:rsid w:val="00F90E09"/>
    <w:rsid w:val="00F95701"/>
    <w:rsid w:val="00F96ED0"/>
    <w:rsid w:val="00FA04AF"/>
    <w:rsid w:val="00FA089C"/>
    <w:rsid w:val="00FA2114"/>
    <w:rsid w:val="00FA5D3C"/>
    <w:rsid w:val="00FB4965"/>
    <w:rsid w:val="00FC2712"/>
    <w:rsid w:val="00FC381C"/>
    <w:rsid w:val="00FC3FDB"/>
    <w:rsid w:val="00FC7F88"/>
    <w:rsid w:val="00FD3303"/>
    <w:rsid w:val="00FD48F3"/>
    <w:rsid w:val="00FE01C3"/>
    <w:rsid w:val="00FE55E8"/>
    <w:rsid w:val="00FE5BDE"/>
    <w:rsid w:val="00FE71B1"/>
    <w:rsid w:val="00FF1B67"/>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 w:type="paragraph" w:styleId="FootnoteText">
    <w:name w:val="footnote text"/>
    <w:basedOn w:val="Normal"/>
    <w:link w:val="FootnoteTextChar"/>
    <w:uiPriority w:val="99"/>
    <w:semiHidden/>
    <w:unhideWhenUsed/>
    <w:rsid w:val="00001D6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01D65"/>
    <w:rPr>
      <w:sz w:val="20"/>
      <w:szCs w:val="20"/>
      <w:lang w:val="en-US"/>
    </w:rPr>
  </w:style>
  <w:style w:type="character" w:styleId="FootnoteReference">
    <w:name w:val="footnote reference"/>
    <w:basedOn w:val="DefaultParagraphFont"/>
    <w:uiPriority w:val="99"/>
    <w:semiHidden/>
    <w:unhideWhenUsed/>
    <w:rsid w:val="0000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12192</Words>
  <Characters>6950</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Ivita Lazdiņa</cp:lastModifiedBy>
  <cp:revision>32</cp:revision>
  <cp:lastPrinted>2020-10-15T12:46:00Z</cp:lastPrinted>
  <dcterms:created xsi:type="dcterms:W3CDTF">2021-06-21T07:32:00Z</dcterms:created>
  <dcterms:modified xsi:type="dcterms:W3CDTF">2021-06-30T19:49:00Z</dcterms:modified>
</cp:coreProperties>
</file>