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5EAD9835" w14:textId="77777777" w:rsidR="00302150" w:rsidRDefault="00F30098" w:rsidP="006D1AD8">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6D1AD8">
              <w:rPr>
                <w:rFonts w:ascii="Times New Roman" w:eastAsia="Times New Roman" w:hAnsi="Times New Roman" w:cs="Times New Roman"/>
                <w:bCs/>
                <w:sz w:val="24"/>
                <w:szCs w:val="24"/>
                <w:lang w:eastAsia="lv-LV"/>
              </w:rPr>
              <w:t>precizēt</w:t>
            </w:r>
            <w:r w:rsidR="00196505">
              <w:rPr>
                <w:rFonts w:ascii="Times New Roman" w:eastAsia="Times New Roman" w:hAnsi="Times New Roman" w:cs="Times New Roman"/>
                <w:bCs/>
                <w:sz w:val="24"/>
                <w:szCs w:val="24"/>
                <w:lang w:eastAsia="lv-LV"/>
              </w:rPr>
              <w:t xml:space="preserve"> epidemioloģiskās drošības prasības</w:t>
            </w:r>
            <w:r w:rsidR="00CA5686">
              <w:rPr>
                <w:rFonts w:ascii="Times New Roman" w:eastAsia="Times New Roman" w:hAnsi="Times New Roman" w:cs="Times New Roman"/>
                <w:bCs/>
                <w:sz w:val="24"/>
                <w:szCs w:val="24"/>
                <w:lang w:eastAsia="lv-LV"/>
              </w:rPr>
              <w:t>, uzlabojoties epidemioloģiskajai situācijai</w:t>
            </w:r>
            <w:r w:rsidR="00302150">
              <w:rPr>
                <w:rFonts w:ascii="Times New Roman" w:eastAsia="Times New Roman" w:hAnsi="Times New Roman" w:cs="Times New Roman"/>
                <w:bCs/>
                <w:sz w:val="24"/>
                <w:szCs w:val="24"/>
                <w:lang w:eastAsia="lv-LV"/>
              </w:rPr>
              <w:t xml:space="preserve">: </w:t>
            </w:r>
          </w:p>
          <w:p w14:paraId="43AF31DD" w14:textId="132EF128" w:rsidR="00A57DA2" w:rsidRDefault="00302150"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A57DA2">
              <w:rPr>
                <w:rFonts w:ascii="Times New Roman" w:eastAsia="Times New Roman" w:hAnsi="Times New Roman" w:cs="Times New Roman"/>
                <w:bCs/>
                <w:sz w:val="24"/>
                <w:szCs w:val="24"/>
                <w:lang w:eastAsia="lv-LV"/>
              </w:rPr>
              <w:t>precizēt prasības tirdzniecības izstādēm un kultūrvietām,</w:t>
            </w:r>
          </w:p>
          <w:p w14:paraId="44DDFFC3" w14:textId="41B5173D" w:rsidR="00F30098" w:rsidRDefault="00A57DA2"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302150">
              <w:rPr>
                <w:rFonts w:ascii="Times New Roman" w:eastAsia="Times New Roman" w:hAnsi="Times New Roman" w:cs="Times New Roman"/>
                <w:bCs/>
                <w:sz w:val="24"/>
                <w:szCs w:val="24"/>
                <w:lang w:eastAsia="lv-LV"/>
              </w:rPr>
              <w:t xml:space="preserve">atcelt masku lietošanu iekštelpās </w:t>
            </w:r>
            <w:r w:rsidR="001E7831">
              <w:rPr>
                <w:rFonts w:ascii="Times New Roman" w:eastAsia="Times New Roman" w:hAnsi="Times New Roman" w:cs="Times New Roman"/>
                <w:bCs/>
                <w:sz w:val="24"/>
                <w:szCs w:val="24"/>
                <w:lang w:eastAsia="lv-LV"/>
              </w:rPr>
              <w:t xml:space="preserve">kontrolētos kolektīvos, vai </w:t>
            </w:r>
            <w:r w:rsidR="00302150">
              <w:rPr>
                <w:rFonts w:ascii="Times New Roman" w:eastAsia="Times New Roman" w:hAnsi="Times New Roman" w:cs="Times New Roman"/>
                <w:bCs/>
                <w:sz w:val="24"/>
                <w:szCs w:val="24"/>
                <w:lang w:eastAsia="lv-LV"/>
              </w:rPr>
              <w:t>ja iespējams ievērot distancēšanos,</w:t>
            </w:r>
          </w:p>
          <w:p w14:paraId="14E78483" w14:textId="0D43A14D" w:rsidR="00302150" w:rsidRDefault="00302150"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BB45E2">
              <w:rPr>
                <w:rFonts w:ascii="Times New Roman" w:eastAsia="Times New Roman" w:hAnsi="Times New Roman" w:cs="Times New Roman"/>
                <w:bCs/>
                <w:sz w:val="24"/>
                <w:szCs w:val="24"/>
                <w:lang w:eastAsia="lv-LV"/>
              </w:rPr>
              <w:t xml:space="preserve">ņemot vērā gūtos jaunos pierādījumus, noteikt, ka </w:t>
            </w:r>
            <w:r>
              <w:rPr>
                <w:rFonts w:ascii="Times New Roman" w:eastAsia="Times New Roman" w:hAnsi="Times New Roman" w:cs="Times New Roman"/>
                <w:bCs/>
                <w:sz w:val="24"/>
                <w:szCs w:val="24"/>
                <w:lang w:eastAsia="lv-LV"/>
              </w:rPr>
              <w:t>sadarbspējīgu vakcinē</w:t>
            </w:r>
            <w:r w:rsidR="0023721B">
              <w:rPr>
                <w:rFonts w:ascii="Times New Roman" w:eastAsia="Times New Roman" w:hAnsi="Times New Roman" w:cs="Times New Roman"/>
                <w:bCs/>
                <w:sz w:val="24"/>
                <w:szCs w:val="24"/>
                <w:lang w:eastAsia="lv-LV"/>
              </w:rPr>
              <w:t>š</w:t>
            </w:r>
            <w:r>
              <w:rPr>
                <w:rFonts w:ascii="Times New Roman" w:eastAsia="Times New Roman" w:hAnsi="Times New Roman" w:cs="Times New Roman"/>
                <w:bCs/>
                <w:sz w:val="24"/>
                <w:szCs w:val="24"/>
                <w:lang w:eastAsia="lv-LV"/>
              </w:rPr>
              <w:t xml:space="preserve">anās sertifikātu </w:t>
            </w:r>
            <w:r w:rsidR="0023721B">
              <w:rPr>
                <w:rFonts w:ascii="Times New Roman" w:eastAsia="Times New Roman" w:hAnsi="Times New Roman" w:cs="Times New Roman"/>
                <w:bCs/>
                <w:sz w:val="24"/>
                <w:szCs w:val="24"/>
                <w:lang w:eastAsia="lv-LV"/>
              </w:rPr>
              <w:t>C</w:t>
            </w:r>
            <w:r>
              <w:rPr>
                <w:rFonts w:ascii="Times New Roman" w:eastAsia="Times New Roman" w:hAnsi="Times New Roman" w:cs="Times New Roman"/>
                <w:bCs/>
                <w:sz w:val="24"/>
                <w:szCs w:val="24"/>
                <w:lang w:eastAsia="lv-LV"/>
              </w:rPr>
              <w:t>ovid-19 pārslimojušās personas iegūst, saņemot 1 vakcīnas devu 180 dienu laikā pēc pozitīva testa,</w:t>
            </w:r>
          </w:p>
          <w:p w14:paraId="3298DD7B" w14:textId="77777777" w:rsidR="00302150" w:rsidRDefault="00302150"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-atļaut medicīnas tūrismu, nosakot drošības prasības tikai ieceļojot no augsta riska valstīm</w:t>
            </w:r>
            <w:r w:rsidR="0098010D">
              <w:rPr>
                <w:rFonts w:ascii="Times New Roman" w:eastAsia="Times New Roman" w:hAnsi="Times New Roman" w:cs="Times New Roman"/>
                <w:bCs/>
                <w:sz w:val="24"/>
                <w:szCs w:val="24"/>
                <w:lang w:eastAsia="lv-LV"/>
              </w:rPr>
              <w:t>;</w:t>
            </w:r>
          </w:p>
          <w:p w14:paraId="6A17B477" w14:textId="77777777" w:rsidR="0098010D" w:rsidRDefault="0098010D"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noteikt, ka arī </w:t>
            </w:r>
            <w:r w:rsidRPr="0098010D">
              <w:rPr>
                <w:rFonts w:ascii="Times New Roman" w:eastAsia="Times New Roman" w:hAnsi="Times New Roman" w:cs="Times New Roman"/>
                <w:bCs/>
                <w:sz w:val="24"/>
                <w:szCs w:val="24"/>
                <w:lang w:eastAsia="lv-LV"/>
              </w:rPr>
              <w:t>vienotie valsts un pašvaldību klientu apkalpošanas centri un pašvaldību klientu apkalpošanas struktūrvienības</w:t>
            </w:r>
            <w:r w:rsidRPr="0098010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var iekasēt </w:t>
            </w:r>
            <w:r w:rsidRPr="0098010D">
              <w:rPr>
                <w:rFonts w:ascii="Times New Roman" w:eastAsia="Times New Roman" w:hAnsi="Times New Roman" w:cs="Times New Roman"/>
                <w:bCs/>
                <w:sz w:val="24"/>
                <w:szCs w:val="24"/>
                <w:lang w:eastAsia="lv-LV"/>
              </w:rPr>
              <w:t>samaksu par sadarbspējīga vakcinācijas, testēšanas vai pārslimošanas sertifikāta izsniegšanu papīra formā, ja viens un tas pats sertifikāts iepriekš jau ticis izsniegts divas reizes</w:t>
            </w:r>
            <w:r w:rsidR="00C6533B">
              <w:rPr>
                <w:rFonts w:ascii="Times New Roman" w:eastAsia="Times New Roman" w:hAnsi="Times New Roman" w:cs="Times New Roman"/>
                <w:bCs/>
                <w:sz w:val="24"/>
                <w:szCs w:val="24"/>
                <w:lang w:eastAsia="lv-LV"/>
              </w:rPr>
              <w:t>;</w:t>
            </w:r>
          </w:p>
          <w:p w14:paraId="19EDE2CA" w14:textId="77777777" w:rsidR="00C6533B" w:rsidRDefault="00C6533B"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precizēt vakcinācijas sertifikātā norādāmo informāciju;</w:t>
            </w:r>
          </w:p>
          <w:p w14:paraId="0A7AB3EF" w14:textId="6A5E0200" w:rsidR="00313A9C" w:rsidRPr="00C2181D" w:rsidRDefault="00313A9C" w:rsidP="006D1A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noteikt sadarbspējīga vakcinācijas sertifikāta elektroniskas saņemšanas kārtību personām, kuras nav reģistrētas Iedzīvotāju reģistrā.</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470FB8">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4"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470FB8">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4" w:type="pct"/>
            <w:tcBorders>
              <w:top w:val="single" w:sz="4" w:space="0" w:color="auto"/>
              <w:left w:val="single" w:sz="4" w:space="0" w:color="auto"/>
              <w:bottom w:val="single" w:sz="4" w:space="0" w:color="auto"/>
              <w:right w:val="single" w:sz="4" w:space="0" w:color="auto"/>
            </w:tcBorders>
          </w:tcPr>
          <w:p w14:paraId="75933C69" w14:textId="77777777" w:rsidR="008C062B" w:rsidRPr="008C062B" w:rsidRDefault="008C062B" w:rsidP="008C062B">
            <w:pPr>
              <w:spacing w:after="0" w:line="240" w:lineRule="auto"/>
              <w:ind w:firstLine="567"/>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Ņemot vērā to, ka tiek novērota joprojām stabila saslimstības samazināšanās (02.07.21. 14 dienu kumulatīvais gadījumu skaits sasniedz 50 uz 100 000), ir iespējams mazināt piesardzības un drošības pasākumus personām, kas vakcinētas pret Covid-19 vai pārslimojušas. Ir iespējams atcelt prasību minētajām personām lietot mutes un degunu aizsegus kontrolētos kolektīvos, jo ir pierādīts, ka šīm personām infekcijas izplatības riski ir zemi.  Masku lietošanu minētajām personām var atcelt darbavietās, amatieru kolektīvos, izglītības iestādēs utml., kur ir iespējams kontrolēt vakcinācijas vai pārslimošanas sertifikātu esamību.</w:t>
            </w:r>
          </w:p>
          <w:p w14:paraId="2C817C96" w14:textId="3F3736BD" w:rsidR="008C062B" w:rsidRPr="008C062B" w:rsidRDefault="004D5AE2" w:rsidP="008C06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8C062B" w:rsidRPr="008C062B">
              <w:rPr>
                <w:rFonts w:ascii="Times New Roman" w:eastAsia="Calibri" w:hAnsi="Times New Roman" w:cs="Times New Roman"/>
                <w:sz w:val="24"/>
                <w:szCs w:val="24"/>
              </w:rPr>
              <w:t>Noteikumi šobrīd neparedz nosacījumus komercizstāžu organizēšanai un ņemot vērā to, ka komercizstādes ir saistīta</w:t>
            </w:r>
            <w:r w:rsidR="007E2963" w:rsidRPr="0093129C">
              <w:rPr>
                <w:rFonts w:ascii="Times New Roman" w:eastAsia="Calibri" w:hAnsi="Times New Roman" w:cs="Times New Roman"/>
                <w:sz w:val="24"/>
                <w:szCs w:val="24"/>
              </w:rPr>
              <w:t>s</w:t>
            </w:r>
            <w:r w:rsidR="008C062B" w:rsidRPr="008C062B">
              <w:rPr>
                <w:rFonts w:ascii="Times New Roman" w:eastAsia="Calibri" w:hAnsi="Times New Roman" w:cs="Times New Roman"/>
                <w:sz w:val="24"/>
                <w:szCs w:val="24"/>
              </w:rPr>
              <w:t xml:space="preserve"> ar paaugstinātu risku, jo tās parasti notiek ierobežotu laiku un tās apmeklē liels skaits apmeklētāju</w:t>
            </w:r>
            <w:r w:rsidR="007E2963" w:rsidRPr="0093129C">
              <w:rPr>
                <w:rFonts w:ascii="Times New Roman" w:eastAsia="Calibri" w:hAnsi="Times New Roman" w:cs="Times New Roman"/>
                <w:sz w:val="24"/>
                <w:szCs w:val="24"/>
              </w:rPr>
              <w:t>. I</w:t>
            </w:r>
            <w:r w:rsidR="008C062B" w:rsidRPr="008C062B">
              <w:rPr>
                <w:rFonts w:ascii="Times New Roman" w:eastAsia="Calibri" w:hAnsi="Times New Roman" w:cs="Times New Roman"/>
                <w:sz w:val="24"/>
                <w:szCs w:val="24"/>
              </w:rPr>
              <w:t xml:space="preserve">r nepieciešams noteikt, ka šādi pasākumi tiek rīkoti dzeltenajā režīmā, proti personām, kas nevar uzrādīt vakcinācijas vai testēšanas sertifikātu, veicot Covid-19 testu, kā arī nodrošinot ne mazāk kā </w:t>
            </w:r>
            <w:r w:rsidR="008C062B" w:rsidRPr="008C062B">
              <w:rPr>
                <w:rFonts w:ascii="Times New Roman" w:eastAsia="Calibri" w:hAnsi="Times New Roman" w:cs="Times New Roman"/>
                <w:sz w:val="24"/>
                <w:szCs w:val="24"/>
              </w:rPr>
              <w:lastRenderedPageBreak/>
              <w:t>10m</w:t>
            </w:r>
            <w:r w:rsidR="008C062B" w:rsidRPr="008C062B">
              <w:rPr>
                <w:rFonts w:ascii="Times New Roman" w:eastAsia="Calibri" w:hAnsi="Times New Roman" w:cs="Times New Roman"/>
                <w:sz w:val="24"/>
                <w:szCs w:val="24"/>
                <w:vertAlign w:val="superscript"/>
              </w:rPr>
              <w:t>2</w:t>
            </w:r>
            <w:r w:rsidR="008C062B" w:rsidRPr="008C062B">
              <w:rPr>
                <w:rFonts w:ascii="Times New Roman" w:eastAsia="Calibri" w:hAnsi="Times New Roman" w:cs="Times New Roman"/>
                <w:sz w:val="24"/>
                <w:szCs w:val="24"/>
              </w:rPr>
              <w:t xml:space="preserve"> platību uz vienu apmeklētāju. Lai to ieviestu, nepieciešams precizēt terminu, kas  ir komercizstāde un papildināt noteikumus ar jaunu punktu, kas nosaka prasības šāda veida pasākumiem.</w:t>
            </w:r>
          </w:p>
          <w:p w14:paraId="7E954474" w14:textId="03324FD4" w:rsidR="008C062B" w:rsidRPr="008C062B" w:rsidRDefault="004D5AE2" w:rsidP="008C06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C062B" w:rsidRPr="008C062B">
              <w:rPr>
                <w:rFonts w:ascii="Times New Roman" w:eastAsia="Calibri" w:hAnsi="Times New Roman" w:cs="Times New Roman"/>
                <w:sz w:val="24"/>
                <w:szCs w:val="24"/>
              </w:rPr>
              <w:t xml:space="preserve">Tā kā šobrīd novērojama stabila tendence Covid-19 saslimstības samazinājumam, ir savlaicīgi jāparedz drošības un piesardzības pasākumu mazināšana, sasniedzot zemu Covid-19 izplatības līmeni. Tādēļ ir sagatavoti grozījumi noteikumos, kas paredz konkrētus  atvieglojumus epidemioloģiskās drošības pasākumiem, nemainot pārējās šajos noteikumos noteiktās epidemioloģiskās drošības prasības, ja 14 dienu kumulatīvais Covid-19 gadījumu skaits samazinās zem 20, vienlaicīgi paredzot, </w:t>
            </w:r>
            <w:r w:rsidR="007E2963" w:rsidRPr="0093129C">
              <w:rPr>
                <w:rFonts w:ascii="Times New Roman" w:eastAsia="Calibri" w:hAnsi="Times New Roman" w:cs="Times New Roman"/>
                <w:sz w:val="24"/>
                <w:szCs w:val="24"/>
              </w:rPr>
              <w:t>ka</w:t>
            </w:r>
            <w:r w:rsidR="008C062B" w:rsidRPr="008C062B">
              <w:rPr>
                <w:rFonts w:ascii="Times New Roman" w:eastAsia="Calibri" w:hAnsi="Times New Roman" w:cs="Times New Roman"/>
                <w:sz w:val="24"/>
                <w:szCs w:val="24"/>
              </w:rPr>
              <w:t xml:space="preserve"> pieaugot saslimstībai un saslimstības rādītājam pārsniedzot 25 robežu, automātiski tiek atjaunoti nosacījumi, kas bija spēkā pie saslimstības rādī</w:t>
            </w:r>
            <w:r w:rsidR="007E2963" w:rsidRPr="0093129C">
              <w:rPr>
                <w:rFonts w:ascii="Times New Roman" w:eastAsia="Calibri" w:hAnsi="Times New Roman" w:cs="Times New Roman"/>
                <w:sz w:val="24"/>
                <w:szCs w:val="24"/>
              </w:rPr>
              <w:t>tā</w:t>
            </w:r>
            <w:r w:rsidR="008C062B" w:rsidRPr="008C062B">
              <w:rPr>
                <w:rFonts w:ascii="Times New Roman" w:eastAsia="Calibri" w:hAnsi="Times New Roman" w:cs="Times New Roman"/>
                <w:sz w:val="24"/>
                <w:szCs w:val="24"/>
              </w:rPr>
              <w:t xml:space="preserve">ja no 99 līdz 20.  Minētie grozījumi </w:t>
            </w:r>
            <w:r w:rsidR="007E2963" w:rsidRPr="0093129C">
              <w:rPr>
                <w:rFonts w:ascii="Times New Roman" w:eastAsia="Calibri" w:hAnsi="Times New Roman" w:cs="Times New Roman"/>
                <w:sz w:val="24"/>
                <w:szCs w:val="24"/>
              </w:rPr>
              <w:t>par</w:t>
            </w:r>
            <w:r w:rsidR="008C062B" w:rsidRPr="008C062B">
              <w:rPr>
                <w:rFonts w:ascii="Times New Roman" w:eastAsia="Calibri" w:hAnsi="Times New Roman" w:cs="Times New Roman"/>
                <w:sz w:val="24"/>
                <w:szCs w:val="24"/>
              </w:rPr>
              <w:t>edz to, ka pamatā saimnieciskie pakalpojumi tiek sniegti un pakalpojumi tiek organizēti zaļā vai dzeltenajā drošības režīmā – bez ierobežojumiem personām, kas var uzrādīt vakcinācijas vai pārslimošanas sertifikātu  (zaļais drošības režīms) vai arī jauktai sabiedrībai pakalpojumus var sniegt vai pasākumus var organizēt dzeltenajā drošības režīmā, proti paredzot to, ka personas, kas nevar uzrādīt vakcinācijas vai pārslimošanas sertifikātu</w:t>
            </w:r>
            <w:r w:rsidR="007E2963" w:rsidRPr="0093129C">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veic Covid-19 testu. Ļoti zema Covid-19 izplatības riska apstākļos tiek noteikti šādi epidemioloģiskās drošības pasākumu atvieglojum</w:t>
            </w:r>
            <w:r w:rsidR="00ED74EF" w:rsidRPr="0093129C">
              <w:rPr>
                <w:rFonts w:ascii="Times New Roman" w:eastAsia="Calibri" w:hAnsi="Times New Roman" w:cs="Times New Roman"/>
                <w:sz w:val="24"/>
                <w:szCs w:val="24"/>
              </w:rPr>
              <w:t>i</w:t>
            </w:r>
            <w:r w:rsidR="008C062B" w:rsidRPr="008C062B">
              <w:rPr>
                <w:rFonts w:ascii="Times New Roman" w:eastAsia="Calibri" w:hAnsi="Times New Roman" w:cs="Times New Roman"/>
                <w:sz w:val="24"/>
                <w:szCs w:val="24"/>
              </w:rPr>
              <w:t>:</w:t>
            </w:r>
          </w:p>
          <w:p w14:paraId="3F701EA9" w14:textId="77777777"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tiek paredzēta lielāka iespēja nekontrolēti pulcēties sarkanā drošības režīma ietvarā, tai skaitā privātos pasākumos – iekštelpās līdz 50 cilvēkiem un ārtelpās līdz – 100;</w:t>
            </w:r>
          </w:p>
          <w:p w14:paraId="4B55116F" w14:textId="48879B24"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organizējot pasākumus dzeltenā drošības režīma ietvarā</w:t>
            </w:r>
            <w:r w:rsidR="00ED74EF" w:rsidRPr="0093129C">
              <w:rPr>
                <w:rFonts w:ascii="Times New Roman" w:eastAsia="Calibri" w:hAnsi="Times New Roman" w:cs="Times New Roman"/>
                <w:sz w:val="24"/>
                <w:szCs w:val="24"/>
              </w:rPr>
              <w:t>,</w:t>
            </w:r>
            <w:r w:rsidRPr="008C062B">
              <w:rPr>
                <w:rFonts w:ascii="Times New Roman" w:eastAsia="Calibri" w:hAnsi="Times New Roman" w:cs="Times New Roman"/>
                <w:sz w:val="24"/>
                <w:szCs w:val="24"/>
              </w:rPr>
              <w:t xml:space="preserve"> tiek atcelta prasība nodrošināt fiksēta</w:t>
            </w:r>
            <w:r w:rsidR="00ED74EF" w:rsidRPr="0093129C">
              <w:rPr>
                <w:rFonts w:ascii="Times New Roman" w:eastAsia="Calibri" w:hAnsi="Times New Roman" w:cs="Times New Roman"/>
                <w:sz w:val="24"/>
                <w:szCs w:val="24"/>
              </w:rPr>
              <w:t>s</w:t>
            </w:r>
            <w:r w:rsidRPr="008C062B">
              <w:rPr>
                <w:rFonts w:ascii="Times New Roman" w:eastAsia="Calibri" w:hAnsi="Times New Roman" w:cs="Times New Roman"/>
                <w:sz w:val="24"/>
                <w:szCs w:val="24"/>
              </w:rPr>
              <w:t xml:space="preserve"> personalizētas sēdvietas, kā arī tiek palielināts cilvēku skaits, kas var pulcēties dzeltenā drošības režīma ietvarā;</w:t>
            </w:r>
          </w:p>
          <w:p w14:paraId="198AB993" w14:textId="77777777"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tiek atcelta prasība jebkur iekštelpās nodrošināt konkrētu telpu platību uz vienu apmeklētāju, nosakot prasību, ka telpās tiek pieļauts tāds cilvēku skaits, ka tiek nodrošināta iespēja cilvēkiem ievērot 2 m distanci un pakalpojuma sniedzējs vai pasākuma organizators var kontrolēt cilvēku plūsmas, lai novērstu cilvēku drūzmēšanos;</w:t>
            </w:r>
          </w:p>
          <w:p w14:paraId="79FE059B" w14:textId="77777777"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tiek paredzēts, ka mutes un deguna aizsegi tiek lietoti telpās tikai tur, kur ir liela cilvēku drūzmēšanās un nav iespējams ievērot 2 m distanci, piemēram sabiedriskajā transportā un citur publiskās vietās ar blīvu cilvēku plūsmu;</w:t>
            </w:r>
          </w:p>
          <w:p w14:paraId="2129F6E8" w14:textId="15579291"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tāpat arī tiek palielināts cilvēku skaits, kas var pulcēties organizētos kolektīvos – nometnēs, interešu izglītības, sporta nodarbību, izglītības grupās</w:t>
            </w:r>
            <w:r w:rsidR="00ED74EF" w:rsidRPr="0093129C">
              <w:rPr>
                <w:rFonts w:ascii="Times New Roman" w:eastAsia="Calibri" w:hAnsi="Times New Roman" w:cs="Times New Roman"/>
                <w:sz w:val="24"/>
                <w:szCs w:val="24"/>
              </w:rPr>
              <w:t>,</w:t>
            </w:r>
            <w:r w:rsidRPr="008C062B">
              <w:rPr>
                <w:rFonts w:ascii="Times New Roman" w:eastAsia="Calibri" w:hAnsi="Times New Roman" w:cs="Times New Roman"/>
                <w:sz w:val="24"/>
                <w:szCs w:val="24"/>
              </w:rPr>
              <w:t xml:space="preserve"> uz 50 cilvēkiem ar nosacījumu, ka tiek veikta regulāri testēšana atbilstoši dzeltenā drošības režīma nosacījumiem.</w:t>
            </w:r>
          </w:p>
          <w:p w14:paraId="61F1F5D3" w14:textId="5B9E7A06" w:rsidR="008C062B" w:rsidRPr="008C062B" w:rsidRDefault="008C062B" w:rsidP="008C062B">
            <w:pPr>
              <w:numPr>
                <w:ilvl w:val="0"/>
                <w:numId w:val="19"/>
              </w:numPr>
              <w:spacing w:after="0" w:line="240" w:lineRule="auto"/>
              <w:ind w:left="0" w:firstLine="567"/>
              <w:contextualSpacing/>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Lai nodrošinātu to, ka vakcinēti individuālo pakalpojumu sniedzēji individuāli pakalpojumus ikvienam pakalpojuma saņēmējam var sniegt pie jebkuras Covid-19 izplatības riska pakāpes, nepieciešams veikt tehnisku precizējumus noteikumu projektā</w:t>
            </w:r>
            <w:r w:rsidR="00ED74EF" w:rsidRPr="0093129C">
              <w:rPr>
                <w:rFonts w:ascii="Times New Roman" w:eastAsia="Calibri" w:hAnsi="Times New Roman" w:cs="Times New Roman"/>
                <w:sz w:val="24"/>
                <w:szCs w:val="24"/>
              </w:rPr>
              <w:t>,</w:t>
            </w:r>
            <w:r w:rsidRPr="008C062B">
              <w:rPr>
                <w:rFonts w:ascii="Times New Roman" w:eastAsia="Calibri" w:hAnsi="Times New Roman" w:cs="Times New Roman"/>
                <w:sz w:val="24"/>
                <w:szCs w:val="24"/>
              </w:rPr>
              <w:t xml:space="preserve"> mainot atsauci uz punktu 38.</w:t>
            </w:r>
            <w:r w:rsidRPr="008C062B">
              <w:rPr>
                <w:rFonts w:ascii="Times New Roman" w:eastAsia="Calibri" w:hAnsi="Times New Roman" w:cs="Times New Roman"/>
                <w:sz w:val="24"/>
                <w:szCs w:val="24"/>
                <w:vertAlign w:val="superscript"/>
              </w:rPr>
              <w:t>34</w:t>
            </w:r>
            <w:r w:rsidRPr="008C062B">
              <w:rPr>
                <w:rFonts w:ascii="Times New Roman" w:eastAsia="Calibri" w:hAnsi="Times New Roman" w:cs="Times New Roman"/>
                <w:sz w:val="24"/>
                <w:szCs w:val="24"/>
              </w:rPr>
              <w:t> .</w:t>
            </w:r>
          </w:p>
          <w:p w14:paraId="7651FF42" w14:textId="77777777" w:rsidR="004D5AE2" w:rsidRDefault="004D5AE2" w:rsidP="004D5AE2">
            <w:pPr>
              <w:spacing w:after="0" w:line="240" w:lineRule="auto"/>
              <w:ind w:left="567"/>
              <w:contextualSpacing/>
              <w:jc w:val="both"/>
              <w:rPr>
                <w:rFonts w:ascii="Times New Roman" w:eastAsia="Calibri" w:hAnsi="Times New Roman" w:cs="Times New Roman"/>
                <w:sz w:val="24"/>
                <w:szCs w:val="24"/>
              </w:rPr>
            </w:pPr>
          </w:p>
          <w:p w14:paraId="1A708DCD" w14:textId="7F95D668" w:rsidR="008C062B" w:rsidRPr="008C062B" w:rsidRDefault="004D5AE2" w:rsidP="004D5AE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008C062B" w:rsidRPr="008C062B">
              <w:rPr>
                <w:rFonts w:ascii="Times New Roman" w:eastAsia="Calibri" w:hAnsi="Times New Roman" w:cs="Times New Roman"/>
                <w:sz w:val="24"/>
                <w:szCs w:val="24"/>
              </w:rPr>
              <w:t>Ir gūti jauni pierādījumi, ka personām, kuras iepriekš bijušas inficētas ar SARS</w:t>
            </w:r>
            <w:r w:rsidR="00ED74EF" w:rsidRPr="0093129C">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CoV-2, viena deva Comirnaty un Moderna Covid-19 vakcīnas (mRNS vakcīnas) izsauc līdzīgas vai augstākas antivielas, B šūnu un T šūnu atbildes reakcijas salīdzinājumā ar personām, kuras iepriekš nav bijušas inficētas. Turklāt dažos pētījumos ir ziņots, ka viena vakcīnas deva iepriekš inficētām personām, šķiet, rada līdzīgas antivielas, B šūnu un T šūnu atbildes reakcijas kā tām personām, kuras nav bijušas inficētas un kuras </w:t>
            </w:r>
            <w:r w:rsidR="008C062B" w:rsidRPr="008C062B">
              <w:rPr>
                <w:rFonts w:ascii="Times New Roman" w:eastAsia="Calibri" w:hAnsi="Times New Roman" w:cs="Times New Roman"/>
                <w:sz w:val="24"/>
                <w:szCs w:val="24"/>
              </w:rPr>
              <w:lastRenderedPageBreak/>
              <w:t>saņēmušas divas vakcīnas devas. Ir gūti arī jauni pierādījumi par augstāku antivielu līmeni pēc vienas Vaxzevria vakcīnas devas personām, kuras iepriekš bijušas inficētas, salīdzinājumā ar antivielu līmeni pēc vienas devas iepriekš neinficētām personām, un viena deva iepriekš inficētām personām, šķiet, rada līdzīgas antivielu reakcijas kā neinficētām personām, kuras saņēmušas divas vakcīnas devas. Pamatojoties uz to</w:t>
            </w:r>
            <w:r>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šī gada 14. jūnijā  pieņemtie grozījumi Padomes ieteikumā (ES) 2020/1475 par koordinētu pieeju brīvas pārvietošanās ierobežošanai sakarā ar Covid-19 pandēmiju (Padomes ieteikums (ES) 2021/961, 2021. gada 14. jūnijs</w:t>
            </w:r>
            <w:r w:rsidR="008C062B" w:rsidRPr="008C062B">
              <w:rPr>
                <w:rFonts w:ascii="Times New Roman" w:eastAsia="Calibri" w:hAnsi="Times New Roman" w:cs="Times New Roman"/>
                <w:sz w:val="24"/>
                <w:szCs w:val="24"/>
                <w:vertAlign w:val="superscript"/>
              </w:rPr>
              <w:footnoteReference w:id="2"/>
            </w:r>
            <w:r w:rsidR="008C062B" w:rsidRPr="008C062B">
              <w:rPr>
                <w:rFonts w:ascii="Times New Roman" w:eastAsia="Calibri" w:hAnsi="Times New Roman" w:cs="Times New Roman"/>
                <w:sz w:val="24"/>
                <w:szCs w:val="24"/>
              </w:rPr>
              <w:t>) (turpmāk – Ieteikums)</w:t>
            </w:r>
            <w:r w:rsidR="008C062B" w:rsidRPr="008C062B">
              <w:rPr>
                <w:rFonts w:ascii="Calibri" w:eastAsia="Calibri" w:hAnsi="Calibri" w:cs="Times New Roman"/>
                <w:sz w:val="24"/>
                <w:szCs w:val="24"/>
              </w:rPr>
              <w:t xml:space="preserve"> </w:t>
            </w:r>
            <w:r w:rsidR="008C062B" w:rsidRPr="008C062B">
              <w:rPr>
                <w:rFonts w:ascii="Times New Roman" w:eastAsia="Calibri" w:hAnsi="Times New Roman" w:cs="Times New Roman"/>
                <w:sz w:val="24"/>
                <w:szCs w:val="24"/>
              </w:rPr>
              <w:t>paredz, ka, persona, kas iepriekš bijusi inficēta ar SARS-CoV-2 un kas saņēmusi vienu devu no divu devu Covid-19 vakcīnas, attiecībā uz kuru, ievērojot Regulu (EK) Nr. 726/2004, ir piešķirta tirdzniecības atļauja, ceļošanas kontekstā būtu jāuzskata par pilnībā vakcinētu arī tad, ja vakcinācijas sertifikātā ir norādīts, ka vakcinācijas kursā ir veikta vienas devas ievadīšana.</w:t>
            </w:r>
            <w:r w:rsidR="008C062B" w:rsidRPr="008C062B">
              <w:rPr>
                <w:rFonts w:ascii="Times New Roman" w:eastAsia="Calibri" w:hAnsi="Times New Roman" w:cs="Times New Roman"/>
                <w:sz w:val="24"/>
                <w:szCs w:val="24"/>
                <w:vertAlign w:val="superscript"/>
              </w:rPr>
              <w:footnoteReference w:id="3"/>
            </w:r>
            <w:r w:rsidR="008C062B" w:rsidRPr="008C062B">
              <w:rPr>
                <w:rFonts w:ascii="Times New Roman" w:eastAsia="Calibri" w:hAnsi="Times New Roman" w:cs="Times New Roman"/>
                <w:sz w:val="24"/>
                <w:szCs w:val="24"/>
              </w:rPr>
              <w:t xml:space="preserve"> Pamatojoties uz to, tiek veikti grozījumi  MK noteikumu Nr.360. punkta   38.</w:t>
            </w:r>
            <w:r w:rsidR="008C062B" w:rsidRPr="008C062B">
              <w:rPr>
                <w:rFonts w:ascii="Times New Roman" w:eastAsia="Calibri" w:hAnsi="Times New Roman" w:cs="Times New Roman"/>
                <w:sz w:val="24"/>
                <w:szCs w:val="24"/>
                <w:vertAlign w:val="superscript"/>
              </w:rPr>
              <w:t>27</w:t>
            </w:r>
            <w:r w:rsidR="008C062B" w:rsidRPr="008C062B">
              <w:rPr>
                <w:rFonts w:ascii="Times New Roman" w:eastAsia="Calibri" w:hAnsi="Times New Roman" w:cs="Times New Roman"/>
                <w:sz w:val="24"/>
                <w:szCs w:val="24"/>
              </w:rPr>
              <w:t xml:space="preserve"> ievaddaļā un 38.</w:t>
            </w:r>
            <w:r w:rsidR="008C062B" w:rsidRPr="008C062B">
              <w:rPr>
                <w:rFonts w:ascii="Times New Roman" w:eastAsia="Calibri" w:hAnsi="Times New Roman" w:cs="Times New Roman"/>
                <w:sz w:val="24"/>
                <w:szCs w:val="24"/>
                <w:vertAlign w:val="superscript"/>
              </w:rPr>
              <w:t>39</w:t>
            </w:r>
            <w:r w:rsidR="008C062B" w:rsidRPr="008C062B">
              <w:rPr>
                <w:rFonts w:ascii="Times New Roman" w:eastAsia="Calibri" w:hAnsi="Times New Roman" w:cs="Times New Roman"/>
                <w:sz w:val="24"/>
                <w:szCs w:val="24"/>
              </w:rPr>
              <w:t xml:space="preserve"> 1. apakšpunktā, nosakot, ka tiesības uz epidemioloģiskās drošības ierobežojumu atvieglojumiem, tai skaitā ieceļojot Latvijā arī personām, kuras pārslimojušas Covid-19 infekciju un  saņēmušas vienu vakcīnas devu no divu devu Covid-19 vakcīnas ar Eiropas Zāļu aģentūras vai līdzvērtīgu regulatoru reģistrētu vai Pasaules Veselības organizācijas atzītu vakcīnu</w:t>
            </w:r>
            <w:r>
              <w:rPr>
                <w:rFonts w:ascii="Times New Roman" w:eastAsia="Calibri" w:hAnsi="Times New Roman" w:cs="Times New Roman"/>
                <w:sz w:val="24"/>
                <w:szCs w:val="24"/>
              </w:rPr>
              <w:t xml:space="preserve"> 180 dienu laikā </w:t>
            </w:r>
            <w:r w:rsidR="00923553">
              <w:rPr>
                <w:rFonts w:ascii="Times New Roman" w:eastAsia="Calibri" w:hAnsi="Times New Roman" w:cs="Times New Roman"/>
                <w:sz w:val="24"/>
                <w:szCs w:val="24"/>
              </w:rPr>
              <w:t>kopš pozitīva RNS testa</w:t>
            </w:r>
            <w:r w:rsidR="008C062B" w:rsidRPr="008C062B">
              <w:rPr>
                <w:rFonts w:ascii="Times New Roman" w:eastAsia="Calibri" w:hAnsi="Times New Roman" w:cs="Times New Roman"/>
                <w:sz w:val="24"/>
                <w:szCs w:val="24"/>
              </w:rPr>
              <w:t>. Noteikumu projekts arī paredz to, ka pārslimošanas faktu apliecina</w:t>
            </w:r>
            <w:r w:rsidR="00ED74EF" w:rsidRPr="0093129C">
              <w:rPr>
                <w:rFonts w:ascii="Times New Roman" w:eastAsia="Calibri" w:hAnsi="Times New Roman" w:cs="Times New Roman"/>
                <w:sz w:val="24"/>
                <w:szCs w:val="24"/>
              </w:rPr>
              <w:t xml:space="preserve">, </w:t>
            </w:r>
            <w:r w:rsidR="008C062B" w:rsidRPr="008C062B">
              <w:rPr>
                <w:rFonts w:ascii="Times New Roman" w:eastAsia="Calibri" w:hAnsi="Times New Roman" w:cs="Times New Roman"/>
                <w:sz w:val="24"/>
                <w:szCs w:val="24"/>
              </w:rPr>
              <w:t>veicot Covid-19 testu, nosakot vīrusa RNS.</w:t>
            </w:r>
            <w:r w:rsidR="00B83FDD">
              <w:rPr>
                <w:rFonts w:ascii="Times New Roman" w:eastAsia="Calibri" w:hAnsi="Times New Roman" w:cs="Times New Roman"/>
                <w:sz w:val="24"/>
                <w:szCs w:val="24"/>
              </w:rPr>
              <w:t xml:space="preserve"> Ierobežojuma atvieglojums saistīts ar vakcīnu efektivitātes jaunākajiem pētījumiem, un noteikts, lai motivētu pārslimojušos savlaicīgi vakcinēties. </w:t>
            </w:r>
          </w:p>
          <w:p w14:paraId="6AFCA565" w14:textId="342FEBC4" w:rsidR="008C062B" w:rsidRPr="008C062B" w:rsidRDefault="00923553" w:rsidP="009235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3FDD">
              <w:rPr>
                <w:rFonts w:ascii="Times New Roman" w:eastAsia="Calibri" w:hAnsi="Times New Roman" w:cs="Times New Roman"/>
                <w:sz w:val="24"/>
                <w:szCs w:val="24"/>
              </w:rPr>
              <w:t>L</w:t>
            </w:r>
            <w:r w:rsidR="008C062B" w:rsidRPr="008C062B">
              <w:rPr>
                <w:rFonts w:ascii="Times New Roman" w:eastAsia="Calibri" w:hAnsi="Times New Roman" w:cs="Times New Roman"/>
                <w:sz w:val="24"/>
                <w:szCs w:val="24"/>
              </w:rPr>
              <w:t>ai ieviestu vienotu pieeju visos MK noteikumu punktos</w:t>
            </w:r>
            <w:r>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tiek veikta atsauce uz 38.</w:t>
            </w:r>
            <w:r w:rsidR="008C062B" w:rsidRPr="008C062B">
              <w:rPr>
                <w:rFonts w:ascii="Times New Roman" w:eastAsia="Calibri" w:hAnsi="Times New Roman" w:cs="Times New Roman"/>
                <w:sz w:val="24"/>
                <w:szCs w:val="24"/>
                <w:vertAlign w:val="superscript"/>
              </w:rPr>
              <w:t>27</w:t>
            </w:r>
            <w:r w:rsidR="008C062B" w:rsidRPr="008C062B">
              <w:rPr>
                <w:rFonts w:ascii="Times New Roman" w:eastAsia="Calibri" w:hAnsi="Times New Roman" w:cs="Times New Roman"/>
                <w:sz w:val="24"/>
                <w:szCs w:val="24"/>
              </w:rPr>
              <w:t xml:space="preserve"> punkta ievaddaļu, kas nosaka kritērijus per</w:t>
            </w:r>
            <w:r w:rsidR="00ED74EF" w:rsidRPr="0093129C">
              <w:rPr>
                <w:rFonts w:ascii="Times New Roman" w:eastAsia="Calibri" w:hAnsi="Times New Roman" w:cs="Times New Roman"/>
                <w:sz w:val="24"/>
                <w:szCs w:val="24"/>
              </w:rPr>
              <w:t>son</w:t>
            </w:r>
            <w:r w:rsidR="008C062B" w:rsidRPr="008C062B">
              <w:rPr>
                <w:rFonts w:ascii="Times New Roman" w:eastAsia="Calibri" w:hAnsi="Times New Roman" w:cs="Times New Roman"/>
                <w:sz w:val="24"/>
                <w:szCs w:val="24"/>
              </w:rPr>
              <w:t>ai, kas ir vakcinēta pret Covid-19 vai pārslimojusi Covid-19.</w:t>
            </w:r>
          </w:p>
          <w:p w14:paraId="79620F2C" w14:textId="53921317" w:rsidR="008C062B" w:rsidRPr="008C062B" w:rsidRDefault="00923553" w:rsidP="009235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062B" w:rsidRPr="008C062B">
              <w:rPr>
                <w:rFonts w:ascii="Times New Roman" w:eastAsia="Calibri" w:hAnsi="Times New Roman" w:cs="Times New Roman"/>
                <w:sz w:val="24"/>
                <w:szCs w:val="24"/>
              </w:rPr>
              <w:t>Veicot grozījumus Ieteikumā</w:t>
            </w:r>
            <w:r w:rsidR="00ED74EF" w:rsidRPr="0093129C">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tiek noteikta arī iespēja ceļošanai</w:t>
            </w:r>
            <w:r w:rsidR="00ED74EF" w:rsidRPr="0093129C">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veicot SARS-CoV-2 testus un paredzot testa standarta derīguma termiņus. Lai nodrošinātu to darbību  sadarbspējīgā ES digitālā Covid sertifikāta ietvarā, noteikumos ir jāpārnes Ieteikumā ietvertais nosacījumus ātro antigēnu testa derīguma termiņas 48 stundas, kas līdz šim ieceļojot Latvijā bija 24 stundas.  Savukārt molekulāram nukleīnskābju </w:t>
            </w:r>
            <w:r w:rsidR="004D5AE2">
              <w:rPr>
                <w:rFonts w:ascii="Times New Roman" w:eastAsia="Calibri" w:hAnsi="Times New Roman" w:cs="Times New Roman"/>
                <w:sz w:val="24"/>
                <w:szCs w:val="24"/>
              </w:rPr>
              <w:t>ap</w:t>
            </w:r>
            <w:r w:rsidR="008C062B" w:rsidRPr="008C062B">
              <w:rPr>
                <w:rFonts w:ascii="Times New Roman" w:eastAsia="Calibri" w:hAnsi="Times New Roman" w:cs="Times New Roman"/>
                <w:sz w:val="24"/>
                <w:szCs w:val="24"/>
              </w:rPr>
              <w:t>stiprināšanas</w:t>
            </w:r>
            <w:r w:rsidR="004D5AE2">
              <w:rPr>
                <w:rFonts w:ascii="Times New Roman" w:eastAsia="Calibri" w:hAnsi="Times New Roman" w:cs="Times New Roman"/>
                <w:sz w:val="24"/>
                <w:szCs w:val="24"/>
              </w:rPr>
              <w:t xml:space="preserve"> testam derīguma termiņš (72 stundas) netiek mainīts</w:t>
            </w:r>
            <w:r w:rsidR="008C062B" w:rsidRPr="008C062B">
              <w:rPr>
                <w:rFonts w:ascii="Times New Roman" w:eastAsia="Calibri" w:hAnsi="Times New Roman" w:cs="Times New Roman"/>
                <w:sz w:val="24"/>
                <w:szCs w:val="24"/>
              </w:rPr>
              <w:t>.</w:t>
            </w:r>
          </w:p>
          <w:p w14:paraId="41ECF203" w14:textId="23CEDA19" w:rsidR="008C062B" w:rsidRPr="008C062B" w:rsidRDefault="00923553" w:rsidP="009235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062B" w:rsidRPr="008C062B">
              <w:rPr>
                <w:rFonts w:ascii="Times New Roman" w:eastAsia="Calibri" w:hAnsi="Times New Roman" w:cs="Times New Roman"/>
                <w:sz w:val="24"/>
                <w:szCs w:val="24"/>
              </w:rPr>
              <w:t>Vadoties no papildus pierādījumiem attiecībā uz vakcīnu efektivitāti</w:t>
            </w:r>
            <w:r w:rsidR="00ED74EF" w:rsidRPr="0093129C">
              <w:rPr>
                <w:rFonts w:ascii="Times New Roman" w:eastAsia="Calibri" w:hAnsi="Times New Roman" w:cs="Times New Roman"/>
                <w:sz w:val="24"/>
                <w:szCs w:val="24"/>
              </w:rPr>
              <w:t>,</w:t>
            </w:r>
            <w:r w:rsidR="008C062B" w:rsidRPr="008C062B">
              <w:rPr>
                <w:rFonts w:ascii="Times New Roman" w:eastAsia="Calibri" w:hAnsi="Times New Roman" w:cs="Times New Roman"/>
                <w:sz w:val="24"/>
                <w:szCs w:val="24"/>
              </w:rPr>
              <w:t xml:space="preserve"> noteikumos arī tiek noteikta vienota pieeja izņēmumiem mājas karantīnas ievērošanā gan personām, kas var uzrādīt vakcinācijas sertifikātu, gan personām ar pārslimošanas sertifikātu. Ņemot vērā SARS CoV-2 Delta varianta īpatsvara pieaugumu, piesardzības nolūkā tiek paredzēts, ka vakcinētām vai pārslimojušām personām pēc kontakta ar inficētu pacientu nedēļas laikā ir jāveic Covid-19 tests</w:t>
            </w:r>
            <w:r w:rsidR="00ED74EF" w:rsidRPr="0093129C">
              <w:rPr>
                <w:rFonts w:ascii="Times New Roman" w:eastAsia="Calibri" w:hAnsi="Times New Roman" w:cs="Times New Roman"/>
                <w:sz w:val="24"/>
                <w:szCs w:val="24"/>
              </w:rPr>
              <w:t>.</w:t>
            </w:r>
          </w:p>
          <w:p w14:paraId="3A0D2DA3" w14:textId="54AC7D71" w:rsidR="008C062B" w:rsidRPr="0093129C" w:rsidRDefault="008C062B" w:rsidP="008C062B">
            <w:pPr>
              <w:spacing w:after="0" w:line="240" w:lineRule="auto"/>
              <w:ind w:firstLine="567"/>
              <w:jc w:val="both"/>
              <w:rPr>
                <w:rFonts w:ascii="Times New Roman" w:eastAsia="Calibri" w:hAnsi="Times New Roman" w:cs="Times New Roman"/>
                <w:sz w:val="24"/>
                <w:szCs w:val="24"/>
              </w:rPr>
            </w:pPr>
            <w:r w:rsidRPr="008C062B">
              <w:rPr>
                <w:rFonts w:ascii="Times New Roman" w:eastAsia="Calibri" w:hAnsi="Times New Roman" w:cs="Times New Roman"/>
                <w:sz w:val="24"/>
                <w:szCs w:val="24"/>
              </w:rPr>
              <w:t>Lai pārveidotu vakcinācijas sertifikātu sistēmu, kas dotu iespēju cilvēkam saņemt sadarbspējīgu, elektroniski verificējamu sertifikātu p</w:t>
            </w:r>
            <w:r w:rsidR="00ED74EF" w:rsidRPr="0093129C">
              <w:rPr>
                <w:rFonts w:ascii="Times New Roman" w:eastAsia="Calibri" w:hAnsi="Times New Roman" w:cs="Times New Roman"/>
                <w:sz w:val="24"/>
                <w:szCs w:val="24"/>
              </w:rPr>
              <w:t>ēc</w:t>
            </w:r>
            <w:r w:rsidRPr="008C062B">
              <w:rPr>
                <w:rFonts w:ascii="Times New Roman" w:eastAsia="Calibri" w:hAnsi="Times New Roman" w:cs="Times New Roman"/>
                <w:sz w:val="24"/>
                <w:szCs w:val="24"/>
              </w:rPr>
              <w:t xml:space="preserve"> </w:t>
            </w:r>
            <w:r w:rsidRPr="008C062B">
              <w:rPr>
                <w:rFonts w:ascii="Times New Roman" w:eastAsia="Calibri" w:hAnsi="Times New Roman" w:cs="Times New Roman"/>
                <w:sz w:val="24"/>
                <w:szCs w:val="24"/>
              </w:rPr>
              <w:lastRenderedPageBreak/>
              <w:t xml:space="preserve">vienas vakcīnas devas, ja ir iepriekš pierādīta inficēšanās ar SARS CoV-2, nepieciešamas nopietnas izmaiņas sertifikātu sistēmā. Tādēļ šai normai tiek paredzēt pārejas periods līdz </w:t>
            </w:r>
            <w:r w:rsidR="00BB45E2">
              <w:rPr>
                <w:rFonts w:ascii="Times New Roman" w:eastAsia="Calibri" w:hAnsi="Times New Roman" w:cs="Times New Roman"/>
                <w:sz w:val="24"/>
                <w:szCs w:val="24"/>
              </w:rPr>
              <w:t>21</w:t>
            </w:r>
            <w:r w:rsidRPr="008C062B">
              <w:rPr>
                <w:rFonts w:ascii="Times New Roman" w:eastAsia="Calibri" w:hAnsi="Times New Roman" w:cs="Times New Roman"/>
                <w:sz w:val="24"/>
                <w:szCs w:val="24"/>
              </w:rPr>
              <w:t>.07.21, kad būs veiktas nepieciešam</w:t>
            </w:r>
            <w:r w:rsidR="00923553">
              <w:rPr>
                <w:rFonts w:ascii="Times New Roman" w:eastAsia="Calibri" w:hAnsi="Times New Roman" w:cs="Times New Roman"/>
                <w:sz w:val="24"/>
                <w:szCs w:val="24"/>
              </w:rPr>
              <w:t>ā</w:t>
            </w:r>
            <w:r w:rsidRPr="008C062B">
              <w:rPr>
                <w:rFonts w:ascii="Times New Roman" w:eastAsia="Calibri" w:hAnsi="Times New Roman" w:cs="Times New Roman"/>
                <w:sz w:val="24"/>
                <w:szCs w:val="24"/>
              </w:rPr>
              <w:t>s izmaiņas vakcinācijas sertifikāta izveidošanas un parakstīšanas sistēmā.</w:t>
            </w:r>
          </w:p>
          <w:p w14:paraId="5872BF05" w14:textId="77777777" w:rsidR="00923553" w:rsidRDefault="00923553" w:rsidP="00302150">
            <w:pPr>
              <w:spacing w:after="0" w:line="240" w:lineRule="auto"/>
              <w:ind w:firstLine="567"/>
              <w:jc w:val="both"/>
              <w:rPr>
                <w:rFonts w:ascii="Times New Roman" w:eastAsia="Calibri" w:hAnsi="Times New Roman" w:cs="Times New Roman"/>
                <w:sz w:val="24"/>
                <w:szCs w:val="24"/>
              </w:rPr>
            </w:pPr>
          </w:p>
          <w:p w14:paraId="74E7D2A8" w14:textId="5F558FB7" w:rsidR="00302150" w:rsidRPr="00302150" w:rsidRDefault="00923553" w:rsidP="0030215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302150" w:rsidRPr="00302150">
              <w:rPr>
                <w:rFonts w:ascii="Times New Roman" w:eastAsia="Calibri" w:hAnsi="Times New Roman" w:cs="Times New Roman"/>
                <w:sz w:val="24"/>
                <w:szCs w:val="24"/>
              </w:rPr>
              <w:t>38.</w:t>
            </w:r>
            <w:r w:rsidR="00302150" w:rsidRPr="00BB45E2">
              <w:rPr>
                <w:rFonts w:ascii="Times New Roman" w:eastAsia="Calibri" w:hAnsi="Times New Roman" w:cs="Times New Roman"/>
                <w:sz w:val="24"/>
                <w:szCs w:val="24"/>
                <w:vertAlign w:val="superscript"/>
              </w:rPr>
              <w:t>23</w:t>
            </w:r>
            <w:r w:rsidR="00302150" w:rsidRPr="00302150">
              <w:rPr>
                <w:rFonts w:ascii="Times New Roman" w:eastAsia="Calibri" w:hAnsi="Times New Roman" w:cs="Times New Roman"/>
                <w:sz w:val="24"/>
                <w:szCs w:val="24"/>
              </w:rPr>
              <w:t xml:space="preserve"> punkta grozījuma pamatojums:</w:t>
            </w:r>
          </w:p>
          <w:p w14:paraId="7C897C2D" w14:textId="21494C80" w:rsidR="00302150" w:rsidRPr="00302150" w:rsidRDefault="00302150" w:rsidP="00302150">
            <w:pPr>
              <w:spacing w:after="0" w:line="240" w:lineRule="auto"/>
              <w:ind w:firstLine="567"/>
              <w:jc w:val="both"/>
              <w:rPr>
                <w:rFonts w:ascii="Times New Roman" w:eastAsia="Calibri" w:hAnsi="Times New Roman" w:cs="Times New Roman"/>
                <w:sz w:val="24"/>
                <w:szCs w:val="24"/>
              </w:rPr>
            </w:pPr>
            <w:r w:rsidRPr="00302150">
              <w:rPr>
                <w:rFonts w:ascii="Times New Roman" w:eastAsia="Calibri" w:hAnsi="Times New Roman" w:cs="Times New Roman"/>
                <w:sz w:val="24"/>
                <w:szCs w:val="24"/>
              </w:rPr>
              <w:t>MK noteikumu Nr.360 38.</w:t>
            </w:r>
            <w:r w:rsidRPr="00302150">
              <w:rPr>
                <w:rFonts w:ascii="Times New Roman" w:eastAsia="Calibri" w:hAnsi="Times New Roman" w:cs="Times New Roman"/>
                <w:sz w:val="24"/>
                <w:szCs w:val="24"/>
                <w:vertAlign w:val="superscript"/>
              </w:rPr>
              <w:t>23</w:t>
            </w:r>
            <w:r w:rsidRPr="00302150">
              <w:rPr>
                <w:rFonts w:ascii="Times New Roman" w:eastAsia="Calibri" w:hAnsi="Times New Roman" w:cs="Times New Roman"/>
                <w:sz w:val="24"/>
                <w:szCs w:val="24"/>
              </w:rPr>
              <w:t xml:space="preserve"> punkts nosaka, ka ārstniecības iestādei ir tiesības iekasēt samaksu par sadarbspējīga vakcinācijas, testēšanas vai pārslimošanas sertifikāta izsniegšanu papīra formā, ja viens un tas pats sertifikāts iepriekš jau ticis izsniegts divas reizes. Sadarbspējīgus sertifikātus papīra formā izsniedz arī vienotie valsts un pašvaldību klientu apkalpošanas centri un pašvaldību klientu apkalpošanas struktūrvienības. Lai nodrošinātu vienotu pieeju papīra formāta sertifikātu izsniegšanā visās to izsniegšanas vietās un novērstu iespējamos ļaunprātīgos gadījumus, kad klientu apkalpošanas centram tiek pieprasīts bez maksas izsniegt sertifikāta papīra formu vairāk kā divos eksemplāros, projekts veic grozījumus nosakot, ka arī vienotajam valsts un pašvaldības klientu apkalpošanas centram un pašvaldības klientu apkalpošanas struktūrvienībai ir tiesības iekasēt samaksu par sadarbspējīga vakcinācijas, testēšanas vai pārslimošanas sertifikāta izsniegšanu papīra formā, ja viens un tas pats sertifikāts iepriekš jau ticis izsniegts divas reizes. </w:t>
            </w:r>
            <w:r w:rsidR="00BB45E2" w:rsidRPr="00BB45E2">
              <w:rPr>
                <w:rFonts w:ascii="Times New Roman" w:eastAsia="Calibri" w:hAnsi="Times New Roman" w:cs="Times New Roman"/>
                <w:sz w:val="24"/>
                <w:szCs w:val="24"/>
              </w:rPr>
              <w:t>Šāda pieeja atbilst Eiropas Parlamenta un Padomes 2021. gada 14. jūnija regulā (ES) 2021/953 par sadarbspējīgu Covid-19 vakcinācijas, testa un pārslimošanas sertifikātu (ES digitālais Covid sertifikāts) izdošanas, verifikācijas un akceptēšanas satvaru nolūkā atvieglot brīvu pārvietošanos Covid-19 pandēmijas laikā</w:t>
            </w:r>
            <w:r w:rsidR="00BB45E2">
              <w:rPr>
                <w:rFonts w:ascii="Times New Roman" w:eastAsia="Calibri" w:hAnsi="Times New Roman" w:cs="Times New Roman"/>
                <w:sz w:val="24"/>
                <w:szCs w:val="24"/>
              </w:rPr>
              <w:t xml:space="preserve"> noteiktajam (turpmāk – Regula).</w:t>
            </w:r>
            <w:r w:rsidR="00BB45E2" w:rsidRPr="00BB45E2">
              <w:rPr>
                <w:rFonts w:ascii="Times New Roman" w:eastAsia="Calibri" w:hAnsi="Times New Roman" w:cs="Times New Roman"/>
                <w:sz w:val="24"/>
                <w:szCs w:val="24"/>
              </w:rPr>
              <w:t xml:space="preserve">  Regulas 18.apsvērumā teikts, lai novērstu ļaunprātīgu izmantošanu vai krāpšanu, atkārtotas nozaudēšanas gadījumā vajadzētu būt iespējai iekasēt piemērotu maksu par jauna sertifikāta izdošanu. Regulas 3.panta 4.punkts nosaka, ka atkārtotas nozaudēšanas gadījumos par jauna sertifikāta izdošanu var iekasēt piemērotu maksu. </w:t>
            </w:r>
          </w:p>
          <w:p w14:paraId="62AE99F7" w14:textId="77777777" w:rsidR="000A6CB2" w:rsidRDefault="000A6CB2" w:rsidP="00302150">
            <w:pPr>
              <w:spacing w:after="0" w:line="240" w:lineRule="auto"/>
              <w:ind w:firstLine="567"/>
              <w:jc w:val="both"/>
              <w:rPr>
                <w:rFonts w:ascii="Times New Roman" w:eastAsia="Calibri" w:hAnsi="Times New Roman" w:cs="Times New Roman"/>
                <w:sz w:val="24"/>
                <w:szCs w:val="24"/>
              </w:rPr>
            </w:pPr>
          </w:p>
          <w:p w14:paraId="416DC202" w14:textId="545F2F83" w:rsidR="00302150" w:rsidRPr="00302150" w:rsidRDefault="00BB45E2" w:rsidP="0030215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302150" w:rsidRPr="00302150">
              <w:rPr>
                <w:rFonts w:ascii="Times New Roman" w:eastAsia="Calibri" w:hAnsi="Times New Roman" w:cs="Times New Roman"/>
                <w:sz w:val="24"/>
                <w:szCs w:val="24"/>
              </w:rPr>
              <w:t>Pamatojums par 38.</w:t>
            </w:r>
            <w:r w:rsidR="00302150" w:rsidRPr="00BB45E2">
              <w:rPr>
                <w:rFonts w:ascii="Times New Roman" w:eastAsia="Calibri" w:hAnsi="Times New Roman" w:cs="Times New Roman"/>
                <w:sz w:val="24"/>
                <w:szCs w:val="24"/>
                <w:vertAlign w:val="superscript"/>
              </w:rPr>
              <w:t>13</w:t>
            </w:r>
            <w:r w:rsidR="00302150" w:rsidRPr="00302150">
              <w:rPr>
                <w:rFonts w:ascii="Times New Roman" w:eastAsia="Calibri" w:hAnsi="Times New Roman" w:cs="Times New Roman"/>
                <w:sz w:val="24"/>
                <w:szCs w:val="24"/>
              </w:rPr>
              <w:t xml:space="preserve"> 8 apakšpunkta svītrošanu:</w:t>
            </w:r>
          </w:p>
          <w:p w14:paraId="2AB8A3B7" w14:textId="7A959A2A" w:rsidR="00302150" w:rsidRDefault="00302150" w:rsidP="00302150">
            <w:pPr>
              <w:spacing w:after="0" w:line="240" w:lineRule="auto"/>
              <w:ind w:firstLine="567"/>
              <w:jc w:val="both"/>
              <w:rPr>
                <w:rFonts w:ascii="Times New Roman" w:eastAsia="Calibri" w:hAnsi="Times New Roman" w:cs="Times New Roman"/>
                <w:sz w:val="24"/>
                <w:szCs w:val="24"/>
              </w:rPr>
            </w:pPr>
            <w:r w:rsidRPr="00302150">
              <w:rPr>
                <w:rFonts w:ascii="Times New Roman" w:eastAsia="Calibri" w:hAnsi="Times New Roman" w:cs="Times New Roman"/>
                <w:sz w:val="24"/>
                <w:szCs w:val="24"/>
              </w:rPr>
              <w:t>MK noteikumu Nr.360 38.</w:t>
            </w:r>
            <w:r w:rsidRPr="00BB45E2">
              <w:rPr>
                <w:rFonts w:ascii="Times New Roman" w:eastAsia="Calibri" w:hAnsi="Times New Roman" w:cs="Times New Roman"/>
                <w:sz w:val="24"/>
                <w:szCs w:val="24"/>
                <w:vertAlign w:val="superscript"/>
              </w:rPr>
              <w:t>13</w:t>
            </w:r>
            <w:r w:rsidRPr="00302150">
              <w:rPr>
                <w:rFonts w:ascii="Times New Roman" w:eastAsia="Calibri" w:hAnsi="Times New Roman" w:cs="Times New Roman"/>
                <w:sz w:val="24"/>
                <w:szCs w:val="24"/>
              </w:rPr>
              <w:t xml:space="preserve"> 8 apakšpunkts nosaka, ka sadarbspējīgs testēšanas sertifikāts satur informāciju par testa rezultāta datumu un laiku. Saskaņā ar Regulu šāda informācija testēšanas sertifikātā nav jāiekļauj, tāpēc minētais punkts no MK noteikumiem Nr.360 tiek svītrots.</w:t>
            </w:r>
          </w:p>
          <w:p w14:paraId="2D9AE6C7" w14:textId="77777777" w:rsidR="00302150" w:rsidRPr="008C062B" w:rsidRDefault="00302150" w:rsidP="008C062B">
            <w:pPr>
              <w:spacing w:after="0" w:line="240" w:lineRule="auto"/>
              <w:ind w:firstLine="567"/>
              <w:jc w:val="both"/>
              <w:rPr>
                <w:rFonts w:ascii="Times New Roman" w:eastAsia="Calibri" w:hAnsi="Times New Roman" w:cs="Times New Roman"/>
                <w:sz w:val="24"/>
                <w:szCs w:val="24"/>
              </w:rPr>
            </w:pPr>
          </w:p>
          <w:p w14:paraId="7C29E337" w14:textId="20EA1990" w:rsidR="00074908" w:rsidRPr="00074908" w:rsidRDefault="00BB45E2" w:rsidP="00074908">
            <w:pPr>
              <w:spacing w:after="0" w:line="240" w:lineRule="auto"/>
              <w:ind w:firstLine="709"/>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6</w:t>
            </w:r>
            <w:r w:rsidR="00B83FDD">
              <w:rPr>
                <w:rFonts w:ascii="Times New Roman" w:eastAsia="Calibri" w:hAnsi="Times New Roman" w:cs="Times New Roman"/>
                <w:color w:val="000000"/>
                <w:sz w:val="24"/>
                <w:szCs w:val="24"/>
                <w:lang w:eastAsia="lv-LV"/>
              </w:rPr>
              <w:t xml:space="preserve">. </w:t>
            </w:r>
            <w:r w:rsidR="00074908" w:rsidRPr="00074908">
              <w:rPr>
                <w:rFonts w:ascii="Times New Roman" w:eastAsia="Calibri" w:hAnsi="Times New Roman" w:cs="Times New Roman"/>
                <w:color w:val="000000"/>
                <w:sz w:val="24"/>
                <w:szCs w:val="24"/>
                <w:lang w:eastAsia="lv-LV"/>
              </w:rPr>
              <w:t xml:space="preserve">Ņemot vērā Valsts operatīvās medicīnas komisijas 2021.gada 30.jūnija sēdē pieņemto lēmumu atcelt 2020.gada 3.decembrī izsludināto ārkārtējo stāvokli medicīnā, ir tikuši pārskatīti noteiktie ierobežojumi attiecībā uz veselības tūrismu. </w:t>
            </w:r>
          </w:p>
          <w:p w14:paraId="6DFEBE79" w14:textId="16EEB3CA" w:rsidR="00074908" w:rsidRPr="00074908" w:rsidRDefault="00074908" w:rsidP="00074908">
            <w:pPr>
              <w:spacing w:after="0" w:line="240" w:lineRule="auto"/>
              <w:ind w:firstLine="720"/>
              <w:jc w:val="both"/>
              <w:rPr>
                <w:rFonts w:ascii="Times New Roman" w:eastAsia="Calibri" w:hAnsi="Times New Roman" w:cs="Times New Roman"/>
                <w:color w:val="000000"/>
                <w:sz w:val="24"/>
                <w:szCs w:val="24"/>
                <w:lang w:eastAsia="lv-LV"/>
              </w:rPr>
            </w:pPr>
            <w:r w:rsidRPr="00074908">
              <w:rPr>
                <w:rFonts w:ascii="Times New Roman" w:eastAsia="Calibri" w:hAnsi="Times New Roman" w:cs="Times New Roman"/>
                <w:color w:val="000000"/>
                <w:sz w:val="24"/>
                <w:szCs w:val="24"/>
                <w:lang w:eastAsia="lv-LV"/>
              </w:rPr>
              <w:t>Noteikumu projekts paredz izslēgt 34.</w:t>
            </w:r>
            <w:r w:rsidRPr="00074908">
              <w:rPr>
                <w:rFonts w:ascii="Times New Roman" w:eastAsia="Calibri" w:hAnsi="Times New Roman" w:cs="Times New Roman"/>
                <w:color w:val="000000"/>
                <w:sz w:val="24"/>
                <w:szCs w:val="24"/>
                <w:vertAlign w:val="superscript"/>
                <w:lang w:eastAsia="lv-LV"/>
              </w:rPr>
              <w:t>4</w:t>
            </w:r>
            <w:r w:rsidRPr="00074908">
              <w:rPr>
                <w:rFonts w:ascii="Times New Roman" w:eastAsia="Calibri" w:hAnsi="Times New Roman" w:cs="Times New Roman"/>
                <w:color w:val="000000"/>
                <w:sz w:val="24"/>
                <w:szCs w:val="24"/>
                <w:lang w:eastAsia="lv-LV"/>
              </w:rPr>
              <w:t> punktu</w:t>
            </w:r>
            <w:r w:rsidR="00ED74EF" w:rsidRPr="0093129C">
              <w:rPr>
                <w:rFonts w:ascii="Times New Roman" w:eastAsia="Calibri" w:hAnsi="Times New Roman" w:cs="Times New Roman"/>
                <w:color w:val="000000"/>
                <w:sz w:val="24"/>
                <w:szCs w:val="24"/>
                <w:lang w:eastAsia="lv-LV"/>
              </w:rPr>
              <w:t>, kas nosaka, ka</w:t>
            </w:r>
            <w:r w:rsidRPr="00074908">
              <w:rPr>
                <w:rFonts w:ascii="Times New Roman" w:eastAsia="Calibri" w:hAnsi="Times New Roman" w:cs="Times New Roman"/>
                <w:color w:val="000000"/>
                <w:sz w:val="24"/>
                <w:szCs w:val="24"/>
                <w:lang w:eastAsia="lv-LV"/>
              </w:rPr>
              <w:t xml:space="preserve"> Veselības tūrisms ir atļauts īpašos gadījumos, kas saistīti ar humāniem apsvērumiem vai neatliekamu vajadzību, ja saņemta Veselības ministrijas atļauja</w:t>
            </w:r>
            <w:r w:rsidR="00ED74EF" w:rsidRPr="0093129C">
              <w:rPr>
                <w:rFonts w:ascii="Times New Roman" w:eastAsia="Calibri" w:hAnsi="Times New Roman" w:cs="Times New Roman"/>
                <w:color w:val="000000"/>
                <w:sz w:val="24"/>
                <w:szCs w:val="24"/>
                <w:lang w:eastAsia="lv-LV"/>
              </w:rPr>
              <w:t xml:space="preserve"> </w:t>
            </w:r>
            <w:r w:rsidRPr="00074908">
              <w:rPr>
                <w:rFonts w:ascii="Times New Roman" w:eastAsia="Calibri" w:hAnsi="Times New Roman" w:cs="Times New Roman"/>
                <w:color w:val="000000"/>
                <w:sz w:val="24"/>
                <w:szCs w:val="24"/>
                <w:lang w:eastAsia="lv-LV"/>
              </w:rPr>
              <w:t>un  60.</w:t>
            </w:r>
            <w:r w:rsidRPr="00074908">
              <w:rPr>
                <w:rFonts w:ascii="Times New Roman" w:eastAsia="Calibri" w:hAnsi="Times New Roman" w:cs="Times New Roman"/>
                <w:color w:val="000000"/>
                <w:sz w:val="24"/>
                <w:szCs w:val="24"/>
                <w:vertAlign w:val="superscript"/>
                <w:lang w:eastAsia="lv-LV"/>
              </w:rPr>
              <w:t>3 </w:t>
            </w:r>
            <w:r w:rsidRPr="00074908">
              <w:rPr>
                <w:rFonts w:ascii="Times New Roman" w:eastAsia="Calibri" w:hAnsi="Times New Roman" w:cs="Times New Roman"/>
                <w:color w:val="000000"/>
                <w:sz w:val="24"/>
                <w:szCs w:val="24"/>
                <w:lang w:eastAsia="lv-LV"/>
              </w:rPr>
              <w:t xml:space="preserve"> punktu, kas noteic, ka Veselības inspekcija informāciju par šo noteikumu </w:t>
            </w:r>
            <w:hyperlink r:id="rId9" w:anchor="p60.1" w:history="1">
              <w:r w:rsidRPr="00074908">
                <w:rPr>
                  <w:rFonts w:ascii="Times New Roman" w:eastAsia="Calibri" w:hAnsi="Times New Roman" w:cs="Times New Roman"/>
                  <w:color w:val="000000"/>
                  <w:sz w:val="24"/>
                  <w:szCs w:val="24"/>
                  <w:lang w:eastAsia="lv-LV"/>
                </w:rPr>
                <w:t>60.</w:t>
              </w:r>
              <w:r w:rsidRPr="00074908">
                <w:rPr>
                  <w:rFonts w:ascii="Times New Roman" w:eastAsia="Calibri" w:hAnsi="Times New Roman" w:cs="Times New Roman"/>
                  <w:color w:val="000000"/>
                  <w:sz w:val="24"/>
                  <w:szCs w:val="24"/>
                  <w:vertAlign w:val="superscript"/>
                  <w:lang w:eastAsia="lv-LV"/>
                </w:rPr>
                <w:t>1</w:t>
              </w:r>
            </w:hyperlink>
            <w:r w:rsidRPr="00074908">
              <w:rPr>
                <w:rFonts w:ascii="Times New Roman" w:eastAsia="Calibri" w:hAnsi="Times New Roman" w:cs="Times New Roman"/>
                <w:color w:val="000000"/>
                <w:sz w:val="24"/>
                <w:szCs w:val="24"/>
                <w:lang w:eastAsia="lv-LV"/>
              </w:rPr>
              <w:t> un </w:t>
            </w:r>
            <w:hyperlink r:id="rId10" w:anchor="p60.2" w:history="1">
              <w:r w:rsidRPr="00074908">
                <w:rPr>
                  <w:rFonts w:ascii="Times New Roman" w:eastAsia="Calibri" w:hAnsi="Times New Roman" w:cs="Times New Roman"/>
                  <w:color w:val="000000"/>
                  <w:sz w:val="24"/>
                  <w:szCs w:val="24"/>
                  <w:lang w:eastAsia="lv-LV"/>
                </w:rPr>
                <w:t>60.</w:t>
              </w:r>
              <w:r w:rsidRPr="00074908">
                <w:rPr>
                  <w:rFonts w:ascii="Times New Roman" w:eastAsia="Calibri" w:hAnsi="Times New Roman" w:cs="Times New Roman"/>
                  <w:color w:val="000000"/>
                  <w:sz w:val="24"/>
                  <w:szCs w:val="24"/>
                  <w:vertAlign w:val="superscript"/>
                  <w:lang w:eastAsia="lv-LV"/>
                </w:rPr>
                <w:t>2</w:t>
              </w:r>
              <w:r w:rsidRPr="00074908">
                <w:rPr>
                  <w:rFonts w:ascii="Times New Roman" w:eastAsia="Calibri" w:hAnsi="Times New Roman" w:cs="Times New Roman"/>
                  <w:color w:val="000000"/>
                  <w:sz w:val="24"/>
                  <w:szCs w:val="24"/>
                  <w:lang w:eastAsia="lv-LV"/>
                </w:rPr>
                <w:t> punktā</w:t>
              </w:r>
            </w:hyperlink>
            <w:r w:rsidRPr="00074908">
              <w:rPr>
                <w:rFonts w:ascii="Times New Roman" w:eastAsia="Calibri" w:hAnsi="Times New Roman" w:cs="Times New Roman"/>
                <w:color w:val="000000"/>
                <w:sz w:val="24"/>
                <w:szCs w:val="24"/>
                <w:lang w:eastAsia="lv-LV"/>
              </w:rPr>
              <w:t xml:space="preserve"> minētajām personām nosūta Valsts policijai un Valsts robežsardzei. </w:t>
            </w:r>
          </w:p>
          <w:p w14:paraId="60DE0DC8" w14:textId="564046AE" w:rsidR="00074908" w:rsidRPr="00074908" w:rsidRDefault="00074908" w:rsidP="00074908">
            <w:pPr>
              <w:spacing w:after="0" w:line="240" w:lineRule="auto"/>
              <w:ind w:firstLine="720"/>
              <w:jc w:val="both"/>
              <w:rPr>
                <w:rFonts w:ascii="Times New Roman" w:eastAsia="Calibri" w:hAnsi="Times New Roman" w:cs="Times New Roman"/>
                <w:color w:val="000000"/>
                <w:sz w:val="24"/>
                <w:szCs w:val="24"/>
                <w:lang w:eastAsia="lv-LV"/>
              </w:rPr>
            </w:pPr>
            <w:r w:rsidRPr="00074908">
              <w:rPr>
                <w:rFonts w:ascii="Times New Roman" w:eastAsia="Calibri" w:hAnsi="Times New Roman" w:cs="Times New Roman"/>
                <w:color w:val="000000"/>
                <w:sz w:val="24"/>
                <w:szCs w:val="24"/>
                <w:lang w:eastAsia="lv-LV"/>
              </w:rPr>
              <w:t>Ņemot vērā Noteikumu V</w:t>
            </w:r>
            <w:r w:rsidRPr="00074908">
              <w:rPr>
                <w:rFonts w:ascii="Times New Roman" w:eastAsia="Calibri" w:hAnsi="Times New Roman" w:cs="Times New Roman"/>
                <w:color w:val="000000"/>
                <w:sz w:val="24"/>
                <w:szCs w:val="24"/>
                <w:vertAlign w:val="superscript"/>
                <w:lang w:eastAsia="lv-LV"/>
              </w:rPr>
              <w:t>2</w:t>
            </w:r>
            <w:r w:rsidRPr="00074908">
              <w:rPr>
                <w:rFonts w:ascii="Times New Roman" w:eastAsia="Calibri" w:hAnsi="Times New Roman" w:cs="Times New Roman"/>
                <w:color w:val="000000"/>
                <w:sz w:val="24"/>
                <w:szCs w:val="24"/>
                <w:lang w:eastAsia="lv-LV"/>
              </w:rPr>
              <w:t>. nodaļā ietvertos nosacījumus ieceļošanai Latvijas Republikā, Noteikumu projektā paredzēts, ka ārzemniekiem, kuri plāno ierasties Latvijā ārstēšanās (diagnostikas un terapijas) pakalpojumu saņemšanai no ES, EES, Šveices, AK un zema riska trešajām valstīm</w:t>
            </w:r>
            <w:r w:rsidR="00AE5FBE" w:rsidRPr="0093129C">
              <w:rPr>
                <w:rFonts w:ascii="Times New Roman" w:eastAsia="Calibri" w:hAnsi="Times New Roman" w:cs="Times New Roman"/>
                <w:color w:val="000000"/>
                <w:sz w:val="24"/>
                <w:szCs w:val="24"/>
                <w:lang w:eastAsia="lv-LV"/>
              </w:rPr>
              <w:t>,</w:t>
            </w:r>
            <w:r w:rsidRPr="00074908">
              <w:rPr>
                <w:rFonts w:ascii="Times New Roman" w:eastAsia="Calibri" w:hAnsi="Times New Roman" w:cs="Times New Roman"/>
                <w:color w:val="000000"/>
                <w:sz w:val="24"/>
                <w:szCs w:val="24"/>
                <w:lang w:eastAsia="lv-LV"/>
              </w:rPr>
              <w:t xml:space="preserve"> atļauja veselības aprūpes pakalpojumu saņemšanai veselības tūrisma </w:t>
            </w:r>
            <w:r w:rsidRPr="00074908">
              <w:rPr>
                <w:rFonts w:ascii="Times New Roman" w:eastAsia="Calibri" w:hAnsi="Times New Roman" w:cs="Times New Roman"/>
                <w:color w:val="000000"/>
                <w:sz w:val="24"/>
                <w:szCs w:val="24"/>
                <w:lang w:eastAsia="lv-LV"/>
              </w:rPr>
              <w:lastRenderedPageBreak/>
              <w:t>ietvaros nav jāpieprasa. Uz šiem ārzemniekiem, attiecināmi Noteikumu V</w:t>
            </w:r>
            <w:r w:rsidRPr="00074908">
              <w:rPr>
                <w:rFonts w:ascii="Times New Roman" w:eastAsia="Calibri" w:hAnsi="Times New Roman" w:cs="Times New Roman"/>
                <w:color w:val="000000"/>
                <w:sz w:val="24"/>
                <w:szCs w:val="24"/>
                <w:vertAlign w:val="superscript"/>
                <w:lang w:eastAsia="lv-LV"/>
              </w:rPr>
              <w:t>2</w:t>
            </w:r>
            <w:r w:rsidRPr="00074908">
              <w:rPr>
                <w:rFonts w:ascii="Times New Roman" w:eastAsia="Calibri" w:hAnsi="Times New Roman" w:cs="Times New Roman"/>
                <w:color w:val="000000"/>
                <w:sz w:val="24"/>
                <w:szCs w:val="24"/>
                <w:lang w:eastAsia="lv-LV"/>
              </w:rPr>
              <w:t>. nodaļā noteiktie nosacījumi ieceļošanai Latvijas Republikā. Ārstniecības iestādēm nav jāinformē Veselības inspekcija par plānotu veselības aprūpes pakalpojumu sniegšanu šiem ārzemniekiem.</w:t>
            </w:r>
          </w:p>
          <w:p w14:paraId="41C3AC2A" w14:textId="77777777" w:rsidR="00074908" w:rsidRPr="00074908" w:rsidRDefault="00074908" w:rsidP="00074908">
            <w:pPr>
              <w:spacing w:after="0" w:line="240" w:lineRule="auto"/>
              <w:ind w:firstLine="720"/>
              <w:jc w:val="both"/>
              <w:rPr>
                <w:rFonts w:ascii="Times New Roman" w:eastAsia="Calibri" w:hAnsi="Times New Roman" w:cs="Times New Roman"/>
                <w:color w:val="000000"/>
                <w:sz w:val="24"/>
                <w:szCs w:val="24"/>
                <w:lang w:eastAsia="lv-LV"/>
              </w:rPr>
            </w:pPr>
            <w:r w:rsidRPr="00074908">
              <w:rPr>
                <w:rFonts w:ascii="Times New Roman" w:eastAsia="Calibri" w:hAnsi="Times New Roman" w:cs="Times New Roman"/>
                <w:color w:val="000000"/>
                <w:sz w:val="24"/>
                <w:szCs w:val="24"/>
                <w:lang w:eastAsia="lv-LV"/>
              </w:rPr>
              <w:t>Noteikumu projekts paredz grozīt  60.</w:t>
            </w:r>
            <w:r w:rsidRPr="00074908">
              <w:rPr>
                <w:rFonts w:ascii="Times New Roman" w:eastAsia="Calibri" w:hAnsi="Times New Roman" w:cs="Times New Roman"/>
                <w:color w:val="000000"/>
                <w:sz w:val="24"/>
                <w:szCs w:val="24"/>
                <w:vertAlign w:val="superscript"/>
                <w:lang w:eastAsia="lv-LV"/>
              </w:rPr>
              <w:t>1</w:t>
            </w:r>
            <w:r w:rsidRPr="00074908">
              <w:rPr>
                <w:rFonts w:ascii="Times New Roman" w:eastAsia="Calibri" w:hAnsi="Times New Roman" w:cs="Times New Roman"/>
                <w:color w:val="000000"/>
                <w:sz w:val="24"/>
                <w:szCs w:val="24"/>
                <w:lang w:eastAsia="lv-LV"/>
              </w:rPr>
              <w:t xml:space="preserve"> punktu, attiecinot to uz ārzemniekiem, kuri ierodas Latvijā ārstēšanās (diagnostikas un terapijas) pakalpojumu saņemšanai no augsta riska trešajām valstīm vai no valstīm, kurās ir īpaši augsts risks  sabiedrības veselībai. Par  ārzemniekiem, kuriem paredzēts ierasties Latvijā no augsta riska trešajām valstīm vai no valstīm, kurās ir īpaši augsts risks  sabiedrības veselībai medicīnas tūrisma pakalpojuma saņemšanai, 60.</w:t>
            </w:r>
            <w:r w:rsidRPr="00074908">
              <w:rPr>
                <w:rFonts w:ascii="Times New Roman" w:eastAsia="Calibri" w:hAnsi="Times New Roman" w:cs="Times New Roman"/>
                <w:color w:val="000000"/>
                <w:sz w:val="24"/>
                <w:szCs w:val="24"/>
                <w:vertAlign w:val="superscript"/>
                <w:lang w:eastAsia="lv-LV"/>
              </w:rPr>
              <w:t>1</w:t>
            </w:r>
            <w:r w:rsidRPr="00074908">
              <w:rPr>
                <w:rFonts w:ascii="Times New Roman" w:eastAsia="Calibri" w:hAnsi="Times New Roman" w:cs="Times New Roman"/>
                <w:color w:val="000000"/>
                <w:sz w:val="24"/>
                <w:szCs w:val="24"/>
                <w:lang w:eastAsia="lv-LV"/>
              </w:rPr>
              <w:t xml:space="preserve"> punktā norādītajā kārtībā ārstniecības iestāde, kas sniedz medicīnas tūrisma pakalpojumu, iesniedz Inspekcijai informāciju veselības tūrisma atļaujas saņemšanai. Atļauja par veselības tūrismu ir izsniedzama tikai īpašos gadījumos, kas saistīti ar humāniem apsvērumiem vai neatliekamu vajadzību. Tādējādi noteikumu projekts paredz grozīt arī 38.</w:t>
            </w:r>
            <w:r w:rsidRPr="00074908">
              <w:rPr>
                <w:rFonts w:ascii="Times New Roman" w:eastAsia="Calibri" w:hAnsi="Times New Roman" w:cs="Times New Roman"/>
                <w:color w:val="000000"/>
                <w:sz w:val="24"/>
                <w:szCs w:val="24"/>
                <w:vertAlign w:val="superscript"/>
                <w:lang w:eastAsia="lv-LV"/>
              </w:rPr>
              <w:t>48</w:t>
            </w:r>
            <w:r w:rsidRPr="00074908">
              <w:rPr>
                <w:rFonts w:ascii="Times New Roman" w:eastAsia="Calibri" w:hAnsi="Times New Roman" w:cs="Times New Roman"/>
                <w:color w:val="000000"/>
                <w:sz w:val="24"/>
                <w:szCs w:val="24"/>
                <w:lang w:eastAsia="lv-LV"/>
              </w:rPr>
              <w:t> 10.punktu, nosakot, ka ārzemniekiem, kuru ierašanos Latvijā ārstēšanas (diagnostikas un terapijas) pakalpojuma saņemšanai veselības tūrisma ietvaros ir saskaņojusi Veselības inspekcija, ja (diagnostikas un terapijas) pakalpojuma saņemšana  atbilst  humāniem apsvērumiem vai neatliekamai vajadzībai.</w:t>
            </w:r>
          </w:p>
          <w:p w14:paraId="0AB0A06D" w14:textId="77777777" w:rsidR="00074908" w:rsidRPr="00074908" w:rsidRDefault="00074908" w:rsidP="00074908">
            <w:pPr>
              <w:spacing w:after="0" w:line="240" w:lineRule="auto"/>
              <w:ind w:firstLine="720"/>
              <w:jc w:val="both"/>
              <w:rPr>
                <w:rFonts w:ascii="Times New Roman" w:eastAsia="Calibri" w:hAnsi="Times New Roman" w:cs="Times New Roman"/>
                <w:color w:val="000000"/>
                <w:sz w:val="24"/>
                <w:szCs w:val="24"/>
                <w:lang w:eastAsia="lv-LV"/>
              </w:rPr>
            </w:pPr>
            <w:r w:rsidRPr="00074908">
              <w:rPr>
                <w:rFonts w:ascii="Times New Roman" w:eastAsia="Calibri" w:hAnsi="Times New Roman" w:cs="Times New Roman"/>
                <w:color w:val="000000"/>
                <w:sz w:val="24"/>
                <w:szCs w:val="24"/>
                <w:lang w:eastAsia="lv-LV"/>
              </w:rPr>
              <w:t>Vienlaikus noteikumu projekts paredz, ka 38.</w:t>
            </w:r>
            <w:r w:rsidRPr="00074908">
              <w:rPr>
                <w:rFonts w:ascii="Times New Roman" w:eastAsia="Calibri" w:hAnsi="Times New Roman" w:cs="Times New Roman"/>
                <w:color w:val="000000"/>
                <w:sz w:val="24"/>
                <w:szCs w:val="24"/>
                <w:vertAlign w:val="superscript"/>
                <w:lang w:eastAsia="lv-LV"/>
              </w:rPr>
              <w:t>48 </w:t>
            </w:r>
            <w:r w:rsidRPr="00074908">
              <w:rPr>
                <w:rFonts w:ascii="Times New Roman" w:eastAsia="Calibri" w:hAnsi="Times New Roman" w:cs="Times New Roman"/>
                <w:color w:val="000000"/>
                <w:sz w:val="24"/>
                <w:szCs w:val="24"/>
                <w:lang w:eastAsia="lv-LV"/>
              </w:rPr>
              <w:t>10.apakšpunktā norādītajai personai, pēc Veselības inspekcijas atļaujas saņemšanas, ierodoties Latvijas Republikā, jāievēro Ministru kabineta 2020.gada 9.jūnija noteikumos Nr.360 „Epidemioloģiskās drošības pasākumi Covid-19 infekcijas izplatības ierobežošanai” noteiktie nosacījumi ieceļošanai. Nosacījums ievērot ieceļošanas noteikumus ar noteikumu 60.2 punktu noteikts arī noteikumu 38.</w:t>
            </w:r>
            <w:r w:rsidRPr="00074908">
              <w:rPr>
                <w:rFonts w:ascii="Times New Roman" w:eastAsia="Calibri" w:hAnsi="Times New Roman" w:cs="Times New Roman"/>
                <w:color w:val="000000"/>
                <w:sz w:val="24"/>
                <w:szCs w:val="24"/>
                <w:vertAlign w:val="superscript"/>
                <w:lang w:eastAsia="lv-LV"/>
              </w:rPr>
              <w:t>48</w:t>
            </w:r>
            <w:r w:rsidRPr="00074908">
              <w:rPr>
                <w:rFonts w:ascii="Times New Roman" w:eastAsia="Calibri" w:hAnsi="Times New Roman" w:cs="Times New Roman"/>
                <w:color w:val="000000"/>
                <w:sz w:val="24"/>
                <w:szCs w:val="24"/>
                <w:lang w:eastAsia="lv-LV"/>
              </w:rPr>
              <w:t> 11.punktā noteiktajai  personai, kura pavada 38.</w:t>
            </w:r>
            <w:r w:rsidRPr="00074908">
              <w:rPr>
                <w:rFonts w:ascii="Times New Roman" w:eastAsia="Calibri" w:hAnsi="Times New Roman" w:cs="Times New Roman"/>
                <w:color w:val="000000"/>
                <w:sz w:val="24"/>
                <w:szCs w:val="24"/>
                <w:vertAlign w:val="superscript"/>
                <w:lang w:eastAsia="lv-LV"/>
              </w:rPr>
              <w:t>48 </w:t>
            </w:r>
            <w:r w:rsidRPr="00074908">
              <w:rPr>
                <w:rFonts w:ascii="Times New Roman" w:eastAsia="Calibri" w:hAnsi="Times New Roman" w:cs="Times New Roman"/>
                <w:color w:val="000000"/>
                <w:sz w:val="24"/>
                <w:szCs w:val="24"/>
                <w:lang w:eastAsia="lv-LV"/>
              </w:rPr>
              <w:t xml:space="preserve">10.punktā minēto personu, kas ierodas veselības tūrisma pakalpojuma saņemšanai. </w:t>
            </w:r>
          </w:p>
          <w:p w14:paraId="5F215869" w14:textId="77777777" w:rsidR="00BB45E2" w:rsidRDefault="00074908" w:rsidP="00074908">
            <w:pPr>
              <w:spacing w:after="0" w:line="240" w:lineRule="auto"/>
              <w:ind w:firstLine="720"/>
              <w:jc w:val="both"/>
              <w:rPr>
                <w:rFonts w:ascii="Times New Roman" w:eastAsia="Calibri" w:hAnsi="Times New Roman" w:cs="Times New Roman"/>
                <w:color w:val="000000"/>
                <w:sz w:val="24"/>
                <w:szCs w:val="24"/>
                <w:lang w:eastAsia="lv-LV"/>
              </w:rPr>
            </w:pPr>
            <w:r w:rsidRPr="00074908">
              <w:rPr>
                <w:rFonts w:ascii="Times New Roman" w:eastAsia="Calibri" w:hAnsi="Times New Roman" w:cs="Times New Roman"/>
                <w:color w:val="000000"/>
                <w:sz w:val="24"/>
                <w:szCs w:val="24"/>
                <w:lang w:eastAsia="lv-LV"/>
              </w:rPr>
              <w:t>Ņemot vērā, ka noteikumos lietots gan termins „veselības tūrisms”, gan termins „medicīnas tūrisms”, caurskatīti visi noteikumu punkti un labojot kļūdaini lietoto terminu „medicīnas tūrisms” un tā vietā lietojot terminu „veselības tūrisms”, kas ir  atbilstoši Tūrisma likuma 1.panta pirmās daļas 27.punktam: veselības tūrisms – tūrisma veids, kura mērķis ir organisma vispārējā stāvokļa un labsajūtas uzlabošana, profilakse, diagnostika, ārstēšana un rehabilitācija, izmantojot arī dabas dziednieciskos resursus.</w:t>
            </w:r>
          </w:p>
          <w:p w14:paraId="269CAA2C" w14:textId="28B9CA4A" w:rsidR="008C062B" w:rsidRDefault="00BB45E2" w:rsidP="00525C3B">
            <w:pPr>
              <w:spacing w:after="0" w:line="240" w:lineRule="auto"/>
              <w:ind w:firstLine="720"/>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7.</w:t>
            </w:r>
            <w:r w:rsidR="00E431FF">
              <w:t xml:space="preserve"> </w:t>
            </w:r>
            <w:r w:rsidR="00E431FF" w:rsidRPr="00E431FF">
              <w:rPr>
                <w:rFonts w:ascii="Times New Roman" w:eastAsia="Calibri" w:hAnsi="Times New Roman" w:cs="Times New Roman"/>
                <w:color w:val="000000"/>
                <w:sz w:val="24"/>
                <w:szCs w:val="24"/>
                <w:lang w:eastAsia="lv-LV"/>
              </w:rPr>
              <w:t>Saskaņā ar MK noteikumu Nr.360 38.</w:t>
            </w:r>
            <w:r w:rsidR="00E431FF" w:rsidRPr="00E431FF">
              <w:rPr>
                <w:rFonts w:ascii="Times New Roman" w:eastAsia="Calibri" w:hAnsi="Times New Roman" w:cs="Times New Roman"/>
                <w:color w:val="000000"/>
                <w:sz w:val="24"/>
                <w:szCs w:val="24"/>
                <w:vertAlign w:val="superscript"/>
                <w:lang w:eastAsia="lv-LV"/>
              </w:rPr>
              <w:t>19</w:t>
            </w:r>
            <w:r w:rsidR="00E431FF" w:rsidRPr="00E431FF">
              <w:rPr>
                <w:rFonts w:ascii="Times New Roman" w:eastAsia="Calibri" w:hAnsi="Times New Roman" w:cs="Times New Roman"/>
                <w:color w:val="000000"/>
                <w:sz w:val="24"/>
                <w:szCs w:val="24"/>
                <w:lang w:eastAsia="lv-LV"/>
              </w:rPr>
              <w:t>1.apakšpunktu, Iedzīvotāju reģistrā nereģistrēta persona vai šīs personas likumiskais pārstāvis elektroniski tīmekļvietnē www.Covid19sertifikats.lv, izmantojot ārstniecības iestādes izsniegtu saiti un PIN kodu, var pieprasīt un lejupielādēt tikai sadarbspējīgu testēšanas vai pārslimošanas sertifikātu. Lai nodrošinātu, ka Iedzīvotāju reģistrā nereģistrētās personas elektroniski tīmekļvietnē www.Covid19sertifikats.lv var pieprasīt un saņemt arī vakcinācijas sertifikātu, veikti tehniski uzlabojumi Nacionālā veselības dienesta informācijas sistēmās un šāda iespēja ir nodrošināta. Līdz ar to tiek veikti grozījumi MK noteikumu Nr.360 38.</w:t>
            </w:r>
            <w:r w:rsidR="00E431FF" w:rsidRPr="00E431FF">
              <w:rPr>
                <w:rFonts w:ascii="Times New Roman" w:eastAsia="Calibri" w:hAnsi="Times New Roman" w:cs="Times New Roman"/>
                <w:color w:val="000000"/>
                <w:sz w:val="24"/>
                <w:szCs w:val="24"/>
                <w:vertAlign w:val="superscript"/>
                <w:lang w:eastAsia="lv-LV"/>
              </w:rPr>
              <w:t>19</w:t>
            </w:r>
            <w:r w:rsidR="00E431FF" w:rsidRPr="00E431FF">
              <w:rPr>
                <w:rFonts w:ascii="Times New Roman" w:eastAsia="Calibri" w:hAnsi="Times New Roman" w:cs="Times New Roman"/>
                <w:color w:val="000000"/>
                <w:sz w:val="24"/>
                <w:szCs w:val="24"/>
                <w:lang w:eastAsia="lv-LV"/>
              </w:rPr>
              <w:t xml:space="preserve"> 1.apakšpunktā, nosakot, ka sadarbspējīgu vakcinācijas,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 vai pagaidu piekļuves identifikatoru un paroli. Tādējādi arī </w:t>
            </w:r>
            <w:r w:rsidR="00E431FF" w:rsidRPr="00E431FF">
              <w:rPr>
                <w:rFonts w:ascii="Times New Roman" w:eastAsia="Calibri" w:hAnsi="Times New Roman" w:cs="Times New Roman"/>
                <w:color w:val="000000"/>
                <w:sz w:val="24"/>
                <w:szCs w:val="24"/>
                <w:lang w:eastAsia="lv-LV"/>
              </w:rPr>
              <w:lastRenderedPageBreak/>
              <w:t>Iedzīvotāju reģistrā nereģistrētas personas visu sadarbspējīgo sertifikātus veidus var pieprasīt un saņemt elektroniski. Vienlaikus saskaņā ar MK noteikumu Nr.360 38.</w:t>
            </w:r>
            <w:r w:rsidR="00E431FF" w:rsidRPr="00E431FF">
              <w:rPr>
                <w:rFonts w:ascii="Times New Roman" w:eastAsia="Calibri" w:hAnsi="Times New Roman" w:cs="Times New Roman"/>
                <w:color w:val="000000"/>
                <w:sz w:val="24"/>
                <w:szCs w:val="24"/>
                <w:vertAlign w:val="superscript"/>
                <w:lang w:eastAsia="lv-LV"/>
              </w:rPr>
              <w:t>19</w:t>
            </w:r>
            <w:r w:rsidR="00E431FF" w:rsidRPr="00E431FF">
              <w:rPr>
                <w:rFonts w:ascii="Times New Roman" w:eastAsia="Calibri" w:hAnsi="Times New Roman" w:cs="Times New Roman"/>
                <w:color w:val="000000"/>
                <w:sz w:val="24"/>
                <w:szCs w:val="24"/>
                <w:lang w:eastAsia="lv-LV"/>
              </w:rPr>
              <w:t xml:space="preserve"> 2.apakšpunktu sertifikātus var saņemt arī papīra veidā.</w:t>
            </w:r>
          </w:p>
          <w:p w14:paraId="7A9243BC" w14:textId="51611335" w:rsidR="00525C3B" w:rsidRPr="00525C3B" w:rsidRDefault="00525C3B" w:rsidP="00B81EE0">
            <w:pPr>
              <w:spacing w:after="0" w:line="240" w:lineRule="auto"/>
              <w:ind w:firstLine="720"/>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8.</w:t>
            </w:r>
            <w:r>
              <w:t xml:space="preserve"> </w:t>
            </w:r>
            <w:r w:rsidRPr="00525C3B">
              <w:rPr>
                <w:rFonts w:ascii="Times New Roman" w:eastAsia="Calibri" w:hAnsi="Times New Roman" w:cs="Times New Roman"/>
                <w:color w:val="000000"/>
                <w:sz w:val="24"/>
                <w:szCs w:val="24"/>
                <w:lang w:eastAsia="lv-LV"/>
              </w:rPr>
              <w:t>MK noteikumu Nr.360 38.</w:t>
            </w:r>
            <w:r w:rsidRPr="00525C3B">
              <w:rPr>
                <w:rFonts w:ascii="Times New Roman" w:eastAsia="Calibri" w:hAnsi="Times New Roman" w:cs="Times New Roman"/>
                <w:color w:val="000000"/>
                <w:sz w:val="24"/>
                <w:szCs w:val="24"/>
                <w:vertAlign w:val="superscript"/>
                <w:lang w:eastAsia="lv-LV"/>
              </w:rPr>
              <w:t>12</w:t>
            </w:r>
            <w:r w:rsidRPr="00525C3B">
              <w:rPr>
                <w:rFonts w:ascii="Times New Roman" w:eastAsia="Calibri" w:hAnsi="Times New Roman" w:cs="Times New Roman"/>
                <w:color w:val="000000"/>
                <w:sz w:val="24"/>
                <w:szCs w:val="24"/>
                <w:lang w:eastAsia="lv-LV"/>
              </w:rPr>
              <w:t>11. apakšpunkts nosaka, ka sadarbspējīgā vakcinācijas sertifikātā norāda, ka vakcinācija veikta Latvijā. Saskaņā ar MK noteikumu Nr.360 38.</w:t>
            </w:r>
            <w:r w:rsidRPr="00525C3B">
              <w:rPr>
                <w:rFonts w:ascii="Times New Roman" w:eastAsia="Calibri" w:hAnsi="Times New Roman" w:cs="Times New Roman"/>
                <w:color w:val="000000"/>
                <w:sz w:val="24"/>
                <w:szCs w:val="24"/>
                <w:vertAlign w:val="superscript"/>
                <w:lang w:eastAsia="lv-LV"/>
              </w:rPr>
              <w:t>22</w:t>
            </w:r>
            <w:r w:rsidRPr="00525C3B">
              <w:rPr>
                <w:rFonts w:ascii="Times New Roman" w:eastAsia="Calibri" w:hAnsi="Times New Roman" w:cs="Times New Roman"/>
                <w:color w:val="000000"/>
                <w:sz w:val="24"/>
                <w:szCs w:val="24"/>
                <w:lang w:eastAsia="lv-LV"/>
              </w:rPr>
              <w:t xml:space="preserve"> punktu Nacionālais veselības dienesta pēc personas pieprasījuma lemj par ārzemēs veiktas vakcinācijas faktu pret Covid-19 infekciju reģistrēšanu  e-veselībā. Reģistrējot ārzemēs veiktas vakcinācijas faktu e-veselībā, jānorāda valsts, kurā vakcinācija veikta. Arī </w:t>
            </w:r>
            <w:r w:rsidR="00B81EE0">
              <w:rPr>
                <w:rFonts w:ascii="Times New Roman" w:eastAsia="Calibri" w:hAnsi="Times New Roman" w:cs="Times New Roman"/>
                <w:color w:val="000000"/>
                <w:sz w:val="24"/>
                <w:szCs w:val="24"/>
                <w:lang w:eastAsia="lv-LV"/>
              </w:rPr>
              <w:t>R</w:t>
            </w:r>
            <w:r w:rsidRPr="00525C3B">
              <w:rPr>
                <w:rFonts w:ascii="Times New Roman" w:eastAsia="Calibri" w:hAnsi="Times New Roman" w:cs="Times New Roman"/>
                <w:color w:val="000000"/>
                <w:sz w:val="24"/>
                <w:szCs w:val="24"/>
                <w:lang w:eastAsia="lv-LV"/>
              </w:rPr>
              <w:t>egulas pielikuma 1.punkta i) apakšpunktā noteikts, ka vakcinācijas sertifikātā norāda dalībvalsti vai trešo valsti, kurā saņemta vakcīna. Pamatojoties uz to, tiek veikti grozījumi MK noteikumu Nr.360 38.</w:t>
            </w:r>
            <w:r w:rsidRPr="00B81EE0">
              <w:rPr>
                <w:rFonts w:ascii="Times New Roman" w:eastAsia="Calibri" w:hAnsi="Times New Roman" w:cs="Times New Roman"/>
                <w:color w:val="000000"/>
                <w:sz w:val="24"/>
                <w:szCs w:val="24"/>
                <w:vertAlign w:val="superscript"/>
                <w:lang w:eastAsia="lv-LV"/>
              </w:rPr>
              <w:t>12</w:t>
            </w:r>
            <w:r w:rsidRPr="00525C3B">
              <w:rPr>
                <w:rFonts w:ascii="Times New Roman" w:eastAsia="Calibri" w:hAnsi="Times New Roman" w:cs="Times New Roman"/>
                <w:color w:val="000000"/>
                <w:sz w:val="24"/>
                <w:szCs w:val="24"/>
                <w:lang w:eastAsia="lv-LV"/>
              </w:rPr>
              <w:t xml:space="preserve"> 11. apakšpunktā.</w:t>
            </w:r>
          </w:p>
          <w:p w14:paraId="2AFCF187" w14:textId="2029AE1F" w:rsidR="00C61CB2" w:rsidRPr="0093129C" w:rsidRDefault="00C61CB2" w:rsidP="009A72BC">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p>
        </w:tc>
      </w:tr>
      <w:tr w:rsidR="00BD50E2" w:rsidRPr="00BD50E2" w14:paraId="64359952"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4" w:type="pct"/>
            <w:tcBorders>
              <w:top w:val="single" w:sz="4" w:space="0" w:color="auto"/>
              <w:left w:val="single" w:sz="4" w:space="0" w:color="auto"/>
              <w:bottom w:val="single" w:sz="4" w:space="0" w:color="auto"/>
              <w:right w:val="single" w:sz="4" w:space="0" w:color="auto"/>
            </w:tcBorders>
            <w:hideMark/>
          </w:tcPr>
          <w:p w14:paraId="63E85C9B" w14:textId="6056B700"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041FB2">
              <w:rPr>
                <w:rFonts w:ascii="Times New Roman" w:eastAsia="Times New Roman" w:hAnsi="Times New Roman" w:cs="Times New Roman"/>
                <w:bCs/>
                <w:sz w:val="24"/>
                <w:szCs w:val="24"/>
              </w:rPr>
              <w:t xml:space="preserve">, </w:t>
            </w:r>
            <w:r w:rsidR="00E2222F">
              <w:rPr>
                <w:rFonts w:ascii="Times New Roman" w:eastAsia="Times New Roman" w:hAnsi="Times New Roman" w:cs="Times New Roman"/>
                <w:bCs/>
                <w:sz w:val="24"/>
                <w:szCs w:val="24"/>
              </w:rPr>
              <w:t xml:space="preserve">Izglītības un zinātnes </w:t>
            </w:r>
            <w:r w:rsidR="00041FB2">
              <w:rPr>
                <w:rFonts w:ascii="Times New Roman" w:eastAsia="Times New Roman" w:hAnsi="Times New Roman" w:cs="Times New Roman"/>
                <w:bCs/>
                <w:sz w:val="24"/>
                <w:szCs w:val="24"/>
              </w:rPr>
              <w:t>ministrija</w:t>
            </w:r>
            <w:r w:rsidR="00176445">
              <w:rPr>
                <w:rFonts w:ascii="Times New Roman" w:eastAsia="Times New Roman" w:hAnsi="Times New Roman" w:cs="Times New Roman"/>
                <w:bCs/>
                <w:sz w:val="24"/>
                <w:szCs w:val="24"/>
              </w:rPr>
              <w:t>.</w:t>
            </w:r>
          </w:p>
        </w:tc>
      </w:tr>
      <w:tr w:rsidR="000E2322" w:rsidRPr="00BD50E2" w14:paraId="516EC393"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4"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BD50E2" w:rsidRPr="00BD50E2" w14:paraId="015A4B4E"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44D387BB" w:rsidR="00137903" w:rsidRPr="00BD50E2" w:rsidRDefault="00387CF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Visi Latvijas iedzīvotāji</w:t>
            </w:r>
            <w:r w:rsidR="00EA00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 ieceļotāji.</w:t>
            </w:r>
          </w:p>
        </w:tc>
      </w:tr>
      <w:tr w:rsidR="00BD50E2" w:rsidRPr="00BD50E2" w14:paraId="63982A56"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2"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4E9971FF" w:rsidR="007E4536"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93129C" w:rsidRPr="0093129C" w14:paraId="1B18407D" w14:textId="77777777" w:rsidTr="0093129C">
        <w:trPr>
          <w:trHeight w:val="360"/>
        </w:trPr>
        <w:tc>
          <w:tcPr>
            <w:tcW w:w="9498" w:type="dxa"/>
            <w:tcBorders>
              <w:top w:val="single" w:sz="4" w:space="0" w:color="auto"/>
              <w:left w:val="single" w:sz="4" w:space="0" w:color="auto"/>
              <w:bottom w:val="single" w:sz="4" w:space="0" w:color="auto"/>
              <w:right w:val="single" w:sz="4" w:space="0" w:color="auto"/>
            </w:tcBorders>
            <w:hideMark/>
          </w:tcPr>
          <w:p w14:paraId="0D83F9F1" w14:textId="77777777" w:rsidR="0093129C" w:rsidRPr="0093129C" w:rsidRDefault="0093129C" w:rsidP="0093129C">
            <w:pPr>
              <w:spacing w:after="0" w:line="240" w:lineRule="auto"/>
              <w:rPr>
                <w:b/>
                <w:bCs/>
                <w:sz w:val="28"/>
                <w:szCs w:val="28"/>
              </w:rPr>
            </w:pPr>
            <w:r w:rsidRPr="0093129C">
              <w:rPr>
                <w:b/>
                <w:bCs/>
                <w:sz w:val="28"/>
                <w:szCs w:val="28"/>
              </w:rPr>
              <w:t>III. Tiesību akta projekta ietekme uz valsts budžetu un pašvaldību budžetiem</w:t>
            </w:r>
          </w:p>
        </w:tc>
      </w:tr>
      <w:tr w:rsidR="0093129C" w:rsidRPr="0093129C" w14:paraId="0CE78FC3" w14:textId="77777777" w:rsidTr="0093129C">
        <w:trPr>
          <w:trHeight w:val="360"/>
        </w:trPr>
        <w:tc>
          <w:tcPr>
            <w:tcW w:w="9498" w:type="dxa"/>
            <w:tcBorders>
              <w:top w:val="single" w:sz="4" w:space="0" w:color="auto"/>
              <w:left w:val="single" w:sz="4" w:space="0" w:color="auto"/>
              <w:bottom w:val="single" w:sz="4" w:space="0" w:color="auto"/>
              <w:right w:val="single" w:sz="4" w:space="0" w:color="auto"/>
            </w:tcBorders>
          </w:tcPr>
          <w:p w14:paraId="0C6EACCB" w14:textId="77777777" w:rsidR="0093129C" w:rsidRPr="0093129C" w:rsidRDefault="0093129C" w:rsidP="0093129C">
            <w:pPr>
              <w:spacing w:after="0" w:line="240" w:lineRule="auto"/>
              <w:rPr>
                <w:b/>
                <w:bCs/>
                <w:sz w:val="28"/>
                <w:szCs w:val="28"/>
              </w:rPr>
            </w:pPr>
            <w:r w:rsidRPr="0093129C">
              <w:rPr>
                <w:bCs/>
                <w:sz w:val="28"/>
                <w:szCs w:val="28"/>
              </w:rPr>
              <w:t>Projekts šo jomu neskar.</w:t>
            </w:r>
          </w:p>
        </w:tc>
      </w:tr>
    </w:tbl>
    <w:p w14:paraId="6FB7105C" w14:textId="5CFB999F" w:rsidR="0093129C" w:rsidRDefault="0093129C" w:rsidP="00D856F7">
      <w:pPr>
        <w:spacing w:after="0" w:line="240" w:lineRule="auto"/>
        <w:rPr>
          <w:rFonts w:ascii="Times New Roman" w:eastAsia="Times New Roman" w:hAnsi="Times New Roman" w:cs="Times New Roman"/>
          <w:bCs/>
          <w:sz w:val="28"/>
          <w:szCs w:val="28"/>
          <w:lang w:eastAsia="lv-LV"/>
        </w:rPr>
      </w:pPr>
    </w:p>
    <w:p w14:paraId="4442A59E" w14:textId="77777777" w:rsidR="0093129C" w:rsidRPr="00A17EEC" w:rsidRDefault="0093129C" w:rsidP="00D856F7">
      <w:pPr>
        <w:spacing w:after="0" w:line="240" w:lineRule="auto"/>
        <w:rPr>
          <w:rFonts w:ascii="Times New Roman" w:eastAsia="Times New Roman" w:hAnsi="Times New Roman" w:cs="Times New Roman"/>
          <w:bCs/>
          <w:sz w:val="28"/>
          <w:szCs w:val="28"/>
          <w:lang w:eastAsia="lv-LV"/>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
        <w:gridCol w:w="2406"/>
        <w:gridCol w:w="6521"/>
      </w:tblGrid>
      <w:tr w:rsidR="007E4536" w:rsidRPr="00BD50E2" w14:paraId="086ACBDF"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30"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34"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30"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34"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230"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34"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06A6" w14:textId="77777777" w:rsidR="00724FFA" w:rsidRDefault="00724FFA" w:rsidP="0007278B">
      <w:pPr>
        <w:spacing w:after="0" w:line="240" w:lineRule="auto"/>
      </w:pPr>
      <w:r>
        <w:separator/>
      </w:r>
    </w:p>
  </w:endnote>
  <w:endnote w:type="continuationSeparator" w:id="0">
    <w:p w14:paraId="325F830C" w14:textId="77777777" w:rsidR="00724FFA" w:rsidRDefault="00724FFA" w:rsidP="0007278B">
      <w:pPr>
        <w:spacing w:after="0" w:line="240" w:lineRule="auto"/>
      </w:pPr>
      <w:r>
        <w:continuationSeparator/>
      </w:r>
    </w:p>
  </w:endnote>
  <w:endnote w:type="continuationNotice" w:id="1">
    <w:p w14:paraId="68A8CBBE" w14:textId="77777777" w:rsidR="00724FFA" w:rsidRDefault="0072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0C39200" w:rsidR="009D7D59" w:rsidRPr="00F046BC" w:rsidRDefault="009D7D59" w:rsidP="00F046BC">
    <w:pPr>
      <w:pStyle w:val="Footer"/>
    </w:pPr>
    <w:r>
      <w:rPr>
        <w:rFonts w:ascii="Times New Roman" w:eastAsia="Times New Roman" w:hAnsi="Times New Roman" w:cs="Times New Roman"/>
        <w:sz w:val="20"/>
        <w:szCs w:val="20"/>
        <w:lang w:eastAsia="lv-LV"/>
      </w:rPr>
      <w:t>VManot_</w:t>
    </w:r>
    <w:r w:rsidR="00F30AEB">
      <w:rPr>
        <w:rFonts w:ascii="Times New Roman" w:eastAsia="Times New Roman" w:hAnsi="Times New Roman" w:cs="Times New Roman"/>
        <w:sz w:val="20"/>
        <w:szCs w:val="20"/>
        <w:lang w:eastAsia="lv-LV"/>
      </w:rPr>
      <w:t>0507</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EB0AD4D" w:rsidR="009D7D59" w:rsidRPr="007E4536" w:rsidRDefault="007E4536" w:rsidP="007E4536">
    <w:pPr>
      <w:pStyle w:val="Footer"/>
    </w:pPr>
    <w:r>
      <w:rPr>
        <w:rFonts w:ascii="Times New Roman" w:eastAsia="Times New Roman" w:hAnsi="Times New Roman" w:cs="Times New Roman"/>
        <w:sz w:val="20"/>
        <w:szCs w:val="20"/>
        <w:lang w:eastAsia="lv-LV"/>
      </w:rPr>
      <w:t>VManot_</w:t>
    </w:r>
    <w:r w:rsidR="00F30AEB">
      <w:rPr>
        <w:rFonts w:ascii="Times New Roman" w:eastAsia="Times New Roman" w:hAnsi="Times New Roman" w:cs="Times New Roman"/>
        <w:sz w:val="20"/>
        <w:szCs w:val="20"/>
        <w:lang w:eastAsia="lv-LV"/>
      </w:rPr>
      <w:t>0507</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A9ED" w14:textId="77777777" w:rsidR="00724FFA" w:rsidRDefault="00724FFA" w:rsidP="0007278B">
      <w:pPr>
        <w:spacing w:after="0" w:line="240" w:lineRule="auto"/>
      </w:pPr>
      <w:r>
        <w:separator/>
      </w:r>
    </w:p>
  </w:footnote>
  <w:footnote w:type="continuationSeparator" w:id="0">
    <w:p w14:paraId="1358FF8E" w14:textId="77777777" w:rsidR="00724FFA" w:rsidRDefault="00724FFA" w:rsidP="0007278B">
      <w:pPr>
        <w:spacing w:after="0" w:line="240" w:lineRule="auto"/>
      </w:pPr>
      <w:r>
        <w:continuationSeparator/>
      </w:r>
    </w:p>
  </w:footnote>
  <w:footnote w:type="continuationNotice" w:id="1">
    <w:p w14:paraId="2B9B11A5" w14:textId="77777777" w:rsidR="00724FFA" w:rsidRDefault="00724FFA">
      <w:pPr>
        <w:spacing w:after="0" w:line="240" w:lineRule="auto"/>
      </w:pPr>
    </w:p>
  </w:footnote>
  <w:footnote w:id="2">
    <w:p w14:paraId="022A2EF2" w14:textId="77777777" w:rsidR="008C062B" w:rsidRDefault="008C062B" w:rsidP="008C062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Pieejams https://eur-lex.europa.eu/legal-content/EN/TXT/?uri=uriserv%3AOJ.LI.2021.213.01.0001.01.ENG&amp;toc=OJ%3AL%3A2021%3A213I%3ATOC</w:t>
      </w:r>
    </w:p>
  </w:footnote>
  <w:footnote w:id="3">
    <w:p w14:paraId="2757B256" w14:textId="77777777" w:rsidR="008C062B" w:rsidRDefault="008C062B" w:rsidP="008C062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Grozījumi Padomes ieteikumā (ES) 2020/1475 par koordinētu pieeju brīvas pārvietošanās ierobežošanai sakarā ar Covid-19 pandēmiju (Padomes ieteikums (ES) 2021/961, 2021. gada 14. jūnijs). Pieejams: https://eur-lex.europa.eu/legal-content/EN/TXT/?uri=uriserv%3AOJ.LI.2021.213.01.0001.01.ENG&amp;toc=OJ%3AL%3A2021%3A213I%3ATOC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6"/>
  </w:num>
  <w:num w:numId="5">
    <w:abstractNumId w:val="17"/>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8"/>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3140"/>
    <w:rsid w:val="00012409"/>
    <w:rsid w:val="00012C86"/>
    <w:rsid w:val="00015E8A"/>
    <w:rsid w:val="00016372"/>
    <w:rsid w:val="00023AD6"/>
    <w:rsid w:val="0002457B"/>
    <w:rsid w:val="000254EB"/>
    <w:rsid w:val="00031D93"/>
    <w:rsid w:val="00032EF2"/>
    <w:rsid w:val="00041FB2"/>
    <w:rsid w:val="00057EB1"/>
    <w:rsid w:val="00066E5F"/>
    <w:rsid w:val="0007278B"/>
    <w:rsid w:val="00074908"/>
    <w:rsid w:val="00075D37"/>
    <w:rsid w:val="00085A5A"/>
    <w:rsid w:val="00087335"/>
    <w:rsid w:val="00087A23"/>
    <w:rsid w:val="00092597"/>
    <w:rsid w:val="00095861"/>
    <w:rsid w:val="000976F2"/>
    <w:rsid w:val="000A1151"/>
    <w:rsid w:val="000A4D59"/>
    <w:rsid w:val="000A6CB2"/>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E7831"/>
    <w:rsid w:val="001F3A4A"/>
    <w:rsid w:val="001F425F"/>
    <w:rsid w:val="001F7E87"/>
    <w:rsid w:val="00201BA6"/>
    <w:rsid w:val="002033F4"/>
    <w:rsid w:val="0023721B"/>
    <w:rsid w:val="00242A4C"/>
    <w:rsid w:val="002519EE"/>
    <w:rsid w:val="00252768"/>
    <w:rsid w:val="002562FA"/>
    <w:rsid w:val="00263B22"/>
    <w:rsid w:val="00267D85"/>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17FB"/>
    <w:rsid w:val="00313A9C"/>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4059A2"/>
    <w:rsid w:val="0041142C"/>
    <w:rsid w:val="00412439"/>
    <w:rsid w:val="004231CC"/>
    <w:rsid w:val="00425035"/>
    <w:rsid w:val="00425B3A"/>
    <w:rsid w:val="00426EE3"/>
    <w:rsid w:val="00454E76"/>
    <w:rsid w:val="00456B73"/>
    <w:rsid w:val="00457B37"/>
    <w:rsid w:val="00470FB8"/>
    <w:rsid w:val="00473581"/>
    <w:rsid w:val="00480999"/>
    <w:rsid w:val="00483A03"/>
    <w:rsid w:val="00487206"/>
    <w:rsid w:val="0049311E"/>
    <w:rsid w:val="00497DBB"/>
    <w:rsid w:val="004A2382"/>
    <w:rsid w:val="004A3552"/>
    <w:rsid w:val="004A5598"/>
    <w:rsid w:val="004B402F"/>
    <w:rsid w:val="004C7B99"/>
    <w:rsid w:val="004D5AE2"/>
    <w:rsid w:val="004E084F"/>
    <w:rsid w:val="004E2D9C"/>
    <w:rsid w:val="004F4AAB"/>
    <w:rsid w:val="004F738C"/>
    <w:rsid w:val="004F7F24"/>
    <w:rsid w:val="00502DFD"/>
    <w:rsid w:val="00504320"/>
    <w:rsid w:val="005152B1"/>
    <w:rsid w:val="00525C3B"/>
    <w:rsid w:val="0053215F"/>
    <w:rsid w:val="00534268"/>
    <w:rsid w:val="00535888"/>
    <w:rsid w:val="0055413D"/>
    <w:rsid w:val="00555929"/>
    <w:rsid w:val="00573277"/>
    <w:rsid w:val="005735D4"/>
    <w:rsid w:val="005758FB"/>
    <w:rsid w:val="005764B7"/>
    <w:rsid w:val="0059150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71090F"/>
    <w:rsid w:val="007223FE"/>
    <w:rsid w:val="00724197"/>
    <w:rsid w:val="00724FFA"/>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2963"/>
    <w:rsid w:val="007E4536"/>
    <w:rsid w:val="007E7B78"/>
    <w:rsid w:val="007E7EF7"/>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B7C1C"/>
    <w:rsid w:val="008C062B"/>
    <w:rsid w:val="008C242E"/>
    <w:rsid w:val="008C46AB"/>
    <w:rsid w:val="008C5F53"/>
    <w:rsid w:val="008C7FF7"/>
    <w:rsid w:val="008E15C0"/>
    <w:rsid w:val="008E4C7D"/>
    <w:rsid w:val="009031F5"/>
    <w:rsid w:val="00903727"/>
    <w:rsid w:val="00911954"/>
    <w:rsid w:val="00914064"/>
    <w:rsid w:val="00922F28"/>
    <w:rsid w:val="00923553"/>
    <w:rsid w:val="0093129C"/>
    <w:rsid w:val="00946B3B"/>
    <w:rsid w:val="00950838"/>
    <w:rsid w:val="00955A5B"/>
    <w:rsid w:val="009763A8"/>
    <w:rsid w:val="009771E5"/>
    <w:rsid w:val="00977FBF"/>
    <w:rsid w:val="0098010D"/>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9F50B6"/>
    <w:rsid w:val="00A03EFD"/>
    <w:rsid w:val="00A1243C"/>
    <w:rsid w:val="00A1381F"/>
    <w:rsid w:val="00A15AA7"/>
    <w:rsid w:val="00A16FD6"/>
    <w:rsid w:val="00A17EEC"/>
    <w:rsid w:val="00A235BA"/>
    <w:rsid w:val="00A30813"/>
    <w:rsid w:val="00A36D97"/>
    <w:rsid w:val="00A40AFD"/>
    <w:rsid w:val="00A504C8"/>
    <w:rsid w:val="00A52342"/>
    <w:rsid w:val="00A533DC"/>
    <w:rsid w:val="00A57DA2"/>
    <w:rsid w:val="00A63523"/>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1EE0"/>
    <w:rsid w:val="00B83FDD"/>
    <w:rsid w:val="00B86F86"/>
    <w:rsid w:val="00B90A06"/>
    <w:rsid w:val="00BB103E"/>
    <w:rsid w:val="00BB2713"/>
    <w:rsid w:val="00BB45E2"/>
    <w:rsid w:val="00BC4A6D"/>
    <w:rsid w:val="00BC7E1B"/>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6533B"/>
    <w:rsid w:val="00C704F2"/>
    <w:rsid w:val="00C71CC7"/>
    <w:rsid w:val="00C74659"/>
    <w:rsid w:val="00C800E2"/>
    <w:rsid w:val="00C80A89"/>
    <w:rsid w:val="00C901A8"/>
    <w:rsid w:val="00C94620"/>
    <w:rsid w:val="00CA5686"/>
    <w:rsid w:val="00CA6A47"/>
    <w:rsid w:val="00CB1936"/>
    <w:rsid w:val="00CB60A4"/>
    <w:rsid w:val="00CC0385"/>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7B29"/>
    <w:rsid w:val="00E402A6"/>
    <w:rsid w:val="00E4195C"/>
    <w:rsid w:val="00E41AB7"/>
    <w:rsid w:val="00E422C4"/>
    <w:rsid w:val="00E431FF"/>
    <w:rsid w:val="00E5298D"/>
    <w:rsid w:val="00E578A8"/>
    <w:rsid w:val="00E57C60"/>
    <w:rsid w:val="00E61EAE"/>
    <w:rsid w:val="00E6284D"/>
    <w:rsid w:val="00E67090"/>
    <w:rsid w:val="00E70E37"/>
    <w:rsid w:val="00E7205F"/>
    <w:rsid w:val="00E72A4E"/>
    <w:rsid w:val="00E804E9"/>
    <w:rsid w:val="00E909EF"/>
    <w:rsid w:val="00E93BD2"/>
    <w:rsid w:val="00E94387"/>
    <w:rsid w:val="00EA00E8"/>
    <w:rsid w:val="00EB18C7"/>
    <w:rsid w:val="00EC33C6"/>
    <w:rsid w:val="00EC4FFC"/>
    <w:rsid w:val="00EC7B41"/>
    <w:rsid w:val="00ED74EF"/>
    <w:rsid w:val="00EE3EFE"/>
    <w:rsid w:val="00EF5D0E"/>
    <w:rsid w:val="00EF6116"/>
    <w:rsid w:val="00F046BC"/>
    <w:rsid w:val="00F0629B"/>
    <w:rsid w:val="00F12CA2"/>
    <w:rsid w:val="00F13454"/>
    <w:rsid w:val="00F15DCD"/>
    <w:rsid w:val="00F200EA"/>
    <w:rsid w:val="00F23674"/>
    <w:rsid w:val="00F26541"/>
    <w:rsid w:val="00F30098"/>
    <w:rsid w:val="00F30AEB"/>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15304" TargetMode="Externa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12959</Words>
  <Characters>7387</Characters>
  <Application>Microsoft Office Word</Application>
  <DocSecurity>0</DocSecurity>
  <Lines>61</Lines>
  <Paragraphs>40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Laura Boltāne</cp:lastModifiedBy>
  <cp:revision>19</cp:revision>
  <cp:lastPrinted>2020-09-10T14:00:00Z</cp:lastPrinted>
  <dcterms:created xsi:type="dcterms:W3CDTF">2021-07-05T06:53:00Z</dcterms:created>
  <dcterms:modified xsi:type="dcterms:W3CDTF">2021-07-05T19:19:00Z</dcterms:modified>
</cp:coreProperties>
</file>