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7370"/>
      </w:tblGrid>
      <w:tr w:rsidR="000E2322" w:rsidRPr="00AE4EFC" w14:paraId="3A6EBCB3" w14:textId="77777777" w:rsidTr="00470FB8">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470FB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5A354EBE" w14:textId="39D45400" w:rsidR="00447582" w:rsidRDefault="00F30098" w:rsidP="001D7589">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Ministru kabineta noteikumu projekta “Grozījumi Ministru kabineta 2020.</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B608AE">
              <w:rPr>
                <w:rFonts w:ascii="Times New Roman" w:eastAsia="Times New Roman" w:hAnsi="Times New Roman" w:cs="Times New Roman"/>
                <w:bCs/>
                <w:sz w:val="24"/>
                <w:szCs w:val="24"/>
                <w:lang w:eastAsia="lv-LV"/>
              </w:rPr>
              <w:t xml:space="preserve">– </w:t>
            </w:r>
            <w:r w:rsidRPr="009E60C7">
              <w:rPr>
                <w:rFonts w:ascii="Times New Roman" w:eastAsia="Times New Roman" w:hAnsi="Times New Roman" w:cs="Times New Roman"/>
                <w:bCs/>
                <w:sz w:val="24"/>
                <w:szCs w:val="24"/>
                <w:lang w:eastAsia="lv-LV"/>
              </w:rPr>
              <w:t xml:space="preserve">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 xml:space="preserve">is ir </w:t>
            </w:r>
            <w:r w:rsidR="006D1AD8">
              <w:rPr>
                <w:rFonts w:ascii="Times New Roman" w:eastAsia="Times New Roman" w:hAnsi="Times New Roman" w:cs="Times New Roman"/>
                <w:bCs/>
                <w:sz w:val="24"/>
                <w:szCs w:val="24"/>
                <w:lang w:eastAsia="lv-LV"/>
              </w:rPr>
              <w:t>precizēt</w:t>
            </w:r>
            <w:r w:rsidR="00447582">
              <w:rPr>
                <w:rFonts w:ascii="Times New Roman" w:eastAsia="Times New Roman" w:hAnsi="Times New Roman" w:cs="Times New Roman"/>
                <w:bCs/>
                <w:sz w:val="24"/>
                <w:szCs w:val="24"/>
                <w:lang w:eastAsia="lv-LV"/>
              </w:rPr>
              <w:t xml:space="preserve"> spēkā esošās tiesību normas attiecībā uz:</w:t>
            </w:r>
          </w:p>
          <w:p w14:paraId="413B69EF" w14:textId="5EC2972B" w:rsidR="00447582" w:rsidRPr="00447582" w:rsidRDefault="00447582" w:rsidP="00447582">
            <w:pPr>
              <w:spacing w:after="0" w:line="240" w:lineRule="auto"/>
              <w:jc w:val="both"/>
              <w:rPr>
                <w:rFonts w:ascii="Times New Roman" w:eastAsia="Times New Roman" w:hAnsi="Times New Roman" w:cs="Times New Roman"/>
                <w:bCs/>
                <w:sz w:val="24"/>
                <w:szCs w:val="24"/>
                <w:lang w:eastAsia="lv-LV"/>
              </w:rPr>
            </w:pPr>
            <w:r w:rsidRPr="00447582">
              <w:rPr>
                <w:rFonts w:ascii="Times New Roman" w:eastAsia="Times New Roman" w:hAnsi="Times New Roman" w:cs="Times New Roman"/>
                <w:bCs/>
                <w:sz w:val="24"/>
                <w:szCs w:val="24"/>
                <w:lang w:eastAsia="lv-LV"/>
              </w:rPr>
              <w:t xml:space="preserve">1) </w:t>
            </w:r>
            <w:r>
              <w:rPr>
                <w:rFonts w:ascii="Times New Roman" w:eastAsia="Times New Roman" w:hAnsi="Times New Roman" w:cs="Times New Roman"/>
                <w:bCs/>
                <w:sz w:val="24"/>
                <w:szCs w:val="24"/>
                <w:lang w:eastAsia="lv-LV"/>
              </w:rPr>
              <w:t xml:space="preserve">Covid-19 testu veikšanu personām, kuras </w:t>
            </w:r>
            <w:r w:rsidRPr="00447582">
              <w:rPr>
                <w:rFonts w:ascii="Times New Roman" w:eastAsia="Times New Roman" w:hAnsi="Times New Roman" w:cs="Times New Roman"/>
                <w:bCs/>
                <w:iCs/>
                <w:sz w:val="24"/>
                <w:szCs w:val="24"/>
                <w:lang w:eastAsia="lv-LV"/>
              </w:rPr>
              <w:t>ieceļo</w:t>
            </w:r>
            <w:r>
              <w:rPr>
                <w:rFonts w:ascii="Times New Roman" w:eastAsia="Times New Roman" w:hAnsi="Times New Roman" w:cs="Times New Roman"/>
                <w:bCs/>
                <w:iCs/>
                <w:sz w:val="24"/>
                <w:szCs w:val="24"/>
                <w:lang w:eastAsia="lv-LV"/>
              </w:rPr>
              <w:t>s</w:t>
            </w:r>
            <w:r w:rsidRPr="00447582">
              <w:rPr>
                <w:rFonts w:ascii="Times New Roman" w:eastAsia="Times New Roman" w:hAnsi="Times New Roman" w:cs="Times New Roman"/>
                <w:bCs/>
                <w:iCs/>
                <w:sz w:val="24"/>
                <w:szCs w:val="24"/>
                <w:lang w:eastAsia="lv-LV"/>
              </w:rPr>
              <w:t xml:space="preserve"> Latvijas Republikā, šķērsojot ārējo sauszemes robežu robežšķērsošanas vietā “Grebņeva”, “Terehova”, “Pāternieki” vai “Silene”</w:t>
            </w:r>
            <w:r w:rsidRPr="00447582">
              <w:rPr>
                <w:rFonts w:ascii="Times New Roman" w:eastAsia="Times New Roman" w:hAnsi="Times New Roman" w:cs="Times New Roman"/>
                <w:bCs/>
                <w:sz w:val="24"/>
                <w:szCs w:val="24"/>
                <w:lang w:eastAsia="lv-LV"/>
              </w:rPr>
              <w:t xml:space="preserve">; </w:t>
            </w:r>
          </w:p>
          <w:p w14:paraId="1F5BD62F" w14:textId="12DC5C95" w:rsidR="00447582" w:rsidRPr="00447582" w:rsidRDefault="00447582" w:rsidP="00447582">
            <w:pPr>
              <w:spacing w:after="0" w:line="240" w:lineRule="auto"/>
              <w:jc w:val="both"/>
              <w:rPr>
                <w:rFonts w:ascii="Times New Roman" w:eastAsia="Times New Roman" w:hAnsi="Times New Roman" w:cs="Times New Roman"/>
                <w:bCs/>
                <w:sz w:val="24"/>
                <w:szCs w:val="24"/>
                <w:lang w:eastAsia="lv-LV"/>
              </w:rPr>
            </w:pPr>
            <w:r w:rsidRPr="00447582">
              <w:rPr>
                <w:rFonts w:ascii="Times New Roman" w:eastAsia="Times New Roman" w:hAnsi="Times New Roman" w:cs="Times New Roman"/>
                <w:bCs/>
                <w:sz w:val="24"/>
                <w:szCs w:val="24"/>
                <w:lang w:eastAsia="lv-LV"/>
              </w:rPr>
              <w:t>2) person</w:t>
            </w:r>
            <w:r>
              <w:rPr>
                <w:rFonts w:ascii="Times New Roman" w:eastAsia="Times New Roman" w:hAnsi="Times New Roman" w:cs="Times New Roman"/>
                <w:bCs/>
                <w:sz w:val="24"/>
                <w:szCs w:val="24"/>
                <w:lang w:eastAsia="lv-LV"/>
              </w:rPr>
              <w:t>u</w:t>
            </w:r>
            <w:r w:rsidRPr="00447582">
              <w:rPr>
                <w:rFonts w:ascii="Times New Roman" w:eastAsia="Times New Roman" w:hAnsi="Times New Roman" w:cs="Times New Roman"/>
                <w:bCs/>
                <w:sz w:val="24"/>
                <w:szCs w:val="24"/>
                <w:lang w:eastAsia="lv-LV"/>
              </w:rPr>
              <w:t>, kurām</w:t>
            </w:r>
            <w:r>
              <w:rPr>
                <w:rFonts w:ascii="Times New Roman" w:eastAsia="Times New Roman" w:hAnsi="Times New Roman" w:cs="Times New Roman"/>
                <w:bCs/>
                <w:sz w:val="24"/>
                <w:szCs w:val="24"/>
                <w:lang w:eastAsia="lv-LV"/>
              </w:rPr>
              <w:t xml:space="preserve"> minētajās robežšķērsošanas vietās </w:t>
            </w:r>
            <w:r w:rsidRPr="00447582">
              <w:rPr>
                <w:rFonts w:ascii="Times New Roman" w:eastAsia="Times New Roman" w:hAnsi="Times New Roman" w:cs="Times New Roman"/>
                <w:bCs/>
                <w:sz w:val="24"/>
                <w:szCs w:val="24"/>
                <w:lang w:eastAsia="lv-LV"/>
              </w:rPr>
              <w:t>Covid-19 testa rezultāts ir pozitīvs, vai kuras atteikušās Covid-19 testu veikt,</w:t>
            </w:r>
            <w:r w:rsidR="00A51A3F" w:rsidRPr="00A51A3F">
              <w:rPr>
                <w:rFonts w:ascii="Times New Roman" w:eastAsia="Calibri" w:hAnsi="Times New Roman" w:cs="Times New Roman"/>
                <w:sz w:val="28"/>
                <w:szCs w:val="28"/>
              </w:rPr>
              <w:t xml:space="preserve"> </w:t>
            </w:r>
            <w:r w:rsidR="00A51A3F" w:rsidRPr="00A51A3F">
              <w:rPr>
                <w:rFonts w:ascii="Times New Roman" w:eastAsia="Times New Roman" w:hAnsi="Times New Roman" w:cs="Times New Roman"/>
                <w:bCs/>
                <w:sz w:val="24"/>
                <w:szCs w:val="24"/>
                <w:lang w:eastAsia="lv-LV"/>
              </w:rPr>
              <w:t>un viņa klātesošo ģimenes locekļu</w:t>
            </w:r>
            <w:r w:rsidR="00A51A3F">
              <w:rPr>
                <w:rFonts w:ascii="Times New Roman" w:eastAsia="Times New Roman" w:hAnsi="Times New Roman" w:cs="Times New Roman"/>
                <w:bCs/>
                <w:sz w:val="24"/>
                <w:szCs w:val="24"/>
                <w:lang w:eastAsia="lv-LV"/>
              </w:rPr>
              <w:t>, kā arī kontaktpersonu</w:t>
            </w:r>
            <w:r w:rsidRPr="00447582">
              <w:rPr>
                <w:rFonts w:ascii="Times New Roman" w:eastAsia="Times New Roman" w:hAnsi="Times New Roman" w:cs="Times New Roman"/>
                <w:bCs/>
                <w:sz w:val="24"/>
                <w:szCs w:val="24"/>
                <w:lang w:eastAsia="lv-LV"/>
              </w:rPr>
              <w:t xml:space="preserve"> nogādā</w:t>
            </w:r>
            <w:r>
              <w:rPr>
                <w:rFonts w:ascii="Times New Roman" w:eastAsia="Times New Roman" w:hAnsi="Times New Roman" w:cs="Times New Roman"/>
                <w:bCs/>
                <w:sz w:val="24"/>
                <w:szCs w:val="24"/>
                <w:lang w:eastAsia="lv-LV"/>
              </w:rPr>
              <w:t>šanu uz</w:t>
            </w:r>
            <w:r w:rsidRPr="00447582">
              <w:rPr>
                <w:rFonts w:ascii="Times New Roman" w:eastAsia="Times New Roman" w:hAnsi="Times New Roman" w:cs="Times New Roman"/>
                <w:bCs/>
                <w:sz w:val="24"/>
                <w:szCs w:val="24"/>
                <w:lang w:eastAsia="lv-LV"/>
              </w:rPr>
              <w:t xml:space="preserve"> tuvāk</w:t>
            </w:r>
            <w:r>
              <w:rPr>
                <w:rFonts w:ascii="Times New Roman" w:eastAsia="Times New Roman" w:hAnsi="Times New Roman" w:cs="Times New Roman"/>
                <w:bCs/>
                <w:sz w:val="24"/>
                <w:szCs w:val="24"/>
                <w:lang w:eastAsia="lv-LV"/>
              </w:rPr>
              <w:t>o</w:t>
            </w:r>
            <w:r w:rsidRPr="00447582">
              <w:rPr>
                <w:rFonts w:ascii="Times New Roman" w:eastAsia="Times New Roman" w:hAnsi="Times New Roman" w:cs="Times New Roman"/>
                <w:bCs/>
                <w:sz w:val="24"/>
                <w:szCs w:val="24"/>
                <w:lang w:eastAsia="lv-LV"/>
              </w:rPr>
              <w:t xml:space="preserve"> obligātās izolācijas ievērošanas viet</w:t>
            </w:r>
            <w:r>
              <w:rPr>
                <w:rFonts w:ascii="Times New Roman" w:eastAsia="Times New Roman" w:hAnsi="Times New Roman" w:cs="Times New Roman"/>
                <w:bCs/>
                <w:sz w:val="24"/>
                <w:szCs w:val="24"/>
                <w:lang w:eastAsia="lv-LV"/>
              </w:rPr>
              <w:t>u</w:t>
            </w:r>
            <w:r w:rsidRPr="0044758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447582">
              <w:rPr>
                <w:rFonts w:ascii="Times New Roman" w:eastAsia="Times New Roman" w:hAnsi="Times New Roman" w:cs="Times New Roman"/>
                <w:bCs/>
                <w:sz w:val="24"/>
                <w:szCs w:val="24"/>
                <w:lang w:eastAsia="lv-LV"/>
              </w:rPr>
              <w:t xml:space="preserve"> dzīvesviet</w:t>
            </w:r>
            <w:r>
              <w:rPr>
                <w:rFonts w:ascii="Times New Roman" w:eastAsia="Times New Roman" w:hAnsi="Times New Roman" w:cs="Times New Roman"/>
                <w:bCs/>
                <w:sz w:val="24"/>
                <w:szCs w:val="24"/>
                <w:lang w:eastAsia="lv-LV"/>
              </w:rPr>
              <w:t>u</w:t>
            </w:r>
            <w:r w:rsidRPr="00447582">
              <w:rPr>
                <w:rFonts w:ascii="Times New Roman" w:eastAsia="Times New Roman" w:hAnsi="Times New Roman" w:cs="Times New Roman"/>
                <w:bCs/>
                <w:sz w:val="24"/>
                <w:szCs w:val="24"/>
                <w:lang w:eastAsia="lv-LV"/>
              </w:rPr>
              <w:t xml:space="preserve"> vai uzturēšanās viet</w:t>
            </w:r>
            <w:r>
              <w:rPr>
                <w:rFonts w:ascii="Times New Roman" w:eastAsia="Times New Roman" w:hAnsi="Times New Roman" w:cs="Times New Roman"/>
                <w:bCs/>
                <w:sz w:val="24"/>
                <w:szCs w:val="24"/>
                <w:lang w:eastAsia="lv-LV"/>
              </w:rPr>
              <w:t>u</w:t>
            </w:r>
            <w:r w:rsidRPr="00447582">
              <w:rPr>
                <w:rFonts w:ascii="Times New Roman" w:eastAsia="Times New Roman" w:hAnsi="Times New Roman" w:cs="Times New Roman"/>
                <w:bCs/>
                <w:sz w:val="24"/>
                <w:szCs w:val="24"/>
                <w:lang w:eastAsia="lv-LV"/>
              </w:rPr>
              <w:t xml:space="preserve"> vai arī kād</w:t>
            </w:r>
            <w:r>
              <w:rPr>
                <w:rFonts w:ascii="Times New Roman" w:eastAsia="Times New Roman" w:hAnsi="Times New Roman" w:cs="Times New Roman"/>
                <w:bCs/>
                <w:sz w:val="24"/>
                <w:szCs w:val="24"/>
                <w:lang w:eastAsia="lv-LV"/>
              </w:rPr>
              <w:t>u</w:t>
            </w:r>
            <w:r w:rsidRPr="00447582">
              <w:rPr>
                <w:rFonts w:ascii="Times New Roman" w:eastAsia="Times New Roman" w:hAnsi="Times New Roman" w:cs="Times New Roman"/>
                <w:bCs/>
                <w:sz w:val="24"/>
                <w:szCs w:val="24"/>
                <w:lang w:eastAsia="lv-LV"/>
              </w:rPr>
              <w:t xml:space="preserve"> no robežšķērsošanas vietām tuvākajām Latvijas Investīciju un attīstības aģentūras administrētajā tūristu mītņu sarakstā minētajām tūristu mītnēm;</w:t>
            </w:r>
          </w:p>
          <w:p w14:paraId="0A7AB3EF" w14:textId="11ACD95F" w:rsidR="00313A9C" w:rsidRPr="00C2181D" w:rsidRDefault="00447582" w:rsidP="00447582">
            <w:pPr>
              <w:spacing w:after="0" w:line="240" w:lineRule="auto"/>
              <w:jc w:val="both"/>
              <w:rPr>
                <w:rFonts w:ascii="Times New Roman" w:eastAsia="Times New Roman" w:hAnsi="Times New Roman" w:cs="Times New Roman"/>
                <w:bCs/>
                <w:sz w:val="24"/>
                <w:szCs w:val="24"/>
                <w:lang w:eastAsia="lv-LV"/>
              </w:rPr>
            </w:pPr>
            <w:r w:rsidRPr="00447582">
              <w:rPr>
                <w:rFonts w:ascii="Times New Roman" w:eastAsia="Times New Roman" w:hAnsi="Times New Roman" w:cs="Times New Roman"/>
                <w:bCs/>
                <w:sz w:val="24"/>
                <w:szCs w:val="24"/>
                <w:lang w:eastAsia="lv-LV"/>
              </w:rPr>
              <w:t xml:space="preserve">3) </w:t>
            </w:r>
            <w:r>
              <w:rPr>
                <w:rFonts w:ascii="Times New Roman" w:eastAsia="Times New Roman" w:hAnsi="Times New Roman" w:cs="Times New Roman"/>
                <w:bCs/>
                <w:sz w:val="24"/>
                <w:szCs w:val="24"/>
                <w:lang w:eastAsia="lv-LV"/>
              </w:rPr>
              <w:t xml:space="preserve">informācijas sniegšanu situācijās, kad persona </w:t>
            </w:r>
            <w:r w:rsidRPr="00447582">
              <w:rPr>
                <w:rFonts w:ascii="Times New Roman" w:eastAsia="Times New Roman" w:hAnsi="Times New Roman" w:cs="Times New Roman"/>
                <w:bCs/>
                <w:sz w:val="24"/>
                <w:szCs w:val="24"/>
                <w:lang w:eastAsia="lv-LV"/>
              </w:rPr>
              <w:t>nenakšņo tūristu mītnē obligātās izolācijas laikā.</w:t>
            </w: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1793"/>
        <w:gridCol w:w="7299"/>
      </w:tblGrid>
      <w:tr w:rsidR="000E2322" w:rsidRPr="00AE4EFC" w14:paraId="6CBE8600" w14:textId="77777777" w:rsidTr="00EF77F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EF77FE">
        <w:trPr>
          <w:trHeight w:val="1144"/>
        </w:trPr>
        <w:tc>
          <w:tcPr>
            <w:tcW w:w="211"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45" w:type="pct"/>
            <w:tcBorders>
              <w:top w:val="single" w:sz="4" w:space="0" w:color="auto"/>
              <w:left w:val="single" w:sz="4" w:space="0" w:color="auto"/>
              <w:bottom w:val="single" w:sz="4" w:space="0" w:color="auto"/>
              <w:right w:val="single" w:sz="4" w:space="0" w:color="auto"/>
            </w:tcBorders>
          </w:tcPr>
          <w:p w14:paraId="5DBEFB69" w14:textId="52DCD96D" w:rsidR="00447582" w:rsidRPr="00447582" w:rsidRDefault="005C5DC6" w:rsidP="00447582">
            <w:pPr>
              <w:pStyle w:val="NoSpacing"/>
              <w:jc w:val="both"/>
              <w:rPr>
                <w:rFonts w:ascii="Times New Roman" w:hAnsi="Times New Roman"/>
                <w:sz w:val="24"/>
                <w:szCs w:val="24"/>
              </w:rPr>
            </w:pPr>
            <w:r w:rsidRPr="00B23552">
              <w:rPr>
                <w:rFonts w:ascii="Times New Roman" w:hAnsi="Times New Roman"/>
                <w:sz w:val="24"/>
                <w:szCs w:val="24"/>
              </w:rPr>
              <w:t>Izdoti saskaņā ar Epidemioloģiskās drošības likuma 3. panta otro daļu, 14. panta pirmās daļas 5. punktu, 19. panta pirmo un 2.</w:t>
            </w:r>
            <w:r w:rsidRPr="00B23552">
              <w:rPr>
                <w:rFonts w:ascii="Times New Roman" w:hAnsi="Times New Roman"/>
                <w:sz w:val="24"/>
                <w:szCs w:val="24"/>
                <w:vertAlign w:val="superscript"/>
              </w:rPr>
              <w:t>1</w:t>
            </w:r>
            <w:r w:rsidRPr="00B23552">
              <w:rPr>
                <w:rFonts w:ascii="Times New Roman" w:hAnsi="Times New Roman"/>
                <w:sz w:val="24"/>
                <w:szCs w:val="24"/>
              </w:rPr>
              <w:t> daļu, 19.</w:t>
            </w:r>
            <w:r w:rsidRPr="00B23552">
              <w:rPr>
                <w:rFonts w:ascii="Times New Roman" w:hAnsi="Times New Roman"/>
                <w:sz w:val="24"/>
                <w:szCs w:val="24"/>
                <w:vertAlign w:val="superscript"/>
              </w:rPr>
              <w:t>1</w:t>
            </w:r>
            <w:r w:rsidRPr="00B23552">
              <w:rPr>
                <w:rFonts w:ascii="Times New Roman" w:hAnsi="Times New Roman"/>
                <w:sz w:val="24"/>
                <w:szCs w:val="24"/>
              </w:rPr>
              <w:t> pantu, 30. panta trešo daļu, 31. panta piekto daļu, 39. panta pirmo un otro daļu un Covid-19 infekcijas izplatības pārvaldības likuma 4. panta 1., 2., 3., 4., 5., 6., 7., 8., 9., 10., 11., 12., 13., 14. un 16. punktu un 6.</w:t>
            </w:r>
            <w:r w:rsidRPr="00B23552">
              <w:rPr>
                <w:rFonts w:ascii="Times New Roman" w:hAnsi="Times New Roman"/>
                <w:sz w:val="24"/>
                <w:szCs w:val="24"/>
                <w:vertAlign w:val="superscript"/>
              </w:rPr>
              <w:t>1</w:t>
            </w:r>
            <w:r w:rsidR="00B23552">
              <w:rPr>
                <w:rFonts w:ascii="Times New Roman" w:hAnsi="Times New Roman"/>
                <w:sz w:val="24"/>
                <w:szCs w:val="24"/>
                <w:vertAlign w:val="superscript"/>
              </w:rPr>
              <w:t> </w:t>
            </w:r>
            <w:r w:rsidRPr="00B23552">
              <w:rPr>
                <w:rFonts w:ascii="Times New Roman" w:hAnsi="Times New Roman"/>
                <w:sz w:val="24"/>
                <w:szCs w:val="24"/>
              </w:rPr>
              <w:t>panta otro daļu un 6.</w:t>
            </w:r>
            <w:r w:rsidRPr="00B23552">
              <w:rPr>
                <w:rFonts w:ascii="Times New Roman" w:hAnsi="Times New Roman"/>
                <w:sz w:val="24"/>
                <w:szCs w:val="24"/>
                <w:vertAlign w:val="superscript"/>
              </w:rPr>
              <w:t>3</w:t>
            </w:r>
            <w:r w:rsidR="00B23552">
              <w:rPr>
                <w:rFonts w:ascii="Times New Roman" w:hAnsi="Times New Roman"/>
                <w:sz w:val="24"/>
                <w:szCs w:val="24"/>
                <w:vertAlign w:val="superscript"/>
              </w:rPr>
              <w:t> </w:t>
            </w:r>
            <w:r w:rsidRPr="00B23552">
              <w:rPr>
                <w:rFonts w:ascii="Times New Roman" w:hAnsi="Times New Roman"/>
                <w:sz w:val="24"/>
                <w:szCs w:val="24"/>
              </w:rPr>
              <w:t>panta otro daļu</w:t>
            </w:r>
            <w:r w:rsidR="00447582" w:rsidRPr="00447582">
              <w:rPr>
                <w:rFonts w:ascii="Times New Roman" w:hAnsi="Times New Roman"/>
                <w:sz w:val="28"/>
                <w:szCs w:val="28"/>
              </w:rPr>
              <w:t xml:space="preserve"> </w:t>
            </w:r>
            <w:r w:rsidR="00447582" w:rsidRPr="00447582">
              <w:rPr>
                <w:rFonts w:ascii="Times New Roman" w:hAnsi="Times New Roman"/>
                <w:sz w:val="24"/>
                <w:szCs w:val="24"/>
              </w:rPr>
              <w:t>un</w:t>
            </w:r>
            <w:r w:rsidR="00447582">
              <w:rPr>
                <w:rFonts w:ascii="Times New Roman" w:hAnsi="Times New Roman"/>
                <w:sz w:val="24"/>
                <w:szCs w:val="24"/>
              </w:rPr>
              <w:t xml:space="preserve"> </w:t>
            </w:r>
            <w:r w:rsidR="00447582" w:rsidRPr="00447582">
              <w:rPr>
                <w:rFonts w:ascii="Times New Roman" w:hAnsi="Times New Roman"/>
                <w:sz w:val="24"/>
                <w:szCs w:val="24"/>
              </w:rPr>
              <w:t>Farmācijas likuma 5. panta 3. un 12. punktu</w:t>
            </w:r>
            <w:r w:rsidR="00447582">
              <w:rPr>
                <w:rFonts w:ascii="Times New Roman" w:hAnsi="Times New Roman"/>
                <w:sz w:val="24"/>
                <w:szCs w:val="24"/>
              </w:rPr>
              <w:t>.</w:t>
            </w:r>
          </w:p>
          <w:p w14:paraId="4F9E7C09" w14:textId="7672A210" w:rsidR="009B775D" w:rsidRPr="005C5DC6" w:rsidRDefault="009B775D" w:rsidP="005C5DC6">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BD50E2" w:rsidRPr="00BD50E2" w14:paraId="44CA8137" w14:textId="77777777" w:rsidTr="00EF77FE">
        <w:trPr>
          <w:trHeight w:val="1393"/>
        </w:trPr>
        <w:tc>
          <w:tcPr>
            <w:tcW w:w="211"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944" w:type="pct"/>
            <w:tcBorders>
              <w:top w:val="single" w:sz="4" w:space="0" w:color="auto"/>
              <w:left w:val="single" w:sz="4" w:space="0" w:color="auto"/>
              <w:bottom w:val="single" w:sz="4" w:space="0" w:color="auto"/>
              <w:right w:val="single" w:sz="4" w:space="0" w:color="auto"/>
            </w:tcBorders>
            <w:hideMark/>
          </w:tcPr>
          <w:p w14:paraId="0F8281CA" w14:textId="00B5CEA3" w:rsidR="00731409"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45" w:type="pct"/>
            <w:tcBorders>
              <w:top w:val="single" w:sz="4" w:space="0" w:color="auto"/>
              <w:left w:val="single" w:sz="4" w:space="0" w:color="auto"/>
              <w:bottom w:val="single" w:sz="4" w:space="0" w:color="auto"/>
              <w:right w:val="single" w:sz="4" w:space="0" w:color="auto"/>
            </w:tcBorders>
          </w:tcPr>
          <w:p w14:paraId="40A648FF" w14:textId="77777777" w:rsidR="000C7E59" w:rsidRPr="000C7E59" w:rsidRDefault="001D7589" w:rsidP="000C7E59">
            <w:pPr>
              <w:spacing w:after="0" w:line="240" w:lineRule="auto"/>
              <w:jc w:val="both"/>
              <w:rPr>
                <w:rFonts w:eastAsia="Calibri"/>
                <w:bCs/>
              </w:rPr>
            </w:pPr>
            <w:r>
              <w:rPr>
                <w:rFonts w:ascii="Times New Roman" w:eastAsia="Calibri" w:hAnsi="Times New Roman" w:cs="Times New Roman"/>
                <w:sz w:val="24"/>
                <w:szCs w:val="24"/>
              </w:rPr>
              <w:t xml:space="preserve">Ministru kabineta </w:t>
            </w:r>
            <w:r w:rsidRPr="001D7589">
              <w:rPr>
                <w:rFonts w:ascii="Times New Roman" w:eastAsia="Calibri" w:hAnsi="Times New Roman" w:cs="Times New Roman"/>
                <w:bCs/>
                <w:sz w:val="24"/>
                <w:szCs w:val="24"/>
              </w:rPr>
              <w:t>2020. gada 9. jūnija noteikum</w:t>
            </w:r>
            <w:r w:rsidR="000C7E59">
              <w:rPr>
                <w:rFonts w:ascii="Times New Roman" w:eastAsia="Calibri" w:hAnsi="Times New Roman" w:cs="Times New Roman"/>
                <w:bCs/>
                <w:sz w:val="24"/>
                <w:szCs w:val="24"/>
              </w:rPr>
              <w:t>u</w:t>
            </w:r>
            <w:r>
              <w:rPr>
                <w:rFonts w:ascii="Times New Roman" w:eastAsia="Calibri" w:hAnsi="Times New Roman" w:cs="Times New Roman"/>
                <w:bCs/>
                <w:sz w:val="24"/>
                <w:szCs w:val="24"/>
              </w:rPr>
              <w:t xml:space="preserve"> </w:t>
            </w:r>
            <w:r w:rsidRPr="001D7589">
              <w:rPr>
                <w:rFonts w:ascii="Times New Roman" w:eastAsia="Calibri" w:hAnsi="Times New Roman" w:cs="Times New Roman"/>
                <w:bCs/>
                <w:sz w:val="24"/>
                <w:szCs w:val="24"/>
              </w:rPr>
              <w:t>Nr. 360 “Epidemioloģiskās drošības pasākumi Covid-19 infekcijas izplatības ierobežošanai”</w:t>
            </w:r>
            <w:r>
              <w:rPr>
                <w:rFonts w:ascii="Times New Roman" w:eastAsia="Calibri" w:hAnsi="Times New Roman" w:cs="Times New Roman"/>
                <w:bCs/>
                <w:sz w:val="24"/>
                <w:szCs w:val="24"/>
              </w:rPr>
              <w:t xml:space="preserve"> (turpmāk – Noteikumi) </w:t>
            </w:r>
            <w:r w:rsidR="000C7E59" w:rsidRPr="000C7E59">
              <w:rPr>
                <w:rFonts w:ascii="Times New Roman" w:eastAsia="Calibri" w:hAnsi="Times New Roman" w:cs="Times New Roman"/>
                <w:bCs/>
                <w:sz w:val="24"/>
                <w:szCs w:val="24"/>
              </w:rPr>
              <w:t>38.</w:t>
            </w:r>
            <w:r w:rsidR="000C7E59" w:rsidRPr="000C7E59">
              <w:rPr>
                <w:rFonts w:ascii="Times New Roman" w:eastAsia="Calibri" w:hAnsi="Times New Roman" w:cs="Times New Roman"/>
                <w:bCs/>
                <w:sz w:val="24"/>
                <w:szCs w:val="24"/>
                <w:vertAlign w:val="superscript"/>
              </w:rPr>
              <w:t>61</w:t>
            </w:r>
            <w:r w:rsidR="000C7E59">
              <w:rPr>
                <w:rFonts w:ascii="Times New Roman" w:eastAsia="Calibri" w:hAnsi="Times New Roman" w:cs="Times New Roman"/>
                <w:bCs/>
                <w:sz w:val="24"/>
                <w:szCs w:val="24"/>
              </w:rPr>
              <w:t xml:space="preserve">punkts </w:t>
            </w:r>
            <w:r w:rsidRPr="000C7E59">
              <w:rPr>
                <w:rFonts w:ascii="Times New Roman" w:eastAsia="Calibri" w:hAnsi="Times New Roman" w:cs="Times New Roman"/>
                <w:bCs/>
                <w:sz w:val="24"/>
                <w:szCs w:val="24"/>
              </w:rPr>
              <w:t>paredz</w:t>
            </w:r>
            <w:r>
              <w:rPr>
                <w:rFonts w:ascii="Times New Roman" w:eastAsia="Calibri" w:hAnsi="Times New Roman" w:cs="Times New Roman"/>
                <w:bCs/>
                <w:sz w:val="24"/>
                <w:szCs w:val="24"/>
              </w:rPr>
              <w:t xml:space="preserve">, ka </w:t>
            </w:r>
            <w:r w:rsidR="005C6C6C">
              <w:rPr>
                <w:rFonts w:ascii="Times New Roman" w:eastAsia="Calibri" w:hAnsi="Times New Roman" w:cs="Times New Roman"/>
                <w:bCs/>
                <w:sz w:val="24"/>
                <w:szCs w:val="24"/>
              </w:rPr>
              <w:t>p</w:t>
            </w:r>
            <w:r w:rsidR="005C6C6C" w:rsidRPr="005C6C6C">
              <w:rPr>
                <w:rFonts w:ascii="Times New Roman" w:eastAsia="Calibri" w:hAnsi="Times New Roman" w:cs="Times New Roman"/>
                <w:bCs/>
                <w:sz w:val="24"/>
                <w:szCs w:val="24"/>
              </w:rPr>
              <w:t>ersona (izņemot bērn</w:t>
            </w:r>
            <w:r w:rsidR="005C6C6C">
              <w:rPr>
                <w:rFonts w:ascii="Times New Roman" w:eastAsia="Calibri" w:hAnsi="Times New Roman" w:cs="Times New Roman"/>
                <w:bCs/>
                <w:sz w:val="24"/>
                <w:szCs w:val="24"/>
              </w:rPr>
              <w:t>us</w:t>
            </w:r>
            <w:r w:rsidR="005C6C6C" w:rsidRPr="005C6C6C">
              <w:rPr>
                <w:rFonts w:ascii="Times New Roman" w:eastAsia="Calibri" w:hAnsi="Times New Roman" w:cs="Times New Roman"/>
                <w:bCs/>
                <w:sz w:val="24"/>
                <w:szCs w:val="24"/>
              </w:rPr>
              <w:t>, kuri nav sasnieguši 12 gadu vecumu</w:t>
            </w:r>
            <w:r w:rsidR="005C6C6C">
              <w:rPr>
                <w:rFonts w:ascii="Times New Roman" w:eastAsia="Calibri" w:hAnsi="Times New Roman" w:cs="Times New Roman"/>
                <w:bCs/>
                <w:sz w:val="24"/>
                <w:szCs w:val="24"/>
              </w:rPr>
              <w:t xml:space="preserve">; </w:t>
            </w:r>
            <w:r w:rsidR="005C6C6C" w:rsidRPr="005C6C6C">
              <w:rPr>
                <w:rFonts w:ascii="Times New Roman" w:eastAsia="Calibri" w:hAnsi="Times New Roman" w:cs="Times New Roman"/>
                <w:bCs/>
                <w:sz w:val="24"/>
                <w:szCs w:val="24"/>
              </w:rPr>
              <w:t>Latvijā akreditēt</w:t>
            </w:r>
            <w:r w:rsidR="005C6C6C">
              <w:rPr>
                <w:rFonts w:ascii="Times New Roman" w:eastAsia="Calibri" w:hAnsi="Times New Roman" w:cs="Times New Roman"/>
                <w:bCs/>
                <w:sz w:val="24"/>
                <w:szCs w:val="24"/>
              </w:rPr>
              <w:t>u</w:t>
            </w:r>
            <w:r w:rsidR="005C6C6C" w:rsidRPr="005C6C6C">
              <w:rPr>
                <w:rFonts w:ascii="Times New Roman" w:eastAsia="Calibri" w:hAnsi="Times New Roman" w:cs="Times New Roman"/>
                <w:bCs/>
                <w:sz w:val="24"/>
                <w:szCs w:val="24"/>
              </w:rPr>
              <w:t xml:space="preserve"> ārvalstu diplomātisko un konsulāro pārstāvniecību, starptautisko organizāciju un to pārstāvniecību darbiniek</w:t>
            </w:r>
            <w:r w:rsidR="005C6C6C">
              <w:rPr>
                <w:rFonts w:ascii="Times New Roman" w:eastAsia="Calibri" w:hAnsi="Times New Roman" w:cs="Times New Roman"/>
                <w:bCs/>
                <w:sz w:val="24"/>
                <w:szCs w:val="24"/>
              </w:rPr>
              <w:t>us</w:t>
            </w:r>
            <w:r w:rsidR="005C6C6C" w:rsidRPr="005C6C6C">
              <w:rPr>
                <w:rFonts w:ascii="Times New Roman" w:eastAsia="Calibri" w:hAnsi="Times New Roman" w:cs="Times New Roman"/>
                <w:bCs/>
                <w:sz w:val="24"/>
                <w:szCs w:val="24"/>
              </w:rPr>
              <w:t xml:space="preserve"> un viņu ģimenes locekļ</w:t>
            </w:r>
            <w:r w:rsidR="005C6C6C">
              <w:rPr>
                <w:rFonts w:ascii="Times New Roman" w:eastAsia="Calibri" w:hAnsi="Times New Roman" w:cs="Times New Roman"/>
                <w:bCs/>
                <w:sz w:val="24"/>
                <w:szCs w:val="24"/>
              </w:rPr>
              <w:t xml:space="preserve">us; </w:t>
            </w:r>
            <w:r w:rsidR="005C6C6C" w:rsidRPr="005C6C6C">
              <w:rPr>
                <w:rFonts w:ascii="Times New Roman" w:eastAsia="Calibri" w:hAnsi="Times New Roman" w:cs="Times New Roman"/>
                <w:bCs/>
                <w:sz w:val="24"/>
                <w:szCs w:val="24"/>
              </w:rPr>
              <w:t>person</w:t>
            </w:r>
            <w:r w:rsidR="005C6C6C">
              <w:rPr>
                <w:rFonts w:ascii="Times New Roman" w:eastAsia="Calibri" w:hAnsi="Times New Roman" w:cs="Times New Roman"/>
                <w:bCs/>
                <w:sz w:val="24"/>
                <w:szCs w:val="24"/>
              </w:rPr>
              <w:t>as</w:t>
            </w:r>
            <w:r w:rsidR="005C6C6C" w:rsidRPr="005C6C6C">
              <w:rPr>
                <w:rFonts w:ascii="Times New Roman" w:eastAsia="Calibri" w:hAnsi="Times New Roman" w:cs="Times New Roman"/>
                <w:bCs/>
                <w:sz w:val="24"/>
                <w:szCs w:val="24"/>
              </w:rPr>
              <w:t>, kuras ierodas Latvijā pēc Valsts prezidenta, Saeimas, Ministru kabineta vai tā locekļa, Satversmes tiesas, Augstākās tiesas, Valsts kontroles vai ministrijas ielūguma</w:t>
            </w:r>
            <w:r w:rsidR="005C6C6C">
              <w:rPr>
                <w:rFonts w:ascii="Times New Roman" w:eastAsia="Calibri" w:hAnsi="Times New Roman" w:cs="Times New Roman"/>
                <w:bCs/>
                <w:sz w:val="24"/>
                <w:szCs w:val="24"/>
              </w:rPr>
              <w:t>; L</w:t>
            </w:r>
            <w:r w:rsidR="005C6C6C" w:rsidRPr="005C6C6C">
              <w:rPr>
                <w:rFonts w:ascii="Times New Roman" w:eastAsia="Calibri" w:hAnsi="Times New Roman" w:cs="Times New Roman"/>
                <w:bCs/>
                <w:sz w:val="24"/>
                <w:szCs w:val="24"/>
              </w:rPr>
              <w:t>atvijas vai ārvalsts diplomātisk</w:t>
            </w:r>
            <w:r w:rsidR="005C6C6C">
              <w:rPr>
                <w:rFonts w:ascii="Times New Roman" w:eastAsia="Calibri" w:hAnsi="Times New Roman" w:cs="Times New Roman"/>
                <w:bCs/>
                <w:sz w:val="24"/>
                <w:szCs w:val="24"/>
              </w:rPr>
              <w:t>os</w:t>
            </w:r>
            <w:r w:rsidR="005C6C6C" w:rsidRPr="005C6C6C">
              <w:rPr>
                <w:rFonts w:ascii="Times New Roman" w:eastAsia="Calibri" w:hAnsi="Times New Roman" w:cs="Times New Roman"/>
                <w:bCs/>
                <w:sz w:val="24"/>
                <w:szCs w:val="24"/>
              </w:rPr>
              <w:t xml:space="preserve"> kurjer</w:t>
            </w:r>
            <w:r w:rsidR="005C6C6C">
              <w:rPr>
                <w:rFonts w:ascii="Times New Roman" w:eastAsia="Calibri" w:hAnsi="Times New Roman" w:cs="Times New Roman"/>
                <w:bCs/>
                <w:sz w:val="24"/>
                <w:szCs w:val="24"/>
              </w:rPr>
              <w:t>us</w:t>
            </w:r>
            <w:r w:rsidR="005C6C6C" w:rsidRPr="005C6C6C">
              <w:rPr>
                <w:rFonts w:ascii="Times New Roman" w:eastAsia="Calibri" w:hAnsi="Times New Roman" w:cs="Times New Roman"/>
                <w:bCs/>
                <w:sz w:val="24"/>
                <w:szCs w:val="24"/>
              </w:rPr>
              <w:t xml:space="preserve"> vai </w:t>
            </w:r>
            <w:r w:rsidR="005C6C6C" w:rsidRPr="005C6C6C">
              <w:rPr>
                <w:rFonts w:ascii="Times New Roman" w:eastAsia="Calibri" w:hAnsi="Times New Roman" w:cs="Times New Roman"/>
                <w:bCs/>
                <w:i/>
                <w:iCs/>
                <w:sz w:val="24"/>
                <w:szCs w:val="24"/>
              </w:rPr>
              <w:t>ad hoc</w:t>
            </w:r>
            <w:r w:rsidR="005C6C6C" w:rsidRPr="005C6C6C">
              <w:rPr>
                <w:rFonts w:ascii="Times New Roman" w:eastAsia="Calibri" w:hAnsi="Times New Roman" w:cs="Times New Roman"/>
                <w:bCs/>
                <w:sz w:val="24"/>
                <w:szCs w:val="24"/>
              </w:rPr>
              <w:t> diplomātisk</w:t>
            </w:r>
            <w:r w:rsidR="000C7E59">
              <w:rPr>
                <w:rFonts w:ascii="Times New Roman" w:eastAsia="Calibri" w:hAnsi="Times New Roman" w:cs="Times New Roman"/>
                <w:bCs/>
                <w:sz w:val="24"/>
                <w:szCs w:val="24"/>
              </w:rPr>
              <w:t>os</w:t>
            </w:r>
            <w:r w:rsidR="005C6C6C" w:rsidRPr="005C6C6C">
              <w:rPr>
                <w:rFonts w:ascii="Times New Roman" w:eastAsia="Calibri" w:hAnsi="Times New Roman" w:cs="Times New Roman"/>
                <w:bCs/>
                <w:sz w:val="24"/>
                <w:szCs w:val="24"/>
              </w:rPr>
              <w:t xml:space="preserve"> kurjer</w:t>
            </w:r>
            <w:r w:rsidR="000C7E59">
              <w:rPr>
                <w:rFonts w:ascii="Times New Roman" w:eastAsia="Calibri" w:hAnsi="Times New Roman" w:cs="Times New Roman"/>
                <w:bCs/>
                <w:sz w:val="24"/>
                <w:szCs w:val="24"/>
              </w:rPr>
              <w:t>us</w:t>
            </w:r>
            <w:r w:rsidR="005C6C6C" w:rsidRPr="005C6C6C">
              <w:rPr>
                <w:rFonts w:ascii="Times New Roman" w:eastAsia="Calibri" w:hAnsi="Times New Roman" w:cs="Times New Roman"/>
                <w:bCs/>
                <w:sz w:val="24"/>
                <w:szCs w:val="24"/>
              </w:rPr>
              <w:t>, kas uzrāda oficiālu dokumentu, kurā norādīts viņa statuss un diplomātiskā pasta paku skaits;</w:t>
            </w:r>
            <w:r w:rsidR="000C7E59">
              <w:rPr>
                <w:rFonts w:ascii="Times New Roman" w:eastAsia="Calibri" w:hAnsi="Times New Roman" w:cs="Times New Roman"/>
                <w:bCs/>
                <w:sz w:val="24"/>
                <w:szCs w:val="24"/>
              </w:rPr>
              <w:t xml:space="preserve"> </w:t>
            </w:r>
            <w:r w:rsidR="005C6C6C" w:rsidRPr="005C6C6C">
              <w:rPr>
                <w:rFonts w:ascii="Times New Roman" w:eastAsia="Calibri" w:hAnsi="Times New Roman" w:cs="Times New Roman"/>
                <w:bCs/>
                <w:sz w:val="24"/>
                <w:szCs w:val="24"/>
              </w:rPr>
              <w:t>Latvijas Republikas diplomātiskās pases turētāj</w:t>
            </w:r>
            <w:r w:rsidR="000C7E59">
              <w:rPr>
                <w:rFonts w:ascii="Times New Roman" w:eastAsia="Calibri" w:hAnsi="Times New Roman" w:cs="Times New Roman"/>
                <w:bCs/>
                <w:sz w:val="24"/>
                <w:szCs w:val="24"/>
              </w:rPr>
              <w:t>us</w:t>
            </w:r>
            <w:r w:rsidR="005C6C6C" w:rsidRPr="005C6C6C">
              <w:rPr>
                <w:rFonts w:ascii="Times New Roman" w:eastAsia="Calibri" w:hAnsi="Times New Roman" w:cs="Times New Roman"/>
                <w:bCs/>
                <w:sz w:val="24"/>
                <w:szCs w:val="24"/>
              </w:rPr>
              <w:t>, viņus pavadošo tehnisko personālu un diplomātiskā un konsulārā dienesta ierēdņ</w:t>
            </w:r>
            <w:r w:rsidR="000C7E59">
              <w:rPr>
                <w:rFonts w:ascii="Times New Roman" w:eastAsia="Calibri" w:hAnsi="Times New Roman" w:cs="Times New Roman"/>
                <w:bCs/>
                <w:sz w:val="24"/>
                <w:szCs w:val="24"/>
              </w:rPr>
              <w:t>us</w:t>
            </w:r>
            <w:r w:rsidR="005C6C6C" w:rsidRPr="005C6C6C">
              <w:rPr>
                <w:rFonts w:ascii="Times New Roman" w:eastAsia="Calibri" w:hAnsi="Times New Roman" w:cs="Times New Roman"/>
                <w:bCs/>
                <w:sz w:val="24"/>
                <w:szCs w:val="24"/>
              </w:rPr>
              <w:t xml:space="preserve"> un darbiniek</w:t>
            </w:r>
            <w:r w:rsidR="000C7E59">
              <w:rPr>
                <w:rFonts w:ascii="Times New Roman" w:eastAsia="Calibri" w:hAnsi="Times New Roman" w:cs="Times New Roman"/>
                <w:bCs/>
                <w:sz w:val="24"/>
                <w:szCs w:val="24"/>
              </w:rPr>
              <w:t>us</w:t>
            </w:r>
            <w:r w:rsidR="005C6C6C" w:rsidRPr="005C6C6C">
              <w:rPr>
                <w:rFonts w:ascii="Times New Roman" w:eastAsia="Calibri" w:hAnsi="Times New Roman" w:cs="Times New Roman"/>
                <w:bCs/>
                <w:sz w:val="24"/>
                <w:szCs w:val="24"/>
              </w:rPr>
              <w:t>, veicot oficiālās funkcijas</w:t>
            </w:r>
            <w:r w:rsidR="000C7E59">
              <w:rPr>
                <w:rFonts w:ascii="Times New Roman" w:eastAsia="Calibri" w:hAnsi="Times New Roman" w:cs="Times New Roman"/>
                <w:bCs/>
                <w:sz w:val="24"/>
                <w:szCs w:val="24"/>
              </w:rPr>
              <w:t xml:space="preserve">), </w:t>
            </w:r>
            <w:r w:rsidR="005C6C6C" w:rsidRPr="005C6C6C">
              <w:rPr>
                <w:rFonts w:ascii="Times New Roman" w:eastAsia="Calibri" w:hAnsi="Times New Roman" w:cs="Times New Roman"/>
                <w:bCs/>
                <w:sz w:val="24"/>
                <w:szCs w:val="24"/>
              </w:rPr>
              <w:t xml:space="preserve">kura ieceļo Latvijas Republikā, šķērsojot ārējo sauszemes robežu robežšķērsošanas vietā </w:t>
            </w:r>
            <w:r w:rsidR="000C7E59">
              <w:rPr>
                <w:rFonts w:ascii="Times New Roman" w:eastAsia="Calibri" w:hAnsi="Times New Roman" w:cs="Times New Roman"/>
                <w:bCs/>
                <w:sz w:val="24"/>
                <w:szCs w:val="24"/>
              </w:rPr>
              <w:t>“</w:t>
            </w:r>
            <w:r w:rsidR="005C6C6C" w:rsidRPr="005C6C6C">
              <w:rPr>
                <w:rFonts w:ascii="Times New Roman" w:eastAsia="Calibri" w:hAnsi="Times New Roman" w:cs="Times New Roman"/>
                <w:bCs/>
                <w:sz w:val="24"/>
                <w:szCs w:val="24"/>
              </w:rPr>
              <w:t>Grebņeva</w:t>
            </w:r>
            <w:r w:rsidR="000C7E59">
              <w:rPr>
                <w:rFonts w:ascii="Times New Roman" w:eastAsia="Calibri" w:hAnsi="Times New Roman" w:cs="Times New Roman"/>
                <w:bCs/>
                <w:sz w:val="24"/>
                <w:szCs w:val="24"/>
              </w:rPr>
              <w:t>”</w:t>
            </w:r>
            <w:r w:rsidR="005C6C6C" w:rsidRPr="005C6C6C">
              <w:rPr>
                <w:rFonts w:ascii="Times New Roman" w:eastAsia="Calibri" w:hAnsi="Times New Roman" w:cs="Times New Roman"/>
                <w:bCs/>
                <w:sz w:val="24"/>
                <w:szCs w:val="24"/>
              </w:rPr>
              <w:t xml:space="preserve">, </w:t>
            </w:r>
            <w:r w:rsidR="000C7E59">
              <w:rPr>
                <w:rFonts w:ascii="Times New Roman" w:eastAsia="Calibri" w:hAnsi="Times New Roman" w:cs="Times New Roman"/>
                <w:bCs/>
                <w:sz w:val="24"/>
                <w:szCs w:val="24"/>
              </w:rPr>
              <w:t>“</w:t>
            </w:r>
            <w:r w:rsidR="005C6C6C" w:rsidRPr="005C6C6C">
              <w:rPr>
                <w:rFonts w:ascii="Times New Roman" w:eastAsia="Calibri" w:hAnsi="Times New Roman" w:cs="Times New Roman"/>
                <w:bCs/>
                <w:sz w:val="24"/>
                <w:szCs w:val="24"/>
              </w:rPr>
              <w:t>Terehova</w:t>
            </w:r>
            <w:r w:rsidR="000C7E59">
              <w:rPr>
                <w:rFonts w:ascii="Times New Roman" w:eastAsia="Calibri" w:hAnsi="Times New Roman" w:cs="Times New Roman"/>
                <w:bCs/>
                <w:sz w:val="24"/>
                <w:szCs w:val="24"/>
              </w:rPr>
              <w:t>”</w:t>
            </w:r>
            <w:r w:rsidR="005C6C6C" w:rsidRPr="005C6C6C">
              <w:rPr>
                <w:rFonts w:ascii="Times New Roman" w:eastAsia="Calibri" w:hAnsi="Times New Roman" w:cs="Times New Roman"/>
                <w:bCs/>
                <w:sz w:val="24"/>
                <w:szCs w:val="24"/>
              </w:rPr>
              <w:t xml:space="preserve">, </w:t>
            </w:r>
            <w:r w:rsidR="000C7E59">
              <w:rPr>
                <w:rFonts w:ascii="Times New Roman" w:eastAsia="Calibri" w:hAnsi="Times New Roman" w:cs="Times New Roman"/>
                <w:bCs/>
                <w:sz w:val="24"/>
                <w:szCs w:val="24"/>
              </w:rPr>
              <w:t>“</w:t>
            </w:r>
            <w:r w:rsidR="005C6C6C" w:rsidRPr="005C6C6C">
              <w:rPr>
                <w:rFonts w:ascii="Times New Roman" w:eastAsia="Calibri" w:hAnsi="Times New Roman" w:cs="Times New Roman"/>
                <w:bCs/>
                <w:sz w:val="24"/>
                <w:szCs w:val="24"/>
              </w:rPr>
              <w:t>Pāternieki</w:t>
            </w:r>
            <w:r w:rsidR="000C7E59">
              <w:rPr>
                <w:rFonts w:ascii="Times New Roman" w:eastAsia="Calibri" w:hAnsi="Times New Roman" w:cs="Times New Roman"/>
                <w:bCs/>
                <w:sz w:val="24"/>
                <w:szCs w:val="24"/>
              </w:rPr>
              <w:t>”</w:t>
            </w:r>
            <w:r w:rsidR="005C6C6C" w:rsidRPr="005C6C6C">
              <w:rPr>
                <w:rFonts w:ascii="Times New Roman" w:eastAsia="Calibri" w:hAnsi="Times New Roman" w:cs="Times New Roman"/>
                <w:bCs/>
                <w:sz w:val="24"/>
                <w:szCs w:val="24"/>
              </w:rPr>
              <w:t xml:space="preserve"> vai </w:t>
            </w:r>
            <w:r w:rsidR="000C7E59">
              <w:rPr>
                <w:rFonts w:ascii="Times New Roman" w:eastAsia="Calibri" w:hAnsi="Times New Roman" w:cs="Times New Roman"/>
                <w:bCs/>
                <w:sz w:val="24"/>
                <w:szCs w:val="24"/>
              </w:rPr>
              <w:t>“</w:t>
            </w:r>
            <w:r w:rsidR="005C6C6C" w:rsidRPr="005C6C6C">
              <w:rPr>
                <w:rFonts w:ascii="Times New Roman" w:eastAsia="Calibri" w:hAnsi="Times New Roman" w:cs="Times New Roman"/>
                <w:bCs/>
                <w:sz w:val="24"/>
                <w:szCs w:val="24"/>
              </w:rPr>
              <w:t>Silene</w:t>
            </w:r>
            <w:r w:rsidR="000C7E59">
              <w:rPr>
                <w:rFonts w:ascii="Times New Roman" w:eastAsia="Calibri" w:hAnsi="Times New Roman" w:cs="Times New Roman"/>
                <w:bCs/>
                <w:sz w:val="24"/>
                <w:szCs w:val="24"/>
              </w:rPr>
              <w:t>”</w:t>
            </w:r>
            <w:r w:rsidR="005C6C6C" w:rsidRPr="005C6C6C">
              <w:rPr>
                <w:rFonts w:ascii="Times New Roman" w:eastAsia="Calibri" w:hAnsi="Times New Roman" w:cs="Times New Roman"/>
                <w:bCs/>
                <w:sz w:val="24"/>
                <w:szCs w:val="24"/>
              </w:rPr>
              <w:t xml:space="preserve">, un nevar uzrādīt </w:t>
            </w:r>
            <w:r w:rsidR="000C7E59" w:rsidRPr="000C7E59">
              <w:rPr>
                <w:rFonts w:ascii="Times New Roman" w:eastAsia="Calibri" w:hAnsi="Times New Roman" w:cs="Times New Roman"/>
                <w:bCs/>
                <w:sz w:val="24"/>
                <w:szCs w:val="24"/>
              </w:rPr>
              <w:t>sadarbspējīgu vakcinācijas, testēšanas vai pārslimošanas sertifikātu </w:t>
            </w:r>
            <w:r w:rsidR="005C6C6C" w:rsidRPr="005C6C6C">
              <w:rPr>
                <w:rFonts w:ascii="Times New Roman" w:eastAsia="Calibri" w:hAnsi="Times New Roman" w:cs="Times New Roman"/>
                <w:bCs/>
                <w:sz w:val="24"/>
                <w:szCs w:val="24"/>
              </w:rPr>
              <w:t>sertifikātu vai līdz 2021. gada 1. septembrim – citu Eiropas Savienības un Eiropas Ekonomikas zonas valstī, Šveices Konfederācijā vai Apvienotajā Karalistē izsniegtu derīgu Covid-19 vakcinācijas, pārslimošanas vai veikta Covid-19 testa apliecinājumu, nekavējoties par saviem līdzekļiem veic Covid-19 testu minētajā robežšķērsošanas vietā.</w:t>
            </w:r>
            <w:r w:rsidR="000C7E59">
              <w:rPr>
                <w:rFonts w:ascii="Times New Roman" w:eastAsia="Calibri" w:hAnsi="Times New Roman" w:cs="Times New Roman"/>
                <w:bCs/>
                <w:sz w:val="24"/>
                <w:szCs w:val="24"/>
              </w:rPr>
              <w:t xml:space="preserve"> </w:t>
            </w:r>
            <w:r w:rsidR="000C7E59" w:rsidRPr="000C7E59">
              <w:rPr>
                <w:rFonts w:ascii="Times New Roman" w:eastAsia="Calibri" w:hAnsi="Times New Roman" w:cs="Times New Roman"/>
                <w:bCs/>
                <w:sz w:val="24"/>
                <w:szCs w:val="24"/>
              </w:rPr>
              <w:lastRenderedPageBreak/>
              <w:t>Vienlaikus Noteikumi nosaka, ka gadījumā, ja persona neveic Covid-19 testu vai ja Covid-19 testa rezultāts ir pozitīvs:</w:t>
            </w:r>
          </w:p>
          <w:p w14:paraId="464B44FD" w14:textId="21250664" w:rsidR="000C7E59" w:rsidRPr="000C7E59" w:rsidRDefault="000C7E59" w:rsidP="000C7E59">
            <w:pPr>
              <w:spacing w:after="0" w:line="240" w:lineRule="auto"/>
              <w:jc w:val="both"/>
              <w:rPr>
                <w:rFonts w:ascii="Times New Roman" w:eastAsia="Calibri" w:hAnsi="Times New Roman" w:cs="Times New Roman"/>
                <w:bCs/>
                <w:sz w:val="24"/>
                <w:szCs w:val="24"/>
              </w:rPr>
            </w:pPr>
            <w:r w:rsidRPr="000C7E59">
              <w:rPr>
                <w:rFonts w:ascii="Times New Roman" w:eastAsia="Calibri" w:hAnsi="Times New Roman" w:cs="Times New Roman"/>
                <w:bCs/>
                <w:sz w:val="24"/>
                <w:szCs w:val="24"/>
              </w:rPr>
              <w:t xml:space="preserve"> 1. Latvijas Republikas pilsoni, nepilsoni vai ārvalstnieku, kuram Latvijas Republikā ir izsniegta pastāvīgā uzturēšanās atļauja, </w:t>
            </w:r>
            <w:r w:rsidR="009E43D6">
              <w:rPr>
                <w:rFonts w:ascii="Times New Roman" w:eastAsia="Calibri" w:hAnsi="Times New Roman" w:cs="Times New Roman"/>
                <w:bCs/>
                <w:sz w:val="24"/>
                <w:szCs w:val="24"/>
              </w:rPr>
              <w:t>N</w:t>
            </w:r>
            <w:r w:rsidRPr="000C7E59">
              <w:rPr>
                <w:rFonts w:ascii="Times New Roman" w:eastAsia="Calibri" w:hAnsi="Times New Roman" w:cs="Times New Roman"/>
                <w:bCs/>
                <w:sz w:val="24"/>
                <w:szCs w:val="24"/>
              </w:rPr>
              <w:t>eatliekamās medicīniskās palīdzības dienests</w:t>
            </w:r>
            <w:r w:rsidR="009E43D6">
              <w:rPr>
                <w:rFonts w:ascii="Times New Roman" w:eastAsia="Calibri" w:hAnsi="Times New Roman" w:cs="Times New Roman"/>
                <w:bCs/>
                <w:sz w:val="24"/>
                <w:szCs w:val="24"/>
              </w:rPr>
              <w:t xml:space="preserve"> (turpmāk – Dienests)</w:t>
            </w:r>
            <w:r w:rsidRPr="000C7E59">
              <w:rPr>
                <w:rFonts w:ascii="Times New Roman" w:eastAsia="Calibri" w:hAnsi="Times New Roman" w:cs="Times New Roman"/>
                <w:bCs/>
                <w:sz w:val="24"/>
                <w:szCs w:val="24"/>
              </w:rPr>
              <w:t xml:space="preserve"> obligātās izolācijas ievērošanai nekavējoties nogādā dzīvesvietā vai uzturēšanās vietā, vai kādā no Latvijas Investīciju un attīstības aģentūras administrētajā tūristu mītņu sarakstā minētajām tūristu mītnēm (ja personai nav iespējas doties uz dzīvesvietu vai uzturēšanās vietu, nepakļaujot citas personas inficēšanās riskam) un informē tūristu mītni par pozitīvo Covid-19 testu vai par to, ka persona nav veikusi Covid-19 testu;</w:t>
            </w:r>
          </w:p>
          <w:p w14:paraId="059CCCCF" w14:textId="563E6B07" w:rsidR="000C7E59" w:rsidRDefault="000C7E59" w:rsidP="000C7E5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0C7E59">
              <w:rPr>
                <w:rFonts w:ascii="Times New Roman" w:eastAsia="Calibri" w:hAnsi="Times New Roman" w:cs="Times New Roman"/>
                <w:bCs/>
                <w:sz w:val="24"/>
                <w:szCs w:val="24"/>
              </w:rPr>
              <w:t xml:space="preserve">2. pārējās personas, </w:t>
            </w:r>
            <w:r w:rsidR="009E43D6">
              <w:rPr>
                <w:rFonts w:ascii="Times New Roman" w:eastAsia="Calibri" w:hAnsi="Times New Roman" w:cs="Times New Roman"/>
                <w:bCs/>
                <w:sz w:val="24"/>
                <w:szCs w:val="24"/>
              </w:rPr>
              <w:t>D</w:t>
            </w:r>
            <w:r w:rsidRPr="000C7E59">
              <w:rPr>
                <w:rFonts w:ascii="Times New Roman" w:eastAsia="Calibri" w:hAnsi="Times New Roman" w:cs="Times New Roman"/>
                <w:bCs/>
                <w:sz w:val="24"/>
                <w:szCs w:val="24"/>
              </w:rPr>
              <w:t>ienests obligātās izolācijas ievērošanai nekavējoties nogādā kādā no Latvijas Investīciju un attīstības aģentūras administrētajā tūristu mītņu sarakstā minētajām tūristu mītnēm.</w:t>
            </w:r>
          </w:p>
          <w:p w14:paraId="339CC156" w14:textId="228B6F7A" w:rsidR="005434ED" w:rsidRDefault="005434ED" w:rsidP="000C7E5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Savukārt Noteikumu </w:t>
            </w:r>
            <w:r w:rsidRPr="005434ED">
              <w:rPr>
                <w:rFonts w:ascii="Times New Roman" w:eastAsia="Calibri" w:hAnsi="Times New Roman" w:cs="Times New Roman"/>
                <w:bCs/>
                <w:sz w:val="24"/>
                <w:szCs w:val="24"/>
              </w:rPr>
              <w:t>38.</w:t>
            </w:r>
            <w:r w:rsidRPr="005434ED">
              <w:rPr>
                <w:rFonts w:ascii="Times New Roman" w:eastAsia="Calibri" w:hAnsi="Times New Roman" w:cs="Times New Roman"/>
                <w:bCs/>
                <w:sz w:val="24"/>
                <w:szCs w:val="24"/>
                <w:vertAlign w:val="superscript"/>
              </w:rPr>
              <w:t>64</w:t>
            </w:r>
            <w:r w:rsidRPr="005434ED">
              <w:rPr>
                <w:rFonts w:ascii="Times New Roman" w:eastAsia="Calibri" w:hAnsi="Times New Roman" w:cs="Times New Roman"/>
                <w:bCs/>
                <w:sz w:val="24"/>
                <w:szCs w:val="24"/>
              </w:rPr>
              <w:t xml:space="preserve"> punkts </w:t>
            </w:r>
            <w:r>
              <w:rPr>
                <w:rFonts w:ascii="Times New Roman" w:eastAsia="Calibri" w:hAnsi="Times New Roman" w:cs="Times New Roman"/>
                <w:bCs/>
                <w:sz w:val="24"/>
                <w:szCs w:val="24"/>
              </w:rPr>
              <w:t xml:space="preserve">paredz, ka </w:t>
            </w:r>
            <w:r w:rsidRPr="005434ED">
              <w:rPr>
                <w:rFonts w:ascii="Times New Roman" w:eastAsia="Calibri" w:hAnsi="Times New Roman" w:cs="Times New Roman"/>
                <w:bCs/>
                <w:sz w:val="24"/>
                <w:szCs w:val="24"/>
              </w:rPr>
              <w:t>Tūristu mītnei ir pienākums informēt Veselības inspekciju par personas nenakšņošanu tūristu mītnē obligātās izolācijas laikā.</w:t>
            </w:r>
          </w:p>
          <w:p w14:paraId="5A4063B3" w14:textId="733DB5B2" w:rsidR="005434ED" w:rsidRDefault="005434ED" w:rsidP="000C7E59">
            <w:pPr>
              <w:spacing w:after="0" w:line="240" w:lineRule="auto"/>
              <w:jc w:val="both"/>
              <w:rPr>
                <w:rFonts w:ascii="Times New Roman" w:eastAsia="Calibri" w:hAnsi="Times New Roman" w:cs="Times New Roman"/>
                <w:bCs/>
                <w:sz w:val="24"/>
                <w:szCs w:val="24"/>
              </w:rPr>
            </w:pPr>
          </w:p>
          <w:p w14:paraId="21706E8B" w14:textId="0C2F8996" w:rsidR="005434ED" w:rsidRDefault="005434ED" w:rsidP="000C7E5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Izvērtējot situāciju  secināms, ka personām, kas šķērsos robežu tiks veikts</w:t>
            </w:r>
            <w:r w:rsidR="008D1568" w:rsidRPr="008D1568">
              <w:rPr>
                <w:rFonts w:ascii="Times New Roman" w:eastAsia="Calibri" w:hAnsi="Times New Roman" w:cs="Times New Roman"/>
                <w:bCs/>
                <w:sz w:val="24"/>
                <w:szCs w:val="24"/>
              </w:rPr>
              <w:t xml:space="preserve"> SARS-CoV-2 antigēna test</w:t>
            </w:r>
            <w:r w:rsidR="008D1568">
              <w:rPr>
                <w:rFonts w:ascii="Times New Roman" w:eastAsia="Calibri" w:hAnsi="Times New Roman" w:cs="Times New Roman"/>
                <w:bCs/>
                <w:sz w:val="24"/>
                <w:szCs w:val="24"/>
              </w:rPr>
              <w:t>s</w:t>
            </w:r>
            <w:r>
              <w:rPr>
                <w:rFonts w:ascii="Times New Roman" w:eastAsia="Calibri" w:hAnsi="Times New Roman" w:cs="Times New Roman"/>
                <w:bCs/>
                <w:sz w:val="24"/>
                <w:szCs w:val="24"/>
              </w:rPr>
              <w:t>, kura pozitīvais rezultāts ir apstip</w:t>
            </w:r>
            <w:r w:rsidR="008D1568">
              <w:rPr>
                <w:rFonts w:ascii="Times New Roman" w:eastAsia="Calibri" w:hAnsi="Times New Roman" w:cs="Times New Roman"/>
                <w:bCs/>
                <w:sz w:val="24"/>
                <w:szCs w:val="24"/>
              </w:rPr>
              <w:t>r</w:t>
            </w:r>
            <w:r>
              <w:rPr>
                <w:rFonts w:ascii="Times New Roman" w:eastAsia="Calibri" w:hAnsi="Times New Roman" w:cs="Times New Roman"/>
                <w:bCs/>
                <w:sz w:val="24"/>
                <w:szCs w:val="24"/>
              </w:rPr>
              <w:t xml:space="preserve">ināms ar </w:t>
            </w:r>
            <w:r w:rsidR="008D1568" w:rsidRPr="008D1568">
              <w:rPr>
                <w:rFonts w:ascii="Times New Roman" w:eastAsia="Calibri" w:hAnsi="Times New Roman" w:cs="Times New Roman"/>
                <w:bCs/>
                <w:sz w:val="24"/>
                <w:szCs w:val="24"/>
              </w:rPr>
              <w:t>polimerāzes ķēdes reakcijas metod</w:t>
            </w:r>
            <w:r>
              <w:rPr>
                <w:rFonts w:ascii="Times New Roman" w:eastAsia="Calibri" w:hAnsi="Times New Roman" w:cs="Times New Roman"/>
                <w:bCs/>
                <w:sz w:val="24"/>
                <w:szCs w:val="24"/>
              </w:rPr>
              <w:t>i. Ņemot vērā</w:t>
            </w:r>
            <w:r w:rsidR="00E32152">
              <w:rPr>
                <w:rFonts w:ascii="Times New Roman" w:eastAsia="Calibri" w:hAnsi="Times New Roman" w:cs="Times New Roman"/>
                <w:bCs/>
                <w:sz w:val="24"/>
                <w:szCs w:val="24"/>
              </w:rPr>
              <w:t xml:space="preserve"> minēto projekts paredz precizēt tiesību normu attiecībā uz testu veikšanu, vienlaikus nosakot, ka metodes izmeklējums ir valsts apmaksāts pakalpojums</w:t>
            </w:r>
            <w:r w:rsidR="009E7D7F">
              <w:rPr>
                <w:rFonts w:ascii="Times New Roman" w:eastAsia="Calibri" w:hAnsi="Times New Roman" w:cs="Times New Roman"/>
                <w:bCs/>
                <w:sz w:val="24"/>
                <w:szCs w:val="24"/>
              </w:rPr>
              <w:t>, jo ar minētajiem pasākumiem tiek  nodrošināta infekcijas izplatīšanās ierobežošana.</w:t>
            </w:r>
          </w:p>
          <w:p w14:paraId="702FF326" w14:textId="20900E90" w:rsidR="00EA7AA2" w:rsidRPr="000C7E59" w:rsidRDefault="00E32152" w:rsidP="00EA7AA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Attiecībā uz</w:t>
            </w:r>
            <w:r w:rsidR="000C7E59">
              <w:rPr>
                <w:rFonts w:ascii="Times New Roman" w:eastAsia="Calibri" w:hAnsi="Times New Roman" w:cs="Times New Roman"/>
                <w:bCs/>
                <w:sz w:val="24"/>
                <w:szCs w:val="24"/>
              </w:rPr>
              <w:t xml:space="preserve"> Latvijas Republikas pilsoņa, nepilso</w:t>
            </w:r>
            <w:r w:rsidR="00496AEF">
              <w:rPr>
                <w:rFonts w:ascii="Times New Roman" w:eastAsia="Calibri" w:hAnsi="Times New Roman" w:cs="Times New Roman"/>
                <w:bCs/>
                <w:sz w:val="24"/>
                <w:szCs w:val="24"/>
              </w:rPr>
              <w:t>ņ</w:t>
            </w:r>
            <w:r w:rsidR="000C7E59">
              <w:rPr>
                <w:rFonts w:ascii="Times New Roman" w:eastAsia="Calibri" w:hAnsi="Times New Roman" w:cs="Times New Roman"/>
                <w:bCs/>
                <w:sz w:val="24"/>
                <w:szCs w:val="24"/>
              </w:rPr>
              <w:t>a vai ārvalstnieka, kuram Latvijas Republikā ir izsniegta pastāvīga uzturēšanās atļauja, attiecīgi dzīves vieta vai uzturēšanās vieta varētu būt lielā attālumā no minētaj</w:t>
            </w:r>
            <w:r w:rsidR="00496AEF">
              <w:rPr>
                <w:rFonts w:ascii="Times New Roman" w:eastAsia="Calibri" w:hAnsi="Times New Roman" w:cs="Times New Roman"/>
                <w:bCs/>
                <w:sz w:val="24"/>
                <w:szCs w:val="24"/>
              </w:rPr>
              <w:t>ā</w:t>
            </w:r>
            <w:r w:rsidR="000C7E59">
              <w:rPr>
                <w:rFonts w:ascii="Times New Roman" w:eastAsia="Calibri" w:hAnsi="Times New Roman" w:cs="Times New Roman"/>
                <w:bCs/>
                <w:sz w:val="24"/>
                <w:szCs w:val="24"/>
              </w:rPr>
              <w:t>m ārējās robežas robežšķērsošana</w:t>
            </w:r>
            <w:r w:rsidR="00496AEF">
              <w:rPr>
                <w:rFonts w:ascii="Times New Roman" w:eastAsia="Calibri" w:hAnsi="Times New Roman" w:cs="Times New Roman"/>
                <w:bCs/>
                <w:sz w:val="24"/>
                <w:szCs w:val="24"/>
              </w:rPr>
              <w:t xml:space="preserve">s vietām, kā rezultātā personas nogādāšanai obligātās izolācijas veikšanai </w:t>
            </w:r>
            <w:r w:rsidR="009E43D6">
              <w:rPr>
                <w:rFonts w:ascii="Times New Roman" w:eastAsia="Calibri" w:hAnsi="Times New Roman" w:cs="Times New Roman"/>
                <w:bCs/>
                <w:sz w:val="24"/>
                <w:szCs w:val="24"/>
              </w:rPr>
              <w:t>D</w:t>
            </w:r>
            <w:r w:rsidR="00496AEF">
              <w:rPr>
                <w:rFonts w:ascii="Times New Roman" w:eastAsia="Calibri" w:hAnsi="Times New Roman" w:cs="Times New Roman"/>
                <w:bCs/>
                <w:sz w:val="24"/>
                <w:szCs w:val="24"/>
              </w:rPr>
              <w:t>ienestam būtu jāpatērē nesamērīgi liels laiks, un citām personām ilgāks laiks būtu jāpavada robežšķērsošanas vietā</w:t>
            </w:r>
            <w:r w:rsidR="00EA7AA2">
              <w:rPr>
                <w:rFonts w:ascii="Times New Roman" w:eastAsia="Calibri" w:hAnsi="Times New Roman" w:cs="Times New Roman"/>
                <w:bCs/>
                <w:sz w:val="24"/>
                <w:szCs w:val="24"/>
              </w:rPr>
              <w:t>,</w:t>
            </w:r>
            <w:r w:rsidR="00496AEF">
              <w:rPr>
                <w:rFonts w:ascii="Times New Roman" w:eastAsia="Calibri" w:hAnsi="Times New Roman" w:cs="Times New Roman"/>
                <w:bCs/>
                <w:sz w:val="24"/>
                <w:szCs w:val="24"/>
              </w:rPr>
              <w:t xml:space="preserve"> lai tiktu nogādāt</w:t>
            </w:r>
            <w:r w:rsidR="00EA7AA2">
              <w:rPr>
                <w:rFonts w:ascii="Times New Roman" w:eastAsia="Calibri" w:hAnsi="Times New Roman" w:cs="Times New Roman"/>
                <w:bCs/>
                <w:sz w:val="24"/>
                <w:szCs w:val="24"/>
              </w:rPr>
              <w:t>as</w:t>
            </w:r>
            <w:r w:rsidR="00496AEF">
              <w:rPr>
                <w:rFonts w:ascii="Times New Roman" w:eastAsia="Calibri" w:hAnsi="Times New Roman" w:cs="Times New Roman"/>
                <w:bCs/>
                <w:sz w:val="24"/>
                <w:szCs w:val="24"/>
              </w:rPr>
              <w:t xml:space="preserve"> obligātās izolācijas ievērošanas vietā</w:t>
            </w:r>
            <w:r w:rsidR="009E43D6">
              <w:rPr>
                <w:rFonts w:ascii="Times New Roman" w:eastAsia="Calibri" w:hAnsi="Times New Roman" w:cs="Times New Roman"/>
                <w:bCs/>
                <w:sz w:val="24"/>
                <w:szCs w:val="24"/>
              </w:rPr>
              <w:t xml:space="preserve">, </w:t>
            </w:r>
            <w:r w:rsidR="009E43D6" w:rsidRPr="00E95395">
              <w:rPr>
                <w:rFonts w:ascii="Times New Roman" w:eastAsia="Calibri" w:hAnsi="Times New Roman" w:cs="Times New Roman"/>
                <w:bCs/>
                <w:sz w:val="24"/>
                <w:szCs w:val="24"/>
              </w:rPr>
              <w:t>kā arī lai nodrošinātu nekavējošu personu nogādi varētu būt iesaistāms nesamērīgi liels Dienesta cilvēkresursu skaits</w:t>
            </w:r>
            <w:r w:rsidR="00496AEF" w:rsidRPr="00E95395">
              <w:rPr>
                <w:rFonts w:ascii="Times New Roman" w:eastAsia="Calibri" w:hAnsi="Times New Roman" w:cs="Times New Roman"/>
                <w:bCs/>
                <w:sz w:val="24"/>
                <w:szCs w:val="24"/>
              </w:rPr>
              <w:t>.</w:t>
            </w:r>
            <w:r w:rsidR="00496AEF">
              <w:rPr>
                <w:rFonts w:ascii="Times New Roman" w:eastAsia="Calibri" w:hAnsi="Times New Roman" w:cs="Times New Roman"/>
                <w:bCs/>
                <w:sz w:val="24"/>
                <w:szCs w:val="24"/>
              </w:rPr>
              <w:t xml:space="preserve"> </w:t>
            </w:r>
            <w:r w:rsidR="00A51A3F">
              <w:rPr>
                <w:rFonts w:ascii="Times New Roman" w:eastAsia="Calibri" w:hAnsi="Times New Roman" w:cs="Times New Roman"/>
                <w:bCs/>
                <w:sz w:val="24"/>
                <w:szCs w:val="24"/>
              </w:rPr>
              <w:t>Tāpat secināms, ka personu nogādāšanai obligātās izolācijas ievērošanai nav nepieciešama Dienesta brigāde ar ārstniecības personām (minētā brigāde būtu nepieciešama situācijās, kad personai jau būtu klīniskas pazīmes, paaugstināta temperatūra, elpošanas funkcijas grūtības u.c. un šajā gadījuma persona tiktu nogādāta ārstniecības iestādē), bet  minēto nodrošinātu ar Dienesta operatīvo transportlīdzekli bez ārstniecības personu klātbūtnes. Vienlaikus secināms, ka aktuāls jautājums ir arī minēto personu klātesošiem ģimenes locekļiem un kontaktpersonām, kas kopā ar personām šķēršojušas robežu, kā arī situācijām kad personas ar ģimenes locekļiem vai konktaktpersonām robežu sķērso ar personīgiem transportlīdzekļiem.</w:t>
            </w:r>
          </w:p>
          <w:p w14:paraId="230585AA" w14:textId="68D54E89" w:rsidR="000000E7" w:rsidRDefault="00496AEF" w:rsidP="00EF77F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Ņemot vērā minēto</w:t>
            </w:r>
            <w:r w:rsidR="009E43D6">
              <w:rPr>
                <w:rFonts w:ascii="Times New Roman" w:eastAsia="Calibri" w:hAnsi="Times New Roman" w:cs="Times New Roman"/>
                <w:bCs/>
                <w:sz w:val="24"/>
                <w:szCs w:val="24"/>
              </w:rPr>
              <w:t>, kā arī lai ierobežotu infekcijas izplatīšanos,</w:t>
            </w:r>
            <w:r w:rsidR="003B25DF">
              <w:rPr>
                <w:rFonts w:ascii="Times New Roman" w:eastAsia="Calibri" w:hAnsi="Times New Roman" w:cs="Times New Roman"/>
                <w:bCs/>
                <w:sz w:val="24"/>
                <w:szCs w:val="24"/>
              </w:rPr>
              <w:t xml:space="preserve"> projekts paredz precizēt, ka </w:t>
            </w:r>
            <w:r>
              <w:rPr>
                <w:rFonts w:ascii="Times New Roman" w:eastAsia="Calibri" w:hAnsi="Times New Roman" w:cs="Times New Roman"/>
                <w:bCs/>
                <w:sz w:val="24"/>
                <w:szCs w:val="24"/>
              </w:rPr>
              <w:t>personas, kurām Covid-19 testa rezultāts ir bijis pozitīvs, vai kuras atteikušās Covid-19 testu veikt,</w:t>
            </w:r>
            <w:r w:rsidR="00A51A3F">
              <w:rPr>
                <w:rFonts w:ascii="Times New Roman" w:eastAsia="Calibri" w:hAnsi="Times New Roman" w:cs="Times New Roman"/>
                <w:bCs/>
                <w:sz w:val="24"/>
                <w:szCs w:val="24"/>
              </w:rPr>
              <w:t xml:space="preserve"> kā arī viņu klātesoši ģimenes locekļi un kontaktpersonas</w:t>
            </w:r>
            <w:r w:rsidR="000000E7">
              <w:rPr>
                <w:rFonts w:ascii="Times New Roman" w:eastAsia="Calibri" w:hAnsi="Times New Roman" w:cs="Times New Roman"/>
                <w:bCs/>
                <w:sz w:val="24"/>
                <w:szCs w:val="24"/>
              </w:rPr>
              <w:t xml:space="preserve"> Dienests 4 stundu laikā no </w:t>
            </w:r>
            <w:r w:rsidR="000000E7" w:rsidRPr="000000E7">
              <w:rPr>
                <w:rFonts w:ascii="Times New Roman" w:eastAsia="Calibri" w:hAnsi="Times New Roman" w:cs="Times New Roman"/>
                <w:bCs/>
                <w:sz w:val="24"/>
                <w:szCs w:val="24"/>
              </w:rPr>
              <w:t xml:space="preserve">Valsts robežsardzes telefoniska pieteikuma saņemšanas nogādā tuvākajā izolācijas ievērošanas vietā - dzīvesvietā vai uzturēšanās vietā, vai kādā no minēto robežšķērsošanas vietu tuvākajām Latvijas Investīciju un attīstības aģentūras administrētajā tūristu mītņu sarakstā minētajām tūristu mītnēm (ja personai nav iespējas doties uz dzīvesvietu vai uzturēšanās vietu, </w:t>
            </w:r>
            <w:r w:rsidR="000000E7" w:rsidRPr="000000E7">
              <w:rPr>
                <w:rFonts w:ascii="Times New Roman" w:eastAsia="Calibri" w:hAnsi="Times New Roman" w:cs="Times New Roman"/>
                <w:bCs/>
                <w:sz w:val="24"/>
                <w:szCs w:val="24"/>
              </w:rPr>
              <w:lastRenderedPageBreak/>
              <w:t>nepakļaujot citas personas inficēšanās riskam) un informē tūristu mītni par pozitīvo Covid-19 testu vai par to, ka persona nav veikusi Covid-19 testu</w:t>
            </w:r>
            <w:r w:rsidR="000000E7">
              <w:rPr>
                <w:rFonts w:ascii="Times New Roman" w:eastAsia="Calibri" w:hAnsi="Times New Roman" w:cs="Times New Roman"/>
                <w:bCs/>
                <w:sz w:val="24"/>
                <w:szCs w:val="24"/>
              </w:rPr>
              <w:t>.</w:t>
            </w:r>
          </w:p>
          <w:p w14:paraId="264A0F45" w14:textId="5A936928" w:rsidR="006D2D1F" w:rsidRPr="006D2D1F" w:rsidRDefault="00EF77FE" w:rsidP="006D2D1F">
            <w:pPr>
              <w:spacing w:after="0" w:line="240" w:lineRule="auto"/>
              <w:jc w:val="both"/>
              <w:rPr>
                <w:rFonts w:ascii="Times New Roman" w:eastAsia="Calibri" w:hAnsi="Times New Roman" w:cs="Times New Roman"/>
                <w:bCs/>
                <w:sz w:val="24"/>
                <w:szCs w:val="24"/>
              </w:rPr>
            </w:pPr>
            <w:r w:rsidRPr="00EF77FE">
              <w:rPr>
                <w:rFonts w:ascii="Times New Roman" w:eastAsia="Calibri" w:hAnsi="Times New Roman" w:cs="Times New Roman"/>
                <w:bCs/>
                <w:sz w:val="24"/>
                <w:szCs w:val="24"/>
              </w:rPr>
              <w:t xml:space="preserve">Vienlaikus projekts paredz, minētās personas, kas Latvijas Republikā ierodas ar personisko transportu, pozitīva Covid-19 testa gadījumā vai atsakoties veikt </w:t>
            </w:r>
            <w:r w:rsidRPr="00EF77FE">
              <w:rPr>
                <w:rFonts w:ascii="Times New Roman" w:eastAsia="Calibri" w:hAnsi="Times New Roman" w:cs="Times New Roman"/>
                <w:sz w:val="24"/>
                <w:szCs w:val="24"/>
              </w:rPr>
              <w:t xml:space="preserve"> minēto testu </w:t>
            </w:r>
            <w:r w:rsidRPr="00EF77FE">
              <w:rPr>
                <w:rFonts w:ascii="Times New Roman" w:eastAsia="Calibri" w:hAnsi="Times New Roman" w:cs="Times New Roman"/>
                <w:bCs/>
                <w:sz w:val="24"/>
                <w:szCs w:val="24"/>
              </w:rPr>
              <w:t>dodas uz dzīvesvietu vai uzturēšanās vietu vai savu mītnes zemi obligātās izolācijas ievērošanai, izmantojot medicīnisko sejas masku, neveido tiešus kontaktus ar citiem cilvēkiem, neapmeklē sabiedriskas vietas, kur uzturas daudz cilvēku, tai skaitā neizmanto sabiedrisko transportu.</w:t>
            </w:r>
            <w:r>
              <w:rPr>
                <w:rFonts w:ascii="Times New Roman" w:eastAsia="Calibri" w:hAnsi="Times New Roman" w:cs="Times New Roman"/>
                <w:bCs/>
                <w:sz w:val="24"/>
                <w:szCs w:val="24"/>
              </w:rPr>
              <w:t xml:space="preserve"> </w:t>
            </w:r>
            <w:r w:rsidR="006D2D1F">
              <w:rPr>
                <w:rFonts w:ascii="Times New Roman" w:eastAsia="Calibri" w:hAnsi="Times New Roman" w:cs="Times New Roman"/>
                <w:bCs/>
                <w:sz w:val="24"/>
                <w:szCs w:val="24"/>
              </w:rPr>
              <w:t xml:space="preserve">Minētais </w:t>
            </w:r>
            <w:r w:rsidR="006D2D1F" w:rsidRPr="006D2D1F">
              <w:rPr>
                <w:rFonts w:ascii="Times New Roman" w:eastAsia="Calibri" w:hAnsi="Times New Roman" w:cs="Times New Roman"/>
                <w:bCs/>
                <w:sz w:val="24"/>
                <w:szCs w:val="24"/>
              </w:rPr>
              <w:t xml:space="preserve">attiecas </w:t>
            </w:r>
            <w:r w:rsidR="006D2D1F">
              <w:rPr>
                <w:rFonts w:ascii="Times New Roman" w:eastAsia="Calibri" w:hAnsi="Times New Roman" w:cs="Times New Roman"/>
                <w:bCs/>
                <w:sz w:val="24"/>
                <w:szCs w:val="24"/>
              </w:rPr>
              <w:t>gan uz</w:t>
            </w:r>
            <w:r w:rsidR="006D2D1F" w:rsidRPr="006D2D1F">
              <w:rPr>
                <w:rFonts w:ascii="Times New Roman" w:eastAsia="Calibri" w:hAnsi="Times New Roman" w:cs="Times New Roman"/>
                <w:bCs/>
                <w:sz w:val="24"/>
                <w:szCs w:val="24"/>
              </w:rPr>
              <w:t xml:space="preserve"> gadījumiem, ja transportlīdzekli vada tā īpašnieks vai valdītājs</w:t>
            </w:r>
            <w:r w:rsidR="006D2D1F">
              <w:rPr>
                <w:rFonts w:ascii="Times New Roman" w:eastAsia="Calibri" w:hAnsi="Times New Roman" w:cs="Times New Roman"/>
                <w:bCs/>
                <w:sz w:val="24"/>
                <w:szCs w:val="24"/>
              </w:rPr>
              <w:t>, gan arī uz</w:t>
            </w:r>
            <w:r w:rsidR="006D2D1F" w:rsidRPr="006D2D1F">
              <w:rPr>
                <w:rFonts w:ascii="Times New Roman" w:eastAsia="Calibri" w:hAnsi="Times New Roman" w:cs="Times New Roman"/>
                <w:bCs/>
                <w:sz w:val="24"/>
                <w:szCs w:val="24"/>
              </w:rPr>
              <w:t xml:space="preserve"> nomātu transportlīdzekli. </w:t>
            </w:r>
          </w:p>
          <w:p w14:paraId="2AFCF187" w14:textId="7434F570" w:rsidR="00E32152" w:rsidRPr="0093129C" w:rsidRDefault="00E32152" w:rsidP="00EF77F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 mazāk būtiski infekcijas ierobežošanā ir tas, ka personas ievēro obligāto izolāciju un, ja tiek nogādātas kādā no tūristu mītnēm, tajā uzturas. Līdz ar to nepieciešams papilnāt esošo tiesību normu, paredzot, ka tūristu mītnes </w:t>
            </w:r>
            <w:r w:rsidRPr="00E32152">
              <w:rPr>
                <w:rFonts w:ascii="Times New Roman" w:eastAsia="Times New Roman" w:hAnsi="Times New Roman" w:cs="Times New Roman"/>
                <w:bCs/>
                <w:sz w:val="24"/>
                <w:szCs w:val="24"/>
                <w:lang w:eastAsia="lv-LV"/>
              </w:rPr>
              <w:t>informē</w:t>
            </w:r>
            <w:r>
              <w:rPr>
                <w:rFonts w:ascii="Times New Roman" w:eastAsia="Times New Roman" w:hAnsi="Times New Roman" w:cs="Times New Roman"/>
                <w:bCs/>
                <w:sz w:val="24"/>
                <w:szCs w:val="24"/>
                <w:lang w:eastAsia="lv-LV"/>
              </w:rPr>
              <w:t xml:space="preserve"> gan </w:t>
            </w:r>
            <w:r w:rsidRPr="00E32152">
              <w:rPr>
                <w:rFonts w:ascii="Times New Roman" w:eastAsia="Times New Roman" w:hAnsi="Times New Roman" w:cs="Times New Roman"/>
                <w:bCs/>
                <w:sz w:val="24"/>
                <w:szCs w:val="24"/>
                <w:lang w:eastAsia="lv-LV"/>
              </w:rPr>
              <w:t xml:space="preserve">Veselības inspekciju </w:t>
            </w:r>
            <w:r>
              <w:rPr>
                <w:rFonts w:ascii="Times New Roman" w:eastAsia="Times New Roman" w:hAnsi="Times New Roman" w:cs="Times New Roman"/>
                <w:bCs/>
                <w:sz w:val="24"/>
                <w:szCs w:val="24"/>
                <w:lang w:eastAsia="lv-LV"/>
              </w:rPr>
              <w:t xml:space="preserve">gan Valsts policiju </w:t>
            </w:r>
            <w:r w:rsidRPr="00E32152">
              <w:rPr>
                <w:rFonts w:ascii="Times New Roman" w:eastAsia="Times New Roman" w:hAnsi="Times New Roman" w:cs="Times New Roman"/>
                <w:bCs/>
                <w:sz w:val="24"/>
                <w:szCs w:val="24"/>
                <w:lang w:eastAsia="lv-LV"/>
              </w:rPr>
              <w:t>par personas nenakšņošanu tūristu mītnē obligātās izolācijas laikā.</w:t>
            </w:r>
          </w:p>
        </w:tc>
      </w:tr>
      <w:tr w:rsidR="00BD50E2" w:rsidRPr="00BD50E2" w14:paraId="64359952" w14:textId="77777777" w:rsidTr="00EF77FE">
        <w:tc>
          <w:tcPr>
            <w:tcW w:w="211"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944"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45" w:type="pct"/>
            <w:tcBorders>
              <w:top w:val="single" w:sz="4" w:space="0" w:color="auto"/>
              <w:left w:val="single" w:sz="4" w:space="0" w:color="auto"/>
              <w:bottom w:val="single" w:sz="4" w:space="0" w:color="auto"/>
              <w:right w:val="single" w:sz="4" w:space="0" w:color="auto"/>
            </w:tcBorders>
            <w:hideMark/>
          </w:tcPr>
          <w:p w14:paraId="63E85C9B" w14:textId="1CD39E28"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w:t>
            </w:r>
            <w:r w:rsidR="00A30813">
              <w:rPr>
                <w:rFonts w:ascii="Times New Roman" w:eastAsia="Times New Roman" w:hAnsi="Times New Roman" w:cs="Times New Roman"/>
                <w:bCs/>
                <w:sz w:val="24"/>
                <w:szCs w:val="24"/>
              </w:rPr>
              <w:t xml:space="preserve">, </w:t>
            </w:r>
            <w:r w:rsidR="00176445">
              <w:rPr>
                <w:rFonts w:ascii="Times New Roman" w:eastAsia="Times New Roman" w:hAnsi="Times New Roman" w:cs="Times New Roman"/>
                <w:bCs/>
                <w:sz w:val="24"/>
                <w:szCs w:val="24"/>
              </w:rPr>
              <w:t>Operatīvās vadības</w:t>
            </w:r>
            <w:r w:rsidR="00A30813">
              <w:rPr>
                <w:rFonts w:ascii="Times New Roman" w:eastAsia="Times New Roman" w:hAnsi="Times New Roman" w:cs="Times New Roman"/>
                <w:bCs/>
                <w:sz w:val="24"/>
                <w:szCs w:val="24"/>
              </w:rPr>
              <w:t xml:space="preserve"> grupa</w:t>
            </w:r>
          </w:p>
        </w:tc>
      </w:tr>
      <w:tr w:rsidR="000E2322" w:rsidRPr="00BD50E2" w14:paraId="516EC393" w14:textId="77777777" w:rsidTr="00EF77FE">
        <w:tc>
          <w:tcPr>
            <w:tcW w:w="211"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944"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45"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6246"/>
      </w:tblGrid>
      <w:tr w:rsidR="00BD50E2" w:rsidRPr="00BD50E2" w14:paraId="015A4B4E" w14:textId="77777777" w:rsidTr="001D758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1D7589">
        <w:tc>
          <w:tcPr>
            <w:tcW w:w="297"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91" w:type="pct"/>
            <w:tcBorders>
              <w:top w:val="single" w:sz="4" w:space="0" w:color="auto"/>
              <w:left w:val="single" w:sz="4" w:space="0" w:color="auto"/>
              <w:bottom w:val="single" w:sz="4" w:space="0" w:color="auto"/>
              <w:right w:val="single" w:sz="4" w:space="0" w:color="auto"/>
            </w:tcBorders>
          </w:tcPr>
          <w:p w14:paraId="245E6C49" w14:textId="7AB3ADF8" w:rsidR="00137903" w:rsidRDefault="001D7589" w:rsidP="00AE4EFC">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sz w:val="24"/>
                <w:szCs w:val="24"/>
              </w:rPr>
              <w:t xml:space="preserve">Personas, kuras </w:t>
            </w:r>
            <w:r w:rsidRPr="001D7589">
              <w:rPr>
                <w:rFonts w:ascii="Times New Roman" w:eastAsia="Times New Roman" w:hAnsi="Times New Roman" w:cs="Times New Roman"/>
                <w:bCs/>
                <w:iCs/>
                <w:sz w:val="24"/>
                <w:szCs w:val="24"/>
              </w:rPr>
              <w:t>ieceļo</w:t>
            </w:r>
            <w:r>
              <w:rPr>
                <w:rFonts w:ascii="Times New Roman" w:eastAsia="Times New Roman" w:hAnsi="Times New Roman" w:cs="Times New Roman"/>
                <w:bCs/>
                <w:iCs/>
                <w:sz w:val="24"/>
                <w:szCs w:val="24"/>
              </w:rPr>
              <w:t>s</w:t>
            </w:r>
            <w:r w:rsidRPr="001D7589">
              <w:rPr>
                <w:rFonts w:ascii="Times New Roman" w:eastAsia="Times New Roman" w:hAnsi="Times New Roman" w:cs="Times New Roman"/>
                <w:bCs/>
                <w:iCs/>
                <w:sz w:val="24"/>
                <w:szCs w:val="24"/>
              </w:rPr>
              <w:t xml:space="preserve"> Latvijas Republikā, šķērsojot ārējo sauszemes robežu robežšķērsošanas vietā </w:t>
            </w:r>
            <w:r w:rsidR="006B2944">
              <w:rPr>
                <w:rFonts w:ascii="Times New Roman" w:eastAsia="Times New Roman" w:hAnsi="Times New Roman" w:cs="Times New Roman"/>
                <w:bCs/>
                <w:iCs/>
                <w:sz w:val="24"/>
                <w:szCs w:val="24"/>
              </w:rPr>
              <w:t>“</w:t>
            </w:r>
            <w:r w:rsidRPr="001D7589">
              <w:rPr>
                <w:rFonts w:ascii="Times New Roman" w:eastAsia="Times New Roman" w:hAnsi="Times New Roman" w:cs="Times New Roman"/>
                <w:bCs/>
                <w:iCs/>
                <w:sz w:val="24"/>
                <w:szCs w:val="24"/>
              </w:rPr>
              <w:t>Grebņeva</w:t>
            </w:r>
            <w:r w:rsidR="006B2944">
              <w:rPr>
                <w:rFonts w:ascii="Times New Roman" w:eastAsia="Times New Roman" w:hAnsi="Times New Roman" w:cs="Times New Roman"/>
                <w:bCs/>
                <w:iCs/>
                <w:sz w:val="24"/>
                <w:szCs w:val="24"/>
              </w:rPr>
              <w:t>”</w:t>
            </w:r>
            <w:r w:rsidRPr="001D7589">
              <w:rPr>
                <w:rFonts w:ascii="Times New Roman" w:eastAsia="Times New Roman" w:hAnsi="Times New Roman" w:cs="Times New Roman"/>
                <w:bCs/>
                <w:iCs/>
                <w:sz w:val="24"/>
                <w:szCs w:val="24"/>
              </w:rPr>
              <w:t xml:space="preserve">, </w:t>
            </w:r>
            <w:r w:rsidR="006B2944">
              <w:rPr>
                <w:rFonts w:ascii="Times New Roman" w:eastAsia="Times New Roman" w:hAnsi="Times New Roman" w:cs="Times New Roman"/>
                <w:bCs/>
                <w:iCs/>
                <w:sz w:val="24"/>
                <w:szCs w:val="24"/>
              </w:rPr>
              <w:t>“</w:t>
            </w:r>
            <w:r w:rsidRPr="001D7589">
              <w:rPr>
                <w:rFonts w:ascii="Times New Roman" w:eastAsia="Times New Roman" w:hAnsi="Times New Roman" w:cs="Times New Roman"/>
                <w:bCs/>
                <w:iCs/>
                <w:sz w:val="24"/>
                <w:szCs w:val="24"/>
              </w:rPr>
              <w:t>Terehova</w:t>
            </w:r>
            <w:r w:rsidR="006B2944">
              <w:rPr>
                <w:rFonts w:ascii="Times New Roman" w:eastAsia="Times New Roman" w:hAnsi="Times New Roman" w:cs="Times New Roman"/>
                <w:bCs/>
                <w:iCs/>
                <w:sz w:val="24"/>
                <w:szCs w:val="24"/>
              </w:rPr>
              <w:t>”</w:t>
            </w:r>
            <w:r w:rsidRPr="001D7589">
              <w:rPr>
                <w:rFonts w:ascii="Times New Roman" w:eastAsia="Times New Roman" w:hAnsi="Times New Roman" w:cs="Times New Roman"/>
                <w:bCs/>
                <w:iCs/>
                <w:sz w:val="24"/>
                <w:szCs w:val="24"/>
              </w:rPr>
              <w:t xml:space="preserve">, </w:t>
            </w:r>
            <w:r w:rsidR="006B2944">
              <w:rPr>
                <w:rFonts w:ascii="Times New Roman" w:eastAsia="Times New Roman" w:hAnsi="Times New Roman" w:cs="Times New Roman"/>
                <w:bCs/>
                <w:iCs/>
                <w:sz w:val="24"/>
                <w:szCs w:val="24"/>
              </w:rPr>
              <w:t>“</w:t>
            </w:r>
            <w:r w:rsidRPr="001D7589">
              <w:rPr>
                <w:rFonts w:ascii="Times New Roman" w:eastAsia="Times New Roman" w:hAnsi="Times New Roman" w:cs="Times New Roman"/>
                <w:bCs/>
                <w:iCs/>
                <w:sz w:val="24"/>
                <w:szCs w:val="24"/>
              </w:rPr>
              <w:t>Pāternieki</w:t>
            </w:r>
            <w:r w:rsidR="006B2944">
              <w:rPr>
                <w:rFonts w:ascii="Times New Roman" w:eastAsia="Times New Roman" w:hAnsi="Times New Roman" w:cs="Times New Roman"/>
                <w:bCs/>
                <w:iCs/>
                <w:sz w:val="24"/>
                <w:szCs w:val="24"/>
              </w:rPr>
              <w:t>”</w:t>
            </w:r>
            <w:r w:rsidRPr="001D7589">
              <w:rPr>
                <w:rFonts w:ascii="Times New Roman" w:eastAsia="Times New Roman" w:hAnsi="Times New Roman" w:cs="Times New Roman"/>
                <w:bCs/>
                <w:iCs/>
                <w:sz w:val="24"/>
                <w:szCs w:val="24"/>
              </w:rPr>
              <w:t xml:space="preserve"> vai </w:t>
            </w:r>
            <w:r w:rsidR="006B2944">
              <w:rPr>
                <w:rFonts w:ascii="Times New Roman" w:eastAsia="Times New Roman" w:hAnsi="Times New Roman" w:cs="Times New Roman"/>
                <w:bCs/>
                <w:iCs/>
                <w:sz w:val="24"/>
                <w:szCs w:val="24"/>
              </w:rPr>
              <w:t>“</w:t>
            </w:r>
            <w:r w:rsidRPr="001D7589">
              <w:rPr>
                <w:rFonts w:ascii="Times New Roman" w:eastAsia="Times New Roman" w:hAnsi="Times New Roman" w:cs="Times New Roman"/>
                <w:bCs/>
                <w:iCs/>
                <w:sz w:val="24"/>
                <w:szCs w:val="24"/>
              </w:rPr>
              <w:t>Silene</w:t>
            </w:r>
            <w:r w:rsidR="006B2944">
              <w:rPr>
                <w:rFonts w:ascii="Times New Roman" w:eastAsia="Times New Roman" w:hAnsi="Times New Roman" w:cs="Times New Roman"/>
                <w:bCs/>
                <w:iCs/>
                <w:sz w:val="24"/>
                <w:szCs w:val="24"/>
              </w:rPr>
              <w:t>”</w:t>
            </w:r>
            <w:r w:rsidRPr="001D75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un kurām</w:t>
            </w:r>
            <w:r w:rsidRPr="001D7589">
              <w:rPr>
                <w:rFonts w:ascii="Times New Roman" w:eastAsia="Times New Roman" w:hAnsi="Times New Roman" w:cs="Times New Roman"/>
                <w:bCs/>
                <w:iCs/>
                <w:sz w:val="24"/>
                <w:szCs w:val="24"/>
              </w:rPr>
              <w:t xml:space="preserve"> veiktā Covid-19 testa rezultāts </w:t>
            </w:r>
            <w:r>
              <w:rPr>
                <w:rFonts w:ascii="Times New Roman" w:eastAsia="Times New Roman" w:hAnsi="Times New Roman" w:cs="Times New Roman"/>
                <w:bCs/>
                <w:iCs/>
                <w:sz w:val="24"/>
                <w:szCs w:val="24"/>
              </w:rPr>
              <w:t>būs</w:t>
            </w:r>
            <w:r w:rsidRPr="001D7589">
              <w:rPr>
                <w:rFonts w:ascii="Times New Roman" w:eastAsia="Times New Roman" w:hAnsi="Times New Roman" w:cs="Times New Roman"/>
                <w:bCs/>
                <w:iCs/>
                <w:sz w:val="24"/>
                <w:szCs w:val="24"/>
              </w:rPr>
              <w:t xml:space="preserve"> pozitīvs vai kuras attei</w:t>
            </w:r>
            <w:r>
              <w:rPr>
                <w:rFonts w:ascii="Times New Roman" w:eastAsia="Times New Roman" w:hAnsi="Times New Roman" w:cs="Times New Roman"/>
                <w:bCs/>
                <w:iCs/>
                <w:sz w:val="24"/>
                <w:szCs w:val="24"/>
              </w:rPr>
              <w:t xml:space="preserve">ksies </w:t>
            </w:r>
            <w:r w:rsidRPr="001D7589">
              <w:rPr>
                <w:rFonts w:ascii="Times New Roman" w:eastAsia="Times New Roman" w:hAnsi="Times New Roman" w:cs="Times New Roman"/>
                <w:bCs/>
                <w:iCs/>
                <w:sz w:val="24"/>
                <w:szCs w:val="24"/>
              </w:rPr>
              <w:t xml:space="preserve">veikt </w:t>
            </w:r>
            <w:r>
              <w:rPr>
                <w:rFonts w:ascii="Times New Roman" w:eastAsia="Times New Roman" w:hAnsi="Times New Roman" w:cs="Times New Roman"/>
                <w:bCs/>
                <w:iCs/>
                <w:sz w:val="24"/>
                <w:szCs w:val="24"/>
              </w:rPr>
              <w:t xml:space="preserve">minēto testu, kā arī </w:t>
            </w:r>
            <w:r w:rsidR="000000E7">
              <w:rPr>
                <w:rFonts w:ascii="Times New Roman" w:eastAsia="Times New Roman" w:hAnsi="Times New Roman" w:cs="Times New Roman"/>
                <w:bCs/>
                <w:iCs/>
                <w:sz w:val="24"/>
                <w:szCs w:val="24"/>
              </w:rPr>
              <w:t xml:space="preserve">viņu klātesošo ģimenes locekļi un kontaktpersonas. </w:t>
            </w:r>
            <w:r w:rsidR="00590FAA">
              <w:rPr>
                <w:rFonts w:ascii="Times New Roman" w:eastAsia="Times New Roman" w:hAnsi="Times New Roman" w:cs="Times New Roman"/>
                <w:bCs/>
                <w:iCs/>
                <w:sz w:val="24"/>
                <w:szCs w:val="24"/>
              </w:rPr>
              <w:t>D</w:t>
            </w:r>
            <w:r>
              <w:rPr>
                <w:rFonts w:ascii="Times New Roman" w:eastAsia="Times New Roman" w:hAnsi="Times New Roman" w:cs="Times New Roman"/>
                <w:bCs/>
                <w:iCs/>
                <w:sz w:val="24"/>
                <w:szCs w:val="24"/>
              </w:rPr>
              <w:t>ienests, kas minētās personas</w:t>
            </w:r>
            <w:r w:rsidR="00EF77FE">
              <w:rPr>
                <w:rFonts w:ascii="Times New Roman" w:eastAsia="Times New Roman" w:hAnsi="Times New Roman" w:cs="Times New Roman"/>
                <w:bCs/>
                <w:iCs/>
                <w:sz w:val="24"/>
                <w:szCs w:val="24"/>
              </w:rPr>
              <w:t>, kuras neieradīsies Latvijas Republikā ar personīgo transportu,</w:t>
            </w:r>
            <w:r>
              <w:rPr>
                <w:rFonts w:ascii="Times New Roman" w:eastAsia="Times New Roman" w:hAnsi="Times New Roman" w:cs="Times New Roman"/>
                <w:bCs/>
                <w:iCs/>
                <w:sz w:val="24"/>
                <w:szCs w:val="24"/>
              </w:rPr>
              <w:t xml:space="preserve"> </w:t>
            </w:r>
            <w:r w:rsidR="00590FAA">
              <w:rPr>
                <w:rFonts w:ascii="Times New Roman" w:eastAsia="Times New Roman" w:hAnsi="Times New Roman" w:cs="Times New Roman"/>
                <w:bCs/>
                <w:iCs/>
                <w:sz w:val="24"/>
                <w:szCs w:val="24"/>
              </w:rPr>
              <w:t xml:space="preserve">nogādās tuvākajā </w:t>
            </w:r>
            <w:r>
              <w:rPr>
                <w:rFonts w:ascii="Times New Roman" w:eastAsia="Times New Roman" w:hAnsi="Times New Roman" w:cs="Times New Roman"/>
                <w:bCs/>
                <w:iCs/>
                <w:sz w:val="24"/>
                <w:szCs w:val="24"/>
              </w:rPr>
              <w:t xml:space="preserve">obligātās izolācijas </w:t>
            </w:r>
            <w:r w:rsidR="00590FAA">
              <w:rPr>
                <w:rFonts w:ascii="Times New Roman" w:eastAsia="Times New Roman" w:hAnsi="Times New Roman" w:cs="Times New Roman"/>
                <w:bCs/>
                <w:iCs/>
                <w:sz w:val="24"/>
                <w:szCs w:val="24"/>
              </w:rPr>
              <w:t>ievērošanas vietā -</w:t>
            </w:r>
            <w:r>
              <w:rPr>
                <w:rFonts w:ascii="Times New Roman" w:eastAsia="Times New Roman" w:hAnsi="Times New Roman" w:cs="Times New Roman"/>
                <w:bCs/>
                <w:iCs/>
                <w:sz w:val="24"/>
                <w:szCs w:val="24"/>
              </w:rPr>
              <w:t xml:space="preserve"> </w:t>
            </w:r>
            <w:r w:rsidRPr="001D7589">
              <w:rPr>
                <w:rFonts w:ascii="Times New Roman" w:eastAsia="Times New Roman" w:hAnsi="Times New Roman" w:cs="Times New Roman"/>
                <w:bCs/>
                <w:iCs/>
                <w:sz w:val="24"/>
                <w:szCs w:val="24"/>
              </w:rPr>
              <w:t>dzīvesvietā vai uzturēšanās vietā vai Latvijas Investīciju un attīstības aģentūras administrētajā tūristu mītņu sarakstā minētajā  tūristu mītnē. </w:t>
            </w:r>
          </w:p>
          <w:p w14:paraId="554E76BE" w14:textId="06BAFCED" w:rsidR="00E32152" w:rsidRPr="00BD50E2" w:rsidRDefault="00E32152" w:rsidP="00AE4E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Tūristu mītnes, kas informēs ne tikai Veselības inspekciju, bet arī Valsts policiju par to, ka </w:t>
            </w:r>
            <w:r w:rsidRPr="00E32152">
              <w:rPr>
                <w:rFonts w:ascii="Times New Roman" w:hAnsi="Times New Roman" w:cs="Times New Roman"/>
                <w:bCs/>
                <w:sz w:val="24"/>
                <w:szCs w:val="24"/>
              </w:rPr>
              <w:t>informēt persona nenakšņo tūristu mītnē obligātās izolācijas laikā</w:t>
            </w:r>
            <w:r>
              <w:rPr>
                <w:rFonts w:ascii="Times New Roman" w:hAnsi="Times New Roman" w:cs="Times New Roman"/>
                <w:bCs/>
                <w:sz w:val="24"/>
                <w:szCs w:val="24"/>
              </w:rPr>
              <w:t>, kā arī Valsts policija, kas minēto informāciju saņems.</w:t>
            </w:r>
          </w:p>
        </w:tc>
      </w:tr>
      <w:tr w:rsidR="00BD50E2" w:rsidRPr="00BD50E2" w14:paraId="63982A56" w14:textId="77777777" w:rsidTr="001D7589">
        <w:tc>
          <w:tcPr>
            <w:tcW w:w="297"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13"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91" w:type="pct"/>
            <w:tcBorders>
              <w:top w:val="single" w:sz="4" w:space="0" w:color="auto"/>
              <w:left w:val="single" w:sz="4" w:space="0" w:color="auto"/>
              <w:bottom w:val="single" w:sz="4" w:space="0" w:color="auto"/>
              <w:right w:val="single" w:sz="4" w:space="0" w:color="auto"/>
            </w:tcBorders>
            <w:hideMark/>
          </w:tcPr>
          <w:p w14:paraId="5931B922" w14:textId="3CE94EFC" w:rsidR="00AF30FC" w:rsidRPr="00BD50E2" w:rsidRDefault="009A72BC"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r w:rsidR="00BD50E2" w:rsidRPr="00BD50E2" w14:paraId="54545A33" w14:textId="77777777" w:rsidTr="001D7589">
        <w:tc>
          <w:tcPr>
            <w:tcW w:w="297"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13" w:type="pct"/>
            <w:tcBorders>
              <w:top w:val="single" w:sz="4" w:space="0" w:color="auto"/>
              <w:left w:val="single" w:sz="4" w:space="0" w:color="auto"/>
              <w:bottom w:val="single" w:sz="4" w:space="0" w:color="auto"/>
              <w:right w:val="single" w:sz="4" w:space="0" w:color="auto"/>
            </w:tcBorders>
            <w:hideMark/>
          </w:tcPr>
          <w:p w14:paraId="2756DEC2" w14:textId="4D99BEFA"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w:t>
            </w:r>
            <w:r w:rsidR="00555929">
              <w:rPr>
                <w:rFonts w:ascii="Times New Roman" w:eastAsia="Times New Roman" w:hAnsi="Times New Roman" w:cs="Times New Roman"/>
                <w:bCs/>
                <w:sz w:val="24"/>
                <w:szCs w:val="24"/>
              </w:rPr>
              <w:t xml:space="preserve"> </w:t>
            </w:r>
            <w:r w:rsidRPr="00BD50E2">
              <w:rPr>
                <w:rFonts w:ascii="Times New Roman" w:eastAsia="Times New Roman" w:hAnsi="Times New Roman" w:cs="Times New Roman"/>
                <w:bCs/>
                <w:sz w:val="24"/>
                <w:szCs w:val="24"/>
              </w:rPr>
              <w:t>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4AAC7013" w14:textId="240D85A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Administratīvās izmaksas (naudas izteiksmē) gada laikā mērķgrupai, ko veido fiziskas personas, nepārsniedz 200 eiro, bet mērķgrupai, kuru veido juridiskas personas, – 2000 eiro.</w:t>
            </w:r>
          </w:p>
        </w:tc>
      </w:tr>
      <w:tr w:rsidR="00BD50E2" w:rsidRPr="00BD50E2" w14:paraId="001375C1" w14:textId="77777777" w:rsidTr="001D7589">
        <w:tc>
          <w:tcPr>
            <w:tcW w:w="297"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13"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1D7589">
        <w:tc>
          <w:tcPr>
            <w:tcW w:w="297"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13"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91"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5A25F090" w:rsidR="007E4536" w:rsidRDefault="007E4536" w:rsidP="00D856F7">
      <w:pPr>
        <w:spacing w:after="0" w:line="240" w:lineRule="auto"/>
        <w:rPr>
          <w:rFonts w:ascii="Times New Roman" w:eastAsia="Times New Roman" w:hAnsi="Times New Roman" w:cs="Times New Roman"/>
          <w:bCs/>
          <w:sz w:val="28"/>
          <w:szCs w:val="28"/>
          <w:lang w:eastAsia="lv-LV"/>
        </w:rPr>
      </w:pPr>
    </w:p>
    <w:p w14:paraId="7C8AACAF" w14:textId="77777777" w:rsidR="000000E7" w:rsidRDefault="000000E7" w:rsidP="00D856F7">
      <w:pPr>
        <w:spacing w:after="0" w:line="240" w:lineRule="auto"/>
        <w:rPr>
          <w:rFonts w:ascii="Times New Roman" w:eastAsia="Times New Roman" w:hAnsi="Times New Roman" w:cs="Times New Roman"/>
          <w:bCs/>
          <w:sz w:val="28"/>
          <w:szCs w:val="28"/>
          <w:lang w:eastAsia="lv-LV"/>
        </w:rPr>
      </w:pPr>
    </w:p>
    <w:tbl>
      <w:tblPr>
        <w:tblW w:w="5241" w:type="pct"/>
        <w:tblInd w:w="-5" w:type="dxa"/>
        <w:tblBorders>
          <w:top w:val="single" w:sz="4" w:space="0" w:color="auto"/>
          <w:left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9498"/>
      </w:tblGrid>
      <w:tr w:rsidR="00F12A6E" w:rsidRPr="00F12A6E" w14:paraId="4FD0B3E6" w14:textId="77777777" w:rsidTr="00F12A6E">
        <w:tc>
          <w:tcPr>
            <w:tcW w:w="5000" w:type="pct"/>
            <w:vAlign w:val="center"/>
            <w:hideMark/>
          </w:tcPr>
          <w:p w14:paraId="4114A37C" w14:textId="77777777" w:rsidR="00F12A6E" w:rsidRPr="00F12A6E" w:rsidRDefault="00F12A6E" w:rsidP="00F12A6E">
            <w:pPr>
              <w:spacing w:after="0" w:line="240" w:lineRule="auto"/>
              <w:rPr>
                <w:rFonts w:ascii="Times New Roman" w:eastAsia="Times New Roman" w:hAnsi="Times New Roman" w:cs="Times New Roman"/>
                <w:b/>
                <w:bCs/>
                <w:sz w:val="24"/>
                <w:szCs w:val="24"/>
                <w:lang w:eastAsia="lv-LV"/>
              </w:rPr>
            </w:pPr>
            <w:r w:rsidRPr="00F12A6E">
              <w:rPr>
                <w:rFonts w:ascii="Times New Roman" w:eastAsia="Times New Roman" w:hAnsi="Times New Roman" w:cs="Times New Roman"/>
                <w:b/>
                <w:bCs/>
                <w:sz w:val="24"/>
                <w:szCs w:val="24"/>
                <w:lang w:eastAsia="lv-LV"/>
              </w:rPr>
              <w:t>III. Tiesību akta projekta ietekme uz valsts budžetu un pašvaldību budžetiem</w:t>
            </w:r>
          </w:p>
        </w:tc>
      </w:tr>
    </w:tbl>
    <w:tbl>
      <w:tblPr>
        <w:tblStyle w:val="TableGrid"/>
        <w:tblW w:w="9498" w:type="dxa"/>
        <w:tblInd w:w="-5" w:type="dxa"/>
        <w:tblLayout w:type="fixed"/>
        <w:tblLook w:val="04A0" w:firstRow="1" w:lastRow="0" w:firstColumn="1" w:lastColumn="0" w:noHBand="0" w:noVBand="1"/>
      </w:tblPr>
      <w:tblGrid>
        <w:gridCol w:w="1560"/>
        <w:gridCol w:w="992"/>
        <w:gridCol w:w="1268"/>
        <w:gridCol w:w="1000"/>
        <w:gridCol w:w="1134"/>
        <w:gridCol w:w="992"/>
        <w:gridCol w:w="992"/>
        <w:gridCol w:w="1560"/>
      </w:tblGrid>
      <w:tr w:rsidR="00F12A6E" w:rsidRPr="00F12A6E" w14:paraId="620868ED" w14:textId="77777777" w:rsidTr="00F12A6E">
        <w:tc>
          <w:tcPr>
            <w:tcW w:w="1560" w:type="dxa"/>
            <w:vMerge w:val="restart"/>
          </w:tcPr>
          <w:p w14:paraId="14925C98" w14:textId="77777777" w:rsidR="00F12A6E" w:rsidRPr="00F12A6E" w:rsidRDefault="00F12A6E" w:rsidP="00F12A6E">
            <w:pPr>
              <w:spacing w:after="0" w:line="240" w:lineRule="auto"/>
              <w:rPr>
                <w:bCs/>
                <w:iCs/>
                <w:sz w:val="24"/>
                <w:szCs w:val="24"/>
              </w:rPr>
            </w:pPr>
            <w:r w:rsidRPr="00F12A6E">
              <w:rPr>
                <w:bCs/>
                <w:iCs/>
                <w:sz w:val="24"/>
                <w:szCs w:val="24"/>
              </w:rPr>
              <w:t>Rādītāji</w:t>
            </w:r>
          </w:p>
        </w:tc>
        <w:tc>
          <w:tcPr>
            <w:tcW w:w="2260" w:type="dxa"/>
            <w:gridSpan w:val="2"/>
            <w:vMerge w:val="restart"/>
          </w:tcPr>
          <w:p w14:paraId="4DF6E51F" w14:textId="77777777" w:rsidR="00F12A6E" w:rsidRPr="00F12A6E" w:rsidRDefault="00F12A6E" w:rsidP="00F12A6E">
            <w:pPr>
              <w:spacing w:after="0" w:line="240" w:lineRule="auto"/>
              <w:rPr>
                <w:bCs/>
                <w:iCs/>
                <w:sz w:val="24"/>
                <w:szCs w:val="24"/>
              </w:rPr>
            </w:pPr>
            <w:r w:rsidRPr="00F12A6E">
              <w:rPr>
                <w:bCs/>
                <w:iCs/>
                <w:sz w:val="24"/>
                <w:szCs w:val="24"/>
              </w:rPr>
              <w:t>2021. gads</w:t>
            </w:r>
          </w:p>
        </w:tc>
        <w:tc>
          <w:tcPr>
            <w:tcW w:w="5678" w:type="dxa"/>
            <w:gridSpan w:val="5"/>
          </w:tcPr>
          <w:p w14:paraId="13C0AF0E" w14:textId="77777777" w:rsidR="00F12A6E" w:rsidRPr="00F12A6E" w:rsidRDefault="00F12A6E" w:rsidP="00F12A6E">
            <w:pPr>
              <w:spacing w:after="0" w:line="240" w:lineRule="auto"/>
              <w:rPr>
                <w:bCs/>
                <w:iCs/>
                <w:sz w:val="24"/>
                <w:szCs w:val="24"/>
              </w:rPr>
            </w:pPr>
            <w:r w:rsidRPr="00F12A6E">
              <w:rPr>
                <w:bCs/>
                <w:iCs/>
                <w:sz w:val="24"/>
                <w:szCs w:val="24"/>
              </w:rPr>
              <w:t>Turpmākie trīs gadi (</w:t>
            </w:r>
            <w:r w:rsidRPr="00F12A6E">
              <w:rPr>
                <w:bCs/>
                <w:i/>
                <w:iCs/>
                <w:sz w:val="24"/>
                <w:szCs w:val="24"/>
              </w:rPr>
              <w:t>euro</w:t>
            </w:r>
            <w:r w:rsidRPr="00F12A6E">
              <w:rPr>
                <w:bCs/>
                <w:iCs/>
                <w:sz w:val="24"/>
                <w:szCs w:val="24"/>
              </w:rPr>
              <w:t>)</w:t>
            </w:r>
          </w:p>
        </w:tc>
      </w:tr>
      <w:tr w:rsidR="00F12A6E" w:rsidRPr="00F12A6E" w14:paraId="001D1ADC" w14:textId="77777777" w:rsidTr="00F12A6E">
        <w:tc>
          <w:tcPr>
            <w:tcW w:w="1560" w:type="dxa"/>
            <w:vMerge/>
          </w:tcPr>
          <w:p w14:paraId="77AE38D1" w14:textId="77777777" w:rsidR="00F12A6E" w:rsidRPr="00F12A6E" w:rsidRDefault="00F12A6E" w:rsidP="00F12A6E">
            <w:pPr>
              <w:spacing w:after="0" w:line="240" w:lineRule="auto"/>
              <w:rPr>
                <w:bCs/>
                <w:iCs/>
                <w:sz w:val="24"/>
                <w:szCs w:val="24"/>
              </w:rPr>
            </w:pPr>
          </w:p>
        </w:tc>
        <w:tc>
          <w:tcPr>
            <w:tcW w:w="2260" w:type="dxa"/>
            <w:gridSpan w:val="2"/>
            <w:vMerge/>
          </w:tcPr>
          <w:p w14:paraId="71C69944" w14:textId="77777777" w:rsidR="00F12A6E" w:rsidRPr="00F12A6E" w:rsidRDefault="00F12A6E" w:rsidP="00F12A6E">
            <w:pPr>
              <w:spacing w:after="0" w:line="240" w:lineRule="auto"/>
              <w:rPr>
                <w:bCs/>
                <w:iCs/>
                <w:sz w:val="24"/>
                <w:szCs w:val="24"/>
              </w:rPr>
            </w:pPr>
          </w:p>
        </w:tc>
        <w:tc>
          <w:tcPr>
            <w:tcW w:w="2134" w:type="dxa"/>
            <w:gridSpan w:val="2"/>
          </w:tcPr>
          <w:p w14:paraId="6AF2C2E8" w14:textId="77777777" w:rsidR="00F12A6E" w:rsidRPr="00F12A6E" w:rsidRDefault="00F12A6E" w:rsidP="00F12A6E">
            <w:pPr>
              <w:spacing w:after="0" w:line="240" w:lineRule="auto"/>
              <w:rPr>
                <w:bCs/>
                <w:iCs/>
                <w:sz w:val="24"/>
                <w:szCs w:val="24"/>
              </w:rPr>
            </w:pPr>
            <w:r w:rsidRPr="00F12A6E">
              <w:rPr>
                <w:bCs/>
                <w:iCs/>
                <w:sz w:val="24"/>
                <w:szCs w:val="24"/>
              </w:rPr>
              <w:t>2022. gads</w:t>
            </w:r>
          </w:p>
        </w:tc>
        <w:tc>
          <w:tcPr>
            <w:tcW w:w="1984" w:type="dxa"/>
            <w:gridSpan w:val="2"/>
          </w:tcPr>
          <w:p w14:paraId="7E2C2C33" w14:textId="77777777" w:rsidR="00F12A6E" w:rsidRPr="00F12A6E" w:rsidRDefault="00F12A6E" w:rsidP="00F12A6E">
            <w:pPr>
              <w:spacing w:after="0" w:line="240" w:lineRule="auto"/>
              <w:rPr>
                <w:bCs/>
                <w:iCs/>
                <w:sz w:val="24"/>
                <w:szCs w:val="24"/>
              </w:rPr>
            </w:pPr>
            <w:r w:rsidRPr="00F12A6E">
              <w:rPr>
                <w:bCs/>
                <w:iCs/>
                <w:sz w:val="24"/>
                <w:szCs w:val="24"/>
              </w:rPr>
              <w:t>2023. gads</w:t>
            </w:r>
          </w:p>
        </w:tc>
        <w:tc>
          <w:tcPr>
            <w:tcW w:w="1560" w:type="dxa"/>
          </w:tcPr>
          <w:p w14:paraId="7FA88C58" w14:textId="77777777" w:rsidR="00F12A6E" w:rsidRPr="00F12A6E" w:rsidRDefault="00F12A6E" w:rsidP="00F12A6E">
            <w:pPr>
              <w:spacing w:after="0" w:line="240" w:lineRule="auto"/>
              <w:rPr>
                <w:bCs/>
                <w:iCs/>
                <w:sz w:val="24"/>
                <w:szCs w:val="24"/>
              </w:rPr>
            </w:pPr>
            <w:r w:rsidRPr="00F12A6E">
              <w:rPr>
                <w:bCs/>
                <w:iCs/>
                <w:sz w:val="24"/>
                <w:szCs w:val="24"/>
              </w:rPr>
              <w:t>2024. gads</w:t>
            </w:r>
          </w:p>
        </w:tc>
      </w:tr>
      <w:tr w:rsidR="00F12A6E" w:rsidRPr="00F12A6E" w14:paraId="18FEAE95" w14:textId="77777777" w:rsidTr="00F12A6E">
        <w:tc>
          <w:tcPr>
            <w:tcW w:w="1560" w:type="dxa"/>
            <w:vMerge/>
          </w:tcPr>
          <w:p w14:paraId="779C2C61" w14:textId="77777777" w:rsidR="00F12A6E" w:rsidRPr="00F12A6E" w:rsidRDefault="00F12A6E" w:rsidP="00F12A6E">
            <w:pPr>
              <w:spacing w:after="0" w:line="240" w:lineRule="auto"/>
              <w:rPr>
                <w:bCs/>
                <w:iCs/>
                <w:sz w:val="24"/>
                <w:szCs w:val="24"/>
              </w:rPr>
            </w:pPr>
          </w:p>
        </w:tc>
        <w:tc>
          <w:tcPr>
            <w:tcW w:w="992" w:type="dxa"/>
          </w:tcPr>
          <w:p w14:paraId="3D5F89DD" w14:textId="77777777" w:rsidR="00F12A6E" w:rsidRPr="00F12A6E" w:rsidRDefault="00F12A6E" w:rsidP="00F12A6E">
            <w:pPr>
              <w:spacing w:after="0" w:line="240" w:lineRule="auto"/>
              <w:rPr>
                <w:bCs/>
                <w:iCs/>
                <w:sz w:val="24"/>
                <w:szCs w:val="24"/>
              </w:rPr>
            </w:pPr>
            <w:r w:rsidRPr="00F12A6E">
              <w:rPr>
                <w:bCs/>
                <w:iCs/>
                <w:sz w:val="24"/>
                <w:szCs w:val="24"/>
              </w:rPr>
              <w:t>saskaņā ar valsts budžetu kārtējam gadam</w:t>
            </w:r>
          </w:p>
        </w:tc>
        <w:tc>
          <w:tcPr>
            <w:tcW w:w="1268" w:type="dxa"/>
          </w:tcPr>
          <w:p w14:paraId="1538B87B" w14:textId="77777777" w:rsidR="00F12A6E" w:rsidRPr="00F12A6E" w:rsidRDefault="00F12A6E" w:rsidP="00F12A6E">
            <w:pPr>
              <w:spacing w:after="0" w:line="240" w:lineRule="auto"/>
              <w:rPr>
                <w:bCs/>
                <w:iCs/>
                <w:sz w:val="24"/>
                <w:szCs w:val="24"/>
              </w:rPr>
            </w:pPr>
            <w:r w:rsidRPr="00F12A6E">
              <w:rPr>
                <w:bCs/>
                <w:iCs/>
                <w:sz w:val="24"/>
                <w:szCs w:val="24"/>
              </w:rPr>
              <w:t>izmaiņas kārtējā gadā, salīdzinot ar valsts budžetu kārtējam gadam</w:t>
            </w:r>
          </w:p>
        </w:tc>
        <w:tc>
          <w:tcPr>
            <w:tcW w:w="1000" w:type="dxa"/>
          </w:tcPr>
          <w:p w14:paraId="3C0A0E51" w14:textId="77777777" w:rsidR="00F12A6E" w:rsidRPr="00F12A6E" w:rsidRDefault="00F12A6E" w:rsidP="00F12A6E">
            <w:pPr>
              <w:spacing w:after="0" w:line="240" w:lineRule="auto"/>
              <w:rPr>
                <w:bCs/>
                <w:iCs/>
                <w:sz w:val="24"/>
                <w:szCs w:val="24"/>
              </w:rPr>
            </w:pPr>
            <w:r w:rsidRPr="00F12A6E">
              <w:rPr>
                <w:bCs/>
                <w:iCs/>
                <w:sz w:val="24"/>
                <w:szCs w:val="24"/>
              </w:rPr>
              <w:t>saskaņā ar vidēja termiņa budžeta ietvaru</w:t>
            </w:r>
          </w:p>
        </w:tc>
        <w:tc>
          <w:tcPr>
            <w:tcW w:w="1134" w:type="dxa"/>
          </w:tcPr>
          <w:p w14:paraId="68D405C7" w14:textId="77777777" w:rsidR="00F12A6E" w:rsidRPr="00F12A6E" w:rsidRDefault="00F12A6E" w:rsidP="00F12A6E">
            <w:pPr>
              <w:spacing w:after="0" w:line="240" w:lineRule="auto"/>
              <w:rPr>
                <w:bCs/>
                <w:iCs/>
                <w:sz w:val="24"/>
                <w:szCs w:val="24"/>
              </w:rPr>
            </w:pPr>
            <w:r w:rsidRPr="00F12A6E">
              <w:rPr>
                <w:bCs/>
                <w:iCs/>
                <w:sz w:val="24"/>
                <w:szCs w:val="24"/>
              </w:rPr>
              <w:t>izmaiņas, salīdzi-</w:t>
            </w:r>
          </w:p>
          <w:p w14:paraId="28EE80A8" w14:textId="77777777" w:rsidR="00F12A6E" w:rsidRPr="00F12A6E" w:rsidRDefault="00F12A6E" w:rsidP="00F12A6E">
            <w:pPr>
              <w:spacing w:after="0" w:line="240" w:lineRule="auto"/>
              <w:rPr>
                <w:bCs/>
                <w:iCs/>
                <w:sz w:val="24"/>
                <w:szCs w:val="24"/>
              </w:rPr>
            </w:pPr>
            <w:r w:rsidRPr="00F12A6E">
              <w:rPr>
                <w:bCs/>
                <w:iCs/>
                <w:sz w:val="24"/>
                <w:szCs w:val="24"/>
              </w:rPr>
              <w:t>not ar vidēja termiņa budžeta ietvaru 2022. gadam</w:t>
            </w:r>
          </w:p>
        </w:tc>
        <w:tc>
          <w:tcPr>
            <w:tcW w:w="992" w:type="dxa"/>
          </w:tcPr>
          <w:p w14:paraId="60CA6CF2" w14:textId="77777777" w:rsidR="00F12A6E" w:rsidRPr="00F12A6E" w:rsidRDefault="00F12A6E" w:rsidP="00F12A6E">
            <w:pPr>
              <w:spacing w:after="0" w:line="240" w:lineRule="auto"/>
              <w:rPr>
                <w:bCs/>
                <w:iCs/>
                <w:sz w:val="24"/>
                <w:szCs w:val="24"/>
              </w:rPr>
            </w:pPr>
            <w:r w:rsidRPr="00F12A6E">
              <w:rPr>
                <w:bCs/>
                <w:iCs/>
                <w:sz w:val="24"/>
                <w:szCs w:val="24"/>
              </w:rPr>
              <w:t>saskaņā ar vidēja termiņa budžeta ietvaru</w:t>
            </w:r>
          </w:p>
        </w:tc>
        <w:tc>
          <w:tcPr>
            <w:tcW w:w="992" w:type="dxa"/>
          </w:tcPr>
          <w:p w14:paraId="50C2576E" w14:textId="77777777" w:rsidR="00F12A6E" w:rsidRPr="00F12A6E" w:rsidRDefault="00F12A6E" w:rsidP="00F12A6E">
            <w:pPr>
              <w:spacing w:after="0" w:line="240" w:lineRule="auto"/>
              <w:rPr>
                <w:bCs/>
                <w:iCs/>
                <w:sz w:val="24"/>
                <w:szCs w:val="24"/>
              </w:rPr>
            </w:pPr>
            <w:r w:rsidRPr="00F12A6E">
              <w:rPr>
                <w:bCs/>
                <w:iCs/>
                <w:sz w:val="24"/>
                <w:szCs w:val="24"/>
              </w:rPr>
              <w:t>izmai-</w:t>
            </w:r>
          </w:p>
          <w:p w14:paraId="4AA0F6CB" w14:textId="77777777" w:rsidR="00F12A6E" w:rsidRPr="00F12A6E" w:rsidRDefault="00F12A6E" w:rsidP="00F12A6E">
            <w:pPr>
              <w:spacing w:after="0" w:line="240" w:lineRule="auto"/>
              <w:rPr>
                <w:bCs/>
                <w:iCs/>
                <w:sz w:val="24"/>
                <w:szCs w:val="24"/>
              </w:rPr>
            </w:pPr>
            <w:r w:rsidRPr="00F12A6E">
              <w:rPr>
                <w:bCs/>
                <w:iCs/>
                <w:sz w:val="24"/>
                <w:szCs w:val="24"/>
              </w:rPr>
              <w:t>ņas, salīdzi-</w:t>
            </w:r>
          </w:p>
          <w:p w14:paraId="1C28AFCD" w14:textId="77777777" w:rsidR="00F12A6E" w:rsidRPr="00F12A6E" w:rsidRDefault="00F12A6E" w:rsidP="00F12A6E">
            <w:pPr>
              <w:spacing w:after="0" w:line="240" w:lineRule="auto"/>
              <w:rPr>
                <w:bCs/>
                <w:iCs/>
                <w:sz w:val="24"/>
                <w:szCs w:val="24"/>
              </w:rPr>
            </w:pPr>
            <w:r w:rsidRPr="00F12A6E">
              <w:rPr>
                <w:bCs/>
                <w:iCs/>
                <w:sz w:val="24"/>
                <w:szCs w:val="24"/>
              </w:rPr>
              <w:t>not ar vidēja termiņa budžeta ietvaru 2023. gadam</w:t>
            </w:r>
          </w:p>
        </w:tc>
        <w:tc>
          <w:tcPr>
            <w:tcW w:w="1560" w:type="dxa"/>
          </w:tcPr>
          <w:p w14:paraId="5FED0E15" w14:textId="77777777" w:rsidR="00F12A6E" w:rsidRPr="00F12A6E" w:rsidRDefault="00F12A6E" w:rsidP="00F12A6E">
            <w:pPr>
              <w:spacing w:after="0" w:line="240" w:lineRule="auto"/>
              <w:rPr>
                <w:bCs/>
                <w:iCs/>
                <w:sz w:val="24"/>
                <w:szCs w:val="24"/>
              </w:rPr>
            </w:pPr>
            <w:r w:rsidRPr="00F12A6E">
              <w:rPr>
                <w:bCs/>
                <w:iCs/>
                <w:sz w:val="24"/>
                <w:szCs w:val="24"/>
              </w:rPr>
              <w:t>izmaiņas, salīdzi-</w:t>
            </w:r>
          </w:p>
          <w:p w14:paraId="244227D4" w14:textId="77777777" w:rsidR="00F12A6E" w:rsidRPr="00F12A6E" w:rsidRDefault="00F12A6E" w:rsidP="00F12A6E">
            <w:pPr>
              <w:spacing w:after="0" w:line="240" w:lineRule="auto"/>
              <w:rPr>
                <w:bCs/>
                <w:iCs/>
                <w:sz w:val="24"/>
                <w:szCs w:val="24"/>
              </w:rPr>
            </w:pPr>
            <w:r w:rsidRPr="00F12A6E">
              <w:rPr>
                <w:bCs/>
                <w:iCs/>
                <w:sz w:val="24"/>
                <w:szCs w:val="24"/>
              </w:rPr>
              <w:t>not ar vidēja termiņa budžeta ietvaru 2023. gadam</w:t>
            </w:r>
          </w:p>
        </w:tc>
      </w:tr>
      <w:tr w:rsidR="00F12A6E" w:rsidRPr="00F12A6E" w14:paraId="7C97EFB6" w14:textId="77777777" w:rsidTr="00F12A6E">
        <w:tc>
          <w:tcPr>
            <w:tcW w:w="1560" w:type="dxa"/>
            <w:vAlign w:val="center"/>
          </w:tcPr>
          <w:p w14:paraId="7D7C574D" w14:textId="77777777" w:rsidR="00F12A6E" w:rsidRPr="00F12A6E" w:rsidRDefault="00F12A6E" w:rsidP="00F12A6E">
            <w:pPr>
              <w:spacing w:after="0" w:line="240" w:lineRule="auto"/>
              <w:rPr>
                <w:bCs/>
                <w:iCs/>
                <w:sz w:val="24"/>
                <w:szCs w:val="24"/>
              </w:rPr>
            </w:pPr>
            <w:r w:rsidRPr="00F12A6E">
              <w:rPr>
                <w:bCs/>
                <w:iCs/>
                <w:sz w:val="24"/>
                <w:szCs w:val="24"/>
              </w:rPr>
              <w:t>1</w:t>
            </w:r>
          </w:p>
        </w:tc>
        <w:tc>
          <w:tcPr>
            <w:tcW w:w="992" w:type="dxa"/>
            <w:vAlign w:val="center"/>
          </w:tcPr>
          <w:p w14:paraId="262E28A0" w14:textId="77777777" w:rsidR="00F12A6E" w:rsidRPr="00F12A6E" w:rsidRDefault="00F12A6E" w:rsidP="00F12A6E">
            <w:pPr>
              <w:spacing w:after="0" w:line="240" w:lineRule="auto"/>
              <w:rPr>
                <w:bCs/>
                <w:iCs/>
                <w:sz w:val="24"/>
                <w:szCs w:val="24"/>
              </w:rPr>
            </w:pPr>
            <w:r w:rsidRPr="00F12A6E">
              <w:rPr>
                <w:bCs/>
                <w:iCs/>
                <w:sz w:val="24"/>
                <w:szCs w:val="24"/>
              </w:rPr>
              <w:t>2</w:t>
            </w:r>
          </w:p>
        </w:tc>
        <w:tc>
          <w:tcPr>
            <w:tcW w:w="1268" w:type="dxa"/>
            <w:vAlign w:val="center"/>
          </w:tcPr>
          <w:p w14:paraId="53D93B25" w14:textId="77777777" w:rsidR="00F12A6E" w:rsidRPr="00F12A6E" w:rsidRDefault="00F12A6E" w:rsidP="00F12A6E">
            <w:pPr>
              <w:spacing w:after="0" w:line="240" w:lineRule="auto"/>
              <w:rPr>
                <w:bCs/>
                <w:iCs/>
                <w:sz w:val="24"/>
                <w:szCs w:val="24"/>
              </w:rPr>
            </w:pPr>
            <w:r w:rsidRPr="00F12A6E">
              <w:rPr>
                <w:bCs/>
                <w:iCs/>
                <w:sz w:val="24"/>
                <w:szCs w:val="24"/>
              </w:rPr>
              <w:t>3</w:t>
            </w:r>
          </w:p>
        </w:tc>
        <w:tc>
          <w:tcPr>
            <w:tcW w:w="1000" w:type="dxa"/>
            <w:vAlign w:val="center"/>
          </w:tcPr>
          <w:p w14:paraId="4FBEDD0C" w14:textId="77777777" w:rsidR="00F12A6E" w:rsidRPr="00F12A6E" w:rsidRDefault="00F12A6E" w:rsidP="00F12A6E">
            <w:pPr>
              <w:spacing w:after="0" w:line="240" w:lineRule="auto"/>
              <w:rPr>
                <w:bCs/>
                <w:iCs/>
                <w:sz w:val="24"/>
                <w:szCs w:val="24"/>
              </w:rPr>
            </w:pPr>
            <w:r w:rsidRPr="00F12A6E">
              <w:rPr>
                <w:bCs/>
                <w:iCs/>
                <w:sz w:val="24"/>
                <w:szCs w:val="24"/>
              </w:rPr>
              <w:t>4</w:t>
            </w:r>
          </w:p>
        </w:tc>
        <w:tc>
          <w:tcPr>
            <w:tcW w:w="1134" w:type="dxa"/>
            <w:vAlign w:val="center"/>
          </w:tcPr>
          <w:p w14:paraId="6832F0B2" w14:textId="77777777" w:rsidR="00F12A6E" w:rsidRPr="00F12A6E" w:rsidRDefault="00F12A6E" w:rsidP="00F12A6E">
            <w:pPr>
              <w:spacing w:after="0" w:line="240" w:lineRule="auto"/>
              <w:rPr>
                <w:bCs/>
                <w:iCs/>
                <w:sz w:val="24"/>
                <w:szCs w:val="24"/>
              </w:rPr>
            </w:pPr>
            <w:r w:rsidRPr="00F12A6E">
              <w:rPr>
                <w:bCs/>
                <w:iCs/>
                <w:sz w:val="24"/>
                <w:szCs w:val="24"/>
              </w:rPr>
              <w:t>5</w:t>
            </w:r>
          </w:p>
        </w:tc>
        <w:tc>
          <w:tcPr>
            <w:tcW w:w="992" w:type="dxa"/>
            <w:vAlign w:val="center"/>
          </w:tcPr>
          <w:p w14:paraId="0548C69E" w14:textId="77777777" w:rsidR="00F12A6E" w:rsidRPr="00F12A6E" w:rsidRDefault="00F12A6E" w:rsidP="00F12A6E">
            <w:pPr>
              <w:spacing w:after="0" w:line="240" w:lineRule="auto"/>
              <w:rPr>
                <w:bCs/>
                <w:iCs/>
                <w:sz w:val="24"/>
                <w:szCs w:val="24"/>
              </w:rPr>
            </w:pPr>
            <w:r w:rsidRPr="00F12A6E">
              <w:rPr>
                <w:bCs/>
                <w:iCs/>
                <w:sz w:val="24"/>
                <w:szCs w:val="24"/>
              </w:rPr>
              <w:t>6</w:t>
            </w:r>
          </w:p>
        </w:tc>
        <w:tc>
          <w:tcPr>
            <w:tcW w:w="992" w:type="dxa"/>
            <w:vAlign w:val="center"/>
          </w:tcPr>
          <w:p w14:paraId="53F848BB" w14:textId="77777777" w:rsidR="00F12A6E" w:rsidRPr="00F12A6E" w:rsidRDefault="00F12A6E" w:rsidP="00F12A6E">
            <w:pPr>
              <w:spacing w:after="0" w:line="240" w:lineRule="auto"/>
              <w:rPr>
                <w:bCs/>
                <w:iCs/>
                <w:sz w:val="24"/>
                <w:szCs w:val="24"/>
              </w:rPr>
            </w:pPr>
            <w:r w:rsidRPr="00F12A6E">
              <w:rPr>
                <w:bCs/>
                <w:iCs/>
                <w:sz w:val="24"/>
                <w:szCs w:val="24"/>
              </w:rPr>
              <w:t>7</w:t>
            </w:r>
          </w:p>
        </w:tc>
        <w:tc>
          <w:tcPr>
            <w:tcW w:w="1560" w:type="dxa"/>
            <w:vAlign w:val="center"/>
          </w:tcPr>
          <w:p w14:paraId="770B03A6" w14:textId="77777777" w:rsidR="00F12A6E" w:rsidRPr="00F12A6E" w:rsidRDefault="00F12A6E" w:rsidP="00F12A6E">
            <w:pPr>
              <w:spacing w:after="0" w:line="240" w:lineRule="auto"/>
              <w:rPr>
                <w:bCs/>
                <w:iCs/>
                <w:sz w:val="24"/>
                <w:szCs w:val="24"/>
              </w:rPr>
            </w:pPr>
            <w:r w:rsidRPr="00F12A6E">
              <w:rPr>
                <w:bCs/>
                <w:iCs/>
                <w:sz w:val="24"/>
                <w:szCs w:val="24"/>
              </w:rPr>
              <w:t>8</w:t>
            </w:r>
          </w:p>
        </w:tc>
      </w:tr>
      <w:tr w:rsidR="00F12A6E" w:rsidRPr="00F12A6E" w14:paraId="4293A096" w14:textId="77777777" w:rsidTr="00F12A6E">
        <w:tc>
          <w:tcPr>
            <w:tcW w:w="1560" w:type="dxa"/>
            <w:vAlign w:val="center"/>
          </w:tcPr>
          <w:p w14:paraId="6BD4156C" w14:textId="77777777" w:rsidR="00F12A6E" w:rsidRPr="00F12A6E" w:rsidRDefault="00F12A6E" w:rsidP="00F12A6E">
            <w:pPr>
              <w:spacing w:after="0" w:line="240" w:lineRule="auto"/>
              <w:rPr>
                <w:bCs/>
                <w:iCs/>
                <w:sz w:val="24"/>
                <w:szCs w:val="24"/>
              </w:rPr>
            </w:pPr>
            <w:r w:rsidRPr="00F12A6E">
              <w:rPr>
                <w:bCs/>
                <w:iCs/>
                <w:sz w:val="24"/>
                <w:szCs w:val="24"/>
              </w:rPr>
              <w:t>1. Budžeta ieņēmumi</w:t>
            </w:r>
          </w:p>
        </w:tc>
        <w:tc>
          <w:tcPr>
            <w:tcW w:w="992" w:type="dxa"/>
            <w:vAlign w:val="center"/>
          </w:tcPr>
          <w:p w14:paraId="4246B743"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268" w:type="dxa"/>
            <w:vAlign w:val="center"/>
          </w:tcPr>
          <w:p w14:paraId="2DF155E4"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000" w:type="dxa"/>
            <w:vAlign w:val="center"/>
          </w:tcPr>
          <w:p w14:paraId="1E78C96C"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1AD3F38D"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50332E5B"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5686337F"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75727230"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1AAE50EE" w14:textId="77777777" w:rsidTr="00F12A6E">
        <w:tc>
          <w:tcPr>
            <w:tcW w:w="1560" w:type="dxa"/>
            <w:vAlign w:val="center"/>
          </w:tcPr>
          <w:p w14:paraId="34846BCA" w14:textId="77777777" w:rsidR="00F12A6E" w:rsidRPr="00F12A6E" w:rsidRDefault="00F12A6E" w:rsidP="00F12A6E">
            <w:pPr>
              <w:spacing w:after="0" w:line="240" w:lineRule="auto"/>
              <w:rPr>
                <w:bCs/>
                <w:iCs/>
                <w:sz w:val="24"/>
                <w:szCs w:val="24"/>
              </w:rPr>
            </w:pPr>
            <w:r w:rsidRPr="00F12A6E">
              <w:rPr>
                <w:bCs/>
                <w:iCs/>
                <w:sz w:val="24"/>
                <w:szCs w:val="24"/>
              </w:rPr>
              <w:t>1.1. valsts pamatbudžets, tai skaitā ieņēmumi no maksas pakalpojumiem un citi pašu ieņēmumi</w:t>
            </w:r>
          </w:p>
        </w:tc>
        <w:tc>
          <w:tcPr>
            <w:tcW w:w="992" w:type="dxa"/>
            <w:vAlign w:val="center"/>
          </w:tcPr>
          <w:p w14:paraId="5728014B"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268" w:type="dxa"/>
            <w:vAlign w:val="center"/>
          </w:tcPr>
          <w:p w14:paraId="34C67D14"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000" w:type="dxa"/>
            <w:vAlign w:val="center"/>
          </w:tcPr>
          <w:p w14:paraId="3DB93225"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04C59308"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2AA6485D"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4832E2F0"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6338F225"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2CA7BE5C" w14:textId="77777777" w:rsidTr="00F12A6E">
        <w:tc>
          <w:tcPr>
            <w:tcW w:w="1560" w:type="dxa"/>
            <w:vAlign w:val="center"/>
          </w:tcPr>
          <w:p w14:paraId="2C638BFC" w14:textId="77777777" w:rsidR="00F12A6E" w:rsidRPr="00F12A6E" w:rsidRDefault="00F12A6E" w:rsidP="00F12A6E">
            <w:pPr>
              <w:spacing w:after="0" w:line="240" w:lineRule="auto"/>
              <w:rPr>
                <w:bCs/>
                <w:iCs/>
                <w:sz w:val="24"/>
                <w:szCs w:val="24"/>
              </w:rPr>
            </w:pPr>
            <w:r w:rsidRPr="00F12A6E">
              <w:rPr>
                <w:bCs/>
                <w:iCs/>
                <w:sz w:val="24"/>
                <w:szCs w:val="24"/>
              </w:rPr>
              <w:t>1.2. valsts speciālais budžets</w:t>
            </w:r>
          </w:p>
        </w:tc>
        <w:tc>
          <w:tcPr>
            <w:tcW w:w="992" w:type="dxa"/>
            <w:vAlign w:val="center"/>
          </w:tcPr>
          <w:p w14:paraId="01FE0E01"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268" w:type="dxa"/>
            <w:vAlign w:val="center"/>
          </w:tcPr>
          <w:p w14:paraId="0A6BEC79"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000" w:type="dxa"/>
            <w:vAlign w:val="center"/>
          </w:tcPr>
          <w:p w14:paraId="695B8299"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76AE1198"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0EE5E5F7"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24B3DE05"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23591C84"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2658E5DE" w14:textId="77777777" w:rsidTr="00F12A6E">
        <w:tc>
          <w:tcPr>
            <w:tcW w:w="1560" w:type="dxa"/>
            <w:vAlign w:val="center"/>
          </w:tcPr>
          <w:p w14:paraId="3A3E910F" w14:textId="77777777" w:rsidR="00F12A6E" w:rsidRPr="00F12A6E" w:rsidRDefault="00F12A6E" w:rsidP="00F12A6E">
            <w:pPr>
              <w:spacing w:after="0" w:line="240" w:lineRule="auto"/>
              <w:rPr>
                <w:bCs/>
                <w:iCs/>
                <w:sz w:val="24"/>
                <w:szCs w:val="24"/>
              </w:rPr>
            </w:pPr>
            <w:r w:rsidRPr="00F12A6E">
              <w:rPr>
                <w:bCs/>
                <w:iCs/>
                <w:sz w:val="24"/>
                <w:szCs w:val="24"/>
              </w:rPr>
              <w:t>1.3. pašvaldību budžets</w:t>
            </w:r>
          </w:p>
        </w:tc>
        <w:tc>
          <w:tcPr>
            <w:tcW w:w="992" w:type="dxa"/>
            <w:vAlign w:val="center"/>
          </w:tcPr>
          <w:p w14:paraId="0D4FCACA"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268" w:type="dxa"/>
            <w:vAlign w:val="center"/>
          </w:tcPr>
          <w:p w14:paraId="49234ECB"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000" w:type="dxa"/>
            <w:vAlign w:val="center"/>
          </w:tcPr>
          <w:p w14:paraId="6A92B06A"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1886B737"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032F7141"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4E188DE6"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1F088EBF"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7A4B04F7" w14:textId="77777777" w:rsidTr="00F12A6E">
        <w:tc>
          <w:tcPr>
            <w:tcW w:w="1560" w:type="dxa"/>
            <w:vAlign w:val="center"/>
          </w:tcPr>
          <w:p w14:paraId="3B773D21" w14:textId="77777777" w:rsidR="00F12A6E" w:rsidRPr="00F12A6E" w:rsidRDefault="00F12A6E" w:rsidP="00F12A6E">
            <w:pPr>
              <w:spacing w:after="0" w:line="240" w:lineRule="auto"/>
              <w:rPr>
                <w:bCs/>
                <w:iCs/>
                <w:sz w:val="24"/>
                <w:szCs w:val="24"/>
              </w:rPr>
            </w:pPr>
            <w:r w:rsidRPr="00F12A6E">
              <w:rPr>
                <w:bCs/>
                <w:iCs/>
                <w:sz w:val="24"/>
                <w:szCs w:val="24"/>
              </w:rPr>
              <w:t>2. Budžeta izdevumi</w:t>
            </w:r>
          </w:p>
        </w:tc>
        <w:tc>
          <w:tcPr>
            <w:tcW w:w="992" w:type="dxa"/>
          </w:tcPr>
          <w:p w14:paraId="6870FFC4" w14:textId="77777777" w:rsidR="00F12A6E" w:rsidRPr="00F12A6E" w:rsidRDefault="00F12A6E" w:rsidP="00F12A6E">
            <w:pPr>
              <w:spacing w:after="0" w:line="240" w:lineRule="auto"/>
              <w:rPr>
                <w:bCs/>
                <w:sz w:val="24"/>
                <w:szCs w:val="24"/>
              </w:rPr>
            </w:pPr>
            <w:r w:rsidRPr="00F12A6E">
              <w:rPr>
                <w:bCs/>
                <w:iCs/>
                <w:sz w:val="24"/>
                <w:szCs w:val="24"/>
              </w:rPr>
              <w:t>0</w:t>
            </w:r>
          </w:p>
        </w:tc>
        <w:tc>
          <w:tcPr>
            <w:tcW w:w="1268" w:type="dxa"/>
            <w:shd w:val="clear" w:color="auto" w:fill="auto"/>
            <w:vAlign w:val="center"/>
          </w:tcPr>
          <w:p w14:paraId="5210E7CE" w14:textId="77777777" w:rsidR="00F12A6E" w:rsidRPr="00F12A6E" w:rsidRDefault="00F12A6E" w:rsidP="00F12A6E">
            <w:pPr>
              <w:spacing w:after="0" w:line="240" w:lineRule="auto"/>
              <w:rPr>
                <w:bCs/>
                <w:iCs/>
                <w:sz w:val="24"/>
                <w:szCs w:val="24"/>
              </w:rPr>
            </w:pPr>
            <w:r w:rsidRPr="00F12A6E">
              <w:rPr>
                <w:bCs/>
                <w:sz w:val="24"/>
                <w:szCs w:val="24"/>
              </w:rPr>
              <w:t>206 004</w:t>
            </w:r>
          </w:p>
        </w:tc>
        <w:tc>
          <w:tcPr>
            <w:tcW w:w="1000" w:type="dxa"/>
            <w:vAlign w:val="center"/>
          </w:tcPr>
          <w:p w14:paraId="6D99AF5C"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3BE96158"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03484FCE"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082A355B"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564D9B48"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32C41F66" w14:textId="77777777" w:rsidTr="00F12A6E">
        <w:tc>
          <w:tcPr>
            <w:tcW w:w="1560" w:type="dxa"/>
            <w:vAlign w:val="center"/>
          </w:tcPr>
          <w:p w14:paraId="2B0A7743" w14:textId="77777777" w:rsidR="00F12A6E" w:rsidRPr="00F12A6E" w:rsidRDefault="00F12A6E" w:rsidP="00F12A6E">
            <w:pPr>
              <w:spacing w:after="0" w:line="240" w:lineRule="auto"/>
              <w:rPr>
                <w:bCs/>
                <w:iCs/>
                <w:sz w:val="24"/>
                <w:szCs w:val="24"/>
              </w:rPr>
            </w:pPr>
            <w:r w:rsidRPr="00F12A6E">
              <w:rPr>
                <w:bCs/>
                <w:iCs/>
                <w:sz w:val="24"/>
                <w:szCs w:val="24"/>
              </w:rPr>
              <w:t>2.1. valsts pamatbudžets</w:t>
            </w:r>
          </w:p>
        </w:tc>
        <w:tc>
          <w:tcPr>
            <w:tcW w:w="992" w:type="dxa"/>
          </w:tcPr>
          <w:p w14:paraId="4B8DFECF" w14:textId="77777777" w:rsidR="00F12A6E" w:rsidRPr="00F12A6E" w:rsidRDefault="00F12A6E" w:rsidP="00F12A6E">
            <w:pPr>
              <w:spacing w:after="0" w:line="240" w:lineRule="auto"/>
              <w:rPr>
                <w:bCs/>
                <w:sz w:val="24"/>
                <w:szCs w:val="24"/>
              </w:rPr>
            </w:pPr>
            <w:r w:rsidRPr="00F12A6E">
              <w:rPr>
                <w:bCs/>
                <w:iCs/>
                <w:sz w:val="24"/>
                <w:szCs w:val="24"/>
              </w:rPr>
              <w:t>0</w:t>
            </w:r>
          </w:p>
        </w:tc>
        <w:tc>
          <w:tcPr>
            <w:tcW w:w="1268" w:type="dxa"/>
            <w:shd w:val="clear" w:color="auto" w:fill="auto"/>
            <w:vAlign w:val="center"/>
          </w:tcPr>
          <w:p w14:paraId="21753141" w14:textId="77777777" w:rsidR="00F12A6E" w:rsidRPr="00F12A6E" w:rsidRDefault="00F12A6E" w:rsidP="00F12A6E">
            <w:pPr>
              <w:spacing w:after="0" w:line="240" w:lineRule="auto"/>
              <w:rPr>
                <w:bCs/>
                <w:iCs/>
                <w:sz w:val="24"/>
                <w:szCs w:val="24"/>
              </w:rPr>
            </w:pPr>
            <w:r w:rsidRPr="00F12A6E">
              <w:rPr>
                <w:bCs/>
                <w:sz w:val="24"/>
                <w:szCs w:val="24"/>
              </w:rPr>
              <w:t>206 004</w:t>
            </w:r>
          </w:p>
        </w:tc>
        <w:tc>
          <w:tcPr>
            <w:tcW w:w="1000" w:type="dxa"/>
            <w:vAlign w:val="center"/>
          </w:tcPr>
          <w:p w14:paraId="27EF4D3A"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22726FE8"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1B3BD5D9"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6187B302"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2DEB3104"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27E7C386" w14:textId="77777777" w:rsidTr="00F12A6E">
        <w:tc>
          <w:tcPr>
            <w:tcW w:w="1560" w:type="dxa"/>
            <w:vAlign w:val="center"/>
          </w:tcPr>
          <w:p w14:paraId="28F567B2" w14:textId="77777777" w:rsidR="00F12A6E" w:rsidRPr="00F12A6E" w:rsidRDefault="00F12A6E" w:rsidP="00F12A6E">
            <w:pPr>
              <w:spacing w:after="0" w:line="240" w:lineRule="auto"/>
              <w:rPr>
                <w:bCs/>
                <w:iCs/>
                <w:sz w:val="24"/>
                <w:szCs w:val="24"/>
              </w:rPr>
            </w:pPr>
            <w:r w:rsidRPr="00F12A6E">
              <w:rPr>
                <w:bCs/>
                <w:iCs/>
                <w:sz w:val="24"/>
                <w:szCs w:val="24"/>
              </w:rPr>
              <w:t>2.2. valsts speciālais budžets</w:t>
            </w:r>
          </w:p>
        </w:tc>
        <w:tc>
          <w:tcPr>
            <w:tcW w:w="992" w:type="dxa"/>
            <w:vAlign w:val="center"/>
          </w:tcPr>
          <w:p w14:paraId="6997D0C2"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268" w:type="dxa"/>
            <w:shd w:val="clear" w:color="auto" w:fill="auto"/>
            <w:vAlign w:val="center"/>
          </w:tcPr>
          <w:p w14:paraId="00308C0E"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000" w:type="dxa"/>
            <w:vAlign w:val="center"/>
          </w:tcPr>
          <w:p w14:paraId="6179A5F0"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12DFD284"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2F9BCA27"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06A6F67D"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4E4AD55A"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785D1351" w14:textId="77777777" w:rsidTr="00F12A6E">
        <w:tc>
          <w:tcPr>
            <w:tcW w:w="1560" w:type="dxa"/>
            <w:vAlign w:val="center"/>
          </w:tcPr>
          <w:p w14:paraId="0144BFC1" w14:textId="77777777" w:rsidR="00F12A6E" w:rsidRPr="00F12A6E" w:rsidRDefault="00F12A6E" w:rsidP="00F12A6E">
            <w:pPr>
              <w:spacing w:after="0" w:line="240" w:lineRule="auto"/>
              <w:rPr>
                <w:bCs/>
                <w:iCs/>
                <w:sz w:val="24"/>
                <w:szCs w:val="24"/>
              </w:rPr>
            </w:pPr>
            <w:r w:rsidRPr="00F12A6E">
              <w:rPr>
                <w:bCs/>
                <w:iCs/>
                <w:sz w:val="24"/>
                <w:szCs w:val="24"/>
              </w:rPr>
              <w:t>2.3. pašvaldību budžets</w:t>
            </w:r>
          </w:p>
        </w:tc>
        <w:tc>
          <w:tcPr>
            <w:tcW w:w="992" w:type="dxa"/>
            <w:vAlign w:val="center"/>
          </w:tcPr>
          <w:p w14:paraId="457CFAF2"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268" w:type="dxa"/>
            <w:shd w:val="clear" w:color="auto" w:fill="auto"/>
            <w:vAlign w:val="center"/>
          </w:tcPr>
          <w:p w14:paraId="66B3F9B8"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000" w:type="dxa"/>
            <w:vAlign w:val="center"/>
          </w:tcPr>
          <w:p w14:paraId="217FEB0D"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43691815"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31CDA69C"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397D855D"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1F7220B2"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44B5712D" w14:textId="77777777" w:rsidTr="00F12A6E">
        <w:tc>
          <w:tcPr>
            <w:tcW w:w="1560" w:type="dxa"/>
            <w:vAlign w:val="center"/>
          </w:tcPr>
          <w:p w14:paraId="25BB15A5" w14:textId="77777777" w:rsidR="00F12A6E" w:rsidRPr="00F12A6E" w:rsidRDefault="00F12A6E" w:rsidP="00F12A6E">
            <w:pPr>
              <w:spacing w:after="0" w:line="240" w:lineRule="auto"/>
              <w:rPr>
                <w:bCs/>
                <w:iCs/>
                <w:sz w:val="24"/>
                <w:szCs w:val="24"/>
              </w:rPr>
            </w:pPr>
            <w:r w:rsidRPr="00F12A6E">
              <w:rPr>
                <w:bCs/>
                <w:iCs/>
                <w:sz w:val="24"/>
                <w:szCs w:val="24"/>
              </w:rPr>
              <w:t>3. Finansiālā ietekme</w:t>
            </w:r>
          </w:p>
        </w:tc>
        <w:tc>
          <w:tcPr>
            <w:tcW w:w="992" w:type="dxa"/>
            <w:vAlign w:val="center"/>
          </w:tcPr>
          <w:p w14:paraId="153A214D"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268" w:type="dxa"/>
            <w:shd w:val="clear" w:color="auto" w:fill="auto"/>
            <w:vAlign w:val="center"/>
          </w:tcPr>
          <w:p w14:paraId="721C4FF3" w14:textId="77777777" w:rsidR="00F12A6E" w:rsidRPr="00F12A6E" w:rsidRDefault="00F12A6E" w:rsidP="00F12A6E">
            <w:pPr>
              <w:spacing w:after="0" w:line="240" w:lineRule="auto"/>
              <w:rPr>
                <w:bCs/>
                <w:iCs/>
                <w:sz w:val="24"/>
                <w:szCs w:val="24"/>
              </w:rPr>
            </w:pPr>
            <w:r w:rsidRPr="00F12A6E">
              <w:rPr>
                <w:bCs/>
                <w:iCs/>
                <w:sz w:val="24"/>
                <w:szCs w:val="24"/>
              </w:rPr>
              <w:t>-</w:t>
            </w:r>
            <w:r w:rsidRPr="00F12A6E">
              <w:rPr>
                <w:bCs/>
                <w:sz w:val="24"/>
                <w:szCs w:val="24"/>
              </w:rPr>
              <w:t>206 004</w:t>
            </w:r>
          </w:p>
        </w:tc>
        <w:tc>
          <w:tcPr>
            <w:tcW w:w="1000" w:type="dxa"/>
            <w:vAlign w:val="center"/>
          </w:tcPr>
          <w:p w14:paraId="43341A55"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40E30EDD"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61BE01E9"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515C2860"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5785D7D2"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611D179D" w14:textId="77777777" w:rsidTr="00F12A6E">
        <w:tc>
          <w:tcPr>
            <w:tcW w:w="1560" w:type="dxa"/>
            <w:vAlign w:val="center"/>
          </w:tcPr>
          <w:p w14:paraId="7FC395AC" w14:textId="77777777" w:rsidR="00F12A6E" w:rsidRPr="00F12A6E" w:rsidRDefault="00F12A6E" w:rsidP="00F12A6E">
            <w:pPr>
              <w:spacing w:after="0" w:line="240" w:lineRule="auto"/>
              <w:rPr>
                <w:bCs/>
                <w:iCs/>
                <w:sz w:val="24"/>
                <w:szCs w:val="24"/>
              </w:rPr>
            </w:pPr>
            <w:r w:rsidRPr="00F12A6E">
              <w:rPr>
                <w:bCs/>
                <w:iCs/>
                <w:sz w:val="24"/>
                <w:szCs w:val="24"/>
              </w:rPr>
              <w:t>3.1. valsts pamatbudžets</w:t>
            </w:r>
          </w:p>
        </w:tc>
        <w:tc>
          <w:tcPr>
            <w:tcW w:w="992" w:type="dxa"/>
            <w:vAlign w:val="center"/>
          </w:tcPr>
          <w:p w14:paraId="0D51EEE2"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268" w:type="dxa"/>
            <w:shd w:val="clear" w:color="auto" w:fill="auto"/>
            <w:vAlign w:val="center"/>
          </w:tcPr>
          <w:p w14:paraId="1B461046" w14:textId="77777777" w:rsidR="00F12A6E" w:rsidRPr="00F12A6E" w:rsidRDefault="00F12A6E" w:rsidP="00F12A6E">
            <w:pPr>
              <w:spacing w:after="0" w:line="240" w:lineRule="auto"/>
              <w:rPr>
                <w:bCs/>
                <w:iCs/>
                <w:sz w:val="24"/>
                <w:szCs w:val="24"/>
              </w:rPr>
            </w:pPr>
            <w:r w:rsidRPr="00F12A6E">
              <w:rPr>
                <w:bCs/>
                <w:iCs/>
                <w:sz w:val="24"/>
                <w:szCs w:val="24"/>
              </w:rPr>
              <w:t>-</w:t>
            </w:r>
            <w:r w:rsidRPr="00F12A6E">
              <w:rPr>
                <w:bCs/>
                <w:sz w:val="24"/>
                <w:szCs w:val="24"/>
              </w:rPr>
              <w:t>206 004</w:t>
            </w:r>
          </w:p>
        </w:tc>
        <w:tc>
          <w:tcPr>
            <w:tcW w:w="1000" w:type="dxa"/>
            <w:vAlign w:val="center"/>
          </w:tcPr>
          <w:p w14:paraId="69EAFB6F"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76BCBF64"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42075903"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2EEEA155"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13AFFA2C"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186D7A37" w14:textId="77777777" w:rsidTr="00F12A6E">
        <w:tc>
          <w:tcPr>
            <w:tcW w:w="1560" w:type="dxa"/>
            <w:vAlign w:val="center"/>
          </w:tcPr>
          <w:p w14:paraId="341FD3A1" w14:textId="77777777" w:rsidR="00F12A6E" w:rsidRPr="00F12A6E" w:rsidRDefault="00F12A6E" w:rsidP="00F12A6E">
            <w:pPr>
              <w:spacing w:after="0" w:line="240" w:lineRule="auto"/>
              <w:rPr>
                <w:bCs/>
                <w:iCs/>
                <w:sz w:val="24"/>
                <w:szCs w:val="24"/>
              </w:rPr>
            </w:pPr>
            <w:r w:rsidRPr="00F12A6E">
              <w:rPr>
                <w:bCs/>
                <w:iCs/>
                <w:sz w:val="24"/>
                <w:szCs w:val="24"/>
              </w:rPr>
              <w:t>3.2. speciālais budžets</w:t>
            </w:r>
          </w:p>
        </w:tc>
        <w:tc>
          <w:tcPr>
            <w:tcW w:w="992" w:type="dxa"/>
            <w:vAlign w:val="center"/>
          </w:tcPr>
          <w:p w14:paraId="4406890D"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268" w:type="dxa"/>
            <w:shd w:val="clear" w:color="auto" w:fill="auto"/>
            <w:vAlign w:val="center"/>
          </w:tcPr>
          <w:p w14:paraId="49C48F17"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000" w:type="dxa"/>
            <w:vAlign w:val="center"/>
          </w:tcPr>
          <w:p w14:paraId="14B23741"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13FE808C"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25963CB9"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0FA45216"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2DEDD768"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4BF96011" w14:textId="77777777" w:rsidTr="00F12A6E">
        <w:tc>
          <w:tcPr>
            <w:tcW w:w="1560" w:type="dxa"/>
            <w:vAlign w:val="center"/>
          </w:tcPr>
          <w:p w14:paraId="3AF643C2" w14:textId="77777777" w:rsidR="00F12A6E" w:rsidRPr="00F12A6E" w:rsidRDefault="00F12A6E" w:rsidP="00F12A6E">
            <w:pPr>
              <w:spacing w:after="0" w:line="240" w:lineRule="auto"/>
              <w:rPr>
                <w:bCs/>
                <w:iCs/>
                <w:sz w:val="24"/>
                <w:szCs w:val="24"/>
              </w:rPr>
            </w:pPr>
            <w:r w:rsidRPr="00F12A6E">
              <w:rPr>
                <w:bCs/>
                <w:iCs/>
                <w:sz w:val="24"/>
                <w:szCs w:val="24"/>
              </w:rPr>
              <w:lastRenderedPageBreak/>
              <w:t>3.3. pašvaldību budžets</w:t>
            </w:r>
          </w:p>
        </w:tc>
        <w:tc>
          <w:tcPr>
            <w:tcW w:w="992" w:type="dxa"/>
            <w:vAlign w:val="center"/>
          </w:tcPr>
          <w:p w14:paraId="149230A9"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268" w:type="dxa"/>
            <w:shd w:val="clear" w:color="auto" w:fill="auto"/>
            <w:vAlign w:val="center"/>
          </w:tcPr>
          <w:p w14:paraId="47618C4D"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000" w:type="dxa"/>
            <w:vAlign w:val="center"/>
          </w:tcPr>
          <w:p w14:paraId="045035B3"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1428D1B2"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7D015FF2"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38CAAF4A"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52B384C5"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47F3CACD" w14:textId="77777777" w:rsidTr="00F12A6E">
        <w:tc>
          <w:tcPr>
            <w:tcW w:w="1560" w:type="dxa"/>
            <w:vAlign w:val="center"/>
          </w:tcPr>
          <w:p w14:paraId="38E75899" w14:textId="77777777" w:rsidR="00F12A6E" w:rsidRPr="00F12A6E" w:rsidRDefault="00F12A6E" w:rsidP="00F12A6E">
            <w:pPr>
              <w:spacing w:after="0" w:line="240" w:lineRule="auto"/>
              <w:rPr>
                <w:bCs/>
                <w:iCs/>
                <w:sz w:val="24"/>
                <w:szCs w:val="24"/>
              </w:rPr>
            </w:pPr>
            <w:r w:rsidRPr="00F12A6E">
              <w:rPr>
                <w:bCs/>
                <w:iCs/>
                <w:sz w:val="24"/>
                <w:szCs w:val="24"/>
              </w:rPr>
              <w:t>4. Finanšu līdzekļi papildu izdevumu finansēšanai (kompensējošu izdevumu samazinājumu norāda ar "+" zīmi)</w:t>
            </w:r>
          </w:p>
        </w:tc>
        <w:tc>
          <w:tcPr>
            <w:tcW w:w="992" w:type="dxa"/>
            <w:vAlign w:val="center"/>
          </w:tcPr>
          <w:p w14:paraId="1E3EB90E" w14:textId="77777777" w:rsidR="00F12A6E" w:rsidRPr="00F12A6E" w:rsidRDefault="00F12A6E" w:rsidP="00F12A6E">
            <w:pPr>
              <w:spacing w:after="0" w:line="240" w:lineRule="auto"/>
              <w:rPr>
                <w:bCs/>
                <w:iCs/>
                <w:sz w:val="24"/>
                <w:szCs w:val="24"/>
              </w:rPr>
            </w:pPr>
            <w:r w:rsidRPr="00F12A6E">
              <w:rPr>
                <w:bCs/>
                <w:iCs/>
                <w:sz w:val="24"/>
                <w:szCs w:val="24"/>
              </w:rPr>
              <w:t>X</w:t>
            </w:r>
          </w:p>
        </w:tc>
        <w:tc>
          <w:tcPr>
            <w:tcW w:w="1268" w:type="dxa"/>
            <w:shd w:val="clear" w:color="auto" w:fill="auto"/>
            <w:vAlign w:val="center"/>
          </w:tcPr>
          <w:p w14:paraId="674E0EE6" w14:textId="77777777" w:rsidR="00F12A6E" w:rsidRPr="00F12A6E" w:rsidRDefault="00F12A6E" w:rsidP="00F12A6E">
            <w:pPr>
              <w:spacing w:after="0" w:line="240" w:lineRule="auto"/>
              <w:rPr>
                <w:bCs/>
                <w:iCs/>
                <w:sz w:val="24"/>
                <w:szCs w:val="24"/>
              </w:rPr>
            </w:pPr>
            <w:r w:rsidRPr="00F12A6E">
              <w:rPr>
                <w:bCs/>
                <w:sz w:val="24"/>
                <w:szCs w:val="24"/>
              </w:rPr>
              <w:t>206 004</w:t>
            </w:r>
          </w:p>
        </w:tc>
        <w:tc>
          <w:tcPr>
            <w:tcW w:w="1000" w:type="dxa"/>
            <w:vAlign w:val="center"/>
          </w:tcPr>
          <w:p w14:paraId="389E6BF7"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134" w:type="dxa"/>
            <w:vAlign w:val="center"/>
          </w:tcPr>
          <w:p w14:paraId="30A0B77A"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20AB8782"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6F7A44F0"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40B3ACAA"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46E22C1C" w14:textId="77777777" w:rsidTr="00F12A6E">
        <w:tc>
          <w:tcPr>
            <w:tcW w:w="1560" w:type="dxa"/>
            <w:vAlign w:val="center"/>
          </w:tcPr>
          <w:p w14:paraId="6EB7FA87" w14:textId="77777777" w:rsidR="00F12A6E" w:rsidRPr="00F12A6E" w:rsidRDefault="00F12A6E" w:rsidP="00F12A6E">
            <w:pPr>
              <w:spacing w:after="0" w:line="240" w:lineRule="auto"/>
              <w:rPr>
                <w:bCs/>
                <w:iCs/>
                <w:sz w:val="24"/>
                <w:szCs w:val="24"/>
              </w:rPr>
            </w:pPr>
            <w:r w:rsidRPr="00F12A6E">
              <w:rPr>
                <w:bCs/>
                <w:iCs/>
                <w:sz w:val="24"/>
                <w:szCs w:val="24"/>
              </w:rPr>
              <w:t>5. Precizēta finansiālā ietekme</w:t>
            </w:r>
          </w:p>
        </w:tc>
        <w:tc>
          <w:tcPr>
            <w:tcW w:w="992" w:type="dxa"/>
            <w:vMerge w:val="restart"/>
            <w:vAlign w:val="center"/>
          </w:tcPr>
          <w:p w14:paraId="23130801" w14:textId="77777777" w:rsidR="00F12A6E" w:rsidRPr="00F12A6E" w:rsidRDefault="00F12A6E" w:rsidP="00F12A6E">
            <w:pPr>
              <w:spacing w:after="0" w:line="240" w:lineRule="auto"/>
              <w:rPr>
                <w:bCs/>
                <w:iCs/>
                <w:sz w:val="24"/>
                <w:szCs w:val="24"/>
              </w:rPr>
            </w:pPr>
            <w:r w:rsidRPr="00F12A6E">
              <w:rPr>
                <w:bCs/>
                <w:iCs/>
                <w:sz w:val="24"/>
                <w:szCs w:val="24"/>
              </w:rPr>
              <w:t>X</w:t>
            </w:r>
          </w:p>
        </w:tc>
        <w:tc>
          <w:tcPr>
            <w:tcW w:w="1268" w:type="dxa"/>
            <w:vAlign w:val="center"/>
          </w:tcPr>
          <w:p w14:paraId="2C26C4B0"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000" w:type="dxa"/>
            <w:vMerge w:val="restart"/>
            <w:vAlign w:val="center"/>
          </w:tcPr>
          <w:p w14:paraId="665461DC" w14:textId="77777777" w:rsidR="00F12A6E" w:rsidRPr="00F12A6E" w:rsidRDefault="00F12A6E" w:rsidP="00F12A6E">
            <w:pPr>
              <w:spacing w:after="0" w:line="240" w:lineRule="auto"/>
              <w:jc w:val="both"/>
              <w:rPr>
                <w:bCs/>
                <w:iCs/>
                <w:sz w:val="24"/>
                <w:szCs w:val="24"/>
              </w:rPr>
            </w:pPr>
            <w:r w:rsidRPr="00F12A6E">
              <w:rPr>
                <w:bCs/>
                <w:iCs/>
                <w:sz w:val="24"/>
                <w:szCs w:val="24"/>
              </w:rPr>
              <w:t>0</w:t>
            </w:r>
          </w:p>
        </w:tc>
        <w:tc>
          <w:tcPr>
            <w:tcW w:w="1134" w:type="dxa"/>
            <w:vAlign w:val="center"/>
          </w:tcPr>
          <w:p w14:paraId="4E3B3187"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Merge w:val="restart"/>
            <w:vAlign w:val="center"/>
          </w:tcPr>
          <w:p w14:paraId="4FE7E481"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Align w:val="center"/>
          </w:tcPr>
          <w:p w14:paraId="0E360840"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49E73B7E"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5246C1CC" w14:textId="77777777" w:rsidTr="00F12A6E">
        <w:tc>
          <w:tcPr>
            <w:tcW w:w="1560" w:type="dxa"/>
            <w:vAlign w:val="center"/>
          </w:tcPr>
          <w:p w14:paraId="6DC3181E" w14:textId="77777777" w:rsidR="00F12A6E" w:rsidRPr="00F12A6E" w:rsidRDefault="00F12A6E" w:rsidP="00F12A6E">
            <w:pPr>
              <w:spacing w:after="0" w:line="240" w:lineRule="auto"/>
              <w:rPr>
                <w:bCs/>
                <w:iCs/>
                <w:sz w:val="24"/>
                <w:szCs w:val="24"/>
              </w:rPr>
            </w:pPr>
            <w:r w:rsidRPr="00F12A6E">
              <w:rPr>
                <w:bCs/>
                <w:iCs/>
                <w:sz w:val="24"/>
                <w:szCs w:val="24"/>
              </w:rPr>
              <w:t>5.1. valsts pamatbudžets</w:t>
            </w:r>
          </w:p>
        </w:tc>
        <w:tc>
          <w:tcPr>
            <w:tcW w:w="992" w:type="dxa"/>
            <w:vMerge/>
            <w:vAlign w:val="center"/>
          </w:tcPr>
          <w:p w14:paraId="708130F4" w14:textId="77777777" w:rsidR="00F12A6E" w:rsidRPr="00F12A6E" w:rsidRDefault="00F12A6E" w:rsidP="00F12A6E">
            <w:pPr>
              <w:spacing w:after="0" w:line="240" w:lineRule="auto"/>
              <w:rPr>
                <w:bCs/>
                <w:iCs/>
                <w:sz w:val="24"/>
                <w:szCs w:val="24"/>
              </w:rPr>
            </w:pPr>
          </w:p>
        </w:tc>
        <w:tc>
          <w:tcPr>
            <w:tcW w:w="1268" w:type="dxa"/>
            <w:vAlign w:val="center"/>
          </w:tcPr>
          <w:p w14:paraId="273FFCCC"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000" w:type="dxa"/>
            <w:vMerge/>
            <w:vAlign w:val="center"/>
          </w:tcPr>
          <w:p w14:paraId="5CD1F733" w14:textId="77777777" w:rsidR="00F12A6E" w:rsidRPr="00F12A6E" w:rsidRDefault="00F12A6E" w:rsidP="00F12A6E">
            <w:pPr>
              <w:spacing w:after="0" w:line="240" w:lineRule="auto"/>
              <w:jc w:val="both"/>
              <w:rPr>
                <w:bCs/>
                <w:iCs/>
                <w:sz w:val="24"/>
                <w:szCs w:val="24"/>
              </w:rPr>
            </w:pPr>
          </w:p>
        </w:tc>
        <w:tc>
          <w:tcPr>
            <w:tcW w:w="1134" w:type="dxa"/>
            <w:vAlign w:val="center"/>
          </w:tcPr>
          <w:p w14:paraId="7E05383D"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Merge/>
            <w:vAlign w:val="center"/>
          </w:tcPr>
          <w:p w14:paraId="294B7EC3" w14:textId="77777777" w:rsidR="00F12A6E" w:rsidRPr="00F12A6E" w:rsidRDefault="00F12A6E" w:rsidP="00F12A6E">
            <w:pPr>
              <w:spacing w:after="0" w:line="240" w:lineRule="auto"/>
              <w:rPr>
                <w:bCs/>
                <w:iCs/>
                <w:sz w:val="24"/>
                <w:szCs w:val="24"/>
              </w:rPr>
            </w:pPr>
          </w:p>
        </w:tc>
        <w:tc>
          <w:tcPr>
            <w:tcW w:w="992" w:type="dxa"/>
            <w:vAlign w:val="center"/>
          </w:tcPr>
          <w:p w14:paraId="504AC965"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601CF743"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02E520E0" w14:textId="77777777" w:rsidTr="00F12A6E">
        <w:tc>
          <w:tcPr>
            <w:tcW w:w="1560" w:type="dxa"/>
            <w:vAlign w:val="center"/>
          </w:tcPr>
          <w:p w14:paraId="7F857DA1" w14:textId="77777777" w:rsidR="00F12A6E" w:rsidRPr="00F12A6E" w:rsidRDefault="00F12A6E" w:rsidP="00F12A6E">
            <w:pPr>
              <w:spacing w:after="0" w:line="240" w:lineRule="auto"/>
              <w:rPr>
                <w:bCs/>
                <w:iCs/>
                <w:sz w:val="24"/>
                <w:szCs w:val="24"/>
              </w:rPr>
            </w:pPr>
            <w:r w:rsidRPr="00F12A6E">
              <w:rPr>
                <w:bCs/>
                <w:iCs/>
                <w:sz w:val="24"/>
                <w:szCs w:val="24"/>
              </w:rPr>
              <w:t>5.2. speciālais budžets</w:t>
            </w:r>
          </w:p>
        </w:tc>
        <w:tc>
          <w:tcPr>
            <w:tcW w:w="992" w:type="dxa"/>
            <w:vMerge/>
            <w:vAlign w:val="center"/>
          </w:tcPr>
          <w:p w14:paraId="3F31977A" w14:textId="77777777" w:rsidR="00F12A6E" w:rsidRPr="00F12A6E" w:rsidRDefault="00F12A6E" w:rsidP="00F12A6E">
            <w:pPr>
              <w:spacing w:after="0" w:line="240" w:lineRule="auto"/>
              <w:rPr>
                <w:bCs/>
                <w:iCs/>
                <w:sz w:val="24"/>
                <w:szCs w:val="24"/>
              </w:rPr>
            </w:pPr>
          </w:p>
        </w:tc>
        <w:tc>
          <w:tcPr>
            <w:tcW w:w="1268" w:type="dxa"/>
            <w:vAlign w:val="center"/>
          </w:tcPr>
          <w:p w14:paraId="6C8D0540"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000" w:type="dxa"/>
            <w:vMerge/>
            <w:vAlign w:val="center"/>
          </w:tcPr>
          <w:p w14:paraId="790F5199" w14:textId="77777777" w:rsidR="00F12A6E" w:rsidRPr="00F12A6E" w:rsidRDefault="00F12A6E" w:rsidP="00F12A6E">
            <w:pPr>
              <w:spacing w:after="0" w:line="240" w:lineRule="auto"/>
              <w:jc w:val="both"/>
              <w:rPr>
                <w:bCs/>
                <w:iCs/>
                <w:sz w:val="24"/>
                <w:szCs w:val="24"/>
              </w:rPr>
            </w:pPr>
          </w:p>
        </w:tc>
        <w:tc>
          <w:tcPr>
            <w:tcW w:w="1134" w:type="dxa"/>
            <w:vAlign w:val="center"/>
          </w:tcPr>
          <w:p w14:paraId="5BBA4368"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Merge/>
            <w:vAlign w:val="center"/>
          </w:tcPr>
          <w:p w14:paraId="13B8CB1E" w14:textId="77777777" w:rsidR="00F12A6E" w:rsidRPr="00F12A6E" w:rsidRDefault="00F12A6E" w:rsidP="00F12A6E">
            <w:pPr>
              <w:spacing w:after="0" w:line="240" w:lineRule="auto"/>
              <w:rPr>
                <w:bCs/>
                <w:iCs/>
                <w:sz w:val="24"/>
                <w:szCs w:val="24"/>
              </w:rPr>
            </w:pPr>
          </w:p>
        </w:tc>
        <w:tc>
          <w:tcPr>
            <w:tcW w:w="992" w:type="dxa"/>
            <w:vAlign w:val="center"/>
          </w:tcPr>
          <w:p w14:paraId="33550BAD"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60ADB427"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4F302F28" w14:textId="77777777" w:rsidTr="00F12A6E">
        <w:tc>
          <w:tcPr>
            <w:tcW w:w="1560" w:type="dxa"/>
            <w:vAlign w:val="center"/>
          </w:tcPr>
          <w:p w14:paraId="2B2AE9A6" w14:textId="77777777" w:rsidR="00F12A6E" w:rsidRPr="00F12A6E" w:rsidRDefault="00F12A6E" w:rsidP="00F12A6E">
            <w:pPr>
              <w:spacing w:after="0" w:line="240" w:lineRule="auto"/>
              <w:rPr>
                <w:bCs/>
                <w:iCs/>
                <w:sz w:val="24"/>
                <w:szCs w:val="24"/>
              </w:rPr>
            </w:pPr>
            <w:r w:rsidRPr="00F12A6E">
              <w:rPr>
                <w:bCs/>
                <w:iCs/>
                <w:sz w:val="24"/>
                <w:szCs w:val="24"/>
              </w:rPr>
              <w:t>5.3. pašvaldību budžets</w:t>
            </w:r>
          </w:p>
        </w:tc>
        <w:tc>
          <w:tcPr>
            <w:tcW w:w="992" w:type="dxa"/>
            <w:vMerge/>
            <w:vAlign w:val="center"/>
          </w:tcPr>
          <w:p w14:paraId="28524898" w14:textId="77777777" w:rsidR="00F12A6E" w:rsidRPr="00F12A6E" w:rsidRDefault="00F12A6E" w:rsidP="00F12A6E">
            <w:pPr>
              <w:spacing w:after="0" w:line="240" w:lineRule="auto"/>
              <w:rPr>
                <w:bCs/>
                <w:iCs/>
                <w:sz w:val="24"/>
                <w:szCs w:val="24"/>
              </w:rPr>
            </w:pPr>
          </w:p>
        </w:tc>
        <w:tc>
          <w:tcPr>
            <w:tcW w:w="1268" w:type="dxa"/>
            <w:vAlign w:val="center"/>
          </w:tcPr>
          <w:p w14:paraId="77B7BE0A"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000" w:type="dxa"/>
            <w:vMerge/>
            <w:vAlign w:val="center"/>
          </w:tcPr>
          <w:p w14:paraId="5F028921" w14:textId="77777777" w:rsidR="00F12A6E" w:rsidRPr="00F12A6E" w:rsidRDefault="00F12A6E" w:rsidP="00F12A6E">
            <w:pPr>
              <w:spacing w:after="0" w:line="240" w:lineRule="auto"/>
              <w:jc w:val="both"/>
              <w:rPr>
                <w:bCs/>
                <w:iCs/>
                <w:sz w:val="24"/>
                <w:szCs w:val="24"/>
              </w:rPr>
            </w:pPr>
          </w:p>
        </w:tc>
        <w:tc>
          <w:tcPr>
            <w:tcW w:w="1134" w:type="dxa"/>
            <w:vAlign w:val="center"/>
          </w:tcPr>
          <w:p w14:paraId="7F53AECC" w14:textId="77777777" w:rsidR="00F12A6E" w:rsidRPr="00F12A6E" w:rsidRDefault="00F12A6E" w:rsidP="00F12A6E">
            <w:pPr>
              <w:spacing w:after="0" w:line="240" w:lineRule="auto"/>
              <w:rPr>
                <w:bCs/>
                <w:iCs/>
                <w:sz w:val="24"/>
                <w:szCs w:val="24"/>
              </w:rPr>
            </w:pPr>
            <w:r w:rsidRPr="00F12A6E">
              <w:rPr>
                <w:bCs/>
                <w:iCs/>
                <w:sz w:val="24"/>
                <w:szCs w:val="24"/>
              </w:rPr>
              <w:t>0</w:t>
            </w:r>
          </w:p>
        </w:tc>
        <w:tc>
          <w:tcPr>
            <w:tcW w:w="992" w:type="dxa"/>
            <w:vMerge/>
            <w:vAlign w:val="center"/>
          </w:tcPr>
          <w:p w14:paraId="4865B2F5" w14:textId="77777777" w:rsidR="00F12A6E" w:rsidRPr="00F12A6E" w:rsidRDefault="00F12A6E" w:rsidP="00F12A6E">
            <w:pPr>
              <w:spacing w:after="0" w:line="240" w:lineRule="auto"/>
              <w:rPr>
                <w:bCs/>
                <w:iCs/>
                <w:sz w:val="24"/>
                <w:szCs w:val="24"/>
              </w:rPr>
            </w:pPr>
          </w:p>
        </w:tc>
        <w:tc>
          <w:tcPr>
            <w:tcW w:w="992" w:type="dxa"/>
            <w:vAlign w:val="center"/>
          </w:tcPr>
          <w:p w14:paraId="008F3BBF" w14:textId="77777777" w:rsidR="00F12A6E" w:rsidRPr="00F12A6E" w:rsidRDefault="00F12A6E" w:rsidP="00F12A6E">
            <w:pPr>
              <w:spacing w:after="0" w:line="240" w:lineRule="auto"/>
              <w:rPr>
                <w:bCs/>
                <w:iCs/>
                <w:sz w:val="24"/>
                <w:szCs w:val="24"/>
              </w:rPr>
            </w:pPr>
            <w:r w:rsidRPr="00F12A6E">
              <w:rPr>
                <w:bCs/>
                <w:iCs/>
                <w:sz w:val="24"/>
                <w:szCs w:val="24"/>
              </w:rPr>
              <w:t>0</w:t>
            </w:r>
          </w:p>
        </w:tc>
        <w:tc>
          <w:tcPr>
            <w:tcW w:w="1560" w:type="dxa"/>
            <w:vAlign w:val="center"/>
          </w:tcPr>
          <w:p w14:paraId="11F3C098" w14:textId="77777777" w:rsidR="00F12A6E" w:rsidRPr="00F12A6E" w:rsidRDefault="00F12A6E" w:rsidP="00F12A6E">
            <w:pPr>
              <w:spacing w:after="0" w:line="240" w:lineRule="auto"/>
              <w:rPr>
                <w:bCs/>
                <w:iCs/>
                <w:sz w:val="24"/>
                <w:szCs w:val="24"/>
              </w:rPr>
            </w:pPr>
            <w:r w:rsidRPr="00F12A6E">
              <w:rPr>
                <w:bCs/>
                <w:iCs/>
                <w:sz w:val="24"/>
                <w:szCs w:val="24"/>
              </w:rPr>
              <w:t>0</w:t>
            </w:r>
          </w:p>
        </w:tc>
      </w:tr>
      <w:tr w:rsidR="00F12A6E" w:rsidRPr="00F12A6E" w14:paraId="49387E4C" w14:textId="77777777" w:rsidTr="00F12A6E">
        <w:tc>
          <w:tcPr>
            <w:tcW w:w="1560" w:type="dxa"/>
            <w:vAlign w:val="center"/>
          </w:tcPr>
          <w:p w14:paraId="068DEFC2" w14:textId="77777777" w:rsidR="00F12A6E" w:rsidRPr="00F12A6E" w:rsidRDefault="00F12A6E" w:rsidP="00F12A6E">
            <w:pPr>
              <w:spacing w:after="0" w:line="240" w:lineRule="auto"/>
              <w:rPr>
                <w:bCs/>
                <w:iCs/>
                <w:sz w:val="24"/>
                <w:szCs w:val="24"/>
              </w:rPr>
            </w:pPr>
            <w:r w:rsidRPr="00F12A6E">
              <w:rPr>
                <w:bCs/>
                <w:iCs/>
                <w:sz w:val="24"/>
                <w:szCs w:val="24"/>
              </w:rPr>
              <w:t>6. Detalizēts ieņēmumu un izdevumu aprēķins (ja nepieciešams, detalizētu ieņēmumu un izdevumu aprēķinu var pievienot anotācijas pielikumā)</w:t>
            </w:r>
          </w:p>
        </w:tc>
        <w:tc>
          <w:tcPr>
            <w:tcW w:w="7938" w:type="dxa"/>
            <w:gridSpan w:val="7"/>
            <w:vMerge w:val="restart"/>
            <w:shd w:val="clear" w:color="auto" w:fill="auto"/>
          </w:tcPr>
          <w:p w14:paraId="0E339595" w14:textId="77777777" w:rsidR="00F12A6E" w:rsidRPr="00F12A6E" w:rsidRDefault="00F12A6E" w:rsidP="00F12A6E">
            <w:pPr>
              <w:spacing w:after="0" w:line="240" w:lineRule="auto"/>
              <w:jc w:val="both"/>
              <w:rPr>
                <w:bCs/>
                <w:sz w:val="24"/>
                <w:szCs w:val="24"/>
              </w:rPr>
            </w:pPr>
            <w:r w:rsidRPr="00F12A6E">
              <w:rPr>
                <w:bCs/>
                <w:sz w:val="24"/>
                <w:szCs w:val="24"/>
              </w:rPr>
              <w:t>Lai nodrošinātu personu ar pozitīviem Covid-19 testiem nogādāšanu uz dzīvesvietu vai uzturēšanās vietu vai Latvijas Investīciju un attīstības aģentūras administrētajā tūristu mītņu sarakstā minētu tūristu mītni atbilstoši Ministru kabineta 2020. gada 9. jūnija noteikumu Nr. 360 “Epidemioloģiskās drošības pasākumi Covid-19 infekcijas izplatības ierobežošanai” 38.</w:t>
            </w:r>
            <w:r w:rsidRPr="00F12A6E">
              <w:rPr>
                <w:bCs/>
                <w:sz w:val="24"/>
                <w:szCs w:val="24"/>
                <w:vertAlign w:val="superscript"/>
              </w:rPr>
              <w:t>63</w:t>
            </w:r>
            <w:r w:rsidRPr="00F12A6E">
              <w:rPr>
                <w:bCs/>
                <w:sz w:val="24"/>
                <w:szCs w:val="24"/>
              </w:rPr>
              <w:t>punktam, Dienestam nepieciešams papildus finansējums sākot ar 2021.gada 12.jūliju līdz 20221.gada 31.decembrim.</w:t>
            </w:r>
          </w:p>
          <w:p w14:paraId="6BFE4021" w14:textId="77777777" w:rsidR="00F12A6E" w:rsidRPr="00F12A6E" w:rsidRDefault="00F12A6E" w:rsidP="00F12A6E">
            <w:pPr>
              <w:spacing w:after="0" w:line="240" w:lineRule="auto"/>
              <w:jc w:val="both"/>
              <w:rPr>
                <w:bCs/>
                <w:sz w:val="24"/>
                <w:szCs w:val="24"/>
              </w:rPr>
            </w:pPr>
            <w:r w:rsidRPr="00F12A6E">
              <w:rPr>
                <w:bCs/>
                <w:sz w:val="24"/>
                <w:szCs w:val="24"/>
              </w:rPr>
              <w:t>Detalizētu informāciju ar aprēķiniem par papildus nepieciešamo finansējumu 2021.gadam skatīt anotācijas pielikumā.</w:t>
            </w:r>
          </w:p>
          <w:p w14:paraId="13EF2B60" w14:textId="77777777" w:rsidR="00F12A6E" w:rsidRPr="00F12A6E" w:rsidRDefault="00F12A6E" w:rsidP="00F12A6E">
            <w:pPr>
              <w:spacing w:after="0" w:line="240" w:lineRule="auto"/>
              <w:jc w:val="both"/>
              <w:rPr>
                <w:bCs/>
                <w:sz w:val="24"/>
                <w:szCs w:val="24"/>
              </w:rPr>
            </w:pPr>
          </w:p>
          <w:p w14:paraId="595FBF3D" w14:textId="1855E81D" w:rsidR="00F12A6E" w:rsidRPr="00F12A6E" w:rsidRDefault="00F12A6E" w:rsidP="00F12A6E">
            <w:pPr>
              <w:spacing w:after="0" w:line="240" w:lineRule="auto"/>
              <w:jc w:val="both"/>
              <w:rPr>
                <w:bCs/>
                <w:sz w:val="24"/>
                <w:szCs w:val="24"/>
              </w:rPr>
            </w:pPr>
            <w:r w:rsidRPr="00F12A6E">
              <w:rPr>
                <w:bCs/>
                <w:sz w:val="24"/>
                <w:szCs w:val="24"/>
              </w:rPr>
              <w:t>Min</w:t>
            </w:r>
            <w:r>
              <w:rPr>
                <w:bCs/>
                <w:sz w:val="24"/>
                <w:szCs w:val="24"/>
              </w:rPr>
              <w:t>i</w:t>
            </w:r>
            <w:r w:rsidRPr="00F12A6E">
              <w:rPr>
                <w:bCs/>
                <w:sz w:val="24"/>
                <w:szCs w:val="24"/>
              </w:rPr>
              <w:t xml:space="preserve">stru kabineta sēdē izskatīšanai un apstiprināšanai vienlaicīgi kopā ar projektu  tiek iesniegts Ministru kabineta rīkojuma projekts “Par finanšu līdzekļu piešķiršanu no valsts budžeta programmas “Līdzekļi neparedzētiem gadījumiem””, kurš paredz Finanšu ministrijai no valsts budžeta programmas 02.00.00 “Līdzekļi neparedzētiem gadījumiem” piešķirt Veselības ministrijai finansējumu, kas nepārsniedz 206 004 </w:t>
            </w:r>
            <w:r w:rsidRPr="00F12A6E">
              <w:rPr>
                <w:bCs/>
                <w:i/>
                <w:iCs/>
                <w:sz w:val="24"/>
                <w:szCs w:val="24"/>
              </w:rPr>
              <w:t>euro</w:t>
            </w:r>
            <w:r w:rsidRPr="00F12A6E">
              <w:rPr>
                <w:bCs/>
                <w:sz w:val="24"/>
                <w:szCs w:val="24"/>
              </w:rPr>
              <w:t>, lai nodrošinātu personu ar pozitīviem Covid-19 testiem nogādāšanu uz dzīvesvietu vai uzturēšanās vietu vai Latvijas Investīciju un attīstības aģentūras administrētajā tūristu mītņu sarakstā minētu tūristu mītni atbilstoši Ministru kabineta 2020. gada 9. jūnija noteikumu Nr. 360 “Epidemioloģiskās drošības pasākumi Covid-19 infekcijas izplatības ierobežošanai” 38.</w:t>
            </w:r>
            <w:r w:rsidRPr="00F12A6E">
              <w:rPr>
                <w:bCs/>
                <w:sz w:val="24"/>
                <w:szCs w:val="24"/>
                <w:vertAlign w:val="superscript"/>
              </w:rPr>
              <w:t>63</w:t>
            </w:r>
            <w:r w:rsidRPr="00F12A6E">
              <w:rPr>
                <w:bCs/>
                <w:sz w:val="24"/>
                <w:szCs w:val="24"/>
              </w:rPr>
              <w:t xml:space="preserve">punktam. </w:t>
            </w:r>
          </w:p>
        </w:tc>
      </w:tr>
      <w:tr w:rsidR="00F12A6E" w:rsidRPr="00F12A6E" w14:paraId="4C9D9FE2" w14:textId="77777777" w:rsidTr="00F12A6E">
        <w:tc>
          <w:tcPr>
            <w:tcW w:w="1560" w:type="dxa"/>
            <w:vAlign w:val="center"/>
          </w:tcPr>
          <w:p w14:paraId="1751FC1C" w14:textId="77777777" w:rsidR="00F12A6E" w:rsidRPr="00F12A6E" w:rsidRDefault="00F12A6E" w:rsidP="00F12A6E">
            <w:pPr>
              <w:spacing w:after="0" w:line="240" w:lineRule="auto"/>
              <w:rPr>
                <w:bCs/>
                <w:iCs/>
                <w:sz w:val="24"/>
                <w:szCs w:val="24"/>
              </w:rPr>
            </w:pPr>
            <w:r w:rsidRPr="00F12A6E">
              <w:rPr>
                <w:bCs/>
                <w:iCs/>
                <w:sz w:val="24"/>
                <w:szCs w:val="24"/>
              </w:rPr>
              <w:t>6.1. detalizēts ieņēmumu aprēķins</w:t>
            </w:r>
          </w:p>
        </w:tc>
        <w:tc>
          <w:tcPr>
            <w:tcW w:w="7938" w:type="dxa"/>
            <w:gridSpan w:val="7"/>
            <w:vMerge/>
            <w:shd w:val="clear" w:color="auto" w:fill="auto"/>
            <w:vAlign w:val="center"/>
          </w:tcPr>
          <w:p w14:paraId="3F417120" w14:textId="77777777" w:rsidR="00F12A6E" w:rsidRPr="00F12A6E" w:rsidRDefault="00F12A6E" w:rsidP="00F12A6E">
            <w:pPr>
              <w:spacing w:after="0" w:line="240" w:lineRule="auto"/>
              <w:rPr>
                <w:bCs/>
                <w:iCs/>
                <w:sz w:val="24"/>
                <w:szCs w:val="24"/>
              </w:rPr>
            </w:pPr>
          </w:p>
        </w:tc>
      </w:tr>
      <w:tr w:rsidR="00F12A6E" w:rsidRPr="00F12A6E" w14:paraId="02D5FDA4" w14:textId="77777777" w:rsidTr="00F12A6E">
        <w:tc>
          <w:tcPr>
            <w:tcW w:w="1560" w:type="dxa"/>
            <w:vAlign w:val="center"/>
          </w:tcPr>
          <w:p w14:paraId="560B70F9" w14:textId="77777777" w:rsidR="00F12A6E" w:rsidRPr="00F12A6E" w:rsidRDefault="00F12A6E" w:rsidP="00F12A6E">
            <w:pPr>
              <w:spacing w:after="0" w:line="240" w:lineRule="auto"/>
              <w:rPr>
                <w:bCs/>
                <w:iCs/>
                <w:sz w:val="24"/>
                <w:szCs w:val="24"/>
              </w:rPr>
            </w:pPr>
            <w:r w:rsidRPr="00F12A6E">
              <w:rPr>
                <w:bCs/>
                <w:iCs/>
                <w:sz w:val="24"/>
                <w:szCs w:val="24"/>
              </w:rPr>
              <w:t>6.2. detalizēts izdevumu aprēķins</w:t>
            </w:r>
          </w:p>
        </w:tc>
        <w:tc>
          <w:tcPr>
            <w:tcW w:w="7938" w:type="dxa"/>
            <w:gridSpan w:val="7"/>
            <w:vMerge/>
            <w:shd w:val="clear" w:color="auto" w:fill="auto"/>
            <w:vAlign w:val="center"/>
          </w:tcPr>
          <w:p w14:paraId="0FF9F26D" w14:textId="77777777" w:rsidR="00F12A6E" w:rsidRPr="00F12A6E" w:rsidRDefault="00F12A6E" w:rsidP="00F12A6E">
            <w:pPr>
              <w:spacing w:after="0" w:line="240" w:lineRule="auto"/>
              <w:rPr>
                <w:bCs/>
                <w:iCs/>
                <w:sz w:val="24"/>
                <w:szCs w:val="24"/>
              </w:rPr>
            </w:pPr>
          </w:p>
        </w:tc>
      </w:tr>
      <w:tr w:rsidR="00F12A6E" w:rsidRPr="00F12A6E" w14:paraId="17F31691" w14:textId="77777777" w:rsidTr="00F12A6E">
        <w:tc>
          <w:tcPr>
            <w:tcW w:w="1560" w:type="dxa"/>
            <w:vAlign w:val="center"/>
          </w:tcPr>
          <w:p w14:paraId="66703F56" w14:textId="77777777" w:rsidR="00F12A6E" w:rsidRPr="00F12A6E" w:rsidRDefault="00F12A6E" w:rsidP="00F12A6E">
            <w:pPr>
              <w:spacing w:after="0" w:line="240" w:lineRule="auto"/>
              <w:rPr>
                <w:bCs/>
                <w:iCs/>
                <w:sz w:val="24"/>
                <w:szCs w:val="24"/>
              </w:rPr>
            </w:pPr>
            <w:r w:rsidRPr="00F12A6E">
              <w:rPr>
                <w:bCs/>
                <w:iCs/>
                <w:sz w:val="24"/>
                <w:szCs w:val="24"/>
              </w:rPr>
              <w:t>7. Amata vietu skaita izmaiņas</w:t>
            </w:r>
          </w:p>
        </w:tc>
        <w:tc>
          <w:tcPr>
            <w:tcW w:w="7938" w:type="dxa"/>
            <w:gridSpan w:val="7"/>
            <w:vAlign w:val="center"/>
          </w:tcPr>
          <w:p w14:paraId="7B3AC060" w14:textId="77777777" w:rsidR="00F12A6E" w:rsidRPr="00F12A6E" w:rsidRDefault="00F12A6E" w:rsidP="00F12A6E">
            <w:pPr>
              <w:spacing w:after="0" w:line="240" w:lineRule="auto"/>
              <w:rPr>
                <w:bCs/>
                <w:sz w:val="24"/>
                <w:szCs w:val="24"/>
              </w:rPr>
            </w:pPr>
            <w:r w:rsidRPr="00F12A6E">
              <w:rPr>
                <w:bCs/>
                <w:sz w:val="24"/>
                <w:szCs w:val="24"/>
              </w:rPr>
              <w:t>Nav</w:t>
            </w:r>
          </w:p>
        </w:tc>
      </w:tr>
      <w:tr w:rsidR="00F12A6E" w:rsidRPr="00F12A6E" w14:paraId="74083920" w14:textId="77777777" w:rsidTr="00F12A6E">
        <w:tc>
          <w:tcPr>
            <w:tcW w:w="1560" w:type="dxa"/>
            <w:vAlign w:val="center"/>
          </w:tcPr>
          <w:p w14:paraId="63B57D88" w14:textId="77777777" w:rsidR="00F12A6E" w:rsidRPr="00F12A6E" w:rsidRDefault="00F12A6E" w:rsidP="00F12A6E">
            <w:pPr>
              <w:spacing w:after="0" w:line="240" w:lineRule="auto"/>
              <w:rPr>
                <w:bCs/>
                <w:iCs/>
                <w:sz w:val="24"/>
                <w:szCs w:val="24"/>
              </w:rPr>
            </w:pPr>
            <w:r w:rsidRPr="00F12A6E">
              <w:rPr>
                <w:bCs/>
                <w:iCs/>
                <w:sz w:val="24"/>
                <w:szCs w:val="24"/>
              </w:rPr>
              <w:t>8. Cita informācija</w:t>
            </w:r>
          </w:p>
        </w:tc>
        <w:tc>
          <w:tcPr>
            <w:tcW w:w="7938" w:type="dxa"/>
            <w:gridSpan w:val="7"/>
            <w:vAlign w:val="center"/>
          </w:tcPr>
          <w:p w14:paraId="449DC7D6" w14:textId="77777777" w:rsidR="00F12A6E" w:rsidRPr="00F12A6E" w:rsidRDefault="00F12A6E" w:rsidP="00F12A6E">
            <w:pPr>
              <w:spacing w:after="0" w:line="240" w:lineRule="auto"/>
              <w:rPr>
                <w:bCs/>
                <w:sz w:val="24"/>
                <w:szCs w:val="24"/>
              </w:rPr>
            </w:pPr>
            <w:r w:rsidRPr="00F12A6E">
              <w:rPr>
                <w:bCs/>
                <w:sz w:val="24"/>
                <w:szCs w:val="24"/>
              </w:rPr>
              <w:t>Nav</w:t>
            </w:r>
          </w:p>
        </w:tc>
      </w:tr>
    </w:tbl>
    <w:p w14:paraId="6FB7105C" w14:textId="5CFB999F" w:rsidR="0093129C" w:rsidRDefault="0093129C" w:rsidP="00D856F7">
      <w:pPr>
        <w:spacing w:after="0" w:line="240" w:lineRule="auto"/>
        <w:rPr>
          <w:rFonts w:ascii="Times New Roman" w:eastAsia="Times New Roman" w:hAnsi="Times New Roman" w:cs="Times New Roman"/>
          <w:bCs/>
          <w:sz w:val="28"/>
          <w:szCs w:val="28"/>
          <w:lang w:eastAsia="lv-LV"/>
        </w:rPr>
      </w:pPr>
    </w:p>
    <w:tbl>
      <w:tblPr>
        <w:tblW w:w="52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0"/>
        <w:gridCol w:w="2406"/>
        <w:gridCol w:w="6520"/>
      </w:tblGrid>
      <w:tr w:rsidR="007E4536" w:rsidRPr="00BD50E2" w14:paraId="086ACBDF" w14:textId="77777777" w:rsidTr="001D758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6155DA">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lastRenderedPageBreak/>
              <w:t>IV. Tiesību akta projekta ietekme uz spēkā esošo tiesību normu sistēmu</w:t>
            </w:r>
          </w:p>
        </w:tc>
      </w:tr>
      <w:tr w:rsidR="007E4536" w:rsidRPr="00BD50E2" w14:paraId="06745513" w14:textId="77777777" w:rsidTr="00F12A6E">
        <w:tc>
          <w:tcPr>
            <w:tcW w:w="300" w:type="pct"/>
            <w:tcBorders>
              <w:top w:val="single" w:sz="4" w:space="0" w:color="auto"/>
              <w:left w:val="single" w:sz="4" w:space="0" w:color="auto"/>
              <w:bottom w:val="single" w:sz="4" w:space="0" w:color="auto"/>
              <w:right w:val="single" w:sz="4" w:space="0" w:color="auto"/>
            </w:tcBorders>
            <w:hideMark/>
          </w:tcPr>
          <w:p w14:paraId="041BEE80" w14:textId="26FC4AEA" w:rsidR="007E4536" w:rsidRPr="00BD50E2"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67" w:type="pct"/>
            <w:tcBorders>
              <w:top w:val="single" w:sz="4" w:space="0" w:color="auto"/>
              <w:left w:val="single" w:sz="4" w:space="0" w:color="auto"/>
              <w:bottom w:val="single" w:sz="4" w:space="0" w:color="auto"/>
              <w:right w:val="single" w:sz="4" w:space="0" w:color="auto"/>
            </w:tcBorders>
            <w:hideMark/>
          </w:tcPr>
          <w:p w14:paraId="3E9958BA" w14:textId="4AC75013"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Saistītie tiesību aktu projekti</w:t>
            </w:r>
          </w:p>
        </w:tc>
        <w:tc>
          <w:tcPr>
            <w:tcW w:w="3433" w:type="pct"/>
            <w:tcBorders>
              <w:top w:val="single" w:sz="4" w:space="0" w:color="auto"/>
              <w:left w:val="single" w:sz="4" w:space="0" w:color="auto"/>
              <w:bottom w:val="single" w:sz="4" w:space="0" w:color="auto"/>
              <w:right w:val="single" w:sz="4" w:space="0" w:color="auto"/>
            </w:tcBorders>
          </w:tcPr>
          <w:p w14:paraId="1BEDA234" w14:textId="56A662D9" w:rsidR="007E4536" w:rsidRPr="00BD50E2" w:rsidRDefault="008670E6" w:rsidP="007E4536">
            <w:pPr>
              <w:spacing w:after="0" w:line="240" w:lineRule="auto"/>
              <w:jc w:val="both"/>
              <w:rPr>
                <w:rFonts w:ascii="Times New Roman" w:eastAsia="Times New Roman" w:hAnsi="Times New Roman" w:cs="Times New Roman"/>
                <w:bCs/>
                <w:sz w:val="24"/>
                <w:szCs w:val="24"/>
              </w:rPr>
            </w:pPr>
            <w:r w:rsidRPr="008670E6">
              <w:rPr>
                <w:rFonts w:ascii="Times New Roman" w:eastAsia="Times New Roman" w:hAnsi="Times New Roman" w:cs="Times New Roman"/>
                <w:bCs/>
                <w:sz w:val="24"/>
                <w:szCs w:val="24"/>
              </w:rPr>
              <w:t>Projekts šo jomu neskar</w:t>
            </w:r>
            <w:r>
              <w:rPr>
                <w:rFonts w:ascii="Times New Roman" w:eastAsia="Times New Roman" w:hAnsi="Times New Roman" w:cs="Times New Roman"/>
                <w:bCs/>
                <w:sz w:val="24"/>
                <w:szCs w:val="24"/>
              </w:rPr>
              <w:t>.</w:t>
            </w:r>
          </w:p>
        </w:tc>
      </w:tr>
      <w:tr w:rsidR="007E4536" w:rsidRPr="00BD50E2" w14:paraId="1BF94135" w14:textId="77777777" w:rsidTr="00F12A6E">
        <w:tc>
          <w:tcPr>
            <w:tcW w:w="300" w:type="pct"/>
            <w:tcBorders>
              <w:top w:val="single" w:sz="4" w:space="0" w:color="auto"/>
              <w:left w:val="single" w:sz="4" w:space="0" w:color="auto"/>
              <w:bottom w:val="single" w:sz="4" w:space="0" w:color="auto"/>
              <w:right w:val="single" w:sz="4" w:space="0" w:color="auto"/>
            </w:tcBorders>
            <w:hideMark/>
          </w:tcPr>
          <w:p w14:paraId="37F06583" w14:textId="77777777" w:rsidR="007E4536" w:rsidRPr="001D7589" w:rsidRDefault="007E4536" w:rsidP="006155DA">
            <w:pPr>
              <w:spacing w:after="0" w:line="240" w:lineRule="auto"/>
              <w:jc w:val="center"/>
              <w:rPr>
                <w:rFonts w:ascii="Times New Roman" w:eastAsia="Times New Roman" w:hAnsi="Times New Roman" w:cs="Times New Roman"/>
                <w:b/>
                <w:sz w:val="24"/>
                <w:szCs w:val="24"/>
              </w:rPr>
            </w:pPr>
            <w:r w:rsidRPr="001D7589">
              <w:rPr>
                <w:rFonts w:ascii="Times New Roman" w:eastAsia="Times New Roman" w:hAnsi="Times New Roman" w:cs="Times New Roman"/>
                <w:b/>
                <w:sz w:val="24"/>
                <w:szCs w:val="24"/>
              </w:rPr>
              <w:t>2.</w:t>
            </w:r>
          </w:p>
        </w:tc>
        <w:tc>
          <w:tcPr>
            <w:tcW w:w="1267" w:type="pct"/>
            <w:tcBorders>
              <w:top w:val="single" w:sz="4" w:space="0" w:color="auto"/>
              <w:left w:val="single" w:sz="4" w:space="0" w:color="auto"/>
              <w:bottom w:val="single" w:sz="4" w:space="0" w:color="auto"/>
              <w:right w:val="single" w:sz="4" w:space="0" w:color="auto"/>
            </w:tcBorders>
            <w:hideMark/>
          </w:tcPr>
          <w:p w14:paraId="1C73217E" w14:textId="30FB45CB"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Atbildīgā institūcija</w:t>
            </w:r>
          </w:p>
        </w:tc>
        <w:tc>
          <w:tcPr>
            <w:tcW w:w="3433" w:type="pct"/>
            <w:tcBorders>
              <w:top w:val="single" w:sz="4" w:space="0" w:color="auto"/>
              <w:left w:val="single" w:sz="4" w:space="0" w:color="auto"/>
              <w:bottom w:val="single" w:sz="4" w:space="0" w:color="auto"/>
              <w:right w:val="single" w:sz="4" w:space="0" w:color="auto"/>
            </w:tcBorders>
          </w:tcPr>
          <w:p w14:paraId="07D89C85" w14:textId="03FB317E" w:rsidR="007E4536" w:rsidRPr="00BD50E2" w:rsidRDefault="008670E6" w:rsidP="006155DA">
            <w:pPr>
              <w:pStyle w:val="NormalWeb"/>
              <w:shd w:val="clear" w:color="auto" w:fill="FFFFFF"/>
              <w:spacing w:line="256" w:lineRule="auto"/>
              <w:jc w:val="both"/>
              <w:rPr>
                <w:shd w:val="clear" w:color="auto" w:fill="FFFFFF"/>
              </w:rPr>
            </w:pPr>
            <w:r w:rsidRPr="008670E6">
              <w:rPr>
                <w:shd w:val="clear" w:color="auto" w:fill="FFFFFF"/>
              </w:rPr>
              <w:t>Projekts šo jomu neskar</w:t>
            </w:r>
            <w:r>
              <w:rPr>
                <w:shd w:val="clear" w:color="auto" w:fill="FFFFFF"/>
              </w:rPr>
              <w:t>.</w:t>
            </w:r>
          </w:p>
        </w:tc>
      </w:tr>
      <w:tr w:rsidR="007E4536" w:rsidRPr="00BD50E2" w14:paraId="03142B10" w14:textId="77777777" w:rsidTr="00F12A6E">
        <w:tc>
          <w:tcPr>
            <w:tcW w:w="300" w:type="pct"/>
            <w:tcBorders>
              <w:top w:val="single" w:sz="4" w:space="0" w:color="auto"/>
              <w:left w:val="single" w:sz="4" w:space="0" w:color="auto"/>
              <w:bottom w:val="single" w:sz="4" w:space="0" w:color="auto"/>
              <w:right w:val="single" w:sz="4" w:space="0" w:color="auto"/>
            </w:tcBorders>
            <w:hideMark/>
          </w:tcPr>
          <w:p w14:paraId="402825A8" w14:textId="5E38C5B0" w:rsidR="007E4536" w:rsidRPr="00BD50E2" w:rsidRDefault="007E4536" w:rsidP="006155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BD50E2">
              <w:rPr>
                <w:rFonts w:ascii="Times New Roman" w:eastAsia="Times New Roman" w:hAnsi="Times New Roman" w:cs="Times New Roman"/>
                <w:bCs/>
                <w:sz w:val="24"/>
                <w:szCs w:val="24"/>
              </w:rPr>
              <w:t>.</w:t>
            </w:r>
          </w:p>
        </w:tc>
        <w:tc>
          <w:tcPr>
            <w:tcW w:w="1267" w:type="pct"/>
            <w:tcBorders>
              <w:top w:val="single" w:sz="4" w:space="0" w:color="auto"/>
              <w:left w:val="single" w:sz="4" w:space="0" w:color="auto"/>
              <w:bottom w:val="single" w:sz="4" w:space="0" w:color="auto"/>
              <w:right w:val="single" w:sz="4" w:space="0" w:color="auto"/>
            </w:tcBorders>
            <w:hideMark/>
          </w:tcPr>
          <w:p w14:paraId="5F39771F" w14:textId="77777777" w:rsidR="007E4536" w:rsidRPr="00BD50E2" w:rsidRDefault="007E4536" w:rsidP="006155DA">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433" w:type="pct"/>
            <w:tcBorders>
              <w:top w:val="single" w:sz="4" w:space="0" w:color="auto"/>
              <w:left w:val="single" w:sz="4" w:space="0" w:color="auto"/>
              <w:bottom w:val="single" w:sz="4" w:space="0" w:color="auto"/>
              <w:right w:val="single" w:sz="4" w:space="0" w:color="auto"/>
            </w:tcBorders>
            <w:hideMark/>
          </w:tcPr>
          <w:p w14:paraId="3A9BB8FA" w14:textId="2F75731C" w:rsidR="007E4536" w:rsidRPr="00BD50E2" w:rsidRDefault="007E4536" w:rsidP="006155DA">
            <w:pPr>
              <w:spacing w:after="0" w:line="240" w:lineRule="auto"/>
              <w:jc w:val="both"/>
              <w:rPr>
                <w:rFonts w:ascii="Times New Roman" w:eastAsia="Times New Roman" w:hAnsi="Times New Roman" w:cs="Times New Roman"/>
                <w:bCs/>
                <w:sz w:val="24"/>
                <w:szCs w:val="24"/>
              </w:rPr>
            </w:pP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24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8"/>
      </w:tblGrid>
      <w:tr w:rsidR="00BD50E2" w:rsidRPr="00BD50E2" w14:paraId="564EC935" w14:textId="77777777" w:rsidTr="00470FB8">
        <w:tc>
          <w:tcPr>
            <w:tcW w:w="9497"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470FB8">
        <w:tc>
          <w:tcPr>
            <w:tcW w:w="9497"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521"/>
      </w:tblGrid>
      <w:tr w:rsidR="00BD50E2" w:rsidRPr="00BD50E2" w14:paraId="3B8C0E70"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68"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435" w:type="pct"/>
            <w:tcBorders>
              <w:top w:val="single" w:sz="4" w:space="0" w:color="auto"/>
              <w:left w:val="single" w:sz="4" w:space="0" w:color="auto"/>
              <w:bottom w:val="single" w:sz="4" w:space="0" w:color="auto"/>
              <w:right w:val="single" w:sz="4" w:space="0" w:color="auto"/>
            </w:tcBorders>
          </w:tcPr>
          <w:p w14:paraId="7B7D311F" w14:textId="7829B746"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w:t>
            </w:r>
            <w:r w:rsidR="006A5389">
              <w:rPr>
                <w:rFonts w:ascii="Times New Roman" w:eastAsia="Times New Roman" w:hAnsi="Times New Roman" w:cs="Times New Roman"/>
                <w:iCs/>
                <w:sz w:val="24"/>
                <w:szCs w:val="24"/>
                <w:lang w:eastAsia="lv-LV"/>
              </w:rPr>
              <w:t xml:space="preserve"> un S</w:t>
            </w:r>
            <w:r w:rsidR="001D7589">
              <w:rPr>
                <w:rFonts w:ascii="Times New Roman" w:eastAsia="Times New Roman" w:hAnsi="Times New Roman" w:cs="Times New Roman"/>
                <w:iCs/>
                <w:sz w:val="24"/>
                <w:szCs w:val="24"/>
                <w:lang w:eastAsia="lv-LV"/>
              </w:rPr>
              <w:t>limību profilakses un kontroles centra</w:t>
            </w:r>
            <w:r w:rsidR="00E1494D" w:rsidRPr="00BD50E2">
              <w:rPr>
                <w:rFonts w:ascii="Times New Roman" w:eastAsia="Times New Roman" w:hAnsi="Times New Roman" w:cs="Times New Roman"/>
                <w:iCs/>
                <w:sz w:val="24"/>
                <w:szCs w:val="24"/>
                <w:lang w:eastAsia="lv-LV"/>
              </w:rPr>
              <w:t xml:space="preserve"> </w:t>
            </w:r>
            <w:r w:rsidR="00D70DC5">
              <w:rPr>
                <w:rFonts w:ascii="Times New Roman" w:eastAsia="Times New Roman" w:hAnsi="Times New Roman" w:cs="Times New Roman"/>
                <w:iCs/>
                <w:sz w:val="24"/>
                <w:szCs w:val="24"/>
                <w:lang w:eastAsia="lv-LV"/>
              </w:rPr>
              <w:t>tīmekļvietnēs</w:t>
            </w:r>
            <w:r w:rsidR="00137903" w:rsidRPr="00BD50E2">
              <w:rPr>
                <w:rFonts w:ascii="Times New Roman" w:eastAsia="Times New Roman" w:hAnsi="Times New Roman" w:cs="Times New Roman"/>
                <w:iCs/>
                <w:sz w:val="24"/>
                <w:szCs w:val="24"/>
                <w:lang w:eastAsia="lv-LV"/>
              </w:rPr>
              <w:t xml:space="preserve">, kā arī paredzēts to </w:t>
            </w:r>
            <w:r w:rsidR="00E1494D" w:rsidRPr="00BD50E2">
              <w:rPr>
                <w:rFonts w:ascii="Times New Roman" w:eastAsia="Times New Roman" w:hAnsi="Times New Roman" w:cs="Times New Roman"/>
                <w:iCs/>
                <w:sz w:val="24"/>
                <w:szCs w:val="24"/>
                <w:lang w:eastAsia="lv-LV"/>
              </w:rPr>
              <w:t xml:space="preserve">elektroniski </w:t>
            </w:r>
            <w:r w:rsidR="00137903"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268"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435"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470FB8">
        <w:trPr>
          <w:trHeight w:val="585"/>
        </w:trPr>
        <w:tc>
          <w:tcPr>
            <w:tcW w:w="297"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268"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435"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268"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435"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3258"/>
        <w:gridCol w:w="5671"/>
      </w:tblGrid>
      <w:tr w:rsidR="00BD50E2" w:rsidRPr="00BD50E2" w14:paraId="20F6EC7B"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16"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987" w:type="pct"/>
            <w:tcBorders>
              <w:top w:val="single" w:sz="4" w:space="0" w:color="auto"/>
              <w:left w:val="single" w:sz="4" w:space="0" w:color="auto"/>
              <w:bottom w:val="single" w:sz="4" w:space="0" w:color="auto"/>
              <w:right w:val="single" w:sz="4" w:space="0" w:color="auto"/>
            </w:tcBorders>
          </w:tcPr>
          <w:p w14:paraId="2EFE8F23" w14:textId="044BC1B8" w:rsidR="0007278B" w:rsidRPr="00BD50E2" w:rsidRDefault="001D7589"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lv-LV"/>
              </w:rPr>
              <w:t>Neatliekamās medicīniskās palīdzības dienests.</w:t>
            </w:r>
          </w:p>
        </w:tc>
      </w:tr>
      <w:tr w:rsidR="00BD50E2" w:rsidRPr="00BD50E2" w14:paraId="3B2F7A2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16"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987"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16"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987"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4E2F40DF" w:rsidR="00590FAA" w:rsidRPr="00234042" w:rsidRDefault="005758FB" w:rsidP="00590FAA">
            <w:pPr>
              <w:pStyle w:val="pamattekststabul"/>
              <w:tabs>
                <w:tab w:val="left" w:pos="3969"/>
                <w:tab w:val="left" w:pos="6379"/>
              </w:tabs>
              <w:rPr>
                <w:rFonts w:eastAsia="Calibri"/>
                <w:sz w:val="28"/>
                <w:szCs w:val="28"/>
                <w:lang w:val="lv-LV"/>
              </w:rPr>
            </w:pPr>
            <w:r w:rsidRPr="00234042">
              <w:rPr>
                <w:rFonts w:eastAsia="Calibri"/>
                <w:noProof/>
                <w:sz w:val="28"/>
                <w:szCs w:val="28"/>
                <w:lang w:val="lv-LV"/>
              </w:rPr>
              <w:t xml:space="preserve">Veselības </w:t>
            </w:r>
            <w:r w:rsidR="00590FAA">
              <w:rPr>
                <w:rFonts w:eastAsia="Calibri"/>
                <w:noProof/>
                <w:sz w:val="28"/>
                <w:szCs w:val="28"/>
                <w:lang w:val="lv-LV"/>
              </w:rPr>
              <w:t>ministrs</w:t>
            </w:r>
          </w:p>
        </w:tc>
        <w:tc>
          <w:tcPr>
            <w:tcW w:w="4251" w:type="dxa"/>
          </w:tcPr>
          <w:p w14:paraId="11E17F17" w14:textId="3424D04D" w:rsidR="00590FAA" w:rsidRPr="00590FAA" w:rsidRDefault="0043240B" w:rsidP="00590FAA">
            <w:pPr>
              <w:pStyle w:val="pamattekststabul"/>
              <w:tabs>
                <w:tab w:val="left" w:pos="3969"/>
                <w:tab w:val="left" w:pos="6379"/>
              </w:tabs>
              <w:jc w:val="right"/>
              <w:rPr>
                <w:rFonts w:eastAsia="Calibri"/>
                <w:sz w:val="28"/>
                <w:szCs w:val="28"/>
              </w:rPr>
            </w:pPr>
            <w:r>
              <w:rPr>
                <w:rFonts w:eastAsia="Calibri"/>
                <w:sz w:val="28"/>
                <w:szCs w:val="28"/>
              </w:rPr>
              <w:t>D. Pavļuts</w:t>
            </w:r>
          </w:p>
          <w:p w14:paraId="1D46503B" w14:textId="30E95EBD" w:rsidR="005758FB" w:rsidRPr="00234042" w:rsidRDefault="005758FB" w:rsidP="008C3B71">
            <w:pPr>
              <w:pStyle w:val="pamattekststabul"/>
              <w:tabs>
                <w:tab w:val="left" w:pos="3969"/>
                <w:tab w:val="left" w:pos="6379"/>
              </w:tabs>
              <w:jc w:val="right"/>
              <w:rPr>
                <w:rFonts w:eastAsia="Calibri"/>
                <w:sz w:val="28"/>
                <w:szCs w:val="28"/>
                <w:lang w:val="lv-LV"/>
              </w:rPr>
            </w:pPr>
          </w:p>
        </w:tc>
      </w:tr>
    </w:tbl>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389C57CE"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w:t>
      </w:r>
      <w:r w:rsidR="00886D79">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333F6A">
        <w:rPr>
          <w:bCs/>
          <w:sz w:val="28"/>
          <w:szCs w:val="28"/>
        </w:rPr>
        <w:t xml:space="preserve"> </w:t>
      </w:r>
      <w:r w:rsidR="00196505">
        <w:rPr>
          <w:bCs/>
          <w:sz w:val="28"/>
          <w:szCs w:val="28"/>
        </w:rPr>
        <w:t>I.</w:t>
      </w:r>
      <w:r w:rsidR="00590FAA">
        <w:rPr>
          <w:bCs/>
          <w:sz w:val="28"/>
          <w:szCs w:val="28"/>
        </w:rPr>
        <w:t xml:space="preserve"> </w:t>
      </w:r>
      <w:r w:rsidR="00196505">
        <w:rPr>
          <w:bCs/>
          <w:sz w:val="28"/>
          <w:szCs w:val="28"/>
        </w:rPr>
        <w:t>Dreika</w:t>
      </w:r>
    </w:p>
    <w:p w14:paraId="03C1A199" w14:textId="204BF587" w:rsidR="0099398F" w:rsidRDefault="0099398F" w:rsidP="00886D79">
      <w:pPr>
        <w:tabs>
          <w:tab w:val="right" w:pos="9356"/>
        </w:tabs>
        <w:spacing w:after="0" w:line="240" w:lineRule="auto"/>
        <w:rPr>
          <w:rFonts w:ascii="Times New Roman" w:hAnsi="Times New Roman" w:cs="Times New Roman"/>
          <w:bCs/>
          <w:sz w:val="28"/>
          <w:szCs w:val="28"/>
        </w:rPr>
      </w:pPr>
    </w:p>
    <w:p w14:paraId="1D170E3E" w14:textId="77777777" w:rsidR="00886D79" w:rsidRDefault="00886D79" w:rsidP="00886D79">
      <w:pPr>
        <w:tabs>
          <w:tab w:val="right" w:pos="9356"/>
        </w:tabs>
        <w:spacing w:after="0" w:line="240" w:lineRule="auto"/>
        <w:rPr>
          <w:rFonts w:ascii="Times New Roman" w:hAnsi="Times New Roman" w:cs="Times New Roman"/>
          <w:bCs/>
          <w:sz w:val="28"/>
          <w:szCs w:val="28"/>
        </w:rPr>
      </w:pPr>
    </w:p>
    <w:p w14:paraId="77A18525" w14:textId="77777777" w:rsidR="00A17EEC" w:rsidRDefault="00A17EEC" w:rsidP="00FA153F">
      <w:pPr>
        <w:spacing w:after="0" w:line="240" w:lineRule="auto"/>
        <w:rPr>
          <w:rFonts w:ascii="Times New Roman" w:hAnsi="Times New Roman" w:cs="Times New Roman"/>
          <w:sz w:val="24"/>
          <w:szCs w:val="28"/>
        </w:rPr>
      </w:pPr>
    </w:p>
    <w:p w14:paraId="28AA86C7" w14:textId="0E87B1E2" w:rsidR="00886D79" w:rsidRPr="00FA153F" w:rsidRDefault="00886D79" w:rsidP="00FA153F">
      <w:pPr>
        <w:spacing w:after="0" w:line="240" w:lineRule="auto"/>
        <w:rPr>
          <w:rFonts w:ascii="Times New Roman" w:hAnsi="Times New Roman" w:cs="Times New Roman"/>
          <w:sz w:val="24"/>
          <w:szCs w:val="28"/>
        </w:rPr>
      </w:pPr>
    </w:p>
    <w:sectPr w:rsidR="00886D79" w:rsidRPr="00FA153F"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06A6" w14:textId="77777777" w:rsidR="00724FFA" w:rsidRDefault="00724FFA" w:rsidP="0007278B">
      <w:pPr>
        <w:spacing w:after="0" w:line="240" w:lineRule="auto"/>
      </w:pPr>
      <w:r>
        <w:separator/>
      </w:r>
    </w:p>
  </w:endnote>
  <w:endnote w:type="continuationSeparator" w:id="0">
    <w:p w14:paraId="325F830C" w14:textId="77777777" w:rsidR="00724FFA" w:rsidRDefault="00724FFA" w:rsidP="0007278B">
      <w:pPr>
        <w:spacing w:after="0" w:line="240" w:lineRule="auto"/>
      </w:pPr>
      <w:r>
        <w:continuationSeparator/>
      </w:r>
    </w:p>
  </w:endnote>
  <w:endnote w:type="continuationNotice" w:id="1">
    <w:p w14:paraId="68A8CBBE" w14:textId="77777777" w:rsidR="00724FFA" w:rsidRDefault="00724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7A455EB4" w:rsidR="009D7D59" w:rsidRPr="00F046BC" w:rsidRDefault="009D7D59" w:rsidP="00F046BC">
    <w:pPr>
      <w:pStyle w:val="Footer"/>
    </w:pPr>
    <w:r>
      <w:rPr>
        <w:rFonts w:ascii="Times New Roman" w:eastAsia="Times New Roman" w:hAnsi="Times New Roman" w:cs="Times New Roman"/>
        <w:sz w:val="20"/>
        <w:szCs w:val="20"/>
        <w:lang w:eastAsia="lv-LV"/>
      </w:rPr>
      <w:t>VManot_</w:t>
    </w:r>
    <w:r w:rsidR="00F12A6E">
      <w:rPr>
        <w:rFonts w:ascii="Times New Roman" w:eastAsia="Times New Roman" w:hAnsi="Times New Roman" w:cs="Times New Roman"/>
        <w:sz w:val="20"/>
        <w:szCs w:val="20"/>
        <w:lang w:eastAsia="lv-LV"/>
      </w:rPr>
      <w:t>1</w:t>
    </w:r>
    <w:r w:rsidR="008614AF">
      <w:rPr>
        <w:rFonts w:ascii="Times New Roman" w:eastAsia="Times New Roman" w:hAnsi="Times New Roman" w:cs="Times New Roman"/>
        <w:sz w:val="20"/>
        <w:szCs w:val="20"/>
        <w:lang w:eastAsia="lv-LV"/>
      </w:rPr>
      <w:t>4</w:t>
    </w:r>
    <w:r w:rsidR="00F30AEB">
      <w:rPr>
        <w:rFonts w:ascii="Times New Roman" w:eastAsia="Times New Roman" w:hAnsi="Times New Roman" w:cs="Times New Roman"/>
        <w:sz w:val="20"/>
        <w:szCs w:val="20"/>
        <w:lang w:eastAsia="lv-LV"/>
      </w:rPr>
      <w:t>07</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4FD6AF97" w:rsidR="009D7D59" w:rsidRPr="007E4536" w:rsidRDefault="007E4536" w:rsidP="007E4536">
    <w:pPr>
      <w:pStyle w:val="Footer"/>
    </w:pPr>
    <w:r>
      <w:rPr>
        <w:rFonts w:ascii="Times New Roman" w:eastAsia="Times New Roman" w:hAnsi="Times New Roman" w:cs="Times New Roman"/>
        <w:sz w:val="20"/>
        <w:szCs w:val="20"/>
        <w:lang w:eastAsia="lv-LV"/>
      </w:rPr>
      <w:t>VManot_</w:t>
    </w:r>
    <w:r w:rsidR="00F12A6E">
      <w:rPr>
        <w:rFonts w:ascii="Times New Roman" w:eastAsia="Times New Roman" w:hAnsi="Times New Roman" w:cs="Times New Roman"/>
        <w:sz w:val="20"/>
        <w:szCs w:val="20"/>
        <w:lang w:eastAsia="lv-LV"/>
      </w:rPr>
      <w:t>1</w:t>
    </w:r>
    <w:r w:rsidR="008614AF">
      <w:rPr>
        <w:rFonts w:ascii="Times New Roman" w:eastAsia="Times New Roman" w:hAnsi="Times New Roman" w:cs="Times New Roman"/>
        <w:sz w:val="20"/>
        <w:szCs w:val="20"/>
        <w:lang w:eastAsia="lv-LV"/>
      </w:rPr>
      <w:t>4</w:t>
    </w:r>
    <w:r w:rsidR="00F30AEB">
      <w:rPr>
        <w:rFonts w:ascii="Times New Roman" w:eastAsia="Times New Roman" w:hAnsi="Times New Roman" w:cs="Times New Roman"/>
        <w:sz w:val="20"/>
        <w:szCs w:val="20"/>
        <w:lang w:eastAsia="lv-LV"/>
      </w:rPr>
      <w:t>07</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EA9ED" w14:textId="77777777" w:rsidR="00724FFA" w:rsidRDefault="00724FFA" w:rsidP="0007278B">
      <w:pPr>
        <w:spacing w:after="0" w:line="240" w:lineRule="auto"/>
      </w:pPr>
      <w:r>
        <w:separator/>
      </w:r>
    </w:p>
  </w:footnote>
  <w:footnote w:type="continuationSeparator" w:id="0">
    <w:p w14:paraId="1358FF8E" w14:textId="77777777" w:rsidR="00724FFA" w:rsidRDefault="00724FFA" w:rsidP="0007278B">
      <w:pPr>
        <w:spacing w:after="0" w:line="240" w:lineRule="auto"/>
      </w:pPr>
      <w:r>
        <w:continuationSeparator/>
      </w:r>
    </w:p>
  </w:footnote>
  <w:footnote w:type="continuationNotice" w:id="1">
    <w:p w14:paraId="2B9B11A5" w14:textId="77777777" w:rsidR="00724FFA" w:rsidRDefault="00724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72962"/>
    <w:multiLevelType w:val="multilevel"/>
    <w:tmpl w:val="81B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B6B3D"/>
    <w:multiLevelType w:val="hybridMultilevel"/>
    <w:tmpl w:val="2482D7DE"/>
    <w:lvl w:ilvl="0" w:tplc="1D64044C">
      <w:start w:val="1"/>
      <w:numFmt w:val="decimal"/>
      <w:lvlText w:val="%1."/>
      <w:lvlJc w:val="left"/>
      <w:pPr>
        <w:ind w:left="720" w:hanging="360"/>
      </w:pPr>
      <w:rPr>
        <w:rFonts w:eastAsiaTheme="minorHAns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DDB09FE"/>
    <w:multiLevelType w:val="hybridMultilevel"/>
    <w:tmpl w:val="1CBEEFA2"/>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9"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4"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5AB2A2E"/>
    <w:multiLevelType w:val="hybridMultilevel"/>
    <w:tmpl w:val="96D4BAEE"/>
    <w:lvl w:ilvl="0" w:tplc="F4DC50C8">
      <w:start w:val="1"/>
      <w:numFmt w:val="bullet"/>
      <w:lvlText w:val="-"/>
      <w:lvlJc w:val="left"/>
      <w:pPr>
        <w:ind w:left="1287" w:hanging="360"/>
      </w:pPr>
      <w:rPr>
        <w:rFonts w:ascii="Times New Roman" w:eastAsia="Calibri"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6"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A069DA"/>
    <w:multiLevelType w:val="hybridMultilevel"/>
    <w:tmpl w:val="5C98C384"/>
    <w:lvl w:ilvl="0" w:tplc="C80CFC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9"/>
  </w:num>
  <w:num w:numId="3">
    <w:abstractNumId w:val="4"/>
  </w:num>
  <w:num w:numId="4">
    <w:abstractNumId w:val="16"/>
  </w:num>
  <w:num w:numId="5">
    <w:abstractNumId w:val="17"/>
  </w:num>
  <w:num w:numId="6">
    <w:abstractNumId w:val="12"/>
  </w:num>
  <w:num w:numId="7">
    <w:abstractNumId w:val="7"/>
  </w:num>
  <w:num w:numId="8">
    <w:abstractNumId w:val="10"/>
  </w:num>
  <w:num w:numId="9">
    <w:abstractNumId w:val="6"/>
  </w:num>
  <w:num w:numId="10">
    <w:abstractNumId w:val="11"/>
  </w:num>
  <w:num w:numId="11">
    <w:abstractNumId w:val="3"/>
  </w:num>
  <w:num w:numId="12">
    <w:abstractNumId w:val="14"/>
  </w:num>
  <w:num w:numId="13">
    <w:abstractNumId w:val="1"/>
  </w:num>
  <w:num w:numId="14">
    <w:abstractNumId w:val="0"/>
  </w:num>
  <w:num w:numId="15">
    <w:abstractNumId w:val="8"/>
  </w:num>
  <w:num w:numId="16">
    <w:abstractNumId w:val="18"/>
  </w:num>
  <w:num w:numId="17">
    <w:abstractNumId w:val="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000E7"/>
    <w:rsid w:val="00003140"/>
    <w:rsid w:val="00012409"/>
    <w:rsid w:val="00012C86"/>
    <w:rsid w:val="00015E8A"/>
    <w:rsid w:val="00016372"/>
    <w:rsid w:val="00023AD6"/>
    <w:rsid w:val="0002457B"/>
    <w:rsid w:val="000254EB"/>
    <w:rsid w:val="00031D93"/>
    <w:rsid w:val="00032EF2"/>
    <w:rsid w:val="00041FB2"/>
    <w:rsid w:val="00057EB1"/>
    <w:rsid w:val="00066E5F"/>
    <w:rsid w:val="0007278B"/>
    <w:rsid w:val="00074908"/>
    <w:rsid w:val="00075D37"/>
    <w:rsid w:val="00085A5A"/>
    <w:rsid w:val="00087335"/>
    <w:rsid w:val="00087A23"/>
    <w:rsid w:val="00092597"/>
    <w:rsid w:val="00095861"/>
    <w:rsid w:val="000976F2"/>
    <w:rsid w:val="000A1151"/>
    <w:rsid w:val="000A4D59"/>
    <w:rsid w:val="000A6CB2"/>
    <w:rsid w:val="000B47C4"/>
    <w:rsid w:val="000C490C"/>
    <w:rsid w:val="000C6AFA"/>
    <w:rsid w:val="000C7D0F"/>
    <w:rsid w:val="000C7E59"/>
    <w:rsid w:val="000D08CA"/>
    <w:rsid w:val="000D2248"/>
    <w:rsid w:val="000D5547"/>
    <w:rsid w:val="000E0284"/>
    <w:rsid w:val="000E2322"/>
    <w:rsid w:val="000E3F6E"/>
    <w:rsid w:val="000F6AE3"/>
    <w:rsid w:val="00105AAC"/>
    <w:rsid w:val="00111363"/>
    <w:rsid w:val="00114943"/>
    <w:rsid w:val="00116C28"/>
    <w:rsid w:val="00122038"/>
    <w:rsid w:val="0013301B"/>
    <w:rsid w:val="001336B4"/>
    <w:rsid w:val="00137903"/>
    <w:rsid w:val="00140A51"/>
    <w:rsid w:val="00141D8E"/>
    <w:rsid w:val="00144998"/>
    <w:rsid w:val="00154080"/>
    <w:rsid w:val="00156BB8"/>
    <w:rsid w:val="001571CA"/>
    <w:rsid w:val="00157BFC"/>
    <w:rsid w:val="00160626"/>
    <w:rsid w:val="00162412"/>
    <w:rsid w:val="00176445"/>
    <w:rsid w:val="0018564F"/>
    <w:rsid w:val="00196505"/>
    <w:rsid w:val="001A05AA"/>
    <w:rsid w:val="001A4CC0"/>
    <w:rsid w:val="001A5304"/>
    <w:rsid w:val="001B05E3"/>
    <w:rsid w:val="001B66B2"/>
    <w:rsid w:val="001C088F"/>
    <w:rsid w:val="001C1B61"/>
    <w:rsid w:val="001C6B51"/>
    <w:rsid w:val="001D713B"/>
    <w:rsid w:val="001D7589"/>
    <w:rsid w:val="001D75D0"/>
    <w:rsid w:val="001E1D31"/>
    <w:rsid w:val="001E7831"/>
    <w:rsid w:val="001F3A4A"/>
    <w:rsid w:val="001F425F"/>
    <w:rsid w:val="001F7E87"/>
    <w:rsid w:val="00201BA6"/>
    <w:rsid w:val="002033F4"/>
    <w:rsid w:val="0023721B"/>
    <w:rsid w:val="00242A4C"/>
    <w:rsid w:val="002519EE"/>
    <w:rsid w:val="00252768"/>
    <w:rsid w:val="002562FA"/>
    <w:rsid w:val="00263B22"/>
    <w:rsid w:val="00267D85"/>
    <w:rsid w:val="00272F7D"/>
    <w:rsid w:val="00276A81"/>
    <w:rsid w:val="00280A6B"/>
    <w:rsid w:val="0029585A"/>
    <w:rsid w:val="002961D8"/>
    <w:rsid w:val="00297A0B"/>
    <w:rsid w:val="002A5E19"/>
    <w:rsid w:val="002A6C7F"/>
    <w:rsid w:val="002B14B8"/>
    <w:rsid w:val="002C3B6A"/>
    <w:rsid w:val="002C3CF3"/>
    <w:rsid w:val="002C5AC6"/>
    <w:rsid w:val="002C7628"/>
    <w:rsid w:val="002D5487"/>
    <w:rsid w:val="002E027E"/>
    <w:rsid w:val="002E02AA"/>
    <w:rsid w:val="002E0487"/>
    <w:rsid w:val="002E1AE9"/>
    <w:rsid w:val="002F15FE"/>
    <w:rsid w:val="002F181A"/>
    <w:rsid w:val="002F4B93"/>
    <w:rsid w:val="00302150"/>
    <w:rsid w:val="003117FB"/>
    <w:rsid w:val="00313A9C"/>
    <w:rsid w:val="00316074"/>
    <w:rsid w:val="00317FDB"/>
    <w:rsid w:val="0033349E"/>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87CFE"/>
    <w:rsid w:val="0039061D"/>
    <w:rsid w:val="00390B4E"/>
    <w:rsid w:val="003A0E17"/>
    <w:rsid w:val="003A29E2"/>
    <w:rsid w:val="003A376A"/>
    <w:rsid w:val="003A3C5A"/>
    <w:rsid w:val="003A42C4"/>
    <w:rsid w:val="003A5C4E"/>
    <w:rsid w:val="003B25DF"/>
    <w:rsid w:val="003B4887"/>
    <w:rsid w:val="003C1921"/>
    <w:rsid w:val="003C3A51"/>
    <w:rsid w:val="003D1230"/>
    <w:rsid w:val="003D15E2"/>
    <w:rsid w:val="003E4BEA"/>
    <w:rsid w:val="004059A2"/>
    <w:rsid w:val="0041142C"/>
    <w:rsid w:val="00412439"/>
    <w:rsid w:val="004231CC"/>
    <w:rsid w:val="00425035"/>
    <w:rsid w:val="00425B3A"/>
    <w:rsid w:val="00426EE3"/>
    <w:rsid w:val="0043240B"/>
    <w:rsid w:val="00447582"/>
    <w:rsid w:val="00454E76"/>
    <w:rsid w:val="00456B73"/>
    <w:rsid w:val="00457B37"/>
    <w:rsid w:val="00470FB8"/>
    <w:rsid w:val="00473581"/>
    <w:rsid w:val="00480999"/>
    <w:rsid w:val="00483A03"/>
    <w:rsid w:val="00487206"/>
    <w:rsid w:val="0049311E"/>
    <w:rsid w:val="00496AEF"/>
    <w:rsid w:val="00497DBB"/>
    <w:rsid w:val="004A2382"/>
    <w:rsid w:val="004A3552"/>
    <w:rsid w:val="004A5598"/>
    <w:rsid w:val="004B402F"/>
    <w:rsid w:val="004C7B99"/>
    <w:rsid w:val="004D5AE2"/>
    <w:rsid w:val="004E084F"/>
    <w:rsid w:val="004E2D9C"/>
    <w:rsid w:val="004F4AAB"/>
    <w:rsid w:val="004F738C"/>
    <w:rsid w:val="004F7F24"/>
    <w:rsid w:val="00502DFD"/>
    <w:rsid w:val="00504320"/>
    <w:rsid w:val="005152B1"/>
    <w:rsid w:val="00525C3B"/>
    <w:rsid w:val="0053215F"/>
    <w:rsid w:val="00534268"/>
    <w:rsid w:val="00535888"/>
    <w:rsid w:val="005434ED"/>
    <w:rsid w:val="0055413D"/>
    <w:rsid w:val="00555929"/>
    <w:rsid w:val="00573277"/>
    <w:rsid w:val="005735D4"/>
    <w:rsid w:val="005758FB"/>
    <w:rsid w:val="005764B7"/>
    <w:rsid w:val="00590FAA"/>
    <w:rsid w:val="0059150F"/>
    <w:rsid w:val="00593BC7"/>
    <w:rsid w:val="0059599E"/>
    <w:rsid w:val="005A1388"/>
    <w:rsid w:val="005A1ABA"/>
    <w:rsid w:val="005A3731"/>
    <w:rsid w:val="005B3B62"/>
    <w:rsid w:val="005C3B9D"/>
    <w:rsid w:val="005C5DC6"/>
    <w:rsid w:val="005C6C6C"/>
    <w:rsid w:val="005E1930"/>
    <w:rsid w:val="005E7398"/>
    <w:rsid w:val="005E7C04"/>
    <w:rsid w:val="005F3C49"/>
    <w:rsid w:val="0060363C"/>
    <w:rsid w:val="00603BD7"/>
    <w:rsid w:val="00604451"/>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B2944"/>
    <w:rsid w:val="006B32D8"/>
    <w:rsid w:val="006B681F"/>
    <w:rsid w:val="006B7255"/>
    <w:rsid w:val="006C2EC0"/>
    <w:rsid w:val="006C5703"/>
    <w:rsid w:val="006D1AD8"/>
    <w:rsid w:val="006D22E5"/>
    <w:rsid w:val="006D2D1F"/>
    <w:rsid w:val="006D6DB7"/>
    <w:rsid w:val="0071090F"/>
    <w:rsid w:val="007223FE"/>
    <w:rsid w:val="00724197"/>
    <w:rsid w:val="00724FFA"/>
    <w:rsid w:val="00727E9F"/>
    <w:rsid w:val="00731409"/>
    <w:rsid w:val="0074015C"/>
    <w:rsid w:val="00742B05"/>
    <w:rsid w:val="00742C84"/>
    <w:rsid w:val="00746CE6"/>
    <w:rsid w:val="0075152B"/>
    <w:rsid w:val="007518AA"/>
    <w:rsid w:val="0079688F"/>
    <w:rsid w:val="007A71FC"/>
    <w:rsid w:val="007B0528"/>
    <w:rsid w:val="007C3F73"/>
    <w:rsid w:val="007C74EF"/>
    <w:rsid w:val="007D7575"/>
    <w:rsid w:val="007E2963"/>
    <w:rsid w:val="007E4536"/>
    <w:rsid w:val="007E7B78"/>
    <w:rsid w:val="007E7EF7"/>
    <w:rsid w:val="007F74AF"/>
    <w:rsid w:val="00802A02"/>
    <w:rsid w:val="00805BE3"/>
    <w:rsid w:val="00812A8C"/>
    <w:rsid w:val="008314E5"/>
    <w:rsid w:val="008341E0"/>
    <w:rsid w:val="008614AF"/>
    <w:rsid w:val="00863944"/>
    <w:rsid w:val="008670E6"/>
    <w:rsid w:val="008723FA"/>
    <w:rsid w:val="00882A36"/>
    <w:rsid w:val="00882DBA"/>
    <w:rsid w:val="00886392"/>
    <w:rsid w:val="00886D79"/>
    <w:rsid w:val="008A2D6D"/>
    <w:rsid w:val="008A49BF"/>
    <w:rsid w:val="008B1BB5"/>
    <w:rsid w:val="008B3101"/>
    <w:rsid w:val="008B3BDF"/>
    <w:rsid w:val="008B7C1C"/>
    <w:rsid w:val="008C062B"/>
    <w:rsid w:val="008C242E"/>
    <w:rsid w:val="008C46AB"/>
    <w:rsid w:val="008C5F53"/>
    <w:rsid w:val="008C7FF7"/>
    <w:rsid w:val="008D1568"/>
    <w:rsid w:val="008E15C0"/>
    <w:rsid w:val="008E4C7D"/>
    <w:rsid w:val="009031F5"/>
    <w:rsid w:val="00903727"/>
    <w:rsid w:val="00911954"/>
    <w:rsid w:val="00914064"/>
    <w:rsid w:val="00922F28"/>
    <w:rsid w:val="00923553"/>
    <w:rsid w:val="0093129C"/>
    <w:rsid w:val="00946B3B"/>
    <w:rsid w:val="00950838"/>
    <w:rsid w:val="00955A5B"/>
    <w:rsid w:val="009763A8"/>
    <w:rsid w:val="009771E5"/>
    <w:rsid w:val="00977FBF"/>
    <w:rsid w:val="0098010D"/>
    <w:rsid w:val="0099298E"/>
    <w:rsid w:val="0099398F"/>
    <w:rsid w:val="00995645"/>
    <w:rsid w:val="00995846"/>
    <w:rsid w:val="009A3982"/>
    <w:rsid w:val="009A412D"/>
    <w:rsid w:val="009A5645"/>
    <w:rsid w:val="009A72BC"/>
    <w:rsid w:val="009B370A"/>
    <w:rsid w:val="009B3BE8"/>
    <w:rsid w:val="009B3CEC"/>
    <w:rsid w:val="009B775D"/>
    <w:rsid w:val="009D3273"/>
    <w:rsid w:val="009D4395"/>
    <w:rsid w:val="009D7D59"/>
    <w:rsid w:val="009E1D54"/>
    <w:rsid w:val="009E43D6"/>
    <w:rsid w:val="009E5C6B"/>
    <w:rsid w:val="009E60C7"/>
    <w:rsid w:val="009E7D7F"/>
    <w:rsid w:val="009F13B8"/>
    <w:rsid w:val="009F50B6"/>
    <w:rsid w:val="00A03EFD"/>
    <w:rsid w:val="00A1243C"/>
    <w:rsid w:val="00A1381F"/>
    <w:rsid w:val="00A15AA7"/>
    <w:rsid w:val="00A16FD6"/>
    <w:rsid w:val="00A17EEC"/>
    <w:rsid w:val="00A235BA"/>
    <w:rsid w:val="00A30813"/>
    <w:rsid w:val="00A36D97"/>
    <w:rsid w:val="00A40AFD"/>
    <w:rsid w:val="00A504C8"/>
    <w:rsid w:val="00A51A3F"/>
    <w:rsid w:val="00A52342"/>
    <w:rsid w:val="00A533DC"/>
    <w:rsid w:val="00A57DA2"/>
    <w:rsid w:val="00A63523"/>
    <w:rsid w:val="00A751EC"/>
    <w:rsid w:val="00A764CA"/>
    <w:rsid w:val="00A7687B"/>
    <w:rsid w:val="00AA0090"/>
    <w:rsid w:val="00AA6D8E"/>
    <w:rsid w:val="00AB0F8D"/>
    <w:rsid w:val="00AC31B5"/>
    <w:rsid w:val="00AC3E32"/>
    <w:rsid w:val="00AD1C41"/>
    <w:rsid w:val="00AD7072"/>
    <w:rsid w:val="00AE31DA"/>
    <w:rsid w:val="00AE4EFC"/>
    <w:rsid w:val="00AE5FBE"/>
    <w:rsid w:val="00AF30FC"/>
    <w:rsid w:val="00B06392"/>
    <w:rsid w:val="00B07CE3"/>
    <w:rsid w:val="00B12CC7"/>
    <w:rsid w:val="00B13D9E"/>
    <w:rsid w:val="00B20E84"/>
    <w:rsid w:val="00B23552"/>
    <w:rsid w:val="00B236F0"/>
    <w:rsid w:val="00B24624"/>
    <w:rsid w:val="00B26BE2"/>
    <w:rsid w:val="00B309E7"/>
    <w:rsid w:val="00B32161"/>
    <w:rsid w:val="00B33F20"/>
    <w:rsid w:val="00B3576F"/>
    <w:rsid w:val="00B35F66"/>
    <w:rsid w:val="00B37EFB"/>
    <w:rsid w:val="00B53339"/>
    <w:rsid w:val="00B53A07"/>
    <w:rsid w:val="00B54E70"/>
    <w:rsid w:val="00B608AE"/>
    <w:rsid w:val="00B7759C"/>
    <w:rsid w:val="00B80753"/>
    <w:rsid w:val="00B81EE0"/>
    <w:rsid w:val="00B83FDD"/>
    <w:rsid w:val="00B86F86"/>
    <w:rsid w:val="00B90A06"/>
    <w:rsid w:val="00BB103E"/>
    <w:rsid w:val="00BB2713"/>
    <w:rsid w:val="00BB45E2"/>
    <w:rsid w:val="00BC4A6D"/>
    <w:rsid w:val="00BC7E1B"/>
    <w:rsid w:val="00BD50E2"/>
    <w:rsid w:val="00BE5426"/>
    <w:rsid w:val="00BF0DE0"/>
    <w:rsid w:val="00BF6AD1"/>
    <w:rsid w:val="00BF71E8"/>
    <w:rsid w:val="00C02689"/>
    <w:rsid w:val="00C04FF8"/>
    <w:rsid w:val="00C061EA"/>
    <w:rsid w:val="00C135AA"/>
    <w:rsid w:val="00C2181D"/>
    <w:rsid w:val="00C25E4F"/>
    <w:rsid w:val="00C33657"/>
    <w:rsid w:val="00C34539"/>
    <w:rsid w:val="00C40082"/>
    <w:rsid w:val="00C401DF"/>
    <w:rsid w:val="00C40695"/>
    <w:rsid w:val="00C44496"/>
    <w:rsid w:val="00C47F2A"/>
    <w:rsid w:val="00C61CB2"/>
    <w:rsid w:val="00C6533B"/>
    <w:rsid w:val="00C704F2"/>
    <w:rsid w:val="00C71CC7"/>
    <w:rsid w:val="00C74659"/>
    <w:rsid w:val="00C800E2"/>
    <w:rsid w:val="00C80A89"/>
    <w:rsid w:val="00C901A8"/>
    <w:rsid w:val="00C94620"/>
    <w:rsid w:val="00CA5686"/>
    <w:rsid w:val="00CA6A47"/>
    <w:rsid w:val="00CB1936"/>
    <w:rsid w:val="00CB60A4"/>
    <w:rsid w:val="00CC0385"/>
    <w:rsid w:val="00CC0EA9"/>
    <w:rsid w:val="00CD26BC"/>
    <w:rsid w:val="00CE166E"/>
    <w:rsid w:val="00CE4139"/>
    <w:rsid w:val="00CF3D8A"/>
    <w:rsid w:val="00CF4976"/>
    <w:rsid w:val="00D0462F"/>
    <w:rsid w:val="00D20561"/>
    <w:rsid w:val="00D26DA9"/>
    <w:rsid w:val="00D32189"/>
    <w:rsid w:val="00D322A9"/>
    <w:rsid w:val="00D43B94"/>
    <w:rsid w:val="00D62EC3"/>
    <w:rsid w:val="00D70DC5"/>
    <w:rsid w:val="00D72509"/>
    <w:rsid w:val="00D729DF"/>
    <w:rsid w:val="00D74883"/>
    <w:rsid w:val="00D77367"/>
    <w:rsid w:val="00D827CA"/>
    <w:rsid w:val="00D856F7"/>
    <w:rsid w:val="00D94EEE"/>
    <w:rsid w:val="00D974CA"/>
    <w:rsid w:val="00DA2666"/>
    <w:rsid w:val="00DB015B"/>
    <w:rsid w:val="00DB63FD"/>
    <w:rsid w:val="00DD20E5"/>
    <w:rsid w:val="00DD556F"/>
    <w:rsid w:val="00DD6D9E"/>
    <w:rsid w:val="00DD7352"/>
    <w:rsid w:val="00DE1419"/>
    <w:rsid w:val="00DF75A0"/>
    <w:rsid w:val="00DF760B"/>
    <w:rsid w:val="00E021CF"/>
    <w:rsid w:val="00E06788"/>
    <w:rsid w:val="00E132DA"/>
    <w:rsid w:val="00E1494D"/>
    <w:rsid w:val="00E20F53"/>
    <w:rsid w:val="00E2222F"/>
    <w:rsid w:val="00E31492"/>
    <w:rsid w:val="00E32152"/>
    <w:rsid w:val="00E37B29"/>
    <w:rsid w:val="00E402A6"/>
    <w:rsid w:val="00E4195C"/>
    <w:rsid w:val="00E41AB7"/>
    <w:rsid w:val="00E422C4"/>
    <w:rsid w:val="00E431FF"/>
    <w:rsid w:val="00E5298D"/>
    <w:rsid w:val="00E578A8"/>
    <w:rsid w:val="00E57C60"/>
    <w:rsid w:val="00E61EAE"/>
    <w:rsid w:val="00E6284D"/>
    <w:rsid w:val="00E67090"/>
    <w:rsid w:val="00E70E37"/>
    <w:rsid w:val="00E7205F"/>
    <w:rsid w:val="00E72A4E"/>
    <w:rsid w:val="00E804E9"/>
    <w:rsid w:val="00E909EF"/>
    <w:rsid w:val="00E93BD2"/>
    <w:rsid w:val="00E94387"/>
    <w:rsid w:val="00E95395"/>
    <w:rsid w:val="00EA00E8"/>
    <w:rsid w:val="00EA7AA2"/>
    <w:rsid w:val="00EB18C7"/>
    <w:rsid w:val="00EC33C6"/>
    <w:rsid w:val="00EC4FFC"/>
    <w:rsid w:val="00EC7B41"/>
    <w:rsid w:val="00ED74EF"/>
    <w:rsid w:val="00EE3EFE"/>
    <w:rsid w:val="00EF5D0E"/>
    <w:rsid w:val="00EF6116"/>
    <w:rsid w:val="00EF77FE"/>
    <w:rsid w:val="00F046BC"/>
    <w:rsid w:val="00F0629B"/>
    <w:rsid w:val="00F12A6E"/>
    <w:rsid w:val="00F12CA2"/>
    <w:rsid w:val="00F13454"/>
    <w:rsid w:val="00F15DCD"/>
    <w:rsid w:val="00F200EA"/>
    <w:rsid w:val="00F23674"/>
    <w:rsid w:val="00F26541"/>
    <w:rsid w:val="00F30098"/>
    <w:rsid w:val="00F30AEB"/>
    <w:rsid w:val="00F35B81"/>
    <w:rsid w:val="00F45121"/>
    <w:rsid w:val="00F64DDA"/>
    <w:rsid w:val="00F65FB1"/>
    <w:rsid w:val="00F67E68"/>
    <w:rsid w:val="00F71269"/>
    <w:rsid w:val="00F74BAD"/>
    <w:rsid w:val="00F803D1"/>
    <w:rsid w:val="00F8151E"/>
    <w:rsid w:val="00FA153F"/>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5732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470FB8"/>
    <w:rPr>
      <w:rFonts w:ascii="Calibri" w:eastAsia="Calibri" w:hAnsi="Calibri" w:cs="Times New Roman"/>
    </w:rPr>
  </w:style>
  <w:style w:type="paragraph" w:customStyle="1" w:styleId="tv213">
    <w:name w:val="tv213"/>
    <w:basedOn w:val="Normal"/>
    <w:rsid w:val="00470FB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280457134">
      <w:bodyDiv w:val="1"/>
      <w:marLeft w:val="0"/>
      <w:marRight w:val="0"/>
      <w:marTop w:val="0"/>
      <w:marBottom w:val="0"/>
      <w:divBdr>
        <w:top w:val="none" w:sz="0" w:space="0" w:color="auto"/>
        <w:left w:val="none" w:sz="0" w:space="0" w:color="auto"/>
        <w:bottom w:val="none" w:sz="0" w:space="0" w:color="auto"/>
        <w:right w:val="none" w:sz="0" w:space="0" w:color="auto"/>
      </w:divBdr>
    </w:div>
    <w:div w:id="33057018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08593124">
      <w:bodyDiv w:val="1"/>
      <w:marLeft w:val="0"/>
      <w:marRight w:val="0"/>
      <w:marTop w:val="0"/>
      <w:marBottom w:val="0"/>
      <w:divBdr>
        <w:top w:val="none" w:sz="0" w:space="0" w:color="auto"/>
        <w:left w:val="none" w:sz="0" w:space="0" w:color="auto"/>
        <w:bottom w:val="none" w:sz="0" w:space="0" w:color="auto"/>
        <w:right w:val="none" w:sz="0" w:space="0" w:color="auto"/>
      </w:divBdr>
      <w:divsChild>
        <w:div w:id="822353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336014">
              <w:marLeft w:val="0"/>
              <w:marRight w:val="0"/>
              <w:marTop w:val="0"/>
              <w:marBottom w:val="0"/>
              <w:divBdr>
                <w:top w:val="none" w:sz="0" w:space="0" w:color="auto"/>
                <w:left w:val="none" w:sz="0" w:space="0" w:color="auto"/>
                <w:bottom w:val="none" w:sz="0" w:space="0" w:color="auto"/>
                <w:right w:val="none" w:sz="0" w:space="0" w:color="auto"/>
              </w:divBdr>
              <w:divsChild>
                <w:div w:id="9722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497">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68990421">
      <w:bodyDiv w:val="1"/>
      <w:marLeft w:val="0"/>
      <w:marRight w:val="0"/>
      <w:marTop w:val="0"/>
      <w:marBottom w:val="0"/>
      <w:divBdr>
        <w:top w:val="none" w:sz="0" w:space="0" w:color="auto"/>
        <w:left w:val="none" w:sz="0" w:space="0" w:color="auto"/>
        <w:bottom w:val="none" w:sz="0" w:space="0" w:color="auto"/>
        <w:right w:val="none" w:sz="0" w:space="0" w:color="auto"/>
      </w:divBdr>
    </w:div>
    <w:div w:id="114551354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58002592">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37789991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57099621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77734712">
      <w:bodyDiv w:val="1"/>
      <w:marLeft w:val="0"/>
      <w:marRight w:val="0"/>
      <w:marTop w:val="0"/>
      <w:marBottom w:val="0"/>
      <w:divBdr>
        <w:top w:val="none" w:sz="0" w:space="0" w:color="auto"/>
        <w:left w:val="none" w:sz="0" w:space="0" w:color="auto"/>
        <w:bottom w:val="none" w:sz="0" w:space="0" w:color="auto"/>
        <w:right w:val="none" w:sz="0" w:space="0" w:color="auto"/>
      </w:divBdr>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9215</Words>
  <Characters>5254</Characters>
  <Application>Microsoft Office Word</Application>
  <DocSecurity>0</DocSecurity>
  <Lines>43</Lines>
  <Paragraphs>28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Guna Jermacāne</cp:lastModifiedBy>
  <cp:revision>17</cp:revision>
  <cp:lastPrinted>2020-09-10T14:00:00Z</cp:lastPrinted>
  <dcterms:created xsi:type="dcterms:W3CDTF">2021-07-12T01:37:00Z</dcterms:created>
  <dcterms:modified xsi:type="dcterms:W3CDTF">2021-07-14T09:46:00Z</dcterms:modified>
</cp:coreProperties>
</file>