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C02" w:rsidRDefault="001D0C02" w:rsidP="002C4AB3">
      <w:pPr>
        <w:pStyle w:val="Parasts1"/>
        <w:jc w:val="center"/>
        <w:rPr>
          <w:b/>
          <w:sz w:val="28"/>
          <w:szCs w:val="28"/>
        </w:rPr>
      </w:pPr>
    </w:p>
    <w:p w:rsidR="002C4AB3" w:rsidRPr="001D0C02" w:rsidRDefault="002C4AB3" w:rsidP="00AB32A4">
      <w:pPr>
        <w:pStyle w:val="Parasts1"/>
        <w:jc w:val="center"/>
        <w:rPr>
          <w:b/>
          <w:sz w:val="28"/>
          <w:szCs w:val="28"/>
        </w:rPr>
      </w:pPr>
      <w:bookmarkStart w:id="0" w:name="_GoBack"/>
      <w:r w:rsidRPr="001D0C02">
        <w:rPr>
          <w:b/>
          <w:sz w:val="28"/>
          <w:szCs w:val="28"/>
        </w:rPr>
        <w:t>Izziņa par atzinum</w:t>
      </w:r>
      <w:r w:rsidR="006F3FF0" w:rsidRPr="001D0C02">
        <w:rPr>
          <w:b/>
          <w:sz w:val="28"/>
          <w:szCs w:val="28"/>
        </w:rPr>
        <w:t>os</w:t>
      </w:r>
      <w:r w:rsidR="00A57A75">
        <w:rPr>
          <w:b/>
          <w:sz w:val="28"/>
          <w:szCs w:val="28"/>
        </w:rPr>
        <w:t xml:space="preserve"> </w:t>
      </w:r>
      <w:r w:rsidRPr="001D0C02">
        <w:rPr>
          <w:b/>
          <w:sz w:val="28"/>
          <w:szCs w:val="28"/>
        </w:rPr>
        <w:t>sniegt</w:t>
      </w:r>
      <w:r w:rsidR="00AE5F9C" w:rsidRPr="001D0C02">
        <w:rPr>
          <w:b/>
          <w:sz w:val="28"/>
          <w:szCs w:val="28"/>
        </w:rPr>
        <w:t>ajiem</w:t>
      </w:r>
      <w:r w:rsidRPr="001D0C02">
        <w:rPr>
          <w:b/>
          <w:sz w:val="28"/>
          <w:szCs w:val="28"/>
        </w:rPr>
        <w:t xml:space="preserve"> iebildum</w:t>
      </w:r>
      <w:r w:rsidR="00AE5F9C" w:rsidRPr="001D0C02">
        <w:rPr>
          <w:b/>
          <w:sz w:val="28"/>
          <w:szCs w:val="28"/>
        </w:rPr>
        <w:t>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1D0C02" w:rsidTr="00054DEB">
        <w:trPr>
          <w:tblCellSpacing w:w="0" w:type="dxa"/>
          <w:jc w:val="center"/>
        </w:trPr>
        <w:tc>
          <w:tcPr>
            <w:tcW w:w="10185" w:type="dxa"/>
            <w:tcBorders>
              <w:top w:val="nil"/>
              <w:left w:val="nil"/>
              <w:bottom w:val="single" w:sz="8" w:space="0" w:color="000000"/>
              <w:right w:val="nil"/>
            </w:tcBorders>
          </w:tcPr>
          <w:p w:rsidR="002C4AB3" w:rsidRPr="001D0C02" w:rsidRDefault="00EE42EC" w:rsidP="00AB32A4">
            <w:pPr>
              <w:pStyle w:val="Parasts1"/>
              <w:jc w:val="center"/>
              <w:rPr>
                <w:b/>
                <w:sz w:val="28"/>
                <w:szCs w:val="28"/>
              </w:rPr>
            </w:pPr>
            <w:r>
              <w:rPr>
                <w:b/>
                <w:sz w:val="28"/>
                <w:szCs w:val="28"/>
              </w:rPr>
              <w:t xml:space="preserve">par </w:t>
            </w:r>
            <w:r w:rsidR="00831EFD" w:rsidRPr="001D0C02">
              <w:rPr>
                <w:b/>
                <w:sz w:val="28"/>
                <w:szCs w:val="28"/>
              </w:rPr>
              <w:t>Ministru kabineta noteikumu</w:t>
            </w:r>
            <w:r w:rsidR="006F3FF0" w:rsidRPr="001D0C02">
              <w:rPr>
                <w:b/>
                <w:sz w:val="28"/>
                <w:szCs w:val="28"/>
              </w:rPr>
              <w:t xml:space="preserve"> projekt</w:t>
            </w:r>
            <w:r>
              <w:rPr>
                <w:b/>
                <w:sz w:val="28"/>
                <w:szCs w:val="28"/>
              </w:rPr>
              <w:t>u</w:t>
            </w:r>
            <w:r w:rsidR="006F3FF0" w:rsidRPr="001D0C02">
              <w:rPr>
                <w:b/>
                <w:sz w:val="28"/>
                <w:szCs w:val="28"/>
              </w:rPr>
              <w:t xml:space="preserve"> </w:t>
            </w:r>
            <w:r w:rsidR="00A57A75" w:rsidRPr="00E145AD">
              <w:rPr>
                <w:b/>
                <w:sz w:val="28"/>
                <w:szCs w:val="28"/>
              </w:rPr>
              <w:t>„</w:t>
            </w:r>
            <w:r w:rsidR="00746FDB" w:rsidRPr="00F008F3">
              <w:rPr>
                <w:b/>
                <w:bCs/>
                <w:sz w:val="28"/>
                <w:szCs w:val="28"/>
              </w:rPr>
              <w:t xml:space="preserve"> Grozījumi Ministru kabineta 201</w:t>
            </w:r>
            <w:r w:rsidR="00746FDB">
              <w:rPr>
                <w:b/>
                <w:bCs/>
                <w:sz w:val="28"/>
                <w:szCs w:val="28"/>
              </w:rPr>
              <w:t>9</w:t>
            </w:r>
            <w:r w:rsidR="00746FDB" w:rsidRPr="00F008F3">
              <w:rPr>
                <w:b/>
                <w:bCs/>
                <w:sz w:val="28"/>
                <w:szCs w:val="28"/>
              </w:rPr>
              <w:t xml:space="preserve">. gada </w:t>
            </w:r>
            <w:r w:rsidR="00746FDB">
              <w:rPr>
                <w:b/>
                <w:bCs/>
                <w:sz w:val="28"/>
                <w:szCs w:val="28"/>
              </w:rPr>
              <w:t>8</w:t>
            </w:r>
            <w:r w:rsidR="00746FDB" w:rsidRPr="00F008F3">
              <w:rPr>
                <w:b/>
                <w:bCs/>
                <w:sz w:val="28"/>
                <w:szCs w:val="28"/>
              </w:rPr>
              <w:t>. </w:t>
            </w:r>
            <w:r w:rsidR="00746FDB">
              <w:rPr>
                <w:b/>
                <w:bCs/>
                <w:sz w:val="28"/>
                <w:szCs w:val="28"/>
              </w:rPr>
              <w:t>janvāra</w:t>
            </w:r>
            <w:r w:rsidR="00746FDB" w:rsidRPr="00F008F3">
              <w:rPr>
                <w:b/>
                <w:bCs/>
                <w:sz w:val="28"/>
                <w:szCs w:val="28"/>
              </w:rPr>
              <w:t xml:space="preserve"> noteikumos Nr. 9 </w:t>
            </w:r>
            <w:r w:rsidR="00746FDB">
              <w:rPr>
                <w:b/>
                <w:bCs/>
                <w:sz w:val="28"/>
                <w:szCs w:val="28"/>
              </w:rPr>
              <w:t>“</w:t>
            </w:r>
            <w:r w:rsidR="00746FDB" w:rsidRPr="00FA146A">
              <w:rPr>
                <w:b/>
                <w:bCs/>
                <w:color w:val="000000"/>
                <w:sz w:val="28"/>
                <w:szCs w:val="28"/>
              </w:rPr>
              <w:t>Lauksaimniecības, zivsaimniecības un lauku attīstības garantiju programmas noteikumi</w:t>
            </w:r>
            <w:r w:rsidR="00746FDB" w:rsidRPr="00F008F3">
              <w:rPr>
                <w:b/>
                <w:bCs/>
                <w:sz w:val="28"/>
                <w:szCs w:val="28"/>
              </w:rPr>
              <w:t>”</w:t>
            </w:r>
            <w:r w:rsidR="00A57A75" w:rsidRPr="00E145AD">
              <w:rPr>
                <w:b/>
                <w:sz w:val="28"/>
                <w:szCs w:val="28"/>
              </w:rPr>
              <w:t>”</w:t>
            </w:r>
          </w:p>
        </w:tc>
      </w:tr>
    </w:tbl>
    <w:bookmarkEnd w:id="0"/>
    <w:p w:rsidR="002C4AB3" w:rsidRPr="001D0C02" w:rsidRDefault="002C4AB3" w:rsidP="002C4AB3">
      <w:pPr>
        <w:pStyle w:val="Parasts1"/>
        <w:jc w:val="center"/>
        <w:rPr>
          <w:b/>
          <w:sz w:val="28"/>
          <w:szCs w:val="28"/>
        </w:rPr>
      </w:pPr>
      <w:r w:rsidRPr="001D0C02">
        <w:rPr>
          <w:b/>
          <w:sz w:val="28"/>
          <w:szCs w:val="28"/>
        </w:rPr>
        <w:t>(dokumenta veids un nosaukums)</w:t>
      </w:r>
    </w:p>
    <w:p w:rsidR="00E10B21" w:rsidRPr="00E11505" w:rsidRDefault="002C4AB3" w:rsidP="00E536CD">
      <w:pPr>
        <w:pStyle w:val="naislab"/>
        <w:jc w:val="both"/>
        <w:rPr>
          <w:b/>
          <w:sz w:val="28"/>
          <w:szCs w:val="28"/>
        </w:rPr>
      </w:pPr>
      <w:r w:rsidRPr="00E11505">
        <w:rPr>
          <w:b/>
          <w:sz w:val="28"/>
          <w:szCs w:val="28"/>
        </w:rPr>
        <w:t> </w:t>
      </w:r>
    </w:p>
    <w:p w:rsidR="002C4AB3" w:rsidRPr="00616213" w:rsidRDefault="002C4AB3" w:rsidP="00E536CD">
      <w:pPr>
        <w:pStyle w:val="naislab"/>
        <w:jc w:val="both"/>
        <w:rPr>
          <w:b/>
        </w:rPr>
      </w:pP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3014"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Projekta attiecīgā punkta (panta) galīgā redakcija</w:t>
            </w:r>
          </w:p>
        </w:tc>
      </w:tr>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6</w:t>
            </w:r>
          </w:p>
        </w:tc>
      </w:tr>
      <w:tr w:rsidR="002C4AB3"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r>
    </w:tbl>
    <w:p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rsidTr="0011035C">
        <w:trPr>
          <w:tblCellSpacing w:w="0" w:type="dxa"/>
        </w:trPr>
        <w:tc>
          <w:tcPr>
            <w:tcW w:w="2826" w:type="dxa"/>
          </w:tcPr>
          <w:p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rsidR="002C4AB3" w:rsidRDefault="003A5D31" w:rsidP="00746FDB">
            <w:pPr>
              <w:pStyle w:val="naislab"/>
              <w:jc w:val="both"/>
            </w:pPr>
            <w:r>
              <w:t>1</w:t>
            </w:r>
            <w:r w:rsidR="001C6945">
              <w:t>7</w:t>
            </w:r>
            <w:r w:rsidR="00F17FC9">
              <w:t>.</w:t>
            </w:r>
            <w:r>
              <w:t>05</w:t>
            </w:r>
            <w:r w:rsidR="00F17FC9">
              <w:t>.20</w:t>
            </w:r>
            <w:r w:rsidR="002A2ACE">
              <w:t>2</w:t>
            </w:r>
            <w:r w:rsidR="00215E33">
              <w:t>1</w:t>
            </w:r>
            <w:r w:rsidR="00F17FC9">
              <w:t>.</w:t>
            </w:r>
          </w:p>
        </w:tc>
      </w:tr>
      <w:tr w:rsidR="002C4AB3" w:rsidTr="0011035C">
        <w:trPr>
          <w:tblCellSpacing w:w="0" w:type="dxa"/>
        </w:trPr>
        <w:tc>
          <w:tcPr>
            <w:tcW w:w="2826" w:type="dxa"/>
            <w:vAlign w:val="center"/>
          </w:tcPr>
          <w:p w:rsidR="002C4AB3" w:rsidRDefault="002C4AB3" w:rsidP="002C4AB3">
            <w:pPr>
              <w:pStyle w:val="Kjene"/>
              <w:jc w:val="both"/>
            </w:pPr>
            <w:r>
              <w:t>Saskaņošanas dalībnieki</w:t>
            </w:r>
          </w:p>
        </w:tc>
        <w:tc>
          <w:tcPr>
            <w:tcW w:w="9789" w:type="dxa"/>
            <w:vAlign w:val="center"/>
          </w:tcPr>
          <w:p w:rsidR="00AD0098" w:rsidRDefault="00215E33" w:rsidP="00FD3A2F">
            <w:pPr>
              <w:pStyle w:val="Parasts1"/>
              <w:rPr>
                <w:sz w:val="20"/>
                <w:szCs w:val="20"/>
              </w:rPr>
            </w:pPr>
            <w:r>
              <w:rPr>
                <w:sz w:val="20"/>
                <w:szCs w:val="20"/>
              </w:rPr>
              <w:t>L</w:t>
            </w:r>
            <w:r w:rsidR="00AD0098">
              <w:rPr>
                <w:sz w:val="20"/>
                <w:szCs w:val="20"/>
              </w:rPr>
              <w:t>.</w:t>
            </w:r>
            <w:r>
              <w:t xml:space="preserve"> </w:t>
            </w:r>
            <w:r w:rsidRPr="00215E33">
              <w:rPr>
                <w:sz w:val="20"/>
                <w:szCs w:val="20"/>
              </w:rPr>
              <w:t>Bernāne</w:t>
            </w:r>
            <w:r>
              <w:rPr>
                <w:sz w:val="20"/>
                <w:szCs w:val="20"/>
              </w:rPr>
              <w:t xml:space="preserve"> </w:t>
            </w:r>
            <w:r w:rsidR="00377BA3">
              <w:rPr>
                <w:sz w:val="20"/>
                <w:szCs w:val="20"/>
              </w:rPr>
              <w:t>Tieslietu ministrija</w:t>
            </w:r>
          </w:p>
          <w:p w:rsidR="005379C7" w:rsidRPr="00227859" w:rsidRDefault="00746FDB" w:rsidP="00215E33">
            <w:pPr>
              <w:ind w:firstLine="142"/>
              <w:contextualSpacing/>
            </w:pPr>
            <w:r>
              <w:t>G.Puķītis</w:t>
            </w:r>
            <w:r w:rsidR="00215E33">
              <w:t>, V.</w:t>
            </w:r>
            <w:r w:rsidR="00215E33" w:rsidRPr="00512580">
              <w:rPr>
                <w:bCs/>
              </w:rPr>
              <w:t>Šantars</w:t>
            </w:r>
            <w:r w:rsidR="00215E33">
              <w:rPr>
                <w:bCs/>
              </w:rPr>
              <w:t xml:space="preserve">, S. </w:t>
            </w:r>
            <w:r w:rsidR="00215E33" w:rsidRPr="00512580">
              <w:t>Zakovska</w:t>
            </w:r>
            <w:r w:rsidR="00AD0098">
              <w:t xml:space="preserve"> Finanšu ministrija</w:t>
            </w:r>
          </w:p>
        </w:tc>
      </w:tr>
      <w:tr w:rsidR="001F2B65" w:rsidTr="0011035C">
        <w:trPr>
          <w:tblCellSpacing w:w="0" w:type="dxa"/>
        </w:trPr>
        <w:tc>
          <w:tcPr>
            <w:tcW w:w="2826" w:type="dxa"/>
            <w:vAlign w:val="center"/>
          </w:tcPr>
          <w:p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rsidR="001F2B65" w:rsidRDefault="001F2B65" w:rsidP="002C4AB3">
            <w:pPr>
              <w:pStyle w:val="Kjene"/>
              <w:jc w:val="both"/>
            </w:pPr>
          </w:p>
        </w:tc>
      </w:tr>
      <w:tr w:rsidR="001F2B65" w:rsidTr="0066517E">
        <w:trPr>
          <w:tblCellSpacing w:w="0" w:type="dxa"/>
        </w:trPr>
        <w:tc>
          <w:tcPr>
            <w:tcW w:w="12615" w:type="dxa"/>
            <w:gridSpan w:val="2"/>
            <w:vAlign w:val="center"/>
          </w:tcPr>
          <w:p w:rsidR="001F2B65" w:rsidRPr="001F2B65" w:rsidRDefault="001F2B65" w:rsidP="001F2B65">
            <w:pPr>
              <w:pStyle w:val="Kjene"/>
              <w:ind w:firstLine="2835"/>
              <w:jc w:val="both"/>
              <w:rPr>
                <w:u w:val="single"/>
              </w:rPr>
            </w:pPr>
          </w:p>
        </w:tc>
      </w:tr>
    </w:tbl>
    <w:p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rsidTr="002068C5">
        <w:trPr>
          <w:trHeight w:val="241"/>
          <w:tblCellSpacing w:w="0" w:type="dxa"/>
        </w:trPr>
        <w:tc>
          <w:tcPr>
            <w:tcW w:w="7527" w:type="dxa"/>
          </w:tcPr>
          <w:p w:rsidR="002C4AB3" w:rsidRDefault="002C4AB3" w:rsidP="002C4AB3">
            <w:pPr>
              <w:pStyle w:val="Kjene"/>
              <w:jc w:val="both"/>
            </w:pPr>
            <w:r>
              <w:t>Saskaņošanas dalībnieki izskatīja šādu ministriju (citu institūciju) iebildumus</w:t>
            </w:r>
          </w:p>
        </w:tc>
        <w:tc>
          <w:tcPr>
            <w:tcW w:w="4809" w:type="dxa"/>
          </w:tcPr>
          <w:p w:rsidR="00377BA3" w:rsidRDefault="002C4AB3" w:rsidP="00C31D2A">
            <w:pPr>
              <w:pStyle w:val="Kjene"/>
              <w:jc w:val="both"/>
            </w:pPr>
            <w:r>
              <w:t> </w:t>
            </w:r>
            <w:r w:rsidR="00377BA3">
              <w:t>Tieslietu ministrija</w:t>
            </w:r>
            <w:r w:rsidR="00AD0098">
              <w:t>, Finanšu ministrija</w:t>
            </w:r>
          </w:p>
        </w:tc>
        <w:tc>
          <w:tcPr>
            <w:tcW w:w="1013" w:type="dxa"/>
          </w:tcPr>
          <w:p w:rsidR="002C4AB3" w:rsidRDefault="002C4AB3" w:rsidP="002C4AB3">
            <w:pPr>
              <w:pStyle w:val="Kjene"/>
              <w:jc w:val="both"/>
            </w:pPr>
            <w:r>
              <w:t> </w:t>
            </w:r>
          </w:p>
        </w:tc>
      </w:tr>
      <w:tr w:rsidR="002C4AB3" w:rsidTr="002068C5">
        <w:trPr>
          <w:trHeight w:val="373"/>
          <w:tblCellSpacing w:w="0" w:type="dxa"/>
        </w:trPr>
        <w:tc>
          <w:tcPr>
            <w:tcW w:w="7527" w:type="dxa"/>
          </w:tcPr>
          <w:p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rsidR="002C4AB3" w:rsidRDefault="002C4AB3" w:rsidP="00AD1EB9">
            <w:pPr>
              <w:pStyle w:val="naislab"/>
              <w:jc w:val="both"/>
            </w:pPr>
          </w:p>
        </w:tc>
      </w:tr>
      <w:tr w:rsidR="002C4AB3" w:rsidTr="002068C5">
        <w:trPr>
          <w:trHeight w:val="241"/>
          <w:tblCellSpacing w:w="0" w:type="dxa"/>
        </w:trPr>
        <w:tc>
          <w:tcPr>
            <w:tcW w:w="13349" w:type="dxa"/>
            <w:gridSpan w:val="3"/>
            <w:vAlign w:val="center"/>
          </w:tcPr>
          <w:p w:rsidR="002C4AB3" w:rsidRDefault="002C4AB3" w:rsidP="002C4AB3">
            <w:pPr>
              <w:pStyle w:val="Parasts1"/>
              <w:jc w:val="both"/>
            </w:pPr>
            <w:r>
              <w:t> </w:t>
            </w:r>
          </w:p>
        </w:tc>
      </w:tr>
      <w:tr w:rsidR="002C4AB3" w:rsidTr="002068C5">
        <w:trPr>
          <w:trHeight w:val="493"/>
          <w:tblCellSpacing w:w="0" w:type="dxa"/>
        </w:trPr>
        <w:tc>
          <w:tcPr>
            <w:tcW w:w="7527" w:type="dxa"/>
            <w:vAlign w:val="center"/>
          </w:tcPr>
          <w:p w:rsidR="002C4AB3" w:rsidRDefault="002C4AB3" w:rsidP="002C4AB3">
            <w:pPr>
              <w:pStyle w:val="Kjene"/>
              <w:jc w:val="both"/>
            </w:pPr>
            <w:r>
              <w:t>Ministrijas (citas institūcijas), kuras nav ieradušās uz sanāksmi vai kuras nav atbildējušas uz uzaicinājumu piedalīties elektroniskajā saskaņošanā</w:t>
            </w:r>
          </w:p>
        </w:tc>
        <w:tc>
          <w:tcPr>
            <w:tcW w:w="5822" w:type="dxa"/>
            <w:gridSpan w:val="2"/>
            <w:vAlign w:val="center"/>
          </w:tcPr>
          <w:p w:rsidR="002C4AB3" w:rsidRDefault="002C4AB3" w:rsidP="002C4AB3">
            <w:pPr>
              <w:pStyle w:val="Kjene"/>
              <w:jc w:val="both"/>
            </w:pPr>
            <w:r>
              <w:t> </w:t>
            </w:r>
            <w:r w:rsidR="0069412A">
              <w:t>–</w:t>
            </w:r>
          </w:p>
        </w:tc>
      </w:tr>
      <w:tr w:rsidR="002C4AB3" w:rsidTr="002068C5">
        <w:trPr>
          <w:trHeight w:val="241"/>
          <w:tblCellSpacing w:w="0" w:type="dxa"/>
        </w:trPr>
        <w:tc>
          <w:tcPr>
            <w:tcW w:w="7527" w:type="dxa"/>
            <w:vAlign w:val="center"/>
          </w:tcPr>
          <w:p w:rsidR="002C4AB3" w:rsidRDefault="002C4AB3" w:rsidP="002C4AB3">
            <w:pPr>
              <w:pStyle w:val="Kjene"/>
              <w:jc w:val="both"/>
            </w:pPr>
            <w:r>
              <w:t>  </w:t>
            </w:r>
          </w:p>
        </w:tc>
        <w:tc>
          <w:tcPr>
            <w:tcW w:w="5822" w:type="dxa"/>
            <w:gridSpan w:val="2"/>
            <w:tcBorders>
              <w:top w:val="single" w:sz="8" w:space="0" w:color="000000"/>
              <w:left w:val="nil"/>
              <w:bottom w:val="single" w:sz="8" w:space="0" w:color="000000"/>
              <w:right w:val="nil"/>
            </w:tcBorders>
            <w:vAlign w:val="center"/>
          </w:tcPr>
          <w:p w:rsidR="002C4AB3" w:rsidRDefault="002C4AB3" w:rsidP="002C4AB3">
            <w:pPr>
              <w:pStyle w:val="Kjene"/>
              <w:jc w:val="both"/>
            </w:pPr>
            <w:r>
              <w:t> </w:t>
            </w:r>
          </w:p>
        </w:tc>
      </w:tr>
    </w:tbl>
    <w:p w:rsidR="00E10B21" w:rsidRDefault="00E10B21" w:rsidP="002C4AB3">
      <w:pPr>
        <w:pStyle w:val="Parasts1"/>
        <w:jc w:val="both"/>
        <w:rPr>
          <w:b/>
        </w:rPr>
      </w:pPr>
    </w:p>
    <w:p w:rsidR="002C4AB3" w:rsidRPr="00E536CD" w:rsidRDefault="002C4AB3" w:rsidP="002C4AB3">
      <w:pPr>
        <w:pStyle w:val="Parasts1"/>
        <w:jc w:val="both"/>
        <w:rPr>
          <w:b/>
        </w:rPr>
      </w:pPr>
      <w:r w:rsidRPr="00E536CD">
        <w:rPr>
          <w:b/>
        </w:rPr>
        <w:t>II. Jautājumi, par kuriem saskaņošanā vienošanās ir panākta</w:t>
      </w:r>
    </w:p>
    <w:tbl>
      <w:tblPr>
        <w:tblW w:w="1431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
        <w:gridCol w:w="3260"/>
        <w:gridCol w:w="5222"/>
        <w:gridCol w:w="2149"/>
        <w:gridCol w:w="3245"/>
      </w:tblGrid>
      <w:tr w:rsidR="00615F31" w:rsidTr="00B401F2">
        <w:trPr>
          <w:tblCellSpacing w:w="0" w:type="dxa"/>
        </w:trPr>
        <w:tc>
          <w:tcPr>
            <w:tcW w:w="441" w:type="dxa"/>
            <w:vAlign w:val="center"/>
          </w:tcPr>
          <w:p w:rsidR="002C4AB3" w:rsidRDefault="002C4AB3" w:rsidP="002C4AB3">
            <w:pPr>
              <w:pStyle w:val="Parasts1"/>
              <w:jc w:val="both"/>
            </w:pPr>
            <w:r>
              <w:lastRenderedPageBreak/>
              <w:t> Nr. p.k.</w:t>
            </w:r>
          </w:p>
        </w:tc>
        <w:tc>
          <w:tcPr>
            <w:tcW w:w="3260" w:type="dxa"/>
            <w:vAlign w:val="center"/>
          </w:tcPr>
          <w:p w:rsidR="002C4AB3" w:rsidRPr="00E3343C" w:rsidRDefault="002C4AB3" w:rsidP="002C4AB3">
            <w:pPr>
              <w:pStyle w:val="Parasts1"/>
              <w:jc w:val="both"/>
            </w:pPr>
            <w:r w:rsidRPr="00E3343C">
              <w:t>Saskaņošanai nosūtītā projekta redakcija (konkrēta punkta (panta) redakcija)</w:t>
            </w:r>
          </w:p>
        </w:tc>
        <w:tc>
          <w:tcPr>
            <w:tcW w:w="5222" w:type="dxa"/>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2149" w:type="dxa"/>
            <w:vAlign w:val="center"/>
          </w:tcPr>
          <w:p w:rsidR="002C4AB3" w:rsidRDefault="002C4AB3" w:rsidP="002C4AB3">
            <w:pPr>
              <w:pStyle w:val="Parasts1"/>
              <w:jc w:val="both"/>
            </w:pPr>
            <w:r>
              <w:t>Atbildīgās ministrijas norāde par to, ka iebildums ir ņemts vērā, vai informācija par saskaņošanā panākto alternatīvo risinājumu</w:t>
            </w:r>
          </w:p>
        </w:tc>
        <w:tc>
          <w:tcPr>
            <w:tcW w:w="3245" w:type="dxa"/>
            <w:vAlign w:val="center"/>
          </w:tcPr>
          <w:p w:rsidR="002C4AB3" w:rsidRDefault="002C4AB3" w:rsidP="002C4AB3">
            <w:pPr>
              <w:pStyle w:val="Parasts1"/>
              <w:jc w:val="both"/>
            </w:pPr>
            <w:r>
              <w:t>Projekta attiecīgā punkta (panta) galīgā redakcija</w:t>
            </w:r>
          </w:p>
        </w:tc>
      </w:tr>
      <w:tr w:rsidR="00615F31" w:rsidTr="00B401F2">
        <w:trPr>
          <w:tblCellSpacing w:w="0" w:type="dxa"/>
        </w:trPr>
        <w:tc>
          <w:tcPr>
            <w:tcW w:w="441" w:type="dxa"/>
          </w:tcPr>
          <w:p w:rsidR="002C4AB3" w:rsidRDefault="002C4AB3" w:rsidP="002C4AB3">
            <w:pPr>
              <w:pStyle w:val="Parasts1"/>
              <w:jc w:val="center"/>
            </w:pPr>
            <w:r>
              <w:t>1</w:t>
            </w:r>
          </w:p>
        </w:tc>
        <w:tc>
          <w:tcPr>
            <w:tcW w:w="3260" w:type="dxa"/>
          </w:tcPr>
          <w:p w:rsidR="002C4AB3" w:rsidRPr="00E3343C" w:rsidRDefault="002C4AB3" w:rsidP="002C4AB3">
            <w:pPr>
              <w:pStyle w:val="Parasts1"/>
              <w:jc w:val="center"/>
            </w:pPr>
            <w:r w:rsidRPr="00E3343C">
              <w:t>2</w:t>
            </w:r>
          </w:p>
        </w:tc>
        <w:tc>
          <w:tcPr>
            <w:tcW w:w="5222" w:type="dxa"/>
          </w:tcPr>
          <w:p w:rsidR="002C4AB3" w:rsidRDefault="002C4AB3" w:rsidP="002C4AB3">
            <w:pPr>
              <w:pStyle w:val="Parasts1"/>
              <w:jc w:val="center"/>
            </w:pPr>
            <w:r>
              <w:t>3</w:t>
            </w:r>
          </w:p>
        </w:tc>
        <w:tc>
          <w:tcPr>
            <w:tcW w:w="2149" w:type="dxa"/>
          </w:tcPr>
          <w:p w:rsidR="002C4AB3" w:rsidRDefault="002C4AB3" w:rsidP="002C4AB3">
            <w:pPr>
              <w:pStyle w:val="Parasts1"/>
              <w:jc w:val="center"/>
            </w:pPr>
            <w:r>
              <w:t>4</w:t>
            </w:r>
          </w:p>
        </w:tc>
        <w:tc>
          <w:tcPr>
            <w:tcW w:w="3245" w:type="dxa"/>
          </w:tcPr>
          <w:p w:rsidR="002C4AB3" w:rsidRDefault="002C4AB3" w:rsidP="002C4AB3">
            <w:pPr>
              <w:pStyle w:val="Parasts1"/>
              <w:jc w:val="center"/>
            </w:pPr>
            <w:r>
              <w:t>5</w:t>
            </w:r>
          </w:p>
        </w:tc>
      </w:tr>
      <w:tr w:rsidR="00615F31" w:rsidTr="00B401F2">
        <w:trPr>
          <w:tblCellSpacing w:w="0" w:type="dxa"/>
        </w:trPr>
        <w:tc>
          <w:tcPr>
            <w:tcW w:w="441" w:type="dxa"/>
          </w:tcPr>
          <w:p w:rsidR="00831EFD" w:rsidRDefault="00831EFD" w:rsidP="002C4AB3">
            <w:pPr>
              <w:pStyle w:val="Parasts1"/>
              <w:jc w:val="center"/>
            </w:pPr>
          </w:p>
        </w:tc>
        <w:tc>
          <w:tcPr>
            <w:tcW w:w="3260" w:type="dxa"/>
          </w:tcPr>
          <w:p w:rsidR="00831EFD" w:rsidRPr="00E3343C" w:rsidRDefault="00831EFD" w:rsidP="005036BE">
            <w:pPr>
              <w:pStyle w:val="Parasts1"/>
              <w:jc w:val="both"/>
            </w:pPr>
          </w:p>
        </w:tc>
        <w:tc>
          <w:tcPr>
            <w:tcW w:w="5222" w:type="dxa"/>
          </w:tcPr>
          <w:p w:rsidR="00EC4676" w:rsidRPr="00AD1268" w:rsidRDefault="002A2ACE" w:rsidP="006F747B">
            <w:pPr>
              <w:pStyle w:val="Parasts1"/>
              <w:jc w:val="both"/>
              <w:rPr>
                <w:b/>
              </w:rPr>
            </w:pPr>
            <w:r>
              <w:rPr>
                <w:b/>
              </w:rPr>
              <w:t>Tieslietu</w:t>
            </w:r>
            <w:r w:rsidR="00367715">
              <w:rPr>
                <w:b/>
              </w:rPr>
              <w:t xml:space="preserve"> ministrija</w:t>
            </w:r>
            <w:r w:rsidR="006F747B">
              <w:rPr>
                <w:b/>
              </w:rPr>
              <w:t xml:space="preserve"> (</w:t>
            </w:r>
            <w:r w:rsidR="005F330E">
              <w:rPr>
                <w:b/>
              </w:rPr>
              <w:t>13</w:t>
            </w:r>
            <w:r w:rsidR="009B3AE1">
              <w:rPr>
                <w:b/>
              </w:rPr>
              <w:t>.</w:t>
            </w:r>
            <w:r w:rsidR="005F330E">
              <w:rPr>
                <w:b/>
              </w:rPr>
              <w:t>05.2021.</w:t>
            </w:r>
            <w:r w:rsidR="009B3AE1">
              <w:rPr>
                <w:b/>
              </w:rPr>
              <w:t>)</w:t>
            </w:r>
          </w:p>
        </w:tc>
        <w:tc>
          <w:tcPr>
            <w:tcW w:w="2149" w:type="dxa"/>
          </w:tcPr>
          <w:p w:rsidR="00831EFD" w:rsidRDefault="00831EFD" w:rsidP="002C4AB3">
            <w:pPr>
              <w:pStyle w:val="Parasts1"/>
              <w:jc w:val="center"/>
            </w:pPr>
          </w:p>
        </w:tc>
        <w:tc>
          <w:tcPr>
            <w:tcW w:w="3245" w:type="dxa"/>
          </w:tcPr>
          <w:p w:rsidR="00831EFD" w:rsidRDefault="00831EFD" w:rsidP="00931E24">
            <w:pPr>
              <w:pStyle w:val="Parasts1"/>
              <w:jc w:val="both"/>
            </w:pPr>
          </w:p>
        </w:tc>
      </w:tr>
      <w:tr w:rsidR="00615F31" w:rsidTr="00B401F2">
        <w:trPr>
          <w:tblCellSpacing w:w="0" w:type="dxa"/>
        </w:trPr>
        <w:tc>
          <w:tcPr>
            <w:tcW w:w="441" w:type="dxa"/>
          </w:tcPr>
          <w:p w:rsidR="00831EFD" w:rsidRDefault="002A2ACE" w:rsidP="002C4AB3">
            <w:pPr>
              <w:pStyle w:val="Parasts1"/>
              <w:jc w:val="center"/>
            </w:pPr>
            <w:r>
              <w:t>1.</w:t>
            </w:r>
          </w:p>
        </w:tc>
        <w:tc>
          <w:tcPr>
            <w:tcW w:w="3260" w:type="dxa"/>
          </w:tcPr>
          <w:p w:rsidR="00B0600C" w:rsidRPr="00DC09A7" w:rsidRDefault="00B0600C" w:rsidP="00702361">
            <w:pPr>
              <w:jc w:val="both"/>
              <w:rPr>
                <w:sz w:val="24"/>
                <w:szCs w:val="24"/>
                <w:lang w:eastAsia="en-US"/>
              </w:rPr>
            </w:pPr>
          </w:p>
        </w:tc>
        <w:tc>
          <w:tcPr>
            <w:tcW w:w="5222" w:type="dxa"/>
          </w:tcPr>
          <w:p w:rsidR="005F330E" w:rsidRPr="005F330E" w:rsidRDefault="005F330E" w:rsidP="00264107">
            <w:pPr>
              <w:widowControl w:val="0"/>
              <w:jc w:val="both"/>
              <w:rPr>
                <w:rFonts w:eastAsia="Calibri"/>
                <w:sz w:val="24"/>
                <w:szCs w:val="24"/>
                <w:lang w:eastAsia="en-US"/>
              </w:rPr>
            </w:pPr>
            <w:r w:rsidRPr="005F330E">
              <w:rPr>
                <w:rFonts w:eastAsia="Calibri"/>
                <w:sz w:val="24"/>
                <w:szCs w:val="24"/>
                <w:lang w:eastAsia="en-US"/>
              </w:rPr>
              <w:t xml:space="preserve">Noteikumu projekta 3. punkts paredz papildināt </w:t>
            </w:r>
            <w:r w:rsidRPr="005F330E">
              <w:rPr>
                <w:rFonts w:eastAsia="Calibri"/>
                <w:i/>
                <w:iCs/>
                <w:sz w:val="24"/>
                <w:szCs w:val="24"/>
                <w:lang w:eastAsia="en-US"/>
              </w:rPr>
              <w:t xml:space="preserve">Ministru kabineta 2019. gada 8  janvāra noteikumus Nr. 9 "Lauksaimniecības, zivsaimniecības un lauku attīstības garantiju programmas noteikumi"" </w:t>
            </w:r>
            <w:r w:rsidRPr="005F330E">
              <w:rPr>
                <w:rFonts w:eastAsia="Calibri"/>
                <w:sz w:val="24"/>
                <w:szCs w:val="24"/>
                <w:lang w:eastAsia="en-US"/>
              </w:rPr>
              <w:t>(turpmāk – Noteikumi) ar jaunu 10.</w:t>
            </w:r>
            <w:r w:rsidRPr="005F330E">
              <w:rPr>
                <w:rFonts w:eastAsia="Calibri"/>
                <w:sz w:val="24"/>
                <w:szCs w:val="24"/>
                <w:vertAlign w:val="superscript"/>
                <w:lang w:eastAsia="en-US"/>
              </w:rPr>
              <w:t>1</w:t>
            </w:r>
            <w:r w:rsidRPr="005F330E">
              <w:rPr>
                <w:rFonts w:eastAsia="Calibri"/>
                <w:sz w:val="24"/>
                <w:szCs w:val="24"/>
                <w:lang w:eastAsia="en-US"/>
              </w:rPr>
              <w:t xml:space="preserve"> punktu, kurā noteikts, ka atbalsta pretendentam, kas pieteicies uz Noteikumu </w:t>
            </w:r>
            <w:r w:rsidRPr="005F330E">
              <w:rPr>
                <w:rFonts w:eastAsia="Calibri"/>
                <w:b/>
                <w:bCs/>
                <w:sz w:val="24"/>
                <w:szCs w:val="24"/>
                <w:lang w:eastAsia="en-US"/>
              </w:rPr>
              <w:t>7.1., 7.2. un 7.3.</w:t>
            </w:r>
            <w:r w:rsidRPr="005F330E">
              <w:rPr>
                <w:rFonts w:eastAsia="Calibri"/>
                <w:i/>
                <w:iCs/>
                <w:sz w:val="24"/>
                <w:szCs w:val="24"/>
                <w:lang w:eastAsia="en-US"/>
              </w:rPr>
              <w:t> </w:t>
            </w:r>
            <w:r w:rsidRPr="005F330E">
              <w:rPr>
                <w:rFonts w:eastAsia="Calibri"/>
                <w:b/>
                <w:bCs/>
                <w:sz w:val="24"/>
                <w:szCs w:val="24"/>
                <w:lang w:eastAsia="en-US"/>
              </w:rPr>
              <w:t>apakšpunktā noteiktajām garantijām</w:t>
            </w:r>
            <w:r w:rsidRPr="005F330E">
              <w:rPr>
                <w:rFonts w:eastAsia="Calibri"/>
                <w:sz w:val="24"/>
                <w:szCs w:val="24"/>
                <w:lang w:eastAsia="en-US"/>
              </w:rPr>
              <w:t>, nepiemēro Noteikumu 10.4., 10.5., 10.6. un 10.7.</w:t>
            </w:r>
            <w:r w:rsidRPr="005F330E">
              <w:rPr>
                <w:rFonts w:eastAsia="Calibri"/>
                <w:i/>
                <w:iCs/>
                <w:sz w:val="24"/>
                <w:szCs w:val="24"/>
                <w:lang w:eastAsia="en-US"/>
              </w:rPr>
              <w:t> </w:t>
            </w:r>
            <w:r w:rsidRPr="005F330E">
              <w:rPr>
                <w:rFonts w:eastAsia="Calibri"/>
                <w:sz w:val="24"/>
                <w:szCs w:val="24"/>
                <w:lang w:eastAsia="en-US"/>
              </w:rPr>
              <w:t xml:space="preserve">apakšpunktā paredzētos ierobežojumus. </w:t>
            </w:r>
          </w:p>
          <w:p w:rsidR="005F330E" w:rsidRPr="005F330E" w:rsidRDefault="005F330E" w:rsidP="005F330E">
            <w:pPr>
              <w:widowControl w:val="0"/>
              <w:ind w:firstLine="567"/>
              <w:jc w:val="both"/>
              <w:rPr>
                <w:rFonts w:eastAsia="Calibri"/>
                <w:sz w:val="24"/>
                <w:szCs w:val="24"/>
                <w:lang w:eastAsia="en-US"/>
              </w:rPr>
            </w:pPr>
            <w:r w:rsidRPr="005F330E">
              <w:rPr>
                <w:rFonts w:eastAsia="Calibri"/>
                <w:sz w:val="24"/>
                <w:szCs w:val="24"/>
                <w:lang w:eastAsia="en-US"/>
              </w:rPr>
              <w:t>Norādām, ka Noteikumu 7.</w:t>
            </w:r>
            <w:r w:rsidRPr="005F330E">
              <w:rPr>
                <w:rFonts w:eastAsia="Calibri"/>
                <w:i/>
                <w:iCs/>
                <w:sz w:val="24"/>
                <w:szCs w:val="24"/>
                <w:lang w:eastAsia="en-US"/>
              </w:rPr>
              <w:t> </w:t>
            </w:r>
            <w:r w:rsidRPr="005F330E">
              <w:rPr>
                <w:rFonts w:eastAsia="Calibri"/>
                <w:sz w:val="24"/>
                <w:szCs w:val="24"/>
                <w:lang w:eastAsia="en-US"/>
              </w:rPr>
              <w:t xml:space="preserve">punktā noteikti vēl citi gadījumi, kad sabiedrība </w:t>
            </w:r>
            <w:proofErr w:type="spellStart"/>
            <w:r w:rsidRPr="005F330E">
              <w:rPr>
                <w:rFonts w:eastAsia="Calibri"/>
                <w:sz w:val="24"/>
                <w:szCs w:val="24"/>
                <w:lang w:eastAsia="en-US"/>
              </w:rPr>
              <w:t>Altum</w:t>
            </w:r>
            <w:proofErr w:type="spellEnd"/>
            <w:r w:rsidRPr="005F330E">
              <w:rPr>
                <w:rFonts w:eastAsia="Calibri"/>
                <w:sz w:val="24"/>
                <w:szCs w:val="24"/>
                <w:lang w:eastAsia="en-US"/>
              </w:rPr>
              <w:t xml:space="preserve"> piešķir garantijas lauksaimniecības, zivsaimniecības, mežsaimniecības un lauku attīstības jomā, kas nav iekļauti grozījumu punktā. Turklāt arī noteikumu projekta anotācijā norādīts, ka ir būtiski palielinājies pieprasījums pēc AS “Attīstības finanšu institūcijas </w:t>
            </w:r>
            <w:proofErr w:type="spellStart"/>
            <w:r w:rsidRPr="005F330E">
              <w:rPr>
                <w:rFonts w:eastAsia="Calibri"/>
                <w:sz w:val="24"/>
                <w:szCs w:val="24"/>
                <w:lang w:eastAsia="en-US"/>
              </w:rPr>
              <w:t>Altum</w:t>
            </w:r>
            <w:proofErr w:type="spellEnd"/>
            <w:r w:rsidRPr="005F330E">
              <w:rPr>
                <w:rFonts w:eastAsia="Calibri"/>
                <w:sz w:val="24"/>
                <w:szCs w:val="24"/>
                <w:lang w:eastAsia="en-US"/>
              </w:rPr>
              <w:t>” nodrošinātajām garantijām lauksaimniecības, zivsaimniecības un lauku attīstības jomā. Attiecīgi jomās, kas noteiktas Noteikumu 7.</w:t>
            </w:r>
            <w:r w:rsidRPr="005F330E">
              <w:rPr>
                <w:rFonts w:eastAsia="Calibri"/>
                <w:i/>
                <w:iCs/>
                <w:sz w:val="24"/>
                <w:szCs w:val="24"/>
                <w:lang w:eastAsia="en-US"/>
              </w:rPr>
              <w:t> </w:t>
            </w:r>
            <w:r w:rsidRPr="005F330E">
              <w:rPr>
                <w:rFonts w:eastAsia="Calibri"/>
                <w:sz w:val="24"/>
                <w:szCs w:val="24"/>
                <w:lang w:eastAsia="en-US"/>
              </w:rPr>
              <w:t>punktā, bet nav iekļautas noteikumu projektā veiktajos grozījumos.</w:t>
            </w:r>
          </w:p>
          <w:p w:rsidR="005F330E" w:rsidRPr="005F330E" w:rsidRDefault="005F330E" w:rsidP="005F330E">
            <w:pPr>
              <w:widowControl w:val="0"/>
              <w:ind w:firstLine="567"/>
              <w:jc w:val="both"/>
              <w:rPr>
                <w:rFonts w:eastAsia="Calibri"/>
                <w:sz w:val="24"/>
                <w:szCs w:val="24"/>
                <w:lang w:eastAsia="en-US"/>
              </w:rPr>
            </w:pPr>
            <w:r w:rsidRPr="005F330E">
              <w:rPr>
                <w:rFonts w:eastAsia="Calibri"/>
                <w:sz w:val="24"/>
                <w:szCs w:val="24"/>
                <w:lang w:eastAsia="en-US"/>
              </w:rPr>
              <w:t>Izsakām bažas, ka minētais nosacījums, kas iekļauj tikai daļu no atbalsta kategorijām, kas noteiktas Noteikumu 7.</w:t>
            </w:r>
            <w:r w:rsidRPr="005F330E">
              <w:rPr>
                <w:rFonts w:eastAsia="Calibri"/>
                <w:i/>
                <w:iCs/>
                <w:sz w:val="24"/>
                <w:szCs w:val="24"/>
                <w:lang w:eastAsia="en-US"/>
              </w:rPr>
              <w:t> </w:t>
            </w:r>
            <w:r w:rsidRPr="005F330E">
              <w:rPr>
                <w:rFonts w:eastAsia="Calibri"/>
                <w:sz w:val="24"/>
                <w:szCs w:val="24"/>
                <w:lang w:eastAsia="en-US"/>
              </w:rPr>
              <w:t xml:space="preserve">punktā, iespējams, nepamatoti sašaurina </w:t>
            </w:r>
            <w:r w:rsidRPr="005F330E">
              <w:rPr>
                <w:rFonts w:eastAsia="Calibri"/>
                <w:sz w:val="24"/>
                <w:szCs w:val="24"/>
                <w:lang w:eastAsia="en-US"/>
              </w:rPr>
              <w:lastRenderedPageBreak/>
              <w:t>Noteikumu 10.</w:t>
            </w:r>
            <w:r w:rsidRPr="005F330E">
              <w:rPr>
                <w:rFonts w:eastAsia="Calibri"/>
                <w:sz w:val="24"/>
                <w:szCs w:val="24"/>
                <w:vertAlign w:val="superscript"/>
                <w:lang w:eastAsia="en-US"/>
              </w:rPr>
              <w:t>1</w:t>
            </w:r>
            <w:r w:rsidRPr="005F330E">
              <w:rPr>
                <w:rFonts w:eastAsia="Calibri"/>
                <w:sz w:val="24"/>
                <w:szCs w:val="24"/>
                <w:lang w:eastAsia="en-US"/>
              </w:rPr>
              <w:t xml:space="preserve"> punktā noteikto izņēmumu atbalsta piešķiršanu. </w:t>
            </w:r>
          </w:p>
          <w:p w:rsidR="005F330E" w:rsidRPr="005F330E" w:rsidRDefault="005F330E" w:rsidP="005F330E">
            <w:pPr>
              <w:widowControl w:val="0"/>
              <w:ind w:firstLine="567"/>
              <w:jc w:val="both"/>
              <w:rPr>
                <w:rFonts w:eastAsia="Calibri"/>
                <w:sz w:val="24"/>
                <w:szCs w:val="24"/>
                <w:lang w:eastAsia="en-US"/>
              </w:rPr>
            </w:pPr>
            <w:r w:rsidRPr="005F330E">
              <w:rPr>
                <w:rFonts w:eastAsia="Calibri"/>
                <w:sz w:val="24"/>
                <w:szCs w:val="24"/>
                <w:lang w:eastAsia="en-US"/>
              </w:rPr>
              <w:t>Skaidrojam, ka grozījumi noteikumu projektā pieļauj risku, ka vienādos faktiskajos un tiesiskajos apstākļos atbalsta nosacījumi var būt atšķirīgi, kas novestu pie tiesiskās vienlīdzības principa pārkāpuma. Vienlīdzības princips nosaka, ka vienādos faktiskajos un tiesiskajos apstākļos izturēšanās ir jābūt vienādai, savukārt atšķirīgos apstākļos izturēšanās ir jābūt atšķirīgai. Šīs princips izriet no Latvijas Republikas Satversmes 91.</w:t>
            </w:r>
            <w:r w:rsidRPr="005F330E">
              <w:rPr>
                <w:rFonts w:eastAsia="Calibri"/>
                <w:i/>
                <w:iCs/>
                <w:sz w:val="24"/>
                <w:szCs w:val="24"/>
                <w:lang w:eastAsia="en-US"/>
              </w:rPr>
              <w:t> </w:t>
            </w:r>
            <w:r w:rsidRPr="005F330E">
              <w:rPr>
                <w:rFonts w:eastAsia="Calibri"/>
                <w:sz w:val="24"/>
                <w:szCs w:val="24"/>
                <w:lang w:eastAsia="en-US"/>
              </w:rPr>
              <w:t>panta, kas noteic, ka "visi cilvēki Latvijā ir vienlīdzīgi likuma un tiesas priekšā. Cilvēka tiesības tiek īstenotas bez jebkādas diskriminācijas". Ņemot vērā minēto, lūdzam izvērtēt un skaidrot noteikumu projekta grozījumu atbilstību Latvijas Republikas Satversmes 91.</w:t>
            </w:r>
            <w:r w:rsidRPr="005F330E">
              <w:rPr>
                <w:rFonts w:eastAsia="Calibri"/>
                <w:i/>
                <w:iCs/>
                <w:sz w:val="24"/>
                <w:szCs w:val="24"/>
                <w:lang w:eastAsia="en-US"/>
              </w:rPr>
              <w:t> </w:t>
            </w:r>
            <w:r w:rsidRPr="005F330E">
              <w:rPr>
                <w:rFonts w:eastAsia="Calibri"/>
                <w:sz w:val="24"/>
                <w:szCs w:val="24"/>
                <w:lang w:eastAsia="en-US"/>
              </w:rPr>
              <w:t>pantam, tādejādi nodrošinot noteikumu projekta likumību un atbilstību vienlīdzības principam. Vēršam uzmanību uz to, ka Latvijas Republikas Satversmes tiesa ir noteikusi, ka atšķirīga attieksme ir pieļaujama to pamatojot ar leģitīma mērķa sasniegšanu (lietā Nr.</w:t>
            </w:r>
            <w:r w:rsidRPr="005F330E">
              <w:rPr>
                <w:rFonts w:eastAsia="Calibri"/>
                <w:i/>
                <w:iCs/>
                <w:sz w:val="24"/>
                <w:szCs w:val="24"/>
                <w:lang w:eastAsia="en-US"/>
              </w:rPr>
              <w:t> </w:t>
            </w:r>
            <w:r w:rsidRPr="005F330E">
              <w:rPr>
                <w:rFonts w:eastAsia="Calibri"/>
                <w:sz w:val="24"/>
                <w:szCs w:val="24"/>
                <w:lang w:eastAsia="en-US"/>
              </w:rPr>
              <w:t>2005-08-01).</w:t>
            </w:r>
          </w:p>
          <w:p w:rsidR="005F330E" w:rsidRPr="005F330E" w:rsidRDefault="005F330E" w:rsidP="005F330E">
            <w:pPr>
              <w:widowControl w:val="0"/>
              <w:ind w:firstLine="567"/>
              <w:jc w:val="both"/>
              <w:rPr>
                <w:rFonts w:eastAsia="Calibri"/>
                <w:sz w:val="24"/>
                <w:szCs w:val="24"/>
                <w:lang w:eastAsia="en-US"/>
              </w:rPr>
            </w:pPr>
            <w:r w:rsidRPr="005F330E">
              <w:rPr>
                <w:rFonts w:eastAsia="Calibri"/>
                <w:sz w:val="24"/>
                <w:szCs w:val="24"/>
                <w:lang w:eastAsia="en-US"/>
              </w:rPr>
              <w:t>Pamatojoties uz minēto, lūdzam precizēt noteikumu projekta anotācijas I sadaļas 2.</w:t>
            </w:r>
            <w:r w:rsidRPr="005F330E">
              <w:rPr>
                <w:rFonts w:eastAsia="Calibri"/>
                <w:i/>
                <w:iCs/>
                <w:sz w:val="24"/>
                <w:szCs w:val="24"/>
                <w:lang w:eastAsia="en-US"/>
              </w:rPr>
              <w:t> </w:t>
            </w:r>
            <w:r w:rsidRPr="005F330E">
              <w:rPr>
                <w:rFonts w:eastAsia="Calibri"/>
                <w:sz w:val="24"/>
                <w:szCs w:val="24"/>
                <w:lang w:eastAsia="en-US"/>
              </w:rPr>
              <w:t xml:space="preserve">punktu atbilstoši </w:t>
            </w:r>
            <w:r w:rsidRPr="005F330E">
              <w:rPr>
                <w:rFonts w:eastAsia="Calibri"/>
                <w:i/>
                <w:iCs/>
                <w:sz w:val="24"/>
                <w:szCs w:val="24"/>
                <w:lang w:eastAsia="en-US"/>
              </w:rPr>
              <w:t>Ministru kabineta 2009. gada 15. decembra instrukcijas Nr. 19 ''Tiesību akta projekta sākotnējās ietekmes izvērtēšanas kārtība''</w:t>
            </w:r>
            <w:r w:rsidRPr="005F330E">
              <w:rPr>
                <w:rFonts w:eastAsia="Calibri"/>
                <w:sz w:val="24"/>
                <w:szCs w:val="24"/>
                <w:lang w:eastAsia="en-US"/>
              </w:rPr>
              <w:t xml:space="preserve"> 14.</w:t>
            </w:r>
            <w:r w:rsidRPr="005F330E">
              <w:rPr>
                <w:rFonts w:eastAsia="Calibri"/>
                <w:i/>
                <w:iCs/>
                <w:sz w:val="24"/>
                <w:szCs w:val="24"/>
                <w:lang w:eastAsia="en-US"/>
              </w:rPr>
              <w:t> </w:t>
            </w:r>
            <w:r w:rsidRPr="005F330E">
              <w:rPr>
                <w:rFonts w:eastAsia="Calibri"/>
                <w:sz w:val="24"/>
                <w:szCs w:val="24"/>
                <w:lang w:eastAsia="en-US"/>
              </w:rPr>
              <w:t xml:space="preserve">punktam, sniedzot </w:t>
            </w:r>
            <w:r w:rsidRPr="005F330E">
              <w:rPr>
                <w:rFonts w:eastAsia="Calibri"/>
                <w:b/>
                <w:bCs/>
                <w:sz w:val="24"/>
                <w:szCs w:val="24"/>
                <w:lang w:eastAsia="en-US"/>
              </w:rPr>
              <w:t xml:space="preserve">izvērstu </w:t>
            </w:r>
            <w:r w:rsidRPr="005F330E">
              <w:rPr>
                <w:rFonts w:eastAsia="Calibri"/>
                <w:sz w:val="24"/>
                <w:szCs w:val="24"/>
                <w:lang w:eastAsia="en-US"/>
              </w:rPr>
              <w:t>skaidrojumu, vai noteikumu projektā 3.</w:t>
            </w:r>
            <w:r w:rsidRPr="005F330E">
              <w:rPr>
                <w:rFonts w:eastAsia="Calibri"/>
                <w:i/>
                <w:iCs/>
                <w:sz w:val="24"/>
                <w:szCs w:val="24"/>
                <w:lang w:eastAsia="en-US"/>
              </w:rPr>
              <w:t> </w:t>
            </w:r>
            <w:r w:rsidRPr="005F330E">
              <w:rPr>
                <w:rFonts w:eastAsia="Calibri"/>
                <w:sz w:val="24"/>
                <w:szCs w:val="24"/>
                <w:lang w:eastAsia="en-US"/>
              </w:rPr>
              <w:t>punktā veiktajiem grozījumiem, kas paredz izņēmumu tikai attiecībā uz Noteikumu 7.</w:t>
            </w:r>
            <w:r w:rsidRPr="005F330E">
              <w:rPr>
                <w:rFonts w:eastAsia="Calibri"/>
                <w:i/>
                <w:iCs/>
                <w:sz w:val="24"/>
                <w:szCs w:val="24"/>
                <w:lang w:eastAsia="en-US"/>
              </w:rPr>
              <w:t> </w:t>
            </w:r>
            <w:r w:rsidRPr="005F330E">
              <w:rPr>
                <w:rFonts w:eastAsia="Calibri"/>
                <w:sz w:val="24"/>
                <w:szCs w:val="24"/>
                <w:lang w:eastAsia="en-US"/>
              </w:rPr>
              <w:t>punkta 7.1.,</w:t>
            </w:r>
            <w:r w:rsidRPr="005F330E">
              <w:rPr>
                <w:rFonts w:eastAsia="Calibri"/>
                <w:i/>
                <w:iCs/>
                <w:sz w:val="24"/>
                <w:szCs w:val="24"/>
                <w:lang w:eastAsia="en-US"/>
              </w:rPr>
              <w:t> </w:t>
            </w:r>
            <w:r w:rsidRPr="005F330E">
              <w:rPr>
                <w:rFonts w:eastAsia="Calibri"/>
                <w:sz w:val="24"/>
                <w:szCs w:val="24"/>
                <w:lang w:eastAsia="en-US"/>
              </w:rPr>
              <w:t>7.2.</w:t>
            </w:r>
            <w:r w:rsidRPr="005F330E">
              <w:rPr>
                <w:rFonts w:eastAsia="Calibri"/>
                <w:i/>
                <w:iCs/>
                <w:sz w:val="24"/>
                <w:szCs w:val="24"/>
                <w:lang w:eastAsia="en-US"/>
              </w:rPr>
              <w:t> </w:t>
            </w:r>
            <w:r w:rsidRPr="005F330E">
              <w:rPr>
                <w:rFonts w:eastAsia="Calibri"/>
                <w:sz w:val="24"/>
                <w:szCs w:val="24"/>
                <w:lang w:eastAsia="en-US"/>
              </w:rPr>
              <w:t>un 7.3.</w:t>
            </w:r>
            <w:r w:rsidRPr="005F330E">
              <w:rPr>
                <w:rFonts w:eastAsia="Calibri"/>
                <w:i/>
                <w:iCs/>
                <w:sz w:val="24"/>
                <w:szCs w:val="24"/>
                <w:lang w:eastAsia="en-US"/>
              </w:rPr>
              <w:t> </w:t>
            </w:r>
            <w:r w:rsidRPr="005F330E">
              <w:rPr>
                <w:rFonts w:eastAsia="Calibri"/>
                <w:sz w:val="24"/>
                <w:szCs w:val="24"/>
                <w:lang w:eastAsia="en-US"/>
              </w:rPr>
              <w:t>apakšpunktā noteiktajām garantijām ir saprātīgi un samērīgi iemesli, kas vērsti uz leģitīma mērķa sasniegšanu, un nepieciešamības gadījumā attiecīgi precizēt noteikumu projektu.</w:t>
            </w:r>
          </w:p>
          <w:p w:rsidR="00831EFD" w:rsidRPr="005F330E" w:rsidRDefault="006F747B" w:rsidP="005F330E">
            <w:pPr>
              <w:pStyle w:val="Paraststmeklis"/>
              <w:ind w:right="11"/>
              <w:jc w:val="both"/>
            </w:pPr>
            <w:r w:rsidRPr="005F330E">
              <w:rPr>
                <w:bCs/>
                <w:iCs/>
              </w:rPr>
              <w:t xml:space="preserve"> </w:t>
            </w:r>
          </w:p>
        </w:tc>
        <w:tc>
          <w:tcPr>
            <w:tcW w:w="2149" w:type="dxa"/>
          </w:tcPr>
          <w:p w:rsidR="003E7AA5" w:rsidRPr="00367715" w:rsidRDefault="00367715" w:rsidP="000C34BF">
            <w:pPr>
              <w:pStyle w:val="Parasts1"/>
              <w:jc w:val="both"/>
              <w:rPr>
                <w:b/>
              </w:rPr>
            </w:pPr>
            <w:r w:rsidRPr="00367715">
              <w:rPr>
                <w:b/>
              </w:rPr>
              <w:lastRenderedPageBreak/>
              <w:t>Ņemts vērā</w:t>
            </w:r>
            <w:r w:rsidR="00B0600C">
              <w:rPr>
                <w:b/>
              </w:rPr>
              <w:t xml:space="preserve">, </w:t>
            </w:r>
            <w:r w:rsidR="00575EA2" w:rsidRPr="00575EA2">
              <w:t xml:space="preserve">precizēta un </w:t>
            </w:r>
            <w:r w:rsidR="00B0600C" w:rsidRPr="00575EA2">
              <w:t>p</w:t>
            </w:r>
            <w:r w:rsidR="00B0600C" w:rsidRPr="00B0600C">
              <w:t>apildināta anotācija</w:t>
            </w:r>
          </w:p>
        </w:tc>
        <w:tc>
          <w:tcPr>
            <w:tcW w:w="3245" w:type="dxa"/>
          </w:tcPr>
          <w:p w:rsidR="00B0600C" w:rsidRPr="009B16C1" w:rsidRDefault="00B0600C" w:rsidP="00B0600C">
            <w:pPr>
              <w:pStyle w:val="Parasts1"/>
              <w:jc w:val="both"/>
              <w:rPr>
                <w:color w:val="000000" w:themeColor="text1"/>
                <w:lang w:eastAsia="en-US"/>
              </w:rPr>
            </w:pPr>
          </w:p>
        </w:tc>
      </w:tr>
      <w:tr w:rsidR="00AD0098" w:rsidTr="00B401F2">
        <w:trPr>
          <w:tblCellSpacing w:w="0" w:type="dxa"/>
        </w:trPr>
        <w:tc>
          <w:tcPr>
            <w:tcW w:w="441" w:type="dxa"/>
          </w:tcPr>
          <w:p w:rsidR="00AD0098" w:rsidRDefault="00AD0098" w:rsidP="002C4AB3">
            <w:pPr>
              <w:pStyle w:val="Parasts1"/>
              <w:jc w:val="center"/>
            </w:pPr>
          </w:p>
        </w:tc>
        <w:tc>
          <w:tcPr>
            <w:tcW w:w="3260" w:type="dxa"/>
          </w:tcPr>
          <w:p w:rsidR="00AD0098" w:rsidRPr="00DC09A7" w:rsidRDefault="00AD0098" w:rsidP="00DC09A7">
            <w:pPr>
              <w:jc w:val="both"/>
              <w:rPr>
                <w:sz w:val="24"/>
                <w:szCs w:val="24"/>
                <w:lang w:eastAsia="en-US"/>
              </w:rPr>
            </w:pPr>
          </w:p>
        </w:tc>
        <w:tc>
          <w:tcPr>
            <w:tcW w:w="5222" w:type="dxa"/>
          </w:tcPr>
          <w:p w:rsidR="00AD0098" w:rsidRPr="00153BF3" w:rsidRDefault="00AD0098" w:rsidP="00153BF3">
            <w:pPr>
              <w:pStyle w:val="Paraststmeklis"/>
              <w:tabs>
                <w:tab w:val="left" w:pos="993"/>
              </w:tabs>
              <w:ind w:right="11"/>
              <w:jc w:val="both"/>
              <w:rPr>
                <w:b/>
              </w:rPr>
            </w:pPr>
            <w:r w:rsidRPr="00153BF3">
              <w:rPr>
                <w:b/>
              </w:rPr>
              <w:t>Finanšu ministrija</w:t>
            </w:r>
            <w:r w:rsidR="009B3AE1" w:rsidRPr="00153BF3">
              <w:rPr>
                <w:b/>
              </w:rPr>
              <w:t xml:space="preserve"> (</w:t>
            </w:r>
            <w:r w:rsidR="005F330E">
              <w:rPr>
                <w:b/>
              </w:rPr>
              <w:t>13</w:t>
            </w:r>
            <w:r w:rsidR="009B3AE1" w:rsidRPr="00153BF3">
              <w:rPr>
                <w:b/>
              </w:rPr>
              <w:t>.</w:t>
            </w:r>
            <w:r w:rsidR="005F330E">
              <w:rPr>
                <w:b/>
              </w:rPr>
              <w:t>05</w:t>
            </w:r>
            <w:r w:rsidR="009B3AE1" w:rsidRPr="00153BF3">
              <w:rPr>
                <w:b/>
              </w:rPr>
              <w:t>.202</w:t>
            </w:r>
            <w:r w:rsidR="005F330E">
              <w:rPr>
                <w:b/>
              </w:rPr>
              <w:t>1</w:t>
            </w:r>
            <w:r w:rsidR="009B3AE1" w:rsidRPr="00153BF3">
              <w:rPr>
                <w:b/>
              </w:rPr>
              <w:t>.)</w:t>
            </w:r>
          </w:p>
        </w:tc>
        <w:tc>
          <w:tcPr>
            <w:tcW w:w="2149" w:type="dxa"/>
          </w:tcPr>
          <w:p w:rsidR="00AD0098" w:rsidRPr="00367715" w:rsidRDefault="00AD0098" w:rsidP="004B1391">
            <w:pPr>
              <w:pStyle w:val="Parasts1"/>
              <w:jc w:val="both"/>
              <w:rPr>
                <w:b/>
              </w:rPr>
            </w:pPr>
          </w:p>
        </w:tc>
        <w:tc>
          <w:tcPr>
            <w:tcW w:w="3245" w:type="dxa"/>
          </w:tcPr>
          <w:p w:rsidR="00AD0098" w:rsidRPr="009B16C1" w:rsidRDefault="00AD0098" w:rsidP="00594ADD">
            <w:pPr>
              <w:pStyle w:val="Parasts1"/>
              <w:rPr>
                <w:color w:val="000000" w:themeColor="text1"/>
                <w:lang w:eastAsia="en-US"/>
              </w:rPr>
            </w:pPr>
          </w:p>
        </w:tc>
      </w:tr>
      <w:tr w:rsidR="002A2ACE" w:rsidTr="00B401F2">
        <w:trPr>
          <w:tblCellSpacing w:w="0" w:type="dxa"/>
        </w:trPr>
        <w:tc>
          <w:tcPr>
            <w:tcW w:w="441" w:type="dxa"/>
          </w:tcPr>
          <w:p w:rsidR="002A2ACE" w:rsidRDefault="00AD0098" w:rsidP="002C4AB3">
            <w:pPr>
              <w:pStyle w:val="Parasts1"/>
              <w:jc w:val="center"/>
            </w:pPr>
            <w:r>
              <w:t>1</w:t>
            </w:r>
            <w:r w:rsidR="002A2ACE">
              <w:t>.</w:t>
            </w:r>
          </w:p>
        </w:tc>
        <w:tc>
          <w:tcPr>
            <w:tcW w:w="3260" w:type="dxa"/>
          </w:tcPr>
          <w:p w:rsidR="00B6423D" w:rsidRPr="00B6423D" w:rsidRDefault="00B6423D" w:rsidP="00B6423D">
            <w:pPr>
              <w:jc w:val="both"/>
              <w:rPr>
                <w:sz w:val="24"/>
                <w:szCs w:val="24"/>
                <w:lang w:eastAsia="en-US"/>
              </w:rPr>
            </w:pPr>
            <w:r w:rsidRPr="00B6423D">
              <w:rPr>
                <w:sz w:val="24"/>
                <w:szCs w:val="24"/>
                <w:lang w:eastAsia="en-US"/>
              </w:rPr>
              <w:t xml:space="preserve">4.3. finansējums no valsts budžeta programmas </w:t>
            </w:r>
            <w:r w:rsidRPr="00B6423D">
              <w:rPr>
                <w:sz w:val="24"/>
                <w:szCs w:val="24"/>
              </w:rPr>
              <w:t>"</w:t>
            </w:r>
            <w:r w:rsidRPr="00B6423D">
              <w:rPr>
                <w:sz w:val="24"/>
                <w:szCs w:val="24"/>
                <w:lang w:eastAsia="en-US"/>
              </w:rPr>
              <w:t>Līdzekļi neparedzētiem gadījumiem</w:t>
            </w:r>
            <w:r w:rsidRPr="00B6423D">
              <w:rPr>
                <w:sz w:val="24"/>
                <w:szCs w:val="24"/>
              </w:rPr>
              <w:t>"</w:t>
            </w:r>
            <w:r w:rsidRPr="00B6423D">
              <w:rPr>
                <w:sz w:val="24"/>
                <w:szCs w:val="24"/>
                <w:lang w:eastAsia="en-US"/>
              </w:rPr>
              <w:t xml:space="preserve"> 7 000 000 </w:t>
            </w:r>
            <w:proofErr w:type="spellStart"/>
            <w:r w:rsidRPr="00B6423D">
              <w:rPr>
                <w:i/>
                <w:sz w:val="24"/>
                <w:szCs w:val="24"/>
                <w:lang w:eastAsia="en-US"/>
              </w:rPr>
              <w:t>euro</w:t>
            </w:r>
            <w:proofErr w:type="spellEnd"/>
            <w:r w:rsidRPr="00B6423D">
              <w:rPr>
                <w:sz w:val="24"/>
                <w:szCs w:val="24"/>
                <w:lang w:eastAsia="en-US"/>
              </w:rPr>
              <w:t xml:space="preserve"> apmērā.</w:t>
            </w:r>
          </w:p>
          <w:p w:rsidR="002A2ACE" w:rsidRPr="00DC09A7" w:rsidRDefault="002A2ACE" w:rsidP="005A4ACE">
            <w:pPr>
              <w:jc w:val="both"/>
              <w:rPr>
                <w:sz w:val="24"/>
                <w:szCs w:val="24"/>
                <w:lang w:eastAsia="en-US"/>
              </w:rPr>
            </w:pPr>
          </w:p>
        </w:tc>
        <w:tc>
          <w:tcPr>
            <w:tcW w:w="5222" w:type="dxa"/>
          </w:tcPr>
          <w:p w:rsidR="002A2ACE" w:rsidRPr="00153BF3" w:rsidRDefault="005F330E" w:rsidP="00153BF3">
            <w:pPr>
              <w:pStyle w:val="Paraststmeklis"/>
              <w:tabs>
                <w:tab w:val="left" w:pos="993"/>
              </w:tabs>
              <w:ind w:right="11"/>
              <w:jc w:val="both"/>
            </w:pPr>
            <w:r w:rsidRPr="005F330E">
              <w:rPr>
                <w:rFonts w:eastAsia="Times New Roman"/>
                <w:color w:val="000000"/>
                <w:lang w:eastAsia="en-US"/>
              </w:rPr>
              <w:t xml:space="preserve">Ņemot vērā, ka Ministru kabineta 2021. gada 17. februāra rīkojumā Nr. 96 “Par finanšu līdzekļu piešķiršanu no valsts budžeta programmas "Līdzekļi neparedzētiem gadījumiem"” ir atļauts Zemkopības ministrijai piešķirt lauksaimniecības, zivsaimniecības un lauku attīstības garantiju programmas īstenošanai, nodrošinot nozares uzņēmumiem finanšu līdzekļu aizņemšanās iespējas kredītiestādēs, </w:t>
            </w:r>
            <w:r w:rsidRPr="005F330E">
              <w:rPr>
                <w:rFonts w:eastAsia="Times New Roman"/>
                <w:color w:val="000000"/>
                <w:u w:val="single"/>
                <w:lang w:eastAsia="en-US"/>
              </w:rPr>
              <w:t xml:space="preserve">finansējumu, kas nepārsniedz 7 000 000 </w:t>
            </w:r>
            <w:proofErr w:type="spellStart"/>
            <w:r w:rsidRPr="005F330E">
              <w:rPr>
                <w:rFonts w:eastAsia="Times New Roman"/>
                <w:i/>
                <w:iCs/>
                <w:color w:val="000000"/>
                <w:u w:val="single"/>
                <w:lang w:eastAsia="en-US"/>
              </w:rPr>
              <w:t>euro</w:t>
            </w:r>
            <w:proofErr w:type="spellEnd"/>
            <w:r w:rsidRPr="005F330E">
              <w:rPr>
                <w:rFonts w:eastAsia="Times New Roman"/>
                <w:color w:val="000000"/>
                <w:lang w:eastAsia="en-US"/>
              </w:rPr>
              <w:t>, lūdzam arī noteikumu projekta 1.punktā precizēt, ka šis finansējuma apmērs ir maksimālā robeža, piemēram, 4.3.apakšpunktu izsakot šādā redakcijā: “4</w:t>
            </w:r>
            <w:bookmarkStart w:id="1" w:name="_Hlk71625299"/>
            <w:r w:rsidRPr="005F330E">
              <w:rPr>
                <w:rFonts w:eastAsia="Times New Roman"/>
                <w:color w:val="000000"/>
                <w:lang w:eastAsia="en-US"/>
              </w:rPr>
              <w:t xml:space="preserve">.3. finansējums ne vairāk kā 7 000 000 </w:t>
            </w:r>
            <w:proofErr w:type="spellStart"/>
            <w:r w:rsidRPr="005F330E">
              <w:rPr>
                <w:rFonts w:eastAsia="Times New Roman"/>
                <w:i/>
                <w:iCs/>
                <w:color w:val="000000"/>
                <w:lang w:eastAsia="en-US"/>
              </w:rPr>
              <w:t>euro</w:t>
            </w:r>
            <w:proofErr w:type="spellEnd"/>
            <w:r w:rsidRPr="005F330E">
              <w:rPr>
                <w:rFonts w:eastAsia="Times New Roman"/>
                <w:color w:val="000000"/>
                <w:lang w:eastAsia="en-US"/>
              </w:rPr>
              <w:t xml:space="preserve"> apmērā no valsts budžeta programmas "Līdzekļi neparedzētiem gadījumiem"</w:t>
            </w:r>
            <w:bookmarkEnd w:id="1"/>
            <w:r w:rsidRPr="005F330E">
              <w:rPr>
                <w:rFonts w:eastAsia="Times New Roman"/>
                <w:color w:val="000000"/>
                <w:lang w:eastAsia="en-US"/>
              </w:rPr>
              <w:t>.”</w:t>
            </w:r>
          </w:p>
        </w:tc>
        <w:tc>
          <w:tcPr>
            <w:tcW w:w="2149" w:type="dxa"/>
          </w:tcPr>
          <w:p w:rsidR="002A2ACE" w:rsidRPr="00367715" w:rsidRDefault="002A2ACE" w:rsidP="004B1391">
            <w:pPr>
              <w:pStyle w:val="Parasts1"/>
              <w:jc w:val="both"/>
              <w:rPr>
                <w:b/>
              </w:rPr>
            </w:pPr>
            <w:r>
              <w:rPr>
                <w:b/>
              </w:rPr>
              <w:t>Ņemts vērā</w:t>
            </w:r>
          </w:p>
        </w:tc>
        <w:tc>
          <w:tcPr>
            <w:tcW w:w="3245" w:type="dxa"/>
          </w:tcPr>
          <w:p w:rsidR="002A2ACE" w:rsidRPr="003B0D44" w:rsidRDefault="00B6423D" w:rsidP="005A4ACE">
            <w:pPr>
              <w:pStyle w:val="Parasts1"/>
              <w:jc w:val="both"/>
              <w:rPr>
                <w:lang w:eastAsia="en-US"/>
              </w:rPr>
            </w:pPr>
            <w:r w:rsidRPr="00B6423D">
              <w:rPr>
                <w:lang w:eastAsia="en-US"/>
              </w:rPr>
              <w:t>4.3. finansējums ne vairāk kā 7</w:t>
            </w:r>
            <w:r>
              <w:t xml:space="preserve"> </w:t>
            </w:r>
            <w:r w:rsidRPr="00B6423D">
              <w:rPr>
                <w:lang w:eastAsia="en-US"/>
              </w:rPr>
              <w:t xml:space="preserve">000 000 </w:t>
            </w:r>
            <w:proofErr w:type="spellStart"/>
            <w:r w:rsidRPr="00B6423D">
              <w:rPr>
                <w:i/>
                <w:lang w:eastAsia="en-US"/>
              </w:rPr>
              <w:t>euro</w:t>
            </w:r>
            <w:proofErr w:type="spellEnd"/>
            <w:r w:rsidRPr="00B6423D">
              <w:rPr>
                <w:lang w:eastAsia="en-US"/>
              </w:rPr>
              <w:t xml:space="preserve"> apmērā no valsts budžeta programmas "Līdzekļi neparedzētiem gadījumiem".</w:t>
            </w:r>
          </w:p>
        </w:tc>
      </w:tr>
      <w:tr w:rsidR="005F330E" w:rsidTr="00B401F2">
        <w:trPr>
          <w:tblCellSpacing w:w="0" w:type="dxa"/>
        </w:trPr>
        <w:tc>
          <w:tcPr>
            <w:tcW w:w="441" w:type="dxa"/>
          </w:tcPr>
          <w:p w:rsidR="005F330E" w:rsidRDefault="005F330E" w:rsidP="002C4AB3">
            <w:pPr>
              <w:pStyle w:val="Parasts1"/>
              <w:jc w:val="center"/>
            </w:pPr>
            <w:r>
              <w:t>2.</w:t>
            </w:r>
          </w:p>
        </w:tc>
        <w:tc>
          <w:tcPr>
            <w:tcW w:w="3260" w:type="dxa"/>
          </w:tcPr>
          <w:p w:rsidR="00B6423D" w:rsidRPr="00B6423D" w:rsidRDefault="00B6423D" w:rsidP="00B6423D">
            <w:pPr>
              <w:jc w:val="both"/>
              <w:rPr>
                <w:sz w:val="24"/>
                <w:szCs w:val="24"/>
                <w:lang w:eastAsia="en-US"/>
              </w:rPr>
            </w:pPr>
            <w:r w:rsidRPr="00B6423D">
              <w:rPr>
                <w:sz w:val="24"/>
                <w:szCs w:val="24"/>
                <w:lang w:eastAsia="en-US"/>
              </w:rPr>
              <w:t>4.</w:t>
            </w:r>
            <w:r w:rsidRPr="00B6423D">
              <w:rPr>
                <w:sz w:val="24"/>
                <w:szCs w:val="24"/>
                <w:vertAlign w:val="superscript"/>
                <w:lang w:eastAsia="en-US"/>
              </w:rPr>
              <w:t>2</w:t>
            </w:r>
            <w:r w:rsidRPr="00B6423D">
              <w:rPr>
                <w:sz w:val="24"/>
                <w:szCs w:val="24"/>
                <w:lang w:eastAsia="en-US"/>
              </w:rPr>
              <w:t xml:space="preserve"> Garantiju programmas finansējumu, kas atbrīvojas pēc garantiju termiņa beigām, sabiedrība </w:t>
            </w:r>
            <w:proofErr w:type="spellStart"/>
            <w:r w:rsidRPr="00B6423D">
              <w:rPr>
                <w:i/>
                <w:sz w:val="24"/>
                <w:szCs w:val="24"/>
                <w:lang w:eastAsia="en-US"/>
              </w:rPr>
              <w:t>Altum</w:t>
            </w:r>
            <w:proofErr w:type="spellEnd"/>
            <w:r w:rsidRPr="00B6423D">
              <w:rPr>
                <w:i/>
                <w:sz w:val="24"/>
                <w:szCs w:val="24"/>
                <w:lang w:eastAsia="en-US"/>
              </w:rPr>
              <w:t xml:space="preserve"> </w:t>
            </w:r>
            <w:r w:rsidRPr="00B6423D">
              <w:rPr>
                <w:sz w:val="24"/>
                <w:szCs w:val="24"/>
                <w:lang w:eastAsia="en-US"/>
              </w:rPr>
              <w:t>atkārtoti izmanto</w:t>
            </w:r>
            <w:r w:rsidRPr="00B6423D" w:rsidDel="00485D92">
              <w:rPr>
                <w:sz w:val="24"/>
                <w:szCs w:val="24"/>
                <w:lang w:eastAsia="en-US"/>
              </w:rPr>
              <w:t xml:space="preserve"> </w:t>
            </w:r>
            <w:r w:rsidRPr="00B6423D">
              <w:rPr>
                <w:sz w:val="24"/>
                <w:szCs w:val="24"/>
                <w:lang w:eastAsia="en-US"/>
              </w:rPr>
              <w:t>garantiju programmas īstenošanai.</w:t>
            </w:r>
          </w:p>
          <w:p w:rsidR="005F330E" w:rsidRPr="00DC09A7" w:rsidRDefault="005F330E" w:rsidP="005A4ACE">
            <w:pPr>
              <w:jc w:val="both"/>
              <w:rPr>
                <w:sz w:val="24"/>
                <w:szCs w:val="24"/>
                <w:lang w:eastAsia="en-US"/>
              </w:rPr>
            </w:pPr>
          </w:p>
        </w:tc>
        <w:tc>
          <w:tcPr>
            <w:tcW w:w="5222" w:type="dxa"/>
          </w:tcPr>
          <w:p w:rsidR="005F330E" w:rsidRPr="005F330E" w:rsidRDefault="005F330E" w:rsidP="00153BF3">
            <w:pPr>
              <w:pStyle w:val="Paraststmeklis"/>
              <w:tabs>
                <w:tab w:val="left" w:pos="993"/>
              </w:tabs>
              <w:ind w:right="11"/>
              <w:jc w:val="both"/>
              <w:rPr>
                <w:rFonts w:eastAsia="Times New Roman"/>
                <w:color w:val="000000"/>
                <w:lang w:eastAsia="en-US"/>
              </w:rPr>
            </w:pPr>
            <w:r w:rsidRPr="005F330E">
              <w:rPr>
                <w:rFonts w:eastAsia="Times New Roman"/>
                <w:color w:val="000000"/>
                <w:lang w:eastAsia="en-US"/>
              </w:rPr>
              <w:t xml:space="preserve">Lūdzam precizēt noteikumu projekta 2.punktu, lai ir skaidri saprotams, ka garantiju programmas finansējums, kas tiks nodrošināts no valsts budžeta programmas "Līdzekļi neparedzētiem gadījumiem", atkārtoti ir izmantojams tikai tām garantiju programmas aktivitātēm, kas paredzētas pretendentiem, kuru darbību ir ietekmējusi </w:t>
            </w:r>
            <w:proofErr w:type="spellStart"/>
            <w:r w:rsidRPr="005F330E">
              <w:rPr>
                <w:rFonts w:eastAsia="Times New Roman"/>
                <w:color w:val="000000"/>
                <w:lang w:eastAsia="en-US"/>
              </w:rPr>
              <w:t>Covid-19</w:t>
            </w:r>
            <w:proofErr w:type="spellEnd"/>
            <w:r w:rsidRPr="005F330E">
              <w:rPr>
                <w:rFonts w:eastAsia="Times New Roman"/>
                <w:color w:val="000000"/>
                <w:lang w:eastAsia="en-US"/>
              </w:rPr>
              <w:t xml:space="preserve"> infekcijas izplatība un ar to saistītie ierobežojumi.</w:t>
            </w:r>
          </w:p>
        </w:tc>
        <w:tc>
          <w:tcPr>
            <w:tcW w:w="2149" w:type="dxa"/>
          </w:tcPr>
          <w:p w:rsidR="00B6423D" w:rsidRDefault="005F330E" w:rsidP="00B6423D">
            <w:pPr>
              <w:pStyle w:val="Parasts1"/>
              <w:jc w:val="both"/>
            </w:pPr>
            <w:r>
              <w:rPr>
                <w:b/>
              </w:rPr>
              <w:t>Ņemts vērā</w:t>
            </w:r>
            <w:r w:rsidR="00B6423D">
              <w:rPr>
                <w:b/>
              </w:rPr>
              <w:t xml:space="preserve">, </w:t>
            </w:r>
            <w:r w:rsidR="00B6423D" w:rsidRPr="00B6423D">
              <w:t xml:space="preserve">precizēts </w:t>
            </w:r>
            <w:r w:rsidR="00B6423D">
              <w:t xml:space="preserve">atbilstoši Ministru Kabineta 2021. gada 17.februāra rīkojumam Nr.96 "Par finanšu līdzekļu piešķiršanu no valsts budžeta programmas </w:t>
            </w:r>
          </w:p>
          <w:p w:rsidR="005F330E" w:rsidRDefault="00B6423D" w:rsidP="00B6423D">
            <w:pPr>
              <w:pStyle w:val="Parasts1"/>
              <w:jc w:val="both"/>
              <w:rPr>
                <w:b/>
              </w:rPr>
            </w:pPr>
            <w:r>
              <w:t xml:space="preserve">"Līdzekļi neparedzētiem gadījumiem"" </w:t>
            </w:r>
            <w:r w:rsidRPr="00B6423D">
              <w:t>un sniegts skaidrojums anotācijā</w:t>
            </w:r>
          </w:p>
        </w:tc>
        <w:tc>
          <w:tcPr>
            <w:tcW w:w="3245" w:type="dxa"/>
          </w:tcPr>
          <w:p w:rsidR="005F330E" w:rsidRPr="00B6423D" w:rsidRDefault="00B6423D" w:rsidP="005A4ACE">
            <w:pPr>
              <w:pStyle w:val="Parasts1"/>
              <w:jc w:val="both"/>
              <w:rPr>
                <w:lang w:eastAsia="en-US"/>
              </w:rPr>
            </w:pPr>
            <w:r w:rsidRPr="00B6423D">
              <w:rPr>
                <w:lang w:eastAsia="en-US"/>
              </w:rPr>
              <w:t>4.</w:t>
            </w:r>
            <w:r w:rsidRPr="00B6423D">
              <w:rPr>
                <w:vertAlign w:val="superscript"/>
                <w:lang w:eastAsia="en-US"/>
              </w:rPr>
              <w:t>2</w:t>
            </w:r>
            <w:r w:rsidRPr="00B6423D">
              <w:rPr>
                <w:lang w:eastAsia="en-US"/>
              </w:rPr>
              <w:t xml:space="preserve"> </w:t>
            </w:r>
            <w:r w:rsidR="00646C75" w:rsidRPr="00646C75">
              <w:rPr>
                <w:lang w:eastAsia="en-US"/>
              </w:rPr>
              <w:t xml:space="preserve">Garantiju programmas finansējumu no valsts budžeta programmas "Līdzekļi neparedzētiem gadījumiem", kas atbrīvojas pēc garantiju termiņa beigām, sabiedrība </w:t>
            </w:r>
            <w:proofErr w:type="spellStart"/>
            <w:r w:rsidR="00646C75" w:rsidRPr="00646C75">
              <w:rPr>
                <w:lang w:eastAsia="en-US"/>
              </w:rPr>
              <w:t>Altum</w:t>
            </w:r>
            <w:proofErr w:type="spellEnd"/>
            <w:r w:rsidR="00646C75" w:rsidRPr="00646C75">
              <w:rPr>
                <w:lang w:eastAsia="en-US"/>
              </w:rPr>
              <w:t xml:space="preserve"> atkārtoti izmanto garantiju programmas aktivitātēm, kas paredzētas garantiju piešķiršanai tādiem saimnieciskās darbības veicējiem, kuru darbību ir ietekmējusi ar </w:t>
            </w:r>
            <w:proofErr w:type="spellStart"/>
            <w:r w:rsidR="00646C75" w:rsidRPr="00646C75">
              <w:rPr>
                <w:lang w:eastAsia="en-US"/>
              </w:rPr>
              <w:t>Covid</w:t>
            </w:r>
            <w:proofErr w:type="spellEnd"/>
            <w:r w:rsidR="00646C75" w:rsidRPr="00646C75">
              <w:rPr>
                <w:lang w:eastAsia="en-US"/>
              </w:rPr>
              <w:t>–19 infekcijas izplatību saistītie ierobe</w:t>
            </w:r>
            <w:r w:rsidR="00646C75">
              <w:rPr>
                <w:lang w:eastAsia="en-US"/>
              </w:rPr>
              <w:t>ž</w:t>
            </w:r>
            <w:r w:rsidR="00646C75" w:rsidRPr="00646C75">
              <w:rPr>
                <w:lang w:eastAsia="en-US"/>
              </w:rPr>
              <w:t>ojumi.</w:t>
            </w:r>
          </w:p>
        </w:tc>
      </w:tr>
      <w:tr w:rsidR="005F330E" w:rsidTr="00B401F2">
        <w:trPr>
          <w:tblCellSpacing w:w="0" w:type="dxa"/>
        </w:trPr>
        <w:tc>
          <w:tcPr>
            <w:tcW w:w="441" w:type="dxa"/>
          </w:tcPr>
          <w:p w:rsidR="005F330E" w:rsidRDefault="005F330E" w:rsidP="002C4AB3">
            <w:pPr>
              <w:pStyle w:val="Parasts1"/>
              <w:jc w:val="center"/>
            </w:pPr>
            <w:r>
              <w:t>3.</w:t>
            </w:r>
          </w:p>
        </w:tc>
        <w:tc>
          <w:tcPr>
            <w:tcW w:w="3260" w:type="dxa"/>
          </w:tcPr>
          <w:p w:rsidR="005F330E" w:rsidRPr="00DC09A7" w:rsidRDefault="005F330E" w:rsidP="005A4ACE">
            <w:pPr>
              <w:jc w:val="both"/>
              <w:rPr>
                <w:sz w:val="24"/>
                <w:szCs w:val="24"/>
                <w:lang w:eastAsia="en-US"/>
              </w:rPr>
            </w:pPr>
          </w:p>
        </w:tc>
        <w:tc>
          <w:tcPr>
            <w:tcW w:w="5222" w:type="dxa"/>
          </w:tcPr>
          <w:p w:rsidR="005F330E" w:rsidRDefault="00C72202" w:rsidP="00153BF3">
            <w:pPr>
              <w:pStyle w:val="Paraststmeklis"/>
              <w:tabs>
                <w:tab w:val="left" w:pos="993"/>
              </w:tabs>
              <w:ind w:right="11"/>
              <w:jc w:val="both"/>
              <w:rPr>
                <w:rFonts w:eastAsia="Times New Roman"/>
                <w:color w:val="000000"/>
                <w:lang w:eastAsia="en-US"/>
              </w:rPr>
            </w:pPr>
            <w:r w:rsidRPr="00C72202">
              <w:rPr>
                <w:rFonts w:eastAsia="Times New Roman"/>
                <w:color w:val="000000"/>
                <w:lang w:eastAsia="en-US"/>
              </w:rPr>
              <w:t>Lūdzam anotācijas III sadaļas 6.punktā pievienot skaidrojumu par to, kā garantiju programmas gadījumā tiks pamatota faktiskā nepieciešamība, vai tie būs saņemtie garantiju pieprasījumi vai citādi.</w:t>
            </w:r>
          </w:p>
          <w:p w:rsidR="00C72202" w:rsidRPr="005F330E" w:rsidRDefault="00C72202" w:rsidP="00153BF3">
            <w:pPr>
              <w:pStyle w:val="Paraststmeklis"/>
              <w:tabs>
                <w:tab w:val="left" w:pos="993"/>
              </w:tabs>
              <w:ind w:right="11"/>
              <w:jc w:val="both"/>
              <w:rPr>
                <w:rFonts w:eastAsia="Times New Roman"/>
                <w:color w:val="000000"/>
                <w:lang w:eastAsia="en-US"/>
              </w:rPr>
            </w:pPr>
          </w:p>
        </w:tc>
        <w:tc>
          <w:tcPr>
            <w:tcW w:w="2149" w:type="dxa"/>
          </w:tcPr>
          <w:p w:rsidR="005F330E" w:rsidRDefault="00264107" w:rsidP="004B1391">
            <w:pPr>
              <w:pStyle w:val="Parasts1"/>
              <w:jc w:val="both"/>
              <w:rPr>
                <w:b/>
              </w:rPr>
            </w:pPr>
            <w:r>
              <w:rPr>
                <w:b/>
              </w:rPr>
              <w:lastRenderedPageBreak/>
              <w:t>Ņemts vērā</w:t>
            </w:r>
            <w:r w:rsidR="00110D7E">
              <w:rPr>
                <w:b/>
              </w:rPr>
              <w:t xml:space="preserve">, </w:t>
            </w:r>
            <w:r w:rsidR="00110D7E" w:rsidRPr="00110D7E">
              <w:t>papildināta anotācija ar informāciju</w:t>
            </w:r>
          </w:p>
        </w:tc>
        <w:tc>
          <w:tcPr>
            <w:tcW w:w="3245" w:type="dxa"/>
          </w:tcPr>
          <w:p w:rsidR="005F330E" w:rsidRPr="003B0D44" w:rsidRDefault="005F330E" w:rsidP="005A4ACE">
            <w:pPr>
              <w:pStyle w:val="Parasts1"/>
              <w:jc w:val="both"/>
              <w:rPr>
                <w:lang w:eastAsia="en-US"/>
              </w:rPr>
            </w:pPr>
          </w:p>
        </w:tc>
      </w:tr>
      <w:tr w:rsidR="00C72202" w:rsidTr="00B401F2">
        <w:trPr>
          <w:tblCellSpacing w:w="0" w:type="dxa"/>
        </w:trPr>
        <w:tc>
          <w:tcPr>
            <w:tcW w:w="441" w:type="dxa"/>
          </w:tcPr>
          <w:p w:rsidR="00C72202" w:rsidRDefault="00C72202" w:rsidP="002C4AB3">
            <w:pPr>
              <w:pStyle w:val="Parasts1"/>
              <w:jc w:val="center"/>
            </w:pPr>
            <w:r>
              <w:t>4.</w:t>
            </w:r>
          </w:p>
        </w:tc>
        <w:tc>
          <w:tcPr>
            <w:tcW w:w="3260" w:type="dxa"/>
          </w:tcPr>
          <w:p w:rsidR="00C72202" w:rsidRPr="00DC09A7" w:rsidRDefault="00C72202" w:rsidP="005A4ACE">
            <w:pPr>
              <w:jc w:val="both"/>
              <w:rPr>
                <w:sz w:val="24"/>
                <w:szCs w:val="24"/>
                <w:lang w:eastAsia="en-US"/>
              </w:rPr>
            </w:pPr>
          </w:p>
        </w:tc>
        <w:tc>
          <w:tcPr>
            <w:tcW w:w="5222" w:type="dxa"/>
          </w:tcPr>
          <w:p w:rsidR="00C72202" w:rsidRPr="00C72202" w:rsidRDefault="00C72202" w:rsidP="00C72202">
            <w:pPr>
              <w:jc w:val="both"/>
              <w:rPr>
                <w:sz w:val="24"/>
                <w:szCs w:val="24"/>
                <w:lang w:eastAsia="en-US"/>
              </w:rPr>
            </w:pPr>
            <w:r w:rsidRPr="00C72202">
              <w:rPr>
                <w:sz w:val="24"/>
                <w:szCs w:val="24"/>
                <w:lang w:eastAsia="en-US"/>
              </w:rPr>
              <w:t xml:space="preserve">Lai novērstu interpretācijas risku, un, lai no Ministru kabineta 2019. gada 8. janvāra noteikumiem Nr. 9 "Lauksaimniecības, zivsaimniecības un lauku attīstības garantiju programmas noteikumi"" (turpmāk – MKN Nr. 9) būtu skaidrs, kurā brīdī atbalsta sniedzējs veic atbalsta pretendenta atbilstības izvērtējumu atbilstoši Komisijas 2013. gada 18. decembra Regulas (ES) Nr. 1407/2013 par Līguma par Eiropas Savienības darbību 107. un 108. panta piemērošanu </w:t>
            </w:r>
            <w:proofErr w:type="spellStart"/>
            <w:r w:rsidRPr="00C72202">
              <w:rPr>
                <w:sz w:val="24"/>
                <w:szCs w:val="24"/>
                <w:lang w:eastAsia="en-US"/>
              </w:rPr>
              <w:t>de</w:t>
            </w:r>
            <w:proofErr w:type="spellEnd"/>
            <w:r w:rsidRPr="00C72202">
              <w:rPr>
                <w:sz w:val="24"/>
                <w:szCs w:val="24"/>
                <w:lang w:eastAsia="en-US"/>
              </w:rPr>
              <w:t xml:space="preserve"> </w:t>
            </w:r>
            <w:proofErr w:type="spellStart"/>
            <w:r w:rsidRPr="00C72202">
              <w:rPr>
                <w:sz w:val="24"/>
                <w:szCs w:val="24"/>
                <w:lang w:eastAsia="en-US"/>
              </w:rPr>
              <w:t>minimis</w:t>
            </w:r>
            <w:proofErr w:type="spellEnd"/>
            <w:r w:rsidRPr="00C72202">
              <w:rPr>
                <w:sz w:val="24"/>
                <w:szCs w:val="24"/>
                <w:lang w:eastAsia="en-US"/>
              </w:rPr>
              <w:t xml:space="preserve"> atbalstam (turpmāk – regula Nr. 1407/2013) prasībām, </w:t>
            </w:r>
            <w:r w:rsidRPr="00C72202">
              <w:rPr>
                <w:sz w:val="24"/>
                <w:szCs w:val="24"/>
                <w:u w:val="single"/>
                <w:lang w:eastAsia="en-US"/>
              </w:rPr>
              <w:t>lūdzam papildināt noteikumu projektu, ar normu, kas paredz, ka sabiedrība ALTUM komercdarbības atbalsta normu izvērtējumu veic dienā, kad tiek pieņemts MKN Nr. 9 3.punktā minētais lēmums</w:t>
            </w:r>
            <w:r w:rsidRPr="00C72202">
              <w:rPr>
                <w:sz w:val="24"/>
                <w:szCs w:val="24"/>
                <w:u w:val="single"/>
              </w:rPr>
              <w:t xml:space="preserve"> </w:t>
            </w:r>
            <w:r w:rsidRPr="00C72202">
              <w:rPr>
                <w:sz w:val="24"/>
                <w:szCs w:val="24"/>
                <w:u w:val="single"/>
                <w:lang w:eastAsia="en-US"/>
              </w:rPr>
              <w:t>par garantiju piešķiršanu vai noraidīšanu</w:t>
            </w:r>
            <w:r w:rsidRPr="00C72202">
              <w:rPr>
                <w:sz w:val="24"/>
                <w:szCs w:val="24"/>
                <w:lang w:eastAsia="en-US"/>
              </w:rPr>
              <w:t>. Ar atbilstošu informāciju aicinām papildināt arī anotāciju. Skaidrojam, ka atbalsta sniedzējam ir pienākums pārliecināties, ka atbalsta pretendents uz atbalsta piešķiršanas brīdi atbilst visiem piemērojamā komercdarbības atbalsta regulējuma nosacījumiem, jo īpaši, atbalsta saņēmēja statuss (atbilstoši grūtībās nonākuša uzņēmuma un mazā un vidējā komersanta definīcijai) ir jāfiksē atbilstoši situācijai, kāda ir uz atbalsta piešķiršanas brīdi.</w:t>
            </w:r>
          </w:p>
          <w:p w:rsidR="00C72202" w:rsidRPr="00C72202" w:rsidRDefault="00C72202" w:rsidP="00153BF3">
            <w:pPr>
              <w:pStyle w:val="Paraststmeklis"/>
              <w:tabs>
                <w:tab w:val="left" w:pos="993"/>
              </w:tabs>
              <w:ind w:right="11"/>
              <w:jc w:val="both"/>
              <w:rPr>
                <w:rFonts w:eastAsia="Times New Roman"/>
                <w:color w:val="000000"/>
                <w:lang w:eastAsia="en-US"/>
              </w:rPr>
            </w:pPr>
          </w:p>
        </w:tc>
        <w:tc>
          <w:tcPr>
            <w:tcW w:w="2149" w:type="dxa"/>
          </w:tcPr>
          <w:p w:rsidR="00C72202" w:rsidRDefault="000C19BB" w:rsidP="004B1391">
            <w:pPr>
              <w:pStyle w:val="Parasts1"/>
              <w:jc w:val="both"/>
              <w:rPr>
                <w:b/>
              </w:rPr>
            </w:pPr>
            <w:r>
              <w:rPr>
                <w:b/>
              </w:rPr>
              <w:t>Ņemts vērā</w:t>
            </w:r>
          </w:p>
        </w:tc>
        <w:tc>
          <w:tcPr>
            <w:tcW w:w="3245" w:type="dxa"/>
          </w:tcPr>
          <w:p w:rsidR="00C72202" w:rsidRPr="003B0D44" w:rsidRDefault="000C19BB" w:rsidP="005A4ACE">
            <w:pPr>
              <w:pStyle w:val="Parasts1"/>
              <w:jc w:val="both"/>
              <w:rPr>
                <w:lang w:eastAsia="en-US"/>
              </w:rPr>
            </w:pPr>
            <w:r w:rsidRPr="000C19BB">
              <w:rPr>
                <w:lang w:eastAsia="en-US"/>
              </w:rPr>
              <w:t>3.</w:t>
            </w:r>
            <w:r>
              <w:rPr>
                <w:lang w:eastAsia="en-US"/>
              </w:rPr>
              <w:t xml:space="preserve"> </w:t>
            </w:r>
            <w:r w:rsidRPr="000C19BB">
              <w:rPr>
                <w:lang w:eastAsia="en-US"/>
              </w:rPr>
              <w:t xml:space="preserve">Sabiedrība </w:t>
            </w:r>
            <w:proofErr w:type="spellStart"/>
            <w:r w:rsidRPr="000C19BB">
              <w:rPr>
                <w:i/>
                <w:lang w:eastAsia="en-US"/>
              </w:rPr>
              <w:t>Altum</w:t>
            </w:r>
            <w:proofErr w:type="spellEnd"/>
            <w:r w:rsidRPr="000C19BB">
              <w:rPr>
                <w:lang w:eastAsia="en-US"/>
              </w:rPr>
              <w:t xml:space="preserve"> komercdarbības atbalsta normu izvērtējumu veic dienā, kad pieņem lēmumu par garantiju piešķiršanu vai noraidīšanu. Diena, kurā tiek pieņemts lēmums par garantiju piešķiršanu, uzskatāma par valsts atbalsta piešķiršanas dienu.</w:t>
            </w:r>
          </w:p>
        </w:tc>
      </w:tr>
      <w:tr w:rsidR="002A2ACE" w:rsidTr="00B401F2">
        <w:trPr>
          <w:tblCellSpacing w:w="0" w:type="dxa"/>
        </w:trPr>
        <w:tc>
          <w:tcPr>
            <w:tcW w:w="441" w:type="dxa"/>
          </w:tcPr>
          <w:p w:rsidR="002A2ACE" w:rsidRDefault="00C72202" w:rsidP="002C4AB3">
            <w:pPr>
              <w:pStyle w:val="Parasts1"/>
              <w:jc w:val="center"/>
            </w:pPr>
            <w:r>
              <w:t>5</w:t>
            </w:r>
            <w:r w:rsidR="002A2ACE">
              <w:t>.</w:t>
            </w:r>
          </w:p>
        </w:tc>
        <w:tc>
          <w:tcPr>
            <w:tcW w:w="3260" w:type="dxa"/>
          </w:tcPr>
          <w:p w:rsidR="002A2ACE" w:rsidRPr="00DC09A7" w:rsidRDefault="002A2ACE" w:rsidP="002B5542">
            <w:pPr>
              <w:jc w:val="both"/>
              <w:rPr>
                <w:sz w:val="24"/>
                <w:szCs w:val="24"/>
                <w:lang w:eastAsia="en-US"/>
              </w:rPr>
            </w:pPr>
          </w:p>
        </w:tc>
        <w:tc>
          <w:tcPr>
            <w:tcW w:w="5222" w:type="dxa"/>
          </w:tcPr>
          <w:p w:rsidR="00153BF3" w:rsidRPr="003A5D31" w:rsidRDefault="00153BF3" w:rsidP="00153BF3">
            <w:pPr>
              <w:pStyle w:val="Sarakstarindkopa"/>
              <w:ind w:left="0"/>
              <w:contextualSpacing/>
              <w:jc w:val="both"/>
              <w:rPr>
                <w:shd w:val="clear" w:color="auto" w:fill="FFFFFF"/>
                <w:lang w:val="lv-LV"/>
              </w:rPr>
            </w:pPr>
            <w:r w:rsidRPr="003A5D31">
              <w:rPr>
                <w:lang w:val="lv-LV"/>
              </w:rPr>
              <w:t>Tā kā noteikumu projekts paredz finansējuma apjoma</w:t>
            </w:r>
            <w:r w:rsidRPr="003A5D31">
              <w:rPr>
                <w:iCs/>
                <w:lang w:val="lv-LV" w:eastAsia="lv-LV"/>
              </w:rPr>
              <w:t xml:space="preserve"> palielināšanu programmā l</w:t>
            </w:r>
            <w:r w:rsidRPr="003A5D31">
              <w:rPr>
                <w:lang w:val="lv-LV"/>
              </w:rPr>
              <w:t xml:space="preserve">ūdzam pievienot anotācijas pielikumu, kurā aktualizēti dati par esošo programmas īstenošanas gaitu, kā arī izvērtēta scenārijos balstīta turpmāka programmas ietekme, riski un sagaidāmie zaudējumi, finansiālais rezultāts un programmas īstenošanas izmaksu noteikšanas principi, piemēram, </w:t>
            </w:r>
            <w:r w:rsidRPr="003A5D31">
              <w:rPr>
                <w:lang w:val="lv-LV"/>
              </w:rPr>
              <w:lastRenderedPageBreak/>
              <w:t xml:space="preserve">atbilstība segtajam riskam, kredītriskam, izsniegšanas un ilgtermiņa darbības izdevumi, kā arī iekļauta informācija par zaudējumu segšanu, kas pārsniedz pirmo zaudējumu noteikto robežu, no piesaistītiem finanšu resursiem, kā arī informācija par maksas par </w:t>
            </w:r>
            <w:proofErr w:type="spellStart"/>
            <w:r w:rsidRPr="003A5D31">
              <w:rPr>
                <w:lang w:val="lv-LV"/>
              </w:rPr>
              <w:t>Altum</w:t>
            </w:r>
            <w:proofErr w:type="spellEnd"/>
            <w:r w:rsidRPr="003A5D31">
              <w:rPr>
                <w:lang w:val="lv-LV"/>
              </w:rPr>
              <w:t xml:space="preserve"> noslogoto kapitālu iecenošanu, maksas apmēru, kā arī pamatojumu par vadības izmaksām finanšu instrumentu griezumā, lai ievērotu Attīstības finanšu institūcijas likuma 5.panta otrās daļas 1.punktā un 12.panta trešajā un ceturtajā daļā noteikto.</w:t>
            </w:r>
          </w:p>
          <w:p w:rsidR="002A2ACE" w:rsidRPr="00153BF3" w:rsidRDefault="002A2ACE" w:rsidP="004E2D2D">
            <w:pPr>
              <w:pStyle w:val="Paraststmeklis"/>
              <w:tabs>
                <w:tab w:val="left" w:pos="993"/>
              </w:tabs>
              <w:ind w:right="11"/>
              <w:jc w:val="both"/>
            </w:pPr>
          </w:p>
        </w:tc>
        <w:tc>
          <w:tcPr>
            <w:tcW w:w="2149" w:type="dxa"/>
          </w:tcPr>
          <w:p w:rsidR="002A2ACE" w:rsidRPr="00367715" w:rsidRDefault="002A2ACE" w:rsidP="004B1391">
            <w:pPr>
              <w:pStyle w:val="Parasts1"/>
              <w:jc w:val="both"/>
              <w:rPr>
                <w:b/>
              </w:rPr>
            </w:pPr>
            <w:r>
              <w:rPr>
                <w:b/>
              </w:rPr>
              <w:lastRenderedPageBreak/>
              <w:t>Ņemts vērā</w:t>
            </w:r>
          </w:p>
        </w:tc>
        <w:tc>
          <w:tcPr>
            <w:tcW w:w="3245" w:type="dxa"/>
          </w:tcPr>
          <w:p w:rsidR="002A2ACE" w:rsidRPr="003B0D44" w:rsidRDefault="00083B72" w:rsidP="00AF462C">
            <w:pPr>
              <w:pStyle w:val="Parasts1"/>
              <w:jc w:val="both"/>
              <w:rPr>
                <w:lang w:eastAsia="en-US"/>
              </w:rPr>
            </w:pPr>
            <w:r>
              <w:rPr>
                <w:lang w:eastAsia="en-US"/>
              </w:rPr>
              <w:t>Pievienota kā ierobežotas pieejamības informācija.</w:t>
            </w:r>
          </w:p>
        </w:tc>
      </w:tr>
      <w:tr w:rsidR="00E65798" w:rsidTr="00B401F2">
        <w:trPr>
          <w:tblCellSpacing w:w="0" w:type="dxa"/>
        </w:trPr>
        <w:tc>
          <w:tcPr>
            <w:tcW w:w="441" w:type="dxa"/>
            <w:tcBorders>
              <w:top w:val="single" w:sz="6" w:space="0" w:color="auto"/>
              <w:left w:val="single" w:sz="6" w:space="0" w:color="auto"/>
              <w:bottom w:val="single" w:sz="6" w:space="0" w:color="auto"/>
              <w:right w:val="single" w:sz="6" w:space="0" w:color="auto"/>
            </w:tcBorders>
          </w:tcPr>
          <w:p w:rsidR="00E65798" w:rsidRDefault="00E65798" w:rsidP="00907F90">
            <w:pPr>
              <w:pStyle w:val="Parasts1"/>
              <w:jc w:val="center"/>
            </w:pPr>
            <w:r>
              <w:t>3.</w:t>
            </w:r>
          </w:p>
        </w:tc>
        <w:tc>
          <w:tcPr>
            <w:tcW w:w="3260" w:type="dxa"/>
            <w:tcBorders>
              <w:top w:val="single" w:sz="6" w:space="0" w:color="auto"/>
              <w:left w:val="single" w:sz="6" w:space="0" w:color="auto"/>
              <w:bottom w:val="single" w:sz="6" w:space="0" w:color="auto"/>
              <w:right w:val="single" w:sz="6" w:space="0" w:color="auto"/>
            </w:tcBorders>
          </w:tcPr>
          <w:p w:rsidR="00E65798" w:rsidRDefault="00E65798" w:rsidP="00907F90">
            <w:pPr>
              <w:jc w:val="both"/>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rPr>
                <w:sz w:val="24"/>
                <w:szCs w:val="24"/>
                <w:lang w:eastAsia="en-US"/>
              </w:rPr>
            </w:pPr>
          </w:p>
          <w:p w:rsidR="00C72202" w:rsidRPr="00C72202" w:rsidRDefault="00C72202" w:rsidP="00C72202">
            <w:pPr>
              <w:ind w:firstLine="720"/>
              <w:rPr>
                <w:sz w:val="24"/>
                <w:szCs w:val="24"/>
                <w:lang w:eastAsia="en-US"/>
              </w:rPr>
            </w:pPr>
          </w:p>
        </w:tc>
        <w:tc>
          <w:tcPr>
            <w:tcW w:w="5222" w:type="dxa"/>
            <w:tcBorders>
              <w:top w:val="single" w:sz="6" w:space="0" w:color="auto"/>
              <w:left w:val="single" w:sz="6" w:space="0" w:color="auto"/>
              <w:bottom w:val="single" w:sz="6" w:space="0" w:color="auto"/>
              <w:right w:val="single" w:sz="6" w:space="0" w:color="auto"/>
            </w:tcBorders>
          </w:tcPr>
          <w:p w:rsidR="00C72202" w:rsidRPr="00C72202" w:rsidRDefault="00C72202" w:rsidP="00C72202">
            <w:pPr>
              <w:jc w:val="both"/>
              <w:rPr>
                <w:sz w:val="24"/>
                <w:szCs w:val="24"/>
                <w:lang w:eastAsia="en-US"/>
              </w:rPr>
            </w:pPr>
            <w:r w:rsidRPr="00C72202">
              <w:rPr>
                <w:sz w:val="24"/>
              </w:rPr>
              <w:t xml:space="preserve">Lūdzam pievienot </w:t>
            </w:r>
            <w:r w:rsidRPr="00C72202">
              <w:rPr>
                <w:sz w:val="24"/>
                <w:szCs w:val="24"/>
              </w:rPr>
              <w:t>Ministru kabineta sēdes protokollēmuma projektu, kurā iekļauti šādi punkti:</w:t>
            </w:r>
          </w:p>
          <w:p w:rsidR="00C72202" w:rsidRPr="00C72202" w:rsidRDefault="00C72202" w:rsidP="00C72202">
            <w:pPr>
              <w:pStyle w:val="Sarakstarindkopa"/>
              <w:numPr>
                <w:ilvl w:val="1"/>
                <w:numId w:val="47"/>
              </w:numPr>
              <w:ind w:left="533"/>
              <w:jc w:val="both"/>
              <w:rPr>
                <w:lang w:val="lv-LV"/>
              </w:rPr>
            </w:pPr>
            <w:r w:rsidRPr="00C72202">
              <w:rPr>
                <w:lang w:val="lv-LV"/>
              </w:rPr>
              <w:t xml:space="preserve">Palielināt akciju sabiedrībai </w:t>
            </w:r>
            <w:r w:rsidRPr="00C72202">
              <w:rPr>
                <w:iCs/>
                <w:lang w:val="lv-LV"/>
              </w:rPr>
              <w:t>„</w:t>
            </w:r>
            <w:r w:rsidRPr="00C72202">
              <w:rPr>
                <w:lang w:val="lv-LV"/>
              </w:rPr>
              <w:t xml:space="preserve">Attīstības finanšu institūcija </w:t>
            </w:r>
            <w:proofErr w:type="spellStart"/>
            <w:r w:rsidRPr="00C72202">
              <w:rPr>
                <w:lang w:val="lv-LV"/>
              </w:rPr>
              <w:t>Altum</w:t>
            </w:r>
            <w:proofErr w:type="spellEnd"/>
            <w:r w:rsidRPr="00C72202">
              <w:rPr>
                <w:lang w:val="lv-LV"/>
              </w:rPr>
              <w:t>” rezerves kapitālu atbalsta lauksaimniecības, zivsaimniecības un lauku attīstības garantiju programmas finansēšanai atbilstoši programmas izvērtējumā aprēķinātajam sagaidāmo kredītrisku zaudējumu apmēram;</w:t>
            </w:r>
          </w:p>
          <w:p w:rsidR="00C72202" w:rsidRPr="00C72202" w:rsidRDefault="00C72202" w:rsidP="00C72202">
            <w:pPr>
              <w:numPr>
                <w:ilvl w:val="1"/>
                <w:numId w:val="47"/>
              </w:numPr>
              <w:ind w:left="533"/>
              <w:jc w:val="both"/>
              <w:rPr>
                <w:sz w:val="24"/>
                <w:szCs w:val="24"/>
              </w:rPr>
            </w:pPr>
            <w:r w:rsidRPr="00C72202">
              <w:rPr>
                <w:sz w:val="24"/>
                <w:szCs w:val="24"/>
              </w:rPr>
              <w:t xml:space="preserve">Finanšu ministrijai, Ekonomikas ministrijai un Zemkopības ministrijai kā akciju sabiedrības </w:t>
            </w:r>
            <w:r w:rsidRPr="00C72202">
              <w:rPr>
                <w:iCs/>
                <w:sz w:val="24"/>
                <w:szCs w:val="24"/>
              </w:rPr>
              <w:t>„</w:t>
            </w:r>
            <w:r w:rsidRPr="00C72202">
              <w:rPr>
                <w:sz w:val="24"/>
                <w:szCs w:val="24"/>
              </w:rPr>
              <w:t xml:space="preserve">Attīstības finanšu institūcija </w:t>
            </w:r>
            <w:proofErr w:type="spellStart"/>
            <w:r w:rsidRPr="00C72202">
              <w:rPr>
                <w:sz w:val="24"/>
                <w:szCs w:val="24"/>
              </w:rPr>
              <w:t>Altum</w:t>
            </w:r>
            <w:proofErr w:type="spellEnd"/>
            <w:r w:rsidRPr="00C72202">
              <w:rPr>
                <w:sz w:val="24"/>
                <w:szCs w:val="24"/>
              </w:rPr>
              <w:t xml:space="preserve">” kapitāla daļu turētājiem nodrošināt minēto finanšu līdzekļu ieskaitīšanu akciju sabiedrības </w:t>
            </w:r>
            <w:r w:rsidRPr="00C72202">
              <w:rPr>
                <w:iCs/>
                <w:sz w:val="24"/>
                <w:szCs w:val="24"/>
              </w:rPr>
              <w:t>„</w:t>
            </w:r>
            <w:r w:rsidRPr="00C72202">
              <w:rPr>
                <w:sz w:val="24"/>
                <w:szCs w:val="24"/>
              </w:rPr>
              <w:t xml:space="preserve">Attīstības finanšu institūcija </w:t>
            </w:r>
            <w:proofErr w:type="spellStart"/>
            <w:r w:rsidRPr="00C72202">
              <w:rPr>
                <w:sz w:val="24"/>
                <w:szCs w:val="24"/>
              </w:rPr>
              <w:t>Altum</w:t>
            </w:r>
            <w:proofErr w:type="spellEnd"/>
            <w:r w:rsidRPr="00C72202">
              <w:rPr>
                <w:sz w:val="24"/>
                <w:szCs w:val="24"/>
              </w:rPr>
              <w:t>” rezerves kapitālā.</w:t>
            </w:r>
          </w:p>
          <w:p w:rsidR="00E65798" w:rsidRPr="003A5D31" w:rsidRDefault="00E65798" w:rsidP="00E65798">
            <w:pPr>
              <w:pStyle w:val="Sarakstarindkopa"/>
              <w:ind w:left="0"/>
              <w:contextualSpacing/>
              <w:rPr>
                <w:lang w:val="lv-LV"/>
              </w:rPr>
            </w:pPr>
          </w:p>
        </w:tc>
        <w:tc>
          <w:tcPr>
            <w:tcW w:w="2149" w:type="dxa"/>
            <w:tcBorders>
              <w:top w:val="single" w:sz="6" w:space="0" w:color="auto"/>
              <w:left w:val="single" w:sz="6" w:space="0" w:color="auto"/>
              <w:bottom w:val="single" w:sz="6" w:space="0" w:color="auto"/>
              <w:right w:val="single" w:sz="6" w:space="0" w:color="auto"/>
            </w:tcBorders>
          </w:tcPr>
          <w:p w:rsidR="00E65798" w:rsidRPr="00E65798" w:rsidRDefault="00E65798" w:rsidP="00907F90">
            <w:pPr>
              <w:pStyle w:val="Parasts1"/>
              <w:jc w:val="both"/>
              <w:rPr>
                <w:b/>
              </w:rPr>
            </w:pPr>
            <w:r w:rsidRPr="00E65798">
              <w:rPr>
                <w:b/>
              </w:rPr>
              <w:t>Ņemts vērā</w:t>
            </w:r>
          </w:p>
        </w:tc>
        <w:tc>
          <w:tcPr>
            <w:tcW w:w="3245" w:type="dxa"/>
            <w:tcBorders>
              <w:top w:val="single" w:sz="6" w:space="0" w:color="auto"/>
              <w:left w:val="single" w:sz="6" w:space="0" w:color="auto"/>
              <w:bottom w:val="single" w:sz="6" w:space="0" w:color="auto"/>
              <w:right w:val="single" w:sz="6" w:space="0" w:color="auto"/>
            </w:tcBorders>
          </w:tcPr>
          <w:p w:rsidR="00E65798" w:rsidRPr="003B0D44" w:rsidRDefault="00C72202" w:rsidP="00907F90">
            <w:pPr>
              <w:pStyle w:val="Parasts1"/>
              <w:jc w:val="both"/>
              <w:rPr>
                <w:lang w:eastAsia="en-US"/>
              </w:rPr>
            </w:pPr>
            <w:r>
              <w:rPr>
                <w:lang w:eastAsia="en-US"/>
              </w:rPr>
              <w:t xml:space="preserve">Pievienots </w:t>
            </w:r>
            <w:r w:rsidRPr="00C72202">
              <w:t>Ministru kabineta sēdes protokollēmuma projekt</w:t>
            </w:r>
            <w:r>
              <w:t>s</w:t>
            </w:r>
          </w:p>
        </w:tc>
      </w:tr>
    </w:tbl>
    <w:p w:rsidR="00E3343C" w:rsidRDefault="00E3343C">
      <w:pPr>
        <w:pStyle w:val="Parasts1"/>
      </w:pPr>
    </w:p>
    <w:p w:rsidR="00F04EC0" w:rsidRDefault="00F04EC0">
      <w:pPr>
        <w:pStyle w:val="Parasts1"/>
      </w:pPr>
    </w:p>
    <w:p w:rsidR="009A786B" w:rsidRDefault="009A786B" w:rsidP="005B79B3">
      <w:pPr>
        <w:pStyle w:val="naislab"/>
        <w:jc w:val="both"/>
        <w:rPr>
          <w:sz w:val="20"/>
        </w:rPr>
      </w:pPr>
    </w:p>
    <w:p w:rsidR="009A786B" w:rsidRDefault="009A786B" w:rsidP="005B79B3">
      <w:pPr>
        <w:pStyle w:val="naislab"/>
        <w:jc w:val="both"/>
        <w:rPr>
          <w:sz w:val="20"/>
        </w:rPr>
      </w:pPr>
    </w:p>
    <w:p w:rsidR="009A786B" w:rsidRDefault="009A786B" w:rsidP="005B79B3">
      <w:pPr>
        <w:pStyle w:val="naislab"/>
        <w:jc w:val="both"/>
        <w:rPr>
          <w:sz w:val="20"/>
        </w:rPr>
      </w:pPr>
    </w:p>
    <w:p w:rsidR="005B79B3" w:rsidRPr="00616213" w:rsidRDefault="005B79B3" w:rsidP="005B79B3">
      <w:pPr>
        <w:pStyle w:val="naislab"/>
        <w:jc w:val="both"/>
        <w:rPr>
          <w:sz w:val="16"/>
        </w:rPr>
      </w:pPr>
      <w:r w:rsidRPr="00616213">
        <w:rPr>
          <w:sz w:val="20"/>
        </w:rPr>
        <w:lastRenderedPageBreak/>
        <w:t> Piezīme. * Dokumenta rekvizītu "paraksts" neaizpilda, ja elektroniskais dokuments ir sagatavots atbilstoši normatīvajiem aktiem par elektronisko dokumentu noformēšanu.</w:t>
      </w:r>
    </w:p>
    <w:tbl>
      <w:tblPr>
        <w:tblW w:w="0" w:type="auto"/>
        <w:tblCellSpacing w:w="0" w:type="dxa"/>
        <w:tblCellMar>
          <w:left w:w="0" w:type="dxa"/>
          <w:right w:w="0" w:type="dxa"/>
        </w:tblCellMar>
        <w:tblLook w:val="0000" w:firstRow="0" w:lastRow="0" w:firstColumn="0" w:lastColumn="0" w:noHBand="0" w:noVBand="0"/>
      </w:tblPr>
      <w:tblGrid>
        <w:gridCol w:w="8265"/>
      </w:tblGrid>
      <w:tr w:rsidR="005B79B3" w:rsidRPr="008C3358">
        <w:trPr>
          <w:tblCellSpacing w:w="0" w:type="dxa"/>
        </w:trPr>
        <w:tc>
          <w:tcPr>
            <w:tcW w:w="8265" w:type="dxa"/>
            <w:tcBorders>
              <w:top w:val="single" w:sz="8" w:space="0" w:color="000000"/>
              <w:left w:val="nil"/>
              <w:bottom w:val="nil"/>
              <w:right w:val="nil"/>
            </w:tcBorders>
          </w:tcPr>
          <w:p w:rsidR="005B79B3" w:rsidRPr="008C3358" w:rsidRDefault="005B79B3" w:rsidP="005B79B3">
            <w:pPr>
              <w:pStyle w:val="Parasts1"/>
              <w:jc w:val="both"/>
            </w:pPr>
            <w:r w:rsidRPr="008C3358">
              <w:t>  (par projektu atbildīgās amatpersonas vārds un uzvārds)</w:t>
            </w:r>
          </w:p>
        </w:tc>
      </w:tr>
      <w:tr w:rsidR="005B79B3" w:rsidRPr="008C3358">
        <w:trPr>
          <w:tblCellSpacing w:w="0" w:type="dxa"/>
        </w:trPr>
        <w:tc>
          <w:tcPr>
            <w:tcW w:w="8265" w:type="dxa"/>
            <w:tcBorders>
              <w:top w:val="nil"/>
              <w:left w:val="nil"/>
              <w:bottom w:val="single" w:sz="8" w:space="0" w:color="000000"/>
              <w:right w:val="nil"/>
            </w:tcBorders>
          </w:tcPr>
          <w:p w:rsidR="005B79B3" w:rsidRPr="008C3358" w:rsidRDefault="005B79B3" w:rsidP="00070E7F">
            <w:pPr>
              <w:pStyle w:val="naislab"/>
              <w:jc w:val="both"/>
            </w:pPr>
            <w:r w:rsidRPr="008C3358">
              <w:t> </w:t>
            </w:r>
            <w:r w:rsidR="00070E7F">
              <w:t>Linda Voiče</w:t>
            </w:r>
          </w:p>
        </w:tc>
      </w:tr>
      <w:tr w:rsidR="005B79B3" w:rsidRPr="008C3358">
        <w:trPr>
          <w:tblCellSpacing w:w="0" w:type="dxa"/>
        </w:trPr>
        <w:tc>
          <w:tcPr>
            <w:tcW w:w="0" w:type="auto"/>
            <w:tcBorders>
              <w:top w:val="nil"/>
              <w:left w:val="nil"/>
              <w:bottom w:val="nil"/>
              <w:right w:val="nil"/>
            </w:tcBorders>
            <w:vAlign w:val="center"/>
          </w:tcPr>
          <w:p w:rsidR="005B79B3" w:rsidRPr="008C3358" w:rsidRDefault="005B79B3" w:rsidP="005B79B3">
            <w:pPr>
              <w:pStyle w:val="Parasts1"/>
              <w:jc w:val="both"/>
            </w:pPr>
            <w:r w:rsidRPr="008C3358">
              <w:t>(amats)</w:t>
            </w:r>
          </w:p>
        </w:tc>
      </w:tr>
      <w:tr w:rsidR="005B79B3" w:rsidRPr="008C3358" w:rsidTr="003D10B7">
        <w:trPr>
          <w:trHeight w:val="249"/>
          <w:tblCellSpacing w:w="0" w:type="dxa"/>
        </w:trPr>
        <w:tc>
          <w:tcPr>
            <w:tcW w:w="0" w:type="auto"/>
            <w:tcBorders>
              <w:top w:val="nil"/>
              <w:left w:val="nil"/>
              <w:bottom w:val="single" w:sz="8" w:space="0" w:color="000000"/>
              <w:right w:val="nil"/>
            </w:tcBorders>
            <w:vAlign w:val="center"/>
          </w:tcPr>
          <w:p w:rsidR="005B79B3" w:rsidRPr="008C3358" w:rsidRDefault="005B79B3" w:rsidP="00070E7F">
            <w:pPr>
              <w:pStyle w:val="naislab"/>
              <w:jc w:val="both"/>
            </w:pPr>
            <w:r w:rsidRPr="008C3358">
              <w:t> </w:t>
            </w:r>
            <w:r w:rsidR="00D169D7">
              <w:t>Vecāk</w:t>
            </w:r>
            <w:r w:rsidR="00070E7F">
              <w:t>ā</w:t>
            </w:r>
            <w:r w:rsidR="00D169D7">
              <w:t xml:space="preserve"> referent</w:t>
            </w:r>
            <w:r w:rsidR="00070E7F">
              <w:t>e</w:t>
            </w:r>
          </w:p>
        </w:tc>
      </w:tr>
      <w:tr w:rsidR="005B79B3" w:rsidRPr="008C3358">
        <w:trPr>
          <w:tblCellSpacing w:w="0" w:type="dxa"/>
        </w:trPr>
        <w:tc>
          <w:tcPr>
            <w:tcW w:w="0" w:type="auto"/>
            <w:tcBorders>
              <w:top w:val="nil"/>
              <w:left w:val="nil"/>
              <w:bottom w:val="nil"/>
              <w:right w:val="nil"/>
            </w:tcBorders>
            <w:vAlign w:val="center"/>
          </w:tcPr>
          <w:p w:rsidR="005B79B3" w:rsidRPr="008C3358" w:rsidRDefault="005B79B3" w:rsidP="005B79B3">
            <w:pPr>
              <w:pStyle w:val="Parasts1"/>
              <w:jc w:val="both"/>
            </w:pPr>
            <w:r w:rsidRPr="008C3358">
              <w:t>(tālruņa un faksa numurs)</w:t>
            </w:r>
          </w:p>
        </w:tc>
      </w:tr>
      <w:tr w:rsidR="005B79B3" w:rsidRPr="008C3358" w:rsidTr="003D10B7">
        <w:trPr>
          <w:trHeight w:val="245"/>
          <w:tblCellSpacing w:w="0" w:type="dxa"/>
        </w:trPr>
        <w:tc>
          <w:tcPr>
            <w:tcW w:w="0" w:type="auto"/>
            <w:tcBorders>
              <w:top w:val="nil"/>
              <w:left w:val="nil"/>
              <w:bottom w:val="single" w:sz="8" w:space="0" w:color="000000"/>
              <w:right w:val="nil"/>
            </w:tcBorders>
            <w:vAlign w:val="center"/>
          </w:tcPr>
          <w:p w:rsidR="005B79B3" w:rsidRPr="008C3358" w:rsidRDefault="005B79B3" w:rsidP="00070E7F">
            <w:pPr>
              <w:pStyle w:val="naislab"/>
              <w:jc w:val="both"/>
            </w:pPr>
            <w:r w:rsidRPr="008C3358">
              <w:t> tāl</w:t>
            </w:r>
            <w:r w:rsidR="00B33832" w:rsidRPr="008C3358">
              <w:t>r</w:t>
            </w:r>
            <w:r w:rsidRPr="008C3358">
              <w:t>. 67027</w:t>
            </w:r>
            <w:r w:rsidR="00070E7F">
              <w:t>12</w:t>
            </w:r>
            <w:r w:rsidR="00D169D7">
              <w:t>1</w:t>
            </w:r>
            <w:r w:rsidRPr="008C3358">
              <w:t>; fakss: 67</w:t>
            </w:r>
            <w:r w:rsidR="00FA3503" w:rsidRPr="008C3358">
              <w:t>878722</w:t>
            </w:r>
          </w:p>
        </w:tc>
      </w:tr>
      <w:tr w:rsidR="005B79B3" w:rsidRPr="008C3358">
        <w:trPr>
          <w:tblCellSpacing w:w="0" w:type="dxa"/>
        </w:trPr>
        <w:tc>
          <w:tcPr>
            <w:tcW w:w="0" w:type="auto"/>
            <w:tcBorders>
              <w:top w:val="nil"/>
              <w:left w:val="nil"/>
              <w:bottom w:val="nil"/>
              <w:right w:val="nil"/>
            </w:tcBorders>
            <w:vAlign w:val="center"/>
          </w:tcPr>
          <w:p w:rsidR="005B79B3" w:rsidRPr="008C3358" w:rsidRDefault="005B79B3" w:rsidP="00070E7F">
            <w:pPr>
              <w:pStyle w:val="Parasts1"/>
              <w:jc w:val="both"/>
            </w:pPr>
            <w:r w:rsidRPr="008C3358">
              <w:t>(e-pasta adrese</w:t>
            </w:r>
            <w:r w:rsidR="00070E7F">
              <w:t>) Linda.Voice</w:t>
            </w:r>
            <w:r w:rsidRPr="008C3358">
              <w:t>@zm.gov.lv</w:t>
            </w:r>
          </w:p>
        </w:tc>
      </w:tr>
    </w:tbl>
    <w:p w:rsidR="005B79B3" w:rsidRDefault="005B79B3" w:rsidP="00A73F5E">
      <w:pPr>
        <w:pStyle w:val="Parasts1"/>
      </w:pPr>
    </w:p>
    <w:sectPr w:rsidR="005B79B3" w:rsidSect="004E521B">
      <w:headerReference w:type="even" r:id="rId8"/>
      <w:headerReference w:type="default" r:id="rId9"/>
      <w:footerReference w:type="default" r:id="rId10"/>
      <w:footerReference w:type="first" r:id="rId11"/>
      <w:pgSz w:w="16838" w:h="11906" w:orient="landscape" w:code="9"/>
      <w:pgMar w:top="1276"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A3" w:rsidRDefault="004B50A3">
      <w:pPr>
        <w:pStyle w:val="Parasts1"/>
      </w:pPr>
      <w:r>
        <w:separator/>
      </w:r>
    </w:p>
  </w:endnote>
  <w:endnote w:type="continuationSeparator" w:id="0">
    <w:p w:rsidR="004B50A3" w:rsidRDefault="004B50A3">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9A786B" w:rsidRDefault="009A786B" w:rsidP="009A786B">
    <w:pPr>
      <w:pStyle w:val="Kjene"/>
      <w:rPr>
        <w:sz w:val="20"/>
        <w:szCs w:val="20"/>
      </w:rPr>
    </w:pPr>
    <w:r w:rsidRPr="0075296B">
      <w:rPr>
        <w:sz w:val="20"/>
        <w:szCs w:val="20"/>
      </w:rPr>
      <w:t>ZM</w:t>
    </w:r>
    <w:r>
      <w:rPr>
        <w:sz w:val="20"/>
        <w:szCs w:val="20"/>
      </w:rPr>
      <w:t>i</w:t>
    </w:r>
    <w:r w:rsidRPr="0075296B">
      <w:rPr>
        <w:sz w:val="20"/>
        <w:szCs w:val="20"/>
      </w:rPr>
      <w:t>zz_</w:t>
    </w:r>
    <w:r>
      <w:rPr>
        <w:sz w:val="20"/>
        <w:szCs w:val="20"/>
      </w:rPr>
      <w:t>070621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75296B" w:rsidRDefault="00B962E2" w:rsidP="00C82CF0">
    <w:pPr>
      <w:pStyle w:val="Kjene"/>
      <w:rPr>
        <w:sz w:val="20"/>
        <w:szCs w:val="20"/>
      </w:rPr>
    </w:pPr>
    <w:r w:rsidRPr="0075296B">
      <w:rPr>
        <w:sz w:val="20"/>
        <w:szCs w:val="20"/>
      </w:rPr>
      <w:t>ZM</w:t>
    </w:r>
    <w:r w:rsidR="009A786B">
      <w:rPr>
        <w:sz w:val="20"/>
        <w:szCs w:val="20"/>
      </w:rPr>
      <w:t>i</w:t>
    </w:r>
    <w:r w:rsidRPr="0075296B">
      <w:rPr>
        <w:sz w:val="20"/>
        <w:szCs w:val="20"/>
      </w:rPr>
      <w:t>zz_</w:t>
    </w:r>
    <w:r w:rsidR="009A786B">
      <w:rPr>
        <w:sz w:val="20"/>
        <w:szCs w:val="20"/>
      </w:rPr>
      <w:t>0706</w:t>
    </w:r>
    <w:r w:rsidR="00C72202">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A3" w:rsidRDefault="004B50A3">
      <w:pPr>
        <w:pStyle w:val="Parasts1"/>
      </w:pPr>
      <w:r>
        <w:separator/>
      </w:r>
    </w:p>
  </w:footnote>
  <w:footnote w:type="continuationSeparator" w:id="0">
    <w:p w:rsidR="004B50A3" w:rsidRDefault="004B50A3">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rsidR="00B962E2" w:rsidRDefault="00B96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040B74">
      <w:rPr>
        <w:rStyle w:val="Lappusesnumurs"/>
        <w:noProof/>
      </w:rPr>
      <w:t>4</w:t>
    </w:r>
    <w:r>
      <w:rPr>
        <w:rStyle w:val="Lappusesnumurs"/>
      </w:rPr>
      <w:fldChar w:fldCharType="end"/>
    </w:r>
  </w:p>
  <w:p w:rsidR="00B962E2" w:rsidRDefault="00B962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57D00BD"/>
    <w:multiLevelType w:val="hybridMultilevel"/>
    <w:tmpl w:val="2C32D054"/>
    <w:lvl w:ilvl="0" w:tplc="746AA2A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4"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93681D"/>
    <w:multiLevelType w:val="hybridMultilevel"/>
    <w:tmpl w:val="5F9084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63E5539"/>
    <w:multiLevelType w:val="hybridMultilevel"/>
    <w:tmpl w:val="A73A065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3"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507F65E0"/>
    <w:multiLevelType w:val="hybridMultilevel"/>
    <w:tmpl w:val="A526340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32"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5" w15:restartNumberingAfterBreak="0">
    <w:nsid w:val="5C6E2035"/>
    <w:multiLevelType w:val="hybridMultilevel"/>
    <w:tmpl w:val="6ABAD892"/>
    <w:lvl w:ilvl="0" w:tplc="0409000F">
      <w:start w:val="1"/>
      <w:numFmt w:val="decimal"/>
      <w:lvlText w:val="%1."/>
      <w:lvlJc w:val="left"/>
      <w:pPr>
        <w:ind w:left="720" w:hanging="360"/>
      </w:pPr>
    </w:lvl>
    <w:lvl w:ilvl="1" w:tplc="14F8DE6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8" w15:restartNumberingAfterBreak="0">
    <w:nsid w:val="66A8177B"/>
    <w:multiLevelType w:val="hybridMultilevel"/>
    <w:tmpl w:val="8CA633C8"/>
    <w:lvl w:ilvl="0" w:tplc="ED34852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40"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41"/>
  </w:num>
  <w:num w:numId="5">
    <w:abstractNumId w:val="5"/>
  </w:num>
  <w:num w:numId="6">
    <w:abstractNumId w:val="2"/>
  </w:num>
  <w:num w:numId="7">
    <w:abstractNumId w:val="34"/>
  </w:num>
  <w:num w:numId="8">
    <w:abstractNumId w:val="37"/>
  </w:num>
  <w:num w:numId="9">
    <w:abstractNumId w:val="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3"/>
  </w:num>
  <w:num w:numId="14">
    <w:abstractNumId w:val="32"/>
  </w:num>
  <w:num w:numId="15">
    <w:abstractNumId w:val="26"/>
  </w:num>
  <w:num w:numId="16">
    <w:abstractNumId w:val="36"/>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9"/>
  </w:num>
  <w:num w:numId="21">
    <w:abstractNumId w:val="1"/>
  </w:num>
  <w:num w:numId="22">
    <w:abstractNumId w:val="8"/>
  </w:num>
  <w:num w:numId="23">
    <w:abstractNumId w:val="31"/>
  </w:num>
  <w:num w:numId="24">
    <w:abstractNumId w:val="27"/>
  </w:num>
  <w:num w:numId="25">
    <w:abstractNumId w:val="42"/>
  </w:num>
  <w:num w:numId="26">
    <w:abstractNumId w:val="16"/>
  </w:num>
  <w:num w:numId="27">
    <w:abstractNumId w:val="11"/>
  </w:num>
  <w:num w:numId="28">
    <w:abstractNumId w:val="22"/>
  </w:num>
  <w:num w:numId="29">
    <w:abstractNumId w:val="7"/>
  </w:num>
  <w:num w:numId="30">
    <w:abstractNumId w:val="29"/>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3"/>
  </w:num>
  <w:num w:numId="38">
    <w:abstractNumId w:val="0"/>
  </w:num>
  <w:num w:numId="39">
    <w:abstractNumId w:val="12"/>
  </w:num>
  <w:num w:numId="40">
    <w:abstractNumId w:val="21"/>
  </w:num>
  <w:num w:numId="41">
    <w:abstractNumId w:val="43"/>
  </w:num>
  <w:num w:numId="42">
    <w:abstractNumId w:val="38"/>
  </w:num>
  <w:num w:numId="43">
    <w:abstractNumId w:val="18"/>
  </w:num>
  <w:num w:numId="44">
    <w:abstractNumId w:val="6"/>
  </w:num>
  <w:num w:numId="45">
    <w:abstractNumId w:val="30"/>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B3"/>
    <w:rsid w:val="000143AC"/>
    <w:rsid w:val="000209CF"/>
    <w:rsid w:val="00021BAB"/>
    <w:rsid w:val="0002257D"/>
    <w:rsid w:val="00023B79"/>
    <w:rsid w:val="000255D5"/>
    <w:rsid w:val="0003201B"/>
    <w:rsid w:val="0003415E"/>
    <w:rsid w:val="000344B9"/>
    <w:rsid w:val="00037398"/>
    <w:rsid w:val="0004021A"/>
    <w:rsid w:val="000407C0"/>
    <w:rsid w:val="00040B74"/>
    <w:rsid w:val="0005086D"/>
    <w:rsid w:val="00050D2A"/>
    <w:rsid w:val="00054DEB"/>
    <w:rsid w:val="00055E5F"/>
    <w:rsid w:val="0006092F"/>
    <w:rsid w:val="00063788"/>
    <w:rsid w:val="00066005"/>
    <w:rsid w:val="00070E7F"/>
    <w:rsid w:val="00072C64"/>
    <w:rsid w:val="000733EE"/>
    <w:rsid w:val="00083B72"/>
    <w:rsid w:val="000850CA"/>
    <w:rsid w:val="000873E6"/>
    <w:rsid w:val="00087814"/>
    <w:rsid w:val="00091EEA"/>
    <w:rsid w:val="0009351F"/>
    <w:rsid w:val="00093703"/>
    <w:rsid w:val="000953A9"/>
    <w:rsid w:val="000B0745"/>
    <w:rsid w:val="000B55A0"/>
    <w:rsid w:val="000C19BB"/>
    <w:rsid w:val="000C2DAE"/>
    <w:rsid w:val="000C34BF"/>
    <w:rsid w:val="000C5057"/>
    <w:rsid w:val="000C7787"/>
    <w:rsid w:val="000D2D90"/>
    <w:rsid w:val="000D42E7"/>
    <w:rsid w:val="000D4C21"/>
    <w:rsid w:val="000D78F0"/>
    <w:rsid w:val="000D793A"/>
    <w:rsid w:val="000E35C1"/>
    <w:rsid w:val="000E35F6"/>
    <w:rsid w:val="000E42BB"/>
    <w:rsid w:val="000F053C"/>
    <w:rsid w:val="000F4229"/>
    <w:rsid w:val="000F7B59"/>
    <w:rsid w:val="00107D72"/>
    <w:rsid w:val="0011035C"/>
    <w:rsid w:val="00110D7E"/>
    <w:rsid w:val="0011169C"/>
    <w:rsid w:val="00114EFB"/>
    <w:rsid w:val="00120B01"/>
    <w:rsid w:val="00130C06"/>
    <w:rsid w:val="00133061"/>
    <w:rsid w:val="00135703"/>
    <w:rsid w:val="00143806"/>
    <w:rsid w:val="001473AC"/>
    <w:rsid w:val="00147E13"/>
    <w:rsid w:val="001506BE"/>
    <w:rsid w:val="00153BF3"/>
    <w:rsid w:val="00162F5D"/>
    <w:rsid w:val="00165E45"/>
    <w:rsid w:val="00167211"/>
    <w:rsid w:val="00180D2B"/>
    <w:rsid w:val="00187DB2"/>
    <w:rsid w:val="00195D94"/>
    <w:rsid w:val="00195F2C"/>
    <w:rsid w:val="00197C96"/>
    <w:rsid w:val="001A3AA6"/>
    <w:rsid w:val="001A57B7"/>
    <w:rsid w:val="001A6488"/>
    <w:rsid w:val="001B02A2"/>
    <w:rsid w:val="001B0B31"/>
    <w:rsid w:val="001B2F72"/>
    <w:rsid w:val="001B3D76"/>
    <w:rsid w:val="001C3146"/>
    <w:rsid w:val="001C404E"/>
    <w:rsid w:val="001C483D"/>
    <w:rsid w:val="001C6945"/>
    <w:rsid w:val="001D068C"/>
    <w:rsid w:val="001D0C02"/>
    <w:rsid w:val="001D3712"/>
    <w:rsid w:val="001D383C"/>
    <w:rsid w:val="001D3964"/>
    <w:rsid w:val="001E61BD"/>
    <w:rsid w:val="001F0A73"/>
    <w:rsid w:val="001F2B65"/>
    <w:rsid w:val="001F6469"/>
    <w:rsid w:val="00201EE0"/>
    <w:rsid w:val="0020476C"/>
    <w:rsid w:val="002068C5"/>
    <w:rsid w:val="00210078"/>
    <w:rsid w:val="00215E33"/>
    <w:rsid w:val="002162E8"/>
    <w:rsid w:val="0022049B"/>
    <w:rsid w:val="00225A6F"/>
    <w:rsid w:val="00227859"/>
    <w:rsid w:val="002305B5"/>
    <w:rsid w:val="00232543"/>
    <w:rsid w:val="0025412E"/>
    <w:rsid w:val="00262F05"/>
    <w:rsid w:val="00264107"/>
    <w:rsid w:val="0027057B"/>
    <w:rsid w:val="00275E91"/>
    <w:rsid w:val="002879C5"/>
    <w:rsid w:val="00295DD3"/>
    <w:rsid w:val="002A2046"/>
    <w:rsid w:val="002A2ACE"/>
    <w:rsid w:val="002A5995"/>
    <w:rsid w:val="002A663C"/>
    <w:rsid w:val="002A7A89"/>
    <w:rsid w:val="002B156F"/>
    <w:rsid w:val="002B17D7"/>
    <w:rsid w:val="002B1D75"/>
    <w:rsid w:val="002B3673"/>
    <w:rsid w:val="002B5542"/>
    <w:rsid w:val="002C4AB3"/>
    <w:rsid w:val="002C5703"/>
    <w:rsid w:val="002D2605"/>
    <w:rsid w:val="002D3DD0"/>
    <w:rsid w:val="002D6389"/>
    <w:rsid w:val="002E0A6D"/>
    <w:rsid w:val="002E3A2B"/>
    <w:rsid w:val="002E4DC8"/>
    <w:rsid w:val="002E7229"/>
    <w:rsid w:val="002E7C04"/>
    <w:rsid w:val="002F0765"/>
    <w:rsid w:val="002F4B2D"/>
    <w:rsid w:val="002F5A9F"/>
    <w:rsid w:val="002F5D3F"/>
    <w:rsid w:val="00302FEA"/>
    <w:rsid w:val="00307F05"/>
    <w:rsid w:val="00310132"/>
    <w:rsid w:val="00317E0B"/>
    <w:rsid w:val="00321650"/>
    <w:rsid w:val="0032559E"/>
    <w:rsid w:val="00326DC0"/>
    <w:rsid w:val="00330016"/>
    <w:rsid w:val="003329A3"/>
    <w:rsid w:val="00341E8B"/>
    <w:rsid w:val="00343BD7"/>
    <w:rsid w:val="00352DA5"/>
    <w:rsid w:val="00352E84"/>
    <w:rsid w:val="003541FC"/>
    <w:rsid w:val="00354384"/>
    <w:rsid w:val="003636EF"/>
    <w:rsid w:val="00367715"/>
    <w:rsid w:val="00371548"/>
    <w:rsid w:val="00377BA3"/>
    <w:rsid w:val="00377CEE"/>
    <w:rsid w:val="00387758"/>
    <w:rsid w:val="00391758"/>
    <w:rsid w:val="00396E3C"/>
    <w:rsid w:val="003A58C3"/>
    <w:rsid w:val="003A5D31"/>
    <w:rsid w:val="003A7DB2"/>
    <w:rsid w:val="003A7F82"/>
    <w:rsid w:val="003B0829"/>
    <w:rsid w:val="003B0D44"/>
    <w:rsid w:val="003B2277"/>
    <w:rsid w:val="003B3991"/>
    <w:rsid w:val="003B40B6"/>
    <w:rsid w:val="003B65DB"/>
    <w:rsid w:val="003C13D2"/>
    <w:rsid w:val="003C50E2"/>
    <w:rsid w:val="003D10B7"/>
    <w:rsid w:val="003E206F"/>
    <w:rsid w:val="003E3B4A"/>
    <w:rsid w:val="003E7AA5"/>
    <w:rsid w:val="003E7F50"/>
    <w:rsid w:val="003F1651"/>
    <w:rsid w:val="003F55C2"/>
    <w:rsid w:val="003F5D53"/>
    <w:rsid w:val="003F7A95"/>
    <w:rsid w:val="004022B2"/>
    <w:rsid w:val="00404D72"/>
    <w:rsid w:val="004139F4"/>
    <w:rsid w:val="0041615D"/>
    <w:rsid w:val="00420078"/>
    <w:rsid w:val="00424841"/>
    <w:rsid w:val="00432968"/>
    <w:rsid w:val="00432BE6"/>
    <w:rsid w:val="00433560"/>
    <w:rsid w:val="004463DF"/>
    <w:rsid w:val="00455441"/>
    <w:rsid w:val="00461EFC"/>
    <w:rsid w:val="0046671A"/>
    <w:rsid w:val="0046796F"/>
    <w:rsid w:val="004718CD"/>
    <w:rsid w:val="004725A4"/>
    <w:rsid w:val="00480EE8"/>
    <w:rsid w:val="004858E6"/>
    <w:rsid w:val="00486494"/>
    <w:rsid w:val="0049351F"/>
    <w:rsid w:val="00494403"/>
    <w:rsid w:val="004A14AB"/>
    <w:rsid w:val="004B0656"/>
    <w:rsid w:val="004B1391"/>
    <w:rsid w:val="004B1C3B"/>
    <w:rsid w:val="004B50A3"/>
    <w:rsid w:val="004C0C1B"/>
    <w:rsid w:val="004C4F50"/>
    <w:rsid w:val="004D3084"/>
    <w:rsid w:val="004D763D"/>
    <w:rsid w:val="004E2D2D"/>
    <w:rsid w:val="004E521B"/>
    <w:rsid w:val="004F0C41"/>
    <w:rsid w:val="004F1C53"/>
    <w:rsid w:val="004F49C4"/>
    <w:rsid w:val="00502228"/>
    <w:rsid w:val="005036BE"/>
    <w:rsid w:val="00507356"/>
    <w:rsid w:val="005157F2"/>
    <w:rsid w:val="00522B66"/>
    <w:rsid w:val="00530160"/>
    <w:rsid w:val="00530770"/>
    <w:rsid w:val="00530C81"/>
    <w:rsid w:val="00532DBB"/>
    <w:rsid w:val="0053733E"/>
    <w:rsid w:val="005379C7"/>
    <w:rsid w:val="00540F41"/>
    <w:rsid w:val="005413D5"/>
    <w:rsid w:val="00544D47"/>
    <w:rsid w:val="00546131"/>
    <w:rsid w:val="0055357C"/>
    <w:rsid w:val="005543D1"/>
    <w:rsid w:val="00562476"/>
    <w:rsid w:val="005663BA"/>
    <w:rsid w:val="00566652"/>
    <w:rsid w:val="00571044"/>
    <w:rsid w:val="00575A0C"/>
    <w:rsid w:val="00575EA2"/>
    <w:rsid w:val="00576CDD"/>
    <w:rsid w:val="00580226"/>
    <w:rsid w:val="0058062F"/>
    <w:rsid w:val="00582092"/>
    <w:rsid w:val="00582AD0"/>
    <w:rsid w:val="00584AE8"/>
    <w:rsid w:val="00593599"/>
    <w:rsid w:val="005941F1"/>
    <w:rsid w:val="00594ADD"/>
    <w:rsid w:val="005A4A79"/>
    <w:rsid w:val="005A4ACE"/>
    <w:rsid w:val="005A7F4B"/>
    <w:rsid w:val="005B79B3"/>
    <w:rsid w:val="005C022A"/>
    <w:rsid w:val="005D49EF"/>
    <w:rsid w:val="005E013A"/>
    <w:rsid w:val="005E1D64"/>
    <w:rsid w:val="005F2419"/>
    <w:rsid w:val="005F330E"/>
    <w:rsid w:val="006044B4"/>
    <w:rsid w:val="00606733"/>
    <w:rsid w:val="0061565E"/>
    <w:rsid w:val="00615F31"/>
    <w:rsid w:val="00616213"/>
    <w:rsid w:val="006237F3"/>
    <w:rsid w:val="00624EDA"/>
    <w:rsid w:val="00625182"/>
    <w:rsid w:val="00633A95"/>
    <w:rsid w:val="00635033"/>
    <w:rsid w:val="00635134"/>
    <w:rsid w:val="00635173"/>
    <w:rsid w:val="00637775"/>
    <w:rsid w:val="00641216"/>
    <w:rsid w:val="00642F74"/>
    <w:rsid w:val="006444A0"/>
    <w:rsid w:val="006463B6"/>
    <w:rsid w:val="00646C75"/>
    <w:rsid w:val="00652C31"/>
    <w:rsid w:val="0065380F"/>
    <w:rsid w:val="0065467B"/>
    <w:rsid w:val="0066305A"/>
    <w:rsid w:val="0066517E"/>
    <w:rsid w:val="0066659B"/>
    <w:rsid w:val="00673373"/>
    <w:rsid w:val="006734CF"/>
    <w:rsid w:val="00676262"/>
    <w:rsid w:val="006770E9"/>
    <w:rsid w:val="00680FE9"/>
    <w:rsid w:val="006831F9"/>
    <w:rsid w:val="006853C3"/>
    <w:rsid w:val="006872B0"/>
    <w:rsid w:val="0069225E"/>
    <w:rsid w:val="0069412A"/>
    <w:rsid w:val="006A15FA"/>
    <w:rsid w:val="006A1DAF"/>
    <w:rsid w:val="006A51B5"/>
    <w:rsid w:val="006B6219"/>
    <w:rsid w:val="006D3AC0"/>
    <w:rsid w:val="006D674F"/>
    <w:rsid w:val="006D70FC"/>
    <w:rsid w:val="006E090F"/>
    <w:rsid w:val="006E30C3"/>
    <w:rsid w:val="006E31C7"/>
    <w:rsid w:val="006E44E3"/>
    <w:rsid w:val="006E59D9"/>
    <w:rsid w:val="006F1136"/>
    <w:rsid w:val="006F3FF0"/>
    <w:rsid w:val="006F63CC"/>
    <w:rsid w:val="006F6BC5"/>
    <w:rsid w:val="006F747B"/>
    <w:rsid w:val="006F7AF1"/>
    <w:rsid w:val="00702361"/>
    <w:rsid w:val="00703CBB"/>
    <w:rsid w:val="00704C3E"/>
    <w:rsid w:val="00706E25"/>
    <w:rsid w:val="00720858"/>
    <w:rsid w:val="007254E7"/>
    <w:rsid w:val="00726FAC"/>
    <w:rsid w:val="00727992"/>
    <w:rsid w:val="0073233D"/>
    <w:rsid w:val="007324B3"/>
    <w:rsid w:val="00735E57"/>
    <w:rsid w:val="007372C0"/>
    <w:rsid w:val="00740331"/>
    <w:rsid w:val="00741A39"/>
    <w:rsid w:val="0074352F"/>
    <w:rsid w:val="00744E25"/>
    <w:rsid w:val="00745C1C"/>
    <w:rsid w:val="00746FDB"/>
    <w:rsid w:val="007476D1"/>
    <w:rsid w:val="0075296B"/>
    <w:rsid w:val="0076027B"/>
    <w:rsid w:val="007644A7"/>
    <w:rsid w:val="0076514A"/>
    <w:rsid w:val="00767942"/>
    <w:rsid w:val="00773ED4"/>
    <w:rsid w:val="00774E05"/>
    <w:rsid w:val="0077746B"/>
    <w:rsid w:val="007877F5"/>
    <w:rsid w:val="00791314"/>
    <w:rsid w:val="00793829"/>
    <w:rsid w:val="00796106"/>
    <w:rsid w:val="007A2D4F"/>
    <w:rsid w:val="007B2CC9"/>
    <w:rsid w:val="007B2DB2"/>
    <w:rsid w:val="007B49A6"/>
    <w:rsid w:val="007D3449"/>
    <w:rsid w:val="007D63B5"/>
    <w:rsid w:val="007D6C87"/>
    <w:rsid w:val="007E2663"/>
    <w:rsid w:val="007E26CC"/>
    <w:rsid w:val="007E506B"/>
    <w:rsid w:val="008009D8"/>
    <w:rsid w:val="00804C96"/>
    <w:rsid w:val="00807769"/>
    <w:rsid w:val="0081173D"/>
    <w:rsid w:val="00812270"/>
    <w:rsid w:val="00816C8E"/>
    <w:rsid w:val="00821BAD"/>
    <w:rsid w:val="00823110"/>
    <w:rsid w:val="00823BEE"/>
    <w:rsid w:val="00825C87"/>
    <w:rsid w:val="00827167"/>
    <w:rsid w:val="00831EFD"/>
    <w:rsid w:val="00835987"/>
    <w:rsid w:val="00840BEC"/>
    <w:rsid w:val="00842B1E"/>
    <w:rsid w:val="00851325"/>
    <w:rsid w:val="00854BA8"/>
    <w:rsid w:val="0087289D"/>
    <w:rsid w:val="0087614B"/>
    <w:rsid w:val="00876802"/>
    <w:rsid w:val="008811AC"/>
    <w:rsid w:val="008847B1"/>
    <w:rsid w:val="00884E86"/>
    <w:rsid w:val="0088785F"/>
    <w:rsid w:val="00893623"/>
    <w:rsid w:val="0089690F"/>
    <w:rsid w:val="008A3D50"/>
    <w:rsid w:val="008A66DE"/>
    <w:rsid w:val="008B0E40"/>
    <w:rsid w:val="008B670D"/>
    <w:rsid w:val="008C3358"/>
    <w:rsid w:val="008C7413"/>
    <w:rsid w:val="008C7780"/>
    <w:rsid w:val="008D1011"/>
    <w:rsid w:val="008D20BF"/>
    <w:rsid w:val="008D2B7F"/>
    <w:rsid w:val="008D2F4A"/>
    <w:rsid w:val="008D55C3"/>
    <w:rsid w:val="008E7DB4"/>
    <w:rsid w:val="008F14C3"/>
    <w:rsid w:val="008F3A97"/>
    <w:rsid w:val="008F4B34"/>
    <w:rsid w:val="008F7AE9"/>
    <w:rsid w:val="00906AA9"/>
    <w:rsid w:val="00915857"/>
    <w:rsid w:val="009238FF"/>
    <w:rsid w:val="00925058"/>
    <w:rsid w:val="00925B3A"/>
    <w:rsid w:val="00931E24"/>
    <w:rsid w:val="00932AD1"/>
    <w:rsid w:val="009419A8"/>
    <w:rsid w:val="00947D79"/>
    <w:rsid w:val="0095009A"/>
    <w:rsid w:val="00950CD0"/>
    <w:rsid w:val="00951DCA"/>
    <w:rsid w:val="00951F8A"/>
    <w:rsid w:val="00953BA7"/>
    <w:rsid w:val="00955393"/>
    <w:rsid w:val="009607E6"/>
    <w:rsid w:val="009610C3"/>
    <w:rsid w:val="00964826"/>
    <w:rsid w:val="009655CF"/>
    <w:rsid w:val="009657BA"/>
    <w:rsid w:val="0096622F"/>
    <w:rsid w:val="009663BC"/>
    <w:rsid w:val="00966E32"/>
    <w:rsid w:val="009709CD"/>
    <w:rsid w:val="00970C06"/>
    <w:rsid w:val="00974AD2"/>
    <w:rsid w:val="009944D4"/>
    <w:rsid w:val="009A6DAD"/>
    <w:rsid w:val="009A786B"/>
    <w:rsid w:val="009B16C1"/>
    <w:rsid w:val="009B1FDD"/>
    <w:rsid w:val="009B3AE1"/>
    <w:rsid w:val="009B6576"/>
    <w:rsid w:val="009B6CFF"/>
    <w:rsid w:val="009B70F5"/>
    <w:rsid w:val="009B7416"/>
    <w:rsid w:val="009C0344"/>
    <w:rsid w:val="009C0736"/>
    <w:rsid w:val="009C0B8A"/>
    <w:rsid w:val="009D039C"/>
    <w:rsid w:val="009D2BE6"/>
    <w:rsid w:val="009E5D45"/>
    <w:rsid w:val="009E7B99"/>
    <w:rsid w:val="009F6596"/>
    <w:rsid w:val="009F7764"/>
    <w:rsid w:val="009F7896"/>
    <w:rsid w:val="00A075BA"/>
    <w:rsid w:val="00A12B28"/>
    <w:rsid w:val="00A17B47"/>
    <w:rsid w:val="00A206FA"/>
    <w:rsid w:val="00A30A29"/>
    <w:rsid w:val="00A317CA"/>
    <w:rsid w:val="00A32E76"/>
    <w:rsid w:val="00A3536B"/>
    <w:rsid w:val="00A4015B"/>
    <w:rsid w:val="00A463D0"/>
    <w:rsid w:val="00A47BC4"/>
    <w:rsid w:val="00A571FB"/>
    <w:rsid w:val="00A57A75"/>
    <w:rsid w:val="00A6097A"/>
    <w:rsid w:val="00A61D49"/>
    <w:rsid w:val="00A63F01"/>
    <w:rsid w:val="00A6646E"/>
    <w:rsid w:val="00A72259"/>
    <w:rsid w:val="00A7374D"/>
    <w:rsid w:val="00A73F5E"/>
    <w:rsid w:val="00A767B5"/>
    <w:rsid w:val="00A94118"/>
    <w:rsid w:val="00A94ADF"/>
    <w:rsid w:val="00AA03AE"/>
    <w:rsid w:val="00AA0C0D"/>
    <w:rsid w:val="00AA43C3"/>
    <w:rsid w:val="00AB0202"/>
    <w:rsid w:val="00AB0CFD"/>
    <w:rsid w:val="00AB32A4"/>
    <w:rsid w:val="00AB7243"/>
    <w:rsid w:val="00AC7675"/>
    <w:rsid w:val="00AD0098"/>
    <w:rsid w:val="00AD1268"/>
    <w:rsid w:val="00AD1EB9"/>
    <w:rsid w:val="00AD2A67"/>
    <w:rsid w:val="00AD5EF2"/>
    <w:rsid w:val="00AE05B3"/>
    <w:rsid w:val="00AE538E"/>
    <w:rsid w:val="00AE5F9C"/>
    <w:rsid w:val="00AE6138"/>
    <w:rsid w:val="00AE644C"/>
    <w:rsid w:val="00AF462C"/>
    <w:rsid w:val="00B021C2"/>
    <w:rsid w:val="00B022B7"/>
    <w:rsid w:val="00B05925"/>
    <w:rsid w:val="00B0600C"/>
    <w:rsid w:val="00B0674B"/>
    <w:rsid w:val="00B12FF4"/>
    <w:rsid w:val="00B13019"/>
    <w:rsid w:val="00B1410D"/>
    <w:rsid w:val="00B15E10"/>
    <w:rsid w:val="00B17878"/>
    <w:rsid w:val="00B22E93"/>
    <w:rsid w:val="00B23399"/>
    <w:rsid w:val="00B27158"/>
    <w:rsid w:val="00B27672"/>
    <w:rsid w:val="00B33832"/>
    <w:rsid w:val="00B401F2"/>
    <w:rsid w:val="00B43EA4"/>
    <w:rsid w:val="00B47064"/>
    <w:rsid w:val="00B5460B"/>
    <w:rsid w:val="00B6423D"/>
    <w:rsid w:val="00B64C34"/>
    <w:rsid w:val="00B67274"/>
    <w:rsid w:val="00B67461"/>
    <w:rsid w:val="00B677CE"/>
    <w:rsid w:val="00B8010C"/>
    <w:rsid w:val="00B838AB"/>
    <w:rsid w:val="00B83C64"/>
    <w:rsid w:val="00B87332"/>
    <w:rsid w:val="00B90370"/>
    <w:rsid w:val="00B9313D"/>
    <w:rsid w:val="00B9560D"/>
    <w:rsid w:val="00B962E2"/>
    <w:rsid w:val="00BA3C1E"/>
    <w:rsid w:val="00BA6238"/>
    <w:rsid w:val="00BA777D"/>
    <w:rsid w:val="00BB76D4"/>
    <w:rsid w:val="00BC2D63"/>
    <w:rsid w:val="00BD26BF"/>
    <w:rsid w:val="00BD354E"/>
    <w:rsid w:val="00BD6493"/>
    <w:rsid w:val="00BD66A2"/>
    <w:rsid w:val="00BE0CFD"/>
    <w:rsid w:val="00BE20BB"/>
    <w:rsid w:val="00BE7EDF"/>
    <w:rsid w:val="00BF205D"/>
    <w:rsid w:val="00BF30E3"/>
    <w:rsid w:val="00C0295D"/>
    <w:rsid w:val="00C072C5"/>
    <w:rsid w:val="00C25CF3"/>
    <w:rsid w:val="00C26E24"/>
    <w:rsid w:val="00C274ED"/>
    <w:rsid w:val="00C302A9"/>
    <w:rsid w:val="00C31D2A"/>
    <w:rsid w:val="00C320E7"/>
    <w:rsid w:val="00C32A7C"/>
    <w:rsid w:val="00C45DA3"/>
    <w:rsid w:val="00C46CCD"/>
    <w:rsid w:val="00C47EF0"/>
    <w:rsid w:val="00C541F7"/>
    <w:rsid w:val="00C64998"/>
    <w:rsid w:val="00C71BE2"/>
    <w:rsid w:val="00C72202"/>
    <w:rsid w:val="00C82CF0"/>
    <w:rsid w:val="00C83963"/>
    <w:rsid w:val="00C86A6C"/>
    <w:rsid w:val="00C94508"/>
    <w:rsid w:val="00C967FF"/>
    <w:rsid w:val="00C974D8"/>
    <w:rsid w:val="00CA14DD"/>
    <w:rsid w:val="00CA693B"/>
    <w:rsid w:val="00CB06E7"/>
    <w:rsid w:val="00CB1FDD"/>
    <w:rsid w:val="00CB2F1C"/>
    <w:rsid w:val="00CB418E"/>
    <w:rsid w:val="00CB51A3"/>
    <w:rsid w:val="00CB7926"/>
    <w:rsid w:val="00CC23D6"/>
    <w:rsid w:val="00CC31B0"/>
    <w:rsid w:val="00CC6788"/>
    <w:rsid w:val="00CD2883"/>
    <w:rsid w:val="00CE55ED"/>
    <w:rsid w:val="00CF0C5D"/>
    <w:rsid w:val="00CF20BB"/>
    <w:rsid w:val="00D0226F"/>
    <w:rsid w:val="00D05AF4"/>
    <w:rsid w:val="00D07FA2"/>
    <w:rsid w:val="00D10418"/>
    <w:rsid w:val="00D10772"/>
    <w:rsid w:val="00D169D7"/>
    <w:rsid w:val="00D27332"/>
    <w:rsid w:val="00D4118D"/>
    <w:rsid w:val="00D43CCD"/>
    <w:rsid w:val="00D44AD0"/>
    <w:rsid w:val="00D52DB2"/>
    <w:rsid w:val="00D5461E"/>
    <w:rsid w:val="00D5605D"/>
    <w:rsid w:val="00D564E8"/>
    <w:rsid w:val="00D5664B"/>
    <w:rsid w:val="00D609AF"/>
    <w:rsid w:val="00D60CCB"/>
    <w:rsid w:val="00D62774"/>
    <w:rsid w:val="00D646DF"/>
    <w:rsid w:val="00D7733E"/>
    <w:rsid w:val="00D81EFB"/>
    <w:rsid w:val="00D823C5"/>
    <w:rsid w:val="00D834EF"/>
    <w:rsid w:val="00D848AF"/>
    <w:rsid w:val="00D84B9D"/>
    <w:rsid w:val="00D925B5"/>
    <w:rsid w:val="00D96672"/>
    <w:rsid w:val="00DB11FC"/>
    <w:rsid w:val="00DB1F80"/>
    <w:rsid w:val="00DB4BF6"/>
    <w:rsid w:val="00DB713E"/>
    <w:rsid w:val="00DB789F"/>
    <w:rsid w:val="00DC09A7"/>
    <w:rsid w:val="00DD463D"/>
    <w:rsid w:val="00DE2770"/>
    <w:rsid w:val="00DF2F32"/>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36CD"/>
    <w:rsid w:val="00E606A7"/>
    <w:rsid w:val="00E60F70"/>
    <w:rsid w:val="00E613E4"/>
    <w:rsid w:val="00E65798"/>
    <w:rsid w:val="00E725E5"/>
    <w:rsid w:val="00E73B14"/>
    <w:rsid w:val="00E75EF4"/>
    <w:rsid w:val="00E76182"/>
    <w:rsid w:val="00E76DF5"/>
    <w:rsid w:val="00E80E53"/>
    <w:rsid w:val="00E8248D"/>
    <w:rsid w:val="00E84287"/>
    <w:rsid w:val="00E8622D"/>
    <w:rsid w:val="00E871D4"/>
    <w:rsid w:val="00E96E32"/>
    <w:rsid w:val="00EC4676"/>
    <w:rsid w:val="00ED3F78"/>
    <w:rsid w:val="00ED50DF"/>
    <w:rsid w:val="00ED7607"/>
    <w:rsid w:val="00EE1125"/>
    <w:rsid w:val="00EE1351"/>
    <w:rsid w:val="00EE32E6"/>
    <w:rsid w:val="00EE42EC"/>
    <w:rsid w:val="00EE612C"/>
    <w:rsid w:val="00EF18E8"/>
    <w:rsid w:val="00EF5BC9"/>
    <w:rsid w:val="00EF7053"/>
    <w:rsid w:val="00F04EC0"/>
    <w:rsid w:val="00F0798A"/>
    <w:rsid w:val="00F11823"/>
    <w:rsid w:val="00F13653"/>
    <w:rsid w:val="00F17FC9"/>
    <w:rsid w:val="00F204BA"/>
    <w:rsid w:val="00F231A6"/>
    <w:rsid w:val="00F2572A"/>
    <w:rsid w:val="00F26691"/>
    <w:rsid w:val="00F2744A"/>
    <w:rsid w:val="00F32B27"/>
    <w:rsid w:val="00F334B4"/>
    <w:rsid w:val="00F3404C"/>
    <w:rsid w:val="00F353C2"/>
    <w:rsid w:val="00F521AA"/>
    <w:rsid w:val="00F530E8"/>
    <w:rsid w:val="00F55D18"/>
    <w:rsid w:val="00F579E5"/>
    <w:rsid w:val="00F654BB"/>
    <w:rsid w:val="00F67220"/>
    <w:rsid w:val="00F7282C"/>
    <w:rsid w:val="00F73D89"/>
    <w:rsid w:val="00F74917"/>
    <w:rsid w:val="00F74E83"/>
    <w:rsid w:val="00F92972"/>
    <w:rsid w:val="00F959F8"/>
    <w:rsid w:val="00FA2E3A"/>
    <w:rsid w:val="00FA3503"/>
    <w:rsid w:val="00FA7268"/>
    <w:rsid w:val="00FB3097"/>
    <w:rsid w:val="00FB44EF"/>
    <w:rsid w:val="00FC045E"/>
    <w:rsid w:val="00FC0919"/>
    <w:rsid w:val="00FC5257"/>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1270A7"/>
  <w15:docId w15:val="{36C97EB4-4FF2-4456-A6CA-5D9E3DF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uiPriority w:val="99"/>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aliases w:val="2,Strip,Normal bullet 2,Bullet list,Saistīto dokumentu saraksts,Syle 1,Numurets,List Paragraph11,OBC Bullet,Bullet Style,L,H&amp;P List Paragraph,List Paragraph1,Akapit z listą BS,Bullet 1,Bullet Points,Dot pt,F5 List Paragraph"/>
    <w:basedOn w:val="Parasts1"/>
    <w:link w:val="SarakstarindkopaRakstz"/>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 w:type="character" w:customStyle="1" w:styleId="SarakstarindkopaRakstz">
    <w:name w:val="Saraksta rindkopa Rakstz."/>
    <w:aliases w:val="2 Rakstz.,Strip Rakstz.,Normal bullet 2 Rakstz.,Bullet list Rakstz.,Saistīto dokumentu saraksts Rakstz.,Syle 1 Rakstz.,Numurets Rakstz.,List Paragraph11 Rakstz.,OBC Bullet Rakstz.,Bullet Style Rakstz.,L Rakstz.,Bullet 1 Rakstz."/>
    <w:basedOn w:val="Noklusjumarindkopasfonts"/>
    <w:link w:val="Sarakstarindkopa"/>
    <w:uiPriority w:val="34"/>
    <w:qFormat/>
    <w:locked/>
    <w:rsid w:val="00153BF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3576-4368-4835-A467-C649AE0C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1273</Words>
  <Characters>9304</Characters>
  <Application>Microsoft Office Word</Application>
  <DocSecurity>0</DocSecurity>
  <Lines>77</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„Kārtība, kādā piešķir valsts un Eiropas Savienības atbalstu investīciju veicināšanai lauksaimniecībā un investīcijām materiālās bāzes pilnveidošanai”</vt:lpstr>
      <vt:lpstr>Izziņa par atzinumos sniegtajiem iebildumiem Ministru kabineta noteikumu projekts „Kārtība, kādā piešķir valsts un Eiropas Savienības atbalstu investīciju veicināšanai lauksaimniecībā un investīcijām materiālās bāzes pilnveidošanai”</vt:lpstr>
    </vt:vector>
  </TitlesOfParts>
  <Company>ZM</Company>
  <LinksUpToDate>false</LinksUpToDate>
  <CharactersWithSpaces>10556</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„Kārtība, kādā piešķir valsts un Eiropas Savienības atbalstu investīciju veicināšanai lauksaimniecībā un investīcijām materiālās bāzes pilnveidošanai”</dc:title>
  <dc:subject>izziņa</dc:subject>
  <dc:creator>Ritvars Zapereckis</dc:creator>
  <dc:description>Ritvars.Zapereckis@zm.gov.lv, 67027301</dc:description>
  <cp:lastModifiedBy>Sanita Papinova</cp:lastModifiedBy>
  <cp:revision>9</cp:revision>
  <cp:lastPrinted>2014-04-23T08:22:00Z</cp:lastPrinted>
  <dcterms:created xsi:type="dcterms:W3CDTF">2021-05-11T07:03:00Z</dcterms:created>
  <dcterms:modified xsi:type="dcterms:W3CDTF">2021-06-14T06:55:00Z</dcterms:modified>
</cp:coreProperties>
</file>