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341896D3" w:rsidR="00F808D3" w:rsidRPr="009B79B3" w:rsidRDefault="00672A5C" w:rsidP="000F5C18">
      <w:pPr>
        <w:spacing w:after="240"/>
        <w:jc w:val="center"/>
        <w:rPr>
          <w:rFonts w:ascii="Times New Roman" w:hAnsi="Times New Roman" w:cs="Times New Roman"/>
          <w:i/>
          <w:iCs/>
          <w:sz w:val="28"/>
          <w:szCs w:val="28"/>
        </w:rPr>
      </w:pPr>
      <w:proofErr w:type="spellStart"/>
      <w:r w:rsidRPr="00672A5C">
        <w:rPr>
          <w:rFonts w:ascii="Times New Roman" w:hAnsi="Times New Roman" w:cs="Times New Roman"/>
          <w:b/>
          <w:bCs/>
          <w:i/>
          <w:iCs/>
          <w:sz w:val="28"/>
          <w:szCs w:val="28"/>
        </w:rPr>
        <w:t>Dziļaunes</w:t>
      </w:r>
      <w:proofErr w:type="spellEnd"/>
      <w:r w:rsidRPr="00672A5C">
        <w:rPr>
          <w:rFonts w:ascii="Times New Roman" w:hAnsi="Times New Roman" w:cs="Times New Roman"/>
          <w:b/>
          <w:bCs/>
          <w:i/>
          <w:iCs/>
          <w:sz w:val="28"/>
          <w:szCs w:val="28"/>
        </w:rPr>
        <w:t xml:space="preserve"> poldera aizsargdambis D-1 Balvu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w:t>
            </w:r>
            <w:bookmarkStart w:id="0" w:name="_GoBack"/>
            <w:r w:rsidRPr="000A5DB5">
              <w:rPr>
                <w:rFonts w:ascii="Times New Roman" w:hAnsi="Times New Roman" w:cs="Times New Roman"/>
                <w:sz w:val="24"/>
                <w:szCs w:val="24"/>
              </w:rPr>
              <w:t>jūra</w:t>
            </w:r>
            <w:bookmarkEnd w:id="0"/>
            <w:r w:rsidRPr="000A5DB5">
              <w:rPr>
                <w:rFonts w:ascii="Times New Roman" w:hAnsi="Times New Roman" w:cs="Times New Roman"/>
                <w:sz w:val="24"/>
                <w:szCs w:val="24"/>
              </w:rPr>
              <w:t>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9FA02D1"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4EF08038"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672A5C">
              <w:rPr>
                <w:rFonts w:ascii="Times New Roman" w:eastAsia="Calibri" w:hAnsi="Times New Roman" w:cs="Times New Roman"/>
              </w:rPr>
              <w:t>ūdens</w:t>
            </w:r>
            <w:r w:rsidRPr="000A5DB5">
              <w:rPr>
                <w:rFonts w:ascii="Times New Roman" w:eastAsia="Calibri" w:hAnsi="Times New Roman" w:cs="Times New Roman"/>
              </w:rPr>
              <w:t xml:space="preserve">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w:t>
            </w:r>
            <w:r w:rsidRPr="009B79B3">
              <w:rPr>
                <w:rFonts w:ascii="Times New Roman" w:hAnsi="Times New Roman" w:cs="Times New Roman"/>
                <w:sz w:val="24"/>
                <w:szCs w:val="24"/>
              </w:rPr>
              <w:lastRenderedPageBreak/>
              <w:t>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14032"/>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72A5C"/>
    <w:rsid w:val="00681C36"/>
    <w:rsid w:val="00685B64"/>
    <w:rsid w:val="006D4E42"/>
    <w:rsid w:val="006F5F53"/>
    <w:rsid w:val="00721461"/>
    <w:rsid w:val="00791B2C"/>
    <w:rsid w:val="007B7634"/>
    <w:rsid w:val="007F14EE"/>
    <w:rsid w:val="00815023"/>
    <w:rsid w:val="00926B5C"/>
    <w:rsid w:val="00945DF2"/>
    <w:rsid w:val="00975CB6"/>
    <w:rsid w:val="009B79B3"/>
    <w:rsid w:val="009D4A04"/>
    <w:rsid w:val="009E1D2B"/>
    <w:rsid w:val="00A6426C"/>
    <w:rsid w:val="00A7724B"/>
    <w:rsid w:val="00AB3103"/>
    <w:rsid w:val="00AC5BBD"/>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E946-931B-4A38-B80C-81ADF354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3789</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2021-03-29T13:08:00Z</dcterms:created>
  <dcterms:modified xsi:type="dcterms:W3CDTF">2021-03-29T13:08:00Z</dcterms:modified>
</cp:coreProperties>
</file>