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6F67" w14:textId="5FF9890C" w:rsidR="008F090E" w:rsidRPr="00BB1E99" w:rsidRDefault="008F090E" w:rsidP="008F090E">
      <w:pPr>
        <w:shd w:val="clear" w:color="auto" w:fill="FFFFFF"/>
        <w:spacing w:after="0" w:line="240" w:lineRule="auto"/>
        <w:contextualSpacing/>
        <w:jc w:val="center"/>
        <w:rPr>
          <w:rFonts w:ascii="Times New Roman" w:eastAsia="Times New Roman" w:hAnsi="Times New Roman"/>
          <w:b/>
          <w:bCs/>
          <w:sz w:val="24"/>
          <w:szCs w:val="24"/>
          <w:lang w:eastAsia="lv-LV"/>
        </w:rPr>
      </w:pPr>
      <w:r w:rsidRPr="00BB1E99">
        <w:rPr>
          <w:rFonts w:ascii="Times New Roman" w:eastAsia="Times New Roman" w:hAnsi="Times New Roman"/>
          <w:b/>
          <w:bCs/>
          <w:sz w:val="24"/>
          <w:szCs w:val="24"/>
          <w:lang w:eastAsia="lv-LV"/>
        </w:rPr>
        <w:t xml:space="preserve">Ministru kabineta noteikumu projekta </w:t>
      </w:r>
      <w:bookmarkStart w:id="0" w:name="_Hlk41913807"/>
      <w:r w:rsidRPr="00BB1E99">
        <w:rPr>
          <w:rFonts w:ascii="Times New Roman" w:eastAsia="Times New Roman" w:hAnsi="Times New Roman"/>
          <w:b/>
          <w:bCs/>
          <w:sz w:val="24"/>
          <w:szCs w:val="24"/>
          <w:lang w:eastAsia="lv-LV"/>
        </w:rPr>
        <w:t>“Grozījumi Ministru kabineta 2017.</w:t>
      </w:r>
      <w:r w:rsidR="00BB1E99">
        <w:rPr>
          <w:rFonts w:ascii="Times New Roman" w:eastAsia="Times New Roman" w:hAnsi="Times New Roman"/>
          <w:b/>
          <w:bCs/>
          <w:sz w:val="24"/>
          <w:szCs w:val="24"/>
          <w:lang w:eastAsia="lv-LV"/>
        </w:rPr>
        <w:t> </w:t>
      </w:r>
      <w:r w:rsidRPr="00BB1E99">
        <w:rPr>
          <w:rFonts w:ascii="Times New Roman" w:eastAsia="Times New Roman" w:hAnsi="Times New Roman"/>
          <w:b/>
          <w:bCs/>
          <w:sz w:val="24"/>
          <w:szCs w:val="24"/>
          <w:lang w:eastAsia="lv-LV"/>
        </w:rPr>
        <w:t>gada 7.</w:t>
      </w:r>
      <w:r w:rsidR="00BB1E99">
        <w:rPr>
          <w:rFonts w:ascii="Times New Roman" w:eastAsia="Times New Roman" w:hAnsi="Times New Roman"/>
          <w:b/>
          <w:bCs/>
          <w:sz w:val="24"/>
          <w:szCs w:val="24"/>
          <w:lang w:eastAsia="lv-LV"/>
        </w:rPr>
        <w:t> </w:t>
      </w:r>
      <w:r w:rsidRPr="00BB1E99">
        <w:rPr>
          <w:rFonts w:ascii="Times New Roman" w:eastAsia="Times New Roman" w:hAnsi="Times New Roman"/>
          <w:b/>
          <w:bCs/>
          <w:sz w:val="24"/>
          <w:szCs w:val="24"/>
          <w:lang w:eastAsia="lv-LV"/>
        </w:rPr>
        <w:t>februāra noteikumos Nr.</w:t>
      </w:r>
      <w:r w:rsidR="00BB1E99">
        <w:rPr>
          <w:rFonts w:ascii="Times New Roman" w:eastAsia="Times New Roman" w:hAnsi="Times New Roman"/>
          <w:b/>
          <w:bCs/>
          <w:sz w:val="24"/>
          <w:szCs w:val="24"/>
          <w:lang w:eastAsia="lv-LV"/>
        </w:rPr>
        <w:t> </w:t>
      </w:r>
      <w:r w:rsidRPr="00BB1E99">
        <w:rPr>
          <w:rFonts w:ascii="Times New Roman" w:eastAsia="Times New Roman" w:hAnsi="Times New Roman"/>
          <w:b/>
          <w:bCs/>
          <w:sz w:val="24"/>
          <w:szCs w:val="24"/>
          <w:lang w:eastAsia="lv-LV"/>
        </w:rPr>
        <w:t xml:space="preserve">78 “Dabasgāzes tirdzniecības un lietošanas noteikumi”” </w:t>
      </w:r>
      <w:bookmarkEnd w:id="0"/>
      <w:r w:rsidRPr="00BB1E99">
        <w:rPr>
          <w:rFonts w:ascii="Times New Roman" w:eastAsia="Times New Roman" w:hAnsi="Times New Roman"/>
          <w:b/>
          <w:bCs/>
          <w:sz w:val="24"/>
          <w:szCs w:val="24"/>
          <w:lang w:eastAsia="lv-LV"/>
        </w:rPr>
        <w:t>sākotnējās ietekmes novērtējuma ziņojums (anotācija)</w:t>
      </w:r>
    </w:p>
    <w:p w14:paraId="17E7B716" w14:textId="77777777" w:rsidR="008F090E" w:rsidRPr="00BB1E99" w:rsidRDefault="008F090E" w:rsidP="008F090E">
      <w:pPr>
        <w:spacing w:after="0" w:line="240" w:lineRule="auto"/>
        <w:contextualSpacing/>
        <w:rPr>
          <w:rFonts w:ascii="Times New Roman" w:eastAsia="Times New Roman" w:hAnsi="Times New Roman"/>
          <w:iCs/>
          <w:sz w:val="24"/>
          <w:szCs w:val="24"/>
          <w:lang w:eastAsia="lv-LV"/>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8"/>
        <w:gridCol w:w="6087"/>
      </w:tblGrid>
      <w:tr w:rsidR="008F090E" w:rsidRPr="00BB1E99" w14:paraId="2EC10B8E" w14:textId="77777777" w:rsidTr="006E74B7">
        <w:trPr>
          <w:trHeight w:val="45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2F67735A" w14:textId="77777777" w:rsidR="008F090E" w:rsidRPr="00BB1E99" w:rsidRDefault="008F090E" w:rsidP="006E74B7">
            <w:pPr>
              <w:spacing w:after="0" w:line="240" w:lineRule="auto"/>
              <w:jc w:val="center"/>
              <w:rPr>
                <w:rFonts w:ascii="Times New Roman" w:eastAsia="Times New Roman" w:hAnsi="Times New Roman"/>
                <w:b/>
                <w:sz w:val="24"/>
                <w:szCs w:val="24"/>
                <w:lang w:eastAsia="lv-LV"/>
              </w:rPr>
            </w:pPr>
            <w:r w:rsidRPr="00BB1E99">
              <w:rPr>
                <w:rFonts w:ascii="Times New Roman" w:eastAsia="Times New Roman" w:hAnsi="Times New Roman"/>
                <w:b/>
                <w:sz w:val="24"/>
                <w:szCs w:val="24"/>
                <w:lang w:eastAsia="lv-LV"/>
              </w:rPr>
              <w:t>Tiesību akta projekta anotācijas kopsavilkums</w:t>
            </w:r>
          </w:p>
        </w:tc>
      </w:tr>
      <w:tr w:rsidR="008F090E" w:rsidRPr="00BB1E99" w14:paraId="15B5A1FD" w14:textId="77777777" w:rsidTr="006E74B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1639" w:type="pct"/>
            <w:tcBorders>
              <w:top w:val="outset" w:sz="6" w:space="0" w:color="auto"/>
              <w:left w:val="outset" w:sz="6" w:space="0" w:color="auto"/>
              <w:bottom w:val="outset" w:sz="6" w:space="0" w:color="auto"/>
              <w:right w:val="outset" w:sz="6" w:space="0" w:color="auto"/>
            </w:tcBorders>
          </w:tcPr>
          <w:p w14:paraId="3EE5017B" w14:textId="77777777" w:rsidR="008F090E" w:rsidRPr="00BB1E99" w:rsidRDefault="008F090E" w:rsidP="006E74B7">
            <w:pPr>
              <w:spacing w:after="0" w:line="240" w:lineRule="auto"/>
              <w:rPr>
                <w:rFonts w:ascii="Times New Roman" w:eastAsia="Times New Roman" w:hAnsi="Times New Roman"/>
                <w:sz w:val="24"/>
                <w:szCs w:val="24"/>
                <w:lang w:eastAsia="lv-LV"/>
              </w:rPr>
            </w:pPr>
            <w:r w:rsidRPr="00BB1E99">
              <w:rPr>
                <w:rFonts w:ascii="Times New Roman" w:eastAsia="Times New Roman" w:hAnsi="Times New Roman"/>
                <w:sz w:val="24"/>
                <w:szCs w:val="24"/>
                <w:lang w:eastAsia="lv-LV"/>
              </w:rPr>
              <w:t>Mērķis, risinājums un projekta spēkā stāšanās laiks (500 zīmes bez atstarpēm)</w:t>
            </w:r>
          </w:p>
        </w:tc>
        <w:tc>
          <w:tcPr>
            <w:tcW w:w="3361" w:type="pct"/>
            <w:tcBorders>
              <w:top w:val="outset" w:sz="6" w:space="0" w:color="auto"/>
              <w:left w:val="outset" w:sz="6" w:space="0" w:color="auto"/>
              <w:bottom w:val="outset" w:sz="6" w:space="0" w:color="auto"/>
              <w:right w:val="outset" w:sz="6" w:space="0" w:color="auto"/>
            </w:tcBorders>
          </w:tcPr>
          <w:p w14:paraId="39B7EAC9" w14:textId="3F3F7C22" w:rsidR="001C0DF6" w:rsidRPr="00BB1E99" w:rsidRDefault="00C10C12" w:rsidP="009263DD">
            <w:pPr>
              <w:spacing w:after="0" w:line="240" w:lineRule="auto"/>
              <w:ind w:left="43"/>
              <w:contextualSpacing/>
              <w:jc w:val="both"/>
              <w:rPr>
                <w:rFonts w:ascii="Times New Roman" w:hAnsi="Times New Roman"/>
                <w:sz w:val="24"/>
                <w:szCs w:val="24"/>
                <w:lang w:eastAsia="lv-LV"/>
              </w:rPr>
            </w:pPr>
            <w:r w:rsidRPr="00BB1E99">
              <w:rPr>
                <w:rFonts w:ascii="Times New Roman" w:hAnsi="Times New Roman"/>
                <w:sz w:val="24"/>
                <w:szCs w:val="24"/>
              </w:rPr>
              <w:t>Ministru kabineta noteikumu projekts “Grozījumi Ministru kabineta 2017.</w:t>
            </w:r>
            <w:r w:rsidR="00BB1E99">
              <w:rPr>
                <w:rFonts w:ascii="Times New Roman" w:hAnsi="Times New Roman"/>
                <w:sz w:val="24"/>
                <w:szCs w:val="24"/>
              </w:rPr>
              <w:t> </w:t>
            </w:r>
            <w:r w:rsidRPr="00BB1E99">
              <w:rPr>
                <w:rFonts w:ascii="Times New Roman" w:hAnsi="Times New Roman"/>
                <w:sz w:val="24"/>
                <w:szCs w:val="24"/>
              </w:rPr>
              <w:t>gada 7.</w:t>
            </w:r>
            <w:r w:rsidR="00BB1E99">
              <w:rPr>
                <w:rFonts w:ascii="Times New Roman" w:hAnsi="Times New Roman"/>
                <w:sz w:val="24"/>
                <w:szCs w:val="24"/>
              </w:rPr>
              <w:t> </w:t>
            </w:r>
            <w:r w:rsidRPr="00BB1E99">
              <w:rPr>
                <w:rFonts w:ascii="Times New Roman" w:hAnsi="Times New Roman"/>
                <w:sz w:val="24"/>
                <w:szCs w:val="24"/>
              </w:rPr>
              <w:t>februāra noteikumos Nr.</w:t>
            </w:r>
            <w:r w:rsidR="00BB1E99">
              <w:rPr>
                <w:rFonts w:ascii="Times New Roman" w:hAnsi="Times New Roman"/>
                <w:sz w:val="24"/>
                <w:szCs w:val="24"/>
              </w:rPr>
              <w:t> </w:t>
            </w:r>
            <w:r w:rsidRPr="00BB1E99">
              <w:rPr>
                <w:rFonts w:ascii="Times New Roman" w:hAnsi="Times New Roman"/>
                <w:sz w:val="24"/>
                <w:szCs w:val="24"/>
              </w:rPr>
              <w:t>78 “Dabasgāzes tirdzniecības un lietošanas noteikumi””   (turpmāk – projekts) izstrādāts, lai nodrošinātu Enerģētikas likuma 107.</w:t>
            </w:r>
            <w:r w:rsidR="00BB1E99">
              <w:rPr>
                <w:rFonts w:ascii="Times New Roman" w:hAnsi="Times New Roman"/>
                <w:sz w:val="24"/>
                <w:szCs w:val="24"/>
              </w:rPr>
              <w:t> </w:t>
            </w:r>
            <w:r w:rsidRPr="00BB1E99">
              <w:rPr>
                <w:rFonts w:ascii="Times New Roman" w:hAnsi="Times New Roman"/>
                <w:sz w:val="24"/>
                <w:szCs w:val="24"/>
              </w:rPr>
              <w:t xml:space="preserve">panta septītās daļas ietvertā deleģējuma izpildi. </w:t>
            </w:r>
            <w:r w:rsidR="00A93CC5" w:rsidRPr="00BB1E99">
              <w:rPr>
                <w:rFonts w:ascii="Times New Roman" w:hAnsi="Times New Roman"/>
                <w:sz w:val="24"/>
                <w:szCs w:val="24"/>
              </w:rPr>
              <w:t>Enerģētikas likuma 107.</w:t>
            </w:r>
            <w:r w:rsidR="00BB1E99">
              <w:rPr>
                <w:rFonts w:ascii="Times New Roman" w:hAnsi="Times New Roman"/>
                <w:sz w:val="24"/>
                <w:szCs w:val="24"/>
              </w:rPr>
              <w:t> </w:t>
            </w:r>
            <w:r w:rsidR="00A93CC5" w:rsidRPr="00BB1E99">
              <w:rPr>
                <w:rFonts w:ascii="Times New Roman" w:hAnsi="Times New Roman"/>
                <w:sz w:val="24"/>
                <w:szCs w:val="24"/>
              </w:rPr>
              <w:t xml:space="preserve">panta septītā daļa, kur tostarp noteikts, ka </w:t>
            </w:r>
            <w:r w:rsidR="00A93CC5" w:rsidRPr="00BB1E99">
              <w:rPr>
                <w:rFonts w:ascii="Times New Roman" w:hAnsi="Times New Roman"/>
                <w:sz w:val="24"/>
                <w:szCs w:val="24"/>
                <w:u w:val="single"/>
              </w:rPr>
              <w:t xml:space="preserve">sašķidrinātās dabasgāzes </w:t>
            </w:r>
            <w:r w:rsidR="00BB1E99">
              <w:rPr>
                <w:rFonts w:ascii="Times New Roman" w:hAnsi="Times New Roman"/>
                <w:sz w:val="24"/>
                <w:szCs w:val="24"/>
                <w:u w:val="single"/>
              </w:rPr>
              <w:t xml:space="preserve">(turpmāk – SDG) </w:t>
            </w:r>
            <w:r w:rsidR="00A93CC5" w:rsidRPr="00BB1E99">
              <w:rPr>
                <w:rFonts w:ascii="Times New Roman" w:hAnsi="Times New Roman"/>
                <w:sz w:val="24"/>
                <w:szCs w:val="24"/>
                <w:u w:val="single"/>
              </w:rPr>
              <w:t>pakalpojuma sniegšanas kārtību nosaka Ministru kabinets.</w:t>
            </w:r>
            <w:r w:rsidR="00A93CC5" w:rsidRPr="00BB1E99">
              <w:rPr>
                <w:rFonts w:ascii="Times New Roman" w:hAnsi="Times New Roman"/>
                <w:sz w:val="24"/>
                <w:szCs w:val="24"/>
              </w:rPr>
              <w:t xml:space="preserve"> Izvērtējot esošo regulējumu</w:t>
            </w:r>
            <w:r w:rsidR="00BB1E99">
              <w:rPr>
                <w:rFonts w:ascii="Times New Roman" w:hAnsi="Times New Roman"/>
                <w:sz w:val="24"/>
                <w:szCs w:val="24"/>
              </w:rPr>
              <w:t>,</w:t>
            </w:r>
            <w:r w:rsidR="00A93CC5" w:rsidRPr="00BB1E99">
              <w:rPr>
                <w:rFonts w:ascii="Times New Roman" w:hAnsi="Times New Roman"/>
                <w:sz w:val="24"/>
                <w:szCs w:val="24"/>
              </w:rPr>
              <w:t xml:space="preserve"> tika konstatēts, ka minētā kārtība var tikt iestrādāta </w:t>
            </w:r>
            <w:r w:rsidR="008F090E" w:rsidRPr="00BB1E99">
              <w:rPr>
                <w:rFonts w:ascii="Times New Roman" w:hAnsi="Times New Roman"/>
                <w:sz w:val="24"/>
                <w:szCs w:val="24"/>
                <w:lang w:eastAsia="lv-LV"/>
              </w:rPr>
              <w:t>Ministru kabineta 2017.</w:t>
            </w:r>
            <w:r w:rsidR="00BB1E99">
              <w:rPr>
                <w:rFonts w:ascii="Times New Roman" w:hAnsi="Times New Roman"/>
                <w:sz w:val="24"/>
                <w:szCs w:val="24"/>
                <w:lang w:eastAsia="lv-LV"/>
              </w:rPr>
              <w:t> </w:t>
            </w:r>
            <w:r w:rsidR="008F090E" w:rsidRPr="00BB1E99">
              <w:rPr>
                <w:rFonts w:ascii="Times New Roman" w:hAnsi="Times New Roman"/>
                <w:sz w:val="24"/>
                <w:szCs w:val="24"/>
                <w:lang w:eastAsia="lv-LV"/>
              </w:rPr>
              <w:t>gada 7.</w:t>
            </w:r>
            <w:r w:rsidR="00BB1E99">
              <w:rPr>
                <w:rFonts w:ascii="Times New Roman" w:hAnsi="Times New Roman"/>
                <w:sz w:val="24"/>
                <w:szCs w:val="24"/>
                <w:lang w:eastAsia="lv-LV"/>
              </w:rPr>
              <w:t> </w:t>
            </w:r>
            <w:r w:rsidR="008F090E" w:rsidRPr="00BB1E99">
              <w:rPr>
                <w:rFonts w:ascii="Times New Roman" w:hAnsi="Times New Roman"/>
                <w:sz w:val="24"/>
                <w:szCs w:val="24"/>
                <w:lang w:eastAsia="lv-LV"/>
              </w:rPr>
              <w:t>februāra noteikum</w:t>
            </w:r>
            <w:r w:rsidR="00A93CC5" w:rsidRPr="00BB1E99">
              <w:rPr>
                <w:rFonts w:ascii="Times New Roman" w:hAnsi="Times New Roman"/>
                <w:sz w:val="24"/>
                <w:szCs w:val="24"/>
                <w:lang w:eastAsia="lv-LV"/>
              </w:rPr>
              <w:t>os</w:t>
            </w:r>
            <w:r w:rsidR="008F090E" w:rsidRPr="00BB1E99">
              <w:rPr>
                <w:rFonts w:ascii="Times New Roman" w:hAnsi="Times New Roman"/>
                <w:sz w:val="24"/>
                <w:szCs w:val="24"/>
                <w:lang w:eastAsia="lv-LV"/>
              </w:rPr>
              <w:t xml:space="preserve"> Nr.</w:t>
            </w:r>
            <w:r w:rsidR="00BB1E99">
              <w:rPr>
                <w:rFonts w:ascii="Times New Roman" w:hAnsi="Times New Roman"/>
                <w:sz w:val="24"/>
                <w:szCs w:val="24"/>
                <w:lang w:eastAsia="lv-LV"/>
              </w:rPr>
              <w:t> </w:t>
            </w:r>
            <w:r w:rsidR="008F090E" w:rsidRPr="00BB1E99">
              <w:rPr>
                <w:rFonts w:ascii="Times New Roman" w:hAnsi="Times New Roman"/>
                <w:sz w:val="24"/>
                <w:szCs w:val="24"/>
                <w:lang w:eastAsia="lv-LV"/>
              </w:rPr>
              <w:t>78 “Dabasgāzes tirdzniecības un lietošanas noteikumi” (turpmāk – Noteikumi)</w:t>
            </w:r>
            <w:r w:rsidR="00A93CC5" w:rsidRPr="00BB1E99">
              <w:rPr>
                <w:rFonts w:ascii="Times New Roman" w:hAnsi="Times New Roman"/>
                <w:sz w:val="24"/>
                <w:szCs w:val="24"/>
                <w:lang w:eastAsia="lv-LV"/>
              </w:rPr>
              <w:t xml:space="preserve">. </w:t>
            </w:r>
            <w:r w:rsidR="001C0DF6" w:rsidRPr="00BB1E99">
              <w:rPr>
                <w:rFonts w:ascii="Times New Roman" w:hAnsi="Times New Roman"/>
                <w:sz w:val="24"/>
                <w:szCs w:val="24"/>
              </w:rPr>
              <w:t>Papildus</w:t>
            </w:r>
            <w:r w:rsidR="00BB1E99">
              <w:rPr>
                <w:rFonts w:ascii="Times New Roman" w:hAnsi="Times New Roman"/>
                <w:sz w:val="24"/>
                <w:szCs w:val="24"/>
              </w:rPr>
              <w:t xml:space="preserve"> </w:t>
            </w:r>
            <w:r w:rsidRPr="00BB1E99">
              <w:rPr>
                <w:rFonts w:ascii="Times New Roman" w:hAnsi="Times New Roman"/>
                <w:sz w:val="24"/>
                <w:szCs w:val="24"/>
              </w:rPr>
              <w:t>Projekts</w:t>
            </w:r>
            <w:r w:rsidR="001C0DF6" w:rsidRPr="00BB1E99">
              <w:rPr>
                <w:rFonts w:ascii="Times New Roman" w:hAnsi="Times New Roman"/>
                <w:sz w:val="24"/>
                <w:szCs w:val="24"/>
              </w:rPr>
              <w:t xml:space="preserve"> paredz </w:t>
            </w:r>
            <w:r w:rsidR="001C0DF6" w:rsidRPr="00BB1E99">
              <w:rPr>
                <w:rFonts w:ascii="Times New Roman" w:hAnsi="Times New Roman"/>
                <w:sz w:val="24"/>
                <w:szCs w:val="24"/>
                <w:u w:val="single"/>
              </w:rPr>
              <w:t xml:space="preserve">atrisināt jautājumus, kas ir saistīti ar nesamērīga </w:t>
            </w:r>
            <w:r w:rsidR="005619BE" w:rsidRPr="00BB1E99">
              <w:rPr>
                <w:rFonts w:ascii="Times New Roman" w:hAnsi="Times New Roman"/>
                <w:sz w:val="24"/>
                <w:szCs w:val="24"/>
                <w:u w:val="single"/>
              </w:rPr>
              <w:t xml:space="preserve">finansiāla </w:t>
            </w:r>
            <w:r w:rsidR="001C0DF6" w:rsidRPr="00BB1E99">
              <w:rPr>
                <w:rFonts w:ascii="Times New Roman" w:hAnsi="Times New Roman"/>
                <w:sz w:val="24"/>
                <w:szCs w:val="24"/>
                <w:u w:val="single"/>
              </w:rPr>
              <w:t>sloga mazināšanu mājsaimniecību dabasgāzes lietotājiem</w:t>
            </w:r>
            <w:r w:rsidR="00BA58B5" w:rsidRPr="00BB1E99">
              <w:rPr>
                <w:rFonts w:ascii="Times New Roman" w:hAnsi="Times New Roman"/>
                <w:sz w:val="24"/>
                <w:szCs w:val="24"/>
                <w:u w:val="single"/>
              </w:rPr>
              <w:t xml:space="preserve">, </w:t>
            </w:r>
            <w:r w:rsidR="00BA58B5" w:rsidRPr="00BB1E99">
              <w:rPr>
                <w:rFonts w:ascii="Times New Roman" w:hAnsi="Times New Roman"/>
                <w:sz w:val="24"/>
                <w:szCs w:val="24"/>
              </w:rPr>
              <w:t xml:space="preserve"> </w:t>
            </w:r>
            <w:r w:rsidR="00BA58B5" w:rsidRPr="00BB1E99">
              <w:rPr>
                <w:rFonts w:ascii="Times New Roman" w:hAnsi="Times New Roman"/>
                <w:sz w:val="24"/>
                <w:szCs w:val="24"/>
                <w:u w:val="single"/>
              </w:rPr>
              <w:t>patērētās dabasgāzes daudzuma aprēķināšanu mājsaimniecības lietotājiem</w:t>
            </w:r>
            <w:r w:rsidR="0095374E" w:rsidRPr="00BB1E99">
              <w:rPr>
                <w:rFonts w:ascii="Times New Roman" w:hAnsi="Times New Roman"/>
                <w:sz w:val="24"/>
                <w:szCs w:val="24"/>
                <w:u w:val="single"/>
              </w:rPr>
              <w:t xml:space="preserve"> un  </w:t>
            </w:r>
            <w:r w:rsidR="00F407F4" w:rsidRPr="00BB1E99">
              <w:rPr>
                <w:rFonts w:ascii="Times New Roman" w:hAnsi="Times New Roman"/>
                <w:sz w:val="24"/>
                <w:szCs w:val="24"/>
                <w:u w:val="single"/>
              </w:rPr>
              <w:t>uzlabot</w:t>
            </w:r>
            <w:r w:rsidR="0095374E" w:rsidRPr="00BB1E99">
              <w:rPr>
                <w:rFonts w:ascii="Times New Roman" w:hAnsi="Times New Roman"/>
                <w:sz w:val="24"/>
                <w:szCs w:val="24"/>
                <w:u w:val="single"/>
              </w:rPr>
              <w:t xml:space="preserve"> normatīvo regulējumu attiecībā uz pēdējās garantētās piegādes pakalpojuma sniegšanu.</w:t>
            </w:r>
          </w:p>
          <w:p w14:paraId="4B65A69D" w14:textId="48E4F1EE" w:rsidR="008F090E" w:rsidRPr="00BB1E99" w:rsidRDefault="00C10C12" w:rsidP="009263DD">
            <w:pPr>
              <w:spacing w:after="0" w:line="240" w:lineRule="auto"/>
              <w:ind w:left="43"/>
              <w:contextualSpacing/>
              <w:jc w:val="both"/>
              <w:rPr>
                <w:rFonts w:ascii="Times New Roman" w:hAnsi="Times New Roman"/>
                <w:sz w:val="24"/>
                <w:szCs w:val="24"/>
                <w:lang w:eastAsia="lv-LV"/>
              </w:rPr>
            </w:pPr>
            <w:r w:rsidRPr="00BB1E99">
              <w:rPr>
                <w:rFonts w:ascii="Times New Roman" w:hAnsi="Times New Roman"/>
                <w:color w:val="0D0D0D"/>
                <w:sz w:val="24"/>
                <w:szCs w:val="24"/>
              </w:rPr>
              <w:t>Projekts</w:t>
            </w:r>
            <w:r w:rsidR="008F090E" w:rsidRPr="00BB1E99">
              <w:rPr>
                <w:rFonts w:ascii="Times New Roman" w:hAnsi="Times New Roman"/>
                <w:sz w:val="24"/>
                <w:szCs w:val="24"/>
              </w:rPr>
              <w:t xml:space="preserve"> stāsies spēkā vispārējā kārtībā atbilstoši Oficiālo publikāciju un tiesiskās informācijas likumam.</w:t>
            </w:r>
          </w:p>
        </w:tc>
      </w:tr>
    </w:tbl>
    <w:p w14:paraId="74142F4A" w14:textId="77777777" w:rsidR="008F090E" w:rsidRPr="00BB1E99" w:rsidRDefault="008F090E" w:rsidP="008F090E">
      <w:pPr>
        <w:spacing w:after="0" w:line="240" w:lineRule="auto"/>
        <w:contextualSpacing/>
        <w:rPr>
          <w:rFonts w:ascii="Times New Roman" w:eastAsia="Times New Roman" w:hAnsi="Times New Roman"/>
          <w:iCs/>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543"/>
        <w:gridCol w:w="6089"/>
      </w:tblGrid>
      <w:tr w:rsidR="008F090E" w:rsidRPr="00BB1E99" w14:paraId="1EB2C32D" w14:textId="77777777" w:rsidTr="00FD220F">
        <w:trPr>
          <w:trHeight w:val="454"/>
        </w:trPr>
        <w:tc>
          <w:tcPr>
            <w:tcW w:w="5000" w:type="pct"/>
            <w:gridSpan w:val="3"/>
            <w:shd w:val="clear" w:color="auto" w:fill="auto"/>
            <w:vAlign w:val="center"/>
            <w:hideMark/>
          </w:tcPr>
          <w:p w14:paraId="4567158E" w14:textId="77777777" w:rsidR="008F090E" w:rsidRPr="00BB1E99" w:rsidRDefault="008F090E" w:rsidP="00FD220F">
            <w:pPr>
              <w:spacing w:after="0" w:line="240" w:lineRule="auto"/>
              <w:contextualSpacing/>
              <w:jc w:val="center"/>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I. Tiesību akta projekta izstrādes nepieciešamība</w:t>
            </w:r>
          </w:p>
        </w:tc>
      </w:tr>
      <w:tr w:rsidR="008F090E" w:rsidRPr="00BB1E99" w14:paraId="1AE74E61" w14:textId="77777777" w:rsidTr="00FD220F">
        <w:tc>
          <w:tcPr>
            <w:tcW w:w="237" w:type="pct"/>
            <w:shd w:val="clear" w:color="auto" w:fill="auto"/>
            <w:hideMark/>
          </w:tcPr>
          <w:p w14:paraId="4AF65FFA"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1.</w:t>
            </w:r>
          </w:p>
        </w:tc>
        <w:tc>
          <w:tcPr>
            <w:tcW w:w="1403" w:type="pct"/>
            <w:shd w:val="clear" w:color="auto" w:fill="auto"/>
            <w:hideMark/>
          </w:tcPr>
          <w:p w14:paraId="68CCD05C"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Pamatojums</w:t>
            </w:r>
          </w:p>
        </w:tc>
        <w:tc>
          <w:tcPr>
            <w:tcW w:w="3360" w:type="pct"/>
            <w:shd w:val="clear" w:color="auto" w:fill="auto"/>
          </w:tcPr>
          <w:p w14:paraId="146251C2" w14:textId="36C4AE13" w:rsidR="001A51F8" w:rsidRPr="00BB1E99" w:rsidRDefault="008F090E" w:rsidP="009263DD">
            <w:pPr>
              <w:spacing w:before="60" w:after="60" w:line="240" w:lineRule="auto"/>
              <w:ind w:right="65"/>
              <w:jc w:val="both"/>
              <w:rPr>
                <w:rFonts w:ascii="Times New Roman" w:hAnsi="Times New Roman"/>
                <w:sz w:val="24"/>
                <w:szCs w:val="24"/>
              </w:rPr>
            </w:pPr>
            <w:r w:rsidRPr="00BB1E99">
              <w:rPr>
                <w:rFonts w:ascii="Times New Roman" w:hAnsi="Times New Roman"/>
                <w:sz w:val="24"/>
                <w:szCs w:val="24"/>
              </w:rPr>
              <w:t>Projekts izstrādāts saskaņā ar Enerģētikas likuma 107.</w:t>
            </w:r>
            <w:r w:rsidR="00BB1E99">
              <w:rPr>
                <w:rFonts w:ascii="Times New Roman" w:hAnsi="Times New Roman"/>
                <w:sz w:val="24"/>
                <w:szCs w:val="24"/>
              </w:rPr>
              <w:t> </w:t>
            </w:r>
            <w:r w:rsidRPr="00BB1E99">
              <w:rPr>
                <w:rFonts w:ascii="Times New Roman" w:hAnsi="Times New Roman"/>
                <w:sz w:val="24"/>
                <w:szCs w:val="24"/>
              </w:rPr>
              <w:t>panta septīto daļu</w:t>
            </w:r>
            <w:r w:rsidR="00790E90" w:rsidRPr="00BB1E99">
              <w:rPr>
                <w:rFonts w:ascii="Times New Roman" w:hAnsi="Times New Roman"/>
                <w:sz w:val="24"/>
                <w:szCs w:val="24"/>
              </w:rPr>
              <w:t xml:space="preserve">, </w:t>
            </w:r>
            <w:r w:rsidR="00D34FCB" w:rsidRPr="00BB1E99">
              <w:rPr>
                <w:rFonts w:ascii="Times New Roman" w:hAnsi="Times New Roman"/>
                <w:sz w:val="24"/>
                <w:szCs w:val="24"/>
              </w:rPr>
              <w:t xml:space="preserve">kur tostarp </w:t>
            </w:r>
            <w:r w:rsidR="00790E90" w:rsidRPr="00BB1E99">
              <w:rPr>
                <w:rFonts w:ascii="Times New Roman" w:hAnsi="Times New Roman"/>
                <w:sz w:val="24"/>
                <w:szCs w:val="24"/>
              </w:rPr>
              <w:t>no</w:t>
            </w:r>
            <w:r w:rsidR="00D34FCB" w:rsidRPr="00BB1E99">
              <w:rPr>
                <w:rFonts w:ascii="Times New Roman" w:hAnsi="Times New Roman"/>
                <w:sz w:val="24"/>
                <w:szCs w:val="24"/>
              </w:rPr>
              <w:t>teikts</w:t>
            </w:r>
            <w:r w:rsidR="00790E90" w:rsidRPr="00BB1E99">
              <w:rPr>
                <w:rFonts w:ascii="Times New Roman" w:hAnsi="Times New Roman"/>
                <w:sz w:val="24"/>
                <w:szCs w:val="24"/>
              </w:rPr>
              <w:t>, ka</w:t>
            </w:r>
            <w:r w:rsidR="00233FC4" w:rsidRPr="00BB1E99">
              <w:rPr>
                <w:rFonts w:ascii="Times New Roman" w:hAnsi="Times New Roman"/>
                <w:sz w:val="24"/>
                <w:szCs w:val="24"/>
              </w:rPr>
              <w:t xml:space="preserve"> prasības</w:t>
            </w:r>
            <w:r w:rsidR="00BB1E99">
              <w:rPr>
                <w:rFonts w:ascii="Times New Roman" w:hAnsi="Times New Roman"/>
                <w:sz w:val="24"/>
                <w:szCs w:val="24"/>
              </w:rPr>
              <w:t>,</w:t>
            </w:r>
            <w:r w:rsidR="00233FC4" w:rsidRPr="00BB1E99">
              <w:rPr>
                <w:rFonts w:ascii="Times New Roman" w:hAnsi="Times New Roman"/>
                <w:sz w:val="24"/>
                <w:szCs w:val="24"/>
              </w:rPr>
              <w:t xml:space="preserve"> tirgotāja, publiskā tirgotāja, sistēmas operatora, lietotāja un gazificētā objekta īpašnieka tiesības un pienākumus dabasgāzes piegādē un lietošanā, kārtību, kādā veicami norēķini par saņemtajiem pakalpojumiem un</w:t>
            </w:r>
            <w:r w:rsidR="00790E90" w:rsidRPr="00BB1E99">
              <w:rPr>
                <w:rFonts w:ascii="Times New Roman" w:hAnsi="Times New Roman"/>
                <w:sz w:val="24"/>
                <w:szCs w:val="24"/>
              </w:rPr>
              <w:t xml:space="preserve"> </w:t>
            </w:r>
            <w:r w:rsidR="00BB1E99">
              <w:rPr>
                <w:rFonts w:ascii="Times New Roman" w:hAnsi="Times New Roman"/>
                <w:sz w:val="24"/>
                <w:szCs w:val="24"/>
              </w:rPr>
              <w:t>SDG</w:t>
            </w:r>
            <w:r w:rsidR="00790E90" w:rsidRPr="00BB1E99">
              <w:rPr>
                <w:rFonts w:ascii="Times New Roman" w:hAnsi="Times New Roman"/>
                <w:sz w:val="24"/>
                <w:szCs w:val="24"/>
              </w:rPr>
              <w:t xml:space="preserve"> pakalpojuma sniegšanas kārtību</w:t>
            </w:r>
            <w:r w:rsidR="00BB1E99">
              <w:rPr>
                <w:rFonts w:ascii="Times New Roman" w:hAnsi="Times New Roman"/>
                <w:sz w:val="24"/>
                <w:szCs w:val="24"/>
              </w:rPr>
              <w:t>,</w:t>
            </w:r>
            <w:r w:rsidR="00790E90" w:rsidRPr="00BB1E99">
              <w:rPr>
                <w:rFonts w:ascii="Times New Roman" w:hAnsi="Times New Roman"/>
                <w:sz w:val="24"/>
                <w:szCs w:val="24"/>
              </w:rPr>
              <w:t xml:space="preserve"> nosaka Ministru kabinets.</w:t>
            </w:r>
          </w:p>
        </w:tc>
      </w:tr>
      <w:tr w:rsidR="008F090E" w:rsidRPr="00BB1E99" w14:paraId="48EB56D4" w14:textId="77777777" w:rsidTr="00FD220F">
        <w:tc>
          <w:tcPr>
            <w:tcW w:w="237" w:type="pct"/>
            <w:shd w:val="clear" w:color="auto" w:fill="auto"/>
            <w:hideMark/>
          </w:tcPr>
          <w:p w14:paraId="36B69CFB"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2.</w:t>
            </w:r>
          </w:p>
        </w:tc>
        <w:tc>
          <w:tcPr>
            <w:tcW w:w="1403" w:type="pct"/>
            <w:shd w:val="clear" w:color="auto" w:fill="auto"/>
            <w:hideMark/>
          </w:tcPr>
          <w:p w14:paraId="16B11670"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360" w:type="pct"/>
            <w:shd w:val="clear" w:color="auto" w:fill="auto"/>
            <w:hideMark/>
          </w:tcPr>
          <w:p w14:paraId="22B68495" w14:textId="1E98470F" w:rsidR="008F090E" w:rsidRPr="00BB1E99" w:rsidRDefault="007107B6" w:rsidP="009263DD">
            <w:pPr>
              <w:spacing w:after="0" w:line="240" w:lineRule="auto"/>
              <w:ind w:right="65"/>
              <w:jc w:val="both"/>
              <w:rPr>
                <w:rFonts w:ascii="Times New Roman" w:hAnsi="Times New Roman"/>
                <w:sz w:val="24"/>
                <w:szCs w:val="24"/>
              </w:rPr>
            </w:pPr>
            <w:r w:rsidRPr="00BB1E99">
              <w:rPr>
                <w:rFonts w:ascii="Times New Roman" w:hAnsi="Times New Roman"/>
                <w:b/>
                <w:bCs/>
                <w:sz w:val="24"/>
                <w:szCs w:val="24"/>
              </w:rPr>
              <w:t xml:space="preserve">1. </w:t>
            </w:r>
            <w:r w:rsidR="0020177A" w:rsidRPr="00BB1E99">
              <w:rPr>
                <w:rFonts w:ascii="Times New Roman" w:hAnsi="Times New Roman"/>
                <w:sz w:val="24"/>
                <w:szCs w:val="24"/>
              </w:rPr>
              <w:t>I</w:t>
            </w:r>
            <w:r w:rsidRPr="00BB1E99">
              <w:rPr>
                <w:rFonts w:ascii="Times New Roman" w:hAnsi="Times New Roman"/>
                <w:sz w:val="24"/>
                <w:szCs w:val="24"/>
              </w:rPr>
              <w:t>z</w:t>
            </w:r>
            <w:r w:rsidR="0020177A" w:rsidRPr="00BB1E99">
              <w:rPr>
                <w:rFonts w:ascii="Times New Roman" w:hAnsi="Times New Roman"/>
                <w:sz w:val="24"/>
                <w:szCs w:val="24"/>
              </w:rPr>
              <w:t>vēr</w:t>
            </w:r>
            <w:r w:rsidRPr="00BB1E99">
              <w:rPr>
                <w:rFonts w:ascii="Times New Roman" w:hAnsi="Times New Roman"/>
                <w:sz w:val="24"/>
                <w:szCs w:val="24"/>
              </w:rPr>
              <w:t>tē</w:t>
            </w:r>
            <w:r w:rsidR="0020177A" w:rsidRPr="00BB1E99">
              <w:rPr>
                <w:rFonts w:ascii="Times New Roman" w:hAnsi="Times New Roman"/>
                <w:sz w:val="24"/>
                <w:szCs w:val="24"/>
              </w:rPr>
              <w:t>jot spēkā esošo tiesisko regulējumu enerģētikas sektorā, Ekonomikas ministrija ir konstatējusi, ka šī brīža regulējums ir nepilnīgs, jo nav izstrādāta Enerģētikas likuma 107.</w:t>
            </w:r>
            <w:r w:rsidR="009263DD">
              <w:rPr>
                <w:rFonts w:ascii="Times New Roman" w:hAnsi="Times New Roman"/>
                <w:sz w:val="24"/>
                <w:szCs w:val="24"/>
              </w:rPr>
              <w:t> </w:t>
            </w:r>
            <w:r w:rsidR="0020177A" w:rsidRPr="00BB1E99">
              <w:rPr>
                <w:rFonts w:ascii="Times New Roman" w:hAnsi="Times New Roman"/>
                <w:sz w:val="24"/>
                <w:szCs w:val="24"/>
              </w:rPr>
              <w:t>panta septītajā daļā noteiktā SDG pakalpojuma sniegšanas kārtība. Līdz ar to ir nepieciešams veikt grozījumus Noteikumos, papildinot tos atbilstoši Enerģētikas likuma deleģējumam.</w:t>
            </w:r>
            <w:r w:rsidRPr="00BB1E99">
              <w:rPr>
                <w:rFonts w:ascii="Times New Roman" w:hAnsi="Times New Roman"/>
                <w:sz w:val="24"/>
                <w:szCs w:val="24"/>
              </w:rPr>
              <w:t xml:space="preserve"> Līdz ar to </w:t>
            </w:r>
            <w:r w:rsidR="008F090E" w:rsidRPr="00BB1E99">
              <w:rPr>
                <w:rFonts w:ascii="Times New Roman" w:hAnsi="Times New Roman"/>
                <w:b/>
                <w:bCs/>
                <w:sz w:val="24"/>
                <w:szCs w:val="24"/>
                <w:u w:val="single"/>
              </w:rPr>
              <w:t xml:space="preserve">Projekts izstrādāts, lai nodrošinātu </w:t>
            </w:r>
            <w:r w:rsidR="00E901FA" w:rsidRPr="00BB1E99">
              <w:rPr>
                <w:rFonts w:ascii="Times New Roman" w:hAnsi="Times New Roman"/>
                <w:b/>
                <w:bCs/>
                <w:sz w:val="24"/>
                <w:szCs w:val="24"/>
                <w:u w:val="single"/>
              </w:rPr>
              <w:t>Enerģētikas likuma 107.</w:t>
            </w:r>
            <w:r w:rsidR="009263DD">
              <w:rPr>
                <w:rFonts w:ascii="Times New Roman" w:hAnsi="Times New Roman"/>
                <w:b/>
                <w:bCs/>
                <w:sz w:val="24"/>
                <w:szCs w:val="24"/>
                <w:u w:val="single"/>
              </w:rPr>
              <w:t> </w:t>
            </w:r>
            <w:r w:rsidR="00E901FA" w:rsidRPr="00BB1E99">
              <w:rPr>
                <w:rFonts w:ascii="Times New Roman" w:hAnsi="Times New Roman"/>
                <w:b/>
                <w:bCs/>
                <w:sz w:val="24"/>
                <w:szCs w:val="24"/>
                <w:u w:val="single"/>
              </w:rPr>
              <w:t>panta septītās daļas ietvertā deleģējuma izpildi</w:t>
            </w:r>
            <w:r w:rsidR="00F407F4" w:rsidRPr="00BB1E99">
              <w:rPr>
                <w:rFonts w:ascii="Times New Roman" w:hAnsi="Times New Roman"/>
                <w:b/>
                <w:bCs/>
                <w:sz w:val="24"/>
                <w:szCs w:val="24"/>
                <w:u w:val="single"/>
              </w:rPr>
              <w:t xml:space="preserve"> (Projekta 1.,</w:t>
            </w:r>
            <w:r w:rsidR="00020E2F" w:rsidRPr="00BB1E99">
              <w:rPr>
                <w:rFonts w:ascii="Times New Roman" w:hAnsi="Times New Roman"/>
                <w:b/>
                <w:bCs/>
                <w:sz w:val="24"/>
                <w:szCs w:val="24"/>
                <w:u w:val="single"/>
              </w:rPr>
              <w:t>3.,</w:t>
            </w:r>
            <w:r w:rsidR="00F407F4" w:rsidRPr="00BB1E99">
              <w:rPr>
                <w:rFonts w:ascii="Times New Roman" w:hAnsi="Times New Roman"/>
                <w:b/>
                <w:bCs/>
                <w:sz w:val="24"/>
                <w:szCs w:val="24"/>
                <w:u w:val="single"/>
              </w:rPr>
              <w:t xml:space="preserve"> </w:t>
            </w:r>
            <w:r w:rsidR="00020E2F" w:rsidRPr="00BB1E99">
              <w:rPr>
                <w:rFonts w:ascii="Times New Roman" w:hAnsi="Times New Roman"/>
                <w:b/>
                <w:bCs/>
                <w:sz w:val="24"/>
                <w:szCs w:val="24"/>
                <w:u w:val="single"/>
              </w:rPr>
              <w:t>5</w:t>
            </w:r>
            <w:r w:rsidR="00F407F4" w:rsidRPr="00BB1E99">
              <w:rPr>
                <w:rFonts w:ascii="Times New Roman" w:hAnsi="Times New Roman"/>
                <w:b/>
                <w:bCs/>
                <w:sz w:val="24"/>
                <w:szCs w:val="24"/>
                <w:u w:val="single"/>
              </w:rPr>
              <w:t xml:space="preserve">., </w:t>
            </w:r>
            <w:r w:rsidR="00020E2F" w:rsidRPr="00BB1E99">
              <w:rPr>
                <w:rFonts w:ascii="Times New Roman" w:hAnsi="Times New Roman"/>
                <w:b/>
                <w:bCs/>
                <w:sz w:val="24"/>
                <w:szCs w:val="24"/>
                <w:u w:val="single"/>
              </w:rPr>
              <w:t>6</w:t>
            </w:r>
            <w:r w:rsidR="00F407F4" w:rsidRPr="00BB1E99">
              <w:rPr>
                <w:rFonts w:ascii="Times New Roman" w:hAnsi="Times New Roman"/>
                <w:b/>
                <w:bCs/>
                <w:sz w:val="24"/>
                <w:szCs w:val="24"/>
                <w:u w:val="single"/>
              </w:rPr>
              <w:t>., 2</w:t>
            </w:r>
            <w:r w:rsidR="00807419" w:rsidRPr="00BB1E99">
              <w:rPr>
                <w:rFonts w:ascii="Times New Roman" w:hAnsi="Times New Roman"/>
                <w:b/>
                <w:bCs/>
                <w:sz w:val="24"/>
                <w:szCs w:val="24"/>
                <w:u w:val="single"/>
              </w:rPr>
              <w:t>3</w:t>
            </w:r>
            <w:r w:rsidR="00F407F4" w:rsidRPr="00BB1E99">
              <w:rPr>
                <w:rFonts w:ascii="Times New Roman" w:hAnsi="Times New Roman"/>
                <w:b/>
                <w:bCs/>
                <w:sz w:val="24"/>
                <w:szCs w:val="24"/>
                <w:u w:val="single"/>
              </w:rPr>
              <w:t>., 2</w:t>
            </w:r>
            <w:r w:rsidR="00807419" w:rsidRPr="00BB1E99">
              <w:rPr>
                <w:rFonts w:ascii="Times New Roman" w:hAnsi="Times New Roman"/>
                <w:b/>
                <w:bCs/>
                <w:sz w:val="24"/>
                <w:szCs w:val="24"/>
                <w:u w:val="single"/>
              </w:rPr>
              <w:t>4</w:t>
            </w:r>
            <w:r w:rsidR="00F407F4" w:rsidRPr="00BB1E99">
              <w:rPr>
                <w:rFonts w:ascii="Times New Roman" w:hAnsi="Times New Roman"/>
                <w:b/>
                <w:bCs/>
                <w:sz w:val="24"/>
                <w:szCs w:val="24"/>
                <w:u w:val="single"/>
              </w:rPr>
              <w:t>. punkti)</w:t>
            </w:r>
            <w:r w:rsidR="00E901FA" w:rsidRPr="00BB1E99">
              <w:rPr>
                <w:rFonts w:ascii="Times New Roman" w:hAnsi="Times New Roman"/>
                <w:b/>
                <w:bCs/>
                <w:sz w:val="24"/>
                <w:szCs w:val="24"/>
                <w:u w:val="single"/>
              </w:rPr>
              <w:t>.</w:t>
            </w:r>
          </w:p>
          <w:p w14:paraId="4212FFFA" w14:textId="513FA4F7" w:rsidR="00A917C7" w:rsidRPr="00BB1E99" w:rsidRDefault="001C0DF6"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P</w:t>
            </w:r>
            <w:r w:rsidR="00A917C7" w:rsidRPr="00BB1E99">
              <w:rPr>
                <w:rFonts w:ascii="Times New Roman" w:hAnsi="Times New Roman"/>
                <w:sz w:val="24"/>
                <w:szCs w:val="24"/>
              </w:rPr>
              <w:t>rojekt</w:t>
            </w:r>
            <w:r w:rsidRPr="00BB1E99">
              <w:rPr>
                <w:rFonts w:ascii="Times New Roman" w:hAnsi="Times New Roman"/>
                <w:sz w:val="24"/>
                <w:szCs w:val="24"/>
              </w:rPr>
              <w:t>a 1.</w:t>
            </w:r>
            <w:r w:rsidR="009263DD">
              <w:rPr>
                <w:rFonts w:ascii="Times New Roman" w:hAnsi="Times New Roman"/>
                <w:sz w:val="24"/>
                <w:szCs w:val="24"/>
              </w:rPr>
              <w:t> </w:t>
            </w:r>
            <w:r w:rsidRPr="00BB1E99">
              <w:rPr>
                <w:rFonts w:ascii="Times New Roman" w:hAnsi="Times New Roman"/>
                <w:sz w:val="24"/>
                <w:szCs w:val="24"/>
              </w:rPr>
              <w:t>punkts</w:t>
            </w:r>
            <w:r w:rsidR="00A917C7" w:rsidRPr="00BB1E99">
              <w:rPr>
                <w:rFonts w:ascii="Times New Roman" w:hAnsi="Times New Roman"/>
                <w:sz w:val="24"/>
                <w:szCs w:val="24"/>
              </w:rPr>
              <w:t xml:space="preserve"> </w:t>
            </w:r>
            <w:r w:rsidR="0052720F" w:rsidRPr="00BB1E99">
              <w:rPr>
                <w:rFonts w:ascii="Times New Roman" w:hAnsi="Times New Roman"/>
                <w:sz w:val="24"/>
                <w:szCs w:val="24"/>
              </w:rPr>
              <w:t xml:space="preserve">papildina Noteikumus ar papildu informāciju, ka Noteikumi nosaka arī SDG pakalpojuma sniegšanas kārtību. </w:t>
            </w:r>
            <w:r w:rsidR="00CE687F" w:rsidRPr="00BB1E99">
              <w:rPr>
                <w:rFonts w:ascii="Times New Roman" w:hAnsi="Times New Roman"/>
                <w:sz w:val="24"/>
                <w:szCs w:val="24"/>
              </w:rPr>
              <w:t>Projekta</w:t>
            </w:r>
            <w:r w:rsidR="0052720F" w:rsidRPr="00BB1E99">
              <w:rPr>
                <w:rFonts w:ascii="Times New Roman" w:hAnsi="Times New Roman"/>
                <w:sz w:val="24"/>
                <w:szCs w:val="24"/>
              </w:rPr>
              <w:t xml:space="preserve"> 3.</w:t>
            </w:r>
            <w:r w:rsidR="009263DD">
              <w:rPr>
                <w:rFonts w:ascii="Times New Roman" w:hAnsi="Times New Roman"/>
                <w:sz w:val="24"/>
                <w:szCs w:val="24"/>
              </w:rPr>
              <w:t> </w:t>
            </w:r>
            <w:r w:rsidR="0052720F" w:rsidRPr="00BB1E99">
              <w:rPr>
                <w:rFonts w:ascii="Times New Roman" w:hAnsi="Times New Roman"/>
                <w:sz w:val="24"/>
                <w:szCs w:val="24"/>
              </w:rPr>
              <w:t xml:space="preserve">punkts </w:t>
            </w:r>
            <w:r w:rsidR="00A917C7" w:rsidRPr="00BB1E99">
              <w:rPr>
                <w:rFonts w:ascii="Times New Roman" w:hAnsi="Times New Roman"/>
                <w:sz w:val="24"/>
                <w:szCs w:val="24"/>
              </w:rPr>
              <w:t xml:space="preserve">paredz papildināt Noteikumus </w:t>
            </w:r>
            <w:r w:rsidR="00A917C7" w:rsidRPr="00BB1E99">
              <w:rPr>
                <w:rFonts w:ascii="Times New Roman" w:hAnsi="Times New Roman"/>
                <w:sz w:val="24"/>
                <w:szCs w:val="24"/>
                <w:u w:val="single"/>
              </w:rPr>
              <w:t>ar jau</w:t>
            </w:r>
            <w:r w:rsidR="00E8378F" w:rsidRPr="00BB1E99">
              <w:rPr>
                <w:rFonts w:ascii="Times New Roman" w:hAnsi="Times New Roman"/>
                <w:sz w:val="24"/>
                <w:szCs w:val="24"/>
                <w:u w:val="single"/>
              </w:rPr>
              <w:t>no</w:t>
            </w:r>
            <w:r w:rsidR="00A917C7" w:rsidRPr="00BB1E99">
              <w:rPr>
                <w:rFonts w:ascii="Times New Roman" w:hAnsi="Times New Roman"/>
                <w:sz w:val="24"/>
                <w:szCs w:val="24"/>
                <w:u w:val="single"/>
              </w:rPr>
              <w:t xml:space="preserve"> definīcij</w:t>
            </w:r>
            <w:r w:rsidR="00E8378F" w:rsidRPr="00BB1E99">
              <w:rPr>
                <w:rFonts w:ascii="Times New Roman" w:hAnsi="Times New Roman"/>
                <w:sz w:val="24"/>
                <w:szCs w:val="24"/>
                <w:u w:val="single"/>
              </w:rPr>
              <w:t>u</w:t>
            </w:r>
            <w:r w:rsidR="00A917C7" w:rsidRPr="00BB1E99">
              <w:rPr>
                <w:rFonts w:ascii="Times New Roman" w:hAnsi="Times New Roman"/>
                <w:sz w:val="24"/>
                <w:szCs w:val="24"/>
              </w:rPr>
              <w:t xml:space="preserve">, kas nav ietverta Enerģētikas </w:t>
            </w:r>
            <w:r w:rsidR="00A917C7" w:rsidRPr="00BB1E99">
              <w:rPr>
                <w:rFonts w:ascii="Times New Roman" w:hAnsi="Times New Roman"/>
                <w:sz w:val="24"/>
                <w:szCs w:val="24"/>
              </w:rPr>
              <w:lastRenderedPageBreak/>
              <w:t>likuma 1.</w:t>
            </w:r>
            <w:r w:rsidR="009263DD">
              <w:rPr>
                <w:rFonts w:ascii="Times New Roman" w:hAnsi="Times New Roman"/>
                <w:sz w:val="24"/>
                <w:szCs w:val="24"/>
              </w:rPr>
              <w:t> </w:t>
            </w:r>
            <w:r w:rsidR="00A917C7" w:rsidRPr="00BB1E99">
              <w:rPr>
                <w:rFonts w:ascii="Times New Roman" w:hAnsi="Times New Roman"/>
                <w:sz w:val="24"/>
                <w:szCs w:val="24"/>
              </w:rPr>
              <w:t>pantā, proti, precīzi atrunāt terminu</w:t>
            </w:r>
            <w:r w:rsidR="00E44FA7" w:rsidRPr="00BB1E99">
              <w:rPr>
                <w:rFonts w:ascii="Times New Roman" w:hAnsi="Times New Roman"/>
                <w:sz w:val="24"/>
                <w:szCs w:val="24"/>
              </w:rPr>
              <w:t>s</w:t>
            </w:r>
            <w:r w:rsidR="00A917C7" w:rsidRPr="00BB1E99">
              <w:rPr>
                <w:rFonts w:ascii="Times New Roman" w:hAnsi="Times New Roman"/>
                <w:sz w:val="24"/>
                <w:szCs w:val="24"/>
              </w:rPr>
              <w:t xml:space="preserve"> “sašķidrinātās dabasgāzes sistēmas operators”</w:t>
            </w:r>
            <w:r w:rsidR="00E8378F" w:rsidRPr="00BB1E99">
              <w:rPr>
                <w:rFonts w:ascii="Times New Roman" w:hAnsi="Times New Roman"/>
                <w:sz w:val="24"/>
                <w:szCs w:val="24"/>
              </w:rPr>
              <w:t>, nosakot ka tas ir energoapgādes komersants, kas</w:t>
            </w:r>
            <w:r w:rsidR="009263DD">
              <w:rPr>
                <w:rFonts w:ascii="Times New Roman" w:hAnsi="Times New Roman"/>
                <w:sz w:val="24"/>
                <w:szCs w:val="24"/>
              </w:rPr>
              <w:t>,</w:t>
            </w:r>
            <w:r w:rsidR="00E8378F" w:rsidRPr="00BB1E99">
              <w:rPr>
                <w:rFonts w:ascii="Times New Roman" w:hAnsi="Times New Roman"/>
                <w:sz w:val="24"/>
                <w:szCs w:val="24"/>
              </w:rPr>
              <w:t xml:space="preserve"> atbilstoši Enerģētikas likumā noteiktajam</w:t>
            </w:r>
            <w:r w:rsidR="009263DD">
              <w:rPr>
                <w:rFonts w:ascii="Times New Roman" w:hAnsi="Times New Roman"/>
                <w:sz w:val="24"/>
                <w:szCs w:val="24"/>
              </w:rPr>
              <w:t>,</w:t>
            </w:r>
            <w:r w:rsidR="00E8378F" w:rsidRPr="00BB1E99">
              <w:rPr>
                <w:rFonts w:ascii="Times New Roman" w:hAnsi="Times New Roman"/>
                <w:sz w:val="24"/>
                <w:szCs w:val="24"/>
              </w:rPr>
              <w:t xml:space="preserve"> sniedz sašķidrinātās dabasgāzes pakalpojumu</w:t>
            </w:r>
            <w:r w:rsidR="009263DD">
              <w:rPr>
                <w:rFonts w:ascii="Times New Roman" w:hAnsi="Times New Roman"/>
                <w:sz w:val="24"/>
                <w:szCs w:val="24"/>
              </w:rPr>
              <w:t>.</w:t>
            </w:r>
          </w:p>
          <w:p w14:paraId="05C7D6FC" w14:textId="560AE31D" w:rsidR="007F39CE" w:rsidRPr="00BB1E99" w:rsidRDefault="007F39CE"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Projekt</w:t>
            </w:r>
            <w:r w:rsidR="00E227D9" w:rsidRPr="00BB1E99">
              <w:rPr>
                <w:rFonts w:ascii="Times New Roman" w:hAnsi="Times New Roman"/>
                <w:sz w:val="24"/>
                <w:szCs w:val="24"/>
              </w:rPr>
              <w:t xml:space="preserve">a </w:t>
            </w:r>
            <w:r w:rsidR="00020E2F" w:rsidRPr="00BB1E99">
              <w:rPr>
                <w:rFonts w:ascii="Times New Roman" w:hAnsi="Times New Roman"/>
                <w:sz w:val="24"/>
                <w:szCs w:val="24"/>
              </w:rPr>
              <w:t>5</w:t>
            </w:r>
            <w:r w:rsidR="00E227D9" w:rsidRPr="00BB1E99">
              <w:rPr>
                <w:rFonts w:ascii="Times New Roman" w:hAnsi="Times New Roman"/>
                <w:sz w:val="24"/>
                <w:szCs w:val="24"/>
              </w:rPr>
              <w:t>.</w:t>
            </w:r>
            <w:r w:rsidR="00E8378F" w:rsidRPr="00BB1E99">
              <w:rPr>
                <w:rFonts w:ascii="Times New Roman" w:hAnsi="Times New Roman"/>
                <w:sz w:val="24"/>
                <w:szCs w:val="24"/>
              </w:rPr>
              <w:t xml:space="preserve"> un </w:t>
            </w:r>
            <w:r w:rsidR="00020E2F" w:rsidRPr="00BB1E99">
              <w:rPr>
                <w:rFonts w:ascii="Times New Roman" w:hAnsi="Times New Roman"/>
                <w:sz w:val="24"/>
                <w:szCs w:val="24"/>
              </w:rPr>
              <w:t>6</w:t>
            </w:r>
            <w:r w:rsidR="00E8378F" w:rsidRPr="00BB1E99">
              <w:rPr>
                <w:rFonts w:ascii="Times New Roman" w:hAnsi="Times New Roman"/>
                <w:sz w:val="24"/>
                <w:szCs w:val="24"/>
              </w:rPr>
              <w:t xml:space="preserve">. </w:t>
            </w:r>
            <w:r w:rsidR="00E227D9" w:rsidRPr="00BB1E99">
              <w:rPr>
                <w:rFonts w:ascii="Times New Roman" w:hAnsi="Times New Roman"/>
                <w:sz w:val="24"/>
                <w:szCs w:val="24"/>
              </w:rPr>
              <w:t>punkt</w:t>
            </w:r>
            <w:r w:rsidR="00E8378F" w:rsidRPr="00BB1E99">
              <w:rPr>
                <w:rFonts w:ascii="Times New Roman" w:hAnsi="Times New Roman"/>
                <w:sz w:val="24"/>
                <w:szCs w:val="24"/>
              </w:rPr>
              <w:t>i</w:t>
            </w:r>
            <w:r w:rsidRPr="00BB1E99">
              <w:rPr>
                <w:rFonts w:ascii="Times New Roman" w:hAnsi="Times New Roman"/>
                <w:sz w:val="24"/>
                <w:szCs w:val="24"/>
              </w:rPr>
              <w:t xml:space="preserve"> paredz papildināt Noteikumus ar jaunu </w:t>
            </w:r>
            <w:r w:rsidR="00E8378F" w:rsidRPr="00BB1E99">
              <w:rPr>
                <w:rFonts w:ascii="Times New Roman" w:hAnsi="Times New Roman"/>
                <w:sz w:val="24"/>
                <w:szCs w:val="24"/>
              </w:rPr>
              <w:t>punktu, kurā</w:t>
            </w:r>
            <w:r w:rsidRPr="00BB1E99">
              <w:rPr>
                <w:rFonts w:ascii="Times New Roman" w:hAnsi="Times New Roman"/>
                <w:sz w:val="24"/>
                <w:szCs w:val="24"/>
              </w:rPr>
              <w:t xml:space="preserve"> tiktu atrunāta </w:t>
            </w:r>
            <w:r w:rsidRPr="00BB1E99">
              <w:rPr>
                <w:rFonts w:ascii="Times New Roman" w:hAnsi="Times New Roman"/>
                <w:sz w:val="24"/>
                <w:szCs w:val="24"/>
                <w:u w:val="single"/>
              </w:rPr>
              <w:t xml:space="preserve">SDG pakalpojuma </w:t>
            </w:r>
            <w:r w:rsidR="00E901FA" w:rsidRPr="00BB1E99">
              <w:rPr>
                <w:rFonts w:ascii="Times New Roman" w:hAnsi="Times New Roman"/>
                <w:sz w:val="24"/>
                <w:szCs w:val="24"/>
                <w:u w:val="single"/>
              </w:rPr>
              <w:t>sniegšanas</w:t>
            </w:r>
            <w:r w:rsidRPr="00BB1E99">
              <w:rPr>
                <w:rFonts w:ascii="Times New Roman" w:hAnsi="Times New Roman"/>
                <w:sz w:val="24"/>
                <w:szCs w:val="24"/>
                <w:u w:val="single"/>
              </w:rPr>
              <w:t xml:space="preserve"> kārtība</w:t>
            </w:r>
            <w:r w:rsidR="00557F33" w:rsidRPr="00BB1E99">
              <w:rPr>
                <w:rFonts w:ascii="Times New Roman" w:hAnsi="Times New Roman"/>
                <w:sz w:val="24"/>
                <w:szCs w:val="24"/>
              </w:rPr>
              <w:t>.</w:t>
            </w:r>
          </w:p>
          <w:p w14:paraId="51303D65" w14:textId="04CF2E96" w:rsidR="000A3C24" w:rsidRPr="00BB1E99" w:rsidRDefault="008F54B6"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Enerģētikas likuma 1.</w:t>
            </w:r>
            <w:r w:rsidR="009263DD">
              <w:rPr>
                <w:rFonts w:ascii="Times New Roman" w:hAnsi="Times New Roman"/>
                <w:sz w:val="24"/>
                <w:szCs w:val="24"/>
              </w:rPr>
              <w:t> </w:t>
            </w:r>
            <w:r w:rsidRPr="00BB1E99">
              <w:rPr>
                <w:rFonts w:ascii="Times New Roman" w:hAnsi="Times New Roman"/>
                <w:sz w:val="24"/>
                <w:szCs w:val="24"/>
              </w:rPr>
              <w:t>panta 40.</w:t>
            </w:r>
            <w:r w:rsidR="009263DD">
              <w:rPr>
                <w:rFonts w:ascii="Times New Roman" w:hAnsi="Times New Roman"/>
                <w:sz w:val="24"/>
                <w:szCs w:val="24"/>
              </w:rPr>
              <w:t> </w:t>
            </w:r>
            <w:r w:rsidRPr="00BB1E99">
              <w:rPr>
                <w:rFonts w:ascii="Times New Roman" w:hAnsi="Times New Roman"/>
                <w:sz w:val="24"/>
                <w:szCs w:val="24"/>
              </w:rPr>
              <w:t>punkt</w:t>
            </w:r>
            <w:r w:rsidR="00A658C1" w:rsidRPr="00BB1E99">
              <w:rPr>
                <w:rFonts w:ascii="Times New Roman" w:hAnsi="Times New Roman"/>
                <w:sz w:val="24"/>
                <w:szCs w:val="24"/>
              </w:rPr>
              <w:t>ā</w:t>
            </w:r>
            <w:r w:rsidRPr="00BB1E99">
              <w:rPr>
                <w:rFonts w:ascii="Times New Roman" w:hAnsi="Times New Roman"/>
                <w:sz w:val="24"/>
                <w:szCs w:val="24"/>
              </w:rPr>
              <w:t xml:space="preserve"> </w:t>
            </w:r>
            <w:r w:rsidR="00A658C1" w:rsidRPr="00BB1E99">
              <w:rPr>
                <w:rFonts w:ascii="Times New Roman" w:hAnsi="Times New Roman"/>
                <w:sz w:val="24"/>
                <w:szCs w:val="24"/>
              </w:rPr>
              <w:t>definēts</w:t>
            </w:r>
            <w:r w:rsidRPr="00BB1E99">
              <w:rPr>
                <w:rFonts w:ascii="Times New Roman" w:hAnsi="Times New Roman"/>
                <w:sz w:val="24"/>
                <w:szCs w:val="24"/>
              </w:rPr>
              <w:t>, ka  sašķidrinātās dabasgāzes pakalpojums</w:t>
            </w:r>
            <w:r w:rsidR="00A658C1" w:rsidRPr="00BB1E99">
              <w:rPr>
                <w:rFonts w:ascii="Times New Roman" w:hAnsi="Times New Roman"/>
                <w:sz w:val="24"/>
                <w:szCs w:val="24"/>
              </w:rPr>
              <w:t xml:space="preserve"> ir</w:t>
            </w:r>
            <w:r w:rsidRPr="00BB1E99">
              <w:rPr>
                <w:rFonts w:ascii="Times New Roman" w:hAnsi="Times New Roman"/>
                <w:sz w:val="24"/>
                <w:szCs w:val="24"/>
              </w:rPr>
              <w:t xml:space="preserve"> dabasgāzes šķidrināšana vai sašķidrinātās dabasgāzes saņemšana, izkraušana, uzglabāšana un pārvēršana gāzveida stāvoklī turpmākai piegādei uz dabasgāzes pārvades sistēmu vai enerģijas lietotājam. </w:t>
            </w:r>
            <w:r w:rsidR="00CD77F2" w:rsidRPr="00BB1E99">
              <w:rPr>
                <w:rFonts w:ascii="Times New Roman" w:hAnsi="Times New Roman"/>
                <w:sz w:val="24"/>
                <w:szCs w:val="24"/>
              </w:rPr>
              <w:t xml:space="preserve">Ņemot vērā </w:t>
            </w:r>
            <w:r w:rsidR="00D34FCB" w:rsidRPr="00BB1E99">
              <w:rPr>
                <w:rFonts w:ascii="Times New Roman" w:hAnsi="Times New Roman"/>
                <w:sz w:val="24"/>
                <w:szCs w:val="24"/>
              </w:rPr>
              <w:t xml:space="preserve">minētās normas </w:t>
            </w:r>
            <w:r w:rsidR="00CD77F2" w:rsidRPr="00BB1E99">
              <w:rPr>
                <w:rFonts w:ascii="Times New Roman" w:hAnsi="Times New Roman"/>
                <w:sz w:val="24"/>
                <w:szCs w:val="24"/>
              </w:rPr>
              <w:t xml:space="preserve">jēgu un mērķi, </w:t>
            </w:r>
            <w:r w:rsidR="00D34FCB" w:rsidRPr="00BB1E99">
              <w:rPr>
                <w:rFonts w:ascii="Times New Roman" w:hAnsi="Times New Roman"/>
                <w:sz w:val="24"/>
                <w:szCs w:val="24"/>
              </w:rPr>
              <w:t xml:space="preserve">secināms, ka </w:t>
            </w:r>
            <w:r w:rsidR="00CD77F2" w:rsidRPr="00BB1E99">
              <w:rPr>
                <w:rFonts w:ascii="Times New Roman" w:hAnsi="Times New Roman"/>
                <w:sz w:val="24"/>
                <w:szCs w:val="24"/>
              </w:rPr>
              <w:t>Enerģētikas likum</w:t>
            </w:r>
            <w:r w:rsidR="00D34FCB" w:rsidRPr="00BB1E99">
              <w:rPr>
                <w:rFonts w:ascii="Times New Roman" w:hAnsi="Times New Roman"/>
                <w:sz w:val="24"/>
                <w:szCs w:val="24"/>
              </w:rPr>
              <w:t>a</w:t>
            </w:r>
            <w:r w:rsidR="00CD77F2" w:rsidRPr="00BB1E99">
              <w:rPr>
                <w:rFonts w:ascii="Times New Roman" w:hAnsi="Times New Roman"/>
                <w:sz w:val="24"/>
                <w:szCs w:val="24"/>
              </w:rPr>
              <w:t xml:space="preserve"> šī brīža redakcijā paredz</w:t>
            </w:r>
            <w:r w:rsidR="00D34FCB" w:rsidRPr="00BB1E99">
              <w:rPr>
                <w:rFonts w:ascii="Times New Roman" w:hAnsi="Times New Roman"/>
                <w:sz w:val="24"/>
                <w:szCs w:val="24"/>
              </w:rPr>
              <w:t>ēts</w:t>
            </w:r>
            <w:r w:rsidR="00CD77F2" w:rsidRPr="00BB1E99">
              <w:rPr>
                <w:rFonts w:ascii="Times New Roman" w:hAnsi="Times New Roman"/>
                <w:sz w:val="24"/>
                <w:szCs w:val="24"/>
              </w:rPr>
              <w:t xml:space="preserve">, ka SDG pēc pārvēršanas gāzveida stāvoklī ir </w:t>
            </w:r>
            <w:r w:rsidR="0047131F" w:rsidRPr="00BB1E99">
              <w:rPr>
                <w:rFonts w:ascii="Times New Roman" w:hAnsi="Times New Roman"/>
                <w:sz w:val="24"/>
                <w:szCs w:val="24"/>
              </w:rPr>
              <w:t xml:space="preserve">(1) </w:t>
            </w:r>
            <w:r w:rsidR="00CD77F2" w:rsidRPr="00BB1E99">
              <w:rPr>
                <w:rFonts w:ascii="Times New Roman" w:hAnsi="Times New Roman"/>
                <w:sz w:val="24"/>
                <w:szCs w:val="24"/>
              </w:rPr>
              <w:t>ievadāma</w:t>
            </w:r>
            <w:r w:rsidR="00546332" w:rsidRPr="00BB1E99">
              <w:rPr>
                <w:rFonts w:ascii="Times New Roman" w:hAnsi="Times New Roman"/>
                <w:sz w:val="24"/>
                <w:szCs w:val="24"/>
              </w:rPr>
              <w:t xml:space="preserve"> tikai</w:t>
            </w:r>
            <w:r w:rsidR="00CD77F2" w:rsidRPr="00BB1E99">
              <w:rPr>
                <w:rFonts w:ascii="Times New Roman" w:hAnsi="Times New Roman"/>
                <w:sz w:val="24"/>
                <w:szCs w:val="24"/>
              </w:rPr>
              <w:t xml:space="preserve"> pārvades sistēmā vai </w:t>
            </w:r>
            <w:r w:rsidR="0047131F" w:rsidRPr="00BB1E99">
              <w:rPr>
                <w:rFonts w:ascii="Times New Roman" w:hAnsi="Times New Roman"/>
                <w:sz w:val="24"/>
                <w:szCs w:val="24"/>
              </w:rPr>
              <w:t xml:space="preserve">(2) </w:t>
            </w:r>
            <w:r w:rsidR="00CD77F2" w:rsidRPr="00BB1E99">
              <w:rPr>
                <w:rFonts w:ascii="Times New Roman" w:hAnsi="Times New Roman"/>
                <w:sz w:val="24"/>
                <w:szCs w:val="24"/>
              </w:rPr>
              <w:t xml:space="preserve">nododama tiešā veidā lietotājam. </w:t>
            </w:r>
          </w:p>
          <w:p w14:paraId="4EBFB4AE" w14:textId="44444215" w:rsidR="00E44FA7" w:rsidRPr="00BB1E99" w:rsidRDefault="00C53E85"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Ministru kabineta 2009.</w:t>
            </w:r>
            <w:r w:rsidR="009263DD">
              <w:rPr>
                <w:rFonts w:ascii="Times New Roman" w:hAnsi="Times New Roman"/>
                <w:sz w:val="24"/>
                <w:szCs w:val="24"/>
              </w:rPr>
              <w:t> </w:t>
            </w:r>
            <w:r w:rsidRPr="00BB1E99">
              <w:rPr>
                <w:rFonts w:ascii="Times New Roman" w:hAnsi="Times New Roman"/>
                <w:sz w:val="24"/>
                <w:szCs w:val="24"/>
              </w:rPr>
              <w:t>gada 27.</w:t>
            </w:r>
            <w:r w:rsidR="009263DD">
              <w:rPr>
                <w:rFonts w:ascii="Times New Roman" w:hAnsi="Times New Roman"/>
                <w:sz w:val="24"/>
                <w:szCs w:val="24"/>
              </w:rPr>
              <w:t> </w:t>
            </w:r>
            <w:r w:rsidRPr="00BB1E99">
              <w:rPr>
                <w:rFonts w:ascii="Times New Roman" w:hAnsi="Times New Roman"/>
                <w:sz w:val="24"/>
                <w:szCs w:val="24"/>
              </w:rPr>
              <w:t>oktobra noteikumu Nr.</w:t>
            </w:r>
            <w:r w:rsidR="009263DD">
              <w:rPr>
                <w:rFonts w:ascii="Times New Roman" w:hAnsi="Times New Roman"/>
                <w:sz w:val="24"/>
                <w:szCs w:val="24"/>
              </w:rPr>
              <w:t> </w:t>
            </w:r>
            <w:r w:rsidRPr="00BB1E99">
              <w:rPr>
                <w:rFonts w:ascii="Times New Roman" w:hAnsi="Times New Roman"/>
                <w:sz w:val="24"/>
                <w:szCs w:val="24"/>
              </w:rPr>
              <w:t>1227 “Noteikumi par regulējamiem sabiedrisko pakalpojumu veidiem” 4.5.</w:t>
            </w:r>
            <w:r w:rsidR="009263DD">
              <w:rPr>
                <w:rFonts w:ascii="Times New Roman" w:hAnsi="Times New Roman"/>
                <w:sz w:val="24"/>
                <w:szCs w:val="24"/>
              </w:rPr>
              <w:t> </w:t>
            </w:r>
            <w:r w:rsidRPr="00BB1E99">
              <w:rPr>
                <w:rFonts w:ascii="Times New Roman" w:hAnsi="Times New Roman"/>
                <w:sz w:val="24"/>
                <w:szCs w:val="24"/>
              </w:rPr>
              <w:t xml:space="preserve">apakšpunkts nosaka, ka dabasgāzes apgādē nepieciešams regulēt dabasgāzes šķidrināšanu vai sašķidrinātās dabasgāzes saņemšanu, izkraušanu, uzglabāšanu un pārvēršanu gāzveida stāvoklī turpmākai piegādei uz dabasgāzes pārvades sistēmu. </w:t>
            </w:r>
            <w:r w:rsidR="00011312" w:rsidRPr="00BB1E99">
              <w:rPr>
                <w:rFonts w:ascii="Times New Roman" w:hAnsi="Times New Roman"/>
                <w:sz w:val="24"/>
                <w:szCs w:val="24"/>
                <w:u w:val="single"/>
              </w:rPr>
              <w:t xml:space="preserve">SDG iekārtas pieslēgšana dabasgāzes pārvades sistēmai notiek saskaņā </w:t>
            </w:r>
            <w:r w:rsidR="008F54B6" w:rsidRPr="00BB1E99">
              <w:rPr>
                <w:rFonts w:ascii="Times New Roman" w:hAnsi="Times New Roman"/>
                <w:sz w:val="24"/>
                <w:szCs w:val="24"/>
                <w:u w:val="single"/>
              </w:rPr>
              <w:t xml:space="preserve">ar </w:t>
            </w:r>
            <w:r w:rsidR="00011312" w:rsidRPr="00BB1E99">
              <w:rPr>
                <w:rFonts w:ascii="Times New Roman" w:hAnsi="Times New Roman"/>
                <w:sz w:val="24"/>
                <w:szCs w:val="24"/>
                <w:u w:val="single"/>
              </w:rPr>
              <w:t xml:space="preserve">sistēmas </w:t>
            </w:r>
            <w:proofErr w:type="spellStart"/>
            <w:r w:rsidR="00011312" w:rsidRPr="00BB1E99">
              <w:rPr>
                <w:rFonts w:ascii="Times New Roman" w:hAnsi="Times New Roman"/>
                <w:sz w:val="24"/>
                <w:szCs w:val="24"/>
                <w:u w:val="single"/>
              </w:rPr>
              <w:t>pieslēguma</w:t>
            </w:r>
            <w:proofErr w:type="spellEnd"/>
            <w:r w:rsidR="00011312" w:rsidRPr="00BB1E99">
              <w:rPr>
                <w:rFonts w:ascii="Times New Roman" w:hAnsi="Times New Roman"/>
                <w:sz w:val="24"/>
                <w:szCs w:val="24"/>
                <w:u w:val="single"/>
              </w:rPr>
              <w:t xml:space="preserve"> noteikumiem un pārvades sistēmas operatora izsniegtiem tehniskiem noteikumiem.</w:t>
            </w:r>
            <w:r w:rsidR="00011312" w:rsidRPr="00BB1E99">
              <w:rPr>
                <w:rFonts w:ascii="Times New Roman" w:hAnsi="Times New Roman"/>
                <w:sz w:val="24"/>
                <w:szCs w:val="24"/>
              </w:rPr>
              <w:t xml:space="preserve"> </w:t>
            </w:r>
            <w:r w:rsidR="004E322A" w:rsidRPr="00BB1E99">
              <w:rPr>
                <w:rFonts w:ascii="Times New Roman" w:hAnsi="Times New Roman"/>
                <w:sz w:val="24"/>
                <w:szCs w:val="24"/>
              </w:rPr>
              <w:t>Atbilstoši Enerģētikas likuma 84.</w:t>
            </w:r>
            <w:r w:rsidR="004E322A" w:rsidRPr="00BB1E99">
              <w:rPr>
                <w:rFonts w:ascii="Times New Roman" w:hAnsi="Times New Roman"/>
                <w:sz w:val="24"/>
                <w:szCs w:val="24"/>
                <w:vertAlign w:val="superscript"/>
              </w:rPr>
              <w:t>1</w:t>
            </w:r>
            <w:r w:rsidR="009263DD">
              <w:rPr>
                <w:rFonts w:ascii="Times New Roman" w:hAnsi="Times New Roman"/>
                <w:sz w:val="24"/>
                <w:szCs w:val="24"/>
                <w:vertAlign w:val="superscript"/>
              </w:rPr>
              <w:t> </w:t>
            </w:r>
            <w:r w:rsidR="004E322A" w:rsidRPr="00BB1E99">
              <w:rPr>
                <w:rFonts w:ascii="Times New Roman" w:hAnsi="Times New Roman"/>
                <w:sz w:val="24"/>
                <w:szCs w:val="24"/>
              </w:rPr>
              <w:t>panta pirmajā daļā noteiktajam</w:t>
            </w:r>
            <w:r w:rsidR="009263DD">
              <w:rPr>
                <w:rFonts w:ascii="Times New Roman" w:hAnsi="Times New Roman"/>
                <w:sz w:val="24"/>
                <w:szCs w:val="24"/>
              </w:rPr>
              <w:t>,</w:t>
            </w:r>
            <w:r w:rsidR="004E322A" w:rsidRPr="00BB1E99">
              <w:rPr>
                <w:rFonts w:ascii="Times New Roman" w:hAnsi="Times New Roman"/>
                <w:sz w:val="24"/>
                <w:szCs w:val="24"/>
              </w:rPr>
              <w:t xml:space="preserve"> </w:t>
            </w:r>
            <w:r w:rsidR="008F54B6" w:rsidRPr="00BB1E99">
              <w:rPr>
                <w:rFonts w:ascii="Times New Roman" w:hAnsi="Times New Roman"/>
                <w:sz w:val="24"/>
                <w:szCs w:val="24"/>
              </w:rPr>
              <w:t xml:space="preserve">Sabiedrisko pakalpojumu regulēšanas komisija (turpmāk – Regulators) apstiprina dabasgāzes pārvades sistēmas operatora izstrādātos dabasgāzes pārvades sistēmas </w:t>
            </w:r>
            <w:proofErr w:type="spellStart"/>
            <w:r w:rsidR="008F54B6" w:rsidRPr="00BB1E99">
              <w:rPr>
                <w:rFonts w:ascii="Times New Roman" w:hAnsi="Times New Roman"/>
                <w:sz w:val="24"/>
                <w:szCs w:val="24"/>
              </w:rPr>
              <w:t>pieslēguma</w:t>
            </w:r>
            <w:proofErr w:type="spellEnd"/>
            <w:r w:rsidR="008F54B6" w:rsidRPr="00BB1E99">
              <w:rPr>
                <w:rFonts w:ascii="Times New Roman" w:hAnsi="Times New Roman"/>
                <w:sz w:val="24"/>
                <w:szCs w:val="24"/>
              </w:rPr>
              <w:t xml:space="preserve"> noteikumus </w:t>
            </w:r>
            <w:proofErr w:type="spellStart"/>
            <w:r w:rsidR="008F54B6" w:rsidRPr="00BB1E99">
              <w:rPr>
                <w:rFonts w:ascii="Times New Roman" w:hAnsi="Times New Roman"/>
                <w:sz w:val="24"/>
                <w:szCs w:val="24"/>
              </w:rPr>
              <w:t>biometāna</w:t>
            </w:r>
            <w:proofErr w:type="spellEnd"/>
            <w:r w:rsidR="008F54B6" w:rsidRPr="00BB1E99">
              <w:rPr>
                <w:rFonts w:ascii="Times New Roman" w:hAnsi="Times New Roman"/>
                <w:sz w:val="24"/>
                <w:szCs w:val="24"/>
              </w:rPr>
              <w:t xml:space="preserve"> ražotājiem, sašķidrinātās dabasgāzes sistēmas operatoriem un dabasgāzes lietotājiem. </w:t>
            </w:r>
            <w:r w:rsidR="00E901FA" w:rsidRPr="00BB1E99">
              <w:rPr>
                <w:rFonts w:ascii="Times New Roman" w:hAnsi="Times New Roman"/>
                <w:sz w:val="24"/>
                <w:szCs w:val="24"/>
              </w:rPr>
              <w:t xml:space="preserve">No tā secināms, ka </w:t>
            </w:r>
            <w:r w:rsidR="00011312" w:rsidRPr="00BB1E99">
              <w:rPr>
                <w:rFonts w:ascii="Times New Roman" w:hAnsi="Times New Roman"/>
                <w:sz w:val="24"/>
                <w:szCs w:val="24"/>
              </w:rPr>
              <w:t xml:space="preserve">SDG sistēmas operatora </w:t>
            </w:r>
            <w:proofErr w:type="spellStart"/>
            <w:r w:rsidR="00011312" w:rsidRPr="00BB1E99">
              <w:rPr>
                <w:rFonts w:ascii="Times New Roman" w:hAnsi="Times New Roman"/>
                <w:sz w:val="24"/>
                <w:szCs w:val="24"/>
              </w:rPr>
              <w:t>pieslēgumu</w:t>
            </w:r>
            <w:proofErr w:type="spellEnd"/>
            <w:r w:rsidR="00011312" w:rsidRPr="00BB1E99">
              <w:rPr>
                <w:rFonts w:ascii="Times New Roman" w:hAnsi="Times New Roman"/>
                <w:sz w:val="24"/>
                <w:szCs w:val="24"/>
              </w:rPr>
              <w:t xml:space="preserve"> dabasgāzes pārvades sistēmai</w:t>
            </w:r>
            <w:r w:rsidR="008F54B6" w:rsidRPr="00BB1E99">
              <w:rPr>
                <w:rFonts w:ascii="Times New Roman" w:hAnsi="Times New Roman"/>
                <w:sz w:val="24"/>
                <w:szCs w:val="24"/>
              </w:rPr>
              <w:t xml:space="preserve"> detalizēti</w:t>
            </w:r>
            <w:r w:rsidR="00011312" w:rsidRPr="00BB1E99">
              <w:rPr>
                <w:rFonts w:ascii="Times New Roman" w:hAnsi="Times New Roman"/>
                <w:sz w:val="24"/>
                <w:szCs w:val="24"/>
              </w:rPr>
              <w:t xml:space="preserve"> regulē 2019.</w:t>
            </w:r>
            <w:r w:rsidR="009263DD">
              <w:rPr>
                <w:rFonts w:ascii="Times New Roman" w:hAnsi="Times New Roman"/>
                <w:sz w:val="24"/>
                <w:szCs w:val="24"/>
              </w:rPr>
              <w:t> </w:t>
            </w:r>
            <w:r w:rsidR="00011312" w:rsidRPr="00BB1E99">
              <w:rPr>
                <w:rFonts w:ascii="Times New Roman" w:hAnsi="Times New Roman"/>
                <w:sz w:val="24"/>
                <w:szCs w:val="24"/>
              </w:rPr>
              <w:t>gada 18.</w:t>
            </w:r>
            <w:r w:rsidR="009263DD">
              <w:rPr>
                <w:rFonts w:ascii="Times New Roman" w:hAnsi="Times New Roman"/>
                <w:sz w:val="24"/>
                <w:szCs w:val="24"/>
              </w:rPr>
              <w:t> </w:t>
            </w:r>
            <w:r w:rsidR="00011312" w:rsidRPr="00BB1E99">
              <w:rPr>
                <w:rFonts w:ascii="Times New Roman" w:hAnsi="Times New Roman"/>
                <w:sz w:val="24"/>
                <w:szCs w:val="24"/>
              </w:rPr>
              <w:t xml:space="preserve">aprīļa </w:t>
            </w:r>
            <w:r w:rsidR="001136EC" w:rsidRPr="00BB1E99">
              <w:rPr>
                <w:rFonts w:ascii="Times New Roman" w:hAnsi="Times New Roman"/>
                <w:sz w:val="24"/>
                <w:szCs w:val="24"/>
              </w:rPr>
              <w:t>Regulatora</w:t>
            </w:r>
            <w:r w:rsidR="00011312" w:rsidRPr="00BB1E99">
              <w:rPr>
                <w:rFonts w:ascii="Times New Roman" w:hAnsi="Times New Roman"/>
                <w:sz w:val="24"/>
                <w:szCs w:val="24"/>
              </w:rPr>
              <w:t xml:space="preserve"> lēmums Nr.1/7 </w:t>
            </w:r>
            <w:r w:rsidR="00011312" w:rsidRPr="00BB1E99">
              <w:rPr>
                <w:rFonts w:ascii="Times New Roman" w:hAnsi="Times New Roman"/>
                <w:i/>
                <w:iCs/>
                <w:sz w:val="24"/>
                <w:szCs w:val="24"/>
              </w:rPr>
              <w:t xml:space="preserve">Dabasgāzes pārvades sistēmas </w:t>
            </w:r>
            <w:proofErr w:type="spellStart"/>
            <w:r w:rsidR="00011312" w:rsidRPr="00BB1E99">
              <w:rPr>
                <w:rFonts w:ascii="Times New Roman" w:hAnsi="Times New Roman"/>
                <w:i/>
                <w:iCs/>
                <w:sz w:val="24"/>
                <w:szCs w:val="24"/>
              </w:rPr>
              <w:t>pieslēguma</w:t>
            </w:r>
            <w:proofErr w:type="spellEnd"/>
            <w:r w:rsidR="00011312" w:rsidRPr="00BB1E99">
              <w:rPr>
                <w:rFonts w:ascii="Times New Roman" w:hAnsi="Times New Roman"/>
                <w:i/>
                <w:iCs/>
                <w:sz w:val="24"/>
                <w:szCs w:val="24"/>
              </w:rPr>
              <w:t xml:space="preserve"> noteikumi </w:t>
            </w:r>
            <w:proofErr w:type="spellStart"/>
            <w:r w:rsidR="00011312" w:rsidRPr="00BB1E99">
              <w:rPr>
                <w:rFonts w:ascii="Times New Roman" w:hAnsi="Times New Roman"/>
                <w:i/>
                <w:iCs/>
                <w:sz w:val="24"/>
                <w:szCs w:val="24"/>
              </w:rPr>
              <w:t>biometāna</w:t>
            </w:r>
            <w:proofErr w:type="spellEnd"/>
            <w:r w:rsidR="00011312" w:rsidRPr="00BB1E99">
              <w:rPr>
                <w:rFonts w:ascii="Times New Roman" w:hAnsi="Times New Roman"/>
                <w:i/>
                <w:iCs/>
                <w:sz w:val="24"/>
                <w:szCs w:val="24"/>
              </w:rPr>
              <w:t xml:space="preserve"> ražotājiem, sašķidrinātās dabasgāzes sistēmas operatoriem un dabasgāzes lietotājiem</w:t>
            </w:r>
            <w:r w:rsidR="00011312" w:rsidRPr="00BB1E99">
              <w:rPr>
                <w:rFonts w:ascii="Times New Roman" w:hAnsi="Times New Roman"/>
                <w:sz w:val="24"/>
                <w:szCs w:val="24"/>
              </w:rPr>
              <w:t>. Tehniskās un drošības prasības gāzveida stāvoklī pārvērstas sašķidrinātās dabasgāzes ievadīšanai un transportēšanai dabasgāzes sistēmā, kā arī gāzes kvalitātes raksturlielumus, lai gāzes ievadīšana un transportēšana dabasgāzes sistēmā būtu droša</w:t>
            </w:r>
            <w:r w:rsidR="009263DD">
              <w:rPr>
                <w:rFonts w:ascii="Times New Roman" w:hAnsi="Times New Roman"/>
                <w:sz w:val="24"/>
                <w:szCs w:val="24"/>
              </w:rPr>
              <w:t>,</w:t>
            </w:r>
            <w:r w:rsidR="00011312" w:rsidRPr="00BB1E99">
              <w:rPr>
                <w:rFonts w:ascii="Times New Roman" w:hAnsi="Times New Roman"/>
                <w:sz w:val="24"/>
                <w:szCs w:val="24"/>
              </w:rPr>
              <w:t xml:space="preserve"> nosaka Ministru kabineta </w:t>
            </w:r>
            <w:r w:rsidR="001136EC" w:rsidRPr="00BB1E99">
              <w:rPr>
                <w:rFonts w:ascii="Times New Roman" w:hAnsi="Times New Roman"/>
                <w:sz w:val="24"/>
                <w:szCs w:val="24"/>
              </w:rPr>
              <w:t xml:space="preserve">2016.gada 4.oktobra </w:t>
            </w:r>
            <w:r w:rsidR="00011312" w:rsidRPr="00BB1E99">
              <w:rPr>
                <w:rFonts w:ascii="Times New Roman" w:hAnsi="Times New Roman"/>
                <w:sz w:val="24"/>
                <w:szCs w:val="24"/>
              </w:rPr>
              <w:t xml:space="preserve">noteikumi Nr.650  </w:t>
            </w:r>
            <w:r w:rsidR="009263DD">
              <w:rPr>
                <w:rFonts w:ascii="Times New Roman" w:hAnsi="Times New Roman"/>
                <w:sz w:val="24"/>
                <w:szCs w:val="24"/>
              </w:rPr>
              <w:t>“</w:t>
            </w:r>
            <w:r w:rsidR="00011312" w:rsidRPr="009263DD">
              <w:rPr>
                <w:rFonts w:ascii="Times New Roman" w:hAnsi="Times New Roman"/>
                <w:sz w:val="24"/>
                <w:szCs w:val="24"/>
              </w:rPr>
              <w:t xml:space="preserve">Prasības </w:t>
            </w:r>
            <w:proofErr w:type="spellStart"/>
            <w:r w:rsidR="00011312" w:rsidRPr="009263DD">
              <w:rPr>
                <w:rFonts w:ascii="Times New Roman" w:hAnsi="Times New Roman"/>
                <w:sz w:val="24"/>
                <w:szCs w:val="24"/>
              </w:rPr>
              <w:t>biometāna</w:t>
            </w:r>
            <w:proofErr w:type="spellEnd"/>
            <w:r w:rsidR="00011312" w:rsidRPr="009263DD">
              <w:rPr>
                <w:rFonts w:ascii="Times New Roman" w:hAnsi="Times New Roman"/>
                <w:sz w:val="24"/>
                <w:szCs w:val="24"/>
              </w:rPr>
              <w:t xml:space="preserve"> un gāzveida stāvoklī pārvērstas sašķidrinātās dabasgāzes ievadīšanai un transportēšanai dabasgāzes pārvades un sadales sistēmā</w:t>
            </w:r>
            <w:r w:rsidR="009263DD">
              <w:rPr>
                <w:rFonts w:ascii="Times New Roman" w:hAnsi="Times New Roman"/>
                <w:sz w:val="24"/>
                <w:szCs w:val="24"/>
              </w:rPr>
              <w:t>”</w:t>
            </w:r>
            <w:r w:rsidR="00011312" w:rsidRPr="009263DD">
              <w:rPr>
                <w:rFonts w:ascii="Times New Roman" w:hAnsi="Times New Roman"/>
                <w:sz w:val="24"/>
                <w:szCs w:val="24"/>
              </w:rPr>
              <w:t>.</w:t>
            </w:r>
            <w:r w:rsidR="00011312" w:rsidRPr="00BB1E99">
              <w:rPr>
                <w:rFonts w:ascii="Times New Roman" w:hAnsi="Times New Roman"/>
                <w:sz w:val="24"/>
                <w:szCs w:val="24"/>
              </w:rPr>
              <w:t xml:space="preserve"> </w:t>
            </w:r>
          </w:p>
          <w:p w14:paraId="2978090F" w14:textId="0E85B434" w:rsidR="00E901FA" w:rsidRPr="00BB1E99" w:rsidRDefault="00011312" w:rsidP="00FD220F">
            <w:pPr>
              <w:spacing w:after="0" w:line="240" w:lineRule="auto"/>
              <w:ind w:right="65" w:firstLine="170"/>
              <w:jc w:val="both"/>
              <w:rPr>
                <w:rFonts w:ascii="Times New Roman" w:hAnsi="Times New Roman"/>
                <w:sz w:val="24"/>
                <w:szCs w:val="24"/>
                <w:u w:val="single"/>
              </w:rPr>
            </w:pPr>
            <w:r w:rsidRPr="00BB1E99">
              <w:rPr>
                <w:rFonts w:ascii="Times New Roman" w:hAnsi="Times New Roman"/>
                <w:sz w:val="24"/>
                <w:szCs w:val="24"/>
              </w:rPr>
              <w:t xml:space="preserve">No augstāk minētā izriet, </w:t>
            </w:r>
            <w:r w:rsidRPr="00BB1E99">
              <w:rPr>
                <w:rFonts w:ascii="Times New Roman" w:hAnsi="Times New Roman"/>
                <w:sz w:val="24"/>
                <w:szCs w:val="24"/>
                <w:u w:val="single"/>
              </w:rPr>
              <w:t>ka</w:t>
            </w:r>
            <w:r w:rsidR="004E322A" w:rsidRPr="00BB1E99">
              <w:rPr>
                <w:rFonts w:ascii="Times New Roman" w:hAnsi="Times New Roman"/>
                <w:sz w:val="24"/>
                <w:szCs w:val="24"/>
                <w:u w:val="single"/>
              </w:rPr>
              <w:t xml:space="preserve"> </w:t>
            </w:r>
            <w:r w:rsidR="00E901FA" w:rsidRPr="00BB1E99">
              <w:rPr>
                <w:rFonts w:ascii="Times New Roman" w:hAnsi="Times New Roman"/>
                <w:sz w:val="24"/>
                <w:szCs w:val="24"/>
                <w:u w:val="single"/>
              </w:rPr>
              <w:t>Noteikumos</w:t>
            </w:r>
            <w:r w:rsidR="00E44FA7" w:rsidRPr="00BB1E99">
              <w:rPr>
                <w:rFonts w:ascii="Times New Roman" w:hAnsi="Times New Roman"/>
                <w:sz w:val="24"/>
                <w:szCs w:val="24"/>
                <w:u w:val="single"/>
              </w:rPr>
              <w:t xml:space="preserve"> jāietver tikai normas, kas būtu attiecināmās uz sistēmas </w:t>
            </w:r>
            <w:proofErr w:type="spellStart"/>
            <w:r w:rsidR="00E44FA7" w:rsidRPr="00BB1E99">
              <w:rPr>
                <w:rFonts w:ascii="Times New Roman" w:hAnsi="Times New Roman"/>
                <w:sz w:val="24"/>
                <w:szCs w:val="24"/>
                <w:u w:val="single"/>
              </w:rPr>
              <w:t>pieslēgumu</w:t>
            </w:r>
            <w:proofErr w:type="spellEnd"/>
            <w:r w:rsidR="00E44FA7" w:rsidRPr="00BB1E99">
              <w:rPr>
                <w:rFonts w:ascii="Times New Roman" w:hAnsi="Times New Roman"/>
                <w:sz w:val="24"/>
                <w:szCs w:val="24"/>
                <w:u w:val="single"/>
              </w:rPr>
              <w:t xml:space="preserve"> gadījumā, kad dabasgāze tiešā veidā tiek nodota lietotājam, </w:t>
            </w:r>
            <w:r w:rsidR="00E44FA7" w:rsidRPr="00BB1E99">
              <w:rPr>
                <w:rFonts w:ascii="Times New Roman" w:hAnsi="Times New Roman"/>
                <w:sz w:val="24"/>
                <w:szCs w:val="24"/>
                <w:u w:val="single"/>
              </w:rPr>
              <w:lastRenderedPageBreak/>
              <w:t>un</w:t>
            </w:r>
            <w:r w:rsidR="004E322A" w:rsidRPr="00BB1E99">
              <w:rPr>
                <w:rFonts w:ascii="Times New Roman" w:hAnsi="Times New Roman"/>
                <w:sz w:val="24"/>
                <w:szCs w:val="24"/>
                <w:u w:val="single"/>
              </w:rPr>
              <w:t xml:space="preserve"> nebūtu pamata </w:t>
            </w:r>
            <w:r w:rsidR="00EA2EB6" w:rsidRPr="00BB1E99">
              <w:rPr>
                <w:rFonts w:ascii="Times New Roman" w:hAnsi="Times New Roman"/>
                <w:sz w:val="24"/>
                <w:szCs w:val="24"/>
                <w:u w:val="single"/>
              </w:rPr>
              <w:t>atkārtot</w:t>
            </w:r>
            <w:r w:rsidR="00546332" w:rsidRPr="00BB1E99">
              <w:rPr>
                <w:rFonts w:ascii="Times New Roman" w:hAnsi="Times New Roman"/>
                <w:sz w:val="24"/>
                <w:szCs w:val="24"/>
                <w:u w:val="single"/>
              </w:rPr>
              <w:t xml:space="preserve"> </w:t>
            </w:r>
            <w:r w:rsidR="00EA2EB6" w:rsidRPr="00BB1E99">
              <w:rPr>
                <w:rFonts w:ascii="Times New Roman" w:hAnsi="Times New Roman"/>
                <w:sz w:val="24"/>
                <w:szCs w:val="24"/>
                <w:u w:val="single"/>
              </w:rPr>
              <w:t>esošās</w:t>
            </w:r>
            <w:r w:rsidR="00546332" w:rsidRPr="00BB1E99">
              <w:rPr>
                <w:rFonts w:ascii="Times New Roman" w:hAnsi="Times New Roman"/>
                <w:sz w:val="24"/>
                <w:szCs w:val="24"/>
                <w:u w:val="single"/>
              </w:rPr>
              <w:t xml:space="preserve"> normas un ietvert </w:t>
            </w:r>
            <w:r w:rsidR="004E322A" w:rsidRPr="00BB1E99">
              <w:rPr>
                <w:rFonts w:ascii="Times New Roman" w:hAnsi="Times New Roman"/>
                <w:sz w:val="24"/>
                <w:szCs w:val="24"/>
                <w:u w:val="single"/>
              </w:rPr>
              <w:t>regulējumu, kas saistīts ar sašķidrinātās dabasgāzes sistēmas operatora objektu pieslēgšanu pārvades sistēmai.</w:t>
            </w:r>
            <w:r w:rsidR="00CD77F2" w:rsidRPr="00BB1E99">
              <w:rPr>
                <w:rFonts w:ascii="Times New Roman" w:hAnsi="Times New Roman"/>
                <w:sz w:val="24"/>
                <w:szCs w:val="24"/>
                <w:u w:val="single"/>
              </w:rPr>
              <w:t xml:space="preserve"> </w:t>
            </w:r>
          </w:p>
          <w:p w14:paraId="3A5EDD92" w14:textId="0AC71188" w:rsidR="0047131F" w:rsidRPr="00BB1E99" w:rsidRDefault="0047131F"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Papildus jāatzīmē, ka no Enerģētikas likuma 1.</w:t>
            </w:r>
            <w:r w:rsidR="009263DD">
              <w:rPr>
                <w:rFonts w:ascii="Times New Roman" w:hAnsi="Times New Roman"/>
                <w:sz w:val="24"/>
                <w:szCs w:val="24"/>
              </w:rPr>
              <w:t> </w:t>
            </w:r>
            <w:proofErr w:type="spellStart"/>
            <w:r w:rsidRPr="00BB1E99">
              <w:rPr>
                <w:rFonts w:ascii="Times New Roman" w:hAnsi="Times New Roman"/>
                <w:sz w:val="24"/>
                <w:szCs w:val="24"/>
              </w:rPr>
              <w:t>patna</w:t>
            </w:r>
            <w:proofErr w:type="spellEnd"/>
            <w:r w:rsidRPr="00BB1E99">
              <w:rPr>
                <w:rFonts w:ascii="Times New Roman" w:hAnsi="Times New Roman"/>
                <w:sz w:val="24"/>
                <w:szCs w:val="24"/>
              </w:rPr>
              <w:t xml:space="preserve"> 12.</w:t>
            </w:r>
            <w:r w:rsidR="009263DD">
              <w:rPr>
                <w:rFonts w:ascii="Times New Roman" w:hAnsi="Times New Roman"/>
                <w:sz w:val="24"/>
                <w:szCs w:val="24"/>
              </w:rPr>
              <w:t> </w:t>
            </w:r>
            <w:r w:rsidRPr="00BB1E99">
              <w:rPr>
                <w:rFonts w:ascii="Times New Roman" w:hAnsi="Times New Roman"/>
                <w:sz w:val="24"/>
                <w:szCs w:val="24"/>
              </w:rPr>
              <w:t>punktā ir noteikta enerģijas lietotāja definīcija — fiziskā vai juridiskā persona, kas no energoapgādes komersantiem pērk un savām vajadzībām patērē konkrētā veida enerģiju vai kurināmo vai lieto to energoapgādē vai cita veida komercdarbībā.</w:t>
            </w:r>
          </w:p>
          <w:p w14:paraId="31DDCF1D" w14:textId="43C06137" w:rsidR="000A3C24" w:rsidRPr="00BB1E99" w:rsidRDefault="000A3C24"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 xml:space="preserve">Projekta </w:t>
            </w:r>
            <w:r w:rsidR="00020E2F" w:rsidRPr="00BB1E99">
              <w:rPr>
                <w:rFonts w:ascii="Times New Roman" w:hAnsi="Times New Roman"/>
                <w:sz w:val="24"/>
                <w:szCs w:val="24"/>
              </w:rPr>
              <w:t>6</w:t>
            </w:r>
            <w:r w:rsidRPr="00BB1E99">
              <w:rPr>
                <w:rFonts w:ascii="Times New Roman" w:hAnsi="Times New Roman"/>
                <w:sz w:val="24"/>
                <w:szCs w:val="24"/>
              </w:rPr>
              <w:t>.</w:t>
            </w:r>
            <w:r w:rsidR="009263DD">
              <w:rPr>
                <w:rFonts w:ascii="Times New Roman" w:hAnsi="Times New Roman"/>
                <w:sz w:val="24"/>
                <w:szCs w:val="24"/>
              </w:rPr>
              <w:t> </w:t>
            </w:r>
            <w:r w:rsidRPr="00BB1E99">
              <w:rPr>
                <w:rFonts w:ascii="Times New Roman" w:hAnsi="Times New Roman"/>
                <w:sz w:val="24"/>
                <w:szCs w:val="24"/>
              </w:rPr>
              <w:t>punkts paredz papildināt Noteikumus ar jaunu 38.</w:t>
            </w:r>
            <w:r w:rsidRPr="00BB1E99">
              <w:rPr>
                <w:rFonts w:ascii="Times New Roman" w:hAnsi="Times New Roman"/>
                <w:sz w:val="24"/>
                <w:szCs w:val="24"/>
                <w:vertAlign w:val="superscript"/>
              </w:rPr>
              <w:t>1</w:t>
            </w:r>
            <w:r w:rsidR="009263DD">
              <w:rPr>
                <w:rFonts w:ascii="Times New Roman" w:hAnsi="Times New Roman"/>
                <w:sz w:val="24"/>
                <w:szCs w:val="24"/>
                <w:vertAlign w:val="superscript"/>
              </w:rPr>
              <w:t> </w:t>
            </w:r>
            <w:r w:rsidRPr="00BB1E99">
              <w:rPr>
                <w:rFonts w:ascii="Times New Roman" w:hAnsi="Times New Roman"/>
                <w:sz w:val="24"/>
                <w:szCs w:val="24"/>
              </w:rPr>
              <w:t>punktu, kas noteic, ka</w:t>
            </w:r>
            <w:r w:rsidR="00521A0E" w:rsidRPr="00BB1E99">
              <w:rPr>
                <w:rFonts w:ascii="Times New Roman" w:hAnsi="Times New Roman"/>
                <w:sz w:val="24"/>
                <w:szCs w:val="24"/>
              </w:rPr>
              <w:t xml:space="preserve"> gadījumos, kad</w:t>
            </w:r>
            <w:r w:rsidRPr="00BB1E99">
              <w:rPr>
                <w:rFonts w:ascii="Times New Roman" w:hAnsi="Times New Roman"/>
                <w:sz w:val="24"/>
                <w:szCs w:val="24"/>
              </w:rPr>
              <w:t xml:space="preserve"> SDG sistēmas lietotāja dabasgāzes apgādes sistēma tiek pieslēgta SDG iekārtai,  </w:t>
            </w:r>
            <w:r w:rsidR="002A5941" w:rsidRPr="00BB1E99">
              <w:rPr>
                <w:rFonts w:ascii="Times New Roman" w:hAnsi="Times New Roman"/>
                <w:sz w:val="24"/>
                <w:szCs w:val="24"/>
              </w:rPr>
              <w:t>sašķidrinātās dabasgāzes sistēmas lietotājs un sašķidrinātās dabasgāzes sistēmas operators savstarpēji vienojas par nosacījumiem minēto sistēmu savienošanai un sašķidrinātās dabasgāzes pakalpojuma sniegšanai</w:t>
            </w:r>
            <w:r w:rsidRPr="00BB1E99">
              <w:rPr>
                <w:rFonts w:ascii="Times New Roman" w:hAnsi="Times New Roman"/>
                <w:sz w:val="24"/>
                <w:szCs w:val="24"/>
              </w:rPr>
              <w:t>.</w:t>
            </w:r>
            <w:r w:rsidR="00521A0E" w:rsidRPr="00BB1E99">
              <w:rPr>
                <w:rFonts w:ascii="Times New Roman" w:hAnsi="Times New Roman"/>
                <w:sz w:val="24"/>
                <w:szCs w:val="24"/>
              </w:rPr>
              <w:t xml:space="preserve"> Šajos gadījumos</w:t>
            </w:r>
            <w:r w:rsidR="009263DD">
              <w:rPr>
                <w:rFonts w:ascii="Times New Roman" w:hAnsi="Times New Roman"/>
                <w:sz w:val="24"/>
                <w:szCs w:val="24"/>
              </w:rPr>
              <w:t>,</w:t>
            </w:r>
            <w:r w:rsidR="00521A0E" w:rsidRPr="00BB1E99">
              <w:rPr>
                <w:rFonts w:ascii="Times New Roman" w:hAnsi="Times New Roman"/>
                <w:sz w:val="24"/>
                <w:szCs w:val="24"/>
              </w:rPr>
              <w:t xml:space="preserve"> atbilstoši normatīvajiem aktiem</w:t>
            </w:r>
            <w:r w:rsidR="009263DD">
              <w:rPr>
                <w:rFonts w:ascii="Times New Roman" w:hAnsi="Times New Roman"/>
                <w:sz w:val="24"/>
                <w:szCs w:val="24"/>
              </w:rPr>
              <w:t>,</w:t>
            </w:r>
            <w:r w:rsidR="00521A0E" w:rsidRPr="00BB1E99">
              <w:rPr>
                <w:rFonts w:ascii="Times New Roman" w:hAnsi="Times New Roman"/>
                <w:sz w:val="24"/>
                <w:szCs w:val="24"/>
              </w:rPr>
              <w:t xml:space="preserve"> sašķidrinātās dabasgāzes pakalpojuma sniegšana nav nedz licencējama, nedz arī uzskatāma par sabiedrisko pakalpojumu, kuru </w:t>
            </w:r>
            <w:r w:rsidR="009263DD">
              <w:rPr>
                <w:rFonts w:ascii="Times New Roman" w:hAnsi="Times New Roman"/>
                <w:sz w:val="24"/>
                <w:szCs w:val="24"/>
              </w:rPr>
              <w:t>R</w:t>
            </w:r>
            <w:r w:rsidR="00521A0E" w:rsidRPr="00BB1E99">
              <w:rPr>
                <w:rFonts w:ascii="Times New Roman" w:hAnsi="Times New Roman"/>
                <w:sz w:val="24"/>
                <w:szCs w:val="24"/>
              </w:rPr>
              <w:t>egulatoram būtu pienākums uzraudzīt, kā arī sašķidrinātās dabasgāzes pakalpojumam noteikt tarifus.</w:t>
            </w:r>
          </w:p>
          <w:p w14:paraId="207F0393" w14:textId="23C003D0" w:rsidR="008F090E" w:rsidRPr="00BB1E99" w:rsidRDefault="008F54B6"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Saskaņā ar Enerģētikas likuma 15.</w:t>
            </w:r>
            <w:r w:rsidR="009263DD">
              <w:rPr>
                <w:rFonts w:ascii="Times New Roman" w:hAnsi="Times New Roman"/>
                <w:sz w:val="24"/>
                <w:szCs w:val="24"/>
              </w:rPr>
              <w:t> </w:t>
            </w:r>
            <w:r w:rsidRPr="00BB1E99">
              <w:rPr>
                <w:rFonts w:ascii="Times New Roman" w:hAnsi="Times New Roman"/>
                <w:sz w:val="24"/>
                <w:szCs w:val="24"/>
              </w:rPr>
              <w:t xml:space="preserve">panta septīto daļu Regulators apstiprina dabasgāzes pārvades un uzglabāšanas, kā arī sašķidrinātās dabasgāzes sistēmas operatora izstrādātos sistēmas lietošanas noteikumus vai dabasgāzes krātuves lietošanas noteikumus. </w:t>
            </w:r>
            <w:r w:rsidRPr="00BB1E99">
              <w:rPr>
                <w:rFonts w:ascii="Times New Roman" w:hAnsi="Times New Roman"/>
                <w:sz w:val="24"/>
                <w:szCs w:val="24"/>
                <w:u w:val="single"/>
              </w:rPr>
              <w:t xml:space="preserve">Līdz ar to detalizēti SDG pakalpojuma sniegšanas nosacījumi būtu atrunājumi </w:t>
            </w:r>
            <w:r w:rsidR="002C44D6" w:rsidRPr="00BB1E99">
              <w:rPr>
                <w:rFonts w:ascii="Times New Roman" w:hAnsi="Times New Roman"/>
                <w:sz w:val="24"/>
                <w:szCs w:val="24"/>
                <w:u w:val="single"/>
              </w:rPr>
              <w:t>tieši sistēmas lietošanas noteikumus, kurus būtu jāizstrādā katram SDG sistēmas operatoram un jāapstiprina Regulatoram.</w:t>
            </w:r>
            <w:r w:rsidR="002C44D6" w:rsidRPr="00BB1E99">
              <w:rPr>
                <w:rFonts w:ascii="Times New Roman" w:hAnsi="Times New Roman"/>
                <w:sz w:val="24"/>
                <w:szCs w:val="24"/>
              </w:rPr>
              <w:t xml:space="preserve"> Ja gāzveida stāvoklī pārvērstā dabasgāze tiks ievadīta dabasgāzes pārvades sistēmā, SDG līguma noslēgšanas kārtība</w:t>
            </w:r>
            <w:r w:rsidR="008529D0" w:rsidRPr="00BB1E99">
              <w:rPr>
                <w:rFonts w:ascii="Times New Roman" w:hAnsi="Times New Roman"/>
                <w:sz w:val="24"/>
                <w:szCs w:val="24"/>
              </w:rPr>
              <w:t xml:space="preserve">, </w:t>
            </w:r>
            <w:r w:rsidR="002C44D6" w:rsidRPr="00BB1E99">
              <w:rPr>
                <w:rFonts w:ascii="Times New Roman" w:hAnsi="Times New Roman"/>
                <w:sz w:val="24"/>
                <w:szCs w:val="24"/>
              </w:rPr>
              <w:t>prasības attiecībā uz balansa nodrošināšanu dabasgāzes pārvades sistēmā</w:t>
            </w:r>
            <w:r w:rsidR="008529D0" w:rsidRPr="00BB1E99">
              <w:rPr>
                <w:rFonts w:ascii="Times New Roman" w:hAnsi="Times New Roman"/>
                <w:sz w:val="24"/>
                <w:szCs w:val="24"/>
              </w:rPr>
              <w:t xml:space="preserve"> un prasības par jaudas sadales mehānismu un pārslodzes vadības procedūru piemērošanu</w:t>
            </w:r>
            <w:r w:rsidR="001C0DF6" w:rsidRPr="00BB1E99">
              <w:rPr>
                <w:rFonts w:ascii="Times New Roman" w:hAnsi="Times New Roman"/>
                <w:sz w:val="24"/>
                <w:szCs w:val="24"/>
              </w:rPr>
              <w:t xml:space="preserve"> arī</w:t>
            </w:r>
            <w:r w:rsidR="002C44D6" w:rsidRPr="00BB1E99">
              <w:rPr>
                <w:rFonts w:ascii="Times New Roman" w:hAnsi="Times New Roman"/>
                <w:sz w:val="24"/>
                <w:szCs w:val="24"/>
              </w:rPr>
              <w:t xml:space="preserve"> tiks noteikta Enerģētikas likuma 15.panta septītajā daļā noteiktajos sašķidrinātās dabasgāzes sistēmas lietošanas noteikumos.</w:t>
            </w:r>
            <w:r w:rsidR="00A94AAB" w:rsidRPr="00BB1E99">
              <w:rPr>
                <w:rFonts w:ascii="Times New Roman" w:hAnsi="Times New Roman"/>
                <w:sz w:val="24"/>
                <w:szCs w:val="24"/>
              </w:rPr>
              <w:t xml:space="preserve"> </w:t>
            </w:r>
            <w:r w:rsidR="00E8378F" w:rsidRPr="00BB1E99">
              <w:rPr>
                <w:rFonts w:ascii="Times New Roman" w:hAnsi="Times New Roman"/>
                <w:sz w:val="24"/>
                <w:szCs w:val="24"/>
              </w:rPr>
              <w:t>L</w:t>
            </w:r>
            <w:r w:rsidR="00A917C7" w:rsidRPr="00BB1E99">
              <w:rPr>
                <w:rFonts w:ascii="Times New Roman" w:hAnsi="Times New Roman"/>
                <w:sz w:val="24"/>
                <w:szCs w:val="24"/>
              </w:rPr>
              <w:t>ai nodrošinātu korektu SDG pakalpojuma veikšanu, p</w:t>
            </w:r>
            <w:r w:rsidR="008F090E" w:rsidRPr="00BB1E99">
              <w:rPr>
                <w:rFonts w:ascii="Times New Roman" w:hAnsi="Times New Roman"/>
                <w:sz w:val="24"/>
                <w:szCs w:val="24"/>
              </w:rPr>
              <w:t>rojekt</w:t>
            </w:r>
            <w:r w:rsidR="001C0DF6" w:rsidRPr="00BB1E99">
              <w:rPr>
                <w:rFonts w:ascii="Times New Roman" w:hAnsi="Times New Roman"/>
                <w:sz w:val="24"/>
                <w:szCs w:val="24"/>
              </w:rPr>
              <w:t xml:space="preserve">a </w:t>
            </w:r>
            <w:r w:rsidR="007805F9" w:rsidRPr="00BB1E99">
              <w:rPr>
                <w:rFonts w:ascii="Times New Roman" w:hAnsi="Times New Roman"/>
                <w:sz w:val="24"/>
                <w:szCs w:val="24"/>
              </w:rPr>
              <w:t>1</w:t>
            </w:r>
            <w:r w:rsidR="00A16948" w:rsidRPr="00BB1E99">
              <w:rPr>
                <w:rFonts w:ascii="Times New Roman" w:hAnsi="Times New Roman"/>
                <w:sz w:val="24"/>
                <w:szCs w:val="24"/>
              </w:rPr>
              <w:t>8</w:t>
            </w:r>
            <w:r w:rsidR="001C0DF6" w:rsidRPr="00BB1E99">
              <w:rPr>
                <w:rFonts w:ascii="Times New Roman" w:hAnsi="Times New Roman"/>
                <w:sz w:val="24"/>
                <w:szCs w:val="24"/>
              </w:rPr>
              <w:t xml:space="preserve">. un </w:t>
            </w:r>
            <w:r w:rsidR="00A16948" w:rsidRPr="00BB1E99">
              <w:rPr>
                <w:rFonts w:ascii="Times New Roman" w:hAnsi="Times New Roman"/>
                <w:sz w:val="24"/>
                <w:szCs w:val="24"/>
              </w:rPr>
              <w:t>20</w:t>
            </w:r>
            <w:r w:rsidR="001C0DF6" w:rsidRPr="00BB1E99">
              <w:rPr>
                <w:rFonts w:ascii="Times New Roman" w:hAnsi="Times New Roman"/>
                <w:sz w:val="24"/>
                <w:szCs w:val="24"/>
              </w:rPr>
              <w:t>.</w:t>
            </w:r>
            <w:r w:rsidR="009263DD">
              <w:rPr>
                <w:rFonts w:ascii="Times New Roman" w:hAnsi="Times New Roman"/>
                <w:sz w:val="24"/>
                <w:szCs w:val="24"/>
              </w:rPr>
              <w:t> </w:t>
            </w:r>
            <w:r w:rsidR="001C0DF6" w:rsidRPr="00BB1E99">
              <w:rPr>
                <w:rFonts w:ascii="Times New Roman" w:hAnsi="Times New Roman"/>
                <w:sz w:val="24"/>
                <w:szCs w:val="24"/>
              </w:rPr>
              <w:t>punkts</w:t>
            </w:r>
            <w:r w:rsidR="008F090E" w:rsidRPr="00BB1E99">
              <w:rPr>
                <w:rFonts w:ascii="Times New Roman" w:hAnsi="Times New Roman"/>
                <w:sz w:val="24"/>
                <w:szCs w:val="24"/>
              </w:rPr>
              <w:t xml:space="preserve"> papildina esošo Noteikumu redakciju,</w:t>
            </w:r>
            <w:r w:rsidR="00557F33" w:rsidRPr="00BB1E99">
              <w:rPr>
                <w:rFonts w:ascii="Times New Roman" w:hAnsi="Times New Roman"/>
                <w:sz w:val="24"/>
                <w:szCs w:val="24"/>
              </w:rPr>
              <w:t xml:space="preserve"> paredzot </w:t>
            </w:r>
            <w:r w:rsidR="00974399" w:rsidRPr="00BB1E99">
              <w:rPr>
                <w:rFonts w:ascii="Times New Roman" w:hAnsi="Times New Roman"/>
                <w:sz w:val="24"/>
                <w:szCs w:val="24"/>
              </w:rPr>
              <w:t xml:space="preserve">papildināt </w:t>
            </w:r>
            <w:r w:rsidR="00557F33" w:rsidRPr="00BB1E99">
              <w:rPr>
                <w:rFonts w:ascii="Times New Roman" w:hAnsi="Times New Roman"/>
                <w:sz w:val="24"/>
                <w:szCs w:val="24"/>
              </w:rPr>
              <w:t xml:space="preserve">normas, </w:t>
            </w:r>
            <w:r w:rsidR="00557F33" w:rsidRPr="00BB1E99">
              <w:rPr>
                <w:rFonts w:ascii="Times New Roman" w:hAnsi="Times New Roman"/>
                <w:sz w:val="24"/>
                <w:szCs w:val="24"/>
                <w:u w:val="single"/>
              </w:rPr>
              <w:t>kas attiec</w:t>
            </w:r>
            <w:r w:rsidR="00E66238" w:rsidRPr="00BB1E99">
              <w:rPr>
                <w:rFonts w:ascii="Times New Roman" w:hAnsi="Times New Roman"/>
                <w:sz w:val="24"/>
                <w:szCs w:val="24"/>
                <w:u w:val="single"/>
              </w:rPr>
              <w:t>a</w:t>
            </w:r>
            <w:r w:rsidR="00557F33" w:rsidRPr="00BB1E99">
              <w:rPr>
                <w:rFonts w:ascii="Times New Roman" w:hAnsi="Times New Roman"/>
                <w:sz w:val="24"/>
                <w:szCs w:val="24"/>
                <w:u w:val="single"/>
              </w:rPr>
              <w:t>s uz SDG sistēmas operatora tiesībām un pienākumiem</w:t>
            </w:r>
            <w:r w:rsidR="00A917C7" w:rsidRPr="00BB1E99">
              <w:rPr>
                <w:rFonts w:ascii="Times New Roman" w:hAnsi="Times New Roman"/>
                <w:sz w:val="24"/>
                <w:szCs w:val="24"/>
                <w:u w:val="single"/>
              </w:rPr>
              <w:t xml:space="preserve"> sniedzot SDG pakalpojumu</w:t>
            </w:r>
            <w:r w:rsidR="00557F33" w:rsidRPr="00BB1E99">
              <w:rPr>
                <w:rFonts w:ascii="Times New Roman" w:hAnsi="Times New Roman"/>
                <w:sz w:val="24"/>
                <w:szCs w:val="24"/>
                <w:u w:val="single"/>
              </w:rPr>
              <w:t>.</w:t>
            </w:r>
            <w:r w:rsidR="00557F33" w:rsidRPr="00BB1E99">
              <w:rPr>
                <w:rFonts w:ascii="Times New Roman" w:hAnsi="Times New Roman"/>
                <w:sz w:val="24"/>
                <w:szCs w:val="24"/>
              </w:rPr>
              <w:t xml:space="preserve"> </w:t>
            </w:r>
            <w:r w:rsidR="00974399" w:rsidRPr="00BB1E99">
              <w:rPr>
                <w:rFonts w:ascii="Times New Roman" w:hAnsi="Times New Roman"/>
                <w:sz w:val="24"/>
                <w:szCs w:val="24"/>
              </w:rPr>
              <w:t>Pēc analoģijas ar citiem sistēmas operatoriem</w:t>
            </w:r>
            <w:r w:rsidR="009263DD">
              <w:rPr>
                <w:rFonts w:ascii="Times New Roman" w:hAnsi="Times New Roman"/>
                <w:sz w:val="24"/>
                <w:szCs w:val="24"/>
              </w:rPr>
              <w:t xml:space="preserve"> </w:t>
            </w:r>
            <w:r w:rsidR="00974399" w:rsidRPr="00BB1E99">
              <w:rPr>
                <w:rFonts w:ascii="Times New Roman" w:hAnsi="Times New Roman"/>
                <w:sz w:val="24"/>
                <w:szCs w:val="24"/>
              </w:rPr>
              <w:t>p</w:t>
            </w:r>
            <w:r w:rsidR="00557F33" w:rsidRPr="00BB1E99">
              <w:rPr>
                <w:rFonts w:ascii="Times New Roman" w:hAnsi="Times New Roman"/>
                <w:sz w:val="24"/>
                <w:szCs w:val="24"/>
              </w:rPr>
              <w:t>rojekts paredz SDG sistēmas operatoram pienākumu nodrošināt informācijas konfidencialitāti saskaņā ar normatīvajiem aktiem</w:t>
            </w:r>
            <w:r w:rsidR="00A94AAB" w:rsidRPr="00BB1E99">
              <w:rPr>
                <w:rFonts w:ascii="Times New Roman" w:hAnsi="Times New Roman"/>
                <w:sz w:val="24"/>
                <w:szCs w:val="24"/>
              </w:rPr>
              <w:t xml:space="preserve">, </w:t>
            </w:r>
            <w:r w:rsidR="009263DD">
              <w:rPr>
                <w:rFonts w:ascii="Times New Roman" w:hAnsi="Times New Roman"/>
                <w:sz w:val="24"/>
                <w:szCs w:val="24"/>
              </w:rPr>
              <w:t>kā arī</w:t>
            </w:r>
            <w:r w:rsidR="00974399" w:rsidRPr="00BB1E99">
              <w:rPr>
                <w:rFonts w:ascii="Times New Roman" w:hAnsi="Times New Roman"/>
                <w:sz w:val="24"/>
                <w:szCs w:val="24"/>
              </w:rPr>
              <w:t xml:space="preserve"> </w:t>
            </w:r>
            <w:r w:rsidR="00557F33" w:rsidRPr="00BB1E99">
              <w:rPr>
                <w:rFonts w:ascii="Times New Roman" w:hAnsi="Times New Roman"/>
                <w:sz w:val="24"/>
                <w:szCs w:val="24"/>
              </w:rPr>
              <w:t>nodrošināt nepārtrauktu SDG pakalpojuma sniegšanu</w:t>
            </w:r>
            <w:r w:rsidR="00A94AAB" w:rsidRPr="00BB1E99">
              <w:rPr>
                <w:rFonts w:ascii="Times New Roman" w:hAnsi="Times New Roman"/>
                <w:sz w:val="24"/>
                <w:szCs w:val="24"/>
              </w:rPr>
              <w:t xml:space="preserve">. </w:t>
            </w:r>
            <w:r w:rsidR="00974399" w:rsidRPr="00BB1E99">
              <w:rPr>
                <w:rFonts w:ascii="Times New Roman" w:hAnsi="Times New Roman"/>
                <w:sz w:val="24"/>
                <w:szCs w:val="24"/>
              </w:rPr>
              <w:t>Lai nodrošinātu sistēmas darbības caurskat</w:t>
            </w:r>
            <w:r w:rsidR="009263DD">
              <w:rPr>
                <w:rFonts w:ascii="Times New Roman" w:hAnsi="Times New Roman"/>
                <w:sz w:val="24"/>
                <w:szCs w:val="24"/>
              </w:rPr>
              <w:t>ā</w:t>
            </w:r>
            <w:r w:rsidR="00974399" w:rsidRPr="00BB1E99">
              <w:rPr>
                <w:rFonts w:ascii="Times New Roman" w:hAnsi="Times New Roman"/>
                <w:sz w:val="24"/>
                <w:szCs w:val="24"/>
              </w:rPr>
              <w:t xml:space="preserve">mību un </w:t>
            </w:r>
            <w:proofErr w:type="spellStart"/>
            <w:r w:rsidR="009263DD">
              <w:rPr>
                <w:rFonts w:ascii="Times New Roman" w:hAnsi="Times New Roman"/>
                <w:sz w:val="24"/>
                <w:szCs w:val="24"/>
              </w:rPr>
              <w:t>paredzamību</w:t>
            </w:r>
            <w:proofErr w:type="spellEnd"/>
            <w:r w:rsidR="00974399" w:rsidRPr="00BB1E99">
              <w:rPr>
                <w:rFonts w:ascii="Times New Roman" w:hAnsi="Times New Roman"/>
                <w:sz w:val="24"/>
                <w:szCs w:val="24"/>
              </w:rPr>
              <w:t xml:space="preserve">, </w:t>
            </w:r>
            <w:r w:rsidR="00A94AAB" w:rsidRPr="00BB1E99">
              <w:rPr>
                <w:rFonts w:ascii="Times New Roman" w:hAnsi="Times New Roman"/>
                <w:sz w:val="24"/>
                <w:szCs w:val="24"/>
              </w:rPr>
              <w:t>tiem SDG sistēmas operatoriem, kuru iekārtas ir pieslēgtas dabasgāzes pārvades sistēmai,</w:t>
            </w:r>
            <w:r w:rsidR="00557F33" w:rsidRPr="00BB1E99">
              <w:rPr>
                <w:rFonts w:ascii="Times New Roman" w:hAnsi="Times New Roman"/>
                <w:sz w:val="24"/>
                <w:szCs w:val="24"/>
              </w:rPr>
              <w:t xml:space="preserve"> par katru gadu savā tīmekļvietnē publicēt informāciju par plānotajiem sašķidrinātās dabasgāzes sistēmas apkopes darbiem</w:t>
            </w:r>
            <w:r w:rsidR="00B82295" w:rsidRPr="00BB1E99">
              <w:rPr>
                <w:rFonts w:ascii="Times New Roman" w:hAnsi="Times New Roman"/>
                <w:sz w:val="24"/>
                <w:szCs w:val="24"/>
              </w:rPr>
              <w:t>. P</w:t>
            </w:r>
            <w:r w:rsidR="00974399" w:rsidRPr="00BB1E99">
              <w:rPr>
                <w:rFonts w:ascii="Times New Roman" w:hAnsi="Times New Roman"/>
                <w:sz w:val="24"/>
                <w:szCs w:val="24"/>
              </w:rPr>
              <w:t>ēc analoģijas ar citiem sistēmas operatoriem P</w:t>
            </w:r>
            <w:r w:rsidR="00B82295" w:rsidRPr="00BB1E99">
              <w:rPr>
                <w:rFonts w:ascii="Times New Roman" w:hAnsi="Times New Roman"/>
                <w:sz w:val="24"/>
                <w:szCs w:val="24"/>
              </w:rPr>
              <w:t>rojekts nosaka,</w:t>
            </w:r>
            <w:r w:rsidR="00974399" w:rsidRPr="00BB1E99">
              <w:rPr>
                <w:rFonts w:ascii="Times New Roman" w:hAnsi="Times New Roman"/>
                <w:sz w:val="24"/>
                <w:szCs w:val="24"/>
              </w:rPr>
              <w:t xml:space="preserve"> ka</w:t>
            </w:r>
            <w:r w:rsidR="00B82295" w:rsidRPr="00BB1E99">
              <w:rPr>
                <w:rFonts w:ascii="Times New Roman" w:hAnsi="Times New Roman"/>
                <w:sz w:val="24"/>
                <w:szCs w:val="24"/>
              </w:rPr>
              <w:t xml:space="preserve"> </w:t>
            </w:r>
            <w:r w:rsidR="00B82295" w:rsidRPr="00BB1E99">
              <w:rPr>
                <w:rFonts w:ascii="Times New Roman" w:hAnsi="Times New Roman"/>
                <w:sz w:val="24"/>
                <w:szCs w:val="24"/>
              </w:rPr>
              <w:lastRenderedPageBreak/>
              <w:t>SDG sistēmas operatora</w:t>
            </w:r>
            <w:r w:rsidR="00974399" w:rsidRPr="00BB1E99">
              <w:rPr>
                <w:rFonts w:ascii="Times New Roman" w:hAnsi="Times New Roman"/>
                <w:sz w:val="24"/>
                <w:szCs w:val="24"/>
              </w:rPr>
              <w:t>m</w:t>
            </w:r>
            <w:r w:rsidR="00B82295" w:rsidRPr="00BB1E99">
              <w:rPr>
                <w:rFonts w:ascii="Times New Roman" w:hAnsi="Times New Roman"/>
                <w:sz w:val="24"/>
                <w:szCs w:val="24"/>
              </w:rPr>
              <w:t xml:space="preserve"> </w:t>
            </w:r>
            <w:r w:rsidR="00974399" w:rsidRPr="00BB1E99">
              <w:rPr>
                <w:rFonts w:ascii="Times New Roman" w:hAnsi="Times New Roman"/>
                <w:sz w:val="24"/>
                <w:szCs w:val="24"/>
              </w:rPr>
              <w:t xml:space="preserve">ir pienākums nodrošināt </w:t>
            </w:r>
            <w:r w:rsidR="00B82295" w:rsidRPr="00BB1E99">
              <w:rPr>
                <w:rFonts w:ascii="Times New Roman" w:hAnsi="Times New Roman"/>
                <w:sz w:val="24"/>
                <w:szCs w:val="24"/>
              </w:rPr>
              <w:t xml:space="preserve">SDG iekārtā vai no šīs iekārtas piegādājamo dabasgāzes kvalitātes parametru atbilstības kontroli. </w:t>
            </w:r>
            <w:r w:rsidR="00A94AAB" w:rsidRPr="00BB1E99">
              <w:rPr>
                <w:rFonts w:ascii="Times New Roman" w:hAnsi="Times New Roman"/>
                <w:sz w:val="24"/>
                <w:szCs w:val="24"/>
              </w:rPr>
              <w:t>Šīs normas būtu iekļaujamas Noteikumu VIII. Sadaļā “Sistēmas operatora tiesības un pienākumi”, papildinot tajā</w:t>
            </w:r>
            <w:r w:rsidR="00974399" w:rsidRPr="00BB1E99">
              <w:rPr>
                <w:rFonts w:ascii="Times New Roman" w:hAnsi="Times New Roman"/>
                <w:sz w:val="24"/>
                <w:szCs w:val="24"/>
              </w:rPr>
              <w:t xml:space="preserve"> jau</w:t>
            </w:r>
            <w:r w:rsidR="00A94AAB" w:rsidRPr="00BB1E99">
              <w:rPr>
                <w:rFonts w:ascii="Times New Roman" w:hAnsi="Times New Roman"/>
                <w:sz w:val="24"/>
                <w:szCs w:val="24"/>
              </w:rPr>
              <w:t xml:space="preserve"> iekļautās normas, kas</w:t>
            </w:r>
            <w:r w:rsidR="00525A27" w:rsidRPr="00BB1E99">
              <w:rPr>
                <w:rFonts w:ascii="Times New Roman" w:hAnsi="Times New Roman"/>
                <w:sz w:val="24"/>
                <w:szCs w:val="24"/>
              </w:rPr>
              <w:t xml:space="preserve"> atbilstoši normā norādītajam</w:t>
            </w:r>
            <w:r w:rsidR="00A94AAB" w:rsidRPr="00BB1E99">
              <w:rPr>
                <w:rFonts w:ascii="Times New Roman" w:hAnsi="Times New Roman"/>
                <w:sz w:val="24"/>
                <w:szCs w:val="24"/>
              </w:rPr>
              <w:t xml:space="preserve"> attiecās vai nu uz </w:t>
            </w:r>
            <w:r w:rsidR="00525A27" w:rsidRPr="00BB1E99">
              <w:rPr>
                <w:rFonts w:ascii="Times New Roman" w:hAnsi="Times New Roman"/>
                <w:sz w:val="24"/>
                <w:szCs w:val="24"/>
              </w:rPr>
              <w:t>visiem sistēmas operatoriem (tajā skaitā SDG sistēmas operatoru) vai arī uz konkrētās sistēmas operatoru.</w:t>
            </w:r>
          </w:p>
          <w:p w14:paraId="041A4A80" w14:textId="668249E5" w:rsidR="001E69E5" w:rsidRPr="00BB1E99" w:rsidRDefault="001136EC" w:rsidP="009263DD">
            <w:pPr>
              <w:spacing w:after="0" w:line="240" w:lineRule="auto"/>
              <w:ind w:right="65"/>
              <w:jc w:val="both"/>
              <w:rPr>
                <w:rFonts w:ascii="Times New Roman" w:hAnsi="Times New Roman"/>
                <w:sz w:val="24"/>
                <w:szCs w:val="24"/>
              </w:rPr>
            </w:pPr>
            <w:bookmarkStart w:id="1" w:name="_Hlk70072667"/>
            <w:r w:rsidRPr="00BB1E99">
              <w:rPr>
                <w:rFonts w:ascii="Times New Roman" w:hAnsi="Times New Roman"/>
                <w:sz w:val="24"/>
                <w:szCs w:val="24"/>
              </w:rPr>
              <w:t>P</w:t>
            </w:r>
            <w:r w:rsidR="001E69E5" w:rsidRPr="00BB1E99">
              <w:rPr>
                <w:rFonts w:ascii="Times New Roman" w:hAnsi="Times New Roman"/>
                <w:sz w:val="24"/>
                <w:szCs w:val="24"/>
              </w:rPr>
              <w:t>rojekts izstrādā</w:t>
            </w:r>
            <w:r w:rsidRPr="00BB1E99">
              <w:rPr>
                <w:rFonts w:ascii="Times New Roman" w:hAnsi="Times New Roman"/>
                <w:sz w:val="24"/>
                <w:szCs w:val="24"/>
              </w:rPr>
              <w:t>t</w:t>
            </w:r>
            <w:r w:rsidR="001E69E5" w:rsidRPr="00BB1E99">
              <w:rPr>
                <w:rFonts w:ascii="Times New Roman" w:hAnsi="Times New Roman"/>
                <w:sz w:val="24"/>
                <w:szCs w:val="24"/>
              </w:rPr>
              <w:t>s</w:t>
            </w:r>
            <w:r w:rsidRPr="00BB1E99">
              <w:rPr>
                <w:rFonts w:ascii="Times New Roman" w:hAnsi="Times New Roman"/>
                <w:sz w:val="24"/>
                <w:szCs w:val="24"/>
              </w:rPr>
              <w:t>,</w:t>
            </w:r>
            <w:r w:rsidR="001E69E5" w:rsidRPr="00BB1E99">
              <w:rPr>
                <w:rFonts w:ascii="Times New Roman" w:hAnsi="Times New Roman"/>
                <w:sz w:val="24"/>
                <w:szCs w:val="24"/>
              </w:rPr>
              <w:t xml:space="preserve"> cit</w:t>
            </w:r>
            <w:r w:rsidR="009263DD">
              <w:rPr>
                <w:rFonts w:ascii="Times New Roman" w:hAnsi="Times New Roman"/>
                <w:sz w:val="24"/>
                <w:szCs w:val="24"/>
              </w:rPr>
              <w:t>a</w:t>
            </w:r>
            <w:r w:rsidR="001E69E5" w:rsidRPr="00BB1E99">
              <w:rPr>
                <w:rFonts w:ascii="Times New Roman" w:hAnsi="Times New Roman"/>
                <w:sz w:val="24"/>
                <w:szCs w:val="24"/>
              </w:rPr>
              <w:t xml:space="preserve"> starpā</w:t>
            </w:r>
            <w:r w:rsidR="009263DD">
              <w:rPr>
                <w:rFonts w:ascii="Times New Roman" w:hAnsi="Times New Roman"/>
                <w:sz w:val="24"/>
                <w:szCs w:val="24"/>
              </w:rPr>
              <w:t>,</w:t>
            </w:r>
            <w:r w:rsidR="001E69E5" w:rsidRPr="00BB1E99">
              <w:rPr>
                <w:rFonts w:ascii="Times New Roman" w:hAnsi="Times New Roman"/>
                <w:sz w:val="24"/>
                <w:szCs w:val="24"/>
              </w:rPr>
              <w:t xml:space="preserve"> arī saskaņā ar Eiropas Parlamenta un Padomes Direktīv</w:t>
            </w:r>
            <w:r w:rsidR="009263DD">
              <w:rPr>
                <w:rFonts w:ascii="Times New Roman" w:hAnsi="Times New Roman"/>
                <w:sz w:val="24"/>
                <w:szCs w:val="24"/>
              </w:rPr>
              <w:t>u</w:t>
            </w:r>
            <w:r w:rsidR="001E69E5" w:rsidRPr="00BB1E99">
              <w:rPr>
                <w:rFonts w:ascii="Times New Roman" w:hAnsi="Times New Roman"/>
                <w:sz w:val="24"/>
                <w:szCs w:val="24"/>
              </w:rPr>
              <w:t xml:space="preserve"> par kopīgiem noteikumiem attiecībā uz dabasgāzes iekšējo tirgu un par Direktīvas 2003/55/EK atcelšanu, kas ir pārņemta ar Enerģētikas likuma normā</w:t>
            </w:r>
            <w:r w:rsidR="009263DD">
              <w:rPr>
                <w:rFonts w:ascii="Times New Roman" w:hAnsi="Times New Roman"/>
                <w:sz w:val="24"/>
                <w:szCs w:val="24"/>
              </w:rPr>
              <w:t>s</w:t>
            </w:r>
            <w:r w:rsidR="001E69E5" w:rsidRPr="00BB1E99">
              <w:rPr>
                <w:rFonts w:ascii="Times New Roman" w:hAnsi="Times New Roman"/>
                <w:sz w:val="24"/>
                <w:szCs w:val="24"/>
              </w:rPr>
              <w:t xml:space="preserve"> noteikto</w:t>
            </w:r>
            <w:bookmarkEnd w:id="1"/>
            <w:r w:rsidR="001E69E5" w:rsidRPr="00BB1E99">
              <w:rPr>
                <w:rFonts w:ascii="Times New Roman" w:hAnsi="Times New Roman"/>
                <w:sz w:val="24"/>
                <w:szCs w:val="24"/>
              </w:rPr>
              <w:t>.</w:t>
            </w:r>
          </w:p>
          <w:p w14:paraId="5E0E84E4" w14:textId="6CCCC4E0" w:rsidR="00EA2EB6" w:rsidRPr="00BB1E99" w:rsidRDefault="00EA2EB6"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Eiropas Parlamenta un Padomes Direktīvas 2009/73/EK par kopīgiem noteikumiem attiecībā uz dabasgāzes iekšējo tirgu un par Direktīvas 2003/55/EK atcelšanu 2.</w:t>
            </w:r>
            <w:r w:rsidR="009263DD">
              <w:rPr>
                <w:rFonts w:ascii="Times New Roman" w:hAnsi="Times New Roman"/>
                <w:sz w:val="24"/>
                <w:szCs w:val="24"/>
              </w:rPr>
              <w:t> </w:t>
            </w:r>
            <w:r w:rsidRPr="00BB1E99">
              <w:rPr>
                <w:rFonts w:ascii="Times New Roman" w:hAnsi="Times New Roman"/>
                <w:sz w:val="24"/>
                <w:szCs w:val="24"/>
              </w:rPr>
              <w:t>panta 9.</w:t>
            </w:r>
            <w:r w:rsidR="009263DD">
              <w:rPr>
                <w:rFonts w:ascii="Times New Roman" w:hAnsi="Times New Roman"/>
                <w:sz w:val="24"/>
                <w:szCs w:val="24"/>
              </w:rPr>
              <w:t> </w:t>
            </w:r>
            <w:r w:rsidRPr="00BB1E99">
              <w:rPr>
                <w:rFonts w:ascii="Times New Roman" w:hAnsi="Times New Roman"/>
                <w:sz w:val="24"/>
                <w:szCs w:val="24"/>
              </w:rPr>
              <w:t xml:space="preserve">punkts </w:t>
            </w:r>
            <w:r w:rsidR="003B53AA" w:rsidRPr="00BB1E99">
              <w:rPr>
                <w:rFonts w:ascii="Times New Roman" w:hAnsi="Times New Roman"/>
                <w:sz w:val="24"/>
                <w:szCs w:val="24"/>
              </w:rPr>
              <w:t xml:space="preserve">(pārņemts ar Enerģētikas likuma normām) </w:t>
            </w:r>
            <w:r w:rsidRPr="00BB1E99">
              <w:rPr>
                <w:rFonts w:ascii="Times New Roman" w:hAnsi="Times New Roman"/>
                <w:sz w:val="24"/>
                <w:szCs w:val="24"/>
              </w:rPr>
              <w:t>nosaka</w:t>
            </w:r>
            <w:r w:rsidR="009263DD">
              <w:rPr>
                <w:rFonts w:ascii="Times New Roman" w:hAnsi="Times New Roman"/>
                <w:sz w:val="24"/>
                <w:szCs w:val="24"/>
              </w:rPr>
              <w:t xml:space="preserve"> to</w:t>
            </w:r>
            <w:r w:rsidRPr="00BB1E99">
              <w:rPr>
                <w:rFonts w:ascii="Times New Roman" w:hAnsi="Times New Roman"/>
                <w:sz w:val="24"/>
                <w:szCs w:val="24"/>
              </w:rPr>
              <w:t>, ka par uzglabāšanas objektu var tikt uzskatīta arī sašķidrinātās dabasgāzes iekārtas daļa, kuru izmanto uzglabāšanai, bet kas nav ražošanā izmantotā daļa un iekārtas, kuras rezervētas vienīgi pārvades sistēmas operatoriem, kuri nodrošina pārvadi. Līdz ar to SDG sistēmas operators var</w:t>
            </w:r>
            <w:r w:rsidR="00D07583" w:rsidRPr="00BB1E99">
              <w:rPr>
                <w:rFonts w:ascii="Times New Roman" w:hAnsi="Times New Roman"/>
                <w:sz w:val="24"/>
                <w:szCs w:val="24"/>
              </w:rPr>
              <w:t xml:space="preserve"> sniegt gan</w:t>
            </w:r>
            <w:r w:rsidRPr="00BB1E99">
              <w:rPr>
                <w:rFonts w:ascii="Times New Roman" w:hAnsi="Times New Roman"/>
                <w:sz w:val="24"/>
                <w:szCs w:val="24"/>
              </w:rPr>
              <w:t xml:space="preserve"> dabasgāzes uzglabāšanas</w:t>
            </w:r>
            <w:r w:rsidR="009263DD">
              <w:rPr>
                <w:rFonts w:ascii="Times New Roman" w:hAnsi="Times New Roman"/>
                <w:sz w:val="24"/>
                <w:szCs w:val="24"/>
              </w:rPr>
              <w:t>,</w:t>
            </w:r>
            <w:r w:rsidRPr="00BB1E99">
              <w:rPr>
                <w:rFonts w:ascii="Times New Roman" w:hAnsi="Times New Roman"/>
                <w:sz w:val="24"/>
                <w:szCs w:val="24"/>
              </w:rPr>
              <w:t xml:space="preserve"> </w:t>
            </w:r>
            <w:r w:rsidR="00D07583" w:rsidRPr="00BB1E99">
              <w:rPr>
                <w:rFonts w:ascii="Times New Roman" w:hAnsi="Times New Roman"/>
                <w:sz w:val="24"/>
                <w:szCs w:val="24"/>
              </w:rPr>
              <w:t>gan</w:t>
            </w:r>
            <w:r w:rsidRPr="00BB1E99">
              <w:rPr>
                <w:rFonts w:ascii="Times New Roman" w:hAnsi="Times New Roman"/>
                <w:sz w:val="24"/>
                <w:szCs w:val="24"/>
              </w:rPr>
              <w:t xml:space="preserve"> sašķidrinātās dabasgāzes pakalpojumus</w:t>
            </w:r>
            <w:r w:rsidR="00D07583" w:rsidRPr="00BB1E99">
              <w:rPr>
                <w:rFonts w:ascii="Times New Roman" w:hAnsi="Times New Roman"/>
                <w:sz w:val="24"/>
                <w:szCs w:val="24"/>
              </w:rPr>
              <w:t>.</w:t>
            </w:r>
            <w:r w:rsidRPr="00BB1E99">
              <w:rPr>
                <w:rFonts w:ascii="Times New Roman" w:hAnsi="Times New Roman"/>
                <w:sz w:val="24"/>
                <w:szCs w:val="24"/>
              </w:rPr>
              <w:t xml:space="preserve"> Savukārt </w:t>
            </w:r>
            <w:r w:rsidR="001136EC" w:rsidRPr="00BB1E99">
              <w:rPr>
                <w:rFonts w:ascii="Times New Roman" w:hAnsi="Times New Roman"/>
                <w:sz w:val="24"/>
                <w:szCs w:val="24"/>
              </w:rPr>
              <w:t>Regulatora</w:t>
            </w:r>
            <w:r w:rsidRPr="00BB1E99">
              <w:rPr>
                <w:rFonts w:ascii="Times New Roman" w:hAnsi="Times New Roman"/>
                <w:sz w:val="24"/>
                <w:szCs w:val="24"/>
              </w:rPr>
              <w:t xml:space="preserve"> lēmums Nr. 1/17 </w:t>
            </w:r>
            <w:r w:rsidR="009263DD">
              <w:rPr>
                <w:rFonts w:ascii="Times New Roman" w:hAnsi="Times New Roman"/>
                <w:sz w:val="24"/>
                <w:szCs w:val="24"/>
              </w:rPr>
              <w:t>“</w:t>
            </w:r>
            <w:r w:rsidRPr="009263DD">
              <w:rPr>
                <w:rFonts w:ascii="Times New Roman" w:hAnsi="Times New Roman"/>
                <w:sz w:val="24"/>
                <w:szCs w:val="24"/>
              </w:rPr>
              <w:t>Noteikumi par kritērijiem, saskaņā ar kuriem dabasgāzes uzglabāšanas sistēmas operators un sašķidrinātās dabasgāzes sistēmas operators nosaka piekļuves režīmu dabasgāzes krātuvei</w:t>
            </w:r>
            <w:r w:rsidR="009263DD">
              <w:rPr>
                <w:rFonts w:ascii="Times New Roman" w:hAnsi="Times New Roman"/>
                <w:sz w:val="24"/>
                <w:szCs w:val="24"/>
              </w:rPr>
              <w:t>”</w:t>
            </w:r>
            <w:r w:rsidRPr="00BB1E99">
              <w:rPr>
                <w:rFonts w:ascii="Times New Roman" w:hAnsi="Times New Roman"/>
                <w:i/>
                <w:iCs/>
                <w:sz w:val="24"/>
                <w:szCs w:val="24"/>
              </w:rPr>
              <w:t xml:space="preserve"> </w:t>
            </w:r>
            <w:r w:rsidRPr="00BB1E99">
              <w:rPr>
                <w:rFonts w:ascii="Times New Roman" w:hAnsi="Times New Roman"/>
                <w:sz w:val="24"/>
                <w:szCs w:val="24"/>
              </w:rPr>
              <w:t xml:space="preserve">nosaka, ka piekļuves režīms tiek regulēts gadījumos, ja iepriekšējā kalendārā gadā kopējais dabasgāzes krātuvē uzglabātais dabasgāzes vai sašķidrinātās dabasgāzes apjoms </w:t>
            </w:r>
            <w:proofErr w:type="spellStart"/>
            <w:r w:rsidRPr="00BB1E99">
              <w:rPr>
                <w:rFonts w:ascii="Times New Roman" w:hAnsi="Times New Roman"/>
                <w:sz w:val="24"/>
                <w:szCs w:val="24"/>
              </w:rPr>
              <w:t>normālkubikmetros</w:t>
            </w:r>
            <w:proofErr w:type="spellEnd"/>
            <w:r w:rsidRPr="00BB1E99">
              <w:rPr>
                <w:rFonts w:ascii="Times New Roman" w:hAnsi="Times New Roman"/>
                <w:sz w:val="24"/>
                <w:szCs w:val="24"/>
              </w:rPr>
              <w:t xml:space="preserve"> bija lielāks nekā 25% no Latvijas teritorijā uzglabātās dabasgāzes vidējā apjoma trīs iepriekšējos kalendārajos gados. </w:t>
            </w:r>
          </w:p>
          <w:p w14:paraId="21D9C867" w14:textId="06A9BA6B" w:rsidR="00F407F4" w:rsidRPr="00BB1E99" w:rsidRDefault="00F407F4" w:rsidP="009263DD">
            <w:pPr>
              <w:spacing w:after="0" w:line="240" w:lineRule="auto"/>
              <w:ind w:right="65"/>
              <w:jc w:val="both"/>
              <w:rPr>
                <w:rFonts w:ascii="Times New Roman" w:hAnsi="Times New Roman"/>
                <w:sz w:val="24"/>
                <w:szCs w:val="24"/>
              </w:rPr>
            </w:pPr>
            <w:r w:rsidRPr="00BB1E99">
              <w:rPr>
                <w:rFonts w:ascii="Times New Roman" w:hAnsi="Times New Roman"/>
                <w:sz w:val="24"/>
                <w:szCs w:val="24"/>
              </w:rPr>
              <w:t>Papildus ir būtiski uzsvērt, ka uz Projekt</w:t>
            </w:r>
            <w:r w:rsidR="002A5E48" w:rsidRPr="00BB1E99">
              <w:rPr>
                <w:rFonts w:ascii="Times New Roman" w:hAnsi="Times New Roman"/>
                <w:sz w:val="24"/>
                <w:szCs w:val="24"/>
              </w:rPr>
              <w:t>a</w:t>
            </w:r>
            <w:r w:rsidRPr="00BB1E99">
              <w:rPr>
                <w:rFonts w:ascii="Times New Roman" w:hAnsi="Times New Roman"/>
                <w:sz w:val="24"/>
                <w:szCs w:val="24"/>
              </w:rPr>
              <w:t xml:space="preserve"> izstrādes brīdi Ekonomikas ministrija strādā pie grozījumiem Enerģētikas likumā, kuros tiks pievērsta uzmanība arī SDG jautājuma</w:t>
            </w:r>
            <w:r w:rsidR="009263DD">
              <w:rPr>
                <w:rFonts w:ascii="Times New Roman" w:hAnsi="Times New Roman"/>
                <w:sz w:val="24"/>
                <w:szCs w:val="24"/>
              </w:rPr>
              <w:t>m</w:t>
            </w:r>
            <w:r w:rsidRPr="00BB1E99">
              <w:rPr>
                <w:rFonts w:ascii="Times New Roman" w:hAnsi="Times New Roman"/>
                <w:sz w:val="24"/>
                <w:szCs w:val="24"/>
              </w:rPr>
              <w:t>.</w:t>
            </w:r>
          </w:p>
          <w:p w14:paraId="0BE384B3" w14:textId="77777777" w:rsidR="00D81441" w:rsidRPr="00BB1E99" w:rsidRDefault="00D81441" w:rsidP="00FD220F">
            <w:pPr>
              <w:spacing w:after="0" w:line="240" w:lineRule="auto"/>
              <w:ind w:right="65" w:firstLine="170"/>
              <w:jc w:val="both"/>
              <w:rPr>
                <w:rFonts w:ascii="Times New Roman" w:hAnsi="Times New Roman"/>
                <w:sz w:val="24"/>
                <w:szCs w:val="24"/>
              </w:rPr>
            </w:pPr>
          </w:p>
          <w:p w14:paraId="1411B502" w14:textId="497111E0" w:rsidR="00E30DC9" w:rsidRPr="00BB1E99" w:rsidRDefault="00D369B4" w:rsidP="00A9308D">
            <w:pPr>
              <w:spacing w:after="0" w:line="240" w:lineRule="auto"/>
              <w:ind w:right="65"/>
              <w:jc w:val="both"/>
              <w:rPr>
                <w:rFonts w:ascii="Times New Roman" w:hAnsi="Times New Roman"/>
                <w:b/>
                <w:bCs/>
                <w:sz w:val="24"/>
                <w:szCs w:val="24"/>
                <w:u w:val="single"/>
              </w:rPr>
            </w:pPr>
            <w:r w:rsidRPr="00BB1E99">
              <w:rPr>
                <w:rFonts w:ascii="Times New Roman" w:hAnsi="Times New Roman"/>
                <w:b/>
                <w:bCs/>
                <w:sz w:val="24"/>
                <w:szCs w:val="24"/>
              </w:rPr>
              <w:t xml:space="preserve">2. </w:t>
            </w:r>
            <w:r w:rsidR="00E30DC9" w:rsidRPr="00BB1E99">
              <w:rPr>
                <w:rFonts w:ascii="Times New Roman" w:hAnsi="Times New Roman"/>
                <w:sz w:val="24"/>
                <w:szCs w:val="24"/>
              </w:rPr>
              <w:t xml:space="preserve">Projektā ir iekļauti grozījumi Noteikumos, kas ir vērsti uz </w:t>
            </w:r>
            <w:r w:rsidR="00E30DC9" w:rsidRPr="00BB1E99">
              <w:rPr>
                <w:rFonts w:ascii="Times New Roman" w:hAnsi="Times New Roman"/>
                <w:b/>
                <w:bCs/>
                <w:sz w:val="24"/>
                <w:szCs w:val="24"/>
                <w:u w:val="single"/>
              </w:rPr>
              <w:t xml:space="preserve">nesamērīga </w:t>
            </w:r>
            <w:r w:rsidR="00DA3EEA" w:rsidRPr="00BB1E99">
              <w:rPr>
                <w:rFonts w:ascii="Times New Roman" w:hAnsi="Times New Roman"/>
                <w:b/>
                <w:bCs/>
                <w:sz w:val="24"/>
                <w:szCs w:val="24"/>
                <w:u w:val="single"/>
              </w:rPr>
              <w:t xml:space="preserve">finanšu </w:t>
            </w:r>
            <w:r w:rsidR="00E30DC9" w:rsidRPr="00BB1E99">
              <w:rPr>
                <w:rFonts w:ascii="Times New Roman" w:hAnsi="Times New Roman"/>
                <w:b/>
                <w:bCs/>
                <w:sz w:val="24"/>
                <w:szCs w:val="24"/>
                <w:u w:val="single"/>
              </w:rPr>
              <w:t>sloga mazināšanu mājsaimniecības lietotājiem.</w:t>
            </w:r>
          </w:p>
          <w:p w14:paraId="7608807D" w14:textId="0915F4DB" w:rsidR="009950AC" w:rsidRPr="00BB1E99" w:rsidRDefault="009950AC" w:rsidP="00A9308D">
            <w:pPr>
              <w:spacing w:after="0" w:line="240" w:lineRule="auto"/>
              <w:ind w:right="65"/>
              <w:jc w:val="both"/>
              <w:rPr>
                <w:rFonts w:ascii="Times New Roman" w:hAnsi="Times New Roman"/>
                <w:sz w:val="24"/>
                <w:szCs w:val="24"/>
                <w:u w:val="single"/>
              </w:rPr>
            </w:pPr>
            <w:r w:rsidRPr="00BB1E99">
              <w:rPr>
                <w:rFonts w:ascii="Times New Roman" w:hAnsi="Times New Roman"/>
                <w:sz w:val="24"/>
                <w:szCs w:val="24"/>
                <w:u w:val="single"/>
              </w:rPr>
              <w:t xml:space="preserve">Projekta </w:t>
            </w:r>
            <w:r w:rsidR="002A5E48" w:rsidRPr="00BB1E99">
              <w:rPr>
                <w:rFonts w:ascii="Times New Roman" w:hAnsi="Times New Roman"/>
                <w:sz w:val="24"/>
                <w:szCs w:val="24"/>
                <w:u w:val="single"/>
              </w:rPr>
              <w:t>4</w:t>
            </w:r>
            <w:r w:rsidRPr="00BB1E99">
              <w:rPr>
                <w:rFonts w:ascii="Times New Roman" w:hAnsi="Times New Roman"/>
                <w:sz w:val="24"/>
                <w:szCs w:val="24"/>
                <w:u w:val="single"/>
              </w:rPr>
              <w:t>.</w:t>
            </w:r>
            <w:r w:rsidR="00020E2F" w:rsidRPr="00BB1E99">
              <w:rPr>
                <w:rFonts w:ascii="Times New Roman" w:hAnsi="Times New Roman"/>
                <w:sz w:val="24"/>
                <w:szCs w:val="24"/>
                <w:u w:val="single"/>
              </w:rPr>
              <w:t>, 2</w:t>
            </w:r>
            <w:r w:rsidR="002A5E48" w:rsidRPr="00BB1E99">
              <w:rPr>
                <w:rFonts w:ascii="Times New Roman" w:hAnsi="Times New Roman"/>
                <w:sz w:val="24"/>
                <w:szCs w:val="24"/>
                <w:u w:val="single"/>
              </w:rPr>
              <w:t>4</w:t>
            </w:r>
            <w:r w:rsidR="00020E2F" w:rsidRPr="00BB1E99">
              <w:rPr>
                <w:rFonts w:ascii="Times New Roman" w:hAnsi="Times New Roman"/>
                <w:sz w:val="24"/>
                <w:szCs w:val="24"/>
                <w:u w:val="single"/>
              </w:rPr>
              <w:t xml:space="preserve">. </w:t>
            </w:r>
            <w:r w:rsidR="009015E3" w:rsidRPr="00BB1E99">
              <w:rPr>
                <w:rFonts w:ascii="Times New Roman" w:hAnsi="Times New Roman"/>
                <w:sz w:val="24"/>
                <w:szCs w:val="24"/>
                <w:u w:val="single"/>
              </w:rPr>
              <w:t>un</w:t>
            </w:r>
            <w:r w:rsidRPr="00BB1E99">
              <w:rPr>
                <w:rFonts w:ascii="Times New Roman" w:hAnsi="Times New Roman"/>
                <w:sz w:val="24"/>
                <w:szCs w:val="24"/>
                <w:u w:val="single"/>
              </w:rPr>
              <w:t xml:space="preserve"> </w:t>
            </w:r>
            <w:r w:rsidR="00F407F4" w:rsidRPr="00BB1E99">
              <w:rPr>
                <w:rFonts w:ascii="Times New Roman" w:hAnsi="Times New Roman"/>
                <w:sz w:val="24"/>
                <w:szCs w:val="24"/>
                <w:u w:val="single"/>
              </w:rPr>
              <w:t>2</w:t>
            </w:r>
            <w:r w:rsidR="002A5E48" w:rsidRPr="00BB1E99">
              <w:rPr>
                <w:rFonts w:ascii="Times New Roman" w:hAnsi="Times New Roman"/>
                <w:sz w:val="24"/>
                <w:szCs w:val="24"/>
                <w:u w:val="single"/>
              </w:rPr>
              <w:t>5</w:t>
            </w:r>
            <w:r w:rsidR="00F407F4" w:rsidRPr="00BB1E99">
              <w:rPr>
                <w:rFonts w:ascii="Times New Roman" w:hAnsi="Times New Roman"/>
                <w:sz w:val="24"/>
                <w:szCs w:val="24"/>
                <w:u w:val="single"/>
              </w:rPr>
              <w:t>.</w:t>
            </w:r>
            <w:r w:rsidRPr="00BB1E99">
              <w:rPr>
                <w:rFonts w:ascii="Times New Roman" w:hAnsi="Times New Roman"/>
                <w:sz w:val="24"/>
                <w:szCs w:val="24"/>
                <w:u w:val="single"/>
              </w:rPr>
              <w:t xml:space="preserve"> </w:t>
            </w:r>
            <w:r w:rsidR="001136EC" w:rsidRPr="00BB1E99">
              <w:rPr>
                <w:rFonts w:ascii="Times New Roman" w:hAnsi="Times New Roman"/>
                <w:sz w:val="24"/>
                <w:szCs w:val="24"/>
                <w:u w:val="single"/>
              </w:rPr>
              <w:t>punkts</w:t>
            </w:r>
            <w:r w:rsidR="001136EC" w:rsidRPr="00BB1E99">
              <w:rPr>
                <w:rFonts w:ascii="Times New Roman" w:hAnsi="Times New Roman"/>
                <w:sz w:val="24"/>
                <w:szCs w:val="24"/>
              </w:rPr>
              <w:t xml:space="preserve"> </w:t>
            </w:r>
            <w:r w:rsidRPr="00BB1E99">
              <w:rPr>
                <w:rFonts w:ascii="Times New Roman" w:hAnsi="Times New Roman"/>
                <w:sz w:val="24"/>
                <w:szCs w:val="24"/>
              </w:rPr>
              <w:t xml:space="preserve">ir vērsti uz nevajadzīga un nesamērīga finansiāla sloga mazināšanu mājsaimniecības lietotājiem, kas </w:t>
            </w:r>
            <w:r w:rsidRPr="00BB1E99">
              <w:rPr>
                <w:rFonts w:ascii="Times New Roman" w:hAnsi="Times New Roman"/>
                <w:sz w:val="24"/>
                <w:szCs w:val="24"/>
                <w:u w:val="single"/>
              </w:rPr>
              <w:t xml:space="preserve">dabasgāzi patērē tikai ēdiena pagatavošanai. </w:t>
            </w:r>
          </w:p>
          <w:p w14:paraId="6D9CE20A" w14:textId="77EFF8D1" w:rsidR="00E54CC6" w:rsidRPr="00BB1E99" w:rsidRDefault="009950AC"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Saskaņā ar Noteikumu 147.</w:t>
            </w:r>
            <w:r w:rsidR="00A9308D">
              <w:rPr>
                <w:rFonts w:ascii="Times New Roman" w:hAnsi="Times New Roman"/>
                <w:sz w:val="24"/>
                <w:szCs w:val="24"/>
              </w:rPr>
              <w:t> </w:t>
            </w:r>
            <w:r w:rsidRPr="00BB1E99">
              <w:rPr>
                <w:rFonts w:ascii="Times New Roman" w:hAnsi="Times New Roman"/>
                <w:sz w:val="24"/>
                <w:szCs w:val="24"/>
              </w:rPr>
              <w:t xml:space="preserve">punktu gazificētajos objektos uzstādītajiem </w:t>
            </w:r>
            <w:proofErr w:type="spellStart"/>
            <w:r w:rsidRPr="00BB1E99">
              <w:rPr>
                <w:rFonts w:ascii="Times New Roman" w:hAnsi="Times New Roman"/>
                <w:sz w:val="24"/>
                <w:szCs w:val="24"/>
              </w:rPr>
              <w:t>komercuzskaites</w:t>
            </w:r>
            <w:proofErr w:type="spellEnd"/>
            <w:r w:rsidRPr="00BB1E99">
              <w:rPr>
                <w:rFonts w:ascii="Times New Roman" w:hAnsi="Times New Roman"/>
                <w:sz w:val="24"/>
                <w:szCs w:val="24"/>
              </w:rPr>
              <w:t xml:space="preserve"> mēraparātiem ir jāatbilst normatīvajos aktos mērīšanas līdzekļiem noteiktajām metroloģiskajām prasībām, kā arī prasībām, kas noteiktas normatīvajos aktos par kārtību, kādā tiek veikta mērīšanas līdzekļu tipa apstiprināšana, pirmreizējā verificēšana un tirgus uzraudzība. Dabasgāzes </w:t>
            </w:r>
            <w:r w:rsidR="00DA3EEA" w:rsidRPr="00BB1E99">
              <w:rPr>
                <w:rFonts w:ascii="Times New Roman" w:hAnsi="Times New Roman"/>
                <w:sz w:val="24"/>
                <w:szCs w:val="24"/>
              </w:rPr>
              <w:t>s</w:t>
            </w:r>
            <w:r w:rsidRPr="00BB1E99">
              <w:rPr>
                <w:rFonts w:ascii="Times New Roman" w:hAnsi="Times New Roman"/>
                <w:sz w:val="24"/>
                <w:szCs w:val="24"/>
              </w:rPr>
              <w:t xml:space="preserve">kaitītāji, kas uzstādīti mājsaimniecības lietotājiem, ir sadales sistēmas operatora </w:t>
            </w:r>
            <w:r w:rsidRPr="00BB1E99">
              <w:rPr>
                <w:rFonts w:ascii="Times New Roman" w:hAnsi="Times New Roman"/>
                <w:sz w:val="24"/>
                <w:szCs w:val="24"/>
              </w:rPr>
              <w:lastRenderedPageBreak/>
              <w:t xml:space="preserve">īpašums. To atkārtota verificēšana finansiāli ir neizdevīga, jo tā izmaksā dārgāk par </w:t>
            </w:r>
            <w:r w:rsidR="00DA3EEA" w:rsidRPr="00BB1E99">
              <w:rPr>
                <w:rFonts w:ascii="Times New Roman" w:hAnsi="Times New Roman"/>
                <w:sz w:val="24"/>
                <w:szCs w:val="24"/>
              </w:rPr>
              <w:t>s</w:t>
            </w:r>
            <w:r w:rsidRPr="00BB1E99">
              <w:rPr>
                <w:rFonts w:ascii="Times New Roman" w:hAnsi="Times New Roman"/>
                <w:sz w:val="24"/>
                <w:szCs w:val="24"/>
              </w:rPr>
              <w:t xml:space="preserve">kaitītāja nomainīšanu ar jaunu. Tai pašā laikā arī dabasgāzes uzskaites skaitītāju nomainīšana ir dārgs pasākums, kā rezultātā būtiski tiktu palielināts dabasgāzes sadales sistēmas pakalpojuma tarifs tieši mājsaimniecības lietotājiem, kas nevar būt samērīgs ar patērētās dabasgāzes uzskaites precizitātes nosacītu uzlabošanu. Papildus būtiski uzsvērt, ka lietotājiem, kuriem uzstādīts </w:t>
            </w:r>
            <w:r w:rsidR="00DA3EEA" w:rsidRPr="00BB1E99">
              <w:rPr>
                <w:rFonts w:ascii="Times New Roman" w:hAnsi="Times New Roman"/>
                <w:sz w:val="24"/>
                <w:szCs w:val="24"/>
              </w:rPr>
              <w:t>s</w:t>
            </w:r>
            <w:r w:rsidRPr="00BB1E99">
              <w:rPr>
                <w:rFonts w:ascii="Times New Roman" w:hAnsi="Times New Roman"/>
                <w:sz w:val="24"/>
                <w:szCs w:val="24"/>
              </w:rPr>
              <w:t>kaitītājs, aptuveni 80% no sadales maksājuma veido fiksētais maksājums, un izmaksas, kas tieši atkarīgas no dabasgāzes uzskaites skaitītāja uzskaitītā patēriņa, lietotājam ir salīdzinoši maznozīmīgs.</w:t>
            </w:r>
            <w:r w:rsidR="00E54CC6" w:rsidRPr="00BB1E99">
              <w:rPr>
                <w:rFonts w:ascii="Times New Roman" w:hAnsi="Times New Roman"/>
                <w:sz w:val="24"/>
                <w:szCs w:val="24"/>
              </w:rPr>
              <w:t xml:space="preserve"> </w:t>
            </w:r>
            <w:r w:rsidRPr="00BB1E99">
              <w:rPr>
                <w:rFonts w:ascii="Times New Roman" w:hAnsi="Times New Roman"/>
                <w:sz w:val="24"/>
                <w:szCs w:val="24"/>
              </w:rPr>
              <w:t>Papildus ir jāatzīmē, ka dabasgāzes komerciālās uzskaites mēraparāti, kas uzstādīti gāzes plītīm, maksimālā jauda ir līdz 3 m</w:t>
            </w:r>
            <w:r w:rsidRPr="00BB1E99">
              <w:rPr>
                <w:rFonts w:ascii="Times New Roman" w:hAnsi="Times New Roman"/>
                <w:sz w:val="24"/>
                <w:szCs w:val="24"/>
                <w:vertAlign w:val="superscript"/>
              </w:rPr>
              <w:t>3</w:t>
            </w:r>
            <w:r w:rsidRPr="00BB1E99">
              <w:rPr>
                <w:rFonts w:ascii="Times New Roman" w:hAnsi="Times New Roman"/>
                <w:sz w:val="24"/>
                <w:szCs w:val="24"/>
              </w:rPr>
              <w:t>/h jeb 2 160 m</w:t>
            </w:r>
            <w:r w:rsidRPr="00BB1E99">
              <w:rPr>
                <w:rFonts w:ascii="Times New Roman" w:hAnsi="Times New Roman"/>
                <w:sz w:val="24"/>
                <w:szCs w:val="24"/>
                <w:vertAlign w:val="superscript"/>
              </w:rPr>
              <w:t>3</w:t>
            </w:r>
            <w:r w:rsidRPr="00BB1E99">
              <w:rPr>
                <w:rFonts w:ascii="Times New Roman" w:hAnsi="Times New Roman"/>
                <w:sz w:val="24"/>
                <w:szCs w:val="24"/>
              </w:rPr>
              <w:t xml:space="preserve"> mēnesī, savukārt, vidējais dabasgāzes patēriņš vienam daudzdzīvokļu dzīvojamās mājas dzīvoklim, kuram uzstādīta tikai gāzes plīts, vidēji ir 5 m</w:t>
            </w:r>
            <w:r w:rsidRPr="00BB1E99">
              <w:rPr>
                <w:rFonts w:ascii="Times New Roman" w:hAnsi="Times New Roman"/>
                <w:sz w:val="24"/>
                <w:szCs w:val="24"/>
                <w:vertAlign w:val="superscript"/>
              </w:rPr>
              <w:t>3</w:t>
            </w:r>
            <w:r w:rsidRPr="00BB1E99">
              <w:rPr>
                <w:rFonts w:ascii="Times New Roman" w:hAnsi="Times New Roman"/>
                <w:sz w:val="24"/>
                <w:szCs w:val="24"/>
              </w:rPr>
              <w:t xml:space="preserve"> mēnesī. Šis liecina par to, ka komerciālās uzskaites mēraparāti tiek izmantoti neskaitāmas reizes mazāk, nekā tas no jaudas viedokļa ir tehniski paredzēts un vidējais patēriņš vienam daudzdzīvokļu dzīvojamās mājas dzīvoklim 20 gados (1 080 m</w:t>
            </w:r>
            <w:r w:rsidRPr="00BB1E99">
              <w:rPr>
                <w:rFonts w:ascii="Times New Roman" w:hAnsi="Times New Roman"/>
                <w:sz w:val="24"/>
                <w:szCs w:val="24"/>
                <w:vertAlign w:val="superscript"/>
              </w:rPr>
              <w:t>3</w:t>
            </w:r>
            <w:r w:rsidRPr="00BB1E99">
              <w:rPr>
                <w:rFonts w:ascii="Times New Roman" w:hAnsi="Times New Roman"/>
                <w:sz w:val="24"/>
                <w:szCs w:val="24"/>
              </w:rPr>
              <w:t xml:space="preserve">) nesasniedz pat komerciālās uzskaites mēraparāta vienā mēnesī tehniski iespējamo jaudas robežu. Dabasgāzes komerciālās uzskaites mēraparātu niecīgi patērētais resurss liecina par tā atbilstošu funkcionalitāti un pietiekamu precizitāti arī pēc divdesmit gadu kalpošanas perioda. </w:t>
            </w:r>
          </w:p>
          <w:p w14:paraId="31F7C24B" w14:textId="4C2951B3" w:rsidR="009950AC" w:rsidRPr="00BB1E99" w:rsidRDefault="00E54CC6"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Līdz ar to</w:t>
            </w:r>
            <w:r w:rsidR="00A9308D">
              <w:rPr>
                <w:rFonts w:ascii="Times New Roman" w:hAnsi="Times New Roman"/>
                <w:sz w:val="24"/>
                <w:szCs w:val="24"/>
              </w:rPr>
              <w:t>,</w:t>
            </w:r>
            <w:r w:rsidRPr="00BB1E99">
              <w:rPr>
                <w:rFonts w:ascii="Times New Roman" w:hAnsi="Times New Roman"/>
                <w:sz w:val="24"/>
                <w:szCs w:val="24"/>
              </w:rPr>
              <w:t xml:space="preserve"> </w:t>
            </w:r>
            <w:r w:rsidR="009950AC" w:rsidRPr="00BB1E99">
              <w:rPr>
                <w:rFonts w:ascii="Times New Roman" w:hAnsi="Times New Roman"/>
                <w:sz w:val="24"/>
                <w:szCs w:val="24"/>
              </w:rPr>
              <w:t xml:space="preserve">lai veicinātu mājsaimniecībā patērētās dabasgāzes uzskaites precizitāti, </w:t>
            </w:r>
            <w:r w:rsidRPr="00BB1E99">
              <w:rPr>
                <w:rFonts w:ascii="Times New Roman" w:hAnsi="Times New Roman"/>
                <w:sz w:val="24"/>
                <w:szCs w:val="24"/>
              </w:rPr>
              <w:t>Projekts</w:t>
            </w:r>
            <w:r w:rsidR="009950AC" w:rsidRPr="00BB1E99">
              <w:rPr>
                <w:rFonts w:ascii="Times New Roman" w:hAnsi="Times New Roman"/>
                <w:sz w:val="24"/>
                <w:szCs w:val="24"/>
              </w:rPr>
              <w:t xml:space="preserve"> paredz iespēju attiecīgajos apstākļos par brīvu pieprasīt </w:t>
            </w:r>
            <w:r w:rsidR="00DA3EEA" w:rsidRPr="00BB1E99">
              <w:rPr>
                <w:rFonts w:ascii="Times New Roman" w:hAnsi="Times New Roman"/>
                <w:sz w:val="24"/>
                <w:szCs w:val="24"/>
              </w:rPr>
              <w:t>s</w:t>
            </w:r>
            <w:r w:rsidR="009950AC" w:rsidRPr="00BB1E99">
              <w:rPr>
                <w:rFonts w:ascii="Times New Roman" w:hAnsi="Times New Roman"/>
                <w:sz w:val="24"/>
                <w:szCs w:val="24"/>
              </w:rPr>
              <w:t xml:space="preserve">kaitītāja darbības precizitātes pārbaudi un nepieciešamības gadījumā tā nomaiņu. Papildus </w:t>
            </w:r>
            <w:r w:rsidRPr="00BB1E99">
              <w:rPr>
                <w:rFonts w:ascii="Times New Roman" w:hAnsi="Times New Roman"/>
                <w:sz w:val="24"/>
                <w:szCs w:val="24"/>
              </w:rPr>
              <w:t>Projekts</w:t>
            </w:r>
            <w:r w:rsidR="009950AC" w:rsidRPr="00BB1E99">
              <w:rPr>
                <w:rFonts w:ascii="Times New Roman" w:hAnsi="Times New Roman"/>
                <w:sz w:val="24"/>
                <w:szCs w:val="24"/>
              </w:rPr>
              <w:t xml:space="preserve"> uzliek par pienākumu sadales sistēmas operatoram pēc pieprasījuma sniegt lietotājam informāciju par patērēto dabasgāzi pēdējo trīs gadu laikā. Tas radīs iespēju dabasgāzes lietotājam kontrolēt dabasgāzes pašpatēriņu un operatīvi reaģēt uz komerciālās uzskaites mēraparāta iespējamo neprecizitāti.</w:t>
            </w:r>
          </w:p>
          <w:p w14:paraId="14F5D97C" w14:textId="65743FF5" w:rsidR="0095374E" w:rsidRPr="00BB1E99" w:rsidRDefault="009537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Ņemot vērā to, ka Projektā iekļautās izmaiņas ir tieši saistīti ar dabasgāzes komerciālās uzskaites mēraparātu verificēšanas jautājumiem</w:t>
            </w:r>
            <w:r w:rsidR="00A9308D">
              <w:rPr>
                <w:rFonts w:ascii="Times New Roman" w:hAnsi="Times New Roman"/>
                <w:sz w:val="24"/>
                <w:szCs w:val="24"/>
              </w:rPr>
              <w:t>,</w:t>
            </w:r>
            <w:r w:rsidRPr="00BB1E99">
              <w:rPr>
                <w:rFonts w:ascii="Times New Roman" w:hAnsi="Times New Roman"/>
                <w:sz w:val="24"/>
                <w:szCs w:val="24"/>
              </w:rPr>
              <w:t xml:space="preserve"> būtu nepieciešams</w:t>
            </w:r>
            <w:r w:rsidR="009015E3" w:rsidRPr="00BB1E99">
              <w:rPr>
                <w:rFonts w:ascii="Times New Roman" w:hAnsi="Times New Roman"/>
                <w:sz w:val="24"/>
                <w:szCs w:val="24"/>
              </w:rPr>
              <w:t xml:space="preserve"> izvērtēt iespēju</w:t>
            </w:r>
            <w:r w:rsidRPr="00BB1E99">
              <w:rPr>
                <w:rFonts w:ascii="Times New Roman" w:hAnsi="Times New Roman"/>
                <w:sz w:val="24"/>
                <w:szCs w:val="24"/>
              </w:rPr>
              <w:t xml:space="preserve"> veikt grozījumus arī Ministru kabineta 2007.</w:t>
            </w:r>
            <w:r w:rsidR="00A9308D">
              <w:rPr>
                <w:rFonts w:ascii="Times New Roman" w:hAnsi="Times New Roman"/>
                <w:sz w:val="24"/>
                <w:szCs w:val="24"/>
              </w:rPr>
              <w:t> </w:t>
            </w:r>
            <w:r w:rsidRPr="00BB1E99">
              <w:rPr>
                <w:rFonts w:ascii="Times New Roman" w:hAnsi="Times New Roman"/>
                <w:sz w:val="24"/>
                <w:szCs w:val="24"/>
              </w:rPr>
              <w:t>gada 9.</w:t>
            </w:r>
            <w:r w:rsidR="00A9308D">
              <w:rPr>
                <w:rFonts w:ascii="Times New Roman" w:hAnsi="Times New Roman"/>
                <w:sz w:val="24"/>
                <w:szCs w:val="24"/>
              </w:rPr>
              <w:t> </w:t>
            </w:r>
            <w:r w:rsidRPr="00BB1E99">
              <w:rPr>
                <w:rFonts w:ascii="Times New Roman" w:hAnsi="Times New Roman"/>
                <w:sz w:val="24"/>
                <w:szCs w:val="24"/>
              </w:rPr>
              <w:t>janvāra noteikumos Nr.</w:t>
            </w:r>
            <w:r w:rsidR="00A9308D">
              <w:rPr>
                <w:rFonts w:ascii="Times New Roman" w:hAnsi="Times New Roman"/>
                <w:sz w:val="24"/>
                <w:szCs w:val="24"/>
              </w:rPr>
              <w:t> </w:t>
            </w:r>
            <w:r w:rsidRPr="00BB1E99">
              <w:rPr>
                <w:rFonts w:ascii="Times New Roman" w:hAnsi="Times New Roman"/>
                <w:sz w:val="24"/>
                <w:szCs w:val="24"/>
              </w:rPr>
              <w:t xml:space="preserve">40 </w:t>
            </w:r>
            <w:r w:rsidR="00A9308D">
              <w:rPr>
                <w:rFonts w:ascii="Times New Roman" w:hAnsi="Times New Roman"/>
                <w:sz w:val="24"/>
                <w:szCs w:val="24"/>
              </w:rPr>
              <w:t>“</w:t>
            </w:r>
            <w:r w:rsidRPr="00A9308D">
              <w:rPr>
                <w:rFonts w:ascii="Times New Roman" w:hAnsi="Times New Roman"/>
                <w:sz w:val="24"/>
                <w:szCs w:val="24"/>
              </w:rPr>
              <w:t>Noteikumi par valsts metroloģiskai kontrolei pakļauto mērīšanas līdzekļu sarakstu</w:t>
            </w:r>
            <w:r w:rsidR="00A9308D">
              <w:rPr>
                <w:rFonts w:ascii="Times New Roman" w:hAnsi="Times New Roman"/>
                <w:sz w:val="24"/>
                <w:szCs w:val="24"/>
              </w:rPr>
              <w:t>”</w:t>
            </w:r>
            <w:r w:rsidRPr="00BB1E99">
              <w:rPr>
                <w:rFonts w:ascii="Times New Roman" w:hAnsi="Times New Roman"/>
                <w:sz w:val="24"/>
                <w:szCs w:val="24"/>
              </w:rPr>
              <w:t>.</w:t>
            </w:r>
            <w:r w:rsidR="006372D7" w:rsidRPr="00BB1E99">
              <w:rPr>
                <w:rFonts w:ascii="Times New Roman" w:hAnsi="Times New Roman"/>
                <w:sz w:val="24"/>
                <w:szCs w:val="24"/>
              </w:rPr>
              <w:t xml:space="preserve"> Ekonomikas </w:t>
            </w:r>
            <w:r w:rsidR="00F407F4" w:rsidRPr="00BB1E99">
              <w:rPr>
                <w:rFonts w:ascii="Times New Roman" w:hAnsi="Times New Roman"/>
                <w:sz w:val="24"/>
                <w:szCs w:val="24"/>
              </w:rPr>
              <w:t>ministrija</w:t>
            </w:r>
            <w:r w:rsidR="006372D7" w:rsidRPr="00BB1E99">
              <w:rPr>
                <w:rFonts w:ascii="Times New Roman" w:hAnsi="Times New Roman"/>
                <w:sz w:val="24"/>
                <w:szCs w:val="24"/>
              </w:rPr>
              <w:t xml:space="preserve"> ir uzsākusi darbu pie šo grozījumu izstrādes, kuru redakcija būs saskaņota ar Projektā iekļauto tekstu.</w:t>
            </w:r>
          </w:p>
          <w:p w14:paraId="0FF34CF4" w14:textId="351D027F" w:rsidR="0095184E" w:rsidRPr="00BB1E99" w:rsidRDefault="0095184E" w:rsidP="00A9308D">
            <w:pPr>
              <w:spacing w:after="0" w:line="240" w:lineRule="auto"/>
              <w:ind w:right="171"/>
              <w:jc w:val="both"/>
              <w:rPr>
                <w:rFonts w:ascii="Times New Roman" w:hAnsi="Times New Roman"/>
                <w:sz w:val="24"/>
                <w:szCs w:val="24"/>
                <w:u w:val="single"/>
              </w:rPr>
            </w:pPr>
            <w:r w:rsidRPr="00BB1E99">
              <w:rPr>
                <w:rFonts w:ascii="Times New Roman" w:hAnsi="Times New Roman"/>
                <w:b/>
                <w:bCs/>
                <w:sz w:val="24"/>
                <w:szCs w:val="24"/>
              </w:rPr>
              <w:t xml:space="preserve">3. </w:t>
            </w:r>
            <w:r w:rsidRPr="00BB1E99">
              <w:rPr>
                <w:rFonts w:ascii="Times New Roman" w:hAnsi="Times New Roman"/>
                <w:sz w:val="24"/>
                <w:szCs w:val="24"/>
              </w:rPr>
              <w:t xml:space="preserve">Projekta 2., </w:t>
            </w:r>
            <w:r w:rsidR="00020E2F" w:rsidRPr="00BB1E99">
              <w:rPr>
                <w:rFonts w:ascii="Times New Roman" w:hAnsi="Times New Roman"/>
                <w:sz w:val="24"/>
                <w:szCs w:val="24"/>
              </w:rPr>
              <w:t>7</w:t>
            </w:r>
            <w:r w:rsidRPr="00BB1E99">
              <w:rPr>
                <w:rFonts w:ascii="Times New Roman" w:hAnsi="Times New Roman"/>
                <w:sz w:val="24"/>
                <w:szCs w:val="24"/>
              </w:rPr>
              <w:t xml:space="preserve">., </w:t>
            </w:r>
            <w:r w:rsidR="00020E2F" w:rsidRPr="00BB1E99">
              <w:rPr>
                <w:rFonts w:ascii="Times New Roman" w:hAnsi="Times New Roman"/>
                <w:sz w:val="24"/>
                <w:szCs w:val="24"/>
              </w:rPr>
              <w:t>8</w:t>
            </w:r>
            <w:r w:rsidRPr="00BB1E99">
              <w:rPr>
                <w:rFonts w:ascii="Times New Roman" w:hAnsi="Times New Roman"/>
                <w:sz w:val="24"/>
                <w:szCs w:val="24"/>
              </w:rPr>
              <w:t xml:space="preserve">., </w:t>
            </w:r>
            <w:r w:rsidR="00020E2F" w:rsidRPr="00BB1E99">
              <w:rPr>
                <w:rFonts w:ascii="Times New Roman" w:hAnsi="Times New Roman"/>
                <w:sz w:val="24"/>
                <w:szCs w:val="24"/>
              </w:rPr>
              <w:t>9</w:t>
            </w:r>
            <w:r w:rsidRPr="00BB1E99">
              <w:rPr>
                <w:rFonts w:ascii="Times New Roman" w:hAnsi="Times New Roman"/>
                <w:sz w:val="24"/>
                <w:szCs w:val="24"/>
              </w:rPr>
              <w:t xml:space="preserve">., </w:t>
            </w:r>
            <w:r w:rsidR="00020E2F" w:rsidRPr="00BB1E99">
              <w:rPr>
                <w:rFonts w:ascii="Times New Roman" w:hAnsi="Times New Roman"/>
                <w:sz w:val="24"/>
                <w:szCs w:val="24"/>
              </w:rPr>
              <w:t>10</w:t>
            </w:r>
            <w:r w:rsidRPr="00BB1E99">
              <w:rPr>
                <w:rFonts w:ascii="Times New Roman" w:hAnsi="Times New Roman"/>
                <w:sz w:val="24"/>
                <w:szCs w:val="24"/>
              </w:rPr>
              <w:t>., 11.</w:t>
            </w:r>
            <w:r w:rsidR="00020E2F" w:rsidRPr="00BB1E99">
              <w:rPr>
                <w:rFonts w:ascii="Times New Roman" w:hAnsi="Times New Roman"/>
                <w:sz w:val="24"/>
                <w:szCs w:val="24"/>
              </w:rPr>
              <w:t xml:space="preserve">, 12., </w:t>
            </w:r>
            <w:r w:rsidRPr="00BB1E99">
              <w:rPr>
                <w:rFonts w:ascii="Times New Roman" w:hAnsi="Times New Roman"/>
                <w:sz w:val="24"/>
                <w:szCs w:val="24"/>
              </w:rPr>
              <w:t>13.</w:t>
            </w:r>
            <w:r w:rsidR="002A5E48" w:rsidRPr="00BB1E99">
              <w:rPr>
                <w:rFonts w:ascii="Times New Roman" w:hAnsi="Times New Roman"/>
                <w:sz w:val="24"/>
                <w:szCs w:val="24"/>
              </w:rPr>
              <w:t>,</w:t>
            </w:r>
            <w:r w:rsidR="00020E2F" w:rsidRPr="00BB1E99">
              <w:rPr>
                <w:rFonts w:ascii="Times New Roman" w:hAnsi="Times New Roman"/>
                <w:sz w:val="24"/>
                <w:szCs w:val="24"/>
              </w:rPr>
              <w:t>14.</w:t>
            </w:r>
            <w:r w:rsidR="002A5E48" w:rsidRPr="00BB1E99">
              <w:rPr>
                <w:rFonts w:ascii="Times New Roman" w:hAnsi="Times New Roman"/>
                <w:sz w:val="24"/>
                <w:szCs w:val="24"/>
              </w:rPr>
              <w:t>, 15. un 16.</w:t>
            </w:r>
            <w:r w:rsidR="00020E2F" w:rsidRPr="00BB1E99">
              <w:rPr>
                <w:rFonts w:ascii="Times New Roman" w:hAnsi="Times New Roman"/>
                <w:sz w:val="24"/>
                <w:szCs w:val="24"/>
              </w:rPr>
              <w:t xml:space="preserve"> </w:t>
            </w:r>
            <w:r w:rsidRPr="00BB1E99">
              <w:rPr>
                <w:rFonts w:ascii="Times New Roman" w:hAnsi="Times New Roman"/>
                <w:sz w:val="24"/>
                <w:szCs w:val="24"/>
              </w:rPr>
              <w:t>punkt</w:t>
            </w:r>
            <w:r w:rsidR="00F407F4" w:rsidRPr="00BB1E99">
              <w:rPr>
                <w:rFonts w:ascii="Times New Roman" w:hAnsi="Times New Roman"/>
                <w:sz w:val="24"/>
                <w:szCs w:val="24"/>
              </w:rPr>
              <w:t>i</w:t>
            </w:r>
            <w:r w:rsidRPr="00BB1E99">
              <w:rPr>
                <w:rFonts w:ascii="Times New Roman" w:hAnsi="Times New Roman"/>
                <w:sz w:val="24"/>
                <w:szCs w:val="24"/>
              </w:rPr>
              <w:t xml:space="preserve"> ir izstrādāts ar mērķi </w:t>
            </w:r>
            <w:r w:rsidR="00F407F4" w:rsidRPr="00BB1E99">
              <w:rPr>
                <w:rFonts w:ascii="Times New Roman" w:hAnsi="Times New Roman"/>
                <w:sz w:val="24"/>
                <w:szCs w:val="24"/>
              </w:rPr>
              <w:t>uzlabot</w:t>
            </w:r>
            <w:r w:rsidRPr="00BB1E99">
              <w:rPr>
                <w:rFonts w:ascii="Times New Roman" w:hAnsi="Times New Roman"/>
                <w:sz w:val="24"/>
                <w:szCs w:val="24"/>
              </w:rPr>
              <w:t xml:space="preserve"> normatīvo regulējumu attiecībā uz </w:t>
            </w:r>
            <w:r w:rsidRPr="00BB1E99">
              <w:rPr>
                <w:rFonts w:ascii="Times New Roman" w:hAnsi="Times New Roman"/>
                <w:b/>
                <w:bCs/>
                <w:sz w:val="24"/>
                <w:szCs w:val="24"/>
              </w:rPr>
              <w:t>pēdējās garantētās piegādes (turpmāk - PGP) pakalpojuma sniegšanu</w:t>
            </w:r>
            <w:r w:rsidRPr="00BB1E99">
              <w:rPr>
                <w:rFonts w:ascii="Times New Roman" w:hAnsi="Times New Roman"/>
                <w:sz w:val="24"/>
                <w:szCs w:val="24"/>
              </w:rPr>
              <w:t xml:space="preserve">. </w:t>
            </w:r>
          </w:p>
          <w:p w14:paraId="03DBEB0F" w14:textId="37C6896C"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lastRenderedPageBreak/>
              <w:t>PGP pakalpojumu sniedz dabasgāzes lietotājiem, kuriem ir zudušas Enerģētikas likuma 106.</w:t>
            </w:r>
            <w:r w:rsidR="00A9308D">
              <w:rPr>
                <w:rFonts w:ascii="Times New Roman" w:hAnsi="Times New Roman"/>
                <w:sz w:val="24"/>
                <w:szCs w:val="24"/>
              </w:rPr>
              <w:t> </w:t>
            </w:r>
            <w:r w:rsidRPr="00BB1E99">
              <w:rPr>
                <w:rFonts w:ascii="Times New Roman" w:hAnsi="Times New Roman"/>
                <w:sz w:val="24"/>
                <w:szCs w:val="24"/>
              </w:rPr>
              <w:t xml:space="preserve">pantā noteiktās civiltiesiskās (līgumiskās) attiecības ar tirgotāju. </w:t>
            </w:r>
          </w:p>
          <w:p w14:paraId="26D55DB1" w14:textId="48707937"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Šobrīd PGP pakalpojums ir reglamentēts Enerģētikas likuma 45.</w:t>
            </w:r>
            <w:r w:rsidR="00A9308D">
              <w:rPr>
                <w:rFonts w:ascii="Times New Roman" w:hAnsi="Times New Roman"/>
                <w:sz w:val="24"/>
                <w:szCs w:val="24"/>
              </w:rPr>
              <w:t> </w:t>
            </w:r>
            <w:r w:rsidRPr="00BB1E99">
              <w:rPr>
                <w:rFonts w:ascii="Times New Roman" w:hAnsi="Times New Roman"/>
                <w:sz w:val="24"/>
                <w:szCs w:val="24"/>
              </w:rPr>
              <w:t>panta 1.</w:t>
            </w:r>
            <w:r w:rsidRPr="00BB1E99">
              <w:rPr>
                <w:rFonts w:ascii="Times New Roman" w:hAnsi="Times New Roman"/>
                <w:sz w:val="24"/>
                <w:szCs w:val="24"/>
                <w:vertAlign w:val="superscript"/>
              </w:rPr>
              <w:t>1</w:t>
            </w:r>
            <w:r w:rsidRPr="00BB1E99">
              <w:rPr>
                <w:rFonts w:ascii="Times New Roman" w:hAnsi="Times New Roman"/>
                <w:sz w:val="24"/>
                <w:szCs w:val="24"/>
              </w:rPr>
              <w:t> daļā, 107. un 109.</w:t>
            </w:r>
            <w:r w:rsidR="00A9308D">
              <w:rPr>
                <w:rFonts w:ascii="Times New Roman" w:hAnsi="Times New Roman"/>
                <w:sz w:val="24"/>
                <w:szCs w:val="24"/>
              </w:rPr>
              <w:t> </w:t>
            </w:r>
            <w:r w:rsidRPr="00BB1E99">
              <w:rPr>
                <w:rFonts w:ascii="Times New Roman" w:hAnsi="Times New Roman"/>
                <w:sz w:val="24"/>
                <w:szCs w:val="24"/>
              </w:rPr>
              <w:t>pantā, kā arī Noteikumu 2.26. apakšpunktā, 24., 42., 44. punktā, 46.4., 49.2.apakšpunktā, Noteikumu VI nodaļā un 180.</w:t>
            </w:r>
            <w:r w:rsidR="00A9308D">
              <w:rPr>
                <w:rFonts w:ascii="Times New Roman" w:hAnsi="Times New Roman"/>
                <w:sz w:val="24"/>
                <w:szCs w:val="24"/>
              </w:rPr>
              <w:t> </w:t>
            </w:r>
            <w:r w:rsidRPr="00BB1E99">
              <w:rPr>
                <w:rFonts w:ascii="Times New Roman" w:hAnsi="Times New Roman"/>
                <w:sz w:val="24"/>
                <w:szCs w:val="24"/>
              </w:rPr>
              <w:t>punktā.</w:t>
            </w:r>
          </w:p>
          <w:p w14:paraId="62780E77" w14:textId="45031907"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Enerģētikas likuma 45.</w:t>
            </w:r>
            <w:r w:rsidR="00A9308D">
              <w:rPr>
                <w:rFonts w:ascii="Times New Roman" w:hAnsi="Times New Roman"/>
                <w:sz w:val="24"/>
                <w:szCs w:val="24"/>
              </w:rPr>
              <w:t> </w:t>
            </w:r>
            <w:r w:rsidRPr="00BB1E99">
              <w:rPr>
                <w:rFonts w:ascii="Times New Roman" w:hAnsi="Times New Roman"/>
                <w:sz w:val="24"/>
                <w:szCs w:val="24"/>
              </w:rPr>
              <w:t>panta 1.</w:t>
            </w:r>
            <w:r w:rsidRPr="00BB1E99">
              <w:rPr>
                <w:rFonts w:ascii="Times New Roman" w:hAnsi="Times New Roman"/>
                <w:sz w:val="24"/>
                <w:szCs w:val="24"/>
                <w:vertAlign w:val="superscript"/>
              </w:rPr>
              <w:t>1</w:t>
            </w:r>
            <w:r w:rsidRPr="00BB1E99">
              <w:rPr>
                <w:rFonts w:ascii="Times New Roman" w:hAnsi="Times New Roman"/>
                <w:sz w:val="24"/>
                <w:szCs w:val="24"/>
              </w:rPr>
              <w:t> daļa noteic, ka dabasgāzes sadales sistēmas operators var piedalīties dabasgāzes tirdzniecībā, ja tas nodrošina pēdējo garantēto piegādi. 109.</w:t>
            </w:r>
            <w:r w:rsidR="00A9308D">
              <w:rPr>
                <w:rFonts w:ascii="Times New Roman" w:hAnsi="Times New Roman"/>
                <w:sz w:val="24"/>
                <w:szCs w:val="24"/>
              </w:rPr>
              <w:t> </w:t>
            </w:r>
            <w:r w:rsidRPr="00BB1E99">
              <w:rPr>
                <w:rFonts w:ascii="Times New Roman" w:hAnsi="Times New Roman"/>
                <w:sz w:val="24"/>
                <w:szCs w:val="24"/>
              </w:rPr>
              <w:t xml:space="preserve">panta otrā, trešā un ceturtā daļa noteic, ka dabasgāzes sadales sistēmas operators var uzticēt tirgotājam pēdējās garantētās piegādes veikšanu, galalietotājiem, kuri nav saistītie lietotāji, par Ministru kabineta noteikumos noteiktā kārtībā noteiktu un publicētu cenu, atklātas, nediskriminējošas un uz tirgus principiem balstītas procedūras rezultātā. </w:t>
            </w:r>
          </w:p>
          <w:p w14:paraId="32CFC9CB" w14:textId="2099DFFB"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Savukārt 107.</w:t>
            </w:r>
            <w:r w:rsidR="00A9308D">
              <w:rPr>
                <w:rFonts w:ascii="Times New Roman" w:hAnsi="Times New Roman"/>
                <w:sz w:val="24"/>
                <w:szCs w:val="24"/>
              </w:rPr>
              <w:t> </w:t>
            </w:r>
            <w:r w:rsidRPr="00BB1E99">
              <w:rPr>
                <w:rFonts w:ascii="Times New Roman" w:hAnsi="Times New Roman"/>
                <w:sz w:val="24"/>
                <w:szCs w:val="24"/>
              </w:rPr>
              <w:t>panta ceturtās daļas 2.</w:t>
            </w:r>
            <w:r w:rsidR="00A9308D">
              <w:rPr>
                <w:rFonts w:ascii="Times New Roman" w:hAnsi="Times New Roman"/>
                <w:sz w:val="24"/>
                <w:szCs w:val="24"/>
              </w:rPr>
              <w:t> </w:t>
            </w:r>
            <w:r w:rsidRPr="00BB1E99">
              <w:rPr>
                <w:rFonts w:ascii="Times New Roman" w:hAnsi="Times New Roman"/>
                <w:sz w:val="24"/>
                <w:szCs w:val="24"/>
              </w:rPr>
              <w:t xml:space="preserve">punkts uzliek pienākumu pēdējā garantētā piegādātāja pienākumus pret saistītajiem lietotājiem pildīt publiskajam tirgotājam. Tā paša panta septītajā daļā ietverts deleģējums Ministru kabinetam noteikt prasības, tirgotāja, publiskā tirgotāja, sistēmas operatora, lietotāja un gazificētā objekta īpašnieka tiesības un pienākumus dabasgāzes piegādē un lietošanā, kā arī kārtību, kādā veicami norēķini par saņemtajiem pakalpojumiem.  </w:t>
            </w:r>
          </w:p>
          <w:p w14:paraId="687D2D10" w14:textId="4A32650B"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Noteikumi šobrīd, cita starpā</w:t>
            </w:r>
            <w:r w:rsidR="00A9308D">
              <w:rPr>
                <w:rFonts w:ascii="Times New Roman" w:hAnsi="Times New Roman"/>
                <w:sz w:val="24"/>
                <w:szCs w:val="24"/>
              </w:rPr>
              <w:t>,</w:t>
            </w:r>
            <w:r w:rsidRPr="00BB1E99">
              <w:rPr>
                <w:rFonts w:ascii="Times New Roman" w:hAnsi="Times New Roman"/>
                <w:sz w:val="24"/>
                <w:szCs w:val="24"/>
              </w:rPr>
              <w:t xml:space="preserve"> noteic PGP pakalpojuma sniegšanas kārtību un kārtību, kādā veicami norēķini par saņemtajiem pakalpojumiem. </w:t>
            </w:r>
          </w:p>
          <w:p w14:paraId="2536A11F" w14:textId="6702F832"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Analizējot pastāvošo PGP pakalpojuma praksi citās Eiropas Savienības dalībvalstīs, konstatējamas, ka PGP pakalpojums ir instruments, lai</w:t>
            </w:r>
            <w:r w:rsidR="00A9308D">
              <w:rPr>
                <w:rFonts w:ascii="Times New Roman" w:hAnsi="Times New Roman"/>
                <w:sz w:val="24"/>
                <w:szCs w:val="24"/>
              </w:rPr>
              <w:t>,</w:t>
            </w:r>
            <w:r w:rsidRPr="00BB1E99">
              <w:rPr>
                <w:rFonts w:ascii="Times New Roman" w:hAnsi="Times New Roman"/>
                <w:sz w:val="24"/>
                <w:szCs w:val="24"/>
              </w:rPr>
              <w:t xml:space="preserve"> nepārtraucot dabasgāzes piegādi, dotu iespēju enerģijas saņēmējam ierobežotā laika posmā sakārtot civiltiesiskās attiecības, noslēdzot līgumu ar kādu no tirgotājiem. Tādejādi, dabasgāzes piegāde noteiktu laika posmu tiek nodrošināta bez līguma, kā PGP pakalpojums. Lietotājam šajā laikā ir jānoslēdz jauns dabasgāzes tirdzniecības līgums ar citu tirgotāju. Eiropas Savienības dalībvalstīs PGP pakalpojuma saņemšanas laiks svārstās no 3 līdz 6 mēnešiem. Savukārt Noteikumos PGP pakalpojuma saņemšanas ilgums nav noteikts, dēļ kā PGP pakalpojuma saņēmēji nevis samazinās, bet gluži pretēji kļūst vairāk. Turklāt lietotājiem nav nekādas motivējošas intereses tērēt laiku un līdzekļus, lai slēgtu līgumu ar kādu no tirgotājiem, jo ar līguma noslēgšanu preces un pakalpojumu cena ir tāda pati kā bez līguma PGP pakalpojumam vai nebūtiski lielāka.</w:t>
            </w:r>
          </w:p>
          <w:p w14:paraId="1A9862BC" w14:textId="77777777" w:rsidR="00F407F4"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 xml:space="preserve">Tas, ka PGP pakalpojumu var saņemt neierobežoti ilgu laiku, neatbilst ne PGP pakalpojuma mērķim, ne Eiropas Savienības tiesību aktos noteiktajām prasībām. Projekts paredz, ka PGP pakalpojums tiks tuvināts tā patiesajam </w:t>
            </w:r>
            <w:r w:rsidRPr="00BB1E99">
              <w:rPr>
                <w:rFonts w:ascii="Times New Roman" w:hAnsi="Times New Roman"/>
                <w:sz w:val="24"/>
                <w:szCs w:val="24"/>
              </w:rPr>
              <w:lastRenderedPageBreak/>
              <w:t>mērķim un būtībai, kā arī veicinās dabasgāzes tirgotāju interesi iesaistīties PGP pakalpojuma sniegšanā un uzlabos lietotāju intereses, gadījumos, kad zudušas tiesiskās attiecības starp tirgotāju un lietotāju.</w:t>
            </w:r>
          </w:p>
          <w:p w14:paraId="311370A4" w14:textId="786AA7BD"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Projekta 2.</w:t>
            </w:r>
            <w:r w:rsidR="00A9308D">
              <w:rPr>
                <w:rFonts w:ascii="Times New Roman" w:hAnsi="Times New Roman"/>
                <w:sz w:val="24"/>
                <w:szCs w:val="24"/>
              </w:rPr>
              <w:t> </w:t>
            </w:r>
            <w:r w:rsidRPr="00BB1E99">
              <w:rPr>
                <w:rFonts w:ascii="Times New Roman" w:hAnsi="Times New Roman"/>
                <w:sz w:val="24"/>
                <w:szCs w:val="24"/>
              </w:rPr>
              <w:t>punkts paredz precizēt Noteikumu 2.26. apakšpunktā noteikto pēdējās garantētās piegādes pakalpojuma definīciju. Definīcija tiek precizēta ar to, ka PGP pakalpojums ir tikai pagaidu dabasgāzes piegāde lietotājam. Projekta 6.</w:t>
            </w:r>
            <w:r w:rsidR="00A9308D">
              <w:rPr>
                <w:rFonts w:ascii="Times New Roman" w:hAnsi="Times New Roman"/>
                <w:sz w:val="24"/>
                <w:szCs w:val="24"/>
              </w:rPr>
              <w:t> </w:t>
            </w:r>
            <w:r w:rsidRPr="00BB1E99">
              <w:rPr>
                <w:rFonts w:ascii="Times New Roman" w:hAnsi="Times New Roman"/>
                <w:sz w:val="24"/>
                <w:szCs w:val="24"/>
              </w:rPr>
              <w:t>punkts paredz precizēt Noteikumu 42.</w:t>
            </w:r>
            <w:r w:rsidR="00A9308D">
              <w:rPr>
                <w:rFonts w:ascii="Times New Roman" w:hAnsi="Times New Roman"/>
                <w:sz w:val="24"/>
                <w:szCs w:val="24"/>
              </w:rPr>
              <w:t> </w:t>
            </w:r>
            <w:r w:rsidRPr="00BB1E99">
              <w:rPr>
                <w:rFonts w:ascii="Times New Roman" w:hAnsi="Times New Roman"/>
                <w:sz w:val="24"/>
                <w:szCs w:val="24"/>
              </w:rPr>
              <w:t xml:space="preserve">punktu, kas saka sešu mēnešu ilgu laika posmu, kurā iespējams sakārtot dabasgāzes piegādē iesaistīto pušu civiltiesiskās attiecības </w:t>
            </w:r>
            <w:r w:rsidR="00A9308D">
              <w:rPr>
                <w:rFonts w:ascii="Times New Roman" w:hAnsi="Times New Roman"/>
                <w:sz w:val="24"/>
                <w:szCs w:val="24"/>
              </w:rPr>
              <w:t>–</w:t>
            </w:r>
            <w:r w:rsidRPr="00BB1E99">
              <w:rPr>
                <w:rFonts w:ascii="Times New Roman" w:hAnsi="Times New Roman"/>
                <w:sz w:val="24"/>
                <w:szCs w:val="24"/>
              </w:rPr>
              <w:t xml:space="preserve"> noslēgt līgumu ar kādu no tirgotājiem. Šajā laika posmā dabasgāzes tirdzniecība notiktu par cenu, kas saistītajiem lietotājiem noteikta Enerģētikas likumā noteiktajā kārtībā. Tas novērstu to, ka šobrīd PGP pakalpojumu var saņemt neierobežoti ilgu laiku. Projekta </w:t>
            </w:r>
            <w:r w:rsidR="00020E2F" w:rsidRPr="00BB1E99">
              <w:rPr>
                <w:rFonts w:ascii="Times New Roman" w:hAnsi="Times New Roman"/>
                <w:sz w:val="24"/>
                <w:szCs w:val="24"/>
              </w:rPr>
              <w:t>8</w:t>
            </w:r>
            <w:r w:rsidRPr="00BB1E99">
              <w:rPr>
                <w:rFonts w:ascii="Times New Roman" w:hAnsi="Times New Roman"/>
                <w:sz w:val="24"/>
                <w:szCs w:val="24"/>
              </w:rPr>
              <w:t>. punkts paredz Noteikumus papildināt ar 42.</w:t>
            </w:r>
            <w:r w:rsidRPr="00BB1E99">
              <w:rPr>
                <w:rFonts w:ascii="Times New Roman" w:hAnsi="Times New Roman"/>
                <w:sz w:val="24"/>
                <w:szCs w:val="24"/>
                <w:vertAlign w:val="superscript"/>
              </w:rPr>
              <w:t>1</w:t>
            </w:r>
            <w:r w:rsidRPr="00BB1E99">
              <w:rPr>
                <w:rFonts w:ascii="Times New Roman" w:hAnsi="Times New Roman"/>
                <w:sz w:val="24"/>
                <w:szCs w:val="24"/>
              </w:rPr>
              <w:t xml:space="preserve"> punktu, kurā noteiktas dabasgāzes piegādē bez līguma iesaistīto pušu tiesiskās attiecības, ja līgums ar kādu no tirgotājiem nav noslēgts sešu mēnešu laikā un šajā laikā nav arī nodrošinātas sadales sistēmas operatora tiesības pārtraukt dabasgāzes piegādi. Piedāvātā redakcija nodrošinātu tādu Enerģētikas likumā noteiktās cenas piemērošanas kārtību, kurā dabasgāze, tiem, kuri būtu izvēlējušies nepildīt Noteikumos noteikto pienākumu noslēgt līgumu, netiktu piegādāta ar tādiem pašiem nosacījumiem, kā tiem, kuri šo pienākumu ir izpildījuši un līgumu ir noslēguši. Šādai piegādei tiktu piemērota divkārša cena, nekā tā ir noteikta saistītajiem lietotājiem Enerģētikas likumā noteiktajā kārtībā. </w:t>
            </w:r>
            <w:r w:rsidR="00442633" w:rsidRPr="00BB1E99">
              <w:rPr>
                <w:rFonts w:ascii="Times New Roman" w:hAnsi="Times New Roman"/>
                <w:sz w:val="24"/>
                <w:szCs w:val="24"/>
              </w:rPr>
              <w:t>Divkāršas cenas piemērošana pamatojās ar to, ka š</w:t>
            </w:r>
            <w:r w:rsidRPr="00BB1E99">
              <w:rPr>
                <w:rFonts w:ascii="Times New Roman" w:hAnsi="Times New Roman"/>
                <w:sz w:val="24"/>
                <w:szCs w:val="24"/>
              </w:rPr>
              <w:t xml:space="preserve">āda cenas piemērošanas kārtība </w:t>
            </w:r>
            <w:r w:rsidR="00442633" w:rsidRPr="00BB1E99">
              <w:rPr>
                <w:rFonts w:ascii="Times New Roman" w:hAnsi="Times New Roman"/>
                <w:sz w:val="24"/>
                <w:szCs w:val="24"/>
              </w:rPr>
              <w:t xml:space="preserve">būtu stimuls, kas </w:t>
            </w:r>
            <w:r w:rsidRPr="00BB1E99">
              <w:rPr>
                <w:rFonts w:ascii="Times New Roman" w:hAnsi="Times New Roman"/>
                <w:sz w:val="24"/>
                <w:szCs w:val="24"/>
              </w:rPr>
              <w:t>veicinātu lietotājus</w:t>
            </w:r>
            <w:r w:rsidR="00442633" w:rsidRPr="00BB1E99">
              <w:rPr>
                <w:rFonts w:ascii="Times New Roman" w:hAnsi="Times New Roman"/>
                <w:sz w:val="24"/>
                <w:szCs w:val="24"/>
              </w:rPr>
              <w:t xml:space="preserve"> </w:t>
            </w:r>
            <w:r w:rsidRPr="00BB1E99">
              <w:rPr>
                <w:rFonts w:ascii="Times New Roman" w:hAnsi="Times New Roman"/>
                <w:sz w:val="24"/>
                <w:szCs w:val="24"/>
              </w:rPr>
              <w:t>slēgt līgumus</w:t>
            </w:r>
            <w:r w:rsidR="00442633" w:rsidRPr="00BB1E99">
              <w:rPr>
                <w:rFonts w:ascii="Times New Roman" w:hAnsi="Times New Roman"/>
                <w:sz w:val="24"/>
                <w:szCs w:val="24"/>
              </w:rPr>
              <w:t xml:space="preserve">, lai nepārmaksātu par saņemto pakalpojumu. Rezultātā </w:t>
            </w:r>
            <w:r w:rsidRPr="00BB1E99">
              <w:rPr>
                <w:rFonts w:ascii="Times New Roman" w:hAnsi="Times New Roman"/>
                <w:sz w:val="24"/>
                <w:szCs w:val="24"/>
              </w:rPr>
              <w:t>nākotnē visiem lietotājiem samazinot sadales sistēmas pakalpojumu tarifus uz izdevumu par Noteikumu 105.7.</w:t>
            </w:r>
            <w:r w:rsidR="00A9308D">
              <w:rPr>
                <w:rFonts w:ascii="Times New Roman" w:hAnsi="Times New Roman"/>
                <w:sz w:val="24"/>
                <w:szCs w:val="24"/>
              </w:rPr>
              <w:t> </w:t>
            </w:r>
            <w:r w:rsidRPr="00BB1E99">
              <w:rPr>
                <w:rFonts w:ascii="Times New Roman" w:hAnsi="Times New Roman"/>
                <w:sz w:val="24"/>
                <w:szCs w:val="24"/>
              </w:rPr>
              <w:t>apakšpunktā norādīto pienākumu izpildes rēķina, kā arī veicinātu dabasgāzes tirgotāju interesi iesaistīties PGP pakalpojuma sniegšanā. Atzīmējams, ka šāds regulējums attiecībā pret lietotāju ir saudzējošāks, nekā šobrīd esošais, jo neparedz uzreiz piemērot Noteikumu 180.</w:t>
            </w:r>
            <w:r w:rsidR="00A9308D">
              <w:rPr>
                <w:rFonts w:ascii="Times New Roman" w:hAnsi="Times New Roman"/>
                <w:sz w:val="24"/>
                <w:szCs w:val="24"/>
              </w:rPr>
              <w:t> </w:t>
            </w:r>
            <w:r w:rsidRPr="00BB1E99">
              <w:rPr>
                <w:rFonts w:ascii="Times New Roman" w:hAnsi="Times New Roman"/>
                <w:sz w:val="24"/>
                <w:szCs w:val="24"/>
              </w:rPr>
              <w:t>punktā noteikto 1,2 koeficienta piecenojamu, bet sekas paredz tikai pēc sešiem mēnešiem. Turklāt lietotājs jebkurā mirklī var pārtraukt nelabvēlīgās sekas, noslēdzot dabasgāzes tirdzniecības līgumu ar kādu no tirgotājiem.</w:t>
            </w:r>
          </w:p>
          <w:p w14:paraId="51D515C6" w14:textId="5F57D685"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Vienlaikus tiktu arī novērsta pretruna starp Noteikumu 42. punktu, 66.1.</w:t>
            </w:r>
            <w:r w:rsidR="00A9308D">
              <w:rPr>
                <w:rFonts w:ascii="Times New Roman" w:hAnsi="Times New Roman"/>
                <w:sz w:val="24"/>
                <w:szCs w:val="24"/>
              </w:rPr>
              <w:t> </w:t>
            </w:r>
            <w:r w:rsidRPr="00BB1E99">
              <w:rPr>
                <w:rFonts w:ascii="Times New Roman" w:hAnsi="Times New Roman"/>
                <w:sz w:val="24"/>
                <w:szCs w:val="24"/>
              </w:rPr>
              <w:t>apakšpunktu un 180.</w:t>
            </w:r>
            <w:r w:rsidR="00A9308D">
              <w:rPr>
                <w:rFonts w:ascii="Times New Roman" w:hAnsi="Times New Roman"/>
                <w:sz w:val="24"/>
                <w:szCs w:val="24"/>
              </w:rPr>
              <w:t> </w:t>
            </w:r>
            <w:r w:rsidRPr="00BB1E99">
              <w:rPr>
                <w:rFonts w:ascii="Times New Roman" w:hAnsi="Times New Roman"/>
                <w:sz w:val="24"/>
                <w:szCs w:val="24"/>
              </w:rPr>
              <w:t>punktu.</w:t>
            </w:r>
            <w:r w:rsidR="00A9308D">
              <w:rPr>
                <w:rFonts w:ascii="Times New Roman" w:hAnsi="Times New Roman"/>
                <w:sz w:val="24"/>
                <w:szCs w:val="24"/>
              </w:rPr>
              <w:t xml:space="preserve"> </w:t>
            </w:r>
            <w:r w:rsidRPr="00BB1E99">
              <w:rPr>
                <w:rFonts w:ascii="Times New Roman" w:hAnsi="Times New Roman"/>
                <w:sz w:val="24"/>
                <w:szCs w:val="24"/>
              </w:rPr>
              <w:t>Šobrīd Noteikumu 42. punkts, 66.1.</w:t>
            </w:r>
            <w:r w:rsidR="00A9308D">
              <w:rPr>
                <w:rFonts w:ascii="Times New Roman" w:hAnsi="Times New Roman"/>
                <w:sz w:val="24"/>
                <w:szCs w:val="24"/>
              </w:rPr>
              <w:t> </w:t>
            </w:r>
            <w:r w:rsidRPr="00BB1E99">
              <w:rPr>
                <w:rFonts w:ascii="Times New Roman" w:hAnsi="Times New Roman"/>
                <w:sz w:val="24"/>
                <w:szCs w:val="24"/>
              </w:rPr>
              <w:t>apakšpunkts un 180.</w:t>
            </w:r>
            <w:r w:rsidR="00A9308D">
              <w:rPr>
                <w:rFonts w:ascii="Times New Roman" w:hAnsi="Times New Roman"/>
                <w:sz w:val="24"/>
                <w:szCs w:val="24"/>
              </w:rPr>
              <w:t> </w:t>
            </w:r>
            <w:r w:rsidRPr="00BB1E99">
              <w:rPr>
                <w:rFonts w:ascii="Times New Roman" w:hAnsi="Times New Roman"/>
                <w:sz w:val="24"/>
                <w:szCs w:val="24"/>
              </w:rPr>
              <w:t>punkts viens otram pretēji noteic, ka identiskos PGP pakalpojuma apstākļos ir piemērojamas savstarpēji izslēdzošas cenas. Vienas normas (42.</w:t>
            </w:r>
            <w:r w:rsidR="00A9308D">
              <w:rPr>
                <w:rFonts w:ascii="Times New Roman" w:hAnsi="Times New Roman"/>
                <w:sz w:val="24"/>
                <w:szCs w:val="24"/>
              </w:rPr>
              <w:t> </w:t>
            </w:r>
            <w:r w:rsidRPr="00BB1E99">
              <w:rPr>
                <w:rFonts w:ascii="Times New Roman" w:hAnsi="Times New Roman"/>
                <w:sz w:val="24"/>
                <w:szCs w:val="24"/>
              </w:rPr>
              <w:t>punkts, 66.1.</w:t>
            </w:r>
            <w:r w:rsidR="00A9308D">
              <w:rPr>
                <w:rFonts w:ascii="Times New Roman" w:hAnsi="Times New Roman"/>
                <w:sz w:val="24"/>
                <w:szCs w:val="24"/>
              </w:rPr>
              <w:t> </w:t>
            </w:r>
            <w:r w:rsidRPr="00BB1E99">
              <w:rPr>
                <w:rFonts w:ascii="Times New Roman" w:hAnsi="Times New Roman"/>
                <w:sz w:val="24"/>
                <w:szCs w:val="24"/>
              </w:rPr>
              <w:t xml:space="preserve">apakšpunkts) noteic piemērot cenu, kas saistītajiem lietotājiem noteikta </w:t>
            </w:r>
            <w:r w:rsidRPr="00BB1E99">
              <w:rPr>
                <w:rFonts w:ascii="Times New Roman" w:hAnsi="Times New Roman"/>
                <w:sz w:val="24"/>
                <w:szCs w:val="24"/>
              </w:rPr>
              <w:lastRenderedPageBreak/>
              <w:t>Enerģētikas likumā noteiktajā kārtībā, bet otra (180.</w:t>
            </w:r>
            <w:r w:rsidR="00A9308D">
              <w:rPr>
                <w:rFonts w:ascii="Times New Roman" w:hAnsi="Times New Roman"/>
                <w:sz w:val="24"/>
                <w:szCs w:val="24"/>
              </w:rPr>
              <w:t> </w:t>
            </w:r>
            <w:r w:rsidRPr="00BB1E99">
              <w:rPr>
                <w:rFonts w:ascii="Times New Roman" w:hAnsi="Times New Roman"/>
                <w:sz w:val="24"/>
                <w:szCs w:val="24"/>
              </w:rPr>
              <w:t>punkts) Enerģētikas likumā noteiktajā kārtībā noteikto vidējo dabasgāzes cenu saistītajiem lietotājiem, reizinot to ar koeficientu 1,2. Vienlaikus, lai novērstu minētās pretrunas, Projekta 1</w:t>
            </w:r>
            <w:r w:rsidR="00020E2F" w:rsidRPr="00BB1E99">
              <w:rPr>
                <w:rFonts w:ascii="Times New Roman" w:hAnsi="Times New Roman"/>
                <w:sz w:val="24"/>
                <w:szCs w:val="24"/>
              </w:rPr>
              <w:t>2</w:t>
            </w:r>
            <w:r w:rsidRPr="00BB1E99">
              <w:rPr>
                <w:rFonts w:ascii="Times New Roman" w:hAnsi="Times New Roman"/>
                <w:sz w:val="24"/>
                <w:szCs w:val="24"/>
              </w:rPr>
              <w:t>.</w:t>
            </w:r>
            <w:r w:rsidR="00A9308D">
              <w:rPr>
                <w:rFonts w:ascii="Times New Roman" w:hAnsi="Times New Roman"/>
                <w:sz w:val="24"/>
                <w:szCs w:val="24"/>
              </w:rPr>
              <w:t> </w:t>
            </w:r>
            <w:r w:rsidRPr="00BB1E99">
              <w:rPr>
                <w:rFonts w:ascii="Times New Roman" w:hAnsi="Times New Roman"/>
                <w:sz w:val="24"/>
                <w:szCs w:val="24"/>
              </w:rPr>
              <w:t xml:space="preserve">punktā ir paredzēts precizēt Noteikumu 66.1. apakšpunktu. </w:t>
            </w:r>
          </w:p>
          <w:p w14:paraId="76B130BB" w14:textId="56902F28"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 xml:space="preserve">Projekta </w:t>
            </w:r>
            <w:r w:rsidR="00020E2F" w:rsidRPr="00BB1E99">
              <w:rPr>
                <w:rFonts w:ascii="Times New Roman" w:hAnsi="Times New Roman"/>
                <w:sz w:val="24"/>
                <w:szCs w:val="24"/>
              </w:rPr>
              <w:t>9</w:t>
            </w:r>
            <w:r w:rsidRPr="00BB1E99">
              <w:rPr>
                <w:rFonts w:ascii="Times New Roman" w:hAnsi="Times New Roman"/>
                <w:sz w:val="24"/>
                <w:szCs w:val="24"/>
              </w:rPr>
              <w:t>.</w:t>
            </w:r>
            <w:r w:rsidR="00A9308D">
              <w:rPr>
                <w:rFonts w:ascii="Times New Roman" w:hAnsi="Times New Roman"/>
                <w:sz w:val="24"/>
                <w:szCs w:val="24"/>
              </w:rPr>
              <w:t> </w:t>
            </w:r>
            <w:r w:rsidRPr="00BB1E99">
              <w:rPr>
                <w:rFonts w:ascii="Times New Roman" w:hAnsi="Times New Roman"/>
                <w:sz w:val="24"/>
                <w:szCs w:val="24"/>
              </w:rPr>
              <w:t xml:space="preserve">punkts paredz precizēt Noteikumu 46.4. apakšpunktu, kas garantētu, ka blakus Noteikumos noteiktajam pienākumam </w:t>
            </w:r>
            <w:r w:rsidR="00A9308D">
              <w:rPr>
                <w:rFonts w:ascii="Times New Roman" w:hAnsi="Times New Roman"/>
                <w:sz w:val="24"/>
                <w:szCs w:val="24"/>
              </w:rPr>
              <w:t>–</w:t>
            </w:r>
            <w:r w:rsidRPr="00BB1E99">
              <w:rPr>
                <w:rFonts w:ascii="Times New Roman" w:hAnsi="Times New Roman"/>
                <w:sz w:val="24"/>
                <w:szCs w:val="24"/>
              </w:rPr>
              <w:t xml:space="preserve"> sešu mēnešu laikā noslēgt dabasgāzes tirdzniecības līgumu </w:t>
            </w:r>
            <w:r w:rsidR="00A9308D">
              <w:rPr>
                <w:rFonts w:ascii="Times New Roman" w:hAnsi="Times New Roman"/>
                <w:sz w:val="24"/>
                <w:szCs w:val="24"/>
              </w:rPr>
              <w:t>–</w:t>
            </w:r>
            <w:r w:rsidRPr="00BB1E99">
              <w:rPr>
                <w:rFonts w:ascii="Times New Roman" w:hAnsi="Times New Roman"/>
                <w:sz w:val="24"/>
                <w:szCs w:val="24"/>
              </w:rPr>
              <w:t xml:space="preserve"> katram mājsaimniecības lietotājam tiktu papildus izsūtīts paziņojums par to, ka lietotājs kļuvis par PGP pakalpojuma saņēmēju un radies pienākums sešu mēnešu laikā noslēgt dabasgāzes tirdzniecības līgumu. Ņemot vērā, ka šobrīd esošā 46.4.</w:t>
            </w:r>
            <w:r w:rsidR="00A9308D">
              <w:rPr>
                <w:rFonts w:ascii="Times New Roman" w:hAnsi="Times New Roman"/>
                <w:sz w:val="24"/>
                <w:szCs w:val="24"/>
              </w:rPr>
              <w:t> </w:t>
            </w:r>
            <w:r w:rsidRPr="00BB1E99">
              <w:rPr>
                <w:rFonts w:ascii="Times New Roman" w:hAnsi="Times New Roman"/>
                <w:sz w:val="24"/>
                <w:szCs w:val="24"/>
              </w:rPr>
              <w:t xml:space="preserve">apakšpunkta redakcija noteic informēt lietotāju par dabasgāzes tirdzniecību pēdējās garantētās piegādes pakalpojuma ietvaros, nav šķēršļu šajā informatīvajā paziņojumā ietvert arī paziņojumu, par pienākumu </w:t>
            </w:r>
            <w:r w:rsidRPr="00A9308D">
              <w:rPr>
                <w:rFonts w:ascii="Times New Roman" w:hAnsi="Times New Roman"/>
                <w:iCs/>
                <w:sz w:val="24"/>
                <w:szCs w:val="24"/>
                <w:u w:val="single"/>
              </w:rPr>
              <w:t>sešu mēnešu laikā noslēgt dabasgāzes tirdzniecības līgumu.</w:t>
            </w:r>
            <w:r w:rsidRPr="00BB1E99">
              <w:rPr>
                <w:rFonts w:ascii="Times New Roman" w:hAnsi="Times New Roman"/>
                <w:sz w:val="24"/>
                <w:szCs w:val="24"/>
              </w:rPr>
              <w:t xml:space="preserve"> Šāds noteikums papildus administratīvo slogu dabasgāzes piegādē iesaistītajām pusēm neradītu. Savukārt paziņojuma izsūtīšanas datums kalpotu par sešu mēnešu atskaites punktu un risinājums garantētu to, ka lietotājs apzinās savus pienākumus un sekas par pienākumu nepildīšanu, jo par pienākumu noslēgt līgumu būtu individuāli informēts.</w:t>
            </w:r>
          </w:p>
          <w:p w14:paraId="0D0F8F6A" w14:textId="2ABA372F" w:rsidR="002A5E48" w:rsidRPr="00BB1E99" w:rsidRDefault="002A5E48"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 xml:space="preserve">Projekta 11. un 12. punkti ietver prasības par informācijas apmaiņu starp </w:t>
            </w:r>
            <w:r w:rsidR="006B553B" w:rsidRPr="00BB1E99">
              <w:rPr>
                <w:rFonts w:ascii="Times New Roman" w:hAnsi="Times New Roman"/>
                <w:sz w:val="24"/>
                <w:szCs w:val="24"/>
              </w:rPr>
              <w:t>s</w:t>
            </w:r>
            <w:r w:rsidRPr="00BB1E99">
              <w:rPr>
                <w:rFonts w:ascii="Times New Roman" w:hAnsi="Times New Roman"/>
                <w:sz w:val="24"/>
                <w:szCs w:val="24"/>
              </w:rPr>
              <w:t xml:space="preserve">adales sistēmas operatoru un </w:t>
            </w:r>
            <w:r w:rsidR="00A9308D">
              <w:rPr>
                <w:rFonts w:ascii="Times New Roman" w:hAnsi="Times New Roman"/>
                <w:sz w:val="24"/>
                <w:szCs w:val="24"/>
              </w:rPr>
              <w:t>PGP</w:t>
            </w:r>
            <w:r w:rsidRPr="00BB1E99">
              <w:rPr>
                <w:rFonts w:ascii="Times New Roman" w:hAnsi="Times New Roman"/>
                <w:sz w:val="24"/>
                <w:szCs w:val="24"/>
              </w:rPr>
              <w:t xml:space="preserve"> sniedzēju un pakalpojuma saņēmēju</w:t>
            </w:r>
          </w:p>
          <w:p w14:paraId="06A7740B" w14:textId="74D2A886"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 xml:space="preserve">Projekta </w:t>
            </w:r>
            <w:r w:rsidR="00020E2F" w:rsidRPr="00BB1E99">
              <w:rPr>
                <w:rFonts w:ascii="Times New Roman" w:hAnsi="Times New Roman"/>
                <w:sz w:val="24"/>
                <w:szCs w:val="24"/>
              </w:rPr>
              <w:t>10</w:t>
            </w:r>
            <w:r w:rsidRPr="00BB1E99">
              <w:rPr>
                <w:rFonts w:ascii="Times New Roman" w:hAnsi="Times New Roman"/>
                <w:sz w:val="24"/>
                <w:szCs w:val="24"/>
              </w:rPr>
              <w:t>. un 1</w:t>
            </w:r>
            <w:r w:rsidR="002A5E48" w:rsidRPr="00BB1E99">
              <w:rPr>
                <w:rFonts w:ascii="Times New Roman" w:hAnsi="Times New Roman"/>
                <w:sz w:val="24"/>
                <w:szCs w:val="24"/>
              </w:rPr>
              <w:t>3</w:t>
            </w:r>
            <w:r w:rsidRPr="00BB1E99">
              <w:rPr>
                <w:rFonts w:ascii="Times New Roman" w:hAnsi="Times New Roman"/>
                <w:sz w:val="24"/>
                <w:szCs w:val="24"/>
              </w:rPr>
              <w:t>. punkts paredz precizēt Noteikumu 49.2.</w:t>
            </w:r>
            <w:r w:rsidR="00A9308D">
              <w:rPr>
                <w:rFonts w:ascii="Times New Roman" w:hAnsi="Times New Roman"/>
                <w:sz w:val="24"/>
                <w:szCs w:val="24"/>
              </w:rPr>
              <w:t> </w:t>
            </w:r>
            <w:r w:rsidRPr="00BB1E99">
              <w:rPr>
                <w:rFonts w:ascii="Times New Roman" w:hAnsi="Times New Roman"/>
                <w:sz w:val="24"/>
                <w:szCs w:val="24"/>
              </w:rPr>
              <w:t>apakšpunktu un 64.</w:t>
            </w:r>
            <w:r w:rsidR="00A9308D">
              <w:rPr>
                <w:rFonts w:ascii="Times New Roman" w:hAnsi="Times New Roman"/>
                <w:sz w:val="24"/>
                <w:szCs w:val="24"/>
              </w:rPr>
              <w:t> </w:t>
            </w:r>
            <w:r w:rsidRPr="00BB1E99">
              <w:rPr>
                <w:rFonts w:ascii="Times New Roman" w:hAnsi="Times New Roman"/>
                <w:sz w:val="24"/>
                <w:szCs w:val="24"/>
              </w:rPr>
              <w:t>punktu, lai tos savstarpēji saskaņotu.  Šobrīd esošo Noteikumu normas noteic, kas ir PGP pakalpojums un kurām personā šis pakalpojums ir sniedzams. Tomēr katra no tām ļauj atšķirīgi interpretēt to, kas ir PGP pakalpojums un kurām personā šis pakalpojums sniedzams. Priekšlikumi ir redakcionāli savstarpēji saskaņoti, pēc kopīgām pazīmēm. Proti pēc tā, ka starp iesaistītajām pusēm ir zudušas civiltiesiskās attiecības no vienas vai no otras darījumā iesaistītās puses. Projekta normas nerada jaunas tiesības, pienākumus vai atbildību, bet ir savstarpēji saskanīgas un pārskatāmākas.</w:t>
            </w:r>
          </w:p>
          <w:p w14:paraId="611B7215" w14:textId="72DE86C8" w:rsidR="0095184E" w:rsidRPr="00BB1E99" w:rsidRDefault="0095184E" w:rsidP="00A9308D">
            <w:pPr>
              <w:spacing w:after="0" w:line="240" w:lineRule="auto"/>
              <w:ind w:right="171"/>
              <w:jc w:val="both"/>
              <w:rPr>
                <w:rFonts w:ascii="Times New Roman" w:hAnsi="Times New Roman"/>
                <w:sz w:val="24"/>
                <w:szCs w:val="24"/>
              </w:rPr>
            </w:pPr>
            <w:r w:rsidRPr="00BB1E99">
              <w:rPr>
                <w:rFonts w:ascii="Times New Roman" w:hAnsi="Times New Roman"/>
                <w:sz w:val="24"/>
                <w:szCs w:val="24"/>
              </w:rPr>
              <w:t>Projekta 1</w:t>
            </w:r>
            <w:r w:rsidR="006B553B" w:rsidRPr="00BB1E99">
              <w:rPr>
                <w:rFonts w:ascii="Times New Roman" w:hAnsi="Times New Roman"/>
                <w:sz w:val="24"/>
                <w:szCs w:val="24"/>
              </w:rPr>
              <w:t>6</w:t>
            </w:r>
            <w:r w:rsidRPr="00BB1E99">
              <w:rPr>
                <w:rFonts w:ascii="Times New Roman" w:hAnsi="Times New Roman"/>
                <w:sz w:val="24"/>
                <w:szCs w:val="24"/>
              </w:rPr>
              <w:t>.</w:t>
            </w:r>
            <w:r w:rsidR="00A9308D">
              <w:rPr>
                <w:rFonts w:ascii="Times New Roman" w:hAnsi="Times New Roman"/>
                <w:sz w:val="24"/>
                <w:szCs w:val="24"/>
              </w:rPr>
              <w:t> </w:t>
            </w:r>
            <w:r w:rsidRPr="00BB1E99">
              <w:rPr>
                <w:rFonts w:ascii="Times New Roman" w:hAnsi="Times New Roman"/>
                <w:sz w:val="24"/>
                <w:szCs w:val="24"/>
              </w:rPr>
              <w:t>punkts paredz papildināt Noteikumu 70.1.</w:t>
            </w:r>
            <w:r w:rsidR="00A9308D">
              <w:rPr>
                <w:rFonts w:ascii="Times New Roman" w:hAnsi="Times New Roman"/>
                <w:sz w:val="24"/>
                <w:szCs w:val="24"/>
              </w:rPr>
              <w:t> </w:t>
            </w:r>
            <w:r w:rsidRPr="00BB1E99">
              <w:rPr>
                <w:rFonts w:ascii="Times New Roman" w:hAnsi="Times New Roman"/>
                <w:sz w:val="24"/>
                <w:szCs w:val="24"/>
              </w:rPr>
              <w:t>apakšpunktu, kurā noteikts PGP pakalpojuma saņēmēja pienākums sešu mēnešu laikā noslēgt dabasgāzes tirdzniecības līgumu ar kādu no dabasgāzes tirgotājiem.</w:t>
            </w:r>
          </w:p>
          <w:p w14:paraId="74F47049" w14:textId="5507FA1E" w:rsidR="0095184E" w:rsidRPr="00BB1E99" w:rsidRDefault="0095184E" w:rsidP="0006579B">
            <w:pPr>
              <w:spacing w:after="0" w:line="240" w:lineRule="auto"/>
              <w:ind w:right="171"/>
              <w:jc w:val="both"/>
              <w:rPr>
                <w:rFonts w:ascii="Times New Roman" w:hAnsi="Times New Roman"/>
                <w:sz w:val="24"/>
                <w:szCs w:val="24"/>
              </w:rPr>
            </w:pPr>
            <w:r w:rsidRPr="00BB1E99">
              <w:rPr>
                <w:rFonts w:ascii="Times New Roman" w:hAnsi="Times New Roman"/>
                <w:sz w:val="24"/>
                <w:szCs w:val="24"/>
              </w:rPr>
              <w:t xml:space="preserve">Projekta </w:t>
            </w:r>
            <w:r w:rsidR="00020E2F" w:rsidRPr="00BB1E99">
              <w:rPr>
                <w:rFonts w:ascii="Times New Roman" w:hAnsi="Times New Roman"/>
                <w:sz w:val="24"/>
                <w:szCs w:val="24"/>
              </w:rPr>
              <w:t>10</w:t>
            </w:r>
            <w:r w:rsidRPr="00BB1E99">
              <w:rPr>
                <w:rFonts w:ascii="Times New Roman" w:hAnsi="Times New Roman"/>
                <w:sz w:val="24"/>
                <w:szCs w:val="24"/>
              </w:rPr>
              <w:t>.</w:t>
            </w:r>
            <w:r w:rsidR="0006579B">
              <w:rPr>
                <w:rFonts w:ascii="Times New Roman" w:hAnsi="Times New Roman"/>
                <w:sz w:val="24"/>
                <w:szCs w:val="24"/>
              </w:rPr>
              <w:t> </w:t>
            </w:r>
            <w:r w:rsidRPr="00BB1E99">
              <w:rPr>
                <w:rFonts w:ascii="Times New Roman" w:hAnsi="Times New Roman"/>
                <w:sz w:val="24"/>
                <w:szCs w:val="24"/>
              </w:rPr>
              <w:t xml:space="preserve">punkts precizē Noteikumu regulējumu vismaz attiecībā uz PGP cenas publicēšanu mājsaimniecību lietotājiem. Lai cenas, kura tiks no lietotājiem iekasēta nākamajā pusgadā, prognozi iespējami pietuvinātu faktiskajām attiecīgā pusgada cenām (cena, kas tiek publicēta, tiek balstīta uz prognozi), un, ievērojot, ka dabasgāzes tirgū arvien biežāk notiek straujas dabasgāzes </w:t>
            </w:r>
            <w:r w:rsidRPr="00BB1E99">
              <w:rPr>
                <w:rFonts w:ascii="Times New Roman" w:hAnsi="Times New Roman"/>
                <w:sz w:val="24"/>
                <w:szCs w:val="24"/>
              </w:rPr>
              <w:lastRenderedPageBreak/>
              <w:t>globālo cenu svārstības, gan patērētājam, gan tirgotājam ir būtiski, lai nākamā pusgada cenas aprēķins (un publicēšana) notiktu iespējami tuvu attiecīgajam norēķinu periodam. Proti, Noteikumu 69.1.</w:t>
            </w:r>
            <w:r w:rsidR="0006579B">
              <w:rPr>
                <w:rFonts w:ascii="Times New Roman" w:hAnsi="Times New Roman"/>
                <w:sz w:val="24"/>
                <w:szCs w:val="24"/>
              </w:rPr>
              <w:t> apakš</w:t>
            </w:r>
            <w:r w:rsidRPr="00BB1E99">
              <w:rPr>
                <w:rFonts w:ascii="Times New Roman" w:hAnsi="Times New Roman"/>
                <w:sz w:val="24"/>
                <w:szCs w:val="24"/>
              </w:rPr>
              <w:t xml:space="preserve">punktā minētais viena mēneša termiņš PGP cenas paziņošanai (faktiski liekot tad aprēķināt arī cenu saistītajiem lietotājiem) liedz tirgotājam ņemt vērā pusgada priekšpēdējā mēneša (novembra un maija) faktiskās (reālās) cenas indeksu. Tādas situācija nepastāvētu, ja abu cenu (PGP cenas un saistīto lietotāju cenas) publicēšanas termiņš tiktu saskaņots, izvēloties to, kurš ir tuvāk norēķinu mēnesim (vismaz 10. datums vai vēlāk). Ievērojot šo apsvērumu, lai uzlabotu PGP regulējumu kopumā, Projekts paredz  noteikt attiecīgu termiņu </w:t>
            </w:r>
            <w:r w:rsidR="0006579B">
              <w:rPr>
                <w:rFonts w:ascii="Times New Roman" w:hAnsi="Times New Roman"/>
                <w:sz w:val="24"/>
                <w:szCs w:val="24"/>
              </w:rPr>
              <w:t>–</w:t>
            </w:r>
            <w:r w:rsidRPr="00BB1E99">
              <w:rPr>
                <w:rFonts w:ascii="Times New Roman" w:hAnsi="Times New Roman"/>
                <w:sz w:val="24"/>
                <w:szCs w:val="24"/>
              </w:rPr>
              <w:t xml:space="preserve"> 21 diena pirms attiecīgā norēķinu perioda sākuma. Šāds termiņš atbilst Eiropas Parlamenta un Padomes Direktīvā 2009/73/EK par kopīgiem noteikumiem attiecībā uz dabasgāzes iekšējo tirgu un par Direktīvas 2003/55/EK atcelšanu minētajam, kas paredz dabasgāzes lietotāja aizsardzībai, ja tas vēlas pārtraukt pakalpojuma saņemšanu (piemēram, tādēļ, ka piegādātāja aprēķinātā cena tam šķiet pārāk augsta) trīs nedēļu termiņu.</w:t>
            </w:r>
          </w:p>
          <w:p w14:paraId="4AAD69EB" w14:textId="77777777" w:rsidR="00300197" w:rsidRPr="00BB1E99" w:rsidRDefault="00300197" w:rsidP="00FD220F">
            <w:pPr>
              <w:spacing w:after="0" w:line="240" w:lineRule="auto"/>
              <w:ind w:right="171" w:firstLine="170"/>
              <w:jc w:val="both"/>
              <w:rPr>
                <w:rFonts w:ascii="Times New Roman" w:hAnsi="Times New Roman"/>
                <w:sz w:val="24"/>
                <w:szCs w:val="24"/>
              </w:rPr>
            </w:pPr>
          </w:p>
          <w:p w14:paraId="6CF39C81" w14:textId="2DE261AD" w:rsidR="00BA58B5" w:rsidRPr="00BB1E99" w:rsidRDefault="00FE45D3" w:rsidP="0006579B">
            <w:pPr>
              <w:spacing w:after="0" w:line="240" w:lineRule="auto"/>
              <w:ind w:right="171"/>
              <w:jc w:val="both"/>
              <w:rPr>
                <w:rFonts w:ascii="Times New Roman" w:hAnsi="Times New Roman"/>
                <w:sz w:val="24"/>
                <w:szCs w:val="24"/>
              </w:rPr>
            </w:pPr>
            <w:r w:rsidRPr="00BB1E99">
              <w:rPr>
                <w:rFonts w:ascii="Times New Roman" w:hAnsi="Times New Roman"/>
                <w:b/>
                <w:bCs/>
                <w:sz w:val="24"/>
                <w:szCs w:val="24"/>
              </w:rPr>
              <w:t>3</w:t>
            </w:r>
            <w:r w:rsidR="00981460" w:rsidRPr="00BB1E99">
              <w:rPr>
                <w:rFonts w:ascii="Times New Roman" w:hAnsi="Times New Roman"/>
                <w:b/>
                <w:bCs/>
                <w:sz w:val="24"/>
                <w:szCs w:val="24"/>
              </w:rPr>
              <w:t>.</w:t>
            </w:r>
            <w:r w:rsidR="00981460" w:rsidRPr="00BB1E99">
              <w:rPr>
                <w:rFonts w:ascii="Times New Roman" w:hAnsi="Times New Roman"/>
                <w:sz w:val="24"/>
                <w:szCs w:val="24"/>
              </w:rPr>
              <w:t xml:space="preserve"> </w:t>
            </w:r>
            <w:r w:rsidR="00BA58B5" w:rsidRPr="00BB1E99">
              <w:rPr>
                <w:rFonts w:ascii="Times New Roman" w:hAnsi="Times New Roman"/>
                <w:sz w:val="24"/>
                <w:szCs w:val="24"/>
              </w:rPr>
              <w:t xml:space="preserve">Projekts arī paredz </w:t>
            </w:r>
            <w:r w:rsidR="00BA58B5" w:rsidRPr="00BB1E99">
              <w:rPr>
                <w:rFonts w:ascii="Times New Roman" w:hAnsi="Times New Roman"/>
                <w:b/>
                <w:bCs/>
                <w:sz w:val="24"/>
                <w:szCs w:val="24"/>
                <w:u w:val="single"/>
              </w:rPr>
              <w:t>izmaiņas attiecībā uz patērētās dabasgāzes daudzuma aprēķināšanu mājsaimniecības lietotājiem</w:t>
            </w:r>
            <w:r w:rsidR="00F407F4" w:rsidRPr="00BB1E99">
              <w:rPr>
                <w:rFonts w:ascii="Times New Roman" w:hAnsi="Times New Roman"/>
                <w:b/>
                <w:bCs/>
                <w:sz w:val="24"/>
                <w:szCs w:val="24"/>
                <w:u w:val="single"/>
              </w:rPr>
              <w:t xml:space="preserve"> (Projekta 1</w:t>
            </w:r>
            <w:r w:rsidR="00A16948" w:rsidRPr="00BB1E99">
              <w:rPr>
                <w:rFonts w:ascii="Times New Roman" w:hAnsi="Times New Roman"/>
                <w:b/>
                <w:bCs/>
                <w:sz w:val="24"/>
                <w:szCs w:val="24"/>
                <w:u w:val="single"/>
              </w:rPr>
              <w:t>8</w:t>
            </w:r>
            <w:r w:rsidR="006B553B" w:rsidRPr="00BB1E99">
              <w:rPr>
                <w:rFonts w:ascii="Times New Roman" w:hAnsi="Times New Roman"/>
                <w:b/>
                <w:bCs/>
                <w:sz w:val="24"/>
                <w:szCs w:val="24"/>
                <w:u w:val="single"/>
              </w:rPr>
              <w:t>.-</w:t>
            </w:r>
            <w:r w:rsidR="00020E2F" w:rsidRPr="00BB1E99">
              <w:rPr>
                <w:rFonts w:ascii="Times New Roman" w:hAnsi="Times New Roman"/>
                <w:b/>
                <w:bCs/>
                <w:sz w:val="24"/>
                <w:szCs w:val="24"/>
                <w:u w:val="single"/>
              </w:rPr>
              <w:t>2</w:t>
            </w:r>
            <w:r w:rsidR="00A16948" w:rsidRPr="00BB1E99">
              <w:rPr>
                <w:rFonts w:ascii="Times New Roman" w:hAnsi="Times New Roman"/>
                <w:b/>
                <w:bCs/>
                <w:sz w:val="24"/>
                <w:szCs w:val="24"/>
                <w:u w:val="single"/>
              </w:rPr>
              <w:t>3</w:t>
            </w:r>
            <w:r w:rsidR="00020E2F" w:rsidRPr="00BB1E99">
              <w:rPr>
                <w:rFonts w:ascii="Times New Roman" w:hAnsi="Times New Roman"/>
                <w:b/>
                <w:bCs/>
                <w:sz w:val="24"/>
                <w:szCs w:val="24"/>
                <w:u w:val="single"/>
              </w:rPr>
              <w:t xml:space="preserve">. </w:t>
            </w:r>
            <w:r w:rsidR="00F407F4" w:rsidRPr="00BB1E99">
              <w:rPr>
                <w:rFonts w:ascii="Times New Roman" w:hAnsi="Times New Roman"/>
                <w:b/>
                <w:bCs/>
                <w:sz w:val="24"/>
                <w:szCs w:val="24"/>
                <w:u w:val="single"/>
              </w:rPr>
              <w:t xml:space="preserve">un </w:t>
            </w:r>
            <w:r w:rsidR="006B553B" w:rsidRPr="00BB1E99">
              <w:rPr>
                <w:rFonts w:ascii="Times New Roman" w:hAnsi="Times New Roman"/>
                <w:b/>
                <w:bCs/>
                <w:sz w:val="24"/>
                <w:szCs w:val="24"/>
                <w:u w:val="single"/>
              </w:rPr>
              <w:t>3</w:t>
            </w:r>
            <w:r w:rsidR="00A16948" w:rsidRPr="00BB1E99">
              <w:rPr>
                <w:rFonts w:ascii="Times New Roman" w:hAnsi="Times New Roman"/>
                <w:b/>
                <w:bCs/>
                <w:sz w:val="24"/>
                <w:szCs w:val="24"/>
                <w:u w:val="single"/>
              </w:rPr>
              <w:t>1</w:t>
            </w:r>
            <w:r w:rsidR="00F407F4" w:rsidRPr="00BB1E99">
              <w:rPr>
                <w:rFonts w:ascii="Times New Roman" w:hAnsi="Times New Roman"/>
                <w:b/>
                <w:bCs/>
                <w:sz w:val="24"/>
                <w:szCs w:val="24"/>
                <w:u w:val="single"/>
              </w:rPr>
              <w:t xml:space="preserve">. punkti), </w:t>
            </w:r>
            <w:r w:rsidR="00F407F4" w:rsidRPr="00BB1E99">
              <w:rPr>
                <w:rFonts w:ascii="Times New Roman" w:hAnsi="Times New Roman"/>
                <w:b/>
                <w:bCs/>
                <w:color w:val="000000"/>
                <w:sz w:val="24"/>
                <w:szCs w:val="24"/>
                <w:u w:val="single"/>
              </w:rPr>
              <w:t>lai tiktu nodrošināts Satversmei atbilstošs tiesiskais regulējums.</w:t>
            </w:r>
          </w:p>
          <w:p w14:paraId="3161E264" w14:textId="70CF5EE5" w:rsidR="00BA58B5" w:rsidRPr="00BB1E99" w:rsidRDefault="00BA58B5" w:rsidP="0006579B">
            <w:pPr>
              <w:spacing w:after="0" w:line="240" w:lineRule="auto"/>
              <w:ind w:right="171"/>
              <w:jc w:val="both"/>
              <w:rPr>
                <w:rFonts w:ascii="Times New Roman" w:hAnsi="Times New Roman"/>
                <w:color w:val="000000"/>
                <w:sz w:val="24"/>
                <w:szCs w:val="24"/>
              </w:rPr>
            </w:pPr>
            <w:r w:rsidRPr="00BB1E99">
              <w:rPr>
                <w:rFonts w:ascii="Times New Roman" w:hAnsi="Times New Roman"/>
                <w:sz w:val="24"/>
                <w:szCs w:val="24"/>
              </w:rPr>
              <w:t>Projekts izstrādāts arī ņemot vērā Satversmes tiesas 2020.</w:t>
            </w:r>
            <w:r w:rsidR="0006579B">
              <w:rPr>
                <w:rFonts w:ascii="Times New Roman" w:hAnsi="Times New Roman"/>
                <w:sz w:val="24"/>
                <w:szCs w:val="24"/>
              </w:rPr>
              <w:t> </w:t>
            </w:r>
            <w:r w:rsidRPr="00BB1E99">
              <w:rPr>
                <w:rFonts w:ascii="Times New Roman" w:hAnsi="Times New Roman"/>
                <w:sz w:val="24"/>
                <w:szCs w:val="24"/>
              </w:rPr>
              <w:t>gada 20.</w:t>
            </w:r>
            <w:r w:rsidR="0006579B">
              <w:rPr>
                <w:rFonts w:ascii="Times New Roman" w:hAnsi="Times New Roman"/>
                <w:sz w:val="24"/>
                <w:szCs w:val="24"/>
              </w:rPr>
              <w:t> </w:t>
            </w:r>
            <w:r w:rsidRPr="00BB1E99">
              <w:rPr>
                <w:rFonts w:ascii="Times New Roman" w:hAnsi="Times New Roman"/>
                <w:sz w:val="24"/>
                <w:szCs w:val="24"/>
              </w:rPr>
              <w:t>marta spriedumu lietā Nr.</w:t>
            </w:r>
            <w:r w:rsidR="0006579B">
              <w:rPr>
                <w:rFonts w:ascii="Times New Roman" w:hAnsi="Times New Roman"/>
                <w:sz w:val="24"/>
                <w:szCs w:val="24"/>
              </w:rPr>
              <w:t> </w:t>
            </w:r>
            <w:r w:rsidRPr="00BB1E99">
              <w:rPr>
                <w:rFonts w:ascii="Times New Roman" w:hAnsi="Times New Roman"/>
                <w:sz w:val="24"/>
                <w:szCs w:val="24"/>
              </w:rPr>
              <w:t>2019-10-0103 “Par Enerģētikas likuma 42.</w:t>
            </w:r>
            <w:r w:rsidRPr="00BB1E99">
              <w:rPr>
                <w:rFonts w:ascii="Times New Roman" w:hAnsi="Times New Roman"/>
                <w:sz w:val="24"/>
                <w:szCs w:val="24"/>
                <w:vertAlign w:val="superscript"/>
              </w:rPr>
              <w:t>3</w:t>
            </w:r>
            <w:r w:rsidRPr="00BB1E99">
              <w:rPr>
                <w:rFonts w:ascii="Times New Roman" w:hAnsi="Times New Roman"/>
                <w:sz w:val="24"/>
                <w:szCs w:val="24"/>
              </w:rPr>
              <w:t xml:space="preserve"> panta pirmās daļas (redakcijā, kas bija spēkā līdz 2016.</w:t>
            </w:r>
            <w:r w:rsidR="0006579B">
              <w:rPr>
                <w:rFonts w:ascii="Times New Roman" w:hAnsi="Times New Roman"/>
                <w:sz w:val="24"/>
                <w:szCs w:val="24"/>
              </w:rPr>
              <w:t> </w:t>
            </w:r>
            <w:r w:rsidRPr="00BB1E99">
              <w:rPr>
                <w:rFonts w:ascii="Times New Roman" w:hAnsi="Times New Roman"/>
                <w:sz w:val="24"/>
                <w:szCs w:val="24"/>
              </w:rPr>
              <w:t>gada 7.</w:t>
            </w:r>
            <w:r w:rsidR="0006579B">
              <w:rPr>
                <w:rFonts w:ascii="Times New Roman" w:hAnsi="Times New Roman"/>
                <w:sz w:val="24"/>
                <w:szCs w:val="24"/>
              </w:rPr>
              <w:t> </w:t>
            </w:r>
            <w:r w:rsidRPr="00BB1E99">
              <w:rPr>
                <w:rFonts w:ascii="Times New Roman" w:hAnsi="Times New Roman"/>
                <w:sz w:val="24"/>
                <w:szCs w:val="24"/>
              </w:rPr>
              <w:t>martam) atbilstību Latvijas Republikas Satversmes 64. un 105.</w:t>
            </w:r>
            <w:r w:rsidR="0006579B">
              <w:rPr>
                <w:rFonts w:ascii="Times New Roman" w:hAnsi="Times New Roman"/>
                <w:sz w:val="24"/>
                <w:szCs w:val="24"/>
              </w:rPr>
              <w:t> </w:t>
            </w:r>
            <w:r w:rsidRPr="00BB1E99">
              <w:rPr>
                <w:rFonts w:ascii="Times New Roman" w:hAnsi="Times New Roman"/>
                <w:sz w:val="24"/>
                <w:szCs w:val="24"/>
              </w:rPr>
              <w:t>pantam un Ministru kabineta 2008.</w:t>
            </w:r>
            <w:r w:rsidR="0006579B">
              <w:rPr>
                <w:rFonts w:ascii="Times New Roman" w:hAnsi="Times New Roman"/>
                <w:sz w:val="24"/>
                <w:szCs w:val="24"/>
              </w:rPr>
              <w:t> </w:t>
            </w:r>
            <w:r w:rsidRPr="00BB1E99">
              <w:rPr>
                <w:rFonts w:ascii="Times New Roman" w:hAnsi="Times New Roman"/>
                <w:sz w:val="24"/>
                <w:szCs w:val="24"/>
              </w:rPr>
              <w:t>gada 16.</w:t>
            </w:r>
            <w:r w:rsidR="0006579B">
              <w:rPr>
                <w:rFonts w:ascii="Times New Roman" w:hAnsi="Times New Roman"/>
                <w:sz w:val="24"/>
                <w:szCs w:val="24"/>
              </w:rPr>
              <w:t> </w:t>
            </w:r>
            <w:r w:rsidRPr="00BB1E99">
              <w:rPr>
                <w:rFonts w:ascii="Times New Roman" w:hAnsi="Times New Roman"/>
                <w:sz w:val="24"/>
                <w:szCs w:val="24"/>
              </w:rPr>
              <w:t>decembra noteikumu Nr.</w:t>
            </w:r>
            <w:r w:rsidR="0006579B">
              <w:rPr>
                <w:rFonts w:ascii="Times New Roman" w:hAnsi="Times New Roman"/>
                <w:sz w:val="24"/>
                <w:szCs w:val="24"/>
              </w:rPr>
              <w:t> </w:t>
            </w:r>
            <w:r w:rsidRPr="00BB1E99">
              <w:rPr>
                <w:rFonts w:ascii="Times New Roman" w:hAnsi="Times New Roman"/>
                <w:sz w:val="24"/>
                <w:szCs w:val="24"/>
              </w:rPr>
              <w:t>1048 “Dabasgāzes piegādes un lietošanas noteikumi” 56., 58. un 87.</w:t>
            </w:r>
            <w:r w:rsidR="0006579B">
              <w:rPr>
                <w:rFonts w:ascii="Times New Roman" w:hAnsi="Times New Roman"/>
                <w:sz w:val="24"/>
                <w:szCs w:val="24"/>
              </w:rPr>
              <w:t> </w:t>
            </w:r>
            <w:r w:rsidRPr="00BB1E99">
              <w:rPr>
                <w:rFonts w:ascii="Times New Roman" w:hAnsi="Times New Roman"/>
                <w:sz w:val="24"/>
                <w:szCs w:val="24"/>
              </w:rPr>
              <w:t>punkta atbilstību Latvijas Republikas Satversmes 64. un 105.</w:t>
            </w:r>
            <w:r w:rsidR="0006579B">
              <w:rPr>
                <w:rFonts w:ascii="Times New Roman" w:hAnsi="Times New Roman"/>
                <w:sz w:val="24"/>
                <w:szCs w:val="24"/>
              </w:rPr>
              <w:t> </w:t>
            </w:r>
            <w:r w:rsidRPr="00BB1E99">
              <w:rPr>
                <w:rFonts w:ascii="Times New Roman" w:hAnsi="Times New Roman"/>
                <w:sz w:val="24"/>
                <w:szCs w:val="24"/>
              </w:rPr>
              <w:t>pantam un Enerģētikas likuma 42.</w:t>
            </w:r>
            <w:r w:rsidRPr="00BB1E99">
              <w:rPr>
                <w:rFonts w:ascii="Times New Roman" w:hAnsi="Times New Roman"/>
                <w:sz w:val="24"/>
                <w:szCs w:val="24"/>
                <w:vertAlign w:val="superscript"/>
              </w:rPr>
              <w:t>3</w:t>
            </w:r>
            <w:r w:rsidR="0006579B">
              <w:rPr>
                <w:rFonts w:ascii="Times New Roman" w:hAnsi="Times New Roman"/>
                <w:sz w:val="24"/>
                <w:szCs w:val="24"/>
                <w:vertAlign w:val="superscript"/>
              </w:rPr>
              <w:t> </w:t>
            </w:r>
            <w:r w:rsidRPr="00BB1E99">
              <w:rPr>
                <w:rFonts w:ascii="Times New Roman" w:hAnsi="Times New Roman"/>
                <w:sz w:val="24"/>
                <w:szCs w:val="24"/>
              </w:rPr>
              <w:t>panta pirmajai daļai (redakcijā, kas bija spēkā līdz 2016.</w:t>
            </w:r>
            <w:r w:rsidR="0006579B">
              <w:rPr>
                <w:rFonts w:ascii="Times New Roman" w:hAnsi="Times New Roman"/>
                <w:sz w:val="24"/>
                <w:szCs w:val="24"/>
              </w:rPr>
              <w:t> </w:t>
            </w:r>
            <w:r w:rsidRPr="00BB1E99">
              <w:rPr>
                <w:rFonts w:ascii="Times New Roman" w:hAnsi="Times New Roman"/>
                <w:sz w:val="24"/>
                <w:szCs w:val="24"/>
              </w:rPr>
              <w:t>gada 7.</w:t>
            </w:r>
            <w:r w:rsidR="0006579B">
              <w:rPr>
                <w:rFonts w:ascii="Times New Roman" w:hAnsi="Times New Roman"/>
                <w:sz w:val="24"/>
                <w:szCs w:val="24"/>
              </w:rPr>
              <w:t> </w:t>
            </w:r>
            <w:r w:rsidRPr="00BB1E99">
              <w:rPr>
                <w:rFonts w:ascii="Times New Roman" w:hAnsi="Times New Roman"/>
                <w:sz w:val="24"/>
                <w:szCs w:val="24"/>
              </w:rPr>
              <w:t xml:space="preserve">martam)” (turpmāk – </w:t>
            </w:r>
            <w:r w:rsidR="00F73613" w:rsidRPr="00BB1E99">
              <w:rPr>
                <w:rFonts w:ascii="Times New Roman" w:hAnsi="Times New Roman"/>
                <w:sz w:val="24"/>
                <w:szCs w:val="24"/>
              </w:rPr>
              <w:t>20.</w:t>
            </w:r>
            <w:r w:rsidR="0006579B">
              <w:rPr>
                <w:rFonts w:ascii="Times New Roman" w:hAnsi="Times New Roman"/>
                <w:sz w:val="24"/>
                <w:szCs w:val="24"/>
              </w:rPr>
              <w:t> </w:t>
            </w:r>
            <w:r w:rsidR="00F73613" w:rsidRPr="00BB1E99">
              <w:rPr>
                <w:rFonts w:ascii="Times New Roman" w:hAnsi="Times New Roman"/>
                <w:sz w:val="24"/>
                <w:szCs w:val="24"/>
              </w:rPr>
              <w:t xml:space="preserve">marta </w:t>
            </w:r>
            <w:r w:rsidRPr="00BB1E99">
              <w:rPr>
                <w:rFonts w:ascii="Times New Roman" w:hAnsi="Times New Roman"/>
                <w:sz w:val="24"/>
                <w:szCs w:val="24"/>
              </w:rPr>
              <w:t xml:space="preserve">Spriedums). </w:t>
            </w:r>
            <w:r w:rsidR="00F73613" w:rsidRPr="00BB1E99">
              <w:rPr>
                <w:rFonts w:ascii="Times New Roman" w:hAnsi="Times New Roman"/>
                <w:sz w:val="24"/>
                <w:szCs w:val="24"/>
              </w:rPr>
              <w:t>20.</w:t>
            </w:r>
            <w:r w:rsidR="0006579B">
              <w:rPr>
                <w:rFonts w:ascii="Times New Roman" w:hAnsi="Times New Roman"/>
                <w:sz w:val="24"/>
                <w:szCs w:val="24"/>
              </w:rPr>
              <w:t> </w:t>
            </w:r>
            <w:r w:rsidR="00F73613" w:rsidRPr="00BB1E99">
              <w:rPr>
                <w:rFonts w:ascii="Times New Roman" w:hAnsi="Times New Roman"/>
                <w:sz w:val="24"/>
                <w:szCs w:val="24"/>
              </w:rPr>
              <w:t xml:space="preserve">marta </w:t>
            </w:r>
            <w:r w:rsidRPr="00BB1E99">
              <w:rPr>
                <w:rFonts w:ascii="Times New Roman" w:hAnsi="Times New Roman"/>
                <w:sz w:val="24"/>
                <w:szCs w:val="24"/>
              </w:rPr>
              <w:t>Spriedumā</w:t>
            </w:r>
            <w:r w:rsidR="002329AE" w:rsidRPr="00BB1E99">
              <w:rPr>
                <w:rFonts w:ascii="Times New Roman" w:hAnsi="Times New Roman"/>
                <w:sz w:val="24"/>
                <w:szCs w:val="24"/>
              </w:rPr>
              <w:t xml:space="preserve"> </w:t>
            </w:r>
            <w:r w:rsidRPr="00BB1E99">
              <w:rPr>
                <w:rFonts w:ascii="Times New Roman" w:hAnsi="Times New Roman"/>
                <w:sz w:val="24"/>
                <w:szCs w:val="24"/>
              </w:rPr>
              <w:t xml:space="preserve">minētās normas nav mainītas, līdz ar to, ņemot vērā </w:t>
            </w:r>
            <w:r w:rsidR="00F73613" w:rsidRPr="00BB1E99">
              <w:rPr>
                <w:rFonts w:ascii="Times New Roman" w:hAnsi="Times New Roman"/>
                <w:sz w:val="24"/>
                <w:szCs w:val="24"/>
              </w:rPr>
              <w:t>20.</w:t>
            </w:r>
            <w:r w:rsidR="0006579B">
              <w:rPr>
                <w:rFonts w:ascii="Times New Roman" w:hAnsi="Times New Roman"/>
                <w:sz w:val="24"/>
                <w:szCs w:val="24"/>
              </w:rPr>
              <w:t> </w:t>
            </w:r>
            <w:r w:rsidR="00F73613" w:rsidRPr="00BB1E99">
              <w:rPr>
                <w:rFonts w:ascii="Times New Roman" w:hAnsi="Times New Roman"/>
                <w:sz w:val="24"/>
                <w:szCs w:val="24"/>
              </w:rPr>
              <w:t xml:space="preserve">marta </w:t>
            </w:r>
            <w:r w:rsidRPr="00BB1E99">
              <w:rPr>
                <w:rFonts w:ascii="Times New Roman" w:hAnsi="Times New Roman"/>
                <w:color w:val="000000"/>
                <w:sz w:val="24"/>
                <w:szCs w:val="24"/>
              </w:rPr>
              <w:t xml:space="preserve">Spriedumā </w:t>
            </w:r>
            <w:r w:rsidR="002329AE" w:rsidRPr="00BB1E99">
              <w:rPr>
                <w:rFonts w:ascii="Times New Roman" w:hAnsi="Times New Roman"/>
                <w:sz w:val="24"/>
                <w:szCs w:val="24"/>
              </w:rPr>
              <w:t>lietā Nr.</w:t>
            </w:r>
            <w:r w:rsidR="0006579B">
              <w:rPr>
                <w:rFonts w:ascii="Times New Roman" w:hAnsi="Times New Roman"/>
                <w:sz w:val="24"/>
                <w:szCs w:val="24"/>
              </w:rPr>
              <w:t> </w:t>
            </w:r>
            <w:r w:rsidR="002329AE" w:rsidRPr="00BB1E99">
              <w:rPr>
                <w:rFonts w:ascii="Times New Roman" w:hAnsi="Times New Roman"/>
                <w:sz w:val="24"/>
                <w:szCs w:val="24"/>
              </w:rPr>
              <w:t xml:space="preserve">2019-10-0103 </w:t>
            </w:r>
            <w:r w:rsidRPr="00BB1E99">
              <w:rPr>
                <w:rFonts w:ascii="Times New Roman" w:hAnsi="Times New Roman"/>
                <w:color w:val="000000"/>
                <w:sz w:val="24"/>
                <w:szCs w:val="24"/>
              </w:rPr>
              <w:t xml:space="preserve">konstatēto un nostiprināto tiesas atziņu par </w:t>
            </w:r>
            <w:proofErr w:type="spellStart"/>
            <w:r w:rsidRPr="00BB1E99">
              <w:rPr>
                <w:rFonts w:ascii="Times New Roman" w:hAnsi="Times New Roman"/>
                <w:color w:val="000000"/>
                <w:sz w:val="24"/>
                <w:szCs w:val="24"/>
              </w:rPr>
              <w:t>pārdeleģējuma</w:t>
            </w:r>
            <w:proofErr w:type="spellEnd"/>
            <w:r w:rsidRPr="00BB1E99">
              <w:rPr>
                <w:rFonts w:ascii="Times New Roman" w:hAnsi="Times New Roman"/>
                <w:color w:val="000000"/>
                <w:sz w:val="24"/>
                <w:szCs w:val="24"/>
              </w:rPr>
              <w:t xml:space="preserve"> nepieļaujamību, </w:t>
            </w:r>
            <w:r w:rsidR="001136EC" w:rsidRPr="00BB1E99">
              <w:rPr>
                <w:rFonts w:ascii="Times New Roman" w:hAnsi="Times New Roman"/>
                <w:color w:val="000000"/>
                <w:sz w:val="24"/>
                <w:szCs w:val="24"/>
              </w:rPr>
              <w:t>Ekonomikas m</w:t>
            </w:r>
            <w:r w:rsidRPr="00BB1E99">
              <w:rPr>
                <w:rFonts w:ascii="Times New Roman" w:hAnsi="Times New Roman"/>
                <w:color w:val="000000"/>
                <w:sz w:val="24"/>
                <w:szCs w:val="24"/>
              </w:rPr>
              <w:t>inistrija secina, ka šobrīd spēkā esošajos Noteikumos ietvertā atsauce uz diferencētajām patēriņa normām, kuras nosaka dabasgāzes sadales sistēmas operators, būtu jāmaina, lai tiktu nodrošināts Satversmei atbilstošs tiesiskais regulējums.</w:t>
            </w:r>
          </w:p>
          <w:p w14:paraId="7AD388C3" w14:textId="5E786483" w:rsidR="00BA58B5" w:rsidRPr="00BB1E99" w:rsidRDefault="00BA58B5" w:rsidP="0006579B">
            <w:pPr>
              <w:spacing w:after="0" w:line="240" w:lineRule="auto"/>
              <w:ind w:right="171"/>
              <w:jc w:val="both"/>
              <w:rPr>
                <w:rFonts w:ascii="Times New Roman" w:hAnsi="Times New Roman"/>
                <w:color w:val="000000"/>
                <w:sz w:val="24"/>
                <w:szCs w:val="24"/>
              </w:rPr>
            </w:pPr>
            <w:r w:rsidRPr="00BB1E99">
              <w:rPr>
                <w:rFonts w:ascii="Times New Roman" w:hAnsi="Times New Roman"/>
                <w:color w:val="000000"/>
                <w:sz w:val="24"/>
                <w:szCs w:val="24"/>
              </w:rPr>
              <w:t xml:space="preserve">Projekta </w:t>
            </w:r>
            <w:r w:rsidR="00981460" w:rsidRPr="00BB1E99">
              <w:rPr>
                <w:rFonts w:ascii="Times New Roman" w:hAnsi="Times New Roman"/>
                <w:color w:val="000000"/>
                <w:sz w:val="24"/>
                <w:szCs w:val="24"/>
              </w:rPr>
              <w:t>1</w:t>
            </w:r>
            <w:r w:rsidR="00A16948" w:rsidRPr="00BB1E99">
              <w:rPr>
                <w:rFonts w:ascii="Times New Roman" w:hAnsi="Times New Roman"/>
                <w:color w:val="000000"/>
                <w:sz w:val="24"/>
                <w:szCs w:val="24"/>
              </w:rPr>
              <w:t>8</w:t>
            </w:r>
            <w:r w:rsidRPr="00BB1E99">
              <w:rPr>
                <w:rFonts w:ascii="Times New Roman" w:hAnsi="Times New Roman"/>
                <w:color w:val="000000"/>
                <w:sz w:val="24"/>
                <w:szCs w:val="24"/>
              </w:rPr>
              <w:t>.</w:t>
            </w:r>
            <w:r w:rsidR="0006579B">
              <w:rPr>
                <w:rFonts w:ascii="Times New Roman" w:hAnsi="Times New Roman"/>
                <w:color w:val="000000"/>
                <w:sz w:val="24"/>
                <w:szCs w:val="24"/>
              </w:rPr>
              <w:t> </w:t>
            </w:r>
            <w:r w:rsidRPr="00BB1E99">
              <w:rPr>
                <w:rFonts w:ascii="Times New Roman" w:hAnsi="Times New Roman"/>
                <w:color w:val="000000"/>
                <w:sz w:val="24"/>
                <w:szCs w:val="24"/>
              </w:rPr>
              <w:t>punkta mērķis ir novērst diferencēto patēriņa normu noteikšanas pārdeleģēšanu sadales sistēmas operatoram.</w:t>
            </w:r>
          </w:p>
          <w:p w14:paraId="04A076DA" w14:textId="04C2AC63" w:rsidR="00F73613" w:rsidRPr="00BB1E99" w:rsidRDefault="0006579B" w:rsidP="0006579B">
            <w:pPr>
              <w:spacing w:after="0" w:line="240" w:lineRule="auto"/>
              <w:ind w:right="171"/>
              <w:jc w:val="both"/>
              <w:rPr>
                <w:rFonts w:ascii="Times New Roman" w:hAnsi="Times New Roman"/>
                <w:color w:val="000000"/>
                <w:sz w:val="24"/>
                <w:szCs w:val="24"/>
              </w:rPr>
            </w:pPr>
            <w:r>
              <w:rPr>
                <w:rFonts w:ascii="Times New Roman" w:hAnsi="Times New Roman"/>
                <w:sz w:val="24"/>
                <w:szCs w:val="24"/>
              </w:rPr>
              <w:t xml:space="preserve">Tāpat arī </w:t>
            </w:r>
            <w:r w:rsidR="00FA09D1" w:rsidRPr="00BB1E99">
              <w:rPr>
                <w:rFonts w:ascii="Times New Roman" w:hAnsi="Times New Roman"/>
                <w:sz w:val="24"/>
                <w:szCs w:val="24"/>
              </w:rPr>
              <w:t>Projekts izstrādāts</w:t>
            </w:r>
            <w:r>
              <w:rPr>
                <w:rFonts w:ascii="Times New Roman" w:hAnsi="Times New Roman"/>
                <w:sz w:val="24"/>
                <w:szCs w:val="24"/>
              </w:rPr>
              <w:t xml:space="preserve">, </w:t>
            </w:r>
            <w:r w:rsidR="00FA09D1" w:rsidRPr="00BB1E99">
              <w:rPr>
                <w:rFonts w:ascii="Times New Roman" w:hAnsi="Times New Roman"/>
                <w:sz w:val="24"/>
                <w:szCs w:val="24"/>
              </w:rPr>
              <w:t>ņemot vērā Satversmes tiesas 2020.</w:t>
            </w:r>
            <w:r>
              <w:rPr>
                <w:rFonts w:ascii="Times New Roman" w:hAnsi="Times New Roman"/>
                <w:sz w:val="24"/>
                <w:szCs w:val="24"/>
              </w:rPr>
              <w:t> </w:t>
            </w:r>
            <w:r w:rsidR="00FA09D1" w:rsidRPr="00BB1E99">
              <w:rPr>
                <w:rFonts w:ascii="Times New Roman" w:hAnsi="Times New Roman"/>
                <w:sz w:val="24"/>
                <w:szCs w:val="24"/>
              </w:rPr>
              <w:t>gada 28.</w:t>
            </w:r>
            <w:r>
              <w:rPr>
                <w:rFonts w:ascii="Times New Roman" w:hAnsi="Times New Roman"/>
                <w:sz w:val="24"/>
                <w:szCs w:val="24"/>
              </w:rPr>
              <w:t> </w:t>
            </w:r>
            <w:r w:rsidR="00FA09D1" w:rsidRPr="00BB1E99">
              <w:rPr>
                <w:rFonts w:ascii="Times New Roman" w:hAnsi="Times New Roman"/>
                <w:sz w:val="24"/>
                <w:szCs w:val="24"/>
              </w:rPr>
              <w:t>septembra spriedumu lietā Nr.</w:t>
            </w:r>
            <w:r>
              <w:rPr>
                <w:rFonts w:ascii="Times New Roman" w:hAnsi="Times New Roman"/>
                <w:sz w:val="24"/>
                <w:szCs w:val="24"/>
              </w:rPr>
              <w:t> </w:t>
            </w:r>
            <w:r w:rsidR="00F73613" w:rsidRPr="00BB1E99">
              <w:rPr>
                <w:rFonts w:ascii="Times New Roman" w:hAnsi="Times New Roman"/>
                <w:sz w:val="24"/>
                <w:szCs w:val="24"/>
              </w:rPr>
              <w:t>2019-37-0103</w:t>
            </w:r>
            <w:r w:rsidR="00FA09D1" w:rsidRPr="00BB1E99">
              <w:rPr>
                <w:rFonts w:ascii="Times New Roman" w:hAnsi="Times New Roman"/>
                <w:sz w:val="24"/>
                <w:szCs w:val="24"/>
              </w:rPr>
              <w:t xml:space="preserve"> “Par Enerģētikas likuma 42.</w:t>
            </w:r>
            <w:r w:rsidR="00FA09D1" w:rsidRPr="00BB1E99">
              <w:rPr>
                <w:rFonts w:ascii="Times New Roman" w:hAnsi="Times New Roman"/>
                <w:sz w:val="24"/>
                <w:szCs w:val="24"/>
                <w:vertAlign w:val="superscript"/>
              </w:rPr>
              <w:t>3</w:t>
            </w:r>
            <w:r w:rsidR="00FA09D1" w:rsidRPr="00BB1E99">
              <w:rPr>
                <w:rFonts w:ascii="Times New Roman" w:hAnsi="Times New Roman"/>
                <w:sz w:val="24"/>
                <w:szCs w:val="24"/>
              </w:rPr>
              <w:t xml:space="preserve"> panta pirmās daļas </w:t>
            </w:r>
            <w:r w:rsidR="00FA09D1" w:rsidRPr="00BB1E99">
              <w:rPr>
                <w:rFonts w:ascii="Times New Roman" w:hAnsi="Times New Roman"/>
                <w:sz w:val="24"/>
                <w:szCs w:val="24"/>
              </w:rPr>
              <w:lastRenderedPageBreak/>
              <w:t>(redakcijā, kas bija spēkā līdz 2016.</w:t>
            </w:r>
            <w:r>
              <w:rPr>
                <w:rFonts w:ascii="Times New Roman" w:hAnsi="Times New Roman"/>
                <w:sz w:val="24"/>
                <w:szCs w:val="24"/>
              </w:rPr>
              <w:t> </w:t>
            </w:r>
            <w:r w:rsidR="00FA09D1" w:rsidRPr="00BB1E99">
              <w:rPr>
                <w:rFonts w:ascii="Times New Roman" w:hAnsi="Times New Roman"/>
                <w:sz w:val="24"/>
                <w:szCs w:val="24"/>
              </w:rPr>
              <w:t>gada 7.</w:t>
            </w:r>
            <w:r>
              <w:rPr>
                <w:rFonts w:ascii="Times New Roman" w:hAnsi="Times New Roman"/>
                <w:sz w:val="24"/>
                <w:szCs w:val="24"/>
              </w:rPr>
              <w:t> </w:t>
            </w:r>
            <w:r w:rsidR="00FA09D1" w:rsidRPr="00BB1E99">
              <w:rPr>
                <w:rFonts w:ascii="Times New Roman" w:hAnsi="Times New Roman"/>
                <w:sz w:val="24"/>
                <w:szCs w:val="24"/>
              </w:rPr>
              <w:t>martam) atbilstību Latvijas Republikas Satversmes 64. un 105.</w:t>
            </w:r>
            <w:r>
              <w:rPr>
                <w:rFonts w:ascii="Times New Roman" w:hAnsi="Times New Roman"/>
                <w:sz w:val="24"/>
                <w:szCs w:val="24"/>
              </w:rPr>
              <w:t> </w:t>
            </w:r>
            <w:r w:rsidR="00FA09D1" w:rsidRPr="00BB1E99">
              <w:rPr>
                <w:rFonts w:ascii="Times New Roman" w:hAnsi="Times New Roman"/>
                <w:sz w:val="24"/>
                <w:szCs w:val="24"/>
              </w:rPr>
              <w:t>pantam un Ministru kabineta 2008.</w:t>
            </w:r>
            <w:r>
              <w:rPr>
                <w:rFonts w:ascii="Times New Roman" w:hAnsi="Times New Roman"/>
                <w:sz w:val="24"/>
                <w:szCs w:val="24"/>
              </w:rPr>
              <w:t> </w:t>
            </w:r>
            <w:r w:rsidR="00FA09D1" w:rsidRPr="00BB1E99">
              <w:rPr>
                <w:rFonts w:ascii="Times New Roman" w:hAnsi="Times New Roman"/>
                <w:sz w:val="24"/>
                <w:szCs w:val="24"/>
              </w:rPr>
              <w:t>gada 16.</w:t>
            </w:r>
            <w:r>
              <w:rPr>
                <w:rFonts w:ascii="Times New Roman" w:hAnsi="Times New Roman"/>
                <w:sz w:val="24"/>
                <w:szCs w:val="24"/>
              </w:rPr>
              <w:t> </w:t>
            </w:r>
            <w:r w:rsidR="00FA09D1" w:rsidRPr="00BB1E99">
              <w:rPr>
                <w:rFonts w:ascii="Times New Roman" w:hAnsi="Times New Roman"/>
                <w:sz w:val="24"/>
                <w:szCs w:val="24"/>
              </w:rPr>
              <w:t>decembra noteikumu Nr.</w:t>
            </w:r>
            <w:r>
              <w:rPr>
                <w:rFonts w:ascii="Times New Roman" w:hAnsi="Times New Roman"/>
                <w:sz w:val="24"/>
                <w:szCs w:val="24"/>
              </w:rPr>
              <w:t> </w:t>
            </w:r>
            <w:r w:rsidR="00FA09D1" w:rsidRPr="00BB1E99">
              <w:rPr>
                <w:rFonts w:ascii="Times New Roman" w:hAnsi="Times New Roman"/>
                <w:sz w:val="24"/>
                <w:szCs w:val="24"/>
              </w:rPr>
              <w:t>1048 “Dabasgāzes piegādes un lietošanas noteikumi” 56., 58. un 87.</w:t>
            </w:r>
            <w:r>
              <w:rPr>
                <w:rFonts w:ascii="Times New Roman" w:hAnsi="Times New Roman"/>
                <w:sz w:val="24"/>
                <w:szCs w:val="24"/>
              </w:rPr>
              <w:t> </w:t>
            </w:r>
            <w:r w:rsidR="00FA09D1" w:rsidRPr="00BB1E99">
              <w:rPr>
                <w:rFonts w:ascii="Times New Roman" w:hAnsi="Times New Roman"/>
                <w:sz w:val="24"/>
                <w:szCs w:val="24"/>
              </w:rPr>
              <w:t>punkta atbilstību Latvijas Republikas Satversmes 64. un 105.</w:t>
            </w:r>
            <w:r>
              <w:rPr>
                <w:rFonts w:ascii="Times New Roman" w:hAnsi="Times New Roman"/>
                <w:sz w:val="24"/>
                <w:szCs w:val="24"/>
              </w:rPr>
              <w:t> </w:t>
            </w:r>
            <w:r w:rsidR="00FA09D1" w:rsidRPr="00BB1E99">
              <w:rPr>
                <w:rFonts w:ascii="Times New Roman" w:hAnsi="Times New Roman"/>
                <w:sz w:val="24"/>
                <w:szCs w:val="24"/>
              </w:rPr>
              <w:t>pantam un Enerģētikas likuma 42.</w:t>
            </w:r>
            <w:r w:rsidR="00FA09D1" w:rsidRPr="00BB1E99">
              <w:rPr>
                <w:rFonts w:ascii="Times New Roman" w:hAnsi="Times New Roman"/>
                <w:sz w:val="24"/>
                <w:szCs w:val="24"/>
                <w:vertAlign w:val="superscript"/>
              </w:rPr>
              <w:t>3</w:t>
            </w:r>
            <w:r>
              <w:rPr>
                <w:rFonts w:ascii="Times New Roman" w:hAnsi="Times New Roman"/>
                <w:sz w:val="24"/>
                <w:szCs w:val="24"/>
                <w:vertAlign w:val="superscript"/>
              </w:rPr>
              <w:t> </w:t>
            </w:r>
            <w:r w:rsidR="00FA09D1" w:rsidRPr="00BB1E99">
              <w:rPr>
                <w:rFonts w:ascii="Times New Roman" w:hAnsi="Times New Roman"/>
                <w:sz w:val="24"/>
                <w:szCs w:val="24"/>
              </w:rPr>
              <w:t>panta pirmajai daļai (redakcijā, kas bija spēkā līdz 2016.</w:t>
            </w:r>
            <w:r>
              <w:rPr>
                <w:rFonts w:ascii="Times New Roman" w:hAnsi="Times New Roman"/>
                <w:sz w:val="24"/>
                <w:szCs w:val="24"/>
              </w:rPr>
              <w:t> </w:t>
            </w:r>
            <w:r w:rsidR="00FA09D1" w:rsidRPr="00BB1E99">
              <w:rPr>
                <w:rFonts w:ascii="Times New Roman" w:hAnsi="Times New Roman"/>
                <w:sz w:val="24"/>
                <w:szCs w:val="24"/>
              </w:rPr>
              <w:t>gada 7.</w:t>
            </w:r>
            <w:r>
              <w:rPr>
                <w:rFonts w:ascii="Times New Roman" w:hAnsi="Times New Roman"/>
                <w:sz w:val="24"/>
                <w:szCs w:val="24"/>
              </w:rPr>
              <w:t> </w:t>
            </w:r>
            <w:r w:rsidR="00FA09D1" w:rsidRPr="00BB1E99">
              <w:rPr>
                <w:rFonts w:ascii="Times New Roman" w:hAnsi="Times New Roman"/>
                <w:sz w:val="24"/>
                <w:szCs w:val="24"/>
              </w:rPr>
              <w:t xml:space="preserve">martam)” (turpmāk – </w:t>
            </w:r>
            <w:r w:rsidR="00F73613" w:rsidRPr="00BB1E99">
              <w:rPr>
                <w:rFonts w:ascii="Times New Roman" w:hAnsi="Times New Roman"/>
                <w:sz w:val="24"/>
                <w:szCs w:val="24"/>
              </w:rPr>
              <w:t>28.</w:t>
            </w:r>
            <w:r>
              <w:rPr>
                <w:rFonts w:ascii="Times New Roman" w:hAnsi="Times New Roman"/>
                <w:sz w:val="24"/>
                <w:szCs w:val="24"/>
              </w:rPr>
              <w:t> </w:t>
            </w:r>
            <w:r w:rsidR="00F73613" w:rsidRPr="00BB1E99">
              <w:rPr>
                <w:rFonts w:ascii="Times New Roman" w:hAnsi="Times New Roman"/>
                <w:sz w:val="24"/>
                <w:szCs w:val="24"/>
              </w:rPr>
              <w:t xml:space="preserve">septembra </w:t>
            </w:r>
            <w:r w:rsidR="00FA09D1" w:rsidRPr="00BB1E99">
              <w:rPr>
                <w:rFonts w:ascii="Times New Roman" w:hAnsi="Times New Roman"/>
                <w:sz w:val="24"/>
                <w:szCs w:val="24"/>
              </w:rPr>
              <w:t xml:space="preserve">Spriedums). </w:t>
            </w:r>
            <w:r w:rsidR="00077A64" w:rsidRPr="00BB1E99">
              <w:rPr>
                <w:rFonts w:ascii="Times New Roman" w:hAnsi="Times New Roman"/>
                <w:sz w:val="24"/>
                <w:szCs w:val="24"/>
              </w:rPr>
              <w:t>2</w:t>
            </w:r>
            <w:r w:rsidR="00F73613" w:rsidRPr="00BB1E99">
              <w:rPr>
                <w:rFonts w:ascii="Times New Roman" w:hAnsi="Times New Roman"/>
                <w:sz w:val="24"/>
                <w:szCs w:val="24"/>
              </w:rPr>
              <w:t>8.</w:t>
            </w:r>
            <w:r>
              <w:rPr>
                <w:rFonts w:ascii="Times New Roman" w:hAnsi="Times New Roman"/>
                <w:sz w:val="24"/>
                <w:szCs w:val="24"/>
              </w:rPr>
              <w:t> </w:t>
            </w:r>
            <w:r w:rsidR="00F73613" w:rsidRPr="00BB1E99">
              <w:rPr>
                <w:rFonts w:ascii="Times New Roman" w:hAnsi="Times New Roman"/>
                <w:sz w:val="24"/>
                <w:szCs w:val="24"/>
              </w:rPr>
              <w:t xml:space="preserve">septembra </w:t>
            </w:r>
            <w:r w:rsidR="00FA09D1" w:rsidRPr="00BB1E99">
              <w:rPr>
                <w:rFonts w:ascii="Times New Roman" w:hAnsi="Times New Roman"/>
                <w:color w:val="000000"/>
                <w:sz w:val="24"/>
                <w:szCs w:val="24"/>
              </w:rPr>
              <w:t>Spriedumā konstatēt</w:t>
            </w:r>
            <w:r w:rsidR="00077A64" w:rsidRPr="00BB1E99">
              <w:rPr>
                <w:rFonts w:ascii="Times New Roman" w:hAnsi="Times New Roman"/>
                <w:color w:val="000000"/>
                <w:sz w:val="24"/>
                <w:szCs w:val="24"/>
              </w:rPr>
              <w:t>s</w:t>
            </w:r>
            <w:r w:rsidR="00FA09D1" w:rsidRPr="00BB1E99">
              <w:rPr>
                <w:rFonts w:ascii="Times New Roman" w:hAnsi="Times New Roman"/>
                <w:color w:val="000000"/>
                <w:sz w:val="24"/>
                <w:szCs w:val="24"/>
              </w:rPr>
              <w:t xml:space="preserve"> un nostiprināt</w:t>
            </w:r>
            <w:r w:rsidR="00077A64" w:rsidRPr="00BB1E99">
              <w:rPr>
                <w:rFonts w:ascii="Times New Roman" w:hAnsi="Times New Roman"/>
                <w:color w:val="000000"/>
                <w:sz w:val="24"/>
                <w:szCs w:val="24"/>
              </w:rPr>
              <w:t>s</w:t>
            </w:r>
            <w:r w:rsidR="00FA09D1" w:rsidRPr="00BB1E99">
              <w:rPr>
                <w:rFonts w:ascii="Times New Roman" w:hAnsi="Times New Roman"/>
                <w:color w:val="000000"/>
                <w:sz w:val="24"/>
                <w:szCs w:val="24"/>
              </w:rPr>
              <w:t xml:space="preserve"> tiesas atziņ</w:t>
            </w:r>
            <w:r w:rsidR="00F73613" w:rsidRPr="00BB1E99">
              <w:rPr>
                <w:rFonts w:ascii="Times New Roman" w:hAnsi="Times New Roman"/>
                <w:color w:val="000000"/>
                <w:sz w:val="24"/>
                <w:szCs w:val="24"/>
              </w:rPr>
              <w:t>as</w:t>
            </w:r>
            <w:r w:rsidR="00077A64" w:rsidRPr="00BB1E99">
              <w:rPr>
                <w:rFonts w:ascii="Times New Roman" w:hAnsi="Times New Roman"/>
                <w:color w:val="000000"/>
                <w:sz w:val="24"/>
                <w:szCs w:val="24"/>
              </w:rPr>
              <w:t>, ka</w:t>
            </w:r>
            <w:r w:rsidR="00F73613" w:rsidRPr="00BB1E99">
              <w:rPr>
                <w:rFonts w:ascii="Times New Roman" w:hAnsi="Times New Roman"/>
                <w:color w:val="000000"/>
                <w:sz w:val="24"/>
                <w:szCs w:val="24"/>
              </w:rPr>
              <w:t>:</w:t>
            </w:r>
          </w:p>
          <w:p w14:paraId="42E0E020" w14:textId="77777777" w:rsidR="0006579B" w:rsidRDefault="00F73613" w:rsidP="0006579B">
            <w:pPr>
              <w:pStyle w:val="ListParagraph"/>
              <w:numPr>
                <w:ilvl w:val="0"/>
                <w:numId w:val="13"/>
              </w:numPr>
              <w:spacing w:after="0" w:line="240" w:lineRule="auto"/>
              <w:ind w:right="171"/>
              <w:jc w:val="both"/>
              <w:rPr>
                <w:rFonts w:ascii="Times New Roman" w:hAnsi="Times New Roman"/>
                <w:color w:val="000000"/>
                <w:sz w:val="24"/>
                <w:szCs w:val="24"/>
              </w:rPr>
            </w:pPr>
            <w:r w:rsidRPr="00BB1E99">
              <w:rPr>
                <w:rFonts w:ascii="Times New Roman" w:hAnsi="Times New Roman"/>
                <w:color w:val="000000"/>
                <w:sz w:val="24"/>
                <w:szCs w:val="24"/>
              </w:rPr>
              <w:t>metode, kad patērētās dabasgāzes daudzums nosakāms, pamatojoties uz faktiski patērētās dabasgāzes daudzumu līdzīgos apstākļos līdzīgā laikposmā</w:t>
            </w:r>
            <w:r w:rsidR="0006579B">
              <w:rPr>
                <w:rFonts w:ascii="Times New Roman" w:hAnsi="Times New Roman"/>
                <w:color w:val="000000"/>
                <w:sz w:val="24"/>
                <w:szCs w:val="24"/>
              </w:rPr>
              <w:t>,</w:t>
            </w:r>
            <w:r w:rsidRPr="00BB1E99">
              <w:rPr>
                <w:rFonts w:ascii="Times New Roman" w:hAnsi="Times New Roman"/>
                <w:color w:val="000000"/>
                <w:sz w:val="24"/>
                <w:szCs w:val="24"/>
              </w:rPr>
              <w:t xml:space="preserve"> tiek atzīts par atbilstošu Latvijas Republikas Satversmes 64. un 105. pantam un Enerģētikas likuma 42.</w:t>
            </w:r>
            <w:r w:rsidRPr="0006579B">
              <w:rPr>
                <w:rFonts w:ascii="Times New Roman" w:hAnsi="Times New Roman"/>
                <w:color w:val="000000"/>
                <w:sz w:val="24"/>
                <w:szCs w:val="24"/>
                <w:vertAlign w:val="superscript"/>
              </w:rPr>
              <w:t>3</w:t>
            </w:r>
            <w:r w:rsidRPr="00BB1E99">
              <w:rPr>
                <w:rFonts w:ascii="Times New Roman" w:hAnsi="Times New Roman"/>
                <w:color w:val="000000"/>
                <w:sz w:val="24"/>
                <w:szCs w:val="24"/>
              </w:rPr>
              <w:t xml:space="preserve"> panta pirmajai daļai (redakcijā, kas bija spēkā no 2008. gada 4. jūlija līdz 2016. gada 7. martam);</w:t>
            </w:r>
          </w:p>
          <w:p w14:paraId="2007A431" w14:textId="62646F57" w:rsidR="0006579B" w:rsidRDefault="00F73613" w:rsidP="0006579B">
            <w:pPr>
              <w:pStyle w:val="ListParagraph"/>
              <w:numPr>
                <w:ilvl w:val="0"/>
                <w:numId w:val="13"/>
              </w:numPr>
              <w:spacing w:after="0" w:line="240" w:lineRule="auto"/>
              <w:ind w:right="171"/>
              <w:jc w:val="both"/>
              <w:rPr>
                <w:rFonts w:ascii="Times New Roman" w:hAnsi="Times New Roman"/>
                <w:color w:val="000000"/>
                <w:sz w:val="24"/>
                <w:szCs w:val="24"/>
              </w:rPr>
            </w:pPr>
            <w:r w:rsidRPr="0006579B">
              <w:rPr>
                <w:rFonts w:ascii="Times New Roman" w:hAnsi="Times New Roman"/>
                <w:color w:val="000000"/>
                <w:sz w:val="24"/>
                <w:szCs w:val="24"/>
              </w:rPr>
              <w:t>meto</w:t>
            </w:r>
            <w:r w:rsidR="00077A64" w:rsidRPr="0006579B">
              <w:rPr>
                <w:rFonts w:ascii="Times New Roman" w:hAnsi="Times New Roman"/>
                <w:color w:val="000000"/>
                <w:sz w:val="24"/>
                <w:szCs w:val="24"/>
              </w:rPr>
              <w:t>de</w:t>
            </w:r>
            <w:r w:rsidR="00FA4A4E" w:rsidRPr="0006579B">
              <w:rPr>
                <w:rFonts w:ascii="Times New Roman" w:hAnsi="Times New Roman"/>
                <w:color w:val="000000"/>
                <w:sz w:val="24"/>
                <w:szCs w:val="24"/>
              </w:rPr>
              <w:t>, kas paredz, ka patērētās dabasgāzes daudzums nosakāms, pamatojoties uz enerģijas lietotājam atļauto maksimālo dabasgāzes patēriņu stundā vai enerģijas lietotāja dabasgāzes iekārtu maksimālo iespējamo patēriņu stundā</w:t>
            </w:r>
            <w:r w:rsidR="0006579B">
              <w:rPr>
                <w:rFonts w:ascii="Times New Roman" w:hAnsi="Times New Roman"/>
                <w:color w:val="000000"/>
                <w:sz w:val="24"/>
                <w:szCs w:val="24"/>
              </w:rPr>
              <w:t>,</w:t>
            </w:r>
            <w:r w:rsidR="00FA4A4E" w:rsidRPr="0006579B">
              <w:rPr>
                <w:rFonts w:ascii="Times New Roman" w:hAnsi="Times New Roman"/>
                <w:color w:val="000000"/>
                <w:sz w:val="24"/>
                <w:szCs w:val="24"/>
              </w:rPr>
              <w:t xml:space="preserve"> tiek atzīta par neatbilstošu Latvijas Republikas Satversmes 64. un 105. pantam un Enerģētikas likuma 42.</w:t>
            </w:r>
            <w:r w:rsidR="00FA4A4E" w:rsidRPr="0006579B">
              <w:rPr>
                <w:rFonts w:ascii="Times New Roman" w:hAnsi="Times New Roman"/>
                <w:color w:val="000000"/>
                <w:sz w:val="24"/>
                <w:szCs w:val="24"/>
                <w:vertAlign w:val="superscript"/>
              </w:rPr>
              <w:t>3</w:t>
            </w:r>
            <w:r w:rsidR="00FA4A4E" w:rsidRPr="0006579B">
              <w:rPr>
                <w:rFonts w:ascii="Times New Roman" w:hAnsi="Times New Roman"/>
                <w:color w:val="000000"/>
                <w:sz w:val="24"/>
                <w:szCs w:val="24"/>
              </w:rPr>
              <w:t xml:space="preserve"> panta pirmajai daļai (redakcijā, kas bija spēkā no 2008. gada 4. jūlija līdz 2016. gada 7. martam)</w:t>
            </w:r>
            <w:r w:rsidR="0006579B">
              <w:rPr>
                <w:rFonts w:ascii="Times New Roman" w:hAnsi="Times New Roman"/>
                <w:color w:val="000000"/>
                <w:sz w:val="24"/>
                <w:szCs w:val="24"/>
              </w:rPr>
              <w:t>;</w:t>
            </w:r>
          </w:p>
          <w:p w14:paraId="24E31ECF" w14:textId="0FB14DF0" w:rsidR="00FA4A4E" w:rsidRPr="0006579B" w:rsidRDefault="00FA4A4E" w:rsidP="0006579B">
            <w:pPr>
              <w:pStyle w:val="ListParagraph"/>
              <w:numPr>
                <w:ilvl w:val="0"/>
                <w:numId w:val="13"/>
              </w:numPr>
              <w:spacing w:after="0" w:line="240" w:lineRule="auto"/>
              <w:ind w:right="171"/>
              <w:jc w:val="both"/>
              <w:rPr>
                <w:rFonts w:ascii="Times New Roman" w:hAnsi="Times New Roman"/>
                <w:color w:val="000000"/>
                <w:sz w:val="24"/>
                <w:szCs w:val="24"/>
              </w:rPr>
            </w:pPr>
            <w:r w:rsidRPr="0006579B">
              <w:rPr>
                <w:rFonts w:ascii="Times New Roman" w:hAnsi="Times New Roman"/>
                <w:color w:val="000000"/>
                <w:sz w:val="24"/>
                <w:szCs w:val="24"/>
              </w:rPr>
              <w:t>kompensācijas apmērs, kas nosakāms, reizinot tajos paredzētajā kārtībā noteikto patērētās dabasgāzes daudzumu ar dabasgāzes tirdzniecības tarifu divkāršā apmērā, tiek atzīta par neatbilstošu Latvijas Republikas Satversmes 64. un 105. pantam un Enerģētikas likuma 42.</w:t>
            </w:r>
            <w:r w:rsidRPr="0006579B">
              <w:rPr>
                <w:rFonts w:ascii="Times New Roman" w:hAnsi="Times New Roman"/>
                <w:color w:val="000000"/>
                <w:sz w:val="24"/>
                <w:szCs w:val="24"/>
                <w:vertAlign w:val="superscript"/>
              </w:rPr>
              <w:t>3</w:t>
            </w:r>
            <w:r w:rsidRPr="0006579B">
              <w:rPr>
                <w:rFonts w:ascii="Times New Roman" w:hAnsi="Times New Roman"/>
                <w:color w:val="000000"/>
                <w:sz w:val="24"/>
                <w:szCs w:val="24"/>
              </w:rPr>
              <w:t xml:space="preserve"> panta pirmajai daļai (redakcijā, kas bija spēkā no 2008. gada 4. jūlija līdz 2016. gada 7. martam)</w:t>
            </w:r>
            <w:r w:rsidR="00D307B4" w:rsidRPr="0006579B">
              <w:rPr>
                <w:rFonts w:ascii="Times New Roman" w:hAnsi="Times New Roman"/>
                <w:color w:val="000000"/>
                <w:sz w:val="24"/>
                <w:szCs w:val="24"/>
              </w:rPr>
              <w:t>.</w:t>
            </w:r>
          </w:p>
          <w:p w14:paraId="46AFC9CF" w14:textId="6032A186" w:rsidR="00FA09D1" w:rsidRPr="00BB1E99" w:rsidRDefault="00F73613" w:rsidP="0006579B">
            <w:pPr>
              <w:spacing w:after="0" w:line="240" w:lineRule="auto"/>
              <w:ind w:right="171"/>
              <w:jc w:val="both"/>
              <w:rPr>
                <w:rFonts w:ascii="Times New Roman" w:hAnsi="Times New Roman"/>
                <w:color w:val="000000"/>
                <w:sz w:val="24"/>
                <w:szCs w:val="24"/>
              </w:rPr>
            </w:pPr>
            <w:r w:rsidRPr="00BB1E99">
              <w:rPr>
                <w:rFonts w:ascii="Times New Roman" w:hAnsi="Times New Roman"/>
                <w:sz w:val="24"/>
                <w:szCs w:val="24"/>
              </w:rPr>
              <w:t>28.</w:t>
            </w:r>
            <w:r w:rsidR="0006579B">
              <w:rPr>
                <w:rFonts w:ascii="Times New Roman" w:hAnsi="Times New Roman"/>
                <w:sz w:val="24"/>
                <w:szCs w:val="24"/>
              </w:rPr>
              <w:t> </w:t>
            </w:r>
            <w:r w:rsidRPr="00BB1E99">
              <w:rPr>
                <w:rFonts w:ascii="Times New Roman" w:hAnsi="Times New Roman"/>
                <w:sz w:val="24"/>
                <w:szCs w:val="24"/>
              </w:rPr>
              <w:t>septembra Spriedumā minētās normas daļēji nav mainītas, līdz ar to</w:t>
            </w:r>
            <w:r w:rsidRPr="00BB1E99">
              <w:rPr>
                <w:rFonts w:ascii="Times New Roman" w:hAnsi="Times New Roman"/>
                <w:color w:val="000000"/>
                <w:sz w:val="24"/>
                <w:szCs w:val="24"/>
              </w:rPr>
              <w:t xml:space="preserve"> </w:t>
            </w:r>
            <w:r w:rsidR="00FA09D1" w:rsidRPr="00BB1E99">
              <w:rPr>
                <w:rFonts w:ascii="Times New Roman" w:hAnsi="Times New Roman"/>
                <w:color w:val="000000"/>
                <w:sz w:val="24"/>
                <w:szCs w:val="24"/>
              </w:rPr>
              <w:t>Ekonomikas ministrija secina, ka šobrīd spēkā esošajos Noteikumos ietvertā atsauce būtu jāmaina, lai tiktu nodrošināts Satversmei atbilstošs tiesiskais regulējums.</w:t>
            </w:r>
          </w:p>
          <w:p w14:paraId="7A7766FD" w14:textId="23B9F842" w:rsidR="006B553B" w:rsidRPr="00BB1E99" w:rsidRDefault="00FA4A4E" w:rsidP="00AC0A5B">
            <w:pPr>
              <w:spacing w:after="0" w:line="240" w:lineRule="auto"/>
              <w:ind w:right="171"/>
              <w:jc w:val="both"/>
              <w:rPr>
                <w:rFonts w:ascii="Times New Roman" w:hAnsi="Times New Roman"/>
                <w:sz w:val="24"/>
                <w:szCs w:val="24"/>
              </w:rPr>
            </w:pPr>
            <w:r w:rsidRPr="00BB1E99">
              <w:rPr>
                <w:rFonts w:ascii="Times New Roman" w:hAnsi="Times New Roman"/>
                <w:sz w:val="24"/>
                <w:szCs w:val="24"/>
              </w:rPr>
              <w:t>Līdz ar to</w:t>
            </w:r>
            <w:r w:rsidR="00AC0A5B">
              <w:rPr>
                <w:rFonts w:ascii="Times New Roman" w:hAnsi="Times New Roman"/>
                <w:sz w:val="24"/>
                <w:szCs w:val="24"/>
              </w:rPr>
              <w:t xml:space="preserve"> </w:t>
            </w:r>
            <w:r w:rsidR="006B553B" w:rsidRPr="00BB1E99">
              <w:rPr>
                <w:rFonts w:ascii="Times New Roman" w:hAnsi="Times New Roman"/>
                <w:sz w:val="24"/>
                <w:szCs w:val="24"/>
              </w:rPr>
              <w:t>Projekts</w:t>
            </w:r>
            <w:r w:rsidR="00BB0A4F" w:rsidRPr="00BB1E99">
              <w:rPr>
                <w:rFonts w:ascii="Times New Roman" w:hAnsi="Times New Roman"/>
                <w:sz w:val="24"/>
                <w:szCs w:val="24"/>
              </w:rPr>
              <w:t xml:space="preserve"> paredz grozījumus attiecībā uz patērētās dabasgāzes daudzumu aprēķiniem gadījumos, kad tiek konstatēts, ka </w:t>
            </w:r>
            <w:r w:rsidR="00311F52" w:rsidRPr="00BB1E99">
              <w:rPr>
                <w:rFonts w:ascii="Times New Roman" w:hAnsi="Times New Roman"/>
                <w:sz w:val="24"/>
                <w:szCs w:val="24"/>
              </w:rPr>
              <w:t xml:space="preserve">ir </w:t>
            </w:r>
            <w:r w:rsidR="00BB0A4F" w:rsidRPr="00BB1E99">
              <w:rPr>
                <w:rFonts w:ascii="Times New Roman" w:hAnsi="Times New Roman"/>
                <w:sz w:val="24"/>
                <w:szCs w:val="24"/>
              </w:rPr>
              <w:t xml:space="preserve">patvaļīgi ierīkots </w:t>
            </w:r>
            <w:proofErr w:type="spellStart"/>
            <w:r w:rsidR="00BB0A4F" w:rsidRPr="00BB1E99">
              <w:rPr>
                <w:rFonts w:ascii="Times New Roman" w:hAnsi="Times New Roman"/>
                <w:sz w:val="24"/>
                <w:szCs w:val="24"/>
              </w:rPr>
              <w:t>pieslēgums</w:t>
            </w:r>
            <w:proofErr w:type="spellEnd"/>
            <w:r w:rsidR="00BB0A4F" w:rsidRPr="00BB1E99">
              <w:rPr>
                <w:rFonts w:ascii="Times New Roman" w:hAnsi="Times New Roman"/>
                <w:sz w:val="24"/>
                <w:szCs w:val="24"/>
              </w:rPr>
              <w:t xml:space="preserve"> pirms </w:t>
            </w:r>
            <w:proofErr w:type="spellStart"/>
            <w:r w:rsidR="00BB0A4F" w:rsidRPr="00BB1E99">
              <w:rPr>
                <w:rFonts w:ascii="Times New Roman" w:hAnsi="Times New Roman"/>
                <w:sz w:val="24"/>
                <w:szCs w:val="24"/>
              </w:rPr>
              <w:t>komercuzskaites</w:t>
            </w:r>
            <w:proofErr w:type="spellEnd"/>
            <w:r w:rsidR="00BB0A4F" w:rsidRPr="00BB1E99">
              <w:rPr>
                <w:rFonts w:ascii="Times New Roman" w:hAnsi="Times New Roman"/>
                <w:sz w:val="24"/>
                <w:szCs w:val="24"/>
              </w:rPr>
              <w:t xml:space="preserve"> mēraparāta vai lietotājs dabasgāzi lieto bez </w:t>
            </w:r>
            <w:proofErr w:type="spellStart"/>
            <w:r w:rsidR="00BB0A4F" w:rsidRPr="00BB1E99">
              <w:rPr>
                <w:rFonts w:ascii="Times New Roman" w:hAnsi="Times New Roman"/>
                <w:sz w:val="24"/>
                <w:szCs w:val="24"/>
              </w:rPr>
              <w:t>komercuzskaites</w:t>
            </w:r>
            <w:proofErr w:type="spellEnd"/>
            <w:r w:rsidR="00BB0A4F" w:rsidRPr="00BB1E99">
              <w:rPr>
                <w:rFonts w:ascii="Times New Roman" w:hAnsi="Times New Roman"/>
                <w:sz w:val="24"/>
                <w:szCs w:val="24"/>
              </w:rPr>
              <w:t xml:space="preserve"> mēraparāta, vai </w:t>
            </w:r>
            <w:proofErr w:type="spellStart"/>
            <w:r w:rsidR="00BB0A4F" w:rsidRPr="00BB1E99">
              <w:rPr>
                <w:rFonts w:ascii="Times New Roman" w:hAnsi="Times New Roman"/>
                <w:sz w:val="24"/>
                <w:szCs w:val="24"/>
              </w:rPr>
              <w:t>komercuzskaites</w:t>
            </w:r>
            <w:proofErr w:type="spellEnd"/>
            <w:r w:rsidR="00BB0A4F" w:rsidRPr="00BB1E99">
              <w:rPr>
                <w:rFonts w:ascii="Times New Roman" w:hAnsi="Times New Roman"/>
                <w:sz w:val="24"/>
                <w:szCs w:val="24"/>
              </w:rPr>
              <w:t xml:space="preserve"> mēraparāts vai plomba</w:t>
            </w:r>
            <w:r w:rsidR="00981460" w:rsidRPr="00BB1E99">
              <w:rPr>
                <w:rFonts w:ascii="Times New Roman" w:hAnsi="Times New Roman"/>
                <w:sz w:val="24"/>
                <w:szCs w:val="24"/>
              </w:rPr>
              <w:t xml:space="preserve"> lietotāja dēļ</w:t>
            </w:r>
            <w:r w:rsidR="00BB0A4F" w:rsidRPr="00BB1E99">
              <w:rPr>
                <w:rFonts w:ascii="Times New Roman" w:hAnsi="Times New Roman"/>
                <w:sz w:val="24"/>
                <w:szCs w:val="24"/>
              </w:rPr>
              <w:t xml:space="preserve"> ir bojāta un kādas minētās darbības dēļ ir samazināts dabasgāzes patēriņa rādījuma lielums vai radīta iespēja dabasgāzi lietot bez maksas</w:t>
            </w:r>
            <w:r w:rsidR="00BA58B5" w:rsidRPr="00BB1E99">
              <w:rPr>
                <w:rFonts w:ascii="Times New Roman" w:hAnsi="Times New Roman"/>
                <w:sz w:val="24"/>
                <w:szCs w:val="24"/>
              </w:rPr>
              <w:t>.</w:t>
            </w:r>
          </w:p>
          <w:p w14:paraId="0A7C2BC3" w14:textId="3075C3E9" w:rsidR="002329AE" w:rsidRPr="00BB1E99" w:rsidRDefault="00BA58B5" w:rsidP="00AC0A5B">
            <w:pPr>
              <w:spacing w:after="0" w:line="240" w:lineRule="auto"/>
              <w:ind w:right="171"/>
              <w:jc w:val="both"/>
              <w:rPr>
                <w:rFonts w:ascii="Times New Roman" w:hAnsi="Times New Roman"/>
                <w:sz w:val="24"/>
                <w:szCs w:val="24"/>
              </w:rPr>
            </w:pPr>
            <w:r w:rsidRPr="00BB1E99">
              <w:rPr>
                <w:rFonts w:ascii="Times New Roman" w:hAnsi="Times New Roman"/>
                <w:sz w:val="24"/>
                <w:szCs w:val="24"/>
              </w:rPr>
              <w:lastRenderedPageBreak/>
              <w:t>Projekts paredz izmaiņas</w:t>
            </w:r>
            <w:r w:rsidRPr="00BB1E99">
              <w:rPr>
                <w:rFonts w:ascii="Times New Roman" w:hAnsi="Times New Roman"/>
                <w:color w:val="414142"/>
                <w:sz w:val="24"/>
                <w:szCs w:val="24"/>
              </w:rPr>
              <w:t xml:space="preserve"> </w:t>
            </w:r>
            <w:r w:rsidR="00BB0A4F" w:rsidRPr="00BB1E99">
              <w:rPr>
                <w:rFonts w:ascii="Times New Roman" w:hAnsi="Times New Roman"/>
                <w:sz w:val="24"/>
                <w:szCs w:val="24"/>
              </w:rPr>
              <w:t>Noteikumu 88.</w:t>
            </w:r>
            <w:r w:rsidR="00AC0A5B">
              <w:rPr>
                <w:rFonts w:ascii="Times New Roman" w:hAnsi="Times New Roman"/>
                <w:sz w:val="24"/>
                <w:szCs w:val="24"/>
              </w:rPr>
              <w:t> </w:t>
            </w:r>
            <w:r w:rsidR="00BB0A4F" w:rsidRPr="00BB1E99">
              <w:rPr>
                <w:rFonts w:ascii="Times New Roman" w:hAnsi="Times New Roman"/>
                <w:sz w:val="24"/>
                <w:szCs w:val="24"/>
              </w:rPr>
              <w:t>punktā patērētās dabasgāzes daudzuma aprēķināšanā</w:t>
            </w:r>
            <w:r w:rsidRPr="00BB1E99">
              <w:rPr>
                <w:rFonts w:ascii="Times New Roman" w:hAnsi="Times New Roman"/>
                <w:sz w:val="24"/>
                <w:szCs w:val="24"/>
              </w:rPr>
              <w:t xml:space="preserve"> mājsaimniecības lietotājiem. </w:t>
            </w:r>
          </w:p>
          <w:p w14:paraId="668C5B09" w14:textId="3A7D0B2F" w:rsidR="00BD7DF8" w:rsidRPr="00BB1E99" w:rsidRDefault="00BA58B5" w:rsidP="00AC0A5B">
            <w:pPr>
              <w:spacing w:after="0" w:line="240" w:lineRule="auto"/>
              <w:ind w:right="171"/>
              <w:jc w:val="both"/>
              <w:rPr>
                <w:rFonts w:ascii="Times New Roman" w:hAnsi="Times New Roman"/>
                <w:sz w:val="24"/>
                <w:szCs w:val="24"/>
              </w:rPr>
            </w:pPr>
            <w:r w:rsidRPr="00BB1E99">
              <w:rPr>
                <w:rFonts w:ascii="Times New Roman" w:hAnsi="Times New Roman"/>
                <w:sz w:val="24"/>
                <w:szCs w:val="24"/>
              </w:rPr>
              <w:t>Projekts paredz, ka tiem lietotājiem, kas dabasgāzi izmanto uzstādītajās plītīs, pārtērētās dabasgāzes apjoms tiek aprēķināts</w:t>
            </w:r>
            <w:r w:rsidR="00AC0A5B">
              <w:rPr>
                <w:rFonts w:ascii="Times New Roman" w:hAnsi="Times New Roman"/>
                <w:sz w:val="24"/>
                <w:szCs w:val="24"/>
              </w:rPr>
              <w:t>,</w:t>
            </w:r>
            <w:r w:rsidRPr="00BB1E99">
              <w:rPr>
                <w:rFonts w:ascii="Times New Roman" w:hAnsi="Times New Roman"/>
                <w:sz w:val="24"/>
                <w:szCs w:val="24"/>
              </w:rPr>
              <w:t xml:space="preserve"> pamatojoties uz pielikumā esošajām patēriņa normām. </w:t>
            </w:r>
            <w:r w:rsidR="00BB0A4F" w:rsidRPr="00BB1E99">
              <w:rPr>
                <w:rFonts w:ascii="Times New Roman" w:hAnsi="Times New Roman"/>
                <w:sz w:val="24"/>
                <w:szCs w:val="24"/>
              </w:rPr>
              <w:t>Šādā</w:t>
            </w:r>
            <w:r w:rsidRPr="00BB1E99">
              <w:rPr>
                <w:rFonts w:ascii="Times New Roman" w:hAnsi="Times New Roman"/>
                <w:sz w:val="24"/>
                <w:szCs w:val="24"/>
              </w:rPr>
              <w:t xml:space="preserve"> </w:t>
            </w:r>
            <w:r w:rsidR="00BB0A4F" w:rsidRPr="00BB1E99">
              <w:rPr>
                <w:rFonts w:ascii="Times New Roman" w:hAnsi="Times New Roman"/>
                <w:sz w:val="24"/>
                <w:szCs w:val="24"/>
              </w:rPr>
              <w:t>gadījumā tiks ievērots vienlīdzības princips, kā arī aprēķinātais patērētais dabasgāzes daudzums vistuvāk atbildīs iespējamajam lietotāja patērētajam dabasgāzes daudzumam pārkāpuma izdarīšanas laikā.</w:t>
            </w:r>
            <w:r w:rsidR="00981460" w:rsidRPr="00BB1E99">
              <w:rPr>
                <w:rFonts w:ascii="Times New Roman" w:hAnsi="Times New Roman"/>
                <w:sz w:val="24"/>
                <w:szCs w:val="24"/>
              </w:rPr>
              <w:t xml:space="preserve"> </w:t>
            </w:r>
            <w:r w:rsidR="00BD7DF8" w:rsidRPr="00BB1E99">
              <w:rPr>
                <w:rFonts w:ascii="Times New Roman" w:hAnsi="Times New Roman"/>
                <w:sz w:val="24"/>
                <w:szCs w:val="24"/>
              </w:rPr>
              <w:t xml:space="preserve">Projekta </w:t>
            </w:r>
            <w:r w:rsidR="006B553B" w:rsidRPr="00BB1E99">
              <w:rPr>
                <w:rFonts w:ascii="Times New Roman" w:hAnsi="Times New Roman"/>
                <w:sz w:val="24"/>
                <w:szCs w:val="24"/>
              </w:rPr>
              <w:t>30</w:t>
            </w:r>
            <w:r w:rsidR="00BD7DF8" w:rsidRPr="00BB1E99">
              <w:rPr>
                <w:rFonts w:ascii="Times New Roman" w:hAnsi="Times New Roman"/>
                <w:sz w:val="24"/>
                <w:szCs w:val="24"/>
              </w:rPr>
              <w:t>.</w:t>
            </w:r>
            <w:r w:rsidR="00AC0A5B">
              <w:rPr>
                <w:rFonts w:ascii="Times New Roman" w:hAnsi="Times New Roman"/>
                <w:sz w:val="24"/>
                <w:szCs w:val="24"/>
              </w:rPr>
              <w:t> </w:t>
            </w:r>
            <w:r w:rsidR="00BD7DF8" w:rsidRPr="00BB1E99">
              <w:rPr>
                <w:rFonts w:ascii="Times New Roman" w:hAnsi="Times New Roman"/>
                <w:sz w:val="24"/>
                <w:szCs w:val="24"/>
              </w:rPr>
              <w:t>punktā ir ietvertas dabasgāzes patēriņa mēneša un gada normas</w:t>
            </w:r>
            <w:r w:rsidR="00AC0A5B">
              <w:rPr>
                <w:rFonts w:ascii="Times New Roman" w:hAnsi="Times New Roman"/>
                <w:sz w:val="24"/>
                <w:szCs w:val="24"/>
              </w:rPr>
              <w:t> </w:t>
            </w:r>
            <w:r w:rsidR="00BD7DF8" w:rsidRPr="00BB1E99">
              <w:rPr>
                <w:rFonts w:ascii="Times New Roman" w:hAnsi="Times New Roman"/>
                <w:sz w:val="24"/>
                <w:szCs w:val="24"/>
              </w:rPr>
              <w:t>(1)</w:t>
            </w:r>
            <w:r w:rsidR="00AC0A5B">
              <w:rPr>
                <w:rFonts w:ascii="Times New Roman" w:hAnsi="Times New Roman"/>
                <w:sz w:val="24"/>
                <w:szCs w:val="24"/>
              </w:rPr>
              <w:t> </w:t>
            </w:r>
            <w:r w:rsidR="00BD7DF8" w:rsidRPr="00BB1E99">
              <w:rPr>
                <w:rFonts w:ascii="Times New Roman" w:hAnsi="Times New Roman"/>
                <w:sz w:val="24"/>
                <w:szCs w:val="24"/>
              </w:rPr>
              <w:t xml:space="preserve">mājsaimniecības lietotājiem gazificētajos objektos ar gāzes plīti un centralizētu karstā ūdens apgādi un (2) mājsaimniecības lietotājiem gazificētajos objektos ar gāzes plīti un bez ūdens sildītājiem un centralizētas karstā ūdens apgādes. Šādu kategoriju izvēle balstās gan uz vēsturiskām </w:t>
            </w:r>
            <w:proofErr w:type="spellStart"/>
            <w:r w:rsidR="00BD7DF8" w:rsidRPr="00BB1E99">
              <w:rPr>
                <w:rFonts w:ascii="Times New Roman" w:hAnsi="Times New Roman"/>
                <w:sz w:val="24"/>
                <w:szCs w:val="24"/>
              </w:rPr>
              <w:t>diferencetām</w:t>
            </w:r>
            <w:proofErr w:type="spellEnd"/>
            <w:r w:rsidR="00BD7DF8" w:rsidRPr="00BB1E99">
              <w:rPr>
                <w:rFonts w:ascii="Times New Roman" w:hAnsi="Times New Roman"/>
                <w:sz w:val="24"/>
                <w:szCs w:val="24"/>
              </w:rPr>
              <w:t xml:space="preserve"> patēriņa normām, kuras izmanto pašlaik sadales sistēmas operators, gan uz faktis</w:t>
            </w:r>
            <w:r w:rsidR="00AC0A5B">
              <w:rPr>
                <w:rFonts w:ascii="Times New Roman" w:hAnsi="Times New Roman"/>
                <w:sz w:val="24"/>
                <w:szCs w:val="24"/>
              </w:rPr>
              <w:t>k</w:t>
            </w:r>
            <w:r w:rsidR="00BD7DF8" w:rsidRPr="00BB1E99">
              <w:rPr>
                <w:rFonts w:ascii="Times New Roman" w:hAnsi="Times New Roman"/>
                <w:sz w:val="24"/>
                <w:szCs w:val="24"/>
              </w:rPr>
              <w:t>ās lietotāju grupu analīzes. Patēriņa normas tika aprēķinātas arī</w:t>
            </w:r>
            <w:r w:rsidR="00AC0A5B">
              <w:rPr>
                <w:rFonts w:ascii="Times New Roman" w:hAnsi="Times New Roman"/>
                <w:sz w:val="24"/>
                <w:szCs w:val="24"/>
              </w:rPr>
              <w:t>,</w:t>
            </w:r>
            <w:r w:rsidR="00BD7DF8" w:rsidRPr="00BB1E99">
              <w:rPr>
                <w:rFonts w:ascii="Times New Roman" w:hAnsi="Times New Roman"/>
                <w:sz w:val="24"/>
                <w:szCs w:val="24"/>
              </w:rPr>
              <w:t xml:space="preserve"> balstoties uz vēsturiskām diferencētam patēriņa normām, kas tika pielāgotas pašreizējai faktiskai situācijai, ņemot vērā reālus dažādu lietotāju dabasgāzes patēriņa datus.</w:t>
            </w:r>
          </w:p>
          <w:p w14:paraId="64FE9A3C" w14:textId="4AF83ED4" w:rsidR="0015575F" w:rsidRPr="00BB1E99" w:rsidRDefault="0015575F" w:rsidP="00AC0A5B">
            <w:pPr>
              <w:spacing w:after="0" w:line="240" w:lineRule="auto"/>
              <w:ind w:right="171"/>
              <w:jc w:val="both"/>
              <w:rPr>
                <w:rFonts w:ascii="Times New Roman" w:hAnsi="Times New Roman"/>
                <w:sz w:val="24"/>
                <w:szCs w:val="24"/>
              </w:rPr>
            </w:pPr>
            <w:r w:rsidRPr="00BB1E99">
              <w:rPr>
                <w:rFonts w:ascii="Times New Roman" w:hAnsi="Times New Roman"/>
                <w:sz w:val="24"/>
                <w:szCs w:val="24"/>
              </w:rPr>
              <w:t>Minētajos gadījumos sadales sistēmas operators veic pārrēķinu par noteikto periodu, izmantojot šādu formulu:</w:t>
            </w:r>
          </w:p>
          <w:p w14:paraId="166FCCC9" w14:textId="39CE13D5" w:rsidR="0015575F" w:rsidRPr="00BB1E99" w:rsidRDefault="0015575F" w:rsidP="00FD220F">
            <w:pPr>
              <w:spacing w:after="0" w:line="240" w:lineRule="auto"/>
              <w:ind w:right="171" w:firstLine="170"/>
              <w:jc w:val="both"/>
              <w:rPr>
                <w:rFonts w:ascii="Times New Roman" w:hAnsi="Times New Roman"/>
                <w:sz w:val="24"/>
                <w:szCs w:val="24"/>
              </w:rPr>
            </w:pPr>
            <w:r w:rsidRPr="00BB1E99">
              <w:rPr>
                <w:rFonts w:ascii="Times New Roman" w:hAnsi="Times New Roman"/>
                <w:i/>
                <w:iCs/>
                <w:sz w:val="24"/>
                <w:szCs w:val="24"/>
              </w:rPr>
              <w:t>K = (P</w:t>
            </w:r>
            <w:r w:rsidRPr="00BB1E99">
              <w:rPr>
                <w:rFonts w:ascii="Times New Roman" w:hAnsi="Times New Roman"/>
                <w:i/>
                <w:iCs/>
                <w:sz w:val="24"/>
                <w:szCs w:val="24"/>
                <w:vertAlign w:val="subscript"/>
              </w:rPr>
              <w:t>DG</w:t>
            </w:r>
            <w:r w:rsidRPr="00BB1E99">
              <w:rPr>
                <w:rFonts w:ascii="Times New Roman" w:hAnsi="Times New Roman"/>
                <w:i/>
                <w:iCs/>
                <w:sz w:val="24"/>
                <w:szCs w:val="24"/>
              </w:rPr>
              <w:t> - U</w:t>
            </w:r>
            <w:r w:rsidRPr="00BB1E99">
              <w:rPr>
                <w:rFonts w:ascii="Times New Roman" w:hAnsi="Times New Roman"/>
                <w:i/>
                <w:iCs/>
                <w:sz w:val="24"/>
                <w:szCs w:val="24"/>
                <w:vertAlign w:val="subscript"/>
              </w:rPr>
              <w:t>DG</w:t>
            </w:r>
            <w:r w:rsidRPr="00BB1E99">
              <w:rPr>
                <w:rFonts w:ascii="Times New Roman" w:hAnsi="Times New Roman"/>
                <w:i/>
                <w:iCs/>
                <w:sz w:val="24"/>
                <w:szCs w:val="24"/>
              </w:rPr>
              <w:t>)</w:t>
            </w:r>
            <w:r w:rsidRPr="00BB1E99">
              <w:rPr>
                <w:rFonts w:ascii="Times New Roman" w:hAnsi="Times New Roman"/>
                <w:sz w:val="24"/>
                <w:szCs w:val="24"/>
              </w:rPr>
              <w:t> x </w:t>
            </w:r>
            <w:r w:rsidRPr="00BB1E99">
              <w:rPr>
                <w:rFonts w:ascii="Times New Roman" w:hAnsi="Times New Roman"/>
                <w:i/>
                <w:iCs/>
                <w:sz w:val="24"/>
                <w:szCs w:val="24"/>
              </w:rPr>
              <w:t>(</w:t>
            </w:r>
            <w:proofErr w:type="spellStart"/>
            <w:r w:rsidRPr="00BB1E99">
              <w:rPr>
                <w:rFonts w:ascii="Times New Roman" w:hAnsi="Times New Roman"/>
                <w:i/>
                <w:iCs/>
                <w:sz w:val="24"/>
                <w:szCs w:val="24"/>
              </w:rPr>
              <w:t>T</w:t>
            </w:r>
            <w:r w:rsidRPr="00BB1E99">
              <w:rPr>
                <w:rFonts w:ascii="Times New Roman" w:hAnsi="Times New Roman"/>
                <w:i/>
                <w:iCs/>
                <w:sz w:val="24"/>
                <w:szCs w:val="24"/>
                <w:vertAlign w:val="subscript"/>
              </w:rPr>
              <w:t>m</w:t>
            </w:r>
            <w:proofErr w:type="spellEnd"/>
            <w:r w:rsidRPr="00BB1E99">
              <w:rPr>
                <w:rFonts w:ascii="Times New Roman" w:hAnsi="Times New Roman"/>
                <w:i/>
                <w:iCs/>
                <w:sz w:val="24"/>
                <w:szCs w:val="24"/>
              </w:rPr>
              <w:t> + C</w:t>
            </w:r>
            <w:r w:rsidRPr="00BB1E99">
              <w:rPr>
                <w:rFonts w:ascii="Times New Roman" w:hAnsi="Times New Roman"/>
                <w:i/>
                <w:iCs/>
                <w:sz w:val="24"/>
                <w:szCs w:val="24"/>
                <w:vertAlign w:val="subscript"/>
              </w:rPr>
              <w:t>DG</w:t>
            </w:r>
            <w:r w:rsidRPr="00BB1E99">
              <w:rPr>
                <w:rFonts w:ascii="Times New Roman" w:hAnsi="Times New Roman"/>
                <w:i/>
                <w:iCs/>
                <w:sz w:val="24"/>
                <w:szCs w:val="24"/>
              </w:rPr>
              <w:t> )</w:t>
            </w:r>
            <w:r w:rsidRPr="00BB1E99">
              <w:rPr>
                <w:rFonts w:ascii="Times New Roman" w:hAnsi="Times New Roman"/>
                <w:sz w:val="24"/>
                <w:szCs w:val="24"/>
              </w:rPr>
              <w:t>, kur:</w:t>
            </w:r>
          </w:p>
          <w:p w14:paraId="5A0FFE74" w14:textId="3D531ABF" w:rsidR="0015575F" w:rsidRPr="00BB1E99" w:rsidRDefault="0015575F" w:rsidP="00FD220F">
            <w:pPr>
              <w:spacing w:after="0" w:line="240" w:lineRule="auto"/>
              <w:ind w:right="171" w:firstLine="170"/>
              <w:jc w:val="both"/>
              <w:rPr>
                <w:rFonts w:ascii="Times New Roman" w:hAnsi="Times New Roman"/>
                <w:sz w:val="24"/>
                <w:szCs w:val="24"/>
              </w:rPr>
            </w:pPr>
            <w:r w:rsidRPr="00BB1E99">
              <w:rPr>
                <w:rFonts w:ascii="Times New Roman" w:hAnsi="Times New Roman"/>
                <w:i/>
                <w:iCs/>
                <w:sz w:val="24"/>
                <w:szCs w:val="24"/>
              </w:rPr>
              <w:t xml:space="preserve">K </w:t>
            </w:r>
            <w:r w:rsidR="00AC0A5B">
              <w:rPr>
                <w:rFonts w:ascii="Times New Roman" w:hAnsi="Times New Roman"/>
                <w:i/>
                <w:iCs/>
                <w:sz w:val="24"/>
                <w:szCs w:val="24"/>
              </w:rPr>
              <w:t>–</w:t>
            </w:r>
            <w:r w:rsidRPr="00BB1E99">
              <w:rPr>
                <w:rFonts w:ascii="Times New Roman" w:hAnsi="Times New Roman"/>
                <w:sz w:val="24"/>
                <w:szCs w:val="24"/>
              </w:rPr>
              <w:t> pārrēķins par izlietoto dabasgāzi un sadales sistēmas pakalpojumiem;</w:t>
            </w:r>
          </w:p>
          <w:p w14:paraId="32A19443" w14:textId="2275F325" w:rsidR="0015575F" w:rsidRPr="00BB1E99" w:rsidRDefault="0015575F" w:rsidP="00FD220F">
            <w:pPr>
              <w:spacing w:after="0" w:line="240" w:lineRule="auto"/>
              <w:ind w:right="171" w:firstLine="170"/>
              <w:jc w:val="both"/>
              <w:rPr>
                <w:rFonts w:ascii="Times New Roman" w:hAnsi="Times New Roman"/>
                <w:sz w:val="24"/>
                <w:szCs w:val="24"/>
              </w:rPr>
            </w:pPr>
            <w:r w:rsidRPr="00BB1E99">
              <w:rPr>
                <w:rFonts w:ascii="Times New Roman" w:hAnsi="Times New Roman"/>
                <w:i/>
                <w:iCs/>
                <w:sz w:val="24"/>
                <w:szCs w:val="24"/>
              </w:rPr>
              <w:t>P</w:t>
            </w:r>
            <w:r w:rsidRPr="00BB1E99">
              <w:rPr>
                <w:rFonts w:ascii="Times New Roman" w:hAnsi="Times New Roman"/>
                <w:i/>
                <w:iCs/>
                <w:sz w:val="24"/>
                <w:szCs w:val="24"/>
                <w:vertAlign w:val="subscript"/>
              </w:rPr>
              <w:t>DG</w:t>
            </w:r>
            <w:r w:rsidRPr="00BB1E99">
              <w:rPr>
                <w:rFonts w:ascii="Times New Roman" w:hAnsi="Times New Roman"/>
                <w:sz w:val="24"/>
                <w:szCs w:val="24"/>
              </w:rPr>
              <w:t> </w:t>
            </w:r>
            <w:r w:rsidR="00AC0A5B">
              <w:rPr>
                <w:rFonts w:ascii="Times New Roman" w:hAnsi="Times New Roman"/>
                <w:sz w:val="24"/>
                <w:szCs w:val="24"/>
              </w:rPr>
              <w:t>–</w:t>
            </w:r>
            <w:r w:rsidRPr="00BB1E99">
              <w:rPr>
                <w:rFonts w:ascii="Times New Roman" w:hAnsi="Times New Roman"/>
                <w:sz w:val="24"/>
                <w:szCs w:val="24"/>
              </w:rPr>
              <w:t xml:space="preserve"> patērētās dabasgāzes daudzums, kas aprēķināts atbilstoši diferencētam patēriņa normām;</w:t>
            </w:r>
          </w:p>
          <w:p w14:paraId="7BC1AC4C" w14:textId="3A5B5421" w:rsidR="0015575F" w:rsidRPr="00BB1E99" w:rsidRDefault="0015575F" w:rsidP="00FD220F">
            <w:pPr>
              <w:spacing w:after="0" w:line="240" w:lineRule="auto"/>
              <w:ind w:right="171" w:firstLine="170"/>
              <w:jc w:val="both"/>
              <w:rPr>
                <w:rFonts w:ascii="Times New Roman" w:hAnsi="Times New Roman"/>
                <w:sz w:val="24"/>
                <w:szCs w:val="24"/>
              </w:rPr>
            </w:pPr>
            <w:r w:rsidRPr="00BB1E99">
              <w:rPr>
                <w:rFonts w:ascii="Times New Roman" w:hAnsi="Times New Roman"/>
                <w:i/>
                <w:iCs/>
                <w:sz w:val="24"/>
                <w:szCs w:val="24"/>
              </w:rPr>
              <w:t>U</w:t>
            </w:r>
            <w:r w:rsidRPr="00BB1E99">
              <w:rPr>
                <w:rFonts w:ascii="Times New Roman" w:hAnsi="Times New Roman"/>
                <w:i/>
                <w:iCs/>
                <w:sz w:val="24"/>
                <w:szCs w:val="24"/>
                <w:vertAlign w:val="subscript"/>
              </w:rPr>
              <w:t>DG</w:t>
            </w:r>
            <w:r w:rsidRPr="00BB1E99">
              <w:rPr>
                <w:rFonts w:ascii="Times New Roman" w:hAnsi="Times New Roman"/>
                <w:sz w:val="24"/>
                <w:szCs w:val="24"/>
              </w:rPr>
              <w:t> </w:t>
            </w:r>
            <w:r w:rsidR="00AC0A5B">
              <w:rPr>
                <w:rFonts w:ascii="Times New Roman" w:hAnsi="Times New Roman"/>
                <w:sz w:val="24"/>
                <w:szCs w:val="24"/>
              </w:rPr>
              <w:t xml:space="preserve">– </w:t>
            </w:r>
            <w:proofErr w:type="spellStart"/>
            <w:r w:rsidRPr="00BB1E99">
              <w:rPr>
                <w:rFonts w:ascii="Times New Roman" w:hAnsi="Times New Roman"/>
                <w:sz w:val="24"/>
                <w:szCs w:val="24"/>
              </w:rPr>
              <w:t>komercuzskaites</w:t>
            </w:r>
            <w:proofErr w:type="spellEnd"/>
            <w:r w:rsidRPr="00BB1E99">
              <w:rPr>
                <w:rFonts w:ascii="Times New Roman" w:hAnsi="Times New Roman"/>
                <w:sz w:val="24"/>
                <w:szCs w:val="24"/>
              </w:rPr>
              <w:t xml:space="preserve"> mēraparāta uzskaitītais dabasgāzes daudzums periodā, kurā noticis minētais pārkāpums;</w:t>
            </w:r>
          </w:p>
          <w:p w14:paraId="4FFBD745" w14:textId="6341A03C" w:rsidR="0015575F" w:rsidRPr="00BB1E99" w:rsidRDefault="0015575F" w:rsidP="00FD220F">
            <w:pPr>
              <w:spacing w:after="0" w:line="240" w:lineRule="auto"/>
              <w:ind w:right="171" w:firstLine="170"/>
              <w:jc w:val="both"/>
              <w:rPr>
                <w:rFonts w:ascii="Times New Roman" w:hAnsi="Times New Roman"/>
                <w:sz w:val="24"/>
                <w:szCs w:val="24"/>
              </w:rPr>
            </w:pPr>
            <w:proofErr w:type="spellStart"/>
            <w:r w:rsidRPr="00BB1E99">
              <w:rPr>
                <w:rFonts w:ascii="Times New Roman" w:hAnsi="Times New Roman"/>
                <w:i/>
                <w:iCs/>
                <w:sz w:val="24"/>
                <w:szCs w:val="24"/>
              </w:rPr>
              <w:t>T</w:t>
            </w:r>
            <w:r w:rsidRPr="00BB1E99">
              <w:rPr>
                <w:rFonts w:ascii="Times New Roman" w:hAnsi="Times New Roman"/>
                <w:i/>
                <w:iCs/>
                <w:sz w:val="24"/>
                <w:szCs w:val="24"/>
                <w:vertAlign w:val="subscript"/>
              </w:rPr>
              <w:t>m</w:t>
            </w:r>
            <w:proofErr w:type="spellEnd"/>
            <w:r w:rsidRPr="00BB1E99">
              <w:rPr>
                <w:rFonts w:ascii="Times New Roman" w:hAnsi="Times New Roman"/>
                <w:sz w:val="24"/>
                <w:szCs w:val="24"/>
              </w:rPr>
              <w:t> </w:t>
            </w:r>
            <w:r w:rsidR="00AC0A5B">
              <w:rPr>
                <w:rFonts w:ascii="Times New Roman" w:hAnsi="Times New Roman"/>
                <w:sz w:val="24"/>
                <w:szCs w:val="24"/>
              </w:rPr>
              <w:t>–</w:t>
            </w:r>
            <w:r w:rsidRPr="00BB1E99">
              <w:rPr>
                <w:rFonts w:ascii="Times New Roman" w:hAnsi="Times New Roman"/>
                <w:sz w:val="24"/>
                <w:szCs w:val="24"/>
              </w:rPr>
              <w:t xml:space="preserve"> sadales sistēmas pakalpojuma tarifu mainīgā daļa (pēc patēriņa grupas);</w:t>
            </w:r>
          </w:p>
          <w:p w14:paraId="5479D4F9" w14:textId="58612350" w:rsidR="0015575F" w:rsidRPr="00BB1E99" w:rsidRDefault="0015575F" w:rsidP="00FD220F">
            <w:pPr>
              <w:spacing w:after="0" w:line="240" w:lineRule="auto"/>
              <w:ind w:right="171" w:firstLine="170"/>
              <w:jc w:val="both"/>
              <w:rPr>
                <w:rFonts w:ascii="Times New Roman" w:hAnsi="Times New Roman"/>
                <w:sz w:val="24"/>
                <w:szCs w:val="24"/>
              </w:rPr>
            </w:pPr>
            <w:r w:rsidRPr="00BB1E99">
              <w:rPr>
                <w:rFonts w:ascii="Times New Roman" w:hAnsi="Times New Roman"/>
                <w:i/>
                <w:iCs/>
                <w:sz w:val="24"/>
                <w:szCs w:val="24"/>
              </w:rPr>
              <w:t>C</w:t>
            </w:r>
            <w:r w:rsidRPr="00BB1E99">
              <w:rPr>
                <w:rFonts w:ascii="Times New Roman" w:hAnsi="Times New Roman"/>
                <w:i/>
                <w:iCs/>
                <w:sz w:val="24"/>
                <w:szCs w:val="24"/>
                <w:vertAlign w:val="subscript"/>
              </w:rPr>
              <w:t>DG</w:t>
            </w:r>
            <w:r w:rsidRPr="00BB1E99">
              <w:rPr>
                <w:rFonts w:ascii="Times New Roman" w:hAnsi="Times New Roman"/>
                <w:sz w:val="24"/>
                <w:szCs w:val="24"/>
              </w:rPr>
              <w:t> </w:t>
            </w:r>
            <w:r w:rsidR="00AC0A5B">
              <w:rPr>
                <w:rFonts w:ascii="Times New Roman" w:hAnsi="Times New Roman"/>
                <w:sz w:val="24"/>
                <w:szCs w:val="24"/>
              </w:rPr>
              <w:t>–</w:t>
            </w:r>
            <w:r w:rsidRPr="00BB1E99">
              <w:rPr>
                <w:rFonts w:ascii="Times New Roman" w:hAnsi="Times New Roman"/>
                <w:sz w:val="24"/>
                <w:szCs w:val="24"/>
              </w:rPr>
              <w:t xml:space="preserve"> dabasgāzes cena pēdējās garantētās piegādes cenas apmērā mēnesī, kad konstatēts pārkāpums.</w:t>
            </w:r>
          </w:p>
          <w:p w14:paraId="07919FAB" w14:textId="5D9B7209" w:rsidR="00A80F51" w:rsidRPr="00BB1E99" w:rsidRDefault="002329AE" w:rsidP="00AC0A5B">
            <w:pPr>
              <w:spacing w:after="0" w:line="240" w:lineRule="auto"/>
              <w:ind w:right="171"/>
              <w:jc w:val="both"/>
              <w:rPr>
                <w:rFonts w:ascii="Times New Roman" w:hAnsi="Times New Roman"/>
                <w:sz w:val="24"/>
                <w:szCs w:val="24"/>
              </w:rPr>
            </w:pPr>
            <w:r w:rsidRPr="00BB1E99">
              <w:rPr>
                <w:rFonts w:ascii="Times New Roman" w:hAnsi="Times New Roman"/>
                <w:sz w:val="24"/>
                <w:szCs w:val="24"/>
              </w:rPr>
              <w:t>Savukārt tiem mājsaimniecības lietotājiem, kas dabasgāzi izmanto apkurei vai ūdens sildīšanai</w:t>
            </w:r>
            <w:r w:rsidR="00FA09D1" w:rsidRPr="00BB1E99">
              <w:rPr>
                <w:rFonts w:ascii="Times New Roman" w:hAnsi="Times New Roman"/>
                <w:sz w:val="24"/>
                <w:szCs w:val="24"/>
              </w:rPr>
              <w:t xml:space="preserve"> un lietotājiem, kas nav mājsaimniecības lietotājs</w:t>
            </w:r>
            <w:r w:rsidR="00AC0A5B">
              <w:rPr>
                <w:rFonts w:ascii="Times New Roman" w:hAnsi="Times New Roman"/>
                <w:sz w:val="24"/>
                <w:szCs w:val="24"/>
              </w:rPr>
              <w:t>,</w:t>
            </w:r>
            <w:r w:rsidRPr="00BB1E99">
              <w:rPr>
                <w:rFonts w:ascii="Times New Roman" w:hAnsi="Times New Roman"/>
                <w:sz w:val="24"/>
                <w:szCs w:val="24"/>
              </w:rPr>
              <w:t xml:space="preserve"> pamatojoties uz</w:t>
            </w:r>
            <w:r w:rsidR="00FA09D1" w:rsidRPr="00BB1E99">
              <w:rPr>
                <w:rFonts w:ascii="Times New Roman" w:hAnsi="Times New Roman"/>
                <w:sz w:val="24"/>
                <w:szCs w:val="24"/>
              </w:rPr>
              <w:t xml:space="preserve"> faktiski patērētās dabasgāzes daudzumu līdzīgos apstākļos līdzīgā laikposmā. Pēc šīs metodes aprēķins tiekot veikts individuāli katram enerģijas lietotājam, ņemot vērā dabasgāzes lietošanas paradumus. Aprēķins, kas veikts, ņemot vērā faktiski patērēto dabasgāzi līdzīgos apstākļos līdzīgā laikposmā vai energoapgādes komersanta apstiprinātajā norēķinu kārtībā noteiktās dabasgāzes diferencētās patēriņa normas, esot tuvāks faktiskajam dabasgāzes patēriņam pārkāpuma periodā. </w:t>
            </w:r>
            <w:r w:rsidR="00584D83" w:rsidRPr="00BB1E99">
              <w:rPr>
                <w:rFonts w:ascii="Times New Roman" w:hAnsi="Times New Roman"/>
                <w:sz w:val="24"/>
                <w:szCs w:val="24"/>
              </w:rPr>
              <w:t>Š</w:t>
            </w:r>
            <w:r w:rsidR="00FA09D1" w:rsidRPr="00BB1E99">
              <w:rPr>
                <w:rFonts w:ascii="Times New Roman" w:hAnsi="Times New Roman"/>
                <w:sz w:val="24"/>
                <w:szCs w:val="24"/>
              </w:rPr>
              <w:t xml:space="preserve">īs metodes izmantošana var būt balstīta ne vien vēsturiskos, bet arī analoģiskos dabasgāzes patēriņa datos. Tādējādi pat tad, ja energoapgādes komersanta rīcībā nav vēsturisku datu par konkrētā enerģijas lietotāja dabasgāzes </w:t>
            </w:r>
            <w:r w:rsidR="00FA09D1" w:rsidRPr="00BB1E99">
              <w:rPr>
                <w:rFonts w:ascii="Times New Roman" w:hAnsi="Times New Roman"/>
                <w:sz w:val="24"/>
                <w:szCs w:val="24"/>
              </w:rPr>
              <w:lastRenderedPageBreak/>
              <w:t xml:space="preserve">patēriņu, ir iespējams izmantot datus par analogu situāciju, kuri saprātīgi var tikt attiecināti arī uz konkrēto enerģijas lietotāju. </w:t>
            </w:r>
            <w:r w:rsidR="002A3063" w:rsidRPr="00BB1E99">
              <w:rPr>
                <w:rFonts w:ascii="Times New Roman" w:hAnsi="Times New Roman"/>
                <w:sz w:val="24"/>
                <w:szCs w:val="24"/>
              </w:rPr>
              <w:t>Sūdzības vai strīdu gadījumā par</w:t>
            </w:r>
            <w:r w:rsidR="00A80F51" w:rsidRPr="00BB1E99">
              <w:rPr>
                <w:rFonts w:ascii="Times New Roman" w:hAnsi="Times New Roman"/>
                <w:sz w:val="24"/>
                <w:szCs w:val="24"/>
              </w:rPr>
              <w:t xml:space="preserve"> energoapgādes komersant</w:t>
            </w:r>
            <w:r w:rsidR="002A3063" w:rsidRPr="00BB1E99">
              <w:rPr>
                <w:rFonts w:ascii="Times New Roman" w:hAnsi="Times New Roman"/>
                <w:sz w:val="24"/>
                <w:szCs w:val="24"/>
              </w:rPr>
              <w:t>a noteikto</w:t>
            </w:r>
            <w:r w:rsidR="00A80F51" w:rsidRPr="00BB1E99">
              <w:rPr>
                <w:rFonts w:ascii="Times New Roman" w:hAnsi="Times New Roman"/>
                <w:sz w:val="24"/>
                <w:szCs w:val="24"/>
              </w:rPr>
              <w:t xml:space="preserve"> faktiski patērētās dabasgāzes daudzumu, </w:t>
            </w:r>
            <w:r w:rsidR="002A3063" w:rsidRPr="00BB1E99">
              <w:rPr>
                <w:rFonts w:ascii="Times New Roman" w:hAnsi="Times New Roman"/>
                <w:sz w:val="24"/>
                <w:szCs w:val="24"/>
              </w:rPr>
              <w:t xml:space="preserve">kad tika </w:t>
            </w:r>
            <w:r w:rsidR="00A80F51" w:rsidRPr="00BB1E99">
              <w:rPr>
                <w:rFonts w:ascii="Times New Roman" w:hAnsi="Times New Roman"/>
                <w:sz w:val="24"/>
                <w:szCs w:val="24"/>
              </w:rPr>
              <w:t>izmanto</w:t>
            </w:r>
            <w:r w:rsidR="002A3063" w:rsidRPr="00BB1E99">
              <w:rPr>
                <w:rFonts w:ascii="Times New Roman" w:hAnsi="Times New Roman"/>
                <w:sz w:val="24"/>
                <w:szCs w:val="24"/>
              </w:rPr>
              <w:t>ti</w:t>
            </w:r>
            <w:r w:rsidR="00A80F51" w:rsidRPr="00BB1E99">
              <w:rPr>
                <w:rFonts w:ascii="Times New Roman" w:hAnsi="Times New Roman"/>
                <w:sz w:val="24"/>
                <w:szCs w:val="24"/>
              </w:rPr>
              <w:t xml:space="preserve"> dat</w:t>
            </w:r>
            <w:r w:rsidR="002A3063" w:rsidRPr="00BB1E99">
              <w:rPr>
                <w:rFonts w:ascii="Times New Roman" w:hAnsi="Times New Roman"/>
                <w:sz w:val="24"/>
                <w:szCs w:val="24"/>
              </w:rPr>
              <w:t>i</w:t>
            </w:r>
            <w:r w:rsidR="00A80F51" w:rsidRPr="00BB1E99">
              <w:rPr>
                <w:rFonts w:ascii="Times New Roman" w:hAnsi="Times New Roman"/>
                <w:sz w:val="24"/>
                <w:szCs w:val="24"/>
              </w:rPr>
              <w:t xml:space="preserve"> par patērētās dabasgāzes daudzumu līdzīgos apstākļos līdzīgā laikposmā, </w:t>
            </w:r>
            <w:r w:rsidR="00AC0A5B">
              <w:rPr>
                <w:rFonts w:ascii="Times New Roman" w:hAnsi="Times New Roman"/>
                <w:sz w:val="24"/>
                <w:szCs w:val="24"/>
              </w:rPr>
              <w:t>Regulators</w:t>
            </w:r>
            <w:r w:rsidR="00A80F51" w:rsidRPr="00BB1E99">
              <w:rPr>
                <w:rFonts w:ascii="Times New Roman" w:hAnsi="Times New Roman"/>
                <w:sz w:val="24"/>
                <w:szCs w:val="24"/>
              </w:rPr>
              <w:t xml:space="preserve"> vai tiesa </w:t>
            </w:r>
            <w:r w:rsidR="002A3063" w:rsidRPr="00BB1E99">
              <w:rPr>
                <w:rFonts w:ascii="Times New Roman" w:hAnsi="Times New Roman"/>
                <w:sz w:val="24"/>
                <w:szCs w:val="24"/>
              </w:rPr>
              <w:t>izskata strīdu</w:t>
            </w:r>
            <w:r w:rsidR="00A80F51" w:rsidRPr="00BB1E99">
              <w:rPr>
                <w:rFonts w:ascii="Times New Roman" w:hAnsi="Times New Roman"/>
                <w:sz w:val="24"/>
                <w:szCs w:val="24"/>
              </w:rPr>
              <w:t xml:space="preserve"> pār energoapgādes komersanta noteiktā dabasgāzes daudzuma pamatotību un tiesiskumu, ņemot vērā katras situācijas individuālos apstākļus. </w:t>
            </w:r>
          </w:p>
          <w:p w14:paraId="290F39B9" w14:textId="4C3310B4" w:rsidR="00FC7D6C" w:rsidRPr="00FC7D6C" w:rsidRDefault="00FC7D6C" w:rsidP="00FC7D6C">
            <w:pPr>
              <w:spacing w:after="0" w:line="240" w:lineRule="auto"/>
              <w:ind w:right="171"/>
              <w:jc w:val="both"/>
              <w:rPr>
                <w:rFonts w:ascii="Times New Roman" w:hAnsi="Times New Roman"/>
                <w:sz w:val="24"/>
                <w:szCs w:val="24"/>
              </w:rPr>
            </w:pPr>
            <w:r w:rsidRPr="00FC7D6C">
              <w:rPr>
                <w:rFonts w:ascii="Times New Roman" w:hAnsi="Times New Roman"/>
                <w:sz w:val="24"/>
                <w:szCs w:val="24"/>
              </w:rPr>
              <w:t>Sadales sistēmas operators līdzīgu laika posmu, par kuru veicams 88.</w:t>
            </w:r>
            <w:r w:rsidR="00487103">
              <w:rPr>
                <w:rFonts w:ascii="Times New Roman" w:hAnsi="Times New Roman"/>
                <w:sz w:val="24"/>
                <w:szCs w:val="24"/>
              </w:rPr>
              <w:t> </w:t>
            </w:r>
            <w:r w:rsidRPr="00FC7D6C">
              <w:rPr>
                <w:rFonts w:ascii="Times New Roman" w:hAnsi="Times New Roman"/>
                <w:sz w:val="24"/>
                <w:szCs w:val="24"/>
              </w:rPr>
              <w:t>punktā paredzētais aprēķins, var noteikt šādi:</w:t>
            </w:r>
          </w:p>
          <w:p w14:paraId="7DC6BBA0" w14:textId="432B359D" w:rsidR="00FC7D6C" w:rsidRPr="00FC7D6C" w:rsidRDefault="00FC7D6C" w:rsidP="00FC7D6C">
            <w:pPr>
              <w:spacing w:after="0" w:line="240" w:lineRule="auto"/>
              <w:ind w:right="171"/>
              <w:jc w:val="both"/>
              <w:rPr>
                <w:rFonts w:ascii="Times New Roman" w:hAnsi="Times New Roman"/>
                <w:sz w:val="24"/>
                <w:szCs w:val="24"/>
              </w:rPr>
            </w:pPr>
            <w:r w:rsidRPr="00FC7D6C">
              <w:rPr>
                <w:rFonts w:ascii="Times New Roman" w:hAnsi="Times New Roman"/>
                <w:sz w:val="24"/>
                <w:szCs w:val="24"/>
              </w:rPr>
              <w:t>- aprēķina katra mēneša vidējo patēriņu gazificētajā objektā un piemēro aprēķinu uz laika posmiem, kuros lietotāja mēneša vidējais dabasgāzes patēriņš gazificētajā objektā samazinājies ne mazāk kā par 5 % salīdzinājumā ar citu mēnešu vidējo patēriņu šajā gazificētajā objektā;</w:t>
            </w:r>
          </w:p>
          <w:p w14:paraId="79E47EE6" w14:textId="77777777" w:rsidR="00FC7D6C" w:rsidRDefault="00FC7D6C" w:rsidP="00FC7D6C">
            <w:pPr>
              <w:spacing w:after="0" w:line="240" w:lineRule="auto"/>
              <w:ind w:right="171"/>
              <w:jc w:val="both"/>
              <w:rPr>
                <w:rFonts w:ascii="Times New Roman" w:hAnsi="Times New Roman"/>
                <w:sz w:val="24"/>
                <w:szCs w:val="24"/>
              </w:rPr>
            </w:pPr>
            <w:r w:rsidRPr="00FC7D6C">
              <w:rPr>
                <w:rFonts w:ascii="Times New Roman" w:hAnsi="Times New Roman"/>
                <w:sz w:val="24"/>
                <w:szCs w:val="24"/>
              </w:rPr>
              <w:t xml:space="preserve">- par pēdējiem 10 gadiem, ja lietotāja objektā dabasgāzes piegāde ir ierīkota patvaļīgi, atjaunota pēc tās pārtraukšanas vai citu iemeslu dēļ nav tikusi uzskaitīta ar </w:t>
            </w:r>
            <w:proofErr w:type="spellStart"/>
            <w:r w:rsidRPr="00FC7D6C">
              <w:rPr>
                <w:rFonts w:ascii="Times New Roman" w:hAnsi="Times New Roman"/>
                <w:sz w:val="24"/>
                <w:szCs w:val="24"/>
              </w:rPr>
              <w:t>komercuzskaites</w:t>
            </w:r>
            <w:proofErr w:type="spellEnd"/>
            <w:r w:rsidRPr="00FC7D6C">
              <w:rPr>
                <w:rFonts w:ascii="Times New Roman" w:hAnsi="Times New Roman"/>
                <w:sz w:val="24"/>
                <w:szCs w:val="24"/>
              </w:rPr>
              <w:t xml:space="preserve"> mēriekārtu</w:t>
            </w:r>
            <w:r>
              <w:rPr>
                <w:rFonts w:ascii="Times New Roman" w:hAnsi="Times New Roman"/>
                <w:sz w:val="24"/>
                <w:szCs w:val="24"/>
              </w:rPr>
              <w:t>.</w:t>
            </w:r>
          </w:p>
          <w:p w14:paraId="757765AB" w14:textId="0C6AD7C6" w:rsidR="006B553B" w:rsidRPr="00BB1E99" w:rsidRDefault="006B553B" w:rsidP="00FC7D6C">
            <w:pPr>
              <w:spacing w:after="0" w:line="240" w:lineRule="auto"/>
              <w:ind w:right="171"/>
              <w:jc w:val="both"/>
              <w:rPr>
                <w:rFonts w:ascii="Times New Roman" w:hAnsi="Times New Roman"/>
                <w:sz w:val="24"/>
                <w:szCs w:val="24"/>
              </w:rPr>
            </w:pPr>
            <w:r w:rsidRPr="00BB1E99">
              <w:rPr>
                <w:rFonts w:ascii="Times New Roman" w:hAnsi="Times New Roman"/>
                <w:sz w:val="24"/>
                <w:szCs w:val="24"/>
              </w:rPr>
              <w:t>Atbilstoši iepriekš minētajam, projekta 2</w:t>
            </w:r>
            <w:r w:rsidR="00A16948" w:rsidRPr="00BB1E99">
              <w:rPr>
                <w:rFonts w:ascii="Times New Roman" w:hAnsi="Times New Roman"/>
                <w:sz w:val="24"/>
                <w:szCs w:val="24"/>
              </w:rPr>
              <w:t>3</w:t>
            </w:r>
            <w:r w:rsidRPr="00BB1E99">
              <w:rPr>
                <w:rFonts w:ascii="Times New Roman" w:hAnsi="Times New Roman"/>
                <w:sz w:val="24"/>
                <w:szCs w:val="24"/>
              </w:rPr>
              <w:t>.</w:t>
            </w:r>
            <w:r w:rsidR="00B27592">
              <w:rPr>
                <w:rFonts w:ascii="Times New Roman" w:hAnsi="Times New Roman"/>
                <w:sz w:val="24"/>
                <w:szCs w:val="24"/>
              </w:rPr>
              <w:t> </w:t>
            </w:r>
            <w:r w:rsidRPr="00BB1E99">
              <w:rPr>
                <w:rFonts w:ascii="Times New Roman" w:hAnsi="Times New Roman"/>
                <w:sz w:val="24"/>
                <w:szCs w:val="24"/>
              </w:rPr>
              <w:t>punkts paredz, ka gadījumos, ja nav iespējams precīzi noteikt, no kura laika samazināts patērētās dabasgāzes uzskaitītais daudzums vai radīta iespēja dabasgāzi patērēt bez maksas, strīdu risināšanai tiek piemērota vispārējā kārtība.</w:t>
            </w:r>
          </w:p>
          <w:p w14:paraId="6F38167F" w14:textId="77777777" w:rsidR="00FD220F" w:rsidRPr="00BB1E99" w:rsidRDefault="00FD220F" w:rsidP="00FD220F">
            <w:pPr>
              <w:spacing w:after="0" w:line="240" w:lineRule="auto"/>
              <w:ind w:right="171" w:firstLine="170"/>
              <w:jc w:val="both"/>
              <w:rPr>
                <w:rFonts w:ascii="Times New Roman" w:hAnsi="Times New Roman"/>
                <w:sz w:val="24"/>
                <w:szCs w:val="24"/>
              </w:rPr>
            </w:pPr>
          </w:p>
          <w:p w14:paraId="126F5DBD" w14:textId="2AC9F463" w:rsidR="007C4E71" w:rsidRPr="00BB1E99" w:rsidRDefault="008D34BD" w:rsidP="00FD220F">
            <w:pPr>
              <w:jc w:val="both"/>
              <w:rPr>
                <w:rFonts w:ascii="Times New Roman" w:hAnsi="Times New Roman"/>
                <w:b/>
                <w:bCs/>
                <w:sz w:val="24"/>
                <w:szCs w:val="24"/>
              </w:rPr>
            </w:pPr>
            <w:r w:rsidRPr="00BB1E99">
              <w:rPr>
                <w:rFonts w:ascii="Times New Roman" w:hAnsi="Times New Roman"/>
                <w:b/>
                <w:bCs/>
                <w:sz w:val="24"/>
                <w:szCs w:val="24"/>
              </w:rPr>
              <w:t xml:space="preserve">4. </w:t>
            </w:r>
            <w:r w:rsidR="007C4E71" w:rsidRPr="00BB1E99">
              <w:rPr>
                <w:rFonts w:ascii="Times New Roman" w:hAnsi="Times New Roman"/>
                <w:sz w:val="24"/>
                <w:szCs w:val="24"/>
              </w:rPr>
              <w:t>Lai izvairītos no regulējuma dublēšanas vairākos normatīvajos aktos,</w:t>
            </w:r>
            <w:r w:rsidR="007C4E71" w:rsidRPr="00BB1E99">
              <w:rPr>
                <w:rFonts w:ascii="Times New Roman" w:hAnsi="Times New Roman"/>
                <w:b/>
                <w:bCs/>
                <w:sz w:val="24"/>
                <w:szCs w:val="24"/>
              </w:rPr>
              <w:t xml:space="preserve"> </w:t>
            </w:r>
            <w:r w:rsidRPr="00BB1E99">
              <w:rPr>
                <w:rFonts w:ascii="Times New Roman" w:hAnsi="Times New Roman"/>
                <w:b/>
                <w:bCs/>
                <w:sz w:val="24"/>
                <w:szCs w:val="24"/>
              </w:rPr>
              <w:t xml:space="preserve">Projekta </w:t>
            </w:r>
            <w:r w:rsidR="00A16948" w:rsidRPr="00BB1E99">
              <w:rPr>
                <w:rFonts w:ascii="Times New Roman" w:hAnsi="Times New Roman"/>
                <w:b/>
                <w:bCs/>
                <w:sz w:val="24"/>
                <w:szCs w:val="24"/>
              </w:rPr>
              <w:t>28</w:t>
            </w:r>
            <w:r w:rsidRPr="00BB1E99">
              <w:rPr>
                <w:rFonts w:ascii="Times New Roman" w:hAnsi="Times New Roman"/>
                <w:b/>
                <w:bCs/>
                <w:sz w:val="24"/>
                <w:szCs w:val="24"/>
              </w:rPr>
              <w:t xml:space="preserve">. un </w:t>
            </w:r>
            <w:r w:rsidR="00A16948" w:rsidRPr="00BB1E99">
              <w:rPr>
                <w:rFonts w:ascii="Times New Roman" w:hAnsi="Times New Roman"/>
                <w:b/>
                <w:bCs/>
                <w:sz w:val="24"/>
                <w:szCs w:val="24"/>
              </w:rPr>
              <w:t>29</w:t>
            </w:r>
            <w:r w:rsidRPr="00BB1E99">
              <w:rPr>
                <w:rFonts w:ascii="Times New Roman" w:hAnsi="Times New Roman"/>
                <w:b/>
                <w:bCs/>
                <w:sz w:val="24"/>
                <w:szCs w:val="24"/>
              </w:rPr>
              <w:t>. punkti paredz</w:t>
            </w:r>
            <w:r w:rsidR="007C4E71" w:rsidRPr="00BB1E99">
              <w:rPr>
                <w:rFonts w:ascii="Times New Roman" w:hAnsi="Times New Roman"/>
                <w:b/>
                <w:bCs/>
                <w:sz w:val="24"/>
                <w:szCs w:val="24"/>
              </w:rPr>
              <w:t xml:space="preserve"> svītrot Noteikumu 161.</w:t>
            </w:r>
            <w:r w:rsidR="00B27592">
              <w:rPr>
                <w:rFonts w:ascii="Times New Roman" w:hAnsi="Times New Roman"/>
                <w:b/>
                <w:bCs/>
                <w:sz w:val="24"/>
                <w:szCs w:val="24"/>
              </w:rPr>
              <w:t> </w:t>
            </w:r>
            <w:r w:rsidR="007C4E71" w:rsidRPr="00BB1E99">
              <w:rPr>
                <w:rFonts w:ascii="Times New Roman" w:hAnsi="Times New Roman"/>
                <w:b/>
                <w:bCs/>
                <w:sz w:val="24"/>
                <w:szCs w:val="24"/>
              </w:rPr>
              <w:t xml:space="preserve">punktu, kas noteica pārvades sistēmas operatora tiesības līguma slēgšanas gadījumā pieprasīt līgumsaistību pienācīgas izpildes nodrošinājumu, ja lietotājs tiek likvidēts vai tam ir ierosināts tiesiskās aizsardzības process, </w:t>
            </w:r>
            <w:proofErr w:type="spellStart"/>
            <w:r w:rsidR="007C4E71" w:rsidRPr="00BB1E99">
              <w:rPr>
                <w:rFonts w:ascii="Times New Roman" w:hAnsi="Times New Roman"/>
                <w:b/>
                <w:bCs/>
                <w:sz w:val="24"/>
                <w:szCs w:val="24"/>
              </w:rPr>
              <w:t>ārpustiesas</w:t>
            </w:r>
            <w:proofErr w:type="spellEnd"/>
            <w:r w:rsidR="007C4E71" w:rsidRPr="00BB1E99">
              <w:rPr>
                <w:rFonts w:ascii="Times New Roman" w:hAnsi="Times New Roman"/>
                <w:b/>
                <w:bCs/>
                <w:sz w:val="24"/>
                <w:szCs w:val="24"/>
              </w:rPr>
              <w:t xml:space="preserve"> tiesiskās aizsardzības process vai pasludināts maksātnespējas process.</w:t>
            </w:r>
          </w:p>
          <w:p w14:paraId="1B9E3FBC" w14:textId="01EFD8C6" w:rsidR="00300197" w:rsidRPr="00BB1E99" w:rsidRDefault="007C4E71" w:rsidP="00B27592">
            <w:pPr>
              <w:spacing w:after="0" w:line="240" w:lineRule="auto"/>
              <w:ind w:right="171"/>
              <w:jc w:val="both"/>
              <w:rPr>
                <w:rFonts w:ascii="Times New Roman" w:hAnsi="Times New Roman"/>
                <w:sz w:val="24"/>
                <w:szCs w:val="24"/>
              </w:rPr>
            </w:pPr>
            <w:r w:rsidRPr="00BB1E99">
              <w:rPr>
                <w:rFonts w:ascii="Times New Roman" w:hAnsi="Times New Roman"/>
                <w:sz w:val="24"/>
                <w:szCs w:val="24"/>
              </w:rPr>
              <w:t>Eiropas Parlamenta un Padomes Regulas (EK) Nr.</w:t>
            </w:r>
            <w:r w:rsidR="00B27592">
              <w:rPr>
                <w:rFonts w:ascii="Times New Roman" w:hAnsi="Times New Roman"/>
                <w:sz w:val="24"/>
                <w:szCs w:val="24"/>
              </w:rPr>
              <w:t> </w:t>
            </w:r>
            <w:r w:rsidRPr="00BB1E99">
              <w:rPr>
                <w:rFonts w:ascii="Times New Roman" w:hAnsi="Times New Roman"/>
                <w:sz w:val="24"/>
                <w:szCs w:val="24"/>
              </w:rPr>
              <w:t>715/2009 (2009. gada 13. jūlijs) par nosacījumiem attiecībā uz piekļuvi dabasgāzes pārvades tīkliem un par Regulas (EK) Nr. 1775/2005 atcelšanu 14. panta 3. punkts nosaka, ka sniedzot trešo personu piekļuves pakalpojumus, attiecīgā gadījumā tīkla lietotājiem var pieprasīt atbilstīgas garantijas saistībā ar to kredītspēju.</w:t>
            </w:r>
            <w:r w:rsidR="006351EE" w:rsidRPr="00BB1E99">
              <w:rPr>
                <w:rFonts w:ascii="Times New Roman" w:hAnsi="Times New Roman"/>
                <w:sz w:val="24"/>
                <w:szCs w:val="24"/>
              </w:rPr>
              <w:t xml:space="preserve"> Minētās regulas prasības nav jāpārņem nacionālajā likumdošanā un tās tiek piemērotas tiešā viedā.</w:t>
            </w:r>
            <w:r w:rsidRPr="00BB1E99">
              <w:rPr>
                <w:rFonts w:ascii="Times New Roman" w:hAnsi="Times New Roman"/>
                <w:sz w:val="24"/>
                <w:szCs w:val="24"/>
              </w:rPr>
              <w:t xml:space="preserve"> Šādas garantijas nedrīkst veidot nepamatotus šķēršļus piekļuvei tirgum, un tām jābūt nediskriminējošās, pārredzamām un samērīgām. Papildus tam, vienotie Latvijas-Igaunijas balansēšanas zonas pārvades sistēmas lietošanas noteikumi, kas saskaņoti ar </w:t>
            </w:r>
            <w:r w:rsidR="00B27592">
              <w:rPr>
                <w:rFonts w:ascii="Times New Roman" w:hAnsi="Times New Roman"/>
                <w:sz w:val="24"/>
                <w:szCs w:val="24"/>
              </w:rPr>
              <w:t>Regulatora</w:t>
            </w:r>
            <w:r w:rsidRPr="00BB1E99">
              <w:rPr>
                <w:rFonts w:ascii="Times New Roman" w:hAnsi="Times New Roman"/>
                <w:sz w:val="24"/>
                <w:szCs w:val="24"/>
              </w:rPr>
              <w:t xml:space="preserve"> 2020. gada 23. aprīļa padomes lēmumu Nr.</w:t>
            </w:r>
            <w:r w:rsidR="00B27592">
              <w:rPr>
                <w:rFonts w:ascii="Times New Roman" w:hAnsi="Times New Roman"/>
                <w:sz w:val="24"/>
                <w:szCs w:val="24"/>
              </w:rPr>
              <w:t> </w:t>
            </w:r>
            <w:r w:rsidRPr="00BB1E99">
              <w:rPr>
                <w:rFonts w:ascii="Times New Roman" w:hAnsi="Times New Roman"/>
                <w:sz w:val="24"/>
                <w:szCs w:val="24"/>
              </w:rPr>
              <w:t xml:space="preserve">45 </w:t>
            </w:r>
            <w:r w:rsidR="00B27592">
              <w:rPr>
                <w:rFonts w:ascii="Times New Roman" w:hAnsi="Times New Roman"/>
                <w:sz w:val="24"/>
                <w:szCs w:val="24"/>
              </w:rPr>
              <w:t>“</w:t>
            </w:r>
            <w:r w:rsidRPr="00BB1E99">
              <w:rPr>
                <w:rFonts w:ascii="Times New Roman" w:hAnsi="Times New Roman"/>
                <w:sz w:val="24"/>
                <w:szCs w:val="24"/>
              </w:rPr>
              <w:t xml:space="preserve">Par Vienoto dabasgāzes pārvades sistēmas lietošanas </w:t>
            </w:r>
            <w:r w:rsidRPr="00BB1E99">
              <w:rPr>
                <w:rFonts w:ascii="Times New Roman" w:hAnsi="Times New Roman"/>
                <w:sz w:val="24"/>
                <w:szCs w:val="24"/>
              </w:rPr>
              <w:lastRenderedPageBreak/>
              <w:t>noteikumu saskaņošanu</w:t>
            </w:r>
            <w:r w:rsidR="00B27592">
              <w:rPr>
                <w:rFonts w:ascii="Times New Roman" w:hAnsi="Times New Roman"/>
                <w:sz w:val="24"/>
                <w:szCs w:val="24"/>
              </w:rPr>
              <w:t>”</w:t>
            </w:r>
            <w:r w:rsidRPr="00BB1E99">
              <w:rPr>
                <w:rFonts w:ascii="Times New Roman" w:hAnsi="Times New Roman"/>
                <w:sz w:val="24"/>
                <w:szCs w:val="24"/>
              </w:rPr>
              <w:t>, jau ietver pretendentu un sistēmas lietotāju kredītspējas un saistību izpildes nodrošinājuma izvērtēšanas un piemērošanas nosacījumus. Tas nozīmē, ka sistēmas lietotāju un pārvades sistēmas operatora savstarpējos saistību izpildes nodrošinājuma jautājumus, kas arī izriet no trešo pušu piekļuves koncepta, uzrauga un saskaņo Regulators.</w:t>
            </w:r>
          </w:p>
          <w:p w14:paraId="6C886DDB" w14:textId="050B0E82" w:rsidR="00A917C7" w:rsidRPr="00BB1E99" w:rsidRDefault="00A917C7" w:rsidP="00FD220F">
            <w:pPr>
              <w:spacing w:before="60" w:after="60" w:line="240" w:lineRule="auto"/>
              <w:ind w:right="65" w:firstLine="349"/>
              <w:jc w:val="both"/>
              <w:rPr>
                <w:rFonts w:ascii="Times New Roman" w:hAnsi="Times New Roman"/>
                <w:sz w:val="24"/>
                <w:szCs w:val="24"/>
              </w:rPr>
            </w:pPr>
          </w:p>
        </w:tc>
      </w:tr>
      <w:tr w:rsidR="008F090E" w:rsidRPr="00BB1E99" w14:paraId="028774F3" w14:textId="77777777" w:rsidTr="00FD220F">
        <w:tc>
          <w:tcPr>
            <w:tcW w:w="237" w:type="pct"/>
            <w:shd w:val="clear" w:color="auto" w:fill="auto"/>
            <w:hideMark/>
          </w:tcPr>
          <w:p w14:paraId="076EEEFE"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lastRenderedPageBreak/>
              <w:t>3.</w:t>
            </w:r>
          </w:p>
        </w:tc>
        <w:tc>
          <w:tcPr>
            <w:tcW w:w="1403" w:type="pct"/>
            <w:shd w:val="clear" w:color="auto" w:fill="auto"/>
            <w:hideMark/>
          </w:tcPr>
          <w:p w14:paraId="45D32FEF"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Projekta izstrādē iesaistītās institūcijas un publiskas personas kapitālsabiedrības</w:t>
            </w:r>
          </w:p>
        </w:tc>
        <w:tc>
          <w:tcPr>
            <w:tcW w:w="3360" w:type="pct"/>
            <w:shd w:val="clear" w:color="auto" w:fill="auto"/>
            <w:hideMark/>
          </w:tcPr>
          <w:p w14:paraId="51E2BD5D" w14:textId="65152C2C" w:rsidR="00EA2EB6" w:rsidRPr="00BB1E99" w:rsidRDefault="00A93CC5" w:rsidP="00FD220F">
            <w:pPr>
              <w:spacing w:after="0" w:line="240" w:lineRule="auto"/>
              <w:ind w:right="214"/>
              <w:jc w:val="both"/>
              <w:rPr>
                <w:rFonts w:ascii="Times New Roman" w:hAnsi="Times New Roman"/>
                <w:sz w:val="24"/>
                <w:szCs w:val="24"/>
              </w:rPr>
            </w:pPr>
            <w:r w:rsidRPr="00BB1E99">
              <w:rPr>
                <w:rFonts w:ascii="Times New Roman" w:hAnsi="Times New Roman"/>
                <w:sz w:val="24"/>
                <w:szCs w:val="24"/>
                <w:lang w:eastAsia="lv-LV"/>
              </w:rPr>
              <w:t xml:space="preserve">Projekta izstrādes gaitā iebildumus un priekšlikumus iesniedza Tieslietu ministrija, Finanšu ministrija, Vides aizsardzības un reģionālās attīstības ministrija, </w:t>
            </w:r>
            <w:r w:rsidR="001136EC" w:rsidRPr="00BB1E99">
              <w:rPr>
                <w:rFonts w:ascii="Times New Roman" w:hAnsi="Times New Roman"/>
                <w:sz w:val="24"/>
                <w:szCs w:val="24"/>
                <w:lang w:eastAsia="lv-LV"/>
              </w:rPr>
              <w:t>Regulators</w:t>
            </w:r>
            <w:r w:rsidRPr="00BB1E99">
              <w:rPr>
                <w:rFonts w:ascii="Times New Roman" w:hAnsi="Times New Roman"/>
                <w:sz w:val="24"/>
                <w:szCs w:val="24"/>
                <w:lang w:eastAsia="lv-LV"/>
              </w:rPr>
              <w:t>, Latvijas Brīvo arodbiedrību savienība, Latvijas Darba devēju konfederācija, AS “Latvijas Gāze”, AS “GASO”</w:t>
            </w:r>
            <w:r w:rsidR="00C10C12" w:rsidRPr="00BB1E99">
              <w:rPr>
                <w:rFonts w:ascii="Times New Roman" w:hAnsi="Times New Roman"/>
                <w:sz w:val="24"/>
                <w:szCs w:val="24"/>
                <w:lang w:eastAsia="lv-LV"/>
              </w:rPr>
              <w:t>,</w:t>
            </w:r>
            <w:r w:rsidR="00EF63C8" w:rsidRPr="00BB1E99">
              <w:rPr>
                <w:rFonts w:ascii="Times New Roman" w:hAnsi="Times New Roman"/>
                <w:sz w:val="24"/>
                <w:szCs w:val="24"/>
                <w:lang w:eastAsia="lv-LV"/>
              </w:rPr>
              <w:t xml:space="preserve"> AS “Conexus Baltic Grid”</w:t>
            </w:r>
            <w:r w:rsidR="00B27592">
              <w:rPr>
                <w:rFonts w:ascii="Times New Roman" w:hAnsi="Times New Roman"/>
                <w:sz w:val="24"/>
                <w:szCs w:val="24"/>
                <w:lang w:eastAsia="lv-LV"/>
              </w:rPr>
              <w:t xml:space="preserve"> un</w:t>
            </w:r>
            <w:r w:rsidR="00C10C12" w:rsidRPr="00BB1E99">
              <w:rPr>
                <w:rFonts w:ascii="Times New Roman" w:hAnsi="Times New Roman"/>
                <w:sz w:val="24"/>
                <w:szCs w:val="24"/>
                <w:lang w:eastAsia="lv-LV"/>
              </w:rPr>
              <w:t xml:space="preserve"> Patērētāju tiesību aizsardzības centrs.</w:t>
            </w:r>
          </w:p>
        </w:tc>
      </w:tr>
      <w:tr w:rsidR="008F090E" w:rsidRPr="00BB1E99" w14:paraId="24F3D010" w14:textId="77777777" w:rsidTr="00FD220F">
        <w:tc>
          <w:tcPr>
            <w:tcW w:w="237" w:type="pct"/>
            <w:shd w:val="clear" w:color="auto" w:fill="auto"/>
            <w:hideMark/>
          </w:tcPr>
          <w:p w14:paraId="219E51CA"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4.</w:t>
            </w:r>
          </w:p>
        </w:tc>
        <w:tc>
          <w:tcPr>
            <w:tcW w:w="1403" w:type="pct"/>
            <w:shd w:val="clear" w:color="auto" w:fill="auto"/>
            <w:hideMark/>
          </w:tcPr>
          <w:p w14:paraId="51B47F1C" w14:textId="77777777"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 informācija</w:t>
            </w:r>
          </w:p>
        </w:tc>
        <w:tc>
          <w:tcPr>
            <w:tcW w:w="3360" w:type="pct"/>
            <w:shd w:val="clear" w:color="auto" w:fill="auto"/>
            <w:hideMark/>
          </w:tcPr>
          <w:p w14:paraId="147D4604" w14:textId="784C7E61" w:rsidR="008F090E" w:rsidRPr="00BB1E99" w:rsidRDefault="008F090E" w:rsidP="00FD220F">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Nav</w:t>
            </w:r>
            <w:r w:rsidR="00B27592">
              <w:rPr>
                <w:rFonts w:ascii="Times New Roman" w:eastAsia="Times New Roman" w:hAnsi="Times New Roman"/>
                <w:iCs/>
                <w:sz w:val="24"/>
                <w:szCs w:val="24"/>
                <w:lang w:eastAsia="lv-LV"/>
              </w:rPr>
              <w:t>.</w:t>
            </w:r>
          </w:p>
        </w:tc>
      </w:tr>
    </w:tbl>
    <w:p w14:paraId="3881A9AA" w14:textId="55972343" w:rsidR="008F090E" w:rsidRPr="00BB1E99" w:rsidRDefault="00FD220F" w:rsidP="008F090E">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28"/>
        <w:gridCol w:w="6089"/>
      </w:tblGrid>
      <w:tr w:rsidR="008F090E" w:rsidRPr="00BB1E99" w14:paraId="55342B6E" w14:textId="77777777" w:rsidTr="006E74B7">
        <w:trPr>
          <w:trHeight w:val="794"/>
        </w:trPr>
        <w:tc>
          <w:tcPr>
            <w:tcW w:w="0" w:type="auto"/>
            <w:gridSpan w:val="3"/>
            <w:shd w:val="clear" w:color="auto" w:fill="auto"/>
            <w:vAlign w:val="center"/>
            <w:hideMark/>
          </w:tcPr>
          <w:p w14:paraId="6156ACE8" w14:textId="77777777" w:rsidR="008F090E" w:rsidRPr="00BB1E99" w:rsidRDefault="008F090E" w:rsidP="006E74B7">
            <w:pPr>
              <w:spacing w:after="0" w:line="240" w:lineRule="auto"/>
              <w:contextualSpacing/>
              <w:jc w:val="center"/>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II. Tiesību akta projekta ietekme uz sabiedrību, tautsaimniecības attīstību un administratīvo slogu</w:t>
            </w:r>
          </w:p>
        </w:tc>
      </w:tr>
      <w:tr w:rsidR="008F090E" w:rsidRPr="00BB1E99" w14:paraId="761F4717" w14:textId="77777777" w:rsidTr="006E74B7">
        <w:tc>
          <w:tcPr>
            <w:tcW w:w="300" w:type="pct"/>
            <w:shd w:val="clear" w:color="auto" w:fill="auto"/>
            <w:hideMark/>
          </w:tcPr>
          <w:p w14:paraId="4D72EB0F"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1.</w:t>
            </w:r>
          </w:p>
        </w:tc>
        <w:tc>
          <w:tcPr>
            <w:tcW w:w="1340" w:type="pct"/>
            <w:shd w:val="clear" w:color="auto" w:fill="auto"/>
            <w:hideMark/>
          </w:tcPr>
          <w:p w14:paraId="4CB07EF5"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 xml:space="preserve">Sabiedrības </w:t>
            </w:r>
            <w:proofErr w:type="spellStart"/>
            <w:r w:rsidRPr="00BB1E99">
              <w:rPr>
                <w:rFonts w:ascii="Times New Roman" w:eastAsia="Times New Roman" w:hAnsi="Times New Roman"/>
                <w:iCs/>
                <w:sz w:val="24"/>
                <w:szCs w:val="24"/>
                <w:lang w:eastAsia="lv-LV"/>
              </w:rPr>
              <w:t>mērķgrupas</w:t>
            </w:r>
            <w:proofErr w:type="spellEnd"/>
            <w:r w:rsidRPr="00BB1E99">
              <w:rPr>
                <w:rFonts w:ascii="Times New Roman" w:eastAsia="Times New Roman" w:hAnsi="Times New Roman"/>
                <w:iCs/>
                <w:sz w:val="24"/>
                <w:szCs w:val="24"/>
                <w:lang w:eastAsia="lv-LV"/>
              </w:rPr>
              <w:t>, kuras tiesiskais regulējums ietekmē vai varētu ietekmēt</w:t>
            </w:r>
          </w:p>
        </w:tc>
        <w:tc>
          <w:tcPr>
            <w:tcW w:w="3360" w:type="pct"/>
            <w:shd w:val="clear" w:color="auto" w:fill="auto"/>
            <w:hideMark/>
          </w:tcPr>
          <w:p w14:paraId="5CE2713E" w14:textId="29EA338D" w:rsidR="008F090E" w:rsidRPr="00BB1E99" w:rsidRDefault="008F090E" w:rsidP="004E322A">
            <w:pPr>
              <w:spacing w:after="0" w:line="240" w:lineRule="auto"/>
              <w:contextualSpacing/>
              <w:jc w:val="both"/>
              <w:rPr>
                <w:rFonts w:ascii="Times New Roman" w:hAnsi="Times New Roman"/>
                <w:sz w:val="24"/>
                <w:szCs w:val="24"/>
              </w:rPr>
            </w:pPr>
            <w:r w:rsidRPr="00BB1E99">
              <w:rPr>
                <w:rFonts w:ascii="Times New Roman" w:hAnsi="Times New Roman"/>
                <w:sz w:val="24"/>
                <w:szCs w:val="24"/>
              </w:rPr>
              <w:t xml:space="preserve">Projekts attiecas uz </w:t>
            </w:r>
            <w:r w:rsidR="004E322A" w:rsidRPr="00BB1E99">
              <w:rPr>
                <w:rFonts w:ascii="Times New Roman" w:hAnsi="Times New Roman"/>
                <w:sz w:val="24"/>
                <w:szCs w:val="24"/>
              </w:rPr>
              <w:t xml:space="preserve">potenciāliem </w:t>
            </w:r>
            <w:r w:rsidR="00B27592">
              <w:rPr>
                <w:rFonts w:ascii="Times New Roman" w:hAnsi="Times New Roman"/>
                <w:sz w:val="24"/>
                <w:szCs w:val="24"/>
              </w:rPr>
              <w:t>SDG</w:t>
            </w:r>
            <w:r w:rsidR="004E322A" w:rsidRPr="00BB1E99">
              <w:rPr>
                <w:rFonts w:ascii="Times New Roman" w:hAnsi="Times New Roman"/>
                <w:sz w:val="24"/>
                <w:szCs w:val="24"/>
              </w:rPr>
              <w:t xml:space="preserve"> sistēmas operatoriem, </w:t>
            </w:r>
            <w:r w:rsidR="001136EC" w:rsidRPr="00BB1E99">
              <w:rPr>
                <w:rFonts w:ascii="Times New Roman" w:hAnsi="Times New Roman"/>
                <w:sz w:val="24"/>
                <w:szCs w:val="24"/>
              </w:rPr>
              <w:t>Regulatoru</w:t>
            </w:r>
            <w:r w:rsidR="008529D0" w:rsidRPr="00BB1E99">
              <w:rPr>
                <w:rFonts w:ascii="Times New Roman" w:hAnsi="Times New Roman"/>
                <w:sz w:val="24"/>
                <w:szCs w:val="24"/>
              </w:rPr>
              <w:t xml:space="preserve">, </w:t>
            </w:r>
            <w:r w:rsidR="00D77797" w:rsidRPr="00BB1E99">
              <w:rPr>
                <w:rFonts w:ascii="Times New Roman" w:hAnsi="Times New Roman"/>
                <w:sz w:val="24"/>
                <w:szCs w:val="24"/>
              </w:rPr>
              <w:t xml:space="preserve">dabasgāzes </w:t>
            </w:r>
            <w:r w:rsidR="008529D0" w:rsidRPr="00BB1E99">
              <w:rPr>
                <w:rFonts w:ascii="Times New Roman" w:hAnsi="Times New Roman"/>
                <w:sz w:val="24"/>
                <w:szCs w:val="24"/>
              </w:rPr>
              <w:t>pārvades un sadales sistēmas operatoriem, dabasgāzes tirgotājiem un lietotājiem.</w:t>
            </w:r>
          </w:p>
        </w:tc>
      </w:tr>
      <w:tr w:rsidR="008F090E" w:rsidRPr="00BB1E99" w14:paraId="45FCD0BC" w14:textId="77777777" w:rsidTr="006E74B7">
        <w:tc>
          <w:tcPr>
            <w:tcW w:w="300" w:type="pct"/>
            <w:shd w:val="clear" w:color="auto" w:fill="auto"/>
            <w:hideMark/>
          </w:tcPr>
          <w:p w14:paraId="28F728F4"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2.</w:t>
            </w:r>
          </w:p>
        </w:tc>
        <w:tc>
          <w:tcPr>
            <w:tcW w:w="1340" w:type="pct"/>
            <w:shd w:val="clear" w:color="auto" w:fill="auto"/>
            <w:hideMark/>
          </w:tcPr>
          <w:p w14:paraId="2CEAEC30"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Tiesiskā regulējuma ietekme uz tautsaimniecību un administratīvo slogu</w:t>
            </w:r>
          </w:p>
        </w:tc>
        <w:tc>
          <w:tcPr>
            <w:tcW w:w="3360" w:type="pct"/>
            <w:shd w:val="clear" w:color="auto" w:fill="auto"/>
            <w:hideMark/>
          </w:tcPr>
          <w:p w14:paraId="3BCD171F" w14:textId="37FA9A73" w:rsidR="008F090E" w:rsidRPr="00BB1E99" w:rsidRDefault="00A93CC5" w:rsidP="00531EE7">
            <w:pPr>
              <w:spacing w:after="0" w:line="240" w:lineRule="auto"/>
              <w:contextualSpacing/>
              <w:jc w:val="both"/>
              <w:rPr>
                <w:rFonts w:ascii="Times New Roman" w:hAnsi="Times New Roman"/>
                <w:sz w:val="24"/>
                <w:szCs w:val="24"/>
              </w:rPr>
            </w:pPr>
            <w:r w:rsidRPr="00BB1E99">
              <w:rPr>
                <w:rFonts w:ascii="Times New Roman" w:hAnsi="Times New Roman"/>
                <w:sz w:val="24"/>
                <w:szCs w:val="24"/>
              </w:rPr>
              <w:t xml:space="preserve">Sabiedrības grupām un institūcijām projekta tiesiskais regulējums nemaina tiesības un pienākumus, kā arī veicamās darbības. </w:t>
            </w:r>
            <w:r w:rsidR="00D07583" w:rsidRPr="00BB1E99">
              <w:rPr>
                <w:rFonts w:ascii="Times New Roman" w:hAnsi="Times New Roman"/>
                <w:sz w:val="24"/>
                <w:szCs w:val="24"/>
              </w:rPr>
              <w:t xml:space="preserve">Projektam nav paredzama ietekme uz administratīvo slogu. Projektā ietvertās tiesību normas neradīs negatīvu ietekmi uz tautsaimniecību, tostarp, uzņēmumiem. </w:t>
            </w:r>
          </w:p>
        </w:tc>
      </w:tr>
      <w:tr w:rsidR="008F090E" w:rsidRPr="00BB1E99" w14:paraId="0339AACE" w14:textId="77777777" w:rsidTr="006E74B7">
        <w:tc>
          <w:tcPr>
            <w:tcW w:w="300" w:type="pct"/>
            <w:shd w:val="clear" w:color="auto" w:fill="auto"/>
            <w:hideMark/>
          </w:tcPr>
          <w:p w14:paraId="0EE09949"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3.</w:t>
            </w:r>
          </w:p>
        </w:tc>
        <w:tc>
          <w:tcPr>
            <w:tcW w:w="1340" w:type="pct"/>
            <w:shd w:val="clear" w:color="auto" w:fill="auto"/>
            <w:hideMark/>
          </w:tcPr>
          <w:p w14:paraId="596548F4"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Administratīvo izmaksu monetārs novērtējums</w:t>
            </w:r>
          </w:p>
        </w:tc>
        <w:tc>
          <w:tcPr>
            <w:tcW w:w="3360" w:type="pct"/>
            <w:shd w:val="clear" w:color="auto" w:fill="auto"/>
            <w:hideMark/>
          </w:tcPr>
          <w:p w14:paraId="1DACA4C4" w14:textId="7C1DB1FE" w:rsidR="008F090E" w:rsidRPr="00BB1E99" w:rsidRDefault="008F090E" w:rsidP="006E74B7">
            <w:pPr>
              <w:spacing w:after="0" w:line="240" w:lineRule="auto"/>
              <w:contextualSpacing/>
              <w:jc w:val="both"/>
              <w:rPr>
                <w:rFonts w:ascii="Times New Roman" w:eastAsia="Times New Roman" w:hAnsi="Times New Roman"/>
                <w:iCs/>
                <w:sz w:val="24"/>
                <w:szCs w:val="24"/>
                <w:lang w:eastAsia="lv-LV"/>
              </w:rPr>
            </w:pPr>
            <w:r w:rsidRPr="00BB1E99">
              <w:rPr>
                <w:rFonts w:ascii="Times New Roman" w:hAnsi="Times New Roman"/>
                <w:sz w:val="24"/>
                <w:szCs w:val="24"/>
              </w:rPr>
              <w:t>Projekts šo jomu neskar</w:t>
            </w:r>
            <w:r w:rsidR="00D07583" w:rsidRPr="00BB1E99">
              <w:rPr>
                <w:rFonts w:ascii="Times New Roman" w:hAnsi="Times New Roman"/>
                <w:sz w:val="24"/>
                <w:szCs w:val="24"/>
              </w:rPr>
              <w:t>.</w:t>
            </w:r>
          </w:p>
        </w:tc>
      </w:tr>
      <w:tr w:rsidR="008F090E" w:rsidRPr="00BB1E99" w14:paraId="61362258" w14:textId="77777777" w:rsidTr="006E74B7">
        <w:tc>
          <w:tcPr>
            <w:tcW w:w="300" w:type="pct"/>
            <w:shd w:val="clear" w:color="auto" w:fill="auto"/>
            <w:hideMark/>
          </w:tcPr>
          <w:p w14:paraId="565A4BC5"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4.</w:t>
            </w:r>
          </w:p>
        </w:tc>
        <w:tc>
          <w:tcPr>
            <w:tcW w:w="1340" w:type="pct"/>
            <w:shd w:val="clear" w:color="auto" w:fill="auto"/>
            <w:hideMark/>
          </w:tcPr>
          <w:p w14:paraId="6119A17A"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Atbilstības izmaksu monetārs novērtējums</w:t>
            </w:r>
          </w:p>
        </w:tc>
        <w:tc>
          <w:tcPr>
            <w:tcW w:w="3360" w:type="pct"/>
            <w:shd w:val="clear" w:color="auto" w:fill="auto"/>
            <w:hideMark/>
          </w:tcPr>
          <w:p w14:paraId="2F54BF28" w14:textId="1A4254B6"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hAnsi="Times New Roman"/>
                <w:sz w:val="24"/>
                <w:szCs w:val="24"/>
              </w:rPr>
              <w:t>Projekts šo jomu neskar</w:t>
            </w:r>
            <w:r w:rsidR="00D07583" w:rsidRPr="00BB1E99">
              <w:rPr>
                <w:rFonts w:ascii="Times New Roman" w:hAnsi="Times New Roman"/>
                <w:sz w:val="24"/>
                <w:szCs w:val="24"/>
              </w:rPr>
              <w:t>.</w:t>
            </w:r>
          </w:p>
        </w:tc>
      </w:tr>
      <w:tr w:rsidR="008F090E" w:rsidRPr="00BB1E99" w14:paraId="2D07E2F5" w14:textId="77777777" w:rsidTr="006E74B7">
        <w:tc>
          <w:tcPr>
            <w:tcW w:w="300" w:type="pct"/>
            <w:shd w:val="clear" w:color="auto" w:fill="auto"/>
            <w:hideMark/>
          </w:tcPr>
          <w:p w14:paraId="74D06860"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5.</w:t>
            </w:r>
          </w:p>
        </w:tc>
        <w:tc>
          <w:tcPr>
            <w:tcW w:w="1340" w:type="pct"/>
            <w:shd w:val="clear" w:color="auto" w:fill="auto"/>
            <w:hideMark/>
          </w:tcPr>
          <w:p w14:paraId="7A4125FB"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 informācija</w:t>
            </w:r>
          </w:p>
        </w:tc>
        <w:tc>
          <w:tcPr>
            <w:tcW w:w="3360" w:type="pct"/>
            <w:shd w:val="clear" w:color="auto" w:fill="auto"/>
            <w:hideMark/>
          </w:tcPr>
          <w:p w14:paraId="305AF8CF" w14:textId="18C8679D"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Nav</w:t>
            </w:r>
            <w:r w:rsidR="00B27592">
              <w:rPr>
                <w:rFonts w:ascii="Times New Roman" w:eastAsia="Times New Roman" w:hAnsi="Times New Roman"/>
                <w:iCs/>
                <w:sz w:val="24"/>
                <w:szCs w:val="24"/>
                <w:lang w:eastAsia="lv-LV"/>
              </w:rPr>
              <w:t>.</w:t>
            </w:r>
          </w:p>
        </w:tc>
      </w:tr>
    </w:tbl>
    <w:p w14:paraId="229AAEF7" w14:textId="77777777" w:rsidR="008F090E" w:rsidRPr="00BB1E99" w:rsidRDefault="008F090E" w:rsidP="008F090E">
      <w:pPr>
        <w:spacing w:after="0" w:line="240" w:lineRule="auto"/>
        <w:contextualSpacing/>
        <w:rPr>
          <w:rFonts w:ascii="Times New Roman" w:eastAsia="Times New Roman" w:hAnsi="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F090E" w:rsidRPr="00BB1E99" w14:paraId="11AEE875" w14:textId="77777777" w:rsidTr="006E74B7">
        <w:trPr>
          <w:trHeight w:val="794"/>
        </w:trPr>
        <w:tc>
          <w:tcPr>
            <w:tcW w:w="0" w:type="auto"/>
            <w:shd w:val="clear" w:color="auto" w:fill="auto"/>
            <w:vAlign w:val="center"/>
            <w:hideMark/>
          </w:tcPr>
          <w:p w14:paraId="23370B08" w14:textId="77777777" w:rsidR="008F090E" w:rsidRPr="00BB1E99" w:rsidRDefault="008F090E" w:rsidP="006E74B7">
            <w:pPr>
              <w:spacing w:after="0" w:line="240" w:lineRule="auto"/>
              <w:jc w:val="center"/>
              <w:rPr>
                <w:rFonts w:ascii="Times New Roman" w:eastAsia="Times New Roman" w:hAnsi="Times New Roman"/>
                <w:b/>
                <w:bCs/>
                <w:iCs/>
                <w:color w:val="000000"/>
                <w:sz w:val="24"/>
                <w:szCs w:val="24"/>
                <w:lang w:eastAsia="lv-LV"/>
              </w:rPr>
            </w:pPr>
            <w:r w:rsidRPr="00BB1E99">
              <w:rPr>
                <w:rFonts w:ascii="Times New Roman" w:eastAsia="Times New Roman" w:hAnsi="Times New Roman"/>
                <w:b/>
                <w:bCs/>
                <w:iCs/>
                <w:color w:val="000000"/>
                <w:sz w:val="24"/>
                <w:szCs w:val="24"/>
                <w:lang w:eastAsia="lv-LV"/>
              </w:rPr>
              <w:t>III. Tiesību akta projekta ietekme uz valsts budžetu un pašvaldību budžetiem</w:t>
            </w:r>
          </w:p>
        </w:tc>
      </w:tr>
      <w:tr w:rsidR="008F090E" w:rsidRPr="00BB1E99" w14:paraId="0EE4F657" w14:textId="77777777" w:rsidTr="006E74B7">
        <w:tc>
          <w:tcPr>
            <w:tcW w:w="5000" w:type="pct"/>
            <w:shd w:val="clear" w:color="auto" w:fill="auto"/>
            <w:hideMark/>
          </w:tcPr>
          <w:p w14:paraId="7E188CF8" w14:textId="77777777" w:rsidR="008F090E" w:rsidRPr="00BB1E99" w:rsidRDefault="008F090E" w:rsidP="006E74B7">
            <w:pPr>
              <w:spacing w:after="0" w:line="240" w:lineRule="auto"/>
              <w:jc w:val="center"/>
              <w:rPr>
                <w:rFonts w:ascii="Times New Roman" w:eastAsia="Times New Roman" w:hAnsi="Times New Roman"/>
                <w:iCs/>
                <w:color w:val="000000"/>
                <w:sz w:val="24"/>
                <w:szCs w:val="24"/>
                <w:lang w:eastAsia="lv-LV"/>
              </w:rPr>
            </w:pPr>
            <w:r w:rsidRPr="00BB1E99">
              <w:rPr>
                <w:rFonts w:ascii="Times New Roman" w:eastAsia="Times New Roman" w:hAnsi="Times New Roman"/>
                <w:bCs/>
                <w:iCs/>
                <w:sz w:val="24"/>
                <w:szCs w:val="24"/>
                <w:lang w:eastAsia="lv-LV"/>
              </w:rPr>
              <w:t>Projekts šo jomu neskar</w:t>
            </w:r>
          </w:p>
        </w:tc>
      </w:tr>
    </w:tbl>
    <w:p w14:paraId="00CB1EFB" w14:textId="77777777" w:rsidR="008F090E" w:rsidRPr="00BB1E99" w:rsidRDefault="008F090E" w:rsidP="008F090E">
      <w:pPr>
        <w:spacing w:after="0" w:line="240" w:lineRule="auto"/>
        <w:rPr>
          <w:rFonts w:ascii="Times New Roman" w:eastAsia="Times New Roman" w:hAnsi="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081"/>
        <w:gridCol w:w="5437"/>
      </w:tblGrid>
      <w:tr w:rsidR="008F090E" w:rsidRPr="00BB1E99" w14:paraId="6C43D3AD" w14:textId="77777777" w:rsidTr="006E74B7">
        <w:trPr>
          <w:trHeight w:val="454"/>
        </w:trPr>
        <w:tc>
          <w:tcPr>
            <w:tcW w:w="0" w:type="auto"/>
            <w:gridSpan w:val="3"/>
            <w:shd w:val="clear" w:color="auto" w:fill="auto"/>
            <w:vAlign w:val="center"/>
            <w:hideMark/>
          </w:tcPr>
          <w:p w14:paraId="0B703F94" w14:textId="77777777" w:rsidR="008F090E" w:rsidRPr="00BB1E99" w:rsidRDefault="008F090E" w:rsidP="006E74B7">
            <w:pPr>
              <w:spacing w:after="0" w:line="240" w:lineRule="auto"/>
              <w:jc w:val="center"/>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IV. Tiesību akta projekta ietekme uz spēkā esošo tiesību normu sistēmu</w:t>
            </w:r>
          </w:p>
        </w:tc>
      </w:tr>
      <w:tr w:rsidR="005733B6" w:rsidRPr="00BB1E99" w14:paraId="278B2DC5" w14:textId="77777777" w:rsidTr="005733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300" w:type="pct"/>
            <w:tcBorders>
              <w:top w:val="outset" w:sz="6" w:space="0" w:color="auto"/>
              <w:left w:val="outset" w:sz="6" w:space="0" w:color="auto"/>
              <w:bottom w:val="outset" w:sz="6" w:space="0" w:color="auto"/>
              <w:right w:val="outset" w:sz="6" w:space="0" w:color="auto"/>
            </w:tcBorders>
            <w:hideMark/>
          </w:tcPr>
          <w:p w14:paraId="2FF446BF"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4ADEC2"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8509C5B" w14:textId="17E27B72"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 xml:space="preserve">Grozījumi Ministru kabineta 2007. gada 9. janvāra noteikumos Nr. 40 </w:t>
            </w:r>
            <w:r w:rsidR="00B27592">
              <w:rPr>
                <w:rFonts w:ascii="Times New Roman" w:eastAsia="Times New Roman" w:hAnsi="Times New Roman"/>
                <w:iCs/>
                <w:sz w:val="24"/>
                <w:szCs w:val="24"/>
                <w:lang w:eastAsia="lv-LV"/>
              </w:rPr>
              <w:t>“</w:t>
            </w:r>
            <w:r w:rsidRPr="00BB1E99">
              <w:rPr>
                <w:rFonts w:ascii="Times New Roman" w:eastAsia="Times New Roman" w:hAnsi="Times New Roman"/>
                <w:iCs/>
                <w:sz w:val="24"/>
                <w:szCs w:val="24"/>
                <w:lang w:eastAsia="lv-LV"/>
              </w:rPr>
              <w:t>Noteikumi par valsts metroloģiskai kontrolei pakļauto mērīšanas līdzekļu sarakstu</w:t>
            </w:r>
            <w:r w:rsidR="00B27592">
              <w:rPr>
                <w:rFonts w:ascii="Times New Roman" w:eastAsia="Times New Roman" w:hAnsi="Times New Roman"/>
                <w:iCs/>
                <w:sz w:val="24"/>
                <w:szCs w:val="24"/>
                <w:lang w:eastAsia="lv-LV"/>
              </w:rPr>
              <w:t>”</w:t>
            </w:r>
            <w:r w:rsidRPr="00BB1E99">
              <w:rPr>
                <w:rFonts w:ascii="Times New Roman" w:eastAsia="Times New Roman" w:hAnsi="Times New Roman"/>
                <w:iCs/>
                <w:sz w:val="24"/>
                <w:szCs w:val="24"/>
                <w:lang w:eastAsia="lv-LV"/>
              </w:rPr>
              <w:t>.</w:t>
            </w:r>
          </w:p>
        </w:tc>
      </w:tr>
      <w:tr w:rsidR="005733B6" w:rsidRPr="00BB1E99" w14:paraId="34FBEB75" w14:textId="77777777" w:rsidTr="005733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300" w:type="pct"/>
            <w:tcBorders>
              <w:top w:val="outset" w:sz="6" w:space="0" w:color="auto"/>
              <w:left w:val="outset" w:sz="6" w:space="0" w:color="auto"/>
              <w:bottom w:val="outset" w:sz="6" w:space="0" w:color="auto"/>
              <w:right w:val="outset" w:sz="6" w:space="0" w:color="auto"/>
            </w:tcBorders>
            <w:hideMark/>
          </w:tcPr>
          <w:p w14:paraId="2167A8D3"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C45A5B"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7CB1546"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Ekonomikas ministrija</w:t>
            </w:r>
          </w:p>
        </w:tc>
      </w:tr>
      <w:tr w:rsidR="005733B6" w:rsidRPr="00BB1E99" w14:paraId="789DE5EE" w14:textId="77777777" w:rsidTr="005733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300" w:type="pct"/>
            <w:tcBorders>
              <w:top w:val="outset" w:sz="6" w:space="0" w:color="auto"/>
              <w:left w:val="outset" w:sz="6" w:space="0" w:color="auto"/>
              <w:bottom w:val="outset" w:sz="6" w:space="0" w:color="auto"/>
              <w:right w:val="outset" w:sz="6" w:space="0" w:color="auto"/>
            </w:tcBorders>
            <w:hideMark/>
          </w:tcPr>
          <w:p w14:paraId="3F84B6DA"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67B0BF" w14:textId="77777777"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F46A46" w14:textId="623F29F8" w:rsidR="005733B6" w:rsidRPr="00BB1E99" w:rsidRDefault="005733B6"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 xml:space="preserve">Grozījumi Ministru kabineta 2007. gada 9. janvāra noteikumos Nr. 40 </w:t>
            </w:r>
            <w:r w:rsidR="00B27592">
              <w:rPr>
                <w:rFonts w:ascii="Times New Roman" w:eastAsia="Times New Roman" w:hAnsi="Times New Roman"/>
                <w:iCs/>
                <w:sz w:val="24"/>
                <w:szCs w:val="24"/>
                <w:lang w:eastAsia="lv-LV"/>
              </w:rPr>
              <w:t>“</w:t>
            </w:r>
            <w:r w:rsidRPr="00BB1E99">
              <w:rPr>
                <w:rFonts w:ascii="Times New Roman" w:eastAsia="Times New Roman" w:hAnsi="Times New Roman"/>
                <w:iCs/>
                <w:sz w:val="24"/>
                <w:szCs w:val="24"/>
                <w:lang w:eastAsia="lv-LV"/>
              </w:rPr>
              <w:t>Noteikumi par valsts metroloģiskai kontrolei pakļauto mērīšanas līdzekļu sarakstu” ir izstrādāts un tiks iesniegts izskatīšanai Ministru kabinetā vienlaicīgi ar Noteikumu projektu.</w:t>
            </w:r>
          </w:p>
        </w:tc>
      </w:tr>
    </w:tbl>
    <w:p w14:paraId="528CF8BC" w14:textId="77777777" w:rsidR="008F090E" w:rsidRPr="00BB1E99" w:rsidRDefault="008F090E" w:rsidP="008F090E">
      <w:pPr>
        <w:spacing w:after="0" w:line="240" w:lineRule="auto"/>
        <w:rPr>
          <w:rFonts w:ascii="Times New Roman" w:eastAsia="Times New Roman" w:hAnsi="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081"/>
        <w:gridCol w:w="5437"/>
      </w:tblGrid>
      <w:tr w:rsidR="008F090E" w:rsidRPr="00BB1E99" w14:paraId="7B731895" w14:textId="77777777" w:rsidTr="006E74B7">
        <w:trPr>
          <w:trHeight w:val="737"/>
        </w:trPr>
        <w:tc>
          <w:tcPr>
            <w:tcW w:w="0" w:type="auto"/>
            <w:gridSpan w:val="3"/>
            <w:shd w:val="clear" w:color="auto" w:fill="auto"/>
            <w:vAlign w:val="center"/>
            <w:hideMark/>
          </w:tcPr>
          <w:p w14:paraId="052F1CDE" w14:textId="77777777" w:rsidR="008F090E" w:rsidRPr="00BB1E99" w:rsidRDefault="008F090E" w:rsidP="006E74B7">
            <w:pPr>
              <w:spacing w:after="0" w:line="240" w:lineRule="auto"/>
              <w:jc w:val="center"/>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V. Tiesību akta projekta atbilstība Latvijas Republikas starptautiskajām saistībām</w:t>
            </w:r>
          </w:p>
        </w:tc>
      </w:tr>
      <w:tr w:rsidR="003B53AA" w:rsidRPr="00BB1E99" w14:paraId="177B2DD4" w14:textId="77777777" w:rsidTr="003B53A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300" w:type="pct"/>
            <w:tcBorders>
              <w:top w:val="outset" w:sz="6" w:space="0" w:color="auto"/>
              <w:left w:val="outset" w:sz="6" w:space="0" w:color="auto"/>
              <w:bottom w:val="outset" w:sz="6" w:space="0" w:color="auto"/>
              <w:right w:val="outset" w:sz="6" w:space="0" w:color="auto"/>
            </w:tcBorders>
            <w:hideMark/>
          </w:tcPr>
          <w:p w14:paraId="25588762"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4E726C"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B8DBC3C" w14:textId="46397885" w:rsidR="003B53AA" w:rsidRPr="00BB1E99" w:rsidRDefault="00AF481F"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Eiropas Parlamenta un Padomes Direktīv</w:t>
            </w:r>
            <w:r w:rsidR="00B27592">
              <w:rPr>
                <w:rFonts w:ascii="Times New Roman" w:eastAsia="Times New Roman" w:hAnsi="Times New Roman"/>
                <w:iCs/>
                <w:sz w:val="24"/>
                <w:szCs w:val="24"/>
                <w:lang w:eastAsia="lv-LV"/>
              </w:rPr>
              <w:t>a</w:t>
            </w:r>
            <w:r w:rsidRPr="00BB1E99">
              <w:rPr>
                <w:rFonts w:ascii="Times New Roman" w:eastAsia="Times New Roman" w:hAnsi="Times New Roman"/>
                <w:iCs/>
                <w:sz w:val="24"/>
                <w:szCs w:val="24"/>
                <w:lang w:eastAsia="lv-LV"/>
              </w:rPr>
              <w:t xml:space="preserve"> 2009/73/EK par kopīgiem noteikumiem attiecībā uz dabasgāzes iekšējo tirgu un par Direktīvas 2003/55/EK</w:t>
            </w:r>
          </w:p>
        </w:tc>
      </w:tr>
      <w:tr w:rsidR="003B53AA" w:rsidRPr="00BB1E99" w14:paraId="6A8845D3" w14:textId="77777777" w:rsidTr="003B53A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300" w:type="pct"/>
            <w:tcBorders>
              <w:top w:val="outset" w:sz="6" w:space="0" w:color="auto"/>
              <w:left w:val="outset" w:sz="6" w:space="0" w:color="auto"/>
              <w:bottom w:val="outset" w:sz="6" w:space="0" w:color="auto"/>
              <w:right w:val="outset" w:sz="6" w:space="0" w:color="auto"/>
            </w:tcBorders>
            <w:hideMark/>
          </w:tcPr>
          <w:p w14:paraId="6B99E44C"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D81FFD"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4FE16F"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Projekts šo jomu neskar.</w:t>
            </w:r>
          </w:p>
        </w:tc>
      </w:tr>
      <w:tr w:rsidR="003B53AA" w:rsidRPr="00BB1E99" w14:paraId="72F90D58" w14:textId="77777777" w:rsidTr="003B53A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300" w:type="pct"/>
            <w:tcBorders>
              <w:top w:val="outset" w:sz="6" w:space="0" w:color="auto"/>
              <w:left w:val="outset" w:sz="6" w:space="0" w:color="auto"/>
              <w:bottom w:val="outset" w:sz="6" w:space="0" w:color="auto"/>
              <w:right w:val="outset" w:sz="6" w:space="0" w:color="auto"/>
            </w:tcBorders>
            <w:hideMark/>
          </w:tcPr>
          <w:p w14:paraId="08EB9C14"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CF585F"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7E1BB1"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Nav.</w:t>
            </w:r>
          </w:p>
        </w:tc>
      </w:tr>
    </w:tbl>
    <w:p w14:paraId="5781E413" w14:textId="77777777" w:rsidR="003B53AA" w:rsidRPr="00BB1E99" w:rsidRDefault="003B53AA" w:rsidP="003B53AA">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40"/>
        <w:gridCol w:w="2271"/>
        <w:gridCol w:w="2304"/>
      </w:tblGrid>
      <w:tr w:rsidR="003B53AA" w:rsidRPr="00BB1E99" w14:paraId="7D1CDBB9" w14:textId="77777777" w:rsidTr="00F11018">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D179787" w14:textId="77777777" w:rsidR="003B53AA" w:rsidRPr="00BB1E99" w:rsidRDefault="003B53AA" w:rsidP="00F11018">
            <w:pPr>
              <w:spacing w:after="0" w:line="240" w:lineRule="auto"/>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1. tabula</w:t>
            </w:r>
            <w:r w:rsidRPr="00BB1E99">
              <w:rPr>
                <w:rFonts w:ascii="Times New Roman" w:eastAsia="Times New Roman" w:hAnsi="Times New Roman"/>
                <w:b/>
                <w:bCs/>
                <w:iCs/>
                <w:sz w:val="24"/>
                <w:szCs w:val="24"/>
                <w:lang w:eastAsia="lv-LV"/>
              </w:rPr>
              <w:br/>
              <w:t>Tiesību akta projekta atbilstība ES tiesību aktiem</w:t>
            </w:r>
          </w:p>
        </w:tc>
      </w:tr>
      <w:tr w:rsidR="003B53AA" w:rsidRPr="00BB1E99" w14:paraId="7DFC2FD5" w14:textId="77777777" w:rsidTr="00F11018">
        <w:tc>
          <w:tcPr>
            <w:tcW w:w="1237" w:type="pct"/>
            <w:tcBorders>
              <w:top w:val="outset" w:sz="6" w:space="0" w:color="auto"/>
              <w:left w:val="outset" w:sz="6" w:space="0" w:color="auto"/>
              <w:bottom w:val="outset" w:sz="6" w:space="0" w:color="auto"/>
              <w:right w:val="outset" w:sz="6" w:space="0" w:color="auto"/>
            </w:tcBorders>
            <w:hideMark/>
          </w:tcPr>
          <w:p w14:paraId="57264590"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Attiecīgā ES tiesību akta datums, numurs un nosaukums</w:t>
            </w:r>
          </w:p>
        </w:tc>
        <w:tc>
          <w:tcPr>
            <w:tcW w:w="3763" w:type="pct"/>
            <w:gridSpan w:val="3"/>
            <w:tcBorders>
              <w:top w:val="outset" w:sz="6" w:space="0" w:color="auto"/>
              <w:left w:val="outset" w:sz="6" w:space="0" w:color="auto"/>
              <w:bottom w:val="outset" w:sz="6" w:space="0" w:color="auto"/>
              <w:right w:val="outset" w:sz="6" w:space="0" w:color="auto"/>
            </w:tcBorders>
            <w:hideMark/>
          </w:tcPr>
          <w:p w14:paraId="3B3F1457" w14:textId="1B735893" w:rsidR="003B53AA" w:rsidRPr="00BB1E99" w:rsidRDefault="00AF481F"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Eiropas Parlamenta un Padomes Direktīvā 2009/73/EK par kopīgiem noteikumiem attiecībā uz dabasgāzes iekšējo tirgu un par Direktīvas 2003/55/EK</w:t>
            </w:r>
          </w:p>
        </w:tc>
      </w:tr>
      <w:tr w:rsidR="003B53AA" w:rsidRPr="00BB1E99" w14:paraId="21961779" w14:textId="77777777" w:rsidTr="00F11018">
        <w:tc>
          <w:tcPr>
            <w:tcW w:w="1237" w:type="pct"/>
            <w:tcBorders>
              <w:top w:val="outset" w:sz="6" w:space="0" w:color="auto"/>
              <w:left w:val="outset" w:sz="6" w:space="0" w:color="auto"/>
              <w:bottom w:val="outset" w:sz="6" w:space="0" w:color="auto"/>
              <w:right w:val="outset" w:sz="6" w:space="0" w:color="auto"/>
            </w:tcBorders>
            <w:vAlign w:val="center"/>
            <w:hideMark/>
          </w:tcPr>
          <w:p w14:paraId="4EC4039A"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A</w:t>
            </w:r>
          </w:p>
        </w:tc>
        <w:tc>
          <w:tcPr>
            <w:tcW w:w="1237" w:type="pct"/>
            <w:tcBorders>
              <w:top w:val="outset" w:sz="6" w:space="0" w:color="auto"/>
              <w:left w:val="outset" w:sz="6" w:space="0" w:color="auto"/>
              <w:bottom w:val="outset" w:sz="6" w:space="0" w:color="auto"/>
              <w:right w:val="outset" w:sz="6" w:space="0" w:color="auto"/>
            </w:tcBorders>
            <w:vAlign w:val="center"/>
            <w:hideMark/>
          </w:tcPr>
          <w:p w14:paraId="50CB0349"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B</w:t>
            </w:r>
          </w:p>
        </w:tc>
        <w:tc>
          <w:tcPr>
            <w:tcW w:w="1254" w:type="pct"/>
            <w:tcBorders>
              <w:top w:val="outset" w:sz="6" w:space="0" w:color="auto"/>
              <w:left w:val="outset" w:sz="6" w:space="0" w:color="auto"/>
              <w:bottom w:val="outset" w:sz="6" w:space="0" w:color="auto"/>
              <w:right w:val="outset" w:sz="6" w:space="0" w:color="auto"/>
            </w:tcBorders>
            <w:vAlign w:val="center"/>
            <w:hideMark/>
          </w:tcPr>
          <w:p w14:paraId="1749E748"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w:t>
            </w:r>
          </w:p>
        </w:tc>
        <w:tc>
          <w:tcPr>
            <w:tcW w:w="1272" w:type="pct"/>
            <w:tcBorders>
              <w:top w:val="outset" w:sz="6" w:space="0" w:color="auto"/>
              <w:left w:val="outset" w:sz="6" w:space="0" w:color="auto"/>
              <w:bottom w:val="outset" w:sz="6" w:space="0" w:color="auto"/>
              <w:right w:val="outset" w:sz="6" w:space="0" w:color="auto"/>
            </w:tcBorders>
            <w:vAlign w:val="center"/>
            <w:hideMark/>
          </w:tcPr>
          <w:p w14:paraId="093A6DE1"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D</w:t>
            </w:r>
          </w:p>
        </w:tc>
      </w:tr>
      <w:tr w:rsidR="003B53AA" w:rsidRPr="00BB1E99" w14:paraId="23616AE1" w14:textId="77777777" w:rsidTr="00F11018">
        <w:tc>
          <w:tcPr>
            <w:tcW w:w="1237" w:type="pct"/>
            <w:tcBorders>
              <w:top w:val="outset" w:sz="6" w:space="0" w:color="auto"/>
              <w:left w:val="outset" w:sz="6" w:space="0" w:color="auto"/>
              <w:bottom w:val="outset" w:sz="6" w:space="0" w:color="auto"/>
              <w:right w:val="outset" w:sz="6" w:space="0" w:color="auto"/>
            </w:tcBorders>
            <w:hideMark/>
          </w:tcPr>
          <w:p w14:paraId="160F426B"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237" w:type="pct"/>
            <w:tcBorders>
              <w:top w:val="outset" w:sz="6" w:space="0" w:color="auto"/>
              <w:left w:val="outset" w:sz="6" w:space="0" w:color="auto"/>
              <w:bottom w:val="outset" w:sz="6" w:space="0" w:color="auto"/>
              <w:right w:val="outset" w:sz="6" w:space="0" w:color="auto"/>
            </w:tcBorders>
            <w:hideMark/>
          </w:tcPr>
          <w:p w14:paraId="6273C4F5"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4" w:type="pct"/>
            <w:tcBorders>
              <w:top w:val="outset" w:sz="6" w:space="0" w:color="auto"/>
              <w:left w:val="outset" w:sz="6" w:space="0" w:color="auto"/>
              <w:bottom w:val="outset" w:sz="6" w:space="0" w:color="auto"/>
              <w:right w:val="outset" w:sz="6" w:space="0" w:color="auto"/>
            </w:tcBorders>
            <w:hideMark/>
          </w:tcPr>
          <w:p w14:paraId="0E57CCCA"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BB1E99">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B1E99">
              <w:rPr>
                <w:rFonts w:ascii="Times New Roman" w:eastAsia="Times New Roman" w:hAnsi="Times New Roman"/>
                <w:iCs/>
                <w:sz w:val="24"/>
                <w:szCs w:val="24"/>
                <w:lang w:eastAsia="lv-LV"/>
              </w:rPr>
              <w:br/>
              <w:t>Norāda institūciju, kas ir atbildīga par šo saistību izpildi pilnībā</w:t>
            </w:r>
          </w:p>
        </w:tc>
        <w:tc>
          <w:tcPr>
            <w:tcW w:w="1272" w:type="pct"/>
            <w:tcBorders>
              <w:top w:val="outset" w:sz="6" w:space="0" w:color="auto"/>
              <w:left w:val="outset" w:sz="6" w:space="0" w:color="auto"/>
              <w:bottom w:val="outset" w:sz="6" w:space="0" w:color="auto"/>
              <w:right w:val="outset" w:sz="6" w:space="0" w:color="auto"/>
            </w:tcBorders>
            <w:hideMark/>
          </w:tcPr>
          <w:p w14:paraId="5958166E"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BB1E99">
              <w:rPr>
                <w:rFonts w:ascii="Times New Roman" w:eastAsia="Times New Roman" w:hAnsi="Times New Roman"/>
                <w:iCs/>
                <w:sz w:val="24"/>
                <w:szCs w:val="24"/>
                <w:lang w:eastAsia="lv-LV"/>
              </w:rPr>
              <w:br/>
              <w:t>Ja projekts satur stingrākas prasības nekā attiecīgais ES tiesību akts, norāda pamatojumu un samērīgumu.</w:t>
            </w:r>
            <w:r w:rsidRPr="00BB1E99">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B53AA" w:rsidRPr="00BB1E99" w14:paraId="23A5FEDE" w14:textId="77777777" w:rsidTr="00F11018">
        <w:tc>
          <w:tcPr>
            <w:tcW w:w="1237" w:type="pct"/>
            <w:tcBorders>
              <w:top w:val="outset" w:sz="6" w:space="0" w:color="auto"/>
              <w:left w:val="outset" w:sz="6" w:space="0" w:color="auto"/>
              <w:bottom w:val="outset" w:sz="6" w:space="0" w:color="auto"/>
              <w:right w:val="outset" w:sz="6" w:space="0" w:color="auto"/>
            </w:tcBorders>
          </w:tcPr>
          <w:p w14:paraId="6B4E094F" w14:textId="17301198"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Direktīvas 20</w:t>
            </w:r>
            <w:r w:rsidR="00AF481F" w:rsidRPr="00BB1E99">
              <w:rPr>
                <w:rFonts w:ascii="Times New Roman" w:eastAsia="Times New Roman" w:hAnsi="Times New Roman"/>
                <w:iCs/>
                <w:sz w:val="24"/>
                <w:szCs w:val="24"/>
                <w:lang w:eastAsia="lv-LV"/>
              </w:rPr>
              <w:t>09</w:t>
            </w:r>
            <w:r w:rsidRPr="00BB1E99">
              <w:rPr>
                <w:rFonts w:ascii="Times New Roman" w:eastAsia="Times New Roman" w:hAnsi="Times New Roman"/>
                <w:iCs/>
                <w:sz w:val="24"/>
                <w:szCs w:val="24"/>
                <w:lang w:eastAsia="lv-LV"/>
              </w:rPr>
              <w:t>/</w:t>
            </w:r>
            <w:r w:rsidR="00AF481F" w:rsidRPr="00BB1E99">
              <w:rPr>
                <w:rFonts w:ascii="Times New Roman" w:eastAsia="Times New Roman" w:hAnsi="Times New Roman"/>
                <w:iCs/>
                <w:sz w:val="24"/>
                <w:szCs w:val="24"/>
                <w:lang w:eastAsia="lv-LV"/>
              </w:rPr>
              <w:t>73</w:t>
            </w:r>
            <w:r w:rsidRPr="00BB1E99">
              <w:rPr>
                <w:rFonts w:ascii="Times New Roman" w:eastAsia="Times New Roman" w:hAnsi="Times New Roman"/>
                <w:iCs/>
                <w:sz w:val="24"/>
                <w:szCs w:val="24"/>
                <w:lang w:eastAsia="lv-LV"/>
              </w:rPr>
              <w:t xml:space="preserve"> </w:t>
            </w:r>
            <w:r w:rsidR="008C14E7" w:rsidRPr="00BB1E99">
              <w:rPr>
                <w:rFonts w:ascii="Times New Roman" w:eastAsia="Times New Roman" w:hAnsi="Times New Roman"/>
                <w:iCs/>
                <w:sz w:val="24"/>
                <w:szCs w:val="24"/>
                <w:lang w:eastAsia="lv-LV"/>
              </w:rPr>
              <w:t>3. panta 6. punkts</w:t>
            </w:r>
          </w:p>
        </w:tc>
        <w:tc>
          <w:tcPr>
            <w:tcW w:w="1237" w:type="pct"/>
            <w:tcBorders>
              <w:top w:val="outset" w:sz="6" w:space="0" w:color="auto"/>
              <w:left w:val="outset" w:sz="6" w:space="0" w:color="auto"/>
              <w:bottom w:val="outset" w:sz="6" w:space="0" w:color="auto"/>
              <w:right w:val="outset" w:sz="6" w:space="0" w:color="auto"/>
            </w:tcBorders>
          </w:tcPr>
          <w:p w14:paraId="2BC81828" w14:textId="26BBC7EC" w:rsidR="003B53AA" w:rsidRPr="00BB1E99" w:rsidRDefault="00AF481F"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Noteikumu projekta</w:t>
            </w:r>
            <w:r w:rsidR="003B53AA" w:rsidRPr="00BB1E99">
              <w:rPr>
                <w:rFonts w:ascii="Times New Roman" w:eastAsia="Times New Roman" w:hAnsi="Times New Roman"/>
                <w:iCs/>
                <w:sz w:val="24"/>
                <w:szCs w:val="24"/>
                <w:lang w:eastAsia="lv-LV"/>
              </w:rPr>
              <w:t xml:space="preserve"> 1</w:t>
            </w:r>
            <w:r w:rsidR="008C14E7" w:rsidRPr="00BB1E99">
              <w:rPr>
                <w:rFonts w:ascii="Times New Roman" w:eastAsia="Times New Roman" w:hAnsi="Times New Roman"/>
                <w:iCs/>
                <w:sz w:val="24"/>
                <w:szCs w:val="24"/>
                <w:lang w:eastAsia="lv-LV"/>
              </w:rPr>
              <w:t>3</w:t>
            </w:r>
            <w:r w:rsidR="003B53AA" w:rsidRPr="00BB1E99">
              <w:rPr>
                <w:rFonts w:ascii="Times New Roman" w:eastAsia="Times New Roman" w:hAnsi="Times New Roman"/>
                <w:iCs/>
                <w:sz w:val="24"/>
                <w:szCs w:val="24"/>
                <w:lang w:eastAsia="lv-LV"/>
              </w:rPr>
              <w:t>.</w:t>
            </w:r>
            <w:r w:rsidR="008C14E7" w:rsidRPr="00BB1E99">
              <w:rPr>
                <w:rFonts w:ascii="Times New Roman" w:eastAsia="Times New Roman" w:hAnsi="Times New Roman"/>
                <w:iCs/>
                <w:sz w:val="24"/>
                <w:szCs w:val="24"/>
                <w:lang w:eastAsia="lv-LV"/>
              </w:rPr>
              <w:t>punktā</w:t>
            </w:r>
            <w:r w:rsidR="003B53AA" w:rsidRPr="00BB1E99">
              <w:rPr>
                <w:rFonts w:ascii="Times New Roman" w:eastAsia="Times New Roman" w:hAnsi="Times New Roman"/>
                <w:iCs/>
                <w:sz w:val="24"/>
                <w:szCs w:val="24"/>
                <w:lang w:eastAsia="lv-LV"/>
              </w:rPr>
              <w:t xml:space="preserve"> izteiktais </w:t>
            </w:r>
            <w:r w:rsidR="008C14E7" w:rsidRPr="00BB1E99">
              <w:rPr>
                <w:rFonts w:ascii="Times New Roman" w:eastAsia="Times New Roman" w:hAnsi="Times New Roman"/>
                <w:iCs/>
                <w:sz w:val="24"/>
                <w:szCs w:val="24"/>
                <w:lang w:eastAsia="lv-LV"/>
              </w:rPr>
              <w:lastRenderedPageBreak/>
              <w:t>noteikumu</w:t>
            </w:r>
            <w:r w:rsidR="003B53AA" w:rsidRPr="00BB1E99">
              <w:rPr>
                <w:rFonts w:ascii="Times New Roman" w:eastAsia="Times New Roman" w:hAnsi="Times New Roman"/>
                <w:iCs/>
                <w:sz w:val="24"/>
                <w:szCs w:val="24"/>
                <w:lang w:eastAsia="lv-LV"/>
              </w:rPr>
              <w:t xml:space="preserve"> </w:t>
            </w:r>
            <w:r w:rsidR="008C14E7" w:rsidRPr="00BB1E99">
              <w:rPr>
                <w:rFonts w:ascii="Times New Roman" w:eastAsia="Times New Roman" w:hAnsi="Times New Roman"/>
                <w:iCs/>
                <w:sz w:val="24"/>
                <w:szCs w:val="24"/>
                <w:lang w:eastAsia="lv-LV"/>
              </w:rPr>
              <w:t>69.1. apakšpunkts.</w:t>
            </w:r>
          </w:p>
        </w:tc>
        <w:tc>
          <w:tcPr>
            <w:tcW w:w="1254" w:type="pct"/>
            <w:tcBorders>
              <w:top w:val="outset" w:sz="6" w:space="0" w:color="auto"/>
              <w:left w:val="outset" w:sz="6" w:space="0" w:color="auto"/>
              <w:bottom w:val="outset" w:sz="6" w:space="0" w:color="auto"/>
              <w:right w:val="outset" w:sz="6" w:space="0" w:color="auto"/>
            </w:tcBorders>
          </w:tcPr>
          <w:p w14:paraId="36538522" w14:textId="1B20ACF6" w:rsidR="003B53AA" w:rsidRPr="00BB1E99" w:rsidRDefault="00AF481F"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lastRenderedPageBreak/>
              <w:t xml:space="preserve">Noteikumu </w:t>
            </w:r>
            <w:r w:rsidR="008C14E7" w:rsidRPr="00BB1E99">
              <w:rPr>
                <w:rFonts w:ascii="Times New Roman" w:eastAsia="Times New Roman" w:hAnsi="Times New Roman"/>
                <w:iCs/>
                <w:sz w:val="24"/>
                <w:szCs w:val="24"/>
                <w:lang w:eastAsia="lv-LV"/>
              </w:rPr>
              <w:t>projekts</w:t>
            </w:r>
            <w:r w:rsidR="003B53AA" w:rsidRPr="00BB1E99">
              <w:rPr>
                <w:rFonts w:ascii="Times New Roman" w:eastAsia="Times New Roman" w:hAnsi="Times New Roman"/>
                <w:iCs/>
                <w:sz w:val="24"/>
                <w:szCs w:val="24"/>
                <w:lang w:eastAsia="lv-LV"/>
              </w:rPr>
              <w:t xml:space="preserve"> pārņem pilnībā</w:t>
            </w:r>
          </w:p>
        </w:tc>
        <w:tc>
          <w:tcPr>
            <w:tcW w:w="1272" w:type="pct"/>
            <w:tcBorders>
              <w:top w:val="outset" w:sz="6" w:space="0" w:color="auto"/>
              <w:left w:val="outset" w:sz="6" w:space="0" w:color="auto"/>
              <w:bottom w:val="outset" w:sz="6" w:space="0" w:color="auto"/>
              <w:right w:val="outset" w:sz="6" w:space="0" w:color="auto"/>
            </w:tcBorders>
          </w:tcPr>
          <w:p w14:paraId="3D273195" w14:textId="77777777" w:rsidR="003B53AA" w:rsidRPr="00BB1E99" w:rsidRDefault="003B53AA" w:rsidP="00F11018">
            <w:pPr>
              <w:spacing w:after="0" w:line="240" w:lineRule="auto"/>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 xml:space="preserve">Projekts nesatur stingrākas prasības </w:t>
            </w:r>
            <w:r w:rsidRPr="00BB1E99">
              <w:rPr>
                <w:rFonts w:ascii="Times New Roman" w:eastAsia="Times New Roman" w:hAnsi="Times New Roman"/>
                <w:iCs/>
                <w:sz w:val="24"/>
                <w:szCs w:val="24"/>
                <w:lang w:eastAsia="lv-LV"/>
              </w:rPr>
              <w:lastRenderedPageBreak/>
              <w:t>nekā attiecīgais ES tiesību akts.</w:t>
            </w:r>
          </w:p>
        </w:tc>
      </w:tr>
    </w:tbl>
    <w:p w14:paraId="7E1DB0FF" w14:textId="77777777" w:rsidR="008F090E" w:rsidRPr="00BB1E99" w:rsidRDefault="008F090E" w:rsidP="008F090E">
      <w:pPr>
        <w:spacing w:after="0" w:line="240" w:lineRule="auto"/>
        <w:contextualSpacing/>
        <w:rPr>
          <w:rFonts w:ascii="Times New Roman" w:eastAsia="Times New Roman" w:hAnsi="Times New Roman"/>
          <w:iCs/>
          <w:sz w:val="24"/>
          <w:szCs w:val="24"/>
          <w:lang w:eastAsia="lv-LV"/>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0"/>
        <w:gridCol w:w="6092"/>
      </w:tblGrid>
      <w:tr w:rsidR="008F090E" w:rsidRPr="00BB1E99" w14:paraId="55B7BE0A" w14:textId="77777777" w:rsidTr="006E74B7">
        <w:trPr>
          <w:trHeight w:val="454"/>
        </w:trPr>
        <w:tc>
          <w:tcPr>
            <w:tcW w:w="5000" w:type="pct"/>
            <w:gridSpan w:val="3"/>
            <w:shd w:val="clear" w:color="auto" w:fill="auto"/>
            <w:vAlign w:val="center"/>
            <w:hideMark/>
          </w:tcPr>
          <w:p w14:paraId="541C1E00" w14:textId="77777777" w:rsidR="008F090E" w:rsidRPr="00BB1E99" w:rsidRDefault="008F090E" w:rsidP="006E74B7">
            <w:pPr>
              <w:spacing w:after="0" w:line="240" w:lineRule="auto"/>
              <w:contextualSpacing/>
              <w:jc w:val="center"/>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VI. Sabiedrības līdzdalība un komunikācijas aktivitātes</w:t>
            </w:r>
          </w:p>
        </w:tc>
      </w:tr>
      <w:tr w:rsidR="008F090E" w:rsidRPr="00BB1E99" w14:paraId="44140196" w14:textId="77777777" w:rsidTr="006E74B7">
        <w:tc>
          <w:tcPr>
            <w:tcW w:w="311" w:type="pct"/>
            <w:shd w:val="clear" w:color="auto" w:fill="auto"/>
            <w:hideMark/>
          </w:tcPr>
          <w:p w14:paraId="05026FE3"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1.</w:t>
            </w:r>
          </w:p>
        </w:tc>
        <w:tc>
          <w:tcPr>
            <w:tcW w:w="1329" w:type="pct"/>
            <w:shd w:val="clear" w:color="auto" w:fill="auto"/>
            <w:hideMark/>
          </w:tcPr>
          <w:p w14:paraId="498AFA4E"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Plānotās sabiedrības līdzdalības un komunikācijas aktivitātes saistībā ar projektu</w:t>
            </w:r>
          </w:p>
        </w:tc>
        <w:tc>
          <w:tcPr>
            <w:tcW w:w="3361" w:type="pct"/>
            <w:shd w:val="clear" w:color="auto" w:fill="auto"/>
            <w:hideMark/>
          </w:tcPr>
          <w:p w14:paraId="73B16DEE" w14:textId="1F08931D" w:rsidR="008F090E" w:rsidRPr="00BB1E99" w:rsidRDefault="008F090E" w:rsidP="006E74B7">
            <w:pPr>
              <w:spacing w:after="0" w:line="240" w:lineRule="auto"/>
              <w:contextualSpacing/>
              <w:jc w:val="both"/>
              <w:rPr>
                <w:rFonts w:ascii="Times New Roman" w:hAnsi="Times New Roman"/>
                <w:sz w:val="24"/>
                <w:szCs w:val="24"/>
              </w:rPr>
            </w:pPr>
            <w:r w:rsidRPr="00BB1E99">
              <w:rPr>
                <w:rFonts w:ascii="Times New Roman" w:hAnsi="Times New Roman"/>
                <w:sz w:val="24"/>
                <w:szCs w:val="24"/>
              </w:rPr>
              <w:t>Atbilstoši Ministru kabineta 2009.</w:t>
            </w:r>
            <w:r w:rsidR="00B27592">
              <w:rPr>
                <w:rFonts w:ascii="Times New Roman" w:hAnsi="Times New Roman"/>
                <w:sz w:val="24"/>
                <w:szCs w:val="24"/>
              </w:rPr>
              <w:t> </w:t>
            </w:r>
            <w:r w:rsidRPr="00BB1E99">
              <w:rPr>
                <w:rFonts w:ascii="Times New Roman" w:hAnsi="Times New Roman"/>
                <w:sz w:val="24"/>
                <w:szCs w:val="24"/>
              </w:rPr>
              <w:t>gada 25.</w:t>
            </w:r>
            <w:r w:rsidR="00B27592">
              <w:rPr>
                <w:rFonts w:ascii="Times New Roman" w:hAnsi="Times New Roman"/>
                <w:sz w:val="24"/>
                <w:szCs w:val="24"/>
              </w:rPr>
              <w:t> </w:t>
            </w:r>
            <w:r w:rsidRPr="00BB1E99">
              <w:rPr>
                <w:rFonts w:ascii="Times New Roman" w:hAnsi="Times New Roman"/>
                <w:sz w:val="24"/>
                <w:szCs w:val="24"/>
              </w:rPr>
              <w:t>augusta noteikumiem Nr.</w:t>
            </w:r>
            <w:r w:rsidR="00B27592">
              <w:rPr>
                <w:rFonts w:ascii="Times New Roman" w:hAnsi="Times New Roman"/>
                <w:sz w:val="24"/>
                <w:szCs w:val="24"/>
              </w:rPr>
              <w:t> </w:t>
            </w:r>
            <w:r w:rsidRPr="00BB1E99">
              <w:rPr>
                <w:rFonts w:ascii="Times New Roman" w:hAnsi="Times New Roman"/>
                <w:sz w:val="24"/>
                <w:szCs w:val="24"/>
              </w:rPr>
              <w:t xml:space="preserve">970 </w:t>
            </w:r>
            <w:r w:rsidR="002D102E" w:rsidRPr="00BB1E99">
              <w:rPr>
                <w:rFonts w:ascii="Times New Roman" w:hAnsi="Times New Roman"/>
                <w:sz w:val="24"/>
                <w:szCs w:val="24"/>
              </w:rPr>
              <w:t>“</w:t>
            </w:r>
            <w:r w:rsidRPr="00BB1E99">
              <w:rPr>
                <w:rFonts w:ascii="Times New Roman" w:hAnsi="Times New Roman"/>
                <w:sz w:val="24"/>
                <w:szCs w:val="24"/>
              </w:rPr>
              <w:t xml:space="preserve">Sabiedrības līdzdalības kārtība attīstības plānošanas procesā”, lai informētu sabiedrību par projektu un dotu iespēju izteikt viedokli, projekts pirms tā iesniegšanas Valsts sekretāru sanāksmē viedokļu sniegšanai ievietots Ekonomikas ministrijas </w:t>
            </w:r>
            <w:r w:rsidR="00A93CC5" w:rsidRPr="00BB1E99">
              <w:rPr>
                <w:rFonts w:ascii="Times New Roman" w:hAnsi="Times New Roman"/>
                <w:sz w:val="24"/>
                <w:szCs w:val="24"/>
              </w:rPr>
              <w:t>tīmekļvietnē</w:t>
            </w:r>
            <w:r w:rsidRPr="00BB1E99">
              <w:rPr>
                <w:rFonts w:ascii="Times New Roman" w:hAnsi="Times New Roman"/>
                <w:sz w:val="24"/>
                <w:szCs w:val="24"/>
              </w:rPr>
              <w:t>:</w:t>
            </w:r>
          </w:p>
          <w:p w14:paraId="5652FF8B" w14:textId="77777777" w:rsidR="000E4FDE" w:rsidRPr="00BB1E99" w:rsidRDefault="00487103" w:rsidP="000E4FDE">
            <w:pPr>
              <w:spacing w:after="0" w:line="240" w:lineRule="auto"/>
              <w:contextualSpacing/>
              <w:jc w:val="both"/>
              <w:rPr>
                <w:rFonts w:ascii="Times New Roman" w:hAnsi="Times New Roman"/>
                <w:bCs/>
                <w:iCs/>
                <w:sz w:val="24"/>
                <w:szCs w:val="24"/>
              </w:rPr>
            </w:pPr>
            <w:hyperlink r:id="rId8" w:history="1">
              <w:r w:rsidR="000E4FDE" w:rsidRPr="00BB1E99">
                <w:rPr>
                  <w:rStyle w:val="Hyperlink"/>
                  <w:rFonts w:ascii="Times New Roman" w:hAnsi="Times New Roman"/>
                  <w:bCs/>
                  <w:iCs/>
                  <w:sz w:val="24"/>
                  <w:szCs w:val="24"/>
                </w:rPr>
                <w:t>https://em.gov.lv/lv/par_ministriju/sabiedribas_lidzdaliba/diskusiju_dokumenti/energijas_tirgus_un_infrastruktura/</w:t>
              </w:r>
            </w:hyperlink>
          </w:p>
          <w:p w14:paraId="49225D40" w14:textId="77777777" w:rsidR="000E4FDE" w:rsidRPr="00BB1E99" w:rsidRDefault="000E4FDE" w:rsidP="000E4FDE">
            <w:pPr>
              <w:spacing w:after="0" w:line="240" w:lineRule="auto"/>
              <w:contextualSpacing/>
              <w:jc w:val="both"/>
              <w:rPr>
                <w:rFonts w:ascii="Times New Roman" w:hAnsi="Times New Roman"/>
                <w:bCs/>
                <w:iCs/>
                <w:sz w:val="24"/>
                <w:szCs w:val="24"/>
              </w:rPr>
            </w:pPr>
            <w:r w:rsidRPr="00BB1E99">
              <w:rPr>
                <w:rFonts w:ascii="Times New Roman" w:hAnsi="Times New Roman"/>
                <w:bCs/>
                <w:iCs/>
                <w:sz w:val="24"/>
                <w:szCs w:val="24"/>
              </w:rPr>
              <w:t>un</w:t>
            </w:r>
          </w:p>
          <w:p w14:paraId="46602D5A" w14:textId="6583693A" w:rsidR="000E4FDE" w:rsidRPr="00BB1E99" w:rsidRDefault="000E4FDE" w:rsidP="000E4FDE">
            <w:pPr>
              <w:spacing w:after="0" w:line="240" w:lineRule="auto"/>
              <w:contextualSpacing/>
              <w:jc w:val="both"/>
              <w:rPr>
                <w:rFonts w:ascii="Times New Roman" w:hAnsi="Times New Roman"/>
                <w:bCs/>
                <w:iCs/>
                <w:sz w:val="24"/>
                <w:szCs w:val="24"/>
              </w:rPr>
            </w:pPr>
            <w:r w:rsidRPr="00BB1E99">
              <w:rPr>
                <w:rFonts w:ascii="Times New Roman" w:hAnsi="Times New Roman"/>
                <w:bCs/>
                <w:iCs/>
                <w:sz w:val="24"/>
                <w:szCs w:val="24"/>
              </w:rPr>
              <w:t>Ministru kabineta tīmekļvietnē:</w:t>
            </w:r>
          </w:p>
          <w:p w14:paraId="558756A6" w14:textId="5BD6D79D" w:rsidR="008F090E" w:rsidRPr="00BB1E99" w:rsidRDefault="00487103" w:rsidP="000E4FDE">
            <w:pPr>
              <w:spacing w:after="0" w:line="240" w:lineRule="auto"/>
              <w:contextualSpacing/>
              <w:jc w:val="both"/>
              <w:rPr>
                <w:rFonts w:ascii="Times New Roman" w:hAnsi="Times New Roman"/>
                <w:sz w:val="24"/>
                <w:szCs w:val="24"/>
              </w:rPr>
            </w:pPr>
            <w:hyperlink r:id="rId9" w:history="1">
              <w:r w:rsidR="000E4FDE" w:rsidRPr="00BB1E99">
                <w:rPr>
                  <w:rStyle w:val="Hyperlink"/>
                  <w:rFonts w:ascii="Times New Roman" w:hAnsi="Times New Roman"/>
                  <w:bCs/>
                  <w:iCs/>
                  <w:sz w:val="24"/>
                  <w:szCs w:val="24"/>
                </w:rPr>
                <w:t>https://www.mk.gov.lv/content/ministru-kabineta-diskusiju-dokumenti</w:t>
              </w:r>
            </w:hyperlink>
            <w:r w:rsidR="000E4FDE" w:rsidRPr="00BB1E99">
              <w:rPr>
                <w:rStyle w:val="Hyperlink"/>
                <w:rFonts w:ascii="Times New Roman" w:hAnsi="Times New Roman"/>
                <w:bCs/>
                <w:iCs/>
                <w:sz w:val="24"/>
                <w:szCs w:val="24"/>
              </w:rPr>
              <w:t>.</w:t>
            </w:r>
          </w:p>
        </w:tc>
      </w:tr>
      <w:tr w:rsidR="008F090E" w:rsidRPr="00BB1E99" w14:paraId="3E8EC978" w14:textId="77777777" w:rsidTr="006E74B7">
        <w:tc>
          <w:tcPr>
            <w:tcW w:w="311" w:type="pct"/>
            <w:shd w:val="clear" w:color="auto" w:fill="auto"/>
            <w:hideMark/>
          </w:tcPr>
          <w:p w14:paraId="4E8DA4D1"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2.</w:t>
            </w:r>
          </w:p>
        </w:tc>
        <w:tc>
          <w:tcPr>
            <w:tcW w:w="1329" w:type="pct"/>
            <w:shd w:val="clear" w:color="auto" w:fill="auto"/>
            <w:hideMark/>
          </w:tcPr>
          <w:p w14:paraId="2AF8D126"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Sabiedrības līdzdalība projekta izstrādē</w:t>
            </w:r>
          </w:p>
        </w:tc>
        <w:tc>
          <w:tcPr>
            <w:tcW w:w="3361" w:type="pct"/>
            <w:shd w:val="clear" w:color="auto" w:fill="auto"/>
            <w:hideMark/>
          </w:tcPr>
          <w:p w14:paraId="267C75E0" w14:textId="57320CCC" w:rsidR="008F090E" w:rsidRPr="00BB1E99" w:rsidRDefault="008F090E" w:rsidP="00B27592">
            <w:pPr>
              <w:spacing w:after="0" w:line="240" w:lineRule="auto"/>
              <w:contextualSpacing/>
              <w:jc w:val="both"/>
              <w:rPr>
                <w:rFonts w:ascii="Times New Roman" w:hAnsi="Times New Roman"/>
                <w:sz w:val="24"/>
                <w:szCs w:val="24"/>
              </w:rPr>
            </w:pPr>
            <w:r w:rsidRPr="00BB1E99">
              <w:rPr>
                <w:rFonts w:ascii="Times New Roman" w:hAnsi="Times New Roman"/>
                <w:sz w:val="24"/>
                <w:szCs w:val="24"/>
              </w:rPr>
              <w:t xml:space="preserve">Informācija par Projektu </w:t>
            </w:r>
            <w:r w:rsidR="001136EC" w:rsidRPr="00BB1E99">
              <w:rPr>
                <w:rFonts w:ascii="Times New Roman" w:hAnsi="Times New Roman"/>
                <w:sz w:val="24"/>
                <w:szCs w:val="24"/>
              </w:rPr>
              <w:t>2020.</w:t>
            </w:r>
            <w:r w:rsidR="00B27592">
              <w:rPr>
                <w:rFonts w:ascii="Times New Roman" w:hAnsi="Times New Roman"/>
                <w:sz w:val="24"/>
                <w:szCs w:val="24"/>
              </w:rPr>
              <w:t> </w:t>
            </w:r>
            <w:r w:rsidR="001136EC" w:rsidRPr="00BB1E99">
              <w:rPr>
                <w:rFonts w:ascii="Times New Roman" w:hAnsi="Times New Roman"/>
                <w:sz w:val="24"/>
                <w:szCs w:val="24"/>
              </w:rPr>
              <w:t>gada 11.</w:t>
            </w:r>
            <w:r w:rsidR="00B27592">
              <w:rPr>
                <w:rFonts w:ascii="Times New Roman" w:hAnsi="Times New Roman"/>
                <w:sz w:val="24"/>
                <w:szCs w:val="24"/>
              </w:rPr>
              <w:t> </w:t>
            </w:r>
            <w:r w:rsidR="001136EC" w:rsidRPr="00BB1E99">
              <w:rPr>
                <w:rFonts w:ascii="Times New Roman" w:hAnsi="Times New Roman"/>
                <w:sz w:val="24"/>
                <w:szCs w:val="24"/>
              </w:rPr>
              <w:t>maijā tika</w:t>
            </w:r>
            <w:r w:rsidRPr="00BB1E99">
              <w:rPr>
                <w:rFonts w:ascii="Times New Roman" w:hAnsi="Times New Roman"/>
                <w:sz w:val="24"/>
                <w:szCs w:val="24"/>
              </w:rPr>
              <w:t xml:space="preserve"> </w:t>
            </w:r>
            <w:r w:rsidR="00A93CC5" w:rsidRPr="00BB1E99">
              <w:rPr>
                <w:rFonts w:ascii="Times New Roman" w:hAnsi="Times New Roman"/>
                <w:sz w:val="24"/>
                <w:szCs w:val="24"/>
              </w:rPr>
              <w:t xml:space="preserve">publicēta </w:t>
            </w:r>
            <w:r w:rsidRPr="00BB1E99">
              <w:rPr>
                <w:rFonts w:ascii="Times New Roman" w:hAnsi="Times New Roman"/>
                <w:sz w:val="24"/>
                <w:szCs w:val="24"/>
              </w:rPr>
              <w:t xml:space="preserve">Ekonomikas ministrijas </w:t>
            </w:r>
            <w:r w:rsidR="00A93CC5" w:rsidRPr="00BB1E99">
              <w:rPr>
                <w:rFonts w:ascii="Times New Roman" w:hAnsi="Times New Roman"/>
                <w:sz w:val="24"/>
                <w:szCs w:val="24"/>
              </w:rPr>
              <w:t xml:space="preserve">tīmekļvietnē </w:t>
            </w:r>
            <w:r w:rsidRPr="00BB1E99">
              <w:rPr>
                <w:rFonts w:ascii="Times New Roman" w:hAnsi="Times New Roman"/>
                <w:sz w:val="24"/>
                <w:szCs w:val="24"/>
              </w:rPr>
              <w:t>sadaļā “Sabiedrības līdzdalība”</w:t>
            </w:r>
            <w:r w:rsidRPr="00BB1E99">
              <w:rPr>
                <w:rStyle w:val="FootnoteReference"/>
                <w:rFonts w:ascii="Times New Roman" w:hAnsi="Times New Roman"/>
                <w:sz w:val="24"/>
                <w:szCs w:val="24"/>
              </w:rPr>
              <w:footnoteReference w:id="1"/>
            </w:r>
            <w:r w:rsidRPr="00BB1E99">
              <w:rPr>
                <w:rFonts w:ascii="Times New Roman" w:hAnsi="Times New Roman"/>
                <w:sz w:val="24"/>
                <w:szCs w:val="24"/>
              </w:rPr>
              <w:t xml:space="preserve"> un Ministru kabineta </w:t>
            </w:r>
            <w:r w:rsidR="001136EC" w:rsidRPr="00BB1E99">
              <w:rPr>
                <w:rFonts w:ascii="Times New Roman" w:hAnsi="Times New Roman"/>
                <w:sz w:val="24"/>
                <w:szCs w:val="24"/>
              </w:rPr>
              <w:t xml:space="preserve">tīmekļvietnes </w:t>
            </w:r>
            <w:r w:rsidRPr="00BB1E99">
              <w:rPr>
                <w:rFonts w:ascii="Times New Roman" w:hAnsi="Times New Roman"/>
                <w:sz w:val="24"/>
                <w:szCs w:val="24"/>
              </w:rPr>
              <w:t>sadaļā “Ministru kabineta diskusiju dokumenti”</w:t>
            </w:r>
            <w:r w:rsidRPr="00BB1E99">
              <w:rPr>
                <w:rStyle w:val="FootnoteReference"/>
                <w:rFonts w:ascii="Times New Roman" w:hAnsi="Times New Roman"/>
                <w:sz w:val="24"/>
                <w:szCs w:val="24"/>
              </w:rPr>
              <w:footnoteReference w:id="2"/>
            </w:r>
            <w:r w:rsidRPr="00BB1E99">
              <w:rPr>
                <w:rFonts w:ascii="Times New Roman" w:hAnsi="Times New Roman"/>
                <w:sz w:val="24"/>
                <w:szCs w:val="24"/>
              </w:rPr>
              <w:t>.</w:t>
            </w:r>
          </w:p>
          <w:p w14:paraId="0FC2C867" w14:textId="704BCD3B" w:rsidR="000E4FDE" w:rsidRPr="00BB1E99" w:rsidRDefault="000E4FDE" w:rsidP="000E4FDE">
            <w:pPr>
              <w:spacing w:after="0" w:line="240" w:lineRule="auto"/>
              <w:ind w:firstLine="316"/>
              <w:contextualSpacing/>
              <w:jc w:val="both"/>
              <w:rPr>
                <w:rFonts w:ascii="Times New Roman" w:eastAsia="Times New Roman" w:hAnsi="Times New Roman"/>
                <w:iCs/>
                <w:sz w:val="24"/>
                <w:szCs w:val="24"/>
                <w:lang w:eastAsia="lv-LV"/>
              </w:rPr>
            </w:pPr>
          </w:p>
        </w:tc>
      </w:tr>
      <w:tr w:rsidR="008F090E" w:rsidRPr="00BB1E99" w14:paraId="2507F22D" w14:textId="77777777" w:rsidTr="006E74B7">
        <w:tc>
          <w:tcPr>
            <w:tcW w:w="311" w:type="pct"/>
            <w:shd w:val="clear" w:color="auto" w:fill="auto"/>
            <w:hideMark/>
          </w:tcPr>
          <w:p w14:paraId="06D3E753"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3.</w:t>
            </w:r>
          </w:p>
        </w:tc>
        <w:tc>
          <w:tcPr>
            <w:tcW w:w="1329" w:type="pct"/>
            <w:shd w:val="clear" w:color="auto" w:fill="auto"/>
            <w:hideMark/>
          </w:tcPr>
          <w:p w14:paraId="0A5E0FC1"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Sabiedrības līdzdalības rezultāti</w:t>
            </w:r>
          </w:p>
        </w:tc>
        <w:tc>
          <w:tcPr>
            <w:tcW w:w="3361" w:type="pct"/>
            <w:shd w:val="clear" w:color="auto" w:fill="auto"/>
            <w:hideMark/>
          </w:tcPr>
          <w:p w14:paraId="65DEC894" w14:textId="79148B87" w:rsidR="000E4FDE" w:rsidRPr="00BB1E99" w:rsidRDefault="000E4FDE" w:rsidP="00B27592">
            <w:pPr>
              <w:spacing w:after="0" w:line="240" w:lineRule="auto"/>
              <w:ind w:right="33"/>
              <w:contextualSpacing/>
              <w:jc w:val="both"/>
              <w:rPr>
                <w:rFonts w:ascii="Times New Roman" w:hAnsi="Times New Roman"/>
                <w:sz w:val="24"/>
                <w:szCs w:val="24"/>
              </w:rPr>
            </w:pPr>
            <w:r w:rsidRPr="00BB1E99">
              <w:rPr>
                <w:rFonts w:ascii="Times New Roman" w:hAnsi="Times New Roman"/>
                <w:sz w:val="24"/>
                <w:szCs w:val="24"/>
              </w:rPr>
              <w:t xml:space="preserve">Paziņojumā par sabiedrības līdzdalību, kas tika publicēts Ekonomikas ministrijas </w:t>
            </w:r>
            <w:r w:rsidR="001136EC" w:rsidRPr="00BB1E99">
              <w:rPr>
                <w:rFonts w:ascii="Times New Roman" w:hAnsi="Times New Roman"/>
                <w:sz w:val="24"/>
                <w:szCs w:val="24"/>
              </w:rPr>
              <w:t>tīmekļvietnē</w:t>
            </w:r>
            <w:r w:rsidRPr="00BB1E99">
              <w:rPr>
                <w:rFonts w:ascii="Times New Roman" w:hAnsi="Times New Roman"/>
                <w:sz w:val="24"/>
                <w:szCs w:val="24"/>
              </w:rPr>
              <w:t>, bija ietverts aicinājums sniegt viedokli līdz 2020.</w:t>
            </w:r>
            <w:r w:rsidR="00B27592">
              <w:rPr>
                <w:rFonts w:ascii="Times New Roman" w:hAnsi="Times New Roman"/>
                <w:sz w:val="24"/>
                <w:szCs w:val="24"/>
              </w:rPr>
              <w:t> </w:t>
            </w:r>
            <w:r w:rsidRPr="00BB1E99">
              <w:rPr>
                <w:rFonts w:ascii="Times New Roman" w:hAnsi="Times New Roman"/>
                <w:sz w:val="24"/>
                <w:szCs w:val="24"/>
              </w:rPr>
              <w:t>gada 15.</w:t>
            </w:r>
            <w:r w:rsidR="00B27592">
              <w:rPr>
                <w:rFonts w:ascii="Times New Roman" w:hAnsi="Times New Roman"/>
                <w:sz w:val="24"/>
                <w:szCs w:val="24"/>
              </w:rPr>
              <w:t> </w:t>
            </w:r>
            <w:r w:rsidR="001136EC" w:rsidRPr="00BB1E99">
              <w:rPr>
                <w:rFonts w:ascii="Times New Roman" w:hAnsi="Times New Roman"/>
                <w:sz w:val="24"/>
                <w:szCs w:val="24"/>
              </w:rPr>
              <w:t>maijam</w:t>
            </w:r>
            <w:r w:rsidRPr="00BB1E99">
              <w:rPr>
                <w:rFonts w:ascii="Times New Roman" w:hAnsi="Times New Roman"/>
                <w:sz w:val="24"/>
                <w:szCs w:val="24"/>
              </w:rPr>
              <w:t>, saglabājot sabiedrībai iespējas iepazīties ar Projektu un sniegt viedokli visā tā izstrādes laikā. Komentāri par Projektu (līdz 2020.</w:t>
            </w:r>
            <w:r w:rsidR="00B27592">
              <w:rPr>
                <w:rFonts w:ascii="Times New Roman" w:hAnsi="Times New Roman"/>
                <w:sz w:val="24"/>
                <w:szCs w:val="24"/>
              </w:rPr>
              <w:t> </w:t>
            </w:r>
            <w:r w:rsidRPr="00BB1E99">
              <w:rPr>
                <w:rFonts w:ascii="Times New Roman" w:hAnsi="Times New Roman"/>
                <w:sz w:val="24"/>
                <w:szCs w:val="24"/>
              </w:rPr>
              <w:t>gada 1.</w:t>
            </w:r>
            <w:r w:rsidR="00B27592">
              <w:rPr>
                <w:rFonts w:ascii="Times New Roman" w:hAnsi="Times New Roman"/>
                <w:sz w:val="24"/>
                <w:szCs w:val="24"/>
              </w:rPr>
              <w:t> </w:t>
            </w:r>
            <w:r w:rsidRPr="00BB1E99">
              <w:rPr>
                <w:rFonts w:ascii="Times New Roman" w:hAnsi="Times New Roman"/>
                <w:sz w:val="24"/>
                <w:szCs w:val="24"/>
              </w:rPr>
              <w:t>jūnija</w:t>
            </w:r>
            <w:r w:rsidR="001F5E95" w:rsidRPr="00BB1E99">
              <w:rPr>
                <w:rFonts w:ascii="Times New Roman" w:hAnsi="Times New Roman"/>
                <w:sz w:val="24"/>
                <w:szCs w:val="24"/>
              </w:rPr>
              <w:t>m</w:t>
            </w:r>
            <w:r w:rsidRPr="00BB1E99">
              <w:rPr>
                <w:rFonts w:ascii="Times New Roman" w:hAnsi="Times New Roman"/>
                <w:sz w:val="24"/>
                <w:szCs w:val="24"/>
              </w:rPr>
              <w:t>) no sabiedrības puses (neieskaitot saskaņošanas procesā iesaistītās puses) netika saņemti.</w:t>
            </w:r>
          </w:p>
          <w:p w14:paraId="199C8786" w14:textId="539984D3" w:rsidR="000E4FDE" w:rsidRPr="00BB1E99" w:rsidRDefault="00A5052B" w:rsidP="00B27592">
            <w:pPr>
              <w:spacing w:after="0" w:line="240" w:lineRule="auto"/>
              <w:ind w:right="33"/>
              <w:contextualSpacing/>
              <w:jc w:val="both"/>
              <w:rPr>
                <w:rFonts w:ascii="Times New Roman" w:hAnsi="Times New Roman"/>
                <w:sz w:val="24"/>
                <w:szCs w:val="24"/>
              </w:rPr>
            </w:pPr>
            <w:r w:rsidRPr="00BB1E99">
              <w:rPr>
                <w:rFonts w:ascii="Times New Roman" w:hAnsi="Times New Roman"/>
                <w:sz w:val="24"/>
                <w:szCs w:val="24"/>
              </w:rPr>
              <w:t xml:space="preserve">Saskaņošanas procesā </w:t>
            </w:r>
            <w:r w:rsidR="001F5E95" w:rsidRPr="00BB1E99">
              <w:rPr>
                <w:rFonts w:ascii="Times New Roman" w:hAnsi="Times New Roman"/>
                <w:sz w:val="24"/>
                <w:szCs w:val="24"/>
              </w:rPr>
              <w:t>priekšlikumus par Projektu sniedz</w:t>
            </w:r>
            <w:r w:rsidR="001136EC" w:rsidRPr="00BB1E99">
              <w:rPr>
                <w:rFonts w:ascii="Times New Roman" w:hAnsi="Times New Roman"/>
                <w:sz w:val="24"/>
                <w:szCs w:val="24"/>
              </w:rPr>
              <w:t>a</w:t>
            </w:r>
            <w:r w:rsidR="001F5E95" w:rsidRPr="00BB1E99">
              <w:rPr>
                <w:rFonts w:ascii="Times New Roman" w:hAnsi="Times New Roman"/>
                <w:sz w:val="24"/>
                <w:szCs w:val="24"/>
              </w:rPr>
              <w:t xml:space="preserve"> dabasgāzes </w:t>
            </w:r>
            <w:r w:rsidRPr="00BB1E99">
              <w:rPr>
                <w:rFonts w:ascii="Times New Roman" w:hAnsi="Times New Roman"/>
                <w:sz w:val="24"/>
                <w:szCs w:val="24"/>
              </w:rPr>
              <w:t xml:space="preserve">pārvades sistēmas operators AS </w:t>
            </w:r>
            <w:r w:rsidR="001F5E95" w:rsidRPr="00BB1E99">
              <w:rPr>
                <w:rFonts w:ascii="Times New Roman" w:hAnsi="Times New Roman"/>
                <w:sz w:val="24"/>
                <w:szCs w:val="24"/>
              </w:rPr>
              <w:t>“</w:t>
            </w:r>
            <w:r w:rsidRPr="00BB1E99">
              <w:rPr>
                <w:rFonts w:ascii="Times New Roman" w:hAnsi="Times New Roman"/>
                <w:sz w:val="24"/>
                <w:szCs w:val="24"/>
              </w:rPr>
              <w:t>Conexus Baltic Grid</w:t>
            </w:r>
            <w:r w:rsidR="001F5E95" w:rsidRPr="00BB1E99">
              <w:rPr>
                <w:rFonts w:ascii="Times New Roman" w:hAnsi="Times New Roman"/>
                <w:sz w:val="24"/>
                <w:szCs w:val="24"/>
              </w:rPr>
              <w:t>”, kā arī dabasgāzes sadales sistēmas operators AS</w:t>
            </w:r>
            <w:r w:rsidR="00B27592">
              <w:rPr>
                <w:rFonts w:ascii="Times New Roman" w:hAnsi="Times New Roman"/>
                <w:sz w:val="24"/>
                <w:szCs w:val="24"/>
              </w:rPr>
              <w:t> </w:t>
            </w:r>
            <w:r w:rsidR="001F5E95" w:rsidRPr="00BB1E99">
              <w:rPr>
                <w:rFonts w:ascii="Times New Roman" w:hAnsi="Times New Roman"/>
                <w:sz w:val="24"/>
                <w:szCs w:val="24"/>
              </w:rPr>
              <w:t>“</w:t>
            </w:r>
            <w:r w:rsidR="00B27592">
              <w:rPr>
                <w:rFonts w:ascii="Times New Roman" w:hAnsi="Times New Roman"/>
                <w:sz w:val="24"/>
                <w:szCs w:val="24"/>
              </w:rPr>
              <w:t>GASO</w:t>
            </w:r>
            <w:r w:rsidR="001F5E95" w:rsidRPr="00BB1E99">
              <w:rPr>
                <w:rFonts w:ascii="Times New Roman" w:hAnsi="Times New Roman"/>
                <w:sz w:val="24"/>
                <w:szCs w:val="24"/>
              </w:rPr>
              <w:t>”.</w:t>
            </w:r>
          </w:p>
        </w:tc>
      </w:tr>
      <w:tr w:rsidR="008F090E" w:rsidRPr="00BB1E99" w14:paraId="72C9151E" w14:textId="77777777" w:rsidTr="006E74B7">
        <w:tc>
          <w:tcPr>
            <w:tcW w:w="311" w:type="pct"/>
            <w:shd w:val="clear" w:color="auto" w:fill="auto"/>
            <w:hideMark/>
          </w:tcPr>
          <w:p w14:paraId="3CE281AA"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4.</w:t>
            </w:r>
          </w:p>
        </w:tc>
        <w:tc>
          <w:tcPr>
            <w:tcW w:w="1329" w:type="pct"/>
            <w:shd w:val="clear" w:color="auto" w:fill="auto"/>
            <w:hideMark/>
          </w:tcPr>
          <w:p w14:paraId="58951E03"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 informācija</w:t>
            </w:r>
          </w:p>
        </w:tc>
        <w:tc>
          <w:tcPr>
            <w:tcW w:w="3361" w:type="pct"/>
            <w:shd w:val="clear" w:color="auto" w:fill="auto"/>
            <w:hideMark/>
          </w:tcPr>
          <w:p w14:paraId="6BAD4F53" w14:textId="438967B2"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Nav</w:t>
            </w:r>
            <w:r w:rsidR="00B27592">
              <w:rPr>
                <w:rFonts w:ascii="Times New Roman" w:eastAsia="Times New Roman" w:hAnsi="Times New Roman"/>
                <w:iCs/>
                <w:sz w:val="24"/>
                <w:szCs w:val="24"/>
                <w:lang w:eastAsia="lv-LV"/>
              </w:rPr>
              <w:t>.</w:t>
            </w:r>
          </w:p>
        </w:tc>
      </w:tr>
    </w:tbl>
    <w:p w14:paraId="273C0461" w14:textId="77777777" w:rsidR="008F090E" w:rsidRPr="00BB1E99" w:rsidRDefault="008F090E" w:rsidP="008F090E">
      <w:pPr>
        <w:spacing w:after="0" w:line="240" w:lineRule="auto"/>
        <w:contextualSpacing/>
        <w:rPr>
          <w:rFonts w:ascii="Times New Roman" w:eastAsia="Times New Roman" w:hAnsi="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28"/>
        <w:gridCol w:w="6089"/>
      </w:tblGrid>
      <w:tr w:rsidR="008F090E" w:rsidRPr="00BB1E99" w14:paraId="1B60C79E" w14:textId="77777777" w:rsidTr="006E74B7">
        <w:trPr>
          <w:trHeight w:val="737"/>
        </w:trPr>
        <w:tc>
          <w:tcPr>
            <w:tcW w:w="0" w:type="auto"/>
            <w:gridSpan w:val="3"/>
            <w:shd w:val="clear" w:color="auto" w:fill="auto"/>
            <w:vAlign w:val="center"/>
            <w:hideMark/>
          </w:tcPr>
          <w:p w14:paraId="4480C70B" w14:textId="77777777" w:rsidR="008F090E" w:rsidRPr="00BB1E99" w:rsidRDefault="008F090E" w:rsidP="006E74B7">
            <w:pPr>
              <w:spacing w:after="0" w:line="240" w:lineRule="auto"/>
              <w:contextualSpacing/>
              <w:jc w:val="center"/>
              <w:rPr>
                <w:rFonts w:ascii="Times New Roman" w:eastAsia="Times New Roman" w:hAnsi="Times New Roman"/>
                <w:b/>
                <w:bCs/>
                <w:iCs/>
                <w:sz w:val="24"/>
                <w:szCs w:val="24"/>
                <w:lang w:eastAsia="lv-LV"/>
              </w:rPr>
            </w:pPr>
            <w:r w:rsidRPr="00BB1E99">
              <w:rPr>
                <w:rFonts w:ascii="Times New Roman" w:eastAsia="Times New Roman" w:hAnsi="Times New Roman"/>
                <w:b/>
                <w:bCs/>
                <w:iCs/>
                <w:sz w:val="24"/>
                <w:szCs w:val="24"/>
                <w:lang w:eastAsia="lv-LV"/>
              </w:rPr>
              <w:t>VII. Tiesību akta projekta izpildes nodrošināšana un tās ietekme uz institūcijām</w:t>
            </w:r>
          </w:p>
        </w:tc>
      </w:tr>
      <w:tr w:rsidR="008F090E" w:rsidRPr="00BB1E99" w14:paraId="24B79449" w14:textId="77777777" w:rsidTr="006E74B7">
        <w:tc>
          <w:tcPr>
            <w:tcW w:w="300" w:type="pct"/>
            <w:shd w:val="clear" w:color="auto" w:fill="auto"/>
            <w:hideMark/>
          </w:tcPr>
          <w:p w14:paraId="6AD6AAF9"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1.</w:t>
            </w:r>
          </w:p>
        </w:tc>
        <w:tc>
          <w:tcPr>
            <w:tcW w:w="1340" w:type="pct"/>
            <w:shd w:val="clear" w:color="auto" w:fill="auto"/>
            <w:hideMark/>
          </w:tcPr>
          <w:p w14:paraId="486A0399"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Projekta izpildē iesaistītās institūcijas</w:t>
            </w:r>
          </w:p>
        </w:tc>
        <w:tc>
          <w:tcPr>
            <w:tcW w:w="3360" w:type="pct"/>
            <w:shd w:val="clear" w:color="auto" w:fill="auto"/>
            <w:hideMark/>
          </w:tcPr>
          <w:p w14:paraId="2618E936" w14:textId="095BF7BA" w:rsidR="008F090E" w:rsidRPr="00BB1E99" w:rsidRDefault="00A93CC5" w:rsidP="006E74B7">
            <w:pPr>
              <w:spacing w:after="0" w:line="240" w:lineRule="auto"/>
              <w:contextualSpacing/>
              <w:jc w:val="both"/>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 xml:space="preserve">Ekonomikas ministrija, </w:t>
            </w:r>
            <w:r w:rsidR="001136EC" w:rsidRPr="00BB1E99">
              <w:rPr>
                <w:rFonts w:ascii="Times New Roman" w:eastAsia="Times New Roman" w:hAnsi="Times New Roman"/>
                <w:iCs/>
                <w:sz w:val="24"/>
                <w:szCs w:val="24"/>
                <w:lang w:eastAsia="lv-LV"/>
              </w:rPr>
              <w:t>Regulators</w:t>
            </w:r>
            <w:r w:rsidR="00FD220F" w:rsidRPr="00BB1E99">
              <w:rPr>
                <w:rFonts w:ascii="Times New Roman" w:eastAsia="Times New Roman" w:hAnsi="Times New Roman"/>
                <w:iCs/>
                <w:sz w:val="24"/>
                <w:szCs w:val="24"/>
                <w:lang w:eastAsia="lv-LV"/>
              </w:rPr>
              <w:t>, pārvades un sadales sistēmas operatori, potenciālie SDG sistēmas operatori</w:t>
            </w:r>
            <w:r w:rsidR="00B27592">
              <w:rPr>
                <w:rFonts w:ascii="Times New Roman" w:eastAsia="Times New Roman" w:hAnsi="Times New Roman"/>
                <w:iCs/>
                <w:sz w:val="24"/>
                <w:szCs w:val="24"/>
                <w:lang w:eastAsia="lv-LV"/>
              </w:rPr>
              <w:t>.</w:t>
            </w:r>
          </w:p>
        </w:tc>
      </w:tr>
      <w:tr w:rsidR="008F090E" w:rsidRPr="00BB1E99" w14:paraId="38A6D184" w14:textId="77777777" w:rsidTr="006E74B7">
        <w:tc>
          <w:tcPr>
            <w:tcW w:w="300" w:type="pct"/>
            <w:shd w:val="clear" w:color="auto" w:fill="auto"/>
            <w:hideMark/>
          </w:tcPr>
          <w:p w14:paraId="31C07BED"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2.</w:t>
            </w:r>
          </w:p>
        </w:tc>
        <w:tc>
          <w:tcPr>
            <w:tcW w:w="1340" w:type="pct"/>
            <w:shd w:val="clear" w:color="auto" w:fill="auto"/>
            <w:hideMark/>
          </w:tcPr>
          <w:p w14:paraId="405F10E8"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Projekta izpildes ietekme uz pārvaldes funkcijām un institucionālo struktūru.</w:t>
            </w:r>
            <w:r w:rsidRPr="00BB1E99">
              <w:rPr>
                <w:rFonts w:ascii="Times New Roman" w:eastAsia="Times New Roman" w:hAnsi="Times New Roman"/>
                <w:iCs/>
                <w:sz w:val="24"/>
                <w:szCs w:val="24"/>
                <w:lang w:eastAsia="lv-LV"/>
              </w:rPr>
              <w:br/>
              <w:t xml:space="preserve">Jaunu institūciju izveide, esošu institūciju likvidācija vai reorganizācija, to </w:t>
            </w:r>
            <w:r w:rsidRPr="00BB1E99">
              <w:rPr>
                <w:rFonts w:ascii="Times New Roman" w:eastAsia="Times New Roman" w:hAnsi="Times New Roman"/>
                <w:iCs/>
                <w:sz w:val="24"/>
                <w:szCs w:val="24"/>
                <w:lang w:eastAsia="lv-LV"/>
              </w:rPr>
              <w:lastRenderedPageBreak/>
              <w:t>ietekme uz institūcijas cilvēkresursiem</w:t>
            </w:r>
          </w:p>
        </w:tc>
        <w:tc>
          <w:tcPr>
            <w:tcW w:w="3360" w:type="pct"/>
            <w:shd w:val="clear" w:color="auto" w:fill="auto"/>
            <w:hideMark/>
          </w:tcPr>
          <w:p w14:paraId="1A187E02" w14:textId="77777777" w:rsidR="008F090E" w:rsidRPr="00BB1E99" w:rsidRDefault="008F090E" w:rsidP="006E74B7">
            <w:pPr>
              <w:spacing w:after="0" w:line="240" w:lineRule="auto"/>
              <w:contextualSpacing/>
              <w:jc w:val="both"/>
              <w:rPr>
                <w:rFonts w:ascii="Times New Roman" w:eastAsia="Times New Roman" w:hAnsi="Times New Roman"/>
                <w:iCs/>
                <w:sz w:val="24"/>
                <w:szCs w:val="24"/>
                <w:lang w:eastAsia="lv-LV"/>
              </w:rPr>
            </w:pPr>
            <w:r w:rsidRPr="00BB1E99">
              <w:rPr>
                <w:rFonts w:ascii="Times New Roman" w:hAnsi="Times New Roman"/>
                <w:bCs/>
                <w:sz w:val="24"/>
                <w:szCs w:val="24"/>
              </w:rPr>
              <w:lastRenderedPageBreak/>
              <w:t>Projekta izpilde neietekmēs institucionālo struktūru, kā arī iesaistīto institūciju funkcijas, uzdevumus un cilvēkresursus.</w:t>
            </w:r>
          </w:p>
        </w:tc>
      </w:tr>
      <w:tr w:rsidR="008F090E" w:rsidRPr="00BB1E99" w14:paraId="239A13DF" w14:textId="77777777" w:rsidTr="006E74B7">
        <w:tc>
          <w:tcPr>
            <w:tcW w:w="300" w:type="pct"/>
            <w:shd w:val="clear" w:color="auto" w:fill="auto"/>
            <w:hideMark/>
          </w:tcPr>
          <w:p w14:paraId="72C09708"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3.</w:t>
            </w:r>
          </w:p>
        </w:tc>
        <w:tc>
          <w:tcPr>
            <w:tcW w:w="1340" w:type="pct"/>
            <w:shd w:val="clear" w:color="auto" w:fill="auto"/>
            <w:hideMark/>
          </w:tcPr>
          <w:p w14:paraId="616F0531" w14:textId="77777777"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Cita informācija</w:t>
            </w:r>
          </w:p>
        </w:tc>
        <w:tc>
          <w:tcPr>
            <w:tcW w:w="3360" w:type="pct"/>
            <w:shd w:val="clear" w:color="auto" w:fill="auto"/>
            <w:hideMark/>
          </w:tcPr>
          <w:p w14:paraId="7B27093B" w14:textId="283B48CE" w:rsidR="008F090E" w:rsidRPr="00BB1E99" w:rsidRDefault="008F090E" w:rsidP="006E74B7">
            <w:pPr>
              <w:spacing w:after="0" w:line="240" w:lineRule="auto"/>
              <w:contextualSpacing/>
              <w:rPr>
                <w:rFonts w:ascii="Times New Roman" w:eastAsia="Times New Roman" w:hAnsi="Times New Roman"/>
                <w:iCs/>
                <w:sz w:val="24"/>
                <w:szCs w:val="24"/>
                <w:lang w:eastAsia="lv-LV"/>
              </w:rPr>
            </w:pPr>
            <w:r w:rsidRPr="00BB1E99">
              <w:rPr>
                <w:rFonts w:ascii="Times New Roman" w:eastAsia="Times New Roman" w:hAnsi="Times New Roman"/>
                <w:iCs/>
                <w:sz w:val="24"/>
                <w:szCs w:val="24"/>
                <w:lang w:eastAsia="lv-LV"/>
              </w:rPr>
              <w:t>Nav</w:t>
            </w:r>
            <w:r w:rsidR="00B27592">
              <w:rPr>
                <w:rFonts w:ascii="Times New Roman" w:eastAsia="Times New Roman" w:hAnsi="Times New Roman"/>
                <w:iCs/>
                <w:sz w:val="24"/>
                <w:szCs w:val="24"/>
                <w:lang w:eastAsia="lv-LV"/>
              </w:rPr>
              <w:t>.</w:t>
            </w:r>
          </w:p>
        </w:tc>
      </w:tr>
    </w:tbl>
    <w:p w14:paraId="68F91A2A" w14:textId="77777777" w:rsidR="008F090E" w:rsidRPr="00FD220F" w:rsidRDefault="008F090E" w:rsidP="008F090E">
      <w:pPr>
        <w:spacing w:after="0" w:line="240" w:lineRule="auto"/>
        <w:contextualSpacing/>
        <w:rPr>
          <w:rFonts w:ascii="Times New Roman" w:hAnsi="Times New Roman"/>
          <w:sz w:val="28"/>
          <w:szCs w:val="28"/>
        </w:rPr>
      </w:pPr>
    </w:p>
    <w:p w14:paraId="27BEAC4A" w14:textId="0564BD17" w:rsidR="00460946" w:rsidRPr="00FD220F" w:rsidRDefault="00460946" w:rsidP="00CD7052">
      <w:pPr>
        <w:spacing w:after="0" w:line="240" w:lineRule="auto"/>
        <w:rPr>
          <w:rFonts w:ascii="Times New Roman" w:hAnsi="Times New Roman"/>
          <w:sz w:val="28"/>
          <w:szCs w:val="28"/>
        </w:rPr>
      </w:pPr>
      <w:r w:rsidRPr="00FD220F">
        <w:rPr>
          <w:rFonts w:ascii="Times New Roman" w:hAnsi="Times New Roman"/>
          <w:sz w:val="28"/>
          <w:szCs w:val="28"/>
        </w:rPr>
        <w:t>Ekonomikas ministr</w:t>
      </w:r>
      <w:r w:rsidR="00CD7052" w:rsidRPr="00FD220F">
        <w:rPr>
          <w:rFonts w:ascii="Times New Roman" w:hAnsi="Times New Roman"/>
          <w:sz w:val="28"/>
          <w:szCs w:val="28"/>
        </w:rPr>
        <w:t>s</w:t>
      </w:r>
      <w:r w:rsidRPr="00FD220F">
        <w:rPr>
          <w:rFonts w:ascii="Times New Roman" w:hAnsi="Times New Roman"/>
          <w:sz w:val="28"/>
          <w:szCs w:val="28"/>
        </w:rPr>
        <w:tab/>
      </w:r>
      <w:r w:rsidR="00CD7052" w:rsidRPr="00FD220F">
        <w:rPr>
          <w:rFonts w:ascii="Times New Roman" w:hAnsi="Times New Roman"/>
          <w:sz w:val="28"/>
          <w:szCs w:val="28"/>
        </w:rPr>
        <w:tab/>
      </w:r>
      <w:r w:rsidR="00CD7052" w:rsidRPr="00FD220F">
        <w:rPr>
          <w:rFonts w:ascii="Times New Roman" w:hAnsi="Times New Roman"/>
          <w:sz w:val="28"/>
          <w:szCs w:val="28"/>
        </w:rPr>
        <w:tab/>
      </w:r>
      <w:r w:rsidR="00CD7052" w:rsidRPr="00FD220F">
        <w:rPr>
          <w:rFonts w:ascii="Times New Roman" w:hAnsi="Times New Roman"/>
          <w:sz w:val="28"/>
          <w:szCs w:val="28"/>
        </w:rPr>
        <w:tab/>
      </w:r>
      <w:r w:rsidR="00CD7052" w:rsidRPr="00FD220F">
        <w:rPr>
          <w:rFonts w:ascii="Times New Roman" w:hAnsi="Times New Roman"/>
          <w:sz w:val="28"/>
          <w:szCs w:val="28"/>
        </w:rPr>
        <w:tab/>
      </w:r>
      <w:r w:rsidR="00CD7052" w:rsidRPr="00FD220F">
        <w:rPr>
          <w:rFonts w:ascii="Times New Roman" w:hAnsi="Times New Roman"/>
          <w:sz w:val="28"/>
          <w:szCs w:val="28"/>
        </w:rPr>
        <w:tab/>
      </w:r>
      <w:r w:rsidR="00CD7052" w:rsidRPr="00FD220F">
        <w:rPr>
          <w:rFonts w:ascii="Times New Roman" w:hAnsi="Times New Roman"/>
          <w:sz w:val="28"/>
          <w:szCs w:val="28"/>
        </w:rPr>
        <w:tab/>
      </w:r>
      <w:r w:rsidR="002B180E" w:rsidRPr="00FD220F">
        <w:rPr>
          <w:rFonts w:ascii="Times New Roman" w:hAnsi="Times New Roman"/>
          <w:sz w:val="28"/>
          <w:szCs w:val="28"/>
        </w:rPr>
        <w:t>J.</w:t>
      </w:r>
      <w:r w:rsidR="00B27592">
        <w:rPr>
          <w:rFonts w:ascii="Times New Roman" w:hAnsi="Times New Roman"/>
          <w:sz w:val="28"/>
          <w:szCs w:val="28"/>
        </w:rPr>
        <w:t> </w:t>
      </w:r>
      <w:proofErr w:type="spellStart"/>
      <w:r w:rsidR="002B180E" w:rsidRPr="00FD220F">
        <w:rPr>
          <w:rFonts w:ascii="Times New Roman" w:hAnsi="Times New Roman"/>
          <w:sz w:val="28"/>
          <w:szCs w:val="28"/>
        </w:rPr>
        <w:t>Vitenbergs</w:t>
      </w:r>
      <w:proofErr w:type="spellEnd"/>
    </w:p>
    <w:p w14:paraId="5FA17701" w14:textId="77777777" w:rsidR="008F090E" w:rsidRPr="00FD220F" w:rsidRDefault="008F090E" w:rsidP="008F090E">
      <w:pPr>
        <w:spacing w:after="0" w:line="240" w:lineRule="auto"/>
        <w:rPr>
          <w:rFonts w:ascii="Times New Roman" w:hAnsi="Times New Roman"/>
          <w:sz w:val="28"/>
          <w:szCs w:val="28"/>
        </w:rPr>
      </w:pPr>
    </w:p>
    <w:p w14:paraId="505F4697" w14:textId="77777777" w:rsidR="008F090E" w:rsidRPr="00FD220F" w:rsidRDefault="008F090E" w:rsidP="008F090E">
      <w:pPr>
        <w:spacing w:after="0" w:line="240" w:lineRule="auto"/>
        <w:rPr>
          <w:rFonts w:ascii="Times New Roman" w:hAnsi="Times New Roman"/>
          <w:sz w:val="28"/>
          <w:szCs w:val="28"/>
        </w:rPr>
      </w:pPr>
    </w:p>
    <w:p w14:paraId="7223F7E7" w14:textId="77777777" w:rsidR="008F090E" w:rsidRPr="00FD220F" w:rsidRDefault="008F090E" w:rsidP="008F090E">
      <w:pPr>
        <w:tabs>
          <w:tab w:val="left" w:pos="7371"/>
        </w:tabs>
        <w:spacing w:after="0" w:line="240" w:lineRule="auto"/>
        <w:jc w:val="both"/>
        <w:rPr>
          <w:rFonts w:ascii="Times New Roman" w:hAnsi="Times New Roman"/>
          <w:sz w:val="28"/>
          <w:szCs w:val="28"/>
        </w:rPr>
      </w:pPr>
      <w:r w:rsidRPr="00FD220F">
        <w:rPr>
          <w:rFonts w:ascii="Times New Roman" w:hAnsi="Times New Roman"/>
          <w:sz w:val="28"/>
          <w:szCs w:val="28"/>
        </w:rPr>
        <w:t>Vīza:</w:t>
      </w:r>
    </w:p>
    <w:p w14:paraId="5EE8501B" w14:textId="04B6BBF4" w:rsidR="008F090E" w:rsidRPr="00FD220F" w:rsidRDefault="00460946" w:rsidP="008F090E">
      <w:pPr>
        <w:tabs>
          <w:tab w:val="left" w:pos="6237"/>
        </w:tabs>
        <w:spacing w:after="0" w:line="240" w:lineRule="auto"/>
        <w:contextualSpacing/>
        <w:rPr>
          <w:rFonts w:ascii="Times New Roman" w:hAnsi="Times New Roman"/>
          <w:sz w:val="20"/>
          <w:szCs w:val="20"/>
        </w:rPr>
      </w:pPr>
      <w:r w:rsidRPr="00FD220F">
        <w:rPr>
          <w:rFonts w:ascii="Times New Roman" w:hAnsi="Times New Roman"/>
          <w:sz w:val="28"/>
          <w:szCs w:val="28"/>
        </w:rPr>
        <w:t>Valsts sekretār</w:t>
      </w:r>
      <w:r w:rsidR="001F5E95" w:rsidRPr="00FD220F">
        <w:rPr>
          <w:rFonts w:ascii="Times New Roman" w:hAnsi="Times New Roman"/>
          <w:sz w:val="28"/>
          <w:szCs w:val="28"/>
        </w:rPr>
        <w:t>s</w:t>
      </w:r>
      <w:r w:rsidR="002B180E" w:rsidRPr="00FD220F">
        <w:rPr>
          <w:rFonts w:ascii="Times New Roman" w:hAnsi="Times New Roman"/>
          <w:sz w:val="28"/>
          <w:szCs w:val="28"/>
        </w:rPr>
        <w:tab/>
      </w:r>
      <w:r w:rsidR="001F5E95" w:rsidRPr="00FD220F">
        <w:rPr>
          <w:rFonts w:ascii="Times New Roman" w:hAnsi="Times New Roman"/>
          <w:sz w:val="28"/>
          <w:szCs w:val="28"/>
        </w:rPr>
        <w:tab/>
      </w:r>
      <w:r w:rsidR="001F5E95" w:rsidRPr="00FD220F">
        <w:rPr>
          <w:rFonts w:ascii="Times New Roman" w:hAnsi="Times New Roman"/>
          <w:sz w:val="28"/>
          <w:szCs w:val="28"/>
        </w:rPr>
        <w:tab/>
      </w:r>
      <w:r w:rsidR="002B180E" w:rsidRPr="00FD220F">
        <w:rPr>
          <w:rFonts w:ascii="Times New Roman" w:hAnsi="Times New Roman"/>
          <w:sz w:val="28"/>
          <w:szCs w:val="28"/>
        </w:rPr>
        <w:t>E.</w:t>
      </w:r>
      <w:r w:rsidR="00B27592">
        <w:rPr>
          <w:rFonts w:ascii="Times New Roman" w:hAnsi="Times New Roman"/>
          <w:sz w:val="28"/>
          <w:szCs w:val="28"/>
        </w:rPr>
        <w:t> </w:t>
      </w:r>
      <w:r w:rsidR="002B180E" w:rsidRPr="00FD220F">
        <w:rPr>
          <w:rFonts w:ascii="Times New Roman" w:hAnsi="Times New Roman"/>
          <w:sz w:val="28"/>
          <w:szCs w:val="28"/>
        </w:rPr>
        <w:t>Valantis</w:t>
      </w:r>
      <w:r w:rsidR="00AF3551" w:rsidRPr="00FD220F">
        <w:rPr>
          <w:rFonts w:ascii="Times New Roman" w:hAnsi="Times New Roman"/>
          <w:sz w:val="28"/>
          <w:szCs w:val="28"/>
        </w:rPr>
        <w:tab/>
      </w:r>
    </w:p>
    <w:p w14:paraId="115617D1" w14:textId="77777777" w:rsidR="008F090E" w:rsidRPr="00FD220F" w:rsidRDefault="008F090E" w:rsidP="008F090E">
      <w:pPr>
        <w:tabs>
          <w:tab w:val="left" w:pos="6237"/>
        </w:tabs>
        <w:spacing w:after="0" w:line="240" w:lineRule="auto"/>
        <w:contextualSpacing/>
        <w:rPr>
          <w:rFonts w:ascii="Times New Roman" w:hAnsi="Times New Roman"/>
          <w:sz w:val="20"/>
          <w:szCs w:val="20"/>
        </w:rPr>
      </w:pPr>
    </w:p>
    <w:p w14:paraId="2EDC7801" w14:textId="39201495" w:rsidR="008F090E" w:rsidRPr="00FD220F" w:rsidRDefault="007C01D0" w:rsidP="008F090E">
      <w:pPr>
        <w:tabs>
          <w:tab w:val="left" w:pos="6237"/>
        </w:tabs>
        <w:spacing w:after="0" w:line="240" w:lineRule="auto"/>
        <w:contextualSpacing/>
        <w:rPr>
          <w:rFonts w:ascii="Times New Roman" w:hAnsi="Times New Roman"/>
          <w:sz w:val="20"/>
          <w:szCs w:val="20"/>
        </w:rPr>
      </w:pPr>
      <w:r w:rsidRPr="00FD220F">
        <w:rPr>
          <w:rFonts w:ascii="Times New Roman" w:hAnsi="Times New Roman"/>
          <w:sz w:val="20"/>
          <w:szCs w:val="20"/>
        </w:rPr>
        <w:t>Marija Zjurikova</w:t>
      </w:r>
      <w:r w:rsidR="008F090E" w:rsidRPr="00FD220F">
        <w:rPr>
          <w:rFonts w:ascii="Times New Roman" w:hAnsi="Times New Roman"/>
          <w:sz w:val="20"/>
          <w:szCs w:val="20"/>
        </w:rPr>
        <w:t xml:space="preserve"> 67013</w:t>
      </w:r>
      <w:r w:rsidRPr="00FD220F">
        <w:rPr>
          <w:rFonts w:ascii="Times New Roman" w:hAnsi="Times New Roman"/>
          <w:sz w:val="20"/>
          <w:szCs w:val="20"/>
        </w:rPr>
        <w:t>242</w:t>
      </w:r>
    </w:p>
    <w:p w14:paraId="34F9D418" w14:textId="022B2E38" w:rsidR="00894C55" w:rsidRDefault="00487103" w:rsidP="008F090E">
      <w:pPr>
        <w:tabs>
          <w:tab w:val="left" w:pos="6237"/>
        </w:tabs>
        <w:spacing w:after="0" w:line="240" w:lineRule="auto"/>
        <w:contextualSpacing/>
        <w:rPr>
          <w:rStyle w:val="Hyperlink"/>
          <w:rFonts w:ascii="Times New Roman" w:hAnsi="Times New Roman"/>
          <w:sz w:val="20"/>
          <w:szCs w:val="20"/>
        </w:rPr>
      </w:pPr>
      <w:hyperlink r:id="rId10" w:history="1">
        <w:r w:rsidR="008D6670" w:rsidRPr="00FD220F">
          <w:rPr>
            <w:rStyle w:val="Hyperlink"/>
            <w:rFonts w:ascii="Times New Roman" w:hAnsi="Times New Roman"/>
            <w:sz w:val="20"/>
            <w:szCs w:val="20"/>
          </w:rPr>
          <w:t>Marija.Zjurikova@em.gov.lv</w:t>
        </w:r>
      </w:hyperlink>
      <w:r w:rsidR="008F090E" w:rsidRPr="005E7D91">
        <w:rPr>
          <w:rFonts w:ascii="Times New Roman" w:hAnsi="Times New Roman"/>
          <w:sz w:val="20"/>
          <w:szCs w:val="20"/>
        </w:rPr>
        <w:t xml:space="preserve"> </w:t>
      </w:r>
    </w:p>
    <w:p w14:paraId="4D98CD85" w14:textId="7A11437A" w:rsidR="00020E2F" w:rsidRPr="00020E2F" w:rsidRDefault="00020E2F" w:rsidP="00020E2F">
      <w:pPr>
        <w:tabs>
          <w:tab w:val="left" w:pos="1130"/>
        </w:tabs>
        <w:rPr>
          <w:rFonts w:ascii="Times New Roman" w:hAnsi="Times New Roman"/>
          <w:sz w:val="20"/>
          <w:szCs w:val="20"/>
        </w:rPr>
      </w:pPr>
      <w:r>
        <w:rPr>
          <w:rFonts w:ascii="Times New Roman" w:hAnsi="Times New Roman"/>
          <w:sz w:val="20"/>
          <w:szCs w:val="20"/>
        </w:rPr>
        <w:tab/>
      </w:r>
    </w:p>
    <w:sectPr w:rsidR="00020E2F" w:rsidRPr="00020E2F" w:rsidSect="00261D4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6568" w14:textId="77777777" w:rsidR="00604E45" w:rsidRDefault="00604E45">
      <w:pPr>
        <w:spacing w:after="0" w:line="240" w:lineRule="auto"/>
      </w:pPr>
      <w:r>
        <w:separator/>
      </w:r>
    </w:p>
  </w:endnote>
  <w:endnote w:type="continuationSeparator" w:id="0">
    <w:p w14:paraId="104D9ED8" w14:textId="77777777" w:rsidR="00604E45" w:rsidRDefault="0060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510D" w14:textId="08E6262F" w:rsidR="001C53FF" w:rsidRPr="00A007D6" w:rsidRDefault="00A007D6" w:rsidP="00A007D6">
    <w:pPr>
      <w:pStyle w:val="Footer"/>
    </w:pPr>
    <w:r w:rsidRPr="00A007D6">
      <w:rPr>
        <w:rFonts w:ascii="Times New Roman" w:hAnsi="Times New Roman"/>
        <w:sz w:val="24"/>
        <w:szCs w:val="20"/>
      </w:rPr>
      <w:t>EMAnot_1062021_MK78Groz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ECF9" w14:textId="4267EE43" w:rsidR="00D379B0" w:rsidRPr="00A007D6" w:rsidRDefault="00A007D6" w:rsidP="00A007D6">
    <w:pPr>
      <w:pStyle w:val="Footer"/>
    </w:pPr>
    <w:r w:rsidRPr="00A007D6">
      <w:rPr>
        <w:rFonts w:ascii="Times New Roman" w:hAnsi="Times New Roman"/>
        <w:sz w:val="24"/>
        <w:szCs w:val="20"/>
      </w:rPr>
      <w:t>EMAnot_1062021_MK78Groz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19F4" w14:textId="77777777" w:rsidR="00604E45" w:rsidRDefault="00604E45">
      <w:pPr>
        <w:spacing w:after="0" w:line="240" w:lineRule="auto"/>
      </w:pPr>
      <w:r>
        <w:separator/>
      </w:r>
    </w:p>
  </w:footnote>
  <w:footnote w:type="continuationSeparator" w:id="0">
    <w:p w14:paraId="7846C0A3" w14:textId="77777777" w:rsidR="00604E45" w:rsidRDefault="00604E45">
      <w:pPr>
        <w:spacing w:after="0" w:line="240" w:lineRule="auto"/>
      </w:pPr>
      <w:r>
        <w:continuationSeparator/>
      </w:r>
    </w:p>
  </w:footnote>
  <w:footnote w:id="1">
    <w:p w14:paraId="7485944D" w14:textId="77777777" w:rsidR="008F090E" w:rsidRPr="005163CC" w:rsidRDefault="008F090E" w:rsidP="008F090E">
      <w:pPr>
        <w:pStyle w:val="FootnoteText"/>
        <w:rPr>
          <w:rFonts w:ascii="Times New Roman" w:hAnsi="Times New Roman"/>
          <w:sz w:val="19"/>
          <w:szCs w:val="19"/>
        </w:rPr>
      </w:pPr>
      <w:r w:rsidRPr="005163CC">
        <w:rPr>
          <w:rStyle w:val="FootnoteReference"/>
          <w:rFonts w:ascii="Times New Roman" w:hAnsi="Times New Roman"/>
          <w:sz w:val="19"/>
          <w:szCs w:val="19"/>
        </w:rPr>
        <w:footnoteRef/>
      </w:r>
      <w:r w:rsidRPr="005163CC">
        <w:rPr>
          <w:rFonts w:ascii="Times New Roman" w:hAnsi="Times New Roman"/>
          <w:sz w:val="19"/>
          <w:szCs w:val="19"/>
        </w:rPr>
        <w:t xml:space="preserve"> </w:t>
      </w:r>
      <w:hyperlink r:id="rId1" w:history="1">
        <w:r w:rsidRPr="005163CC">
          <w:rPr>
            <w:rStyle w:val="Hyperlink"/>
            <w:rFonts w:ascii="Times New Roman" w:hAnsi="Times New Roman"/>
            <w:sz w:val="19"/>
            <w:szCs w:val="19"/>
          </w:rPr>
          <w:t>https://em.gov.lv/lv/par_ministriju/sabiedribas_lidzdaliba/diskusiju_dokumenti/energijas_tirgus_un_infrastruktura/</w:t>
        </w:r>
      </w:hyperlink>
    </w:p>
  </w:footnote>
  <w:footnote w:id="2">
    <w:p w14:paraId="4397457C" w14:textId="77777777" w:rsidR="008F090E" w:rsidRPr="005163CC" w:rsidRDefault="008F090E" w:rsidP="008F090E">
      <w:pPr>
        <w:pStyle w:val="FootnoteText"/>
        <w:rPr>
          <w:rFonts w:ascii="Times New Roman" w:hAnsi="Times New Roman"/>
          <w:sz w:val="19"/>
          <w:szCs w:val="19"/>
        </w:rPr>
      </w:pPr>
      <w:r w:rsidRPr="005163CC">
        <w:rPr>
          <w:rStyle w:val="FootnoteReference"/>
          <w:rFonts w:ascii="Times New Roman" w:hAnsi="Times New Roman"/>
          <w:sz w:val="19"/>
          <w:szCs w:val="19"/>
        </w:rPr>
        <w:footnoteRef/>
      </w:r>
      <w:r w:rsidRPr="005163CC">
        <w:rPr>
          <w:rFonts w:ascii="Times New Roman" w:hAnsi="Times New Roman"/>
          <w:sz w:val="19"/>
          <w:szCs w:val="19"/>
        </w:rPr>
        <w:t xml:space="preserve"> </w:t>
      </w:r>
      <w:hyperlink r:id="rId2" w:history="1">
        <w:r w:rsidRPr="00AD1A0E">
          <w:rPr>
            <w:rStyle w:val="Hyperlink"/>
            <w:rFonts w:ascii="Times New Roman" w:hAnsi="Times New Roman"/>
            <w:sz w:val="19"/>
            <w:szCs w:val="19"/>
          </w:rPr>
          <w:t>https://www.mk.gov.lv/content/ministru-kabineta-diskusiju-dokumenti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7FE2" w14:textId="6DFC7052" w:rsidR="00D379B0" w:rsidRPr="00C25B49" w:rsidRDefault="00D379B0">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913974">
      <w:rPr>
        <w:rFonts w:ascii="Times New Roman" w:hAnsi="Times New Roman"/>
        <w:noProof/>
        <w:sz w:val="24"/>
        <w:szCs w:val="20"/>
      </w:rPr>
      <w:t>6</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68F"/>
    <w:multiLevelType w:val="hybridMultilevel"/>
    <w:tmpl w:val="3AE4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2952FA6"/>
    <w:multiLevelType w:val="hybridMultilevel"/>
    <w:tmpl w:val="684A7FB6"/>
    <w:lvl w:ilvl="0" w:tplc="A2AC1204">
      <w:start w:val="1"/>
      <w:numFmt w:val="decimal"/>
      <w:lvlText w:val="%1."/>
      <w:lvlJc w:val="left"/>
      <w:pPr>
        <w:ind w:left="808" w:hanging="360"/>
      </w:pPr>
    </w:lvl>
    <w:lvl w:ilvl="1" w:tplc="925674FA" w:tentative="1">
      <w:start w:val="1"/>
      <w:numFmt w:val="lowerLetter"/>
      <w:lvlText w:val="%2."/>
      <w:lvlJc w:val="left"/>
      <w:pPr>
        <w:ind w:left="1528" w:hanging="360"/>
      </w:pPr>
    </w:lvl>
    <w:lvl w:ilvl="2" w:tplc="09E281F8" w:tentative="1">
      <w:start w:val="1"/>
      <w:numFmt w:val="lowerRoman"/>
      <w:lvlText w:val="%3."/>
      <w:lvlJc w:val="right"/>
      <w:pPr>
        <w:ind w:left="2248" w:hanging="180"/>
      </w:pPr>
    </w:lvl>
    <w:lvl w:ilvl="3" w:tplc="73F62820" w:tentative="1">
      <w:start w:val="1"/>
      <w:numFmt w:val="decimal"/>
      <w:lvlText w:val="%4."/>
      <w:lvlJc w:val="left"/>
      <w:pPr>
        <w:ind w:left="2968" w:hanging="360"/>
      </w:pPr>
    </w:lvl>
    <w:lvl w:ilvl="4" w:tplc="BABAE098" w:tentative="1">
      <w:start w:val="1"/>
      <w:numFmt w:val="lowerLetter"/>
      <w:lvlText w:val="%5."/>
      <w:lvlJc w:val="left"/>
      <w:pPr>
        <w:ind w:left="3688" w:hanging="360"/>
      </w:pPr>
    </w:lvl>
    <w:lvl w:ilvl="5" w:tplc="DB1A21F2" w:tentative="1">
      <w:start w:val="1"/>
      <w:numFmt w:val="lowerRoman"/>
      <w:lvlText w:val="%6."/>
      <w:lvlJc w:val="right"/>
      <w:pPr>
        <w:ind w:left="4408" w:hanging="180"/>
      </w:pPr>
    </w:lvl>
    <w:lvl w:ilvl="6" w:tplc="BC409966" w:tentative="1">
      <w:start w:val="1"/>
      <w:numFmt w:val="decimal"/>
      <w:lvlText w:val="%7."/>
      <w:lvlJc w:val="left"/>
      <w:pPr>
        <w:ind w:left="5128" w:hanging="360"/>
      </w:pPr>
    </w:lvl>
    <w:lvl w:ilvl="7" w:tplc="844CE614" w:tentative="1">
      <w:start w:val="1"/>
      <w:numFmt w:val="lowerLetter"/>
      <w:lvlText w:val="%8."/>
      <w:lvlJc w:val="left"/>
      <w:pPr>
        <w:ind w:left="5848" w:hanging="360"/>
      </w:pPr>
    </w:lvl>
    <w:lvl w:ilvl="8" w:tplc="0B586F7A" w:tentative="1">
      <w:start w:val="1"/>
      <w:numFmt w:val="lowerRoman"/>
      <w:lvlText w:val="%9."/>
      <w:lvlJc w:val="right"/>
      <w:pPr>
        <w:ind w:left="6568" w:hanging="180"/>
      </w:pPr>
    </w:lvl>
  </w:abstractNum>
  <w:abstractNum w:abstractNumId="2" w15:restartNumberingAfterBreak="0">
    <w:nsid w:val="066500F7"/>
    <w:multiLevelType w:val="hybridMultilevel"/>
    <w:tmpl w:val="41AA94D0"/>
    <w:lvl w:ilvl="0" w:tplc="1B60B858">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cs="Wingdings" w:hint="default"/>
      </w:rPr>
    </w:lvl>
    <w:lvl w:ilvl="3" w:tplc="04260001">
      <w:start w:val="1"/>
      <w:numFmt w:val="bullet"/>
      <w:lvlText w:val=""/>
      <w:lvlJc w:val="left"/>
      <w:pPr>
        <w:ind w:left="3237" w:hanging="360"/>
      </w:pPr>
      <w:rPr>
        <w:rFonts w:ascii="Symbol" w:hAnsi="Symbol" w:cs="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cs="Wingdings" w:hint="default"/>
      </w:rPr>
    </w:lvl>
    <w:lvl w:ilvl="6" w:tplc="04260001">
      <w:start w:val="1"/>
      <w:numFmt w:val="bullet"/>
      <w:lvlText w:val=""/>
      <w:lvlJc w:val="left"/>
      <w:pPr>
        <w:ind w:left="5397" w:hanging="360"/>
      </w:pPr>
      <w:rPr>
        <w:rFonts w:ascii="Symbol" w:hAnsi="Symbol" w:cs="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cs="Wingdings" w:hint="default"/>
      </w:rPr>
    </w:lvl>
  </w:abstractNum>
  <w:abstractNum w:abstractNumId="3" w15:restartNumberingAfterBreak="1">
    <w:nsid w:val="1EBF2CFA"/>
    <w:multiLevelType w:val="hybridMultilevel"/>
    <w:tmpl w:val="CF101FB8"/>
    <w:lvl w:ilvl="0" w:tplc="F0408F18">
      <w:start w:val="1"/>
      <w:numFmt w:val="decimal"/>
      <w:lvlText w:val="%1."/>
      <w:lvlJc w:val="left"/>
      <w:pPr>
        <w:ind w:left="720" w:hanging="360"/>
      </w:pPr>
      <w:rPr>
        <w:rFonts w:hint="default"/>
      </w:rPr>
    </w:lvl>
    <w:lvl w:ilvl="1" w:tplc="F468F89E" w:tentative="1">
      <w:start w:val="1"/>
      <w:numFmt w:val="lowerLetter"/>
      <w:lvlText w:val="%2."/>
      <w:lvlJc w:val="left"/>
      <w:pPr>
        <w:ind w:left="1440" w:hanging="360"/>
      </w:pPr>
    </w:lvl>
    <w:lvl w:ilvl="2" w:tplc="926A5A10" w:tentative="1">
      <w:start w:val="1"/>
      <w:numFmt w:val="lowerRoman"/>
      <w:lvlText w:val="%3."/>
      <w:lvlJc w:val="right"/>
      <w:pPr>
        <w:ind w:left="2160" w:hanging="180"/>
      </w:pPr>
    </w:lvl>
    <w:lvl w:ilvl="3" w:tplc="B2BAF7B0" w:tentative="1">
      <w:start w:val="1"/>
      <w:numFmt w:val="decimal"/>
      <w:lvlText w:val="%4."/>
      <w:lvlJc w:val="left"/>
      <w:pPr>
        <w:ind w:left="2880" w:hanging="360"/>
      </w:pPr>
    </w:lvl>
    <w:lvl w:ilvl="4" w:tplc="AFB67688" w:tentative="1">
      <w:start w:val="1"/>
      <w:numFmt w:val="lowerLetter"/>
      <w:lvlText w:val="%5."/>
      <w:lvlJc w:val="left"/>
      <w:pPr>
        <w:ind w:left="3600" w:hanging="360"/>
      </w:pPr>
    </w:lvl>
    <w:lvl w:ilvl="5" w:tplc="9FE4781C" w:tentative="1">
      <w:start w:val="1"/>
      <w:numFmt w:val="lowerRoman"/>
      <w:lvlText w:val="%6."/>
      <w:lvlJc w:val="right"/>
      <w:pPr>
        <w:ind w:left="4320" w:hanging="180"/>
      </w:pPr>
    </w:lvl>
    <w:lvl w:ilvl="6" w:tplc="3F26E5AA" w:tentative="1">
      <w:start w:val="1"/>
      <w:numFmt w:val="decimal"/>
      <w:lvlText w:val="%7."/>
      <w:lvlJc w:val="left"/>
      <w:pPr>
        <w:ind w:left="5040" w:hanging="360"/>
      </w:pPr>
    </w:lvl>
    <w:lvl w:ilvl="7" w:tplc="59BAACA2" w:tentative="1">
      <w:start w:val="1"/>
      <w:numFmt w:val="lowerLetter"/>
      <w:lvlText w:val="%8."/>
      <w:lvlJc w:val="left"/>
      <w:pPr>
        <w:ind w:left="5760" w:hanging="360"/>
      </w:pPr>
    </w:lvl>
    <w:lvl w:ilvl="8" w:tplc="62E6799A" w:tentative="1">
      <w:start w:val="1"/>
      <w:numFmt w:val="lowerRoman"/>
      <w:lvlText w:val="%9."/>
      <w:lvlJc w:val="right"/>
      <w:pPr>
        <w:ind w:left="6480" w:hanging="180"/>
      </w:pPr>
    </w:lvl>
  </w:abstractNum>
  <w:abstractNum w:abstractNumId="4" w15:restartNumberingAfterBreak="0">
    <w:nsid w:val="22A428E6"/>
    <w:multiLevelType w:val="hybridMultilevel"/>
    <w:tmpl w:val="78D2A29E"/>
    <w:lvl w:ilvl="0" w:tplc="EC80B36A">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5" w15:restartNumberingAfterBreak="0">
    <w:nsid w:val="37A745CD"/>
    <w:multiLevelType w:val="hybridMultilevel"/>
    <w:tmpl w:val="F1B8A3C4"/>
    <w:lvl w:ilvl="0" w:tplc="D16CD46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15:restartNumberingAfterBreak="0">
    <w:nsid w:val="3871768E"/>
    <w:multiLevelType w:val="hybridMultilevel"/>
    <w:tmpl w:val="14A41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917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A3F7A07"/>
    <w:multiLevelType w:val="hybridMultilevel"/>
    <w:tmpl w:val="A552BFFA"/>
    <w:lvl w:ilvl="0" w:tplc="01B4C60A">
      <w:start w:val="1"/>
      <w:numFmt w:val="decimal"/>
      <w:lvlText w:val="%1."/>
      <w:lvlJc w:val="left"/>
      <w:pPr>
        <w:ind w:left="720" w:hanging="360"/>
      </w:pPr>
      <w:rPr>
        <w:rFonts w:hint="default"/>
      </w:rPr>
    </w:lvl>
    <w:lvl w:ilvl="1" w:tplc="19D2EBA8" w:tentative="1">
      <w:start w:val="1"/>
      <w:numFmt w:val="lowerLetter"/>
      <w:lvlText w:val="%2."/>
      <w:lvlJc w:val="left"/>
      <w:pPr>
        <w:ind w:left="1440" w:hanging="360"/>
      </w:pPr>
    </w:lvl>
    <w:lvl w:ilvl="2" w:tplc="1EC6F7E4" w:tentative="1">
      <w:start w:val="1"/>
      <w:numFmt w:val="lowerRoman"/>
      <w:lvlText w:val="%3."/>
      <w:lvlJc w:val="right"/>
      <w:pPr>
        <w:ind w:left="2160" w:hanging="180"/>
      </w:pPr>
    </w:lvl>
    <w:lvl w:ilvl="3" w:tplc="9D1EF840" w:tentative="1">
      <w:start w:val="1"/>
      <w:numFmt w:val="decimal"/>
      <w:lvlText w:val="%4."/>
      <w:lvlJc w:val="left"/>
      <w:pPr>
        <w:ind w:left="2880" w:hanging="360"/>
      </w:pPr>
    </w:lvl>
    <w:lvl w:ilvl="4" w:tplc="4E688020" w:tentative="1">
      <w:start w:val="1"/>
      <w:numFmt w:val="lowerLetter"/>
      <w:lvlText w:val="%5."/>
      <w:lvlJc w:val="left"/>
      <w:pPr>
        <w:ind w:left="3600" w:hanging="360"/>
      </w:pPr>
    </w:lvl>
    <w:lvl w:ilvl="5" w:tplc="B44EADAA" w:tentative="1">
      <w:start w:val="1"/>
      <w:numFmt w:val="lowerRoman"/>
      <w:lvlText w:val="%6."/>
      <w:lvlJc w:val="right"/>
      <w:pPr>
        <w:ind w:left="4320" w:hanging="180"/>
      </w:pPr>
    </w:lvl>
    <w:lvl w:ilvl="6" w:tplc="F52C46BE" w:tentative="1">
      <w:start w:val="1"/>
      <w:numFmt w:val="decimal"/>
      <w:lvlText w:val="%7."/>
      <w:lvlJc w:val="left"/>
      <w:pPr>
        <w:ind w:left="5040" w:hanging="360"/>
      </w:pPr>
    </w:lvl>
    <w:lvl w:ilvl="7" w:tplc="4AECD4DA" w:tentative="1">
      <w:start w:val="1"/>
      <w:numFmt w:val="lowerLetter"/>
      <w:lvlText w:val="%8."/>
      <w:lvlJc w:val="left"/>
      <w:pPr>
        <w:ind w:left="5760" w:hanging="360"/>
      </w:pPr>
    </w:lvl>
    <w:lvl w:ilvl="8" w:tplc="40A6ACEC" w:tentative="1">
      <w:start w:val="1"/>
      <w:numFmt w:val="lowerRoman"/>
      <w:lvlText w:val="%9."/>
      <w:lvlJc w:val="right"/>
      <w:pPr>
        <w:ind w:left="6480" w:hanging="180"/>
      </w:pPr>
    </w:lvl>
  </w:abstractNum>
  <w:abstractNum w:abstractNumId="9" w15:restartNumberingAfterBreak="1">
    <w:nsid w:val="78E004AC"/>
    <w:multiLevelType w:val="hybridMultilevel"/>
    <w:tmpl w:val="860270DE"/>
    <w:lvl w:ilvl="0" w:tplc="0409000F">
      <w:start w:val="1"/>
      <w:numFmt w:val="decimal"/>
      <w:lvlText w:val="%1."/>
      <w:lvlJc w:val="left"/>
      <w:pPr>
        <w:ind w:left="1069" w:hanging="360"/>
      </w:pPr>
    </w:lvl>
    <w:lvl w:ilvl="1" w:tplc="925674FA" w:tentative="1">
      <w:start w:val="1"/>
      <w:numFmt w:val="lowerLetter"/>
      <w:lvlText w:val="%2."/>
      <w:lvlJc w:val="left"/>
      <w:pPr>
        <w:ind w:left="1789" w:hanging="360"/>
      </w:pPr>
    </w:lvl>
    <w:lvl w:ilvl="2" w:tplc="09E281F8" w:tentative="1">
      <w:start w:val="1"/>
      <w:numFmt w:val="lowerRoman"/>
      <w:lvlText w:val="%3."/>
      <w:lvlJc w:val="right"/>
      <w:pPr>
        <w:ind w:left="2509" w:hanging="180"/>
      </w:pPr>
    </w:lvl>
    <w:lvl w:ilvl="3" w:tplc="73F62820" w:tentative="1">
      <w:start w:val="1"/>
      <w:numFmt w:val="decimal"/>
      <w:lvlText w:val="%4."/>
      <w:lvlJc w:val="left"/>
      <w:pPr>
        <w:ind w:left="3229" w:hanging="360"/>
      </w:pPr>
    </w:lvl>
    <w:lvl w:ilvl="4" w:tplc="BABAE098" w:tentative="1">
      <w:start w:val="1"/>
      <w:numFmt w:val="lowerLetter"/>
      <w:lvlText w:val="%5."/>
      <w:lvlJc w:val="left"/>
      <w:pPr>
        <w:ind w:left="3949" w:hanging="360"/>
      </w:pPr>
    </w:lvl>
    <w:lvl w:ilvl="5" w:tplc="DB1A21F2" w:tentative="1">
      <w:start w:val="1"/>
      <w:numFmt w:val="lowerRoman"/>
      <w:lvlText w:val="%6."/>
      <w:lvlJc w:val="right"/>
      <w:pPr>
        <w:ind w:left="4669" w:hanging="180"/>
      </w:pPr>
    </w:lvl>
    <w:lvl w:ilvl="6" w:tplc="BC409966" w:tentative="1">
      <w:start w:val="1"/>
      <w:numFmt w:val="decimal"/>
      <w:lvlText w:val="%7."/>
      <w:lvlJc w:val="left"/>
      <w:pPr>
        <w:ind w:left="5389" w:hanging="360"/>
      </w:pPr>
    </w:lvl>
    <w:lvl w:ilvl="7" w:tplc="844CE614" w:tentative="1">
      <w:start w:val="1"/>
      <w:numFmt w:val="lowerLetter"/>
      <w:lvlText w:val="%8."/>
      <w:lvlJc w:val="left"/>
      <w:pPr>
        <w:ind w:left="6109" w:hanging="360"/>
      </w:pPr>
    </w:lvl>
    <w:lvl w:ilvl="8" w:tplc="0B586F7A" w:tentative="1">
      <w:start w:val="1"/>
      <w:numFmt w:val="lowerRoman"/>
      <w:lvlText w:val="%9."/>
      <w:lvlJc w:val="right"/>
      <w:pPr>
        <w:ind w:left="6829" w:hanging="180"/>
      </w:pPr>
    </w:lvl>
  </w:abstractNum>
  <w:abstractNum w:abstractNumId="10" w15:restartNumberingAfterBreak="0">
    <w:nsid w:val="7AEA4174"/>
    <w:multiLevelType w:val="hybridMultilevel"/>
    <w:tmpl w:val="49665E40"/>
    <w:lvl w:ilvl="0" w:tplc="880E010A">
      <w:start w:val="1"/>
      <w:numFmt w:val="decimal"/>
      <w:lvlText w:val="%1."/>
      <w:lvlJc w:val="left"/>
      <w:pPr>
        <w:ind w:left="709" w:hanging="360"/>
      </w:pPr>
      <w:rPr>
        <w:rFonts w:hint="default"/>
        <w:u w:val="none"/>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1" w15:restartNumberingAfterBreak="0">
    <w:nsid w:val="7BD03EA8"/>
    <w:multiLevelType w:val="hybridMultilevel"/>
    <w:tmpl w:val="08A2A7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137AAE"/>
    <w:multiLevelType w:val="hybridMultilevel"/>
    <w:tmpl w:val="9344418E"/>
    <w:lvl w:ilvl="0" w:tplc="31C48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3"/>
  </w:num>
  <w:num w:numId="3">
    <w:abstractNumId w:val="9"/>
  </w:num>
  <w:num w:numId="4">
    <w:abstractNumId w:val="1"/>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F45"/>
    <w:rsid w:val="000057AD"/>
    <w:rsid w:val="0000640C"/>
    <w:rsid w:val="0001035D"/>
    <w:rsid w:val="00011312"/>
    <w:rsid w:val="000113C9"/>
    <w:rsid w:val="00017BFC"/>
    <w:rsid w:val="00020E2F"/>
    <w:rsid w:val="00022DF5"/>
    <w:rsid w:val="0002673E"/>
    <w:rsid w:val="00026A21"/>
    <w:rsid w:val="00027C1B"/>
    <w:rsid w:val="00027DC9"/>
    <w:rsid w:val="000302DF"/>
    <w:rsid w:val="00030EB4"/>
    <w:rsid w:val="00030F6B"/>
    <w:rsid w:val="000315E2"/>
    <w:rsid w:val="000331F4"/>
    <w:rsid w:val="00034A70"/>
    <w:rsid w:val="00034D17"/>
    <w:rsid w:val="00035EC9"/>
    <w:rsid w:val="000360DA"/>
    <w:rsid w:val="000408B3"/>
    <w:rsid w:val="00040C19"/>
    <w:rsid w:val="00043D10"/>
    <w:rsid w:val="0004767B"/>
    <w:rsid w:val="00052621"/>
    <w:rsid w:val="00053661"/>
    <w:rsid w:val="00061C9A"/>
    <w:rsid w:val="000621E9"/>
    <w:rsid w:val="000621EB"/>
    <w:rsid w:val="0006579B"/>
    <w:rsid w:val="00070473"/>
    <w:rsid w:val="00070D7D"/>
    <w:rsid w:val="00071DFF"/>
    <w:rsid w:val="0007201E"/>
    <w:rsid w:val="00073CB9"/>
    <w:rsid w:val="00077169"/>
    <w:rsid w:val="00077A64"/>
    <w:rsid w:val="0009157A"/>
    <w:rsid w:val="00093CE6"/>
    <w:rsid w:val="000A1D9F"/>
    <w:rsid w:val="000A3C24"/>
    <w:rsid w:val="000A4DA8"/>
    <w:rsid w:val="000B1EDC"/>
    <w:rsid w:val="000B4782"/>
    <w:rsid w:val="000B54DC"/>
    <w:rsid w:val="000B5B53"/>
    <w:rsid w:val="000B673B"/>
    <w:rsid w:val="000C0AA7"/>
    <w:rsid w:val="000C149D"/>
    <w:rsid w:val="000C2C06"/>
    <w:rsid w:val="000C3AD7"/>
    <w:rsid w:val="000C45C0"/>
    <w:rsid w:val="000D2AE2"/>
    <w:rsid w:val="000D51EF"/>
    <w:rsid w:val="000D719F"/>
    <w:rsid w:val="000E1A11"/>
    <w:rsid w:val="000E478D"/>
    <w:rsid w:val="000E4C8A"/>
    <w:rsid w:val="000E4F88"/>
    <w:rsid w:val="000E4FDE"/>
    <w:rsid w:val="000E553A"/>
    <w:rsid w:val="000E5913"/>
    <w:rsid w:val="000E7409"/>
    <w:rsid w:val="000E7534"/>
    <w:rsid w:val="000F0485"/>
    <w:rsid w:val="000F0E6F"/>
    <w:rsid w:val="000F356E"/>
    <w:rsid w:val="000F4D31"/>
    <w:rsid w:val="000F51EE"/>
    <w:rsid w:val="000F54F7"/>
    <w:rsid w:val="000F662D"/>
    <w:rsid w:val="000F6948"/>
    <w:rsid w:val="000F7778"/>
    <w:rsid w:val="001000D3"/>
    <w:rsid w:val="0010042C"/>
    <w:rsid w:val="0010258C"/>
    <w:rsid w:val="00102D49"/>
    <w:rsid w:val="00103DE5"/>
    <w:rsid w:val="00106C09"/>
    <w:rsid w:val="00110711"/>
    <w:rsid w:val="001136EC"/>
    <w:rsid w:val="001155EC"/>
    <w:rsid w:val="001257DD"/>
    <w:rsid w:val="0013136E"/>
    <w:rsid w:val="00131B42"/>
    <w:rsid w:val="001341E7"/>
    <w:rsid w:val="00135351"/>
    <w:rsid w:val="0013736E"/>
    <w:rsid w:val="00142735"/>
    <w:rsid w:val="001465C5"/>
    <w:rsid w:val="00147B2D"/>
    <w:rsid w:val="001500D3"/>
    <w:rsid w:val="00151A04"/>
    <w:rsid w:val="00151D86"/>
    <w:rsid w:val="00153975"/>
    <w:rsid w:val="0015408A"/>
    <w:rsid w:val="00154106"/>
    <w:rsid w:val="00154AC7"/>
    <w:rsid w:val="00154BE9"/>
    <w:rsid w:val="0015575F"/>
    <w:rsid w:val="0015685F"/>
    <w:rsid w:val="001615DB"/>
    <w:rsid w:val="00161711"/>
    <w:rsid w:val="001620B5"/>
    <w:rsid w:val="00162757"/>
    <w:rsid w:val="00164182"/>
    <w:rsid w:val="0016579C"/>
    <w:rsid w:val="00166314"/>
    <w:rsid w:val="0016709D"/>
    <w:rsid w:val="00171803"/>
    <w:rsid w:val="001738B2"/>
    <w:rsid w:val="00173A2B"/>
    <w:rsid w:val="00174B9B"/>
    <w:rsid w:val="001769B5"/>
    <w:rsid w:val="00176F54"/>
    <w:rsid w:val="0018028E"/>
    <w:rsid w:val="0018181C"/>
    <w:rsid w:val="00184EF4"/>
    <w:rsid w:val="00196997"/>
    <w:rsid w:val="001A004D"/>
    <w:rsid w:val="001A2C0A"/>
    <w:rsid w:val="001A3647"/>
    <w:rsid w:val="001A51F8"/>
    <w:rsid w:val="001A5958"/>
    <w:rsid w:val="001B3EEA"/>
    <w:rsid w:val="001B4EDE"/>
    <w:rsid w:val="001B5B41"/>
    <w:rsid w:val="001B5CA7"/>
    <w:rsid w:val="001C0DF6"/>
    <w:rsid w:val="001C1384"/>
    <w:rsid w:val="001C22D8"/>
    <w:rsid w:val="001C53FF"/>
    <w:rsid w:val="001D05CE"/>
    <w:rsid w:val="001D3A95"/>
    <w:rsid w:val="001D6DDF"/>
    <w:rsid w:val="001D7766"/>
    <w:rsid w:val="001D779B"/>
    <w:rsid w:val="001E1286"/>
    <w:rsid w:val="001E1CE4"/>
    <w:rsid w:val="001E1E63"/>
    <w:rsid w:val="001E1EBD"/>
    <w:rsid w:val="001E4619"/>
    <w:rsid w:val="001E5C5F"/>
    <w:rsid w:val="001E69E5"/>
    <w:rsid w:val="001F14D5"/>
    <w:rsid w:val="001F4889"/>
    <w:rsid w:val="001F511E"/>
    <w:rsid w:val="001F5DF3"/>
    <w:rsid w:val="001F5E95"/>
    <w:rsid w:val="0020177A"/>
    <w:rsid w:val="00203BE3"/>
    <w:rsid w:val="00204177"/>
    <w:rsid w:val="00204E7C"/>
    <w:rsid w:val="00205B4A"/>
    <w:rsid w:val="00207034"/>
    <w:rsid w:val="00215896"/>
    <w:rsid w:val="00216BF0"/>
    <w:rsid w:val="00220C35"/>
    <w:rsid w:val="00221A23"/>
    <w:rsid w:val="00222033"/>
    <w:rsid w:val="002329AE"/>
    <w:rsid w:val="00232B77"/>
    <w:rsid w:val="00233FC4"/>
    <w:rsid w:val="00234474"/>
    <w:rsid w:val="00234D9E"/>
    <w:rsid w:val="002408A6"/>
    <w:rsid w:val="00242680"/>
    <w:rsid w:val="002429F1"/>
    <w:rsid w:val="00243426"/>
    <w:rsid w:val="002438DB"/>
    <w:rsid w:val="00246875"/>
    <w:rsid w:val="00251945"/>
    <w:rsid w:val="00251C5B"/>
    <w:rsid w:val="002554E0"/>
    <w:rsid w:val="0025603D"/>
    <w:rsid w:val="00256555"/>
    <w:rsid w:val="00256F9D"/>
    <w:rsid w:val="00261D45"/>
    <w:rsid w:val="0026472F"/>
    <w:rsid w:val="00265BB6"/>
    <w:rsid w:val="0026657E"/>
    <w:rsid w:val="002666AF"/>
    <w:rsid w:val="00267881"/>
    <w:rsid w:val="00271886"/>
    <w:rsid w:val="00280512"/>
    <w:rsid w:val="00280EEE"/>
    <w:rsid w:val="002814C9"/>
    <w:rsid w:val="00281AC1"/>
    <w:rsid w:val="0028275A"/>
    <w:rsid w:val="00283431"/>
    <w:rsid w:val="00294A2F"/>
    <w:rsid w:val="00295C2F"/>
    <w:rsid w:val="0029730C"/>
    <w:rsid w:val="002A21EC"/>
    <w:rsid w:val="002A3063"/>
    <w:rsid w:val="002A52D1"/>
    <w:rsid w:val="002A5941"/>
    <w:rsid w:val="002A5E48"/>
    <w:rsid w:val="002A6FA6"/>
    <w:rsid w:val="002B13B4"/>
    <w:rsid w:val="002B180E"/>
    <w:rsid w:val="002B3199"/>
    <w:rsid w:val="002B643D"/>
    <w:rsid w:val="002C1556"/>
    <w:rsid w:val="002C2AF4"/>
    <w:rsid w:val="002C2F6B"/>
    <w:rsid w:val="002C44D6"/>
    <w:rsid w:val="002C45DE"/>
    <w:rsid w:val="002D102E"/>
    <w:rsid w:val="002D2B97"/>
    <w:rsid w:val="002D37C8"/>
    <w:rsid w:val="002D3908"/>
    <w:rsid w:val="002D3DE4"/>
    <w:rsid w:val="002E0D27"/>
    <w:rsid w:val="002E0E4E"/>
    <w:rsid w:val="002E1C05"/>
    <w:rsid w:val="002E2F83"/>
    <w:rsid w:val="002E3C9F"/>
    <w:rsid w:val="002E43CA"/>
    <w:rsid w:val="002E4ADD"/>
    <w:rsid w:val="002E4C03"/>
    <w:rsid w:val="002E72F4"/>
    <w:rsid w:val="00300197"/>
    <w:rsid w:val="00300AF0"/>
    <w:rsid w:val="00300F9B"/>
    <w:rsid w:val="00304B0F"/>
    <w:rsid w:val="003050E4"/>
    <w:rsid w:val="00306FE7"/>
    <w:rsid w:val="003105AB"/>
    <w:rsid w:val="00311078"/>
    <w:rsid w:val="00311F52"/>
    <w:rsid w:val="0031285A"/>
    <w:rsid w:val="003136F7"/>
    <w:rsid w:val="0031538C"/>
    <w:rsid w:val="00317F33"/>
    <w:rsid w:val="00321E93"/>
    <w:rsid w:val="003248E4"/>
    <w:rsid w:val="00325E62"/>
    <w:rsid w:val="003273DA"/>
    <w:rsid w:val="003340B3"/>
    <w:rsid w:val="00334D70"/>
    <w:rsid w:val="00342D63"/>
    <w:rsid w:val="003448B8"/>
    <w:rsid w:val="00347FEE"/>
    <w:rsid w:val="00350C08"/>
    <w:rsid w:val="00350CF9"/>
    <w:rsid w:val="003530B2"/>
    <w:rsid w:val="00354044"/>
    <w:rsid w:val="00356A34"/>
    <w:rsid w:val="003672EF"/>
    <w:rsid w:val="00371239"/>
    <w:rsid w:val="003770C2"/>
    <w:rsid w:val="003811FC"/>
    <w:rsid w:val="00381E04"/>
    <w:rsid w:val="00391DBA"/>
    <w:rsid w:val="003931E9"/>
    <w:rsid w:val="00394270"/>
    <w:rsid w:val="00394559"/>
    <w:rsid w:val="00394F70"/>
    <w:rsid w:val="003966A7"/>
    <w:rsid w:val="003A12C6"/>
    <w:rsid w:val="003A1315"/>
    <w:rsid w:val="003A1648"/>
    <w:rsid w:val="003A2945"/>
    <w:rsid w:val="003A469F"/>
    <w:rsid w:val="003A5222"/>
    <w:rsid w:val="003B0771"/>
    <w:rsid w:val="003B0BF9"/>
    <w:rsid w:val="003B23A5"/>
    <w:rsid w:val="003B34DA"/>
    <w:rsid w:val="003B45A5"/>
    <w:rsid w:val="003B53AA"/>
    <w:rsid w:val="003C0FE9"/>
    <w:rsid w:val="003C5D78"/>
    <w:rsid w:val="003C6CC8"/>
    <w:rsid w:val="003D137D"/>
    <w:rsid w:val="003D1BD1"/>
    <w:rsid w:val="003D1D42"/>
    <w:rsid w:val="003D2307"/>
    <w:rsid w:val="003D3529"/>
    <w:rsid w:val="003E04E1"/>
    <w:rsid w:val="003E0791"/>
    <w:rsid w:val="003E2E5A"/>
    <w:rsid w:val="003E5364"/>
    <w:rsid w:val="003E572C"/>
    <w:rsid w:val="003E5BB5"/>
    <w:rsid w:val="003F005A"/>
    <w:rsid w:val="003F0966"/>
    <w:rsid w:val="003F28AC"/>
    <w:rsid w:val="003F6912"/>
    <w:rsid w:val="00407604"/>
    <w:rsid w:val="0041610A"/>
    <w:rsid w:val="00417E92"/>
    <w:rsid w:val="0042051F"/>
    <w:rsid w:val="00420EA5"/>
    <w:rsid w:val="0042176D"/>
    <w:rsid w:val="00421DF1"/>
    <w:rsid w:val="00422079"/>
    <w:rsid w:val="0042322A"/>
    <w:rsid w:val="004249E6"/>
    <w:rsid w:val="004274B8"/>
    <w:rsid w:val="004303FD"/>
    <w:rsid w:val="004307AF"/>
    <w:rsid w:val="0043556B"/>
    <w:rsid w:val="004362CA"/>
    <w:rsid w:val="00442633"/>
    <w:rsid w:val="00442EAA"/>
    <w:rsid w:val="00442FEA"/>
    <w:rsid w:val="00443A40"/>
    <w:rsid w:val="00444BB8"/>
    <w:rsid w:val="004454FE"/>
    <w:rsid w:val="00446A43"/>
    <w:rsid w:val="0045034F"/>
    <w:rsid w:val="00450C52"/>
    <w:rsid w:val="00450CE9"/>
    <w:rsid w:val="004521CA"/>
    <w:rsid w:val="0045220A"/>
    <w:rsid w:val="00456E40"/>
    <w:rsid w:val="00460946"/>
    <w:rsid w:val="004617A7"/>
    <w:rsid w:val="00463734"/>
    <w:rsid w:val="004644EC"/>
    <w:rsid w:val="004678E9"/>
    <w:rsid w:val="0047131F"/>
    <w:rsid w:val="00471F27"/>
    <w:rsid w:val="0047261F"/>
    <w:rsid w:val="00476642"/>
    <w:rsid w:val="0048192A"/>
    <w:rsid w:val="00481BB3"/>
    <w:rsid w:val="00484117"/>
    <w:rsid w:val="00485BE2"/>
    <w:rsid w:val="00487103"/>
    <w:rsid w:val="004877D2"/>
    <w:rsid w:val="00490BC4"/>
    <w:rsid w:val="004911BC"/>
    <w:rsid w:val="00492359"/>
    <w:rsid w:val="00493330"/>
    <w:rsid w:val="004934DE"/>
    <w:rsid w:val="004957D9"/>
    <w:rsid w:val="004A15E8"/>
    <w:rsid w:val="004A3B03"/>
    <w:rsid w:val="004A71BC"/>
    <w:rsid w:val="004B3887"/>
    <w:rsid w:val="004B5E52"/>
    <w:rsid w:val="004B6594"/>
    <w:rsid w:val="004C0F86"/>
    <w:rsid w:val="004C1FE1"/>
    <w:rsid w:val="004C3CB3"/>
    <w:rsid w:val="004C66F0"/>
    <w:rsid w:val="004D4835"/>
    <w:rsid w:val="004D50BC"/>
    <w:rsid w:val="004D6A8E"/>
    <w:rsid w:val="004D76B8"/>
    <w:rsid w:val="004E242E"/>
    <w:rsid w:val="004E24D9"/>
    <w:rsid w:val="004E2BB1"/>
    <w:rsid w:val="004E322A"/>
    <w:rsid w:val="004E63AA"/>
    <w:rsid w:val="004E7B00"/>
    <w:rsid w:val="004F1290"/>
    <w:rsid w:val="004F19B6"/>
    <w:rsid w:val="004F3CF4"/>
    <w:rsid w:val="004F416A"/>
    <w:rsid w:val="004F72CE"/>
    <w:rsid w:val="005000AA"/>
    <w:rsid w:val="0050178F"/>
    <w:rsid w:val="00501BD0"/>
    <w:rsid w:val="005058B6"/>
    <w:rsid w:val="00506F78"/>
    <w:rsid w:val="00514460"/>
    <w:rsid w:val="00515458"/>
    <w:rsid w:val="005163CC"/>
    <w:rsid w:val="00517162"/>
    <w:rsid w:val="005202D9"/>
    <w:rsid w:val="00521A0E"/>
    <w:rsid w:val="00522CEB"/>
    <w:rsid w:val="0052384E"/>
    <w:rsid w:val="00525A27"/>
    <w:rsid w:val="00526465"/>
    <w:rsid w:val="0052720F"/>
    <w:rsid w:val="00527518"/>
    <w:rsid w:val="00531EE7"/>
    <w:rsid w:val="0053210D"/>
    <w:rsid w:val="00532359"/>
    <w:rsid w:val="005401D2"/>
    <w:rsid w:val="005429EE"/>
    <w:rsid w:val="00545873"/>
    <w:rsid w:val="00546332"/>
    <w:rsid w:val="00546E5B"/>
    <w:rsid w:val="00547683"/>
    <w:rsid w:val="00551FF8"/>
    <w:rsid w:val="00552599"/>
    <w:rsid w:val="00552FED"/>
    <w:rsid w:val="00556ED2"/>
    <w:rsid w:val="0055733B"/>
    <w:rsid w:val="00557575"/>
    <w:rsid w:val="005578C4"/>
    <w:rsid w:val="00557F33"/>
    <w:rsid w:val="005619BE"/>
    <w:rsid w:val="0056527E"/>
    <w:rsid w:val="00565929"/>
    <w:rsid w:val="005709F0"/>
    <w:rsid w:val="00572136"/>
    <w:rsid w:val="005733B6"/>
    <w:rsid w:val="00583AE2"/>
    <w:rsid w:val="00584D83"/>
    <w:rsid w:val="005862D0"/>
    <w:rsid w:val="00594E86"/>
    <w:rsid w:val="005955FE"/>
    <w:rsid w:val="005A3ACA"/>
    <w:rsid w:val="005A444D"/>
    <w:rsid w:val="005B080B"/>
    <w:rsid w:val="005C22B4"/>
    <w:rsid w:val="005C3809"/>
    <w:rsid w:val="005C38E9"/>
    <w:rsid w:val="005C79BA"/>
    <w:rsid w:val="005D02A9"/>
    <w:rsid w:val="005D1A4D"/>
    <w:rsid w:val="005D39F9"/>
    <w:rsid w:val="005D444B"/>
    <w:rsid w:val="005D5293"/>
    <w:rsid w:val="005D6B9A"/>
    <w:rsid w:val="005E0F39"/>
    <w:rsid w:val="005E3418"/>
    <w:rsid w:val="005E3D97"/>
    <w:rsid w:val="005E454E"/>
    <w:rsid w:val="005E7495"/>
    <w:rsid w:val="005E7D91"/>
    <w:rsid w:val="005F1ADD"/>
    <w:rsid w:val="00602077"/>
    <w:rsid w:val="00602F08"/>
    <w:rsid w:val="00604E45"/>
    <w:rsid w:val="00610FCD"/>
    <w:rsid w:val="0061140A"/>
    <w:rsid w:val="006127ED"/>
    <w:rsid w:val="00614CDE"/>
    <w:rsid w:val="00617379"/>
    <w:rsid w:val="00617B58"/>
    <w:rsid w:val="00620CF7"/>
    <w:rsid w:val="00620EDB"/>
    <w:rsid w:val="00622270"/>
    <w:rsid w:val="00623637"/>
    <w:rsid w:val="00625B2C"/>
    <w:rsid w:val="00626A7D"/>
    <w:rsid w:val="00627BFA"/>
    <w:rsid w:val="00630AAD"/>
    <w:rsid w:val="006351EE"/>
    <w:rsid w:val="00636AEA"/>
    <w:rsid w:val="006372D7"/>
    <w:rsid w:val="00641983"/>
    <w:rsid w:val="006430AF"/>
    <w:rsid w:val="0064436C"/>
    <w:rsid w:val="006529BA"/>
    <w:rsid w:val="0065322E"/>
    <w:rsid w:val="0065332D"/>
    <w:rsid w:val="00655AF3"/>
    <w:rsid w:val="00655F2C"/>
    <w:rsid w:val="006564F2"/>
    <w:rsid w:val="00656918"/>
    <w:rsid w:val="006578F8"/>
    <w:rsid w:val="00657D1C"/>
    <w:rsid w:val="00660AFA"/>
    <w:rsid w:val="006704B2"/>
    <w:rsid w:val="006755B7"/>
    <w:rsid w:val="00675DF3"/>
    <w:rsid w:val="00680099"/>
    <w:rsid w:val="00680510"/>
    <w:rsid w:val="00683932"/>
    <w:rsid w:val="00684BC7"/>
    <w:rsid w:val="00691ACA"/>
    <w:rsid w:val="00692948"/>
    <w:rsid w:val="00693855"/>
    <w:rsid w:val="0069767B"/>
    <w:rsid w:val="006A2D81"/>
    <w:rsid w:val="006A7856"/>
    <w:rsid w:val="006A7A41"/>
    <w:rsid w:val="006B07D2"/>
    <w:rsid w:val="006B2AEF"/>
    <w:rsid w:val="006B38E2"/>
    <w:rsid w:val="006B431A"/>
    <w:rsid w:val="006B53FF"/>
    <w:rsid w:val="006B553B"/>
    <w:rsid w:val="006B624A"/>
    <w:rsid w:val="006B74A0"/>
    <w:rsid w:val="006C2DDA"/>
    <w:rsid w:val="006C4AAB"/>
    <w:rsid w:val="006C519E"/>
    <w:rsid w:val="006C53F8"/>
    <w:rsid w:val="006D2684"/>
    <w:rsid w:val="006D465C"/>
    <w:rsid w:val="006D5042"/>
    <w:rsid w:val="006D6082"/>
    <w:rsid w:val="006E1081"/>
    <w:rsid w:val="006E1B61"/>
    <w:rsid w:val="006E6D71"/>
    <w:rsid w:val="006F2AB5"/>
    <w:rsid w:val="006F2FE4"/>
    <w:rsid w:val="006F49D0"/>
    <w:rsid w:val="007007FB"/>
    <w:rsid w:val="00701F59"/>
    <w:rsid w:val="00706080"/>
    <w:rsid w:val="007071CC"/>
    <w:rsid w:val="00707B92"/>
    <w:rsid w:val="0071050D"/>
    <w:rsid w:val="007107B6"/>
    <w:rsid w:val="00711376"/>
    <w:rsid w:val="007119EB"/>
    <w:rsid w:val="00715CA9"/>
    <w:rsid w:val="007177DD"/>
    <w:rsid w:val="00717DEB"/>
    <w:rsid w:val="00720585"/>
    <w:rsid w:val="00727CDC"/>
    <w:rsid w:val="00731AB3"/>
    <w:rsid w:val="0073304C"/>
    <w:rsid w:val="00733379"/>
    <w:rsid w:val="00734F17"/>
    <w:rsid w:val="007357B7"/>
    <w:rsid w:val="00736561"/>
    <w:rsid w:val="00737F2D"/>
    <w:rsid w:val="00740963"/>
    <w:rsid w:val="00742001"/>
    <w:rsid w:val="00743A5B"/>
    <w:rsid w:val="007506C6"/>
    <w:rsid w:val="007528E6"/>
    <w:rsid w:val="007560E5"/>
    <w:rsid w:val="00756D6F"/>
    <w:rsid w:val="00757E51"/>
    <w:rsid w:val="0076758B"/>
    <w:rsid w:val="00767972"/>
    <w:rsid w:val="007724BE"/>
    <w:rsid w:val="00773AF6"/>
    <w:rsid w:val="00773CA6"/>
    <w:rsid w:val="00774C79"/>
    <w:rsid w:val="00775866"/>
    <w:rsid w:val="007759B4"/>
    <w:rsid w:val="00775B68"/>
    <w:rsid w:val="007805F9"/>
    <w:rsid w:val="0078191C"/>
    <w:rsid w:val="007828E7"/>
    <w:rsid w:val="00787E18"/>
    <w:rsid w:val="00790453"/>
    <w:rsid w:val="00790E90"/>
    <w:rsid w:val="00795782"/>
    <w:rsid w:val="00795F71"/>
    <w:rsid w:val="00796B16"/>
    <w:rsid w:val="00797BB8"/>
    <w:rsid w:val="00797DDF"/>
    <w:rsid w:val="007A1C65"/>
    <w:rsid w:val="007A5140"/>
    <w:rsid w:val="007A5314"/>
    <w:rsid w:val="007B24FD"/>
    <w:rsid w:val="007B4454"/>
    <w:rsid w:val="007B594D"/>
    <w:rsid w:val="007B6269"/>
    <w:rsid w:val="007C01D0"/>
    <w:rsid w:val="007C2F65"/>
    <w:rsid w:val="007C4232"/>
    <w:rsid w:val="007C4E71"/>
    <w:rsid w:val="007C7217"/>
    <w:rsid w:val="007D1A6E"/>
    <w:rsid w:val="007D3A63"/>
    <w:rsid w:val="007D3FE3"/>
    <w:rsid w:val="007D4532"/>
    <w:rsid w:val="007D793F"/>
    <w:rsid w:val="007E2F32"/>
    <w:rsid w:val="007E57A0"/>
    <w:rsid w:val="007E5F7A"/>
    <w:rsid w:val="007E73AB"/>
    <w:rsid w:val="007E7AB9"/>
    <w:rsid w:val="007F1F88"/>
    <w:rsid w:val="007F24D1"/>
    <w:rsid w:val="007F261D"/>
    <w:rsid w:val="007F39CE"/>
    <w:rsid w:val="007F4E01"/>
    <w:rsid w:val="007F5C8C"/>
    <w:rsid w:val="007F751E"/>
    <w:rsid w:val="00801736"/>
    <w:rsid w:val="00801D85"/>
    <w:rsid w:val="00805788"/>
    <w:rsid w:val="00807419"/>
    <w:rsid w:val="008105E5"/>
    <w:rsid w:val="00811259"/>
    <w:rsid w:val="00811C0C"/>
    <w:rsid w:val="00816C11"/>
    <w:rsid w:val="00824A4D"/>
    <w:rsid w:val="00832616"/>
    <w:rsid w:val="00835518"/>
    <w:rsid w:val="008369D9"/>
    <w:rsid w:val="00845967"/>
    <w:rsid w:val="008529D0"/>
    <w:rsid w:val="00852CA5"/>
    <w:rsid w:val="00853EAC"/>
    <w:rsid w:val="0086452E"/>
    <w:rsid w:val="008646F8"/>
    <w:rsid w:val="00866633"/>
    <w:rsid w:val="0087374E"/>
    <w:rsid w:val="008758A2"/>
    <w:rsid w:val="00881085"/>
    <w:rsid w:val="00882A00"/>
    <w:rsid w:val="00882A33"/>
    <w:rsid w:val="00883E54"/>
    <w:rsid w:val="008908DA"/>
    <w:rsid w:val="00894C55"/>
    <w:rsid w:val="008964A7"/>
    <w:rsid w:val="00896BF3"/>
    <w:rsid w:val="00897193"/>
    <w:rsid w:val="008A1BF8"/>
    <w:rsid w:val="008A2CCC"/>
    <w:rsid w:val="008A7808"/>
    <w:rsid w:val="008B009B"/>
    <w:rsid w:val="008B26A2"/>
    <w:rsid w:val="008B2E2F"/>
    <w:rsid w:val="008B4BD3"/>
    <w:rsid w:val="008B7C2E"/>
    <w:rsid w:val="008C14E7"/>
    <w:rsid w:val="008C2E92"/>
    <w:rsid w:val="008C49F8"/>
    <w:rsid w:val="008C4C13"/>
    <w:rsid w:val="008D094A"/>
    <w:rsid w:val="008D34BD"/>
    <w:rsid w:val="008D6670"/>
    <w:rsid w:val="008D7B3A"/>
    <w:rsid w:val="008D7E6A"/>
    <w:rsid w:val="008E1A65"/>
    <w:rsid w:val="008E206A"/>
    <w:rsid w:val="008E29FC"/>
    <w:rsid w:val="008E4EE9"/>
    <w:rsid w:val="008E5DD1"/>
    <w:rsid w:val="008E79B5"/>
    <w:rsid w:val="008F090E"/>
    <w:rsid w:val="008F2146"/>
    <w:rsid w:val="008F4B1C"/>
    <w:rsid w:val="008F54B6"/>
    <w:rsid w:val="008F74E0"/>
    <w:rsid w:val="00900022"/>
    <w:rsid w:val="009004B0"/>
    <w:rsid w:val="009015E3"/>
    <w:rsid w:val="00903117"/>
    <w:rsid w:val="00905793"/>
    <w:rsid w:val="00912F53"/>
    <w:rsid w:val="00913974"/>
    <w:rsid w:val="00914CC7"/>
    <w:rsid w:val="009167D1"/>
    <w:rsid w:val="00917C3E"/>
    <w:rsid w:val="00917DC6"/>
    <w:rsid w:val="00922207"/>
    <w:rsid w:val="00923556"/>
    <w:rsid w:val="009263DD"/>
    <w:rsid w:val="00926899"/>
    <w:rsid w:val="00926B3F"/>
    <w:rsid w:val="00932841"/>
    <w:rsid w:val="00932F1B"/>
    <w:rsid w:val="00933DA3"/>
    <w:rsid w:val="0093499F"/>
    <w:rsid w:val="00940ACA"/>
    <w:rsid w:val="009415F7"/>
    <w:rsid w:val="009417DF"/>
    <w:rsid w:val="009455AA"/>
    <w:rsid w:val="0095184E"/>
    <w:rsid w:val="009518A8"/>
    <w:rsid w:val="0095190A"/>
    <w:rsid w:val="009527B7"/>
    <w:rsid w:val="009529E5"/>
    <w:rsid w:val="0095374E"/>
    <w:rsid w:val="00954B1B"/>
    <w:rsid w:val="00955B49"/>
    <w:rsid w:val="0095750A"/>
    <w:rsid w:val="0096118B"/>
    <w:rsid w:val="009659A6"/>
    <w:rsid w:val="009668CF"/>
    <w:rsid w:val="00972E39"/>
    <w:rsid w:val="00974399"/>
    <w:rsid w:val="00976B51"/>
    <w:rsid w:val="00976C36"/>
    <w:rsid w:val="00981460"/>
    <w:rsid w:val="0098205C"/>
    <w:rsid w:val="0098299F"/>
    <w:rsid w:val="00992D74"/>
    <w:rsid w:val="009950AC"/>
    <w:rsid w:val="00996B6F"/>
    <w:rsid w:val="009A2654"/>
    <w:rsid w:val="009A308F"/>
    <w:rsid w:val="009A40F2"/>
    <w:rsid w:val="009A75EB"/>
    <w:rsid w:val="009B0B9D"/>
    <w:rsid w:val="009B1025"/>
    <w:rsid w:val="009B1C94"/>
    <w:rsid w:val="009B5913"/>
    <w:rsid w:val="009B7B20"/>
    <w:rsid w:val="009C35AB"/>
    <w:rsid w:val="009C35FA"/>
    <w:rsid w:val="009D111F"/>
    <w:rsid w:val="009D1A16"/>
    <w:rsid w:val="009D2A80"/>
    <w:rsid w:val="009D4A3E"/>
    <w:rsid w:val="009D5F8E"/>
    <w:rsid w:val="009E0D11"/>
    <w:rsid w:val="009E25A3"/>
    <w:rsid w:val="009E38FA"/>
    <w:rsid w:val="009E4308"/>
    <w:rsid w:val="009E7AA1"/>
    <w:rsid w:val="009F377C"/>
    <w:rsid w:val="009F3AFA"/>
    <w:rsid w:val="009F3CFA"/>
    <w:rsid w:val="009F77EF"/>
    <w:rsid w:val="00A007D6"/>
    <w:rsid w:val="00A01107"/>
    <w:rsid w:val="00A01AB3"/>
    <w:rsid w:val="00A01E09"/>
    <w:rsid w:val="00A02CAC"/>
    <w:rsid w:val="00A052E3"/>
    <w:rsid w:val="00A05BF9"/>
    <w:rsid w:val="00A05EDD"/>
    <w:rsid w:val="00A06F4B"/>
    <w:rsid w:val="00A10FC3"/>
    <w:rsid w:val="00A15C8D"/>
    <w:rsid w:val="00A16948"/>
    <w:rsid w:val="00A20050"/>
    <w:rsid w:val="00A20BBA"/>
    <w:rsid w:val="00A21265"/>
    <w:rsid w:val="00A221D9"/>
    <w:rsid w:val="00A22799"/>
    <w:rsid w:val="00A2332A"/>
    <w:rsid w:val="00A26394"/>
    <w:rsid w:val="00A3429A"/>
    <w:rsid w:val="00A35DDF"/>
    <w:rsid w:val="00A429BA"/>
    <w:rsid w:val="00A44A69"/>
    <w:rsid w:val="00A44E9C"/>
    <w:rsid w:val="00A467CF"/>
    <w:rsid w:val="00A479BB"/>
    <w:rsid w:val="00A501BC"/>
    <w:rsid w:val="00A5052B"/>
    <w:rsid w:val="00A527E1"/>
    <w:rsid w:val="00A54215"/>
    <w:rsid w:val="00A551F7"/>
    <w:rsid w:val="00A554E4"/>
    <w:rsid w:val="00A6073E"/>
    <w:rsid w:val="00A622C9"/>
    <w:rsid w:val="00A6472F"/>
    <w:rsid w:val="00A650A1"/>
    <w:rsid w:val="00A658C1"/>
    <w:rsid w:val="00A65BC3"/>
    <w:rsid w:val="00A721D2"/>
    <w:rsid w:val="00A75189"/>
    <w:rsid w:val="00A752CF"/>
    <w:rsid w:val="00A76C37"/>
    <w:rsid w:val="00A76EE2"/>
    <w:rsid w:val="00A80F51"/>
    <w:rsid w:val="00A81AD6"/>
    <w:rsid w:val="00A82720"/>
    <w:rsid w:val="00A82886"/>
    <w:rsid w:val="00A83146"/>
    <w:rsid w:val="00A87EC5"/>
    <w:rsid w:val="00A917C7"/>
    <w:rsid w:val="00A9308D"/>
    <w:rsid w:val="00A932D5"/>
    <w:rsid w:val="00A93CC5"/>
    <w:rsid w:val="00A94AAB"/>
    <w:rsid w:val="00A96F7F"/>
    <w:rsid w:val="00AA015D"/>
    <w:rsid w:val="00AA4E66"/>
    <w:rsid w:val="00AA574A"/>
    <w:rsid w:val="00AB0595"/>
    <w:rsid w:val="00AB5D3A"/>
    <w:rsid w:val="00AB7C78"/>
    <w:rsid w:val="00AC0A5B"/>
    <w:rsid w:val="00AC3996"/>
    <w:rsid w:val="00AC4ACD"/>
    <w:rsid w:val="00AC5448"/>
    <w:rsid w:val="00AC57EC"/>
    <w:rsid w:val="00AD2F16"/>
    <w:rsid w:val="00AD2FB9"/>
    <w:rsid w:val="00AD3FD2"/>
    <w:rsid w:val="00AD4A2C"/>
    <w:rsid w:val="00AD76D4"/>
    <w:rsid w:val="00AE0B22"/>
    <w:rsid w:val="00AE1A12"/>
    <w:rsid w:val="00AE1E20"/>
    <w:rsid w:val="00AE208F"/>
    <w:rsid w:val="00AE5567"/>
    <w:rsid w:val="00AF1239"/>
    <w:rsid w:val="00AF24D0"/>
    <w:rsid w:val="00AF27B5"/>
    <w:rsid w:val="00AF3551"/>
    <w:rsid w:val="00AF3BF7"/>
    <w:rsid w:val="00AF3E71"/>
    <w:rsid w:val="00AF481F"/>
    <w:rsid w:val="00AF4AF6"/>
    <w:rsid w:val="00AF5018"/>
    <w:rsid w:val="00B002A8"/>
    <w:rsid w:val="00B01025"/>
    <w:rsid w:val="00B06B17"/>
    <w:rsid w:val="00B105E2"/>
    <w:rsid w:val="00B117B5"/>
    <w:rsid w:val="00B11BB2"/>
    <w:rsid w:val="00B11D13"/>
    <w:rsid w:val="00B13168"/>
    <w:rsid w:val="00B14A9F"/>
    <w:rsid w:val="00B16441"/>
    <w:rsid w:val="00B16480"/>
    <w:rsid w:val="00B21196"/>
    <w:rsid w:val="00B2165C"/>
    <w:rsid w:val="00B2492F"/>
    <w:rsid w:val="00B257B2"/>
    <w:rsid w:val="00B27592"/>
    <w:rsid w:val="00B32220"/>
    <w:rsid w:val="00B37ADF"/>
    <w:rsid w:val="00B40A27"/>
    <w:rsid w:val="00B41AF3"/>
    <w:rsid w:val="00B469E9"/>
    <w:rsid w:val="00B54D43"/>
    <w:rsid w:val="00B55D66"/>
    <w:rsid w:val="00B562CF"/>
    <w:rsid w:val="00B576A4"/>
    <w:rsid w:val="00B64254"/>
    <w:rsid w:val="00B65016"/>
    <w:rsid w:val="00B65EDA"/>
    <w:rsid w:val="00B7245E"/>
    <w:rsid w:val="00B730B6"/>
    <w:rsid w:val="00B740C5"/>
    <w:rsid w:val="00B80228"/>
    <w:rsid w:val="00B811BC"/>
    <w:rsid w:val="00B8130A"/>
    <w:rsid w:val="00B82295"/>
    <w:rsid w:val="00B82655"/>
    <w:rsid w:val="00B86B0C"/>
    <w:rsid w:val="00B91165"/>
    <w:rsid w:val="00B920A6"/>
    <w:rsid w:val="00B93DE8"/>
    <w:rsid w:val="00B949DB"/>
    <w:rsid w:val="00B9558E"/>
    <w:rsid w:val="00BA20AA"/>
    <w:rsid w:val="00BA4D48"/>
    <w:rsid w:val="00BA58B5"/>
    <w:rsid w:val="00BA5C66"/>
    <w:rsid w:val="00BA787B"/>
    <w:rsid w:val="00BB03E4"/>
    <w:rsid w:val="00BB0A4F"/>
    <w:rsid w:val="00BB0C67"/>
    <w:rsid w:val="00BB1E99"/>
    <w:rsid w:val="00BB3A9C"/>
    <w:rsid w:val="00BB425A"/>
    <w:rsid w:val="00BB50C7"/>
    <w:rsid w:val="00BB6B75"/>
    <w:rsid w:val="00BC0727"/>
    <w:rsid w:val="00BC1C3B"/>
    <w:rsid w:val="00BC416E"/>
    <w:rsid w:val="00BC49DC"/>
    <w:rsid w:val="00BD09E9"/>
    <w:rsid w:val="00BD1DA5"/>
    <w:rsid w:val="00BD40C3"/>
    <w:rsid w:val="00BD4425"/>
    <w:rsid w:val="00BD5498"/>
    <w:rsid w:val="00BD6D5A"/>
    <w:rsid w:val="00BD7DF8"/>
    <w:rsid w:val="00BE0231"/>
    <w:rsid w:val="00BE0E13"/>
    <w:rsid w:val="00BE1090"/>
    <w:rsid w:val="00BE29A0"/>
    <w:rsid w:val="00BE4AA3"/>
    <w:rsid w:val="00BE64DD"/>
    <w:rsid w:val="00BE7353"/>
    <w:rsid w:val="00BE76FC"/>
    <w:rsid w:val="00BF031C"/>
    <w:rsid w:val="00BF59E8"/>
    <w:rsid w:val="00BF5CED"/>
    <w:rsid w:val="00BF6AE6"/>
    <w:rsid w:val="00C0107E"/>
    <w:rsid w:val="00C023A5"/>
    <w:rsid w:val="00C03DB3"/>
    <w:rsid w:val="00C10C12"/>
    <w:rsid w:val="00C125D0"/>
    <w:rsid w:val="00C13844"/>
    <w:rsid w:val="00C14357"/>
    <w:rsid w:val="00C14E02"/>
    <w:rsid w:val="00C15E26"/>
    <w:rsid w:val="00C1614A"/>
    <w:rsid w:val="00C21F98"/>
    <w:rsid w:val="00C247E5"/>
    <w:rsid w:val="00C25B49"/>
    <w:rsid w:val="00C322ED"/>
    <w:rsid w:val="00C332FF"/>
    <w:rsid w:val="00C342AB"/>
    <w:rsid w:val="00C35FD3"/>
    <w:rsid w:val="00C42060"/>
    <w:rsid w:val="00C53E85"/>
    <w:rsid w:val="00C56935"/>
    <w:rsid w:val="00C64D53"/>
    <w:rsid w:val="00C6663D"/>
    <w:rsid w:val="00C6739C"/>
    <w:rsid w:val="00C702A8"/>
    <w:rsid w:val="00C741D7"/>
    <w:rsid w:val="00C74808"/>
    <w:rsid w:val="00C748EE"/>
    <w:rsid w:val="00C76266"/>
    <w:rsid w:val="00C7739B"/>
    <w:rsid w:val="00C77F90"/>
    <w:rsid w:val="00C83DED"/>
    <w:rsid w:val="00C84617"/>
    <w:rsid w:val="00C85518"/>
    <w:rsid w:val="00C86200"/>
    <w:rsid w:val="00C8653D"/>
    <w:rsid w:val="00C86DDB"/>
    <w:rsid w:val="00C90A86"/>
    <w:rsid w:val="00C91820"/>
    <w:rsid w:val="00C936E7"/>
    <w:rsid w:val="00C97E0B"/>
    <w:rsid w:val="00C97F36"/>
    <w:rsid w:val="00CA1AD9"/>
    <w:rsid w:val="00CA2A94"/>
    <w:rsid w:val="00CA5231"/>
    <w:rsid w:val="00CB1E7A"/>
    <w:rsid w:val="00CB2F5D"/>
    <w:rsid w:val="00CB4285"/>
    <w:rsid w:val="00CB5166"/>
    <w:rsid w:val="00CB7B1F"/>
    <w:rsid w:val="00CC0D2D"/>
    <w:rsid w:val="00CC350F"/>
    <w:rsid w:val="00CC385A"/>
    <w:rsid w:val="00CC464F"/>
    <w:rsid w:val="00CC7780"/>
    <w:rsid w:val="00CD0DAE"/>
    <w:rsid w:val="00CD0FC1"/>
    <w:rsid w:val="00CD278E"/>
    <w:rsid w:val="00CD29A2"/>
    <w:rsid w:val="00CD2FF6"/>
    <w:rsid w:val="00CD4759"/>
    <w:rsid w:val="00CD4990"/>
    <w:rsid w:val="00CD7052"/>
    <w:rsid w:val="00CD77F2"/>
    <w:rsid w:val="00CD7BEE"/>
    <w:rsid w:val="00CE4F5C"/>
    <w:rsid w:val="00CE5657"/>
    <w:rsid w:val="00CE687F"/>
    <w:rsid w:val="00CE7187"/>
    <w:rsid w:val="00CF2004"/>
    <w:rsid w:val="00CF390F"/>
    <w:rsid w:val="00D00031"/>
    <w:rsid w:val="00D00593"/>
    <w:rsid w:val="00D00D43"/>
    <w:rsid w:val="00D03066"/>
    <w:rsid w:val="00D038EA"/>
    <w:rsid w:val="00D04990"/>
    <w:rsid w:val="00D05E91"/>
    <w:rsid w:val="00D06255"/>
    <w:rsid w:val="00D07583"/>
    <w:rsid w:val="00D12642"/>
    <w:rsid w:val="00D133F8"/>
    <w:rsid w:val="00D14A3E"/>
    <w:rsid w:val="00D231E6"/>
    <w:rsid w:val="00D23399"/>
    <w:rsid w:val="00D23DC8"/>
    <w:rsid w:val="00D26187"/>
    <w:rsid w:val="00D2655D"/>
    <w:rsid w:val="00D26BEE"/>
    <w:rsid w:val="00D27B27"/>
    <w:rsid w:val="00D307B4"/>
    <w:rsid w:val="00D34FCB"/>
    <w:rsid w:val="00D354BF"/>
    <w:rsid w:val="00D369B4"/>
    <w:rsid w:val="00D37846"/>
    <w:rsid w:val="00D379B0"/>
    <w:rsid w:val="00D37EE8"/>
    <w:rsid w:val="00D4061D"/>
    <w:rsid w:val="00D4235B"/>
    <w:rsid w:val="00D47B6C"/>
    <w:rsid w:val="00D57203"/>
    <w:rsid w:val="00D61868"/>
    <w:rsid w:val="00D619DE"/>
    <w:rsid w:val="00D64464"/>
    <w:rsid w:val="00D65332"/>
    <w:rsid w:val="00D71D88"/>
    <w:rsid w:val="00D75F15"/>
    <w:rsid w:val="00D77797"/>
    <w:rsid w:val="00D813E4"/>
    <w:rsid w:val="00D81441"/>
    <w:rsid w:val="00D81D18"/>
    <w:rsid w:val="00D81DF2"/>
    <w:rsid w:val="00D843EF"/>
    <w:rsid w:val="00D867D0"/>
    <w:rsid w:val="00D90BE1"/>
    <w:rsid w:val="00D91D02"/>
    <w:rsid w:val="00D923CA"/>
    <w:rsid w:val="00D92DEB"/>
    <w:rsid w:val="00DA1152"/>
    <w:rsid w:val="00DA2C1E"/>
    <w:rsid w:val="00DA3EEA"/>
    <w:rsid w:val="00DA4CEE"/>
    <w:rsid w:val="00DA58BA"/>
    <w:rsid w:val="00DA670A"/>
    <w:rsid w:val="00DB31F9"/>
    <w:rsid w:val="00DB41EF"/>
    <w:rsid w:val="00DB4407"/>
    <w:rsid w:val="00DB65B5"/>
    <w:rsid w:val="00DC1675"/>
    <w:rsid w:val="00DC4EB2"/>
    <w:rsid w:val="00DD774B"/>
    <w:rsid w:val="00DE2DA6"/>
    <w:rsid w:val="00DE5297"/>
    <w:rsid w:val="00DF2AF6"/>
    <w:rsid w:val="00DF3CE5"/>
    <w:rsid w:val="00DF6404"/>
    <w:rsid w:val="00E00254"/>
    <w:rsid w:val="00E00D4B"/>
    <w:rsid w:val="00E0210E"/>
    <w:rsid w:val="00E07682"/>
    <w:rsid w:val="00E07839"/>
    <w:rsid w:val="00E11590"/>
    <w:rsid w:val="00E147F1"/>
    <w:rsid w:val="00E16830"/>
    <w:rsid w:val="00E16913"/>
    <w:rsid w:val="00E169E9"/>
    <w:rsid w:val="00E227D9"/>
    <w:rsid w:val="00E27A5F"/>
    <w:rsid w:val="00E30DC9"/>
    <w:rsid w:val="00E32791"/>
    <w:rsid w:val="00E34241"/>
    <w:rsid w:val="00E3623B"/>
    <w:rsid w:val="00E3716B"/>
    <w:rsid w:val="00E405EB"/>
    <w:rsid w:val="00E44ADF"/>
    <w:rsid w:val="00E44FA7"/>
    <w:rsid w:val="00E45719"/>
    <w:rsid w:val="00E52E63"/>
    <w:rsid w:val="00E5323B"/>
    <w:rsid w:val="00E5383B"/>
    <w:rsid w:val="00E54837"/>
    <w:rsid w:val="00E54CC6"/>
    <w:rsid w:val="00E603A5"/>
    <w:rsid w:val="00E61A95"/>
    <w:rsid w:val="00E61CE6"/>
    <w:rsid w:val="00E62E60"/>
    <w:rsid w:val="00E66238"/>
    <w:rsid w:val="00E66DA1"/>
    <w:rsid w:val="00E70DB5"/>
    <w:rsid w:val="00E74F4E"/>
    <w:rsid w:val="00E75F4A"/>
    <w:rsid w:val="00E76145"/>
    <w:rsid w:val="00E769C5"/>
    <w:rsid w:val="00E8039F"/>
    <w:rsid w:val="00E81563"/>
    <w:rsid w:val="00E8168E"/>
    <w:rsid w:val="00E81E04"/>
    <w:rsid w:val="00E82114"/>
    <w:rsid w:val="00E826D1"/>
    <w:rsid w:val="00E8378F"/>
    <w:rsid w:val="00E85CC5"/>
    <w:rsid w:val="00E87034"/>
    <w:rsid w:val="00E8749E"/>
    <w:rsid w:val="00E901FA"/>
    <w:rsid w:val="00E9074F"/>
    <w:rsid w:val="00E9075B"/>
    <w:rsid w:val="00E90C01"/>
    <w:rsid w:val="00E90DA2"/>
    <w:rsid w:val="00E91184"/>
    <w:rsid w:val="00E91F8E"/>
    <w:rsid w:val="00E9567A"/>
    <w:rsid w:val="00E95DDF"/>
    <w:rsid w:val="00EA1689"/>
    <w:rsid w:val="00EA2A68"/>
    <w:rsid w:val="00EA2EB6"/>
    <w:rsid w:val="00EA3D8F"/>
    <w:rsid w:val="00EA486E"/>
    <w:rsid w:val="00EA4985"/>
    <w:rsid w:val="00EA73D6"/>
    <w:rsid w:val="00EA7A43"/>
    <w:rsid w:val="00EA7B7B"/>
    <w:rsid w:val="00EB098F"/>
    <w:rsid w:val="00EB6B9B"/>
    <w:rsid w:val="00EC32CC"/>
    <w:rsid w:val="00EC35B9"/>
    <w:rsid w:val="00ED450E"/>
    <w:rsid w:val="00ED4ACB"/>
    <w:rsid w:val="00ED6785"/>
    <w:rsid w:val="00ED743E"/>
    <w:rsid w:val="00EE3800"/>
    <w:rsid w:val="00EF329D"/>
    <w:rsid w:val="00EF5E91"/>
    <w:rsid w:val="00EF63C8"/>
    <w:rsid w:val="00EF77D2"/>
    <w:rsid w:val="00F02B4D"/>
    <w:rsid w:val="00F163CD"/>
    <w:rsid w:val="00F21680"/>
    <w:rsid w:val="00F21C55"/>
    <w:rsid w:val="00F222A2"/>
    <w:rsid w:val="00F23F35"/>
    <w:rsid w:val="00F25C52"/>
    <w:rsid w:val="00F26353"/>
    <w:rsid w:val="00F271B0"/>
    <w:rsid w:val="00F306FA"/>
    <w:rsid w:val="00F33558"/>
    <w:rsid w:val="00F3365E"/>
    <w:rsid w:val="00F400EC"/>
    <w:rsid w:val="00F407F4"/>
    <w:rsid w:val="00F40991"/>
    <w:rsid w:val="00F42A11"/>
    <w:rsid w:val="00F43320"/>
    <w:rsid w:val="00F5035F"/>
    <w:rsid w:val="00F5331E"/>
    <w:rsid w:val="00F57B0C"/>
    <w:rsid w:val="00F633FF"/>
    <w:rsid w:val="00F7230D"/>
    <w:rsid w:val="00F73613"/>
    <w:rsid w:val="00F73CCF"/>
    <w:rsid w:val="00F75D20"/>
    <w:rsid w:val="00F82819"/>
    <w:rsid w:val="00F85A10"/>
    <w:rsid w:val="00F865CA"/>
    <w:rsid w:val="00F920CF"/>
    <w:rsid w:val="00F9259C"/>
    <w:rsid w:val="00F95734"/>
    <w:rsid w:val="00F96D5D"/>
    <w:rsid w:val="00FA0764"/>
    <w:rsid w:val="00FA09D1"/>
    <w:rsid w:val="00FA2E5A"/>
    <w:rsid w:val="00FA3E7F"/>
    <w:rsid w:val="00FA4A4E"/>
    <w:rsid w:val="00FA4BB7"/>
    <w:rsid w:val="00FA4F7B"/>
    <w:rsid w:val="00FA67A5"/>
    <w:rsid w:val="00FA7F0E"/>
    <w:rsid w:val="00FB2385"/>
    <w:rsid w:val="00FB30C4"/>
    <w:rsid w:val="00FB55FE"/>
    <w:rsid w:val="00FB6623"/>
    <w:rsid w:val="00FB6646"/>
    <w:rsid w:val="00FB7439"/>
    <w:rsid w:val="00FC09A7"/>
    <w:rsid w:val="00FC0AD0"/>
    <w:rsid w:val="00FC1542"/>
    <w:rsid w:val="00FC49B4"/>
    <w:rsid w:val="00FC7D6C"/>
    <w:rsid w:val="00FD1F08"/>
    <w:rsid w:val="00FD220F"/>
    <w:rsid w:val="00FD2404"/>
    <w:rsid w:val="00FD26C4"/>
    <w:rsid w:val="00FD4D0C"/>
    <w:rsid w:val="00FD5A1A"/>
    <w:rsid w:val="00FD6371"/>
    <w:rsid w:val="00FD6926"/>
    <w:rsid w:val="00FE3B57"/>
    <w:rsid w:val="00FE45D3"/>
    <w:rsid w:val="00FF10C0"/>
    <w:rsid w:val="00FF2446"/>
    <w:rsid w:val="00FF5D4F"/>
    <w:rsid w:val="00FF6174"/>
    <w:rsid w:val="00FF6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8CBF23"/>
  <w15:docId w15:val="{2E1FE1C3-5CE9-4347-A3C4-9378372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uiPriority w:val="99"/>
    <w:semiHidden/>
    <w:unhideWhenUsed/>
    <w:rsid w:val="009B5913"/>
    <w:rPr>
      <w:sz w:val="16"/>
      <w:szCs w:val="16"/>
    </w:rPr>
  </w:style>
  <w:style w:type="paragraph" w:styleId="CommentText">
    <w:name w:val="annotation text"/>
    <w:basedOn w:val="Normal"/>
    <w:link w:val="CommentTextChar"/>
    <w:uiPriority w:val="99"/>
    <w:unhideWhenUsed/>
    <w:rsid w:val="009B5913"/>
    <w:pPr>
      <w:spacing w:line="240" w:lineRule="auto"/>
    </w:pPr>
    <w:rPr>
      <w:sz w:val="20"/>
      <w:szCs w:val="20"/>
    </w:rPr>
  </w:style>
  <w:style w:type="character" w:customStyle="1" w:styleId="CommentTextChar">
    <w:name w:val="Comment Text Char"/>
    <w:link w:val="CommentText"/>
    <w:uiPriority w:val="99"/>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link w:val="CommentSubject"/>
    <w:uiPriority w:val="99"/>
    <w:semiHidden/>
    <w:rsid w:val="009B5913"/>
    <w:rPr>
      <w:b/>
      <w:bCs/>
      <w:sz w:val="20"/>
      <w:szCs w:val="20"/>
    </w:rPr>
  </w:style>
  <w:style w:type="table" w:styleId="TableGrid">
    <w:name w:val="Table Grid"/>
    <w:basedOn w:val="TableNormal"/>
    <w:uiPriority w:val="39"/>
    <w:rsid w:val="0063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739C"/>
    <w:pPr>
      <w:spacing w:after="0" w:line="240" w:lineRule="auto"/>
    </w:pPr>
    <w:rPr>
      <w:sz w:val="20"/>
      <w:szCs w:val="20"/>
    </w:rPr>
  </w:style>
  <w:style w:type="character" w:customStyle="1" w:styleId="FootnoteTextChar">
    <w:name w:val="Footnote Text Char"/>
    <w:link w:val="FootnoteText"/>
    <w:uiPriority w:val="99"/>
    <w:semiHidden/>
    <w:rsid w:val="00C6739C"/>
    <w:rPr>
      <w:sz w:val="20"/>
      <w:szCs w:val="20"/>
    </w:rPr>
  </w:style>
  <w:style w:type="character" w:styleId="FootnoteReference">
    <w:name w:val="footnote reference"/>
    <w:uiPriority w:val="99"/>
    <w:semiHidden/>
    <w:unhideWhenUsed/>
    <w:rsid w:val="00C6739C"/>
    <w:rPr>
      <w:vertAlign w:val="superscript"/>
    </w:rPr>
  </w:style>
  <w:style w:type="character" w:customStyle="1" w:styleId="UnresolvedMention1">
    <w:name w:val="Unresolved Mention1"/>
    <w:uiPriority w:val="99"/>
    <w:semiHidden/>
    <w:unhideWhenUsed/>
    <w:rsid w:val="001E4619"/>
    <w:rPr>
      <w:color w:val="808080"/>
      <w:shd w:val="clear" w:color="auto" w:fill="E6E6E6"/>
    </w:rPr>
  </w:style>
  <w:style w:type="character" w:customStyle="1" w:styleId="UnresolvedMention2">
    <w:name w:val="Unresolved Mention2"/>
    <w:basedOn w:val="DefaultParagraphFont"/>
    <w:uiPriority w:val="99"/>
    <w:semiHidden/>
    <w:unhideWhenUsed/>
    <w:rsid w:val="008D6670"/>
    <w:rPr>
      <w:color w:val="605E5C"/>
      <w:shd w:val="clear" w:color="auto" w:fill="E1DFDD"/>
    </w:rPr>
  </w:style>
  <w:style w:type="paragraph" w:customStyle="1" w:styleId="tv213">
    <w:name w:val="tv213"/>
    <w:basedOn w:val="Normal"/>
    <w:rsid w:val="0020177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02282">
      <w:bodyDiv w:val="1"/>
      <w:marLeft w:val="0"/>
      <w:marRight w:val="0"/>
      <w:marTop w:val="0"/>
      <w:marBottom w:val="0"/>
      <w:divBdr>
        <w:top w:val="none" w:sz="0" w:space="0" w:color="auto"/>
        <w:left w:val="none" w:sz="0" w:space="0" w:color="auto"/>
        <w:bottom w:val="none" w:sz="0" w:space="0" w:color="auto"/>
        <w:right w:val="none" w:sz="0" w:space="0" w:color="auto"/>
      </w:divBdr>
    </w:div>
    <w:div w:id="1315911992">
      <w:bodyDiv w:val="1"/>
      <w:marLeft w:val="0"/>
      <w:marRight w:val="0"/>
      <w:marTop w:val="0"/>
      <w:marBottom w:val="0"/>
      <w:divBdr>
        <w:top w:val="none" w:sz="0" w:space="0" w:color="auto"/>
        <w:left w:val="none" w:sz="0" w:space="0" w:color="auto"/>
        <w:bottom w:val="none" w:sz="0" w:space="0" w:color="auto"/>
        <w:right w:val="none" w:sz="0" w:space="0" w:color="auto"/>
      </w:divBdr>
    </w:div>
    <w:div w:id="1330325130">
      <w:bodyDiv w:val="1"/>
      <w:marLeft w:val="0"/>
      <w:marRight w:val="0"/>
      <w:marTop w:val="0"/>
      <w:marBottom w:val="0"/>
      <w:divBdr>
        <w:top w:val="none" w:sz="0" w:space="0" w:color="auto"/>
        <w:left w:val="none" w:sz="0" w:space="0" w:color="auto"/>
        <w:bottom w:val="none" w:sz="0" w:space="0" w:color="auto"/>
        <w:right w:val="none" w:sz="0" w:space="0" w:color="auto"/>
      </w:divBdr>
    </w:div>
    <w:div w:id="1535344455">
      <w:bodyDiv w:val="1"/>
      <w:marLeft w:val="0"/>
      <w:marRight w:val="0"/>
      <w:marTop w:val="0"/>
      <w:marBottom w:val="0"/>
      <w:divBdr>
        <w:top w:val="none" w:sz="0" w:space="0" w:color="auto"/>
        <w:left w:val="none" w:sz="0" w:space="0" w:color="auto"/>
        <w:bottom w:val="none" w:sz="0" w:space="0" w:color="auto"/>
        <w:right w:val="none" w:sz="0" w:space="0" w:color="auto"/>
      </w:divBdr>
    </w:div>
    <w:div w:id="1777602239">
      <w:bodyDiv w:val="1"/>
      <w:marLeft w:val="0"/>
      <w:marRight w:val="0"/>
      <w:marTop w:val="0"/>
      <w:marBottom w:val="0"/>
      <w:divBdr>
        <w:top w:val="none" w:sz="0" w:space="0" w:color="auto"/>
        <w:left w:val="none" w:sz="0" w:space="0" w:color="auto"/>
        <w:bottom w:val="none" w:sz="0" w:space="0" w:color="auto"/>
        <w:right w:val="none" w:sz="0" w:space="0" w:color="auto"/>
      </w:divBdr>
    </w:div>
    <w:div w:id="1869637335">
      <w:bodyDiv w:val="1"/>
      <w:marLeft w:val="0"/>
      <w:marRight w:val="0"/>
      <w:marTop w:val="0"/>
      <w:marBottom w:val="0"/>
      <w:divBdr>
        <w:top w:val="none" w:sz="0" w:space="0" w:color="auto"/>
        <w:left w:val="none" w:sz="0" w:space="0" w:color="auto"/>
        <w:bottom w:val="none" w:sz="0" w:space="0" w:color="auto"/>
        <w:right w:val="none" w:sz="0" w:space="0" w:color="auto"/>
      </w:divBdr>
      <w:divsChild>
        <w:div w:id="339967268">
          <w:marLeft w:val="0"/>
          <w:marRight w:val="0"/>
          <w:marTop w:val="0"/>
          <w:marBottom w:val="0"/>
          <w:divBdr>
            <w:top w:val="none" w:sz="0" w:space="0" w:color="auto"/>
            <w:left w:val="none" w:sz="0" w:space="0" w:color="auto"/>
            <w:bottom w:val="none" w:sz="0" w:space="0" w:color="auto"/>
            <w:right w:val="none" w:sz="0" w:space="0" w:color="auto"/>
          </w:divBdr>
        </w:div>
        <w:div w:id="202258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energijas_tirgus_un_infrastruktu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ja.Zjurikov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content/ministru-kabineta-diskusiju-dokumenti" TargetMode="External"/><Relationship Id="rId1" Type="http://schemas.openxmlformats.org/officeDocument/2006/relationships/hyperlink" Target="https://em.gov.lv/lv/par_ministriju/sabiedribas_lidzdaliba/diskusiju_dokumenti/energijas_tirgus_un_infrastru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AC01-C1FD-4439-9DCB-D329ED5F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4871</Words>
  <Characters>34325</Characters>
  <Application>Microsoft Office Word</Application>
  <DocSecurity>0</DocSecurity>
  <Lines>286</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7. februāra noteikumos Nr. 78 “Dabasgāzes tirdzniecības un lietošanas noteikumi”” sākotnējās ietekmes novērtējuma ziņojums (anotācija)</vt:lpstr>
      <vt:lpstr>Ministru kabineta noteikumu projekta “Grozījumi Ministru kabineta 2017. gada 7. februāra noteikumos Nr. 78 “Dabasgāzes tirdzniecības un lietošanas noteikumi”” sākotnējās ietekmes novērtējuma ziņojums (anotācija)</vt:lpstr>
    </vt:vector>
  </TitlesOfParts>
  <Company>Ekonomikas Ministrija</Company>
  <LinksUpToDate>false</LinksUpToDate>
  <CharactersWithSpaces>39118</CharactersWithSpaces>
  <SharedDoc>false</SharedDoc>
  <HLinks>
    <vt:vector size="6" baseType="variant">
      <vt:variant>
        <vt:i4>3997805</vt:i4>
      </vt:variant>
      <vt:variant>
        <vt:i4>0</vt:i4>
      </vt:variant>
      <vt:variant>
        <vt:i4>0</vt:i4>
      </vt:variant>
      <vt:variant>
        <vt:i4>5</vt:i4>
      </vt:variant>
      <vt:variant>
        <vt:lpwstr>https://em.gov.lv/lv/par_ministriju/sabiedribas_lidzdaliba/diskusiju_dokumenti/energijas_tirgus_un_infrastruktura/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7. februāra noteikumos Nr. 78 “Dabasgāzes tirdzniecības un lietošanas noteikumi”” sākotnējās ietekmes novērtējuma ziņojums (anotācija)</dc:title>
  <dc:subject>Anotācija</dc:subject>
  <dc:creator>Ance.Ansone@em.gov.lv</dc:creator>
  <cp:keywords/>
  <dc:description>67013001, Ance.Ansone@em.gov.lv</dc:description>
  <cp:lastModifiedBy>Inese Karpoviča</cp:lastModifiedBy>
  <cp:revision>8</cp:revision>
  <cp:lastPrinted>2019-09-16T05:19:00Z</cp:lastPrinted>
  <dcterms:created xsi:type="dcterms:W3CDTF">2021-06-11T10:48:00Z</dcterms:created>
  <dcterms:modified xsi:type="dcterms:W3CDTF">2021-06-16T11:28:00Z</dcterms:modified>
</cp:coreProperties>
</file>