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979B" w14:textId="70945BA8" w:rsidR="005915B2" w:rsidRPr="0043636D" w:rsidRDefault="00D3143A" w:rsidP="000932C9">
      <w:pPr>
        <w:spacing w:after="0" w:line="240" w:lineRule="auto"/>
        <w:jc w:val="center"/>
        <w:rPr>
          <w:rFonts w:ascii="Times New Roman" w:eastAsia="Calibri" w:hAnsi="Times New Roman" w:cs="Times New Roman"/>
          <w:b/>
          <w:sz w:val="24"/>
          <w:szCs w:val="24"/>
          <w:lang w:eastAsia="lv-LV"/>
        </w:rPr>
      </w:pPr>
      <w:r w:rsidRPr="0043636D">
        <w:rPr>
          <w:rFonts w:ascii="Times New Roman" w:eastAsia="Calibri" w:hAnsi="Times New Roman" w:cs="Times New Roman"/>
          <w:b/>
          <w:sz w:val="24"/>
          <w:szCs w:val="24"/>
          <w:lang w:eastAsia="lv-LV"/>
        </w:rPr>
        <w:t>Ministru kabineta noteikumu projekta “Grozījumi Ministru kabineta 20</w:t>
      </w:r>
      <w:r w:rsidR="00000727" w:rsidRPr="0043636D">
        <w:rPr>
          <w:rFonts w:ascii="Times New Roman" w:eastAsia="Calibri" w:hAnsi="Times New Roman" w:cs="Times New Roman"/>
          <w:b/>
          <w:sz w:val="24"/>
          <w:szCs w:val="24"/>
          <w:lang w:eastAsia="lv-LV"/>
        </w:rPr>
        <w:t>21</w:t>
      </w:r>
      <w:r w:rsidRPr="0043636D">
        <w:rPr>
          <w:rFonts w:ascii="Times New Roman" w:eastAsia="Calibri" w:hAnsi="Times New Roman" w:cs="Times New Roman"/>
          <w:b/>
          <w:sz w:val="24"/>
          <w:szCs w:val="24"/>
          <w:lang w:eastAsia="lv-LV"/>
        </w:rPr>
        <w:t xml:space="preserve">. gada </w:t>
      </w:r>
      <w:r w:rsidR="00000727" w:rsidRPr="0043636D">
        <w:rPr>
          <w:rFonts w:ascii="Times New Roman" w:eastAsia="Calibri" w:hAnsi="Times New Roman" w:cs="Times New Roman"/>
          <w:b/>
          <w:sz w:val="24"/>
          <w:szCs w:val="24"/>
          <w:lang w:eastAsia="lv-LV"/>
        </w:rPr>
        <w:t>7</w:t>
      </w:r>
      <w:r w:rsidRPr="0043636D">
        <w:rPr>
          <w:rFonts w:ascii="Times New Roman" w:eastAsia="Calibri" w:hAnsi="Times New Roman" w:cs="Times New Roman"/>
          <w:b/>
          <w:sz w:val="24"/>
          <w:szCs w:val="24"/>
          <w:lang w:eastAsia="lv-LV"/>
        </w:rPr>
        <w:t xml:space="preserve">. </w:t>
      </w:r>
      <w:r w:rsidR="00000727" w:rsidRPr="0043636D">
        <w:rPr>
          <w:rFonts w:ascii="Times New Roman" w:eastAsia="Calibri" w:hAnsi="Times New Roman" w:cs="Times New Roman"/>
          <w:b/>
          <w:sz w:val="24"/>
          <w:szCs w:val="24"/>
          <w:lang w:eastAsia="lv-LV"/>
        </w:rPr>
        <w:t xml:space="preserve">janvāra </w:t>
      </w:r>
      <w:r w:rsidRPr="0043636D">
        <w:rPr>
          <w:rFonts w:ascii="Times New Roman" w:eastAsia="Calibri" w:hAnsi="Times New Roman" w:cs="Times New Roman"/>
          <w:b/>
          <w:sz w:val="24"/>
          <w:szCs w:val="24"/>
          <w:lang w:eastAsia="lv-LV"/>
        </w:rPr>
        <w:t xml:space="preserve">noteikumos Nr. </w:t>
      </w:r>
      <w:r w:rsidR="00000727" w:rsidRPr="0043636D">
        <w:rPr>
          <w:rFonts w:ascii="Times New Roman" w:eastAsia="Calibri" w:hAnsi="Times New Roman" w:cs="Times New Roman"/>
          <w:b/>
          <w:sz w:val="24"/>
          <w:szCs w:val="24"/>
          <w:lang w:eastAsia="lv-LV"/>
        </w:rPr>
        <w:t>4</w:t>
      </w:r>
      <w:r w:rsidR="00000727" w:rsidRPr="0043636D">
        <w:rPr>
          <w:rFonts w:ascii="Times New Roman" w:hAnsi="Times New Roman" w:cs="Times New Roman"/>
          <w:b/>
          <w:sz w:val="24"/>
          <w:szCs w:val="24"/>
        </w:rPr>
        <w:t xml:space="preserve"> </w:t>
      </w:r>
      <w:r w:rsidR="00166BD8" w:rsidRPr="0043636D">
        <w:rPr>
          <w:rFonts w:ascii="Times New Roman" w:hAnsi="Times New Roman" w:cs="Times New Roman"/>
          <w:b/>
          <w:sz w:val="24"/>
          <w:szCs w:val="24"/>
        </w:rPr>
        <w:t>“</w:t>
      </w:r>
      <w:r w:rsidR="00000727" w:rsidRPr="0043636D">
        <w:rPr>
          <w:rFonts w:ascii="Times New Roman" w:hAnsi="Times New Roman" w:cs="Times New Roman"/>
          <w:b/>
          <w:sz w:val="24"/>
          <w:szCs w:val="24"/>
        </w:rPr>
        <w:t>Norvēģijas finanšu instrumenta 2014.-2021. gada perioda programmas “Uzņēmējdarbības attīstība, inovācijas un mazie un vidējie uzņēmumi” īstenošanas noteikumi</w:t>
      </w:r>
      <w:r w:rsidR="00166BD8" w:rsidRPr="0043636D">
        <w:rPr>
          <w:rFonts w:ascii="Times New Roman" w:hAnsi="Times New Roman" w:cs="Times New Roman"/>
          <w:b/>
          <w:sz w:val="24"/>
          <w:szCs w:val="24"/>
        </w:rPr>
        <w:t>”</w:t>
      </w:r>
      <w:r w:rsidRPr="0043636D">
        <w:rPr>
          <w:rFonts w:ascii="Times New Roman" w:eastAsia="Calibri" w:hAnsi="Times New Roman" w:cs="Times New Roman"/>
          <w:b/>
          <w:sz w:val="24"/>
          <w:szCs w:val="24"/>
          <w:lang w:eastAsia="lv-LV"/>
        </w:rPr>
        <w:t xml:space="preserve"> sākotnējās ietekmes novērtējuma ziņojums (anotācija)</w:t>
      </w:r>
    </w:p>
    <w:p w14:paraId="414267DB" w14:textId="11496CA5" w:rsidR="002623AC" w:rsidRPr="0043636D" w:rsidRDefault="002623AC" w:rsidP="000932C9">
      <w:pPr>
        <w:spacing w:after="0" w:line="240" w:lineRule="auto"/>
        <w:jc w:val="center"/>
        <w:rPr>
          <w:rFonts w:ascii="Times New Roman" w:eastAsia="Calibri"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7"/>
        <w:gridCol w:w="5641"/>
      </w:tblGrid>
      <w:tr w:rsidR="001D2968" w:rsidRPr="0043636D" w14:paraId="5DADCD2A" w14:textId="77777777" w:rsidTr="3EC5634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tcPr>
          <w:p w14:paraId="505EBE0D" w14:textId="0DF0156E" w:rsidR="001D2968" w:rsidRPr="0043636D" w:rsidRDefault="001D2968"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43636D">
              <w:rPr>
                <w:rFonts w:ascii="Times New Roman" w:hAnsi="Times New Roman" w:cs="Times New Roman"/>
                <w:b/>
                <w:bCs/>
                <w:sz w:val="24"/>
                <w:szCs w:val="24"/>
              </w:rPr>
              <w:t>Tiesību akta projekta anotācijas kopsavilkums</w:t>
            </w:r>
          </w:p>
        </w:tc>
      </w:tr>
      <w:tr w:rsidR="001D2968" w:rsidRPr="0043636D" w14:paraId="1D6567D0" w14:textId="77777777" w:rsidTr="0043636D">
        <w:trPr>
          <w:tblCellSpacing w:w="15" w:type="dxa"/>
        </w:trPr>
        <w:tc>
          <w:tcPr>
            <w:tcW w:w="1916" w:type="pct"/>
            <w:tcBorders>
              <w:top w:val="outset" w:sz="6" w:space="0" w:color="auto"/>
              <w:left w:val="outset" w:sz="6" w:space="0" w:color="auto"/>
              <w:bottom w:val="outset" w:sz="6" w:space="0" w:color="auto"/>
              <w:right w:val="outset" w:sz="6" w:space="0" w:color="auto"/>
            </w:tcBorders>
          </w:tcPr>
          <w:p w14:paraId="06F92CF8" w14:textId="36F4C296" w:rsidR="001D2968" w:rsidRPr="0043636D" w:rsidRDefault="001D2968" w:rsidP="000932C9">
            <w:pPr>
              <w:spacing w:after="0" w:line="240" w:lineRule="auto"/>
              <w:jc w:val="both"/>
              <w:rPr>
                <w:rFonts w:ascii="Times New Roman" w:eastAsia="Times New Roman" w:hAnsi="Times New Roman" w:cs="Times New Roman"/>
                <w:iCs/>
                <w:sz w:val="24"/>
                <w:szCs w:val="24"/>
              </w:rPr>
            </w:pPr>
            <w:r w:rsidRPr="0043636D">
              <w:rPr>
                <w:rFonts w:ascii="Times New Roman" w:eastAsia="Times New Roman" w:hAnsi="Times New Roman" w:cs="Times New Roman"/>
                <w:iCs/>
                <w:sz w:val="24"/>
                <w:szCs w:val="24"/>
                <w:lang w:eastAsia="lv-LV"/>
              </w:rPr>
              <w:t>Mērķis, risinājums un projekta spēkā stāšanās laiks (500 zīmes bez atstarpēm)</w:t>
            </w:r>
          </w:p>
        </w:tc>
        <w:tc>
          <w:tcPr>
            <w:tcW w:w="3037" w:type="pct"/>
            <w:tcBorders>
              <w:top w:val="outset" w:sz="6" w:space="0" w:color="auto"/>
              <w:left w:val="outset" w:sz="6" w:space="0" w:color="auto"/>
              <w:bottom w:val="outset" w:sz="6" w:space="0" w:color="auto"/>
              <w:right w:val="outset" w:sz="6" w:space="0" w:color="auto"/>
            </w:tcBorders>
          </w:tcPr>
          <w:p w14:paraId="71037085" w14:textId="3C07DFA7" w:rsidR="00D17075" w:rsidRPr="0043636D" w:rsidRDefault="001D2968" w:rsidP="00E042BE">
            <w:pPr>
              <w:spacing w:after="120" w:line="240" w:lineRule="auto"/>
              <w:jc w:val="both"/>
              <w:rPr>
                <w:rFonts w:ascii="Times New Roman" w:hAnsi="Times New Roman" w:cs="Times New Roman"/>
                <w:sz w:val="24"/>
                <w:szCs w:val="24"/>
              </w:rPr>
            </w:pPr>
            <w:r w:rsidRPr="0043636D">
              <w:rPr>
                <w:rFonts w:ascii="Times New Roman" w:eastAsia="Times New Roman" w:hAnsi="Times New Roman" w:cs="Times New Roman"/>
                <w:iCs/>
                <w:sz w:val="24"/>
                <w:szCs w:val="24"/>
              </w:rPr>
              <w:t>Ministru kabineta noteikum</w:t>
            </w:r>
            <w:r w:rsidR="00E846D9" w:rsidRPr="0043636D">
              <w:rPr>
                <w:rFonts w:ascii="Times New Roman" w:eastAsia="Times New Roman" w:hAnsi="Times New Roman" w:cs="Times New Roman"/>
                <w:iCs/>
                <w:sz w:val="24"/>
                <w:szCs w:val="24"/>
              </w:rPr>
              <w:t>u</w:t>
            </w:r>
            <w:r w:rsidRPr="0043636D">
              <w:rPr>
                <w:rFonts w:ascii="Times New Roman" w:eastAsia="Times New Roman" w:hAnsi="Times New Roman" w:cs="Times New Roman"/>
                <w:iCs/>
                <w:sz w:val="24"/>
                <w:szCs w:val="24"/>
              </w:rPr>
              <w:t xml:space="preserve"> projekt</w:t>
            </w:r>
            <w:r w:rsidR="0043636D">
              <w:rPr>
                <w:rFonts w:ascii="Times New Roman" w:eastAsia="Times New Roman" w:hAnsi="Times New Roman" w:cs="Times New Roman"/>
                <w:iCs/>
                <w:sz w:val="24"/>
                <w:szCs w:val="24"/>
              </w:rPr>
              <w:t>s</w:t>
            </w:r>
            <w:r w:rsidRPr="0043636D">
              <w:rPr>
                <w:rFonts w:ascii="Times New Roman" w:eastAsia="Times New Roman" w:hAnsi="Times New Roman" w:cs="Times New Roman"/>
                <w:iCs/>
                <w:sz w:val="24"/>
                <w:szCs w:val="24"/>
              </w:rPr>
              <w:t xml:space="preserve"> </w:t>
            </w:r>
            <w:r w:rsidRPr="0043636D">
              <w:rPr>
                <w:rFonts w:ascii="Times New Roman" w:eastAsia="Calibri" w:hAnsi="Times New Roman" w:cs="Times New Roman"/>
                <w:bCs/>
                <w:sz w:val="24"/>
                <w:szCs w:val="24"/>
                <w:lang w:eastAsia="lv-LV"/>
              </w:rPr>
              <w:t>“</w:t>
            </w:r>
            <w:r w:rsidR="00000727" w:rsidRPr="0043636D">
              <w:rPr>
                <w:rFonts w:ascii="Times New Roman" w:eastAsia="Calibri" w:hAnsi="Times New Roman" w:cs="Times New Roman"/>
                <w:bCs/>
                <w:sz w:val="24"/>
                <w:szCs w:val="24"/>
                <w:lang w:eastAsia="lv-LV"/>
              </w:rPr>
              <w:t>Grozījumi Ministru kabineta 2021. gada 7. janvāra noteikumos Nr. 4</w:t>
            </w:r>
            <w:r w:rsidR="00000727" w:rsidRPr="0043636D">
              <w:rPr>
                <w:rFonts w:ascii="Times New Roman" w:hAnsi="Times New Roman" w:cs="Times New Roman"/>
                <w:bCs/>
                <w:sz w:val="24"/>
                <w:szCs w:val="24"/>
              </w:rPr>
              <w:t xml:space="preserve"> </w:t>
            </w:r>
            <w:r w:rsidR="00166BD8" w:rsidRPr="0043636D">
              <w:rPr>
                <w:rFonts w:ascii="Times New Roman" w:hAnsi="Times New Roman" w:cs="Times New Roman"/>
                <w:bCs/>
                <w:sz w:val="24"/>
                <w:szCs w:val="24"/>
              </w:rPr>
              <w:t>“</w:t>
            </w:r>
            <w:r w:rsidR="00000727" w:rsidRPr="0043636D">
              <w:rPr>
                <w:rFonts w:ascii="Times New Roman" w:hAnsi="Times New Roman" w:cs="Times New Roman"/>
                <w:bCs/>
                <w:sz w:val="24"/>
                <w:szCs w:val="24"/>
              </w:rPr>
              <w:t>Norvēģijas finanšu instrumenta 2014.-2021. gada perioda programmas “Uzņēmējdarbības attīstība, inovācijas un mazie un vidējie uzņēmumi” īstenošanas noteikumi</w:t>
            </w:r>
            <w:r w:rsidRPr="0043636D">
              <w:rPr>
                <w:rFonts w:ascii="Times New Roman" w:eastAsia="Calibri" w:hAnsi="Times New Roman" w:cs="Times New Roman"/>
                <w:bCs/>
                <w:sz w:val="24"/>
                <w:szCs w:val="24"/>
                <w:lang w:eastAsia="lv-LV"/>
              </w:rPr>
              <w:t xml:space="preserve">” </w:t>
            </w:r>
            <w:r w:rsidRPr="0043636D">
              <w:rPr>
                <w:rFonts w:ascii="Times New Roman" w:hAnsi="Times New Roman" w:cs="Times New Roman"/>
                <w:sz w:val="24"/>
                <w:szCs w:val="24"/>
                <w:shd w:val="clear" w:color="auto" w:fill="FFFFFF"/>
              </w:rPr>
              <w:t xml:space="preserve">(turpmāk – Noteikumu projekts) </w:t>
            </w:r>
            <w:r w:rsidR="00AA00F5" w:rsidRPr="0043636D">
              <w:rPr>
                <w:rFonts w:ascii="Times New Roman" w:hAnsi="Times New Roman" w:cs="Times New Roman"/>
                <w:sz w:val="24"/>
                <w:szCs w:val="24"/>
              </w:rPr>
              <w:t>paredz</w:t>
            </w:r>
            <w:r w:rsidR="008D034C" w:rsidRPr="0043636D">
              <w:rPr>
                <w:rFonts w:ascii="Times New Roman" w:hAnsi="Times New Roman" w:cs="Times New Roman"/>
                <w:sz w:val="24"/>
                <w:szCs w:val="24"/>
              </w:rPr>
              <w:t xml:space="preserve"> a</w:t>
            </w:r>
            <w:r w:rsidR="00D17075" w:rsidRPr="0043636D">
              <w:rPr>
                <w:rFonts w:ascii="Times New Roman" w:hAnsi="Times New Roman" w:cs="Times New Roman"/>
                <w:sz w:val="24"/>
                <w:szCs w:val="24"/>
              </w:rPr>
              <w:t>tsevišķu Ministru kabineta 20</w:t>
            </w:r>
            <w:r w:rsidR="00000727" w:rsidRPr="0043636D">
              <w:rPr>
                <w:rFonts w:ascii="Times New Roman" w:hAnsi="Times New Roman" w:cs="Times New Roman"/>
                <w:sz w:val="24"/>
                <w:szCs w:val="24"/>
              </w:rPr>
              <w:t>21</w:t>
            </w:r>
            <w:r w:rsidR="00D17075" w:rsidRPr="0043636D">
              <w:rPr>
                <w:rFonts w:ascii="Times New Roman" w:hAnsi="Times New Roman" w:cs="Times New Roman"/>
                <w:sz w:val="24"/>
                <w:szCs w:val="24"/>
              </w:rPr>
              <w:t xml:space="preserve">. gada </w:t>
            </w:r>
            <w:r w:rsidR="00000727" w:rsidRPr="0043636D">
              <w:rPr>
                <w:rFonts w:ascii="Times New Roman" w:hAnsi="Times New Roman" w:cs="Times New Roman"/>
                <w:sz w:val="24"/>
                <w:szCs w:val="24"/>
              </w:rPr>
              <w:t>7</w:t>
            </w:r>
            <w:r w:rsidR="00D17075" w:rsidRPr="0043636D">
              <w:rPr>
                <w:rFonts w:ascii="Times New Roman" w:hAnsi="Times New Roman" w:cs="Times New Roman"/>
                <w:sz w:val="24"/>
                <w:szCs w:val="24"/>
              </w:rPr>
              <w:t xml:space="preserve">. </w:t>
            </w:r>
            <w:r w:rsidR="00000727" w:rsidRPr="0043636D">
              <w:rPr>
                <w:rFonts w:ascii="Times New Roman" w:hAnsi="Times New Roman" w:cs="Times New Roman"/>
                <w:sz w:val="24"/>
                <w:szCs w:val="24"/>
              </w:rPr>
              <w:t>janvāra</w:t>
            </w:r>
            <w:r w:rsidR="00D17075" w:rsidRPr="0043636D">
              <w:rPr>
                <w:rFonts w:ascii="Times New Roman" w:hAnsi="Times New Roman" w:cs="Times New Roman"/>
                <w:sz w:val="24"/>
                <w:szCs w:val="24"/>
              </w:rPr>
              <w:t xml:space="preserve"> </w:t>
            </w:r>
            <w:r w:rsidR="00D17075" w:rsidRPr="0043636D">
              <w:rPr>
                <w:rFonts w:ascii="Times New Roman" w:eastAsia="Calibri" w:hAnsi="Times New Roman" w:cs="Times New Roman"/>
                <w:sz w:val="24"/>
                <w:szCs w:val="24"/>
                <w:lang w:eastAsia="lv-LV"/>
              </w:rPr>
              <w:t xml:space="preserve">noteikumos Nr. </w:t>
            </w:r>
            <w:r w:rsidR="00000727" w:rsidRPr="0043636D">
              <w:rPr>
                <w:rFonts w:ascii="Times New Roman" w:eastAsia="Calibri" w:hAnsi="Times New Roman" w:cs="Times New Roman"/>
                <w:sz w:val="24"/>
                <w:szCs w:val="24"/>
                <w:lang w:eastAsia="lv-LV"/>
              </w:rPr>
              <w:t>4</w:t>
            </w:r>
            <w:r w:rsidR="00D17075" w:rsidRPr="0043636D">
              <w:rPr>
                <w:rFonts w:ascii="Times New Roman" w:eastAsia="Calibri" w:hAnsi="Times New Roman" w:cs="Times New Roman"/>
                <w:sz w:val="24"/>
                <w:szCs w:val="24"/>
                <w:lang w:eastAsia="lv-LV"/>
              </w:rPr>
              <w:t xml:space="preserve"> “</w:t>
            </w:r>
            <w:r w:rsidR="00000727" w:rsidRPr="0043636D">
              <w:rPr>
                <w:rFonts w:ascii="Times New Roman" w:eastAsia="Calibri" w:hAnsi="Times New Roman" w:cs="Times New Roman"/>
                <w:sz w:val="24"/>
                <w:szCs w:val="24"/>
                <w:lang w:eastAsia="lv-LV"/>
              </w:rPr>
              <w:t>Norvēģijas finanšu instrumenta 2014.-2021. gada perioda programmas “Uzņēmējdarbības attīstība, inovācijas un mazie un vidējie uzņēmumi” īstenošanas noteikumi</w:t>
            </w:r>
            <w:r w:rsidR="00D17075" w:rsidRPr="0043636D">
              <w:rPr>
                <w:rFonts w:ascii="Times New Roman" w:eastAsia="Calibri" w:hAnsi="Times New Roman" w:cs="Times New Roman"/>
                <w:sz w:val="24"/>
                <w:szCs w:val="24"/>
                <w:lang w:eastAsia="lv-LV"/>
              </w:rPr>
              <w:t xml:space="preserve">” </w:t>
            </w:r>
            <w:r w:rsidR="00176243" w:rsidRPr="0043636D">
              <w:rPr>
                <w:rFonts w:ascii="Times New Roman" w:eastAsia="Calibri" w:hAnsi="Times New Roman" w:cs="Times New Roman"/>
                <w:sz w:val="24"/>
                <w:szCs w:val="24"/>
                <w:lang w:eastAsia="lv-LV"/>
              </w:rPr>
              <w:t xml:space="preserve">(turpmāk – MK noteikumi Nr.4) </w:t>
            </w:r>
            <w:r w:rsidR="00D17075" w:rsidRPr="0043636D">
              <w:rPr>
                <w:rFonts w:ascii="Times New Roman" w:eastAsia="Calibri" w:hAnsi="Times New Roman" w:cs="Times New Roman"/>
                <w:sz w:val="24"/>
                <w:szCs w:val="24"/>
                <w:lang w:eastAsia="lv-LV"/>
              </w:rPr>
              <w:t>ietverto normu precizēšanu</w:t>
            </w:r>
            <w:r w:rsidR="00000727" w:rsidRPr="0043636D">
              <w:rPr>
                <w:rFonts w:ascii="Times New Roman" w:eastAsia="Calibri" w:hAnsi="Times New Roman" w:cs="Times New Roman"/>
                <w:sz w:val="24"/>
                <w:szCs w:val="24"/>
                <w:lang w:eastAsia="lv-LV"/>
              </w:rPr>
              <w:t>.</w:t>
            </w:r>
          </w:p>
          <w:p w14:paraId="6FA4B94B" w14:textId="3D6D2636" w:rsidR="001D2968" w:rsidRPr="0043636D" w:rsidRDefault="001D2968" w:rsidP="00F52EEF">
            <w:pPr>
              <w:spacing w:after="120" w:line="240" w:lineRule="auto"/>
              <w:jc w:val="both"/>
              <w:rPr>
                <w:rFonts w:ascii="Times New Roman" w:hAnsi="Times New Roman" w:cs="Times New Roman"/>
                <w:sz w:val="24"/>
                <w:szCs w:val="24"/>
              </w:rPr>
            </w:pPr>
            <w:r w:rsidRPr="0043636D">
              <w:rPr>
                <w:rFonts w:ascii="Times New Roman" w:eastAsia="Times New Roman" w:hAnsi="Times New Roman" w:cs="Times New Roman"/>
                <w:iCs/>
                <w:sz w:val="24"/>
                <w:szCs w:val="24"/>
                <w:lang w:eastAsia="lv-LV"/>
              </w:rPr>
              <w:t>Noteikumu projekts stājas spēkā pēc tā izsludināšanas oficiālajā izdevumā “Latvijas vēstnesis”.</w:t>
            </w:r>
          </w:p>
        </w:tc>
      </w:tr>
    </w:tbl>
    <w:p w14:paraId="6C9FBBA3" w14:textId="6BC9B449" w:rsidR="002623AC" w:rsidRPr="0043636D" w:rsidRDefault="00991CC7" w:rsidP="000932C9">
      <w:pPr>
        <w:spacing w:after="0" w:line="240" w:lineRule="auto"/>
        <w:rPr>
          <w:rFonts w:ascii="Times New Roman" w:eastAsia="Times New Roman" w:hAnsi="Times New Roman" w:cs="Times New Roman"/>
          <w:iCs/>
          <w:color w:val="414142"/>
          <w:sz w:val="24"/>
          <w:szCs w:val="24"/>
          <w:lang w:val="sv-SE" w:eastAsia="lv-LV"/>
        </w:rPr>
      </w:pPr>
      <w:r w:rsidRPr="0043636D">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3"/>
        <w:gridCol w:w="5634"/>
      </w:tblGrid>
      <w:tr w:rsidR="005942DA" w:rsidRPr="0043636D" w14:paraId="7D4D3CF1" w14:textId="77777777" w:rsidTr="0335586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BB7390" w14:textId="77777777" w:rsidR="00655F2C" w:rsidRPr="0043636D" w:rsidRDefault="00D3143A"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43636D">
              <w:rPr>
                <w:rFonts w:ascii="Times New Roman" w:hAnsi="Times New Roman" w:cs="Times New Roman"/>
                <w:b/>
                <w:bCs/>
                <w:sz w:val="24"/>
                <w:szCs w:val="24"/>
              </w:rPr>
              <w:t>I. Tiesību akta projekta izstrādes nepieciešamība</w:t>
            </w:r>
          </w:p>
        </w:tc>
      </w:tr>
      <w:tr w:rsidR="005942DA" w:rsidRPr="0043636D" w14:paraId="6B03B6D8"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7DD65" w14:textId="77777777" w:rsidR="00655F2C"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6F651845" w14:textId="77777777" w:rsidR="00E5323B"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Pamatojums</w:t>
            </w:r>
          </w:p>
        </w:tc>
        <w:tc>
          <w:tcPr>
            <w:tcW w:w="3021" w:type="pct"/>
            <w:tcBorders>
              <w:top w:val="outset" w:sz="6" w:space="0" w:color="auto"/>
              <w:left w:val="outset" w:sz="6" w:space="0" w:color="auto"/>
              <w:bottom w:val="outset" w:sz="6" w:space="0" w:color="auto"/>
              <w:right w:val="outset" w:sz="6" w:space="0" w:color="auto"/>
            </w:tcBorders>
            <w:hideMark/>
          </w:tcPr>
          <w:p w14:paraId="7E05BB36" w14:textId="47055FE2" w:rsidR="00D55155" w:rsidRPr="0043636D" w:rsidRDefault="00991CC7" w:rsidP="000932C9">
            <w:pPr>
              <w:spacing w:after="120" w:line="240" w:lineRule="auto"/>
              <w:jc w:val="both"/>
              <w:rPr>
                <w:rFonts w:ascii="Times New Roman" w:hAnsi="Times New Roman" w:cs="Times New Roman"/>
                <w:sz w:val="24"/>
                <w:szCs w:val="24"/>
              </w:rPr>
            </w:pPr>
            <w:r w:rsidRPr="0043636D">
              <w:rPr>
                <w:rFonts w:ascii="Times New Roman" w:hAnsi="Times New Roman" w:cs="Times New Roman"/>
                <w:sz w:val="24"/>
                <w:szCs w:val="24"/>
              </w:rPr>
              <w:t>Ekonomikas ministrijas iniciatīva</w:t>
            </w:r>
            <w:bookmarkStart w:id="0" w:name="_Hlk61963749"/>
            <w:r w:rsidR="002C73AC" w:rsidRPr="0043636D">
              <w:rPr>
                <w:rFonts w:ascii="Times New Roman" w:hAnsi="Times New Roman" w:cs="Times New Roman"/>
                <w:sz w:val="24"/>
                <w:szCs w:val="24"/>
              </w:rPr>
              <w:t>.</w:t>
            </w:r>
          </w:p>
          <w:bookmarkEnd w:id="0"/>
          <w:p w14:paraId="14611232" w14:textId="0AA74014" w:rsidR="00192F30" w:rsidRPr="0043636D" w:rsidRDefault="00192F30" w:rsidP="000932C9">
            <w:pPr>
              <w:spacing w:after="120" w:line="240" w:lineRule="auto"/>
              <w:jc w:val="both"/>
              <w:rPr>
                <w:rFonts w:ascii="Times New Roman" w:hAnsi="Times New Roman" w:cs="Times New Roman"/>
                <w:sz w:val="24"/>
                <w:szCs w:val="24"/>
              </w:rPr>
            </w:pPr>
          </w:p>
        </w:tc>
      </w:tr>
      <w:tr w:rsidR="005942DA" w:rsidRPr="0043636D" w14:paraId="13ED3FE7"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88A5C88" w14:textId="77777777" w:rsidR="00083640"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3F0C7BCA" w14:textId="77777777" w:rsidR="00083640"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Pašreizējā situācija un problēmas, kuru risināšanai tiesību akta projekts izstrādāts, tiesiskā regulējuma mērķis un būtība</w:t>
            </w:r>
          </w:p>
        </w:tc>
        <w:tc>
          <w:tcPr>
            <w:tcW w:w="3021" w:type="pct"/>
            <w:tcBorders>
              <w:top w:val="outset" w:sz="6" w:space="0" w:color="auto"/>
              <w:left w:val="outset" w:sz="6" w:space="0" w:color="auto"/>
              <w:bottom w:val="outset" w:sz="6" w:space="0" w:color="auto"/>
              <w:right w:val="outset" w:sz="6" w:space="0" w:color="auto"/>
            </w:tcBorders>
            <w:hideMark/>
          </w:tcPr>
          <w:p w14:paraId="12AEDB0B" w14:textId="4F9E7360" w:rsidR="00A86CC2" w:rsidRPr="002F66D3" w:rsidRDefault="00A86CC2" w:rsidP="00A86CC2">
            <w:pPr>
              <w:pStyle w:val="Default"/>
              <w:spacing w:after="120"/>
              <w:jc w:val="both"/>
              <w:rPr>
                <w:color w:val="auto"/>
                <w:shd w:val="clear" w:color="auto" w:fill="FFFFFF"/>
              </w:rPr>
            </w:pPr>
            <w:r>
              <w:rPr>
                <w:color w:val="auto"/>
                <w:shd w:val="clear" w:color="auto" w:fill="FFFFFF"/>
              </w:rPr>
              <w:t>Ar nolūku</w:t>
            </w:r>
            <w:r w:rsidRPr="0043636D">
              <w:rPr>
                <w:color w:val="auto"/>
                <w:shd w:val="clear" w:color="auto" w:fill="FFFFFF"/>
              </w:rPr>
              <w:t xml:space="preserve"> nodrošināt</w:t>
            </w:r>
            <w:r>
              <w:rPr>
                <w:color w:val="auto"/>
                <w:shd w:val="clear" w:color="auto" w:fill="FFFFFF"/>
              </w:rPr>
              <w:t xml:space="preserve"> MK noteikumu Nr. 4</w:t>
            </w:r>
            <w:r w:rsidRPr="0043636D">
              <w:rPr>
                <w:color w:val="auto"/>
                <w:shd w:val="clear" w:color="auto" w:fill="FFFFFF"/>
              </w:rPr>
              <w:t xml:space="preserve"> 15.5.</w:t>
            </w:r>
            <w:r>
              <w:rPr>
                <w:color w:val="auto"/>
                <w:shd w:val="clear" w:color="auto" w:fill="FFFFFF"/>
              </w:rPr>
              <w:t xml:space="preserve"> </w:t>
            </w:r>
            <w:r w:rsidRPr="0043636D">
              <w:rPr>
                <w:color w:val="auto"/>
                <w:shd w:val="clear" w:color="auto" w:fill="FFFFFF"/>
              </w:rPr>
              <w:t xml:space="preserve">apakšpunkta skaidru izpratni par Komisijas Regulas (ES) Nr. 1407/2013 par Līguma par Eiropas Savienības darbību 107. un 108. panta piemērošanu de minimis atbalstam </w:t>
            </w:r>
            <w:r w:rsidR="00375DF9">
              <w:rPr>
                <w:color w:val="auto"/>
                <w:shd w:val="clear" w:color="auto" w:fill="FFFFFF"/>
              </w:rPr>
              <w:t xml:space="preserve">(turpmāk – Komisijas Regula Nr. 1407/2013) </w:t>
            </w:r>
            <w:r w:rsidRPr="0043636D">
              <w:rPr>
                <w:color w:val="auto"/>
                <w:shd w:val="clear" w:color="auto" w:fill="FFFFFF"/>
              </w:rPr>
              <w:t>6.</w:t>
            </w:r>
            <w:r>
              <w:rPr>
                <w:color w:val="auto"/>
                <w:shd w:val="clear" w:color="auto" w:fill="FFFFFF"/>
              </w:rPr>
              <w:t xml:space="preserve"> </w:t>
            </w:r>
            <w:r w:rsidRPr="0043636D">
              <w:rPr>
                <w:color w:val="auto"/>
                <w:shd w:val="clear" w:color="auto" w:fill="FFFFFF"/>
              </w:rPr>
              <w:t>panta 4.</w:t>
            </w:r>
            <w:r>
              <w:rPr>
                <w:color w:val="auto"/>
                <w:shd w:val="clear" w:color="auto" w:fill="FFFFFF"/>
              </w:rPr>
              <w:t xml:space="preserve"> </w:t>
            </w:r>
            <w:r w:rsidRPr="0043636D">
              <w:rPr>
                <w:color w:val="auto"/>
                <w:shd w:val="clear" w:color="auto" w:fill="FFFFFF"/>
              </w:rPr>
              <w:t>punkta piemērošanu</w:t>
            </w:r>
            <w:r>
              <w:rPr>
                <w:color w:val="auto"/>
                <w:shd w:val="clear" w:color="auto" w:fill="FFFFFF"/>
              </w:rPr>
              <w:t>,</w:t>
            </w:r>
            <w:r w:rsidRPr="0043636D">
              <w:rPr>
                <w:color w:val="auto"/>
                <w:shd w:val="clear" w:color="auto" w:fill="FFFFFF"/>
              </w:rPr>
              <w:t xml:space="preserve"> un ņemot vērā, ka atbalsta sniedzēja/</w:t>
            </w:r>
            <w:r>
              <w:rPr>
                <w:color w:val="auto"/>
                <w:shd w:val="clear" w:color="auto" w:fill="FFFFFF"/>
              </w:rPr>
              <w:t xml:space="preserve"> </w:t>
            </w:r>
            <w:r w:rsidRPr="0043636D">
              <w:rPr>
                <w:color w:val="auto"/>
                <w:shd w:val="clear" w:color="auto" w:fill="FFFFFF"/>
              </w:rPr>
              <w:t xml:space="preserve">programmas apsaimniekotāja gadījumā dati par piešķirto atbalstu jāglabā 10 gadus no pēdējā atbalsta piešķiršanas dienas, savukārt, līdzfinansējuma saņēmēja un gala labuma guvēja gadījumā – 10 gadus no atbalsta piešķiršanas </w:t>
            </w:r>
            <w:r w:rsidRPr="002F66D3">
              <w:rPr>
                <w:color w:val="auto"/>
                <w:shd w:val="clear" w:color="auto" w:fill="FFFFFF"/>
              </w:rPr>
              <w:t>dienas, atbilstoši precizēta Noteikumu projekta 15.5. apakšpunkta redakcija.</w:t>
            </w:r>
          </w:p>
          <w:p w14:paraId="72A848D8" w14:textId="51E8AF2B" w:rsidR="00A86CC2" w:rsidRPr="0043636D" w:rsidRDefault="00A86CC2" w:rsidP="00A86CC2">
            <w:pPr>
              <w:pStyle w:val="Default"/>
              <w:spacing w:after="120"/>
              <w:jc w:val="both"/>
              <w:rPr>
                <w:color w:val="auto"/>
                <w:shd w:val="clear" w:color="auto" w:fill="FFFFFF"/>
              </w:rPr>
            </w:pPr>
            <w:r w:rsidRPr="002F66D3">
              <w:rPr>
                <w:color w:val="auto"/>
                <w:shd w:val="clear" w:color="auto" w:fill="FFFFFF"/>
              </w:rPr>
              <w:t xml:space="preserve">Vienlaikus, atsaucoties uz Finanšu ministrijas 2021. gada 6. aprīļa vēstuli Nr. 7-4/18/1868 par Komisijas </w:t>
            </w:r>
            <w:r w:rsidRPr="002F66D3">
              <w:t>R</w:t>
            </w:r>
            <w:r w:rsidRPr="002F66D3">
              <w:rPr>
                <w:color w:val="auto"/>
                <w:shd w:val="clear" w:color="auto" w:fill="FFFFFF"/>
              </w:rPr>
              <w:t xml:space="preserve">egulas </w:t>
            </w:r>
            <w:r w:rsidRPr="002F66D3">
              <w:t xml:space="preserve">(ES) </w:t>
            </w:r>
            <w:r w:rsidRPr="002F66D3">
              <w:rPr>
                <w:color w:val="auto"/>
                <w:shd w:val="clear" w:color="auto" w:fill="FFFFFF"/>
              </w:rPr>
              <w:t>Nr. 651/2014</w:t>
            </w:r>
            <w:r w:rsidRPr="002F66D3">
              <w:t xml:space="preserve">, ar ko noteiktas atbalsta kategorijas atzīst par saderīgām ar iekšējo tirgu, piemērojot Līguma 107. un 108. pantu (turpmāk – Komisijas Regula Nr. 651/2014) </w:t>
            </w:r>
            <w:r w:rsidRPr="002F66D3">
              <w:rPr>
                <w:color w:val="auto"/>
                <w:shd w:val="clear" w:color="auto" w:fill="FFFFFF"/>
              </w:rPr>
              <w:t>2. panta 18.</w:t>
            </w:r>
            <w:r>
              <w:rPr>
                <w:color w:val="auto"/>
                <w:shd w:val="clear" w:color="auto" w:fill="FFFFFF"/>
              </w:rPr>
              <w:t xml:space="preserve"> </w:t>
            </w:r>
            <w:r w:rsidRPr="0043636D">
              <w:rPr>
                <w:color w:val="auto"/>
                <w:shd w:val="clear" w:color="auto" w:fill="FFFFFF"/>
              </w:rPr>
              <w:t>punkta c) apakšpunkta piemērošanu un, ņemot vērā, ka konkrētā punkta prasība tiek pārbaudīta, balstoties uz atbalsta pretendenta iesniegtu apliecinājumu, tiek papildināts noteikumu projekta 22.1.</w:t>
            </w:r>
            <w:r>
              <w:rPr>
                <w:color w:val="auto"/>
                <w:shd w:val="clear" w:color="auto" w:fill="FFFFFF"/>
              </w:rPr>
              <w:t xml:space="preserve"> </w:t>
            </w:r>
            <w:r w:rsidRPr="0043636D">
              <w:rPr>
                <w:color w:val="auto"/>
                <w:shd w:val="clear" w:color="auto" w:fill="FFFFFF"/>
              </w:rPr>
              <w:t>apakšpunkts, kas paredz atbalsta pretendentam iesniegt apliecinājumu par MK noteikumu projekta 22.1.</w:t>
            </w:r>
            <w:r>
              <w:rPr>
                <w:color w:val="auto"/>
                <w:shd w:val="clear" w:color="auto" w:fill="FFFFFF"/>
              </w:rPr>
              <w:t xml:space="preserve"> </w:t>
            </w:r>
            <w:r w:rsidRPr="0043636D">
              <w:rPr>
                <w:color w:val="auto"/>
                <w:shd w:val="clear" w:color="auto" w:fill="FFFFFF"/>
              </w:rPr>
              <w:t xml:space="preserve">apakšpunktā, kas izriet no Komisijas </w:t>
            </w:r>
            <w:r w:rsidRPr="0043636D">
              <w:rPr>
                <w:color w:val="auto"/>
                <w:shd w:val="clear" w:color="auto" w:fill="FFFFFF"/>
              </w:rPr>
              <w:lastRenderedPageBreak/>
              <w:t>regulas Nr.</w:t>
            </w:r>
            <w:r>
              <w:rPr>
                <w:color w:val="auto"/>
                <w:shd w:val="clear" w:color="auto" w:fill="FFFFFF"/>
              </w:rPr>
              <w:t xml:space="preserve"> </w:t>
            </w:r>
            <w:r w:rsidRPr="0043636D">
              <w:rPr>
                <w:color w:val="auto"/>
                <w:shd w:val="clear" w:color="auto" w:fill="FFFFFF"/>
              </w:rPr>
              <w:t>651/2014 2.</w:t>
            </w:r>
            <w:r w:rsidR="00136AE3">
              <w:rPr>
                <w:color w:val="auto"/>
                <w:shd w:val="clear" w:color="auto" w:fill="FFFFFF"/>
              </w:rPr>
              <w:t xml:space="preserve"> </w:t>
            </w:r>
            <w:r w:rsidRPr="0043636D">
              <w:rPr>
                <w:color w:val="auto"/>
                <w:shd w:val="clear" w:color="auto" w:fill="FFFFFF"/>
              </w:rPr>
              <w:t>panta 18.</w:t>
            </w:r>
            <w:r w:rsidR="00136AE3">
              <w:rPr>
                <w:color w:val="auto"/>
                <w:shd w:val="clear" w:color="auto" w:fill="FFFFFF"/>
              </w:rPr>
              <w:t xml:space="preserve"> </w:t>
            </w:r>
            <w:r w:rsidRPr="0043636D">
              <w:rPr>
                <w:color w:val="auto"/>
                <w:shd w:val="clear" w:color="auto" w:fill="FFFFFF"/>
              </w:rPr>
              <w:t>punkta c) apakšpunkta, ietvertā nosacījuma ievērošanu – uzņēmums neatbilst normatīvajos aktos noteiktiem kritērijiem, lai tam pēc kreditora pieprasījuma piemērotu maksātnespējas procedūru.</w:t>
            </w:r>
            <w:r w:rsidR="007D14F3">
              <w:rPr>
                <w:color w:val="auto"/>
                <w:shd w:val="clear" w:color="auto" w:fill="FFFFFF"/>
              </w:rPr>
              <w:t xml:space="preserve"> </w:t>
            </w:r>
            <w:r w:rsidR="007D14F3" w:rsidRPr="007D14F3">
              <w:rPr>
                <w:color w:val="auto"/>
                <w:shd w:val="clear" w:color="auto" w:fill="FFFFFF"/>
              </w:rPr>
              <w:t>Projekta iesniedzējs apliecinājumu, kas ir ietverts projekta iesnieguma veidlapā, sniedz par visiem Komisijas regulas Nr.</w:t>
            </w:r>
            <w:r w:rsidR="007D14F3">
              <w:rPr>
                <w:color w:val="auto"/>
                <w:shd w:val="clear" w:color="auto" w:fill="FFFFFF"/>
              </w:rPr>
              <w:t xml:space="preserve"> </w:t>
            </w:r>
            <w:r w:rsidR="007D14F3" w:rsidRPr="007D14F3">
              <w:rPr>
                <w:color w:val="auto"/>
                <w:shd w:val="clear" w:color="auto" w:fill="FFFFFF"/>
              </w:rPr>
              <w:t>651/2014 2.</w:t>
            </w:r>
            <w:r w:rsidR="007D14F3">
              <w:rPr>
                <w:color w:val="auto"/>
                <w:shd w:val="clear" w:color="auto" w:fill="FFFFFF"/>
              </w:rPr>
              <w:t xml:space="preserve"> </w:t>
            </w:r>
            <w:r w:rsidR="007D14F3" w:rsidRPr="007D14F3">
              <w:rPr>
                <w:color w:val="auto"/>
                <w:shd w:val="clear" w:color="auto" w:fill="FFFFFF"/>
              </w:rPr>
              <w:t>panta 18.</w:t>
            </w:r>
            <w:r w:rsidR="007D14F3">
              <w:rPr>
                <w:color w:val="auto"/>
                <w:shd w:val="clear" w:color="auto" w:fill="FFFFFF"/>
              </w:rPr>
              <w:t xml:space="preserve"> </w:t>
            </w:r>
            <w:r w:rsidR="007D14F3" w:rsidRPr="007D14F3">
              <w:rPr>
                <w:color w:val="auto"/>
                <w:shd w:val="clear" w:color="auto" w:fill="FFFFFF"/>
              </w:rPr>
              <w:t>punktā ietvertajiem kritērijiem, t.sk. par Komisijas regulas Nr.</w:t>
            </w:r>
            <w:r w:rsidR="007D14F3">
              <w:rPr>
                <w:color w:val="auto"/>
                <w:shd w:val="clear" w:color="auto" w:fill="FFFFFF"/>
              </w:rPr>
              <w:t xml:space="preserve"> </w:t>
            </w:r>
            <w:r w:rsidR="007D14F3" w:rsidRPr="007D14F3">
              <w:rPr>
                <w:color w:val="auto"/>
                <w:shd w:val="clear" w:color="auto" w:fill="FFFFFF"/>
              </w:rPr>
              <w:t>651/2014 2.</w:t>
            </w:r>
            <w:r w:rsidR="007D14F3">
              <w:rPr>
                <w:color w:val="auto"/>
                <w:shd w:val="clear" w:color="auto" w:fill="FFFFFF"/>
              </w:rPr>
              <w:t xml:space="preserve"> </w:t>
            </w:r>
            <w:r w:rsidR="007D14F3" w:rsidRPr="007D14F3">
              <w:rPr>
                <w:color w:val="auto"/>
                <w:shd w:val="clear" w:color="auto" w:fill="FFFFFF"/>
              </w:rPr>
              <w:t>panta 18.</w:t>
            </w:r>
            <w:r w:rsidR="007D14F3">
              <w:rPr>
                <w:color w:val="auto"/>
                <w:shd w:val="clear" w:color="auto" w:fill="FFFFFF"/>
              </w:rPr>
              <w:t xml:space="preserve"> </w:t>
            </w:r>
            <w:r w:rsidR="007D14F3" w:rsidRPr="007D14F3">
              <w:rPr>
                <w:color w:val="auto"/>
                <w:shd w:val="clear" w:color="auto" w:fill="FFFFFF"/>
              </w:rPr>
              <w:t>punkta c) apakšpunktu, par kuru atbalsta sniedzējam nav iespējams pārliecināties publiskajās datubāzēs. Par Komisijas regulas Nr.</w:t>
            </w:r>
            <w:r w:rsidR="007D14F3">
              <w:rPr>
                <w:color w:val="auto"/>
                <w:shd w:val="clear" w:color="auto" w:fill="FFFFFF"/>
              </w:rPr>
              <w:t xml:space="preserve"> </w:t>
            </w:r>
            <w:r w:rsidR="007D14F3" w:rsidRPr="007D14F3">
              <w:rPr>
                <w:color w:val="auto"/>
                <w:shd w:val="clear" w:color="auto" w:fill="FFFFFF"/>
              </w:rPr>
              <w:t>651/2014 2.</w:t>
            </w:r>
            <w:r w:rsidR="007D14F3">
              <w:rPr>
                <w:color w:val="auto"/>
                <w:shd w:val="clear" w:color="auto" w:fill="FFFFFF"/>
              </w:rPr>
              <w:t xml:space="preserve"> </w:t>
            </w:r>
            <w:r w:rsidR="007D14F3" w:rsidRPr="007D14F3">
              <w:rPr>
                <w:color w:val="auto"/>
                <w:shd w:val="clear" w:color="auto" w:fill="FFFFFF"/>
              </w:rPr>
              <w:t>panta 18.</w:t>
            </w:r>
            <w:r w:rsidR="007D14F3">
              <w:rPr>
                <w:color w:val="auto"/>
                <w:shd w:val="clear" w:color="auto" w:fill="FFFFFF"/>
              </w:rPr>
              <w:t xml:space="preserve"> </w:t>
            </w:r>
            <w:r w:rsidR="007D14F3" w:rsidRPr="007D14F3">
              <w:rPr>
                <w:color w:val="auto"/>
                <w:shd w:val="clear" w:color="auto" w:fill="FFFFFF"/>
              </w:rPr>
              <w:t>punktā ietvertajiem a) b) un d) kritērijiem atbalsta sniedzējs pārliecinās pats, izvērtējot projekta iesniedzēju finanšu rādītājus un informāciju, kas pieejama publiskajās datubāzēs</w:t>
            </w:r>
            <w:r w:rsidR="007D14F3">
              <w:rPr>
                <w:color w:val="auto"/>
                <w:shd w:val="clear" w:color="auto" w:fill="FFFFFF"/>
              </w:rPr>
              <w:t>.</w:t>
            </w:r>
          </w:p>
          <w:p w14:paraId="744E15D4" w14:textId="42892D21" w:rsidR="00A86CC2" w:rsidRDefault="00136AE3" w:rsidP="00A86CC2">
            <w:pPr>
              <w:spacing w:after="12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Ar nolūku</w:t>
            </w:r>
            <w:r w:rsidR="00A86CC2" w:rsidRPr="0043636D">
              <w:rPr>
                <w:rFonts w:ascii="Times New Roman" w:hAnsi="Times New Roman" w:cs="Times New Roman"/>
                <w:sz w:val="24"/>
                <w:szCs w:val="24"/>
                <w:shd w:val="clear" w:color="auto" w:fill="FFFFFF"/>
              </w:rPr>
              <w:t xml:space="preserve"> nodrošināt MK noteikumu Nr. 4 27.4. apakšpunkta skaidru izpratni par Komisijas Regulas Nr. 651/2014 12.</w:t>
            </w:r>
            <w:r>
              <w:rPr>
                <w:rFonts w:ascii="Times New Roman" w:hAnsi="Times New Roman" w:cs="Times New Roman"/>
                <w:sz w:val="24"/>
                <w:szCs w:val="24"/>
                <w:shd w:val="clear" w:color="auto" w:fill="FFFFFF"/>
              </w:rPr>
              <w:t xml:space="preserve"> </w:t>
            </w:r>
            <w:r w:rsidR="00A86CC2" w:rsidRPr="0043636D">
              <w:rPr>
                <w:rFonts w:ascii="Times New Roman" w:hAnsi="Times New Roman" w:cs="Times New Roman"/>
                <w:sz w:val="24"/>
                <w:szCs w:val="24"/>
                <w:shd w:val="clear" w:color="auto" w:fill="FFFFFF"/>
              </w:rPr>
              <w:t>panta 1.</w:t>
            </w:r>
            <w:r>
              <w:rPr>
                <w:rFonts w:ascii="Times New Roman" w:hAnsi="Times New Roman" w:cs="Times New Roman"/>
                <w:sz w:val="24"/>
                <w:szCs w:val="24"/>
                <w:shd w:val="clear" w:color="auto" w:fill="FFFFFF"/>
              </w:rPr>
              <w:t xml:space="preserve"> </w:t>
            </w:r>
            <w:r w:rsidR="00A86CC2" w:rsidRPr="0043636D">
              <w:rPr>
                <w:rFonts w:ascii="Times New Roman" w:hAnsi="Times New Roman" w:cs="Times New Roman"/>
                <w:sz w:val="24"/>
                <w:szCs w:val="24"/>
                <w:shd w:val="clear" w:color="auto" w:fill="FFFFFF"/>
              </w:rPr>
              <w:t>punkta piemērošanu un, ņemot vērā, ka atbalsta sniedzēja/</w:t>
            </w:r>
            <w:r>
              <w:rPr>
                <w:rFonts w:ascii="Times New Roman" w:hAnsi="Times New Roman" w:cs="Times New Roman"/>
                <w:sz w:val="24"/>
                <w:szCs w:val="24"/>
                <w:shd w:val="clear" w:color="auto" w:fill="FFFFFF"/>
              </w:rPr>
              <w:t xml:space="preserve"> </w:t>
            </w:r>
            <w:r w:rsidR="00A86CC2" w:rsidRPr="0043636D">
              <w:rPr>
                <w:rFonts w:ascii="Times New Roman" w:hAnsi="Times New Roman" w:cs="Times New Roman"/>
                <w:sz w:val="24"/>
                <w:szCs w:val="24"/>
                <w:shd w:val="clear" w:color="auto" w:fill="FFFFFF"/>
              </w:rPr>
              <w:t>programmas apsaimniekotāja gadījumā dati par piešķirto atbalstu jāglabā 10 gadus no pēdējā atbalsta piešķiršanas dienas, savukārt, līdzfinansējuma saņēmēja gadījumā – 10 gadus no atbalsta piešķiršanas dienas, atbilstoši precizēta Noteikumu projekta 27.4. apakšpunkta redakcija.</w:t>
            </w:r>
          </w:p>
          <w:p w14:paraId="426CB849" w14:textId="47306AE6" w:rsidR="008E77EC" w:rsidRPr="0043636D" w:rsidRDefault="00BD4B68" w:rsidP="0041143B">
            <w:pPr>
              <w:spacing w:after="120" w:line="240" w:lineRule="auto"/>
              <w:jc w:val="both"/>
              <w:rPr>
                <w:rFonts w:ascii="Times New Roman" w:hAnsi="Times New Roman" w:cs="Times New Roman"/>
                <w:sz w:val="24"/>
                <w:szCs w:val="24"/>
              </w:rPr>
            </w:pPr>
            <w:r w:rsidRPr="0043636D">
              <w:rPr>
                <w:rFonts w:ascii="Times New Roman" w:hAnsi="Times New Roman" w:cs="Times New Roman"/>
                <w:sz w:val="24"/>
                <w:szCs w:val="24"/>
              </w:rPr>
              <w:t>Atbilstoši MK noteikumu Nr. 4 36.1.</w:t>
            </w:r>
            <w:r w:rsidR="00AF13A6" w:rsidRPr="0043636D">
              <w:rPr>
                <w:rFonts w:ascii="Times New Roman" w:hAnsi="Times New Roman" w:cs="Times New Roman"/>
                <w:sz w:val="24"/>
                <w:szCs w:val="24"/>
              </w:rPr>
              <w:t xml:space="preserve"> </w:t>
            </w:r>
            <w:r w:rsidRPr="0043636D">
              <w:rPr>
                <w:rFonts w:ascii="Times New Roman" w:hAnsi="Times New Roman" w:cs="Times New Roman"/>
                <w:sz w:val="24"/>
                <w:szCs w:val="24"/>
              </w:rPr>
              <w:t xml:space="preserve">apakšpunktam </w:t>
            </w:r>
            <w:r w:rsidR="00571E1C" w:rsidRPr="0043636D">
              <w:rPr>
                <w:rFonts w:ascii="Times New Roman" w:hAnsi="Times New Roman" w:cs="Times New Roman"/>
                <w:sz w:val="24"/>
                <w:szCs w:val="24"/>
                <w:shd w:val="clear" w:color="auto" w:fill="FFFFFF"/>
              </w:rPr>
              <w:t>zināšanu pārneses darbību finansēšanai ar atklāta konkursa projekta partneri</w:t>
            </w:r>
            <w:r w:rsidR="00212664" w:rsidRPr="0043636D">
              <w:rPr>
                <w:rFonts w:ascii="Times New Roman" w:hAnsi="Times New Roman" w:cs="Times New Roman"/>
                <w:sz w:val="24"/>
                <w:szCs w:val="24"/>
                <w:shd w:val="clear" w:color="auto" w:fill="FFFFFF"/>
              </w:rPr>
              <w:t>,</w:t>
            </w:r>
            <w:r w:rsidR="005438C9" w:rsidRPr="0043636D">
              <w:rPr>
                <w:rFonts w:ascii="Times New Roman" w:hAnsi="Times New Roman" w:cs="Times New Roman"/>
                <w:sz w:val="24"/>
                <w:szCs w:val="24"/>
                <w:shd w:val="clear" w:color="auto" w:fill="FFFFFF"/>
              </w:rPr>
              <w:t xml:space="preserve"> ir attiecināmas</w:t>
            </w:r>
            <w:r w:rsidR="005A7662" w:rsidRPr="0043636D">
              <w:rPr>
                <w:rFonts w:ascii="Times New Roman" w:hAnsi="Times New Roman" w:cs="Times New Roman"/>
                <w:sz w:val="24"/>
                <w:szCs w:val="24"/>
                <w:shd w:val="clear" w:color="auto" w:fill="FFFFFF"/>
              </w:rPr>
              <w:t xml:space="preserve"> atlīdzības izmaksas atklāta konkursa projekta partnera personālam, ja attiecīgās izmaksas ir tieši saistītas ar jauna produkta un tehnoloģijas ieviešanu ražošanā. </w:t>
            </w:r>
            <w:r w:rsidR="008C6E24" w:rsidRPr="0043636D">
              <w:rPr>
                <w:rFonts w:ascii="Times New Roman" w:hAnsi="Times New Roman" w:cs="Times New Roman"/>
                <w:sz w:val="24"/>
                <w:szCs w:val="24"/>
                <w:shd w:val="clear" w:color="auto" w:fill="FFFFFF"/>
              </w:rPr>
              <w:t>Lai nodrošināt</w:t>
            </w:r>
            <w:r w:rsidR="005A60CF">
              <w:rPr>
                <w:rFonts w:ascii="Times New Roman" w:hAnsi="Times New Roman" w:cs="Times New Roman"/>
                <w:sz w:val="24"/>
                <w:szCs w:val="24"/>
                <w:shd w:val="clear" w:color="auto" w:fill="FFFFFF"/>
              </w:rPr>
              <w:t>u</w:t>
            </w:r>
            <w:r w:rsidR="008C6E24" w:rsidRPr="0043636D">
              <w:rPr>
                <w:rFonts w:ascii="Times New Roman" w:hAnsi="Times New Roman" w:cs="Times New Roman"/>
                <w:sz w:val="24"/>
                <w:szCs w:val="24"/>
                <w:shd w:val="clear" w:color="auto" w:fill="FFFFFF"/>
              </w:rPr>
              <w:t xml:space="preserve"> </w:t>
            </w:r>
            <w:r w:rsidR="00060264" w:rsidRPr="0043636D">
              <w:rPr>
                <w:rFonts w:ascii="Times New Roman" w:hAnsi="Times New Roman" w:cs="Times New Roman"/>
                <w:sz w:val="24"/>
                <w:szCs w:val="24"/>
                <w:shd w:val="clear" w:color="auto" w:fill="FFFFFF"/>
              </w:rPr>
              <w:t>MK noteikumu Nr.</w:t>
            </w:r>
            <w:r w:rsidR="00010ED2" w:rsidRPr="0043636D">
              <w:rPr>
                <w:rFonts w:ascii="Times New Roman" w:hAnsi="Times New Roman" w:cs="Times New Roman"/>
                <w:sz w:val="24"/>
                <w:szCs w:val="24"/>
                <w:shd w:val="clear" w:color="auto" w:fill="FFFFFF"/>
              </w:rPr>
              <w:t xml:space="preserve"> </w:t>
            </w:r>
            <w:r w:rsidR="00060264" w:rsidRPr="0043636D">
              <w:rPr>
                <w:rFonts w:ascii="Times New Roman" w:hAnsi="Times New Roman" w:cs="Times New Roman"/>
                <w:sz w:val="24"/>
                <w:szCs w:val="24"/>
                <w:shd w:val="clear" w:color="auto" w:fill="FFFFFF"/>
              </w:rPr>
              <w:t>4 36.1.</w:t>
            </w:r>
            <w:r w:rsidR="00AF13A6" w:rsidRPr="0043636D">
              <w:rPr>
                <w:rFonts w:ascii="Times New Roman" w:hAnsi="Times New Roman" w:cs="Times New Roman"/>
                <w:sz w:val="24"/>
                <w:szCs w:val="24"/>
                <w:shd w:val="clear" w:color="auto" w:fill="FFFFFF"/>
              </w:rPr>
              <w:t xml:space="preserve"> </w:t>
            </w:r>
            <w:r w:rsidR="00060264" w:rsidRPr="0043636D">
              <w:rPr>
                <w:rFonts w:ascii="Times New Roman" w:hAnsi="Times New Roman" w:cs="Times New Roman"/>
                <w:sz w:val="24"/>
                <w:szCs w:val="24"/>
                <w:shd w:val="clear" w:color="auto" w:fill="FFFFFF"/>
              </w:rPr>
              <w:t xml:space="preserve">apakšpunkta skaidru izpratni, </w:t>
            </w:r>
            <w:r w:rsidR="00987CD0" w:rsidRPr="0043636D">
              <w:rPr>
                <w:rFonts w:ascii="Times New Roman" w:hAnsi="Times New Roman" w:cs="Times New Roman"/>
                <w:sz w:val="24"/>
                <w:szCs w:val="24"/>
                <w:shd w:val="clear" w:color="auto" w:fill="FFFFFF"/>
              </w:rPr>
              <w:t>Noteikumu projekt</w:t>
            </w:r>
            <w:r w:rsidR="00EE5F54" w:rsidRPr="0043636D">
              <w:rPr>
                <w:rFonts w:ascii="Times New Roman" w:hAnsi="Times New Roman" w:cs="Times New Roman"/>
                <w:sz w:val="24"/>
                <w:szCs w:val="24"/>
                <w:shd w:val="clear" w:color="auto" w:fill="FFFFFF"/>
              </w:rPr>
              <w:t>ā ir skaidrots, ka a</w:t>
            </w:r>
            <w:r w:rsidR="00D73F8B" w:rsidRPr="0043636D">
              <w:rPr>
                <w:rFonts w:ascii="Times New Roman" w:hAnsi="Times New Roman" w:cs="Times New Roman"/>
                <w:sz w:val="24"/>
                <w:szCs w:val="24"/>
                <w:shd w:val="clear" w:color="auto" w:fill="FFFFFF"/>
              </w:rPr>
              <w:t>tlīdzības izmaksas ietver</w:t>
            </w:r>
            <w:r w:rsidR="00EE5F54" w:rsidRPr="0043636D">
              <w:rPr>
                <w:rFonts w:ascii="Times New Roman" w:hAnsi="Times New Roman" w:cs="Times New Roman"/>
                <w:sz w:val="24"/>
                <w:szCs w:val="24"/>
                <w:shd w:val="clear" w:color="auto" w:fill="FFFFFF"/>
              </w:rPr>
              <w:t xml:space="preserve"> arī</w:t>
            </w:r>
            <w:r w:rsidR="00D73F8B" w:rsidRPr="0043636D">
              <w:rPr>
                <w:rFonts w:ascii="Times New Roman" w:hAnsi="Times New Roman" w:cs="Times New Roman"/>
                <w:sz w:val="24"/>
                <w:szCs w:val="24"/>
                <w:shd w:val="clear" w:color="auto" w:fill="FFFFFF"/>
              </w:rPr>
              <w:t xml:space="preserve"> </w:t>
            </w:r>
            <w:r w:rsidR="00D73F8B" w:rsidRPr="0043636D">
              <w:rPr>
                <w:rFonts w:ascii="Times New Roman" w:hAnsi="Times New Roman" w:cs="Times New Roman"/>
                <w:sz w:val="24"/>
                <w:szCs w:val="24"/>
              </w:rPr>
              <w:t>darba ņēmēja labā veicam</w:t>
            </w:r>
            <w:r w:rsidR="007F00A1" w:rsidRPr="0043636D">
              <w:rPr>
                <w:rFonts w:ascii="Times New Roman" w:hAnsi="Times New Roman" w:cs="Times New Roman"/>
                <w:sz w:val="24"/>
                <w:szCs w:val="24"/>
              </w:rPr>
              <w:t>os</w:t>
            </w:r>
            <w:r w:rsidR="00D73F8B" w:rsidRPr="0043636D">
              <w:rPr>
                <w:rFonts w:ascii="Times New Roman" w:hAnsi="Times New Roman" w:cs="Times New Roman"/>
                <w:sz w:val="24"/>
                <w:szCs w:val="24"/>
              </w:rPr>
              <w:t xml:space="preserve"> obligāt</w:t>
            </w:r>
            <w:r w:rsidR="007F00A1" w:rsidRPr="0043636D">
              <w:rPr>
                <w:rFonts w:ascii="Times New Roman" w:hAnsi="Times New Roman" w:cs="Times New Roman"/>
                <w:sz w:val="24"/>
                <w:szCs w:val="24"/>
              </w:rPr>
              <w:t>os</w:t>
            </w:r>
            <w:r w:rsidR="00D73F8B" w:rsidRPr="0043636D">
              <w:rPr>
                <w:rFonts w:ascii="Times New Roman" w:hAnsi="Times New Roman" w:cs="Times New Roman"/>
                <w:sz w:val="24"/>
                <w:szCs w:val="24"/>
              </w:rPr>
              <w:t xml:space="preserve"> maksājum</w:t>
            </w:r>
            <w:r w:rsidR="007F00A1" w:rsidRPr="0043636D">
              <w:rPr>
                <w:rFonts w:ascii="Times New Roman" w:hAnsi="Times New Roman" w:cs="Times New Roman"/>
                <w:sz w:val="24"/>
                <w:szCs w:val="24"/>
              </w:rPr>
              <w:t>us</w:t>
            </w:r>
            <w:r w:rsidR="00D73F8B" w:rsidRPr="0043636D">
              <w:rPr>
                <w:rFonts w:ascii="Times New Roman" w:hAnsi="Times New Roman" w:cs="Times New Roman"/>
                <w:sz w:val="24"/>
                <w:szCs w:val="24"/>
              </w:rPr>
              <w:t xml:space="preserve"> – darba devēja valsts sociālās apdrošināšanas obligātās iemaksas</w:t>
            </w:r>
            <w:r w:rsidR="00454787" w:rsidRPr="0043636D">
              <w:rPr>
                <w:rFonts w:ascii="Times New Roman" w:hAnsi="Times New Roman" w:cs="Times New Roman"/>
                <w:sz w:val="24"/>
                <w:szCs w:val="24"/>
              </w:rPr>
              <w:t>.</w:t>
            </w:r>
          </w:p>
          <w:p w14:paraId="1B678AF7" w14:textId="2C7EB7D3" w:rsidR="000B02F2" w:rsidRPr="0043636D" w:rsidRDefault="000B02F2" w:rsidP="004E3D63">
            <w:pPr>
              <w:spacing w:after="120" w:line="240" w:lineRule="auto"/>
              <w:jc w:val="both"/>
              <w:rPr>
                <w:rFonts w:ascii="Times New Roman" w:hAnsi="Times New Roman" w:cs="Times New Roman"/>
                <w:bCs/>
                <w:sz w:val="24"/>
                <w:szCs w:val="24"/>
              </w:rPr>
            </w:pPr>
            <w:r w:rsidRPr="0043636D">
              <w:rPr>
                <w:rFonts w:ascii="Times New Roman" w:hAnsi="Times New Roman" w:cs="Times New Roman"/>
                <w:sz w:val="24"/>
                <w:szCs w:val="24"/>
              </w:rPr>
              <w:t xml:space="preserve">Atbilstoši </w:t>
            </w:r>
            <w:r w:rsidR="00885281" w:rsidRPr="0043636D">
              <w:rPr>
                <w:rFonts w:ascii="Times New Roman" w:hAnsi="Times New Roman" w:cs="Times New Roman"/>
                <w:bCs/>
                <w:sz w:val="24"/>
                <w:szCs w:val="24"/>
              </w:rPr>
              <w:t>MK</w:t>
            </w:r>
            <w:r w:rsidRPr="0043636D">
              <w:rPr>
                <w:rFonts w:ascii="Times New Roman" w:hAnsi="Times New Roman" w:cs="Times New Roman"/>
                <w:bCs/>
                <w:sz w:val="24"/>
                <w:szCs w:val="24"/>
              </w:rPr>
              <w:t xml:space="preserve"> noteiku</w:t>
            </w:r>
            <w:r w:rsidR="004763B1" w:rsidRPr="0043636D">
              <w:rPr>
                <w:rFonts w:ascii="Times New Roman" w:hAnsi="Times New Roman" w:cs="Times New Roman"/>
                <w:bCs/>
                <w:sz w:val="24"/>
                <w:szCs w:val="24"/>
              </w:rPr>
              <w:t>mu</w:t>
            </w:r>
            <w:r w:rsidRPr="0043636D">
              <w:rPr>
                <w:rFonts w:ascii="Times New Roman" w:hAnsi="Times New Roman" w:cs="Times New Roman"/>
                <w:bCs/>
                <w:sz w:val="24"/>
                <w:szCs w:val="24"/>
              </w:rPr>
              <w:t xml:space="preserve"> Nr. 4</w:t>
            </w:r>
            <w:r w:rsidR="000D2207" w:rsidRPr="0043636D">
              <w:rPr>
                <w:rFonts w:ascii="Times New Roman" w:hAnsi="Times New Roman" w:cs="Times New Roman"/>
                <w:bCs/>
                <w:sz w:val="24"/>
                <w:szCs w:val="24"/>
              </w:rPr>
              <w:t xml:space="preserve"> 74.3.</w:t>
            </w:r>
            <w:r w:rsidR="00166BD8" w:rsidRPr="0043636D">
              <w:rPr>
                <w:rFonts w:ascii="Times New Roman" w:hAnsi="Times New Roman" w:cs="Times New Roman"/>
                <w:bCs/>
                <w:sz w:val="24"/>
                <w:szCs w:val="24"/>
              </w:rPr>
              <w:t xml:space="preserve"> </w:t>
            </w:r>
            <w:r w:rsidR="000D2207" w:rsidRPr="0043636D">
              <w:rPr>
                <w:rFonts w:ascii="Times New Roman" w:hAnsi="Times New Roman" w:cs="Times New Roman"/>
                <w:bCs/>
                <w:sz w:val="24"/>
                <w:szCs w:val="24"/>
              </w:rPr>
              <w:t>apakšpunktam</w:t>
            </w:r>
            <w:r w:rsidR="0043636D">
              <w:rPr>
                <w:rFonts w:ascii="Times New Roman" w:hAnsi="Times New Roman" w:cs="Times New Roman"/>
                <w:bCs/>
                <w:sz w:val="24"/>
                <w:szCs w:val="24"/>
              </w:rPr>
              <w:t>,</w:t>
            </w:r>
            <w:r w:rsidR="000D2207" w:rsidRPr="0043636D">
              <w:rPr>
                <w:rFonts w:ascii="Times New Roman" w:hAnsi="Times New Roman" w:cs="Times New Roman"/>
                <w:bCs/>
                <w:sz w:val="24"/>
                <w:szCs w:val="24"/>
              </w:rPr>
              <w:t xml:space="preserve"> avansa maksājumi ir paredzēti iepriekš noteiktā projekta līdzfinansējuma saņēmēja ārpakalpojumiem</w:t>
            </w:r>
            <w:r w:rsidR="007D3879" w:rsidRPr="0043636D">
              <w:rPr>
                <w:rFonts w:ascii="Times New Roman" w:hAnsi="Times New Roman" w:cs="Times New Roman"/>
                <w:bCs/>
                <w:sz w:val="24"/>
                <w:szCs w:val="24"/>
              </w:rPr>
              <w:t xml:space="preserve">. </w:t>
            </w:r>
            <w:r w:rsidR="003779A0" w:rsidRPr="0043636D">
              <w:rPr>
                <w:rFonts w:ascii="Times New Roman" w:hAnsi="Times New Roman" w:cs="Times New Roman"/>
                <w:bCs/>
                <w:sz w:val="24"/>
                <w:szCs w:val="24"/>
              </w:rPr>
              <w:t xml:space="preserve">Ņemot vērā, ka </w:t>
            </w:r>
            <w:r w:rsidR="00A93EFF" w:rsidRPr="0043636D">
              <w:rPr>
                <w:rFonts w:ascii="Times New Roman" w:hAnsi="Times New Roman" w:cs="Times New Roman"/>
                <w:bCs/>
                <w:sz w:val="24"/>
                <w:szCs w:val="24"/>
              </w:rPr>
              <w:t>iepriekš noteiktā projekta partneri</w:t>
            </w:r>
            <w:r w:rsidR="0043636D">
              <w:rPr>
                <w:rFonts w:ascii="Times New Roman" w:hAnsi="Times New Roman" w:cs="Times New Roman"/>
                <w:bCs/>
                <w:sz w:val="24"/>
                <w:szCs w:val="24"/>
              </w:rPr>
              <w:t>,</w:t>
            </w:r>
            <w:r w:rsidR="0056074B" w:rsidRPr="0043636D">
              <w:rPr>
                <w:rFonts w:ascii="Times New Roman" w:hAnsi="Times New Roman" w:cs="Times New Roman"/>
                <w:bCs/>
                <w:sz w:val="24"/>
                <w:szCs w:val="24"/>
              </w:rPr>
              <w:t xml:space="preserve"> </w:t>
            </w:r>
            <w:r w:rsidR="00A93EFF" w:rsidRPr="0043636D">
              <w:rPr>
                <w:rFonts w:ascii="Times New Roman" w:hAnsi="Times New Roman" w:cs="Times New Roman"/>
                <w:bCs/>
                <w:sz w:val="24"/>
                <w:szCs w:val="24"/>
              </w:rPr>
              <w:t>atbilstoši MK noteikumu Nr. 4 73. punktā norādītajam</w:t>
            </w:r>
            <w:r w:rsidR="0043636D">
              <w:rPr>
                <w:rFonts w:ascii="Times New Roman" w:hAnsi="Times New Roman" w:cs="Times New Roman"/>
                <w:bCs/>
                <w:sz w:val="24"/>
                <w:szCs w:val="24"/>
              </w:rPr>
              <w:t>,</w:t>
            </w:r>
            <w:r w:rsidR="00A93EFF" w:rsidRPr="0043636D">
              <w:rPr>
                <w:rFonts w:ascii="Times New Roman" w:hAnsi="Times New Roman" w:cs="Times New Roman"/>
                <w:bCs/>
                <w:sz w:val="24"/>
                <w:szCs w:val="24"/>
              </w:rPr>
              <w:t xml:space="preserve"> īstenos 72.3. un 72.4. apakšpunktā norādītās atbalstāmās darbības – apmācību un pieredzes apmaiņas pasākumu organizēšanu Latvijā un ārvalstīs gala labuma guvējiem un jaunu produktu vai pakalpojumu prototipu izstrādi gala labuma guvējiem, tad </w:t>
            </w:r>
            <w:r w:rsidR="00DE6CC4" w:rsidRPr="0043636D">
              <w:rPr>
                <w:rFonts w:ascii="Times New Roman" w:hAnsi="Times New Roman" w:cs="Times New Roman"/>
                <w:bCs/>
                <w:sz w:val="24"/>
                <w:szCs w:val="24"/>
              </w:rPr>
              <w:t>a</w:t>
            </w:r>
            <w:r w:rsidR="004E3D63" w:rsidRPr="0043636D">
              <w:rPr>
                <w:rFonts w:ascii="Times New Roman" w:hAnsi="Times New Roman" w:cs="Times New Roman"/>
                <w:bCs/>
                <w:sz w:val="24"/>
                <w:szCs w:val="24"/>
              </w:rPr>
              <w:t>r nolūku</w:t>
            </w:r>
            <w:r w:rsidR="005B5761" w:rsidRPr="0043636D">
              <w:rPr>
                <w:rFonts w:ascii="Times New Roman" w:hAnsi="Times New Roman" w:cs="Times New Roman"/>
                <w:bCs/>
                <w:sz w:val="24"/>
                <w:szCs w:val="24"/>
              </w:rPr>
              <w:t xml:space="preserve"> </w:t>
            </w:r>
            <w:r w:rsidR="00593893" w:rsidRPr="0043636D">
              <w:rPr>
                <w:rFonts w:ascii="Times New Roman" w:hAnsi="Times New Roman" w:cs="Times New Roman"/>
                <w:bCs/>
                <w:sz w:val="24"/>
                <w:szCs w:val="24"/>
              </w:rPr>
              <w:t xml:space="preserve">uzsākt </w:t>
            </w:r>
            <w:r w:rsidR="008F169B" w:rsidRPr="0043636D">
              <w:rPr>
                <w:rFonts w:ascii="Times New Roman" w:hAnsi="Times New Roman" w:cs="Times New Roman"/>
                <w:bCs/>
                <w:sz w:val="24"/>
                <w:szCs w:val="24"/>
              </w:rPr>
              <w:t xml:space="preserve">apmācību nodrošināšanu un prototipu izstrādi gala labuma guvējiem un </w:t>
            </w:r>
            <w:r w:rsidR="005B5761" w:rsidRPr="0043636D">
              <w:rPr>
                <w:rFonts w:ascii="Times New Roman" w:hAnsi="Times New Roman" w:cs="Times New Roman"/>
                <w:bCs/>
                <w:sz w:val="24"/>
                <w:szCs w:val="24"/>
              </w:rPr>
              <w:t xml:space="preserve">veicināt </w:t>
            </w:r>
            <w:r w:rsidR="00B91BA4" w:rsidRPr="0043636D">
              <w:rPr>
                <w:rFonts w:ascii="Times New Roman" w:hAnsi="Times New Roman" w:cs="Times New Roman"/>
                <w:bCs/>
                <w:sz w:val="24"/>
                <w:szCs w:val="24"/>
              </w:rPr>
              <w:t xml:space="preserve">iepriekš noteiktā projekta </w:t>
            </w:r>
            <w:r w:rsidR="005B5761" w:rsidRPr="0043636D">
              <w:rPr>
                <w:rFonts w:ascii="Times New Roman" w:hAnsi="Times New Roman" w:cs="Times New Roman"/>
                <w:bCs/>
                <w:sz w:val="24"/>
                <w:szCs w:val="24"/>
              </w:rPr>
              <w:t xml:space="preserve">finanšu </w:t>
            </w:r>
            <w:r w:rsidR="00B91BA4" w:rsidRPr="0043636D">
              <w:rPr>
                <w:rFonts w:ascii="Times New Roman" w:hAnsi="Times New Roman" w:cs="Times New Roman"/>
                <w:bCs/>
                <w:sz w:val="24"/>
                <w:szCs w:val="24"/>
              </w:rPr>
              <w:t>plūsmu</w:t>
            </w:r>
            <w:r w:rsidR="005B5761" w:rsidRPr="0043636D">
              <w:rPr>
                <w:rFonts w:ascii="Times New Roman" w:hAnsi="Times New Roman" w:cs="Times New Roman"/>
                <w:bCs/>
                <w:sz w:val="24"/>
                <w:szCs w:val="24"/>
              </w:rPr>
              <w:t xml:space="preserve">, </w:t>
            </w:r>
            <w:r w:rsidR="006A6535" w:rsidRPr="0043636D">
              <w:rPr>
                <w:rFonts w:ascii="Times New Roman" w:hAnsi="Times New Roman" w:cs="Times New Roman"/>
                <w:bCs/>
                <w:sz w:val="24"/>
                <w:szCs w:val="24"/>
              </w:rPr>
              <w:t xml:space="preserve">iepriekš noteiktā projekta līdzfinansējuma saņēmējs </w:t>
            </w:r>
            <w:r w:rsidR="00AE55F9" w:rsidRPr="0043636D">
              <w:rPr>
                <w:rFonts w:ascii="Times New Roman" w:hAnsi="Times New Roman" w:cs="Times New Roman"/>
                <w:bCs/>
                <w:sz w:val="24"/>
                <w:szCs w:val="24"/>
              </w:rPr>
              <w:t xml:space="preserve">var </w:t>
            </w:r>
            <w:r w:rsidR="00227E87" w:rsidRPr="0043636D">
              <w:rPr>
                <w:rFonts w:ascii="Times New Roman" w:hAnsi="Times New Roman" w:cs="Times New Roman"/>
                <w:bCs/>
                <w:sz w:val="24"/>
                <w:szCs w:val="24"/>
              </w:rPr>
              <w:t xml:space="preserve">veikt </w:t>
            </w:r>
            <w:r w:rsidR="005B5761" w:rsidRPr="0043636D">
              <w:rPr>
                <w:rFonts w:ascii="Times New Roman" w:hAnsi="Times New Roman" w:cs="Times New Roman"/>
                <w:bCs/>
                <w:sz w:val="24"/>
                <w:szCs w:val="24"/>
              </w:rPr>
              <w:t xml:space="preserve">avansa </w:t>
            </w:r>
            <w:r w:rsidR="00DE6CC4" w:rsidRPr="0043636D">
              <w:rPr>
                <w:rFonts w:ascii="Times New Roman" w:hAnsi="Times New Roman" w:cs="Times New Roman"/>
                <w:bCs/>
                <w:sz w:val="24"/>
                <w:szCs w:val="24"/>
              </w:rPr>
              <w:t>maksājum</w:t>
            </w:r>
            <w:r w:rsidR="00BB0060" w:rsidRPr="0043636D">
              <w:rPr>
                <w:rFonts w:ascii="Times New Roman" w:hAnsi="Times New Roman" w:cs="Times New Roman"/>
                <w:bCs/>
                <w:sz w:val="24"/>
                <w:szCs w:val="24"/>
              </w:rPr>
              <w:t>us</w:t>
            </w:r>
            <w:r w:rsidR="008038A1" w:rsidRPr="0043636D">
              <w:rPr>
                <w:rFonts w:ascii="Times New Roman" w:hAnsi="Times New Roman" w:cs="Times New Roman"/>
                <w:bCs/>
                <w:sz w:val="24"/>
                <w:szCs w:val="24"/>
              </w:rPr>
              <w:t xml:space="preserve"> līdz 50</w:t>
            </w:r>
            <w:r w:rsidR="0043636D">
              <w:rPr>
                <w:rFonts w:ascii="Times New Roman" w:hAnsi="Times New Roman" w:cs="Times New Roman"/>
                <w:bCs/>
                <w:sz w:val="24"/>
                <w:szCs w:val="24"/>
              </w:rPr>
              <w:t xml:space="preserve"> </w:t>
            </w:r>
            <w:r w:rsidR="008038A1" w:rsidRPr="0043636D">
              <w:rPr>
                <w:rFonts w:ascii="Times New Roman" w:hAnsi="Times New Roman" w:cs="Times New Roman"/>
                <w:bCs/>
                <w:sz w:val="24"/>
                <w:szCs w:val="24"/>
              </w:rPr>
              <w:t xml:space="preserve">% apmērā </w:t>
            </w:r>
            <w:r w:rsidR="005B5761" w:rsidRPr="0043636D">
              <w:rPr>
                <w:rFonts w:ascii="Times New Roman" w:hAnsi="Times New Roman" w:cs="Times New Roman"/>
                <w:bCs/>
                <w:sz w:val="24"/>
                <w:szCs w:val="24"/>
              </w:rPr>
              <w:t xml:space="preserve">arī iepriekš </w:t>
            </w:r>
            <w:r w:rsidR="005B5761" w:rsidRPr="0043636D">
              <w:rPr>
                <w:rFonts w:ascii="Times New Roman" w:hAnsi="Times New Roman" w:cs="Times New Roman"/>
                <w:bCs/>
                <w:sz w:val="24"/>
                <w:szCs w:val="24"/>
              </w:rPr>
              <w:lastRenderedPageBreak/>
              <w:t>noteiktā projekta partneriem</w:t>
            </w:r>
            <w:r w:rsidR="00C10C3C" w:rsidRPr="0043636D">
              <w:rPr>
                <w:rFonts w:ascii="Times New Roman" w:hAnsi="Times New Roman" w:cs="Times New Roman"/>
                <w:bCs/>
                <w:sz w:val="24"/>
                <w:szCs w:val="24"/>
              </w:rPr>
              <w:t>, kas norādīti MK noteikumu Nr. 4</w:t>
            </w:r>
            <w:r w:rsidR="00202A07" w:rsidRPr="0043636D">
              <w:rPr>
                <w:rFonts w:ascii="Times New Roman" w:hAnsi="Times New Roman" w:cs="Times New Roman"/>
                <w:bCs/>
                <w:sz w:val="24"/>
                <w:szCs w:val="24"/>
              </w:rPr>
              <w:t xml:space="preserve"> 71.</w:t>
            </w:r>
            <w:r w:rsidR="00010ED2" w:rsidRPr="0043636D">
              <w:rPr>
                <w:rFonts w:ascii="Times New Roman" w:hAnsi="Times New Roman" w:cs="Times New Roman"/>
                <w:bCs/>
                <w:sz w:val="24"/>
                <w:szCs w:val="24"/>
              </w:rPr>
              <w:t xml:space="preserve"> </w:t>
            </w:r>
            <w:r w:rsidR="00202A07" w:rsidRPr="0043636D">
              <w:rPr>
                <w:rFonts w:ascii="Times New Roman" w:hAnsi="Times New Roman" w:cs="Times New Roman"/>
                <w:bCs/>
                <w:sz w:val="24"/>
                <w:szCs w:val="24"/>
              </w:rPr>
              <w:t>punktā.</w:t>
            </w:r>
          </w:p>
          <w:p w14:paraId="0A90D562" w14:textId="77371A0B" w:rsidR="00952AD0" w:rsidRPr="0043636D" w:rsidRDefault="00C73C6F" w:rsidP="004E3D63">
            <w:pPr>
              <w:spacing w:after="120" w:line="240" w:lineRule="auto"/>
              <w:jc w:val="both"/>
              <w:rPr>
                <w:rFonts w:ascii="Times New Roman" w:hAnsi="Times New Roman" w:cs="Times New Roman"/>
                <w:bCs/>
                <w:sz w:val="24"/>
                <w:szCs w:val="24"/>
              </w:rPr>
            </w:pPr>
            <w:r w:rsidRPr="0043636D">
              <w:rPr>
                <w:rFonts w:ascii="Times New Roman" w:hAnsi="Times New Roman" w:cs="Times New Roman"/>
                <w:bCs/>
                <w:sz w:val="24"/>
                <w:szCs w:val="24"/>
              </w:rPr>
              <w:t>Ņemot vērā, ka gala labuma guvēju apmācības</w:t>
            </w:r>
            <w:r w:rsidR="00086F53" w:rsidRPr="0043636D">
              <w:rPr>
                <w:rFonts w:ascii="Times New Roman" w:hAnsi="Times New Roman" w:cs="Times New Roman"/>
                <w:bCs/>
                <w:sz w:val="24"/>
                <w:szCs w:val="24"/>
              </w:rPr>
              <w:t xml:space="preserve"> </w:t>
            </w:r>
            <w:r w:rsidR="0026438D" w:rsidRPr="0043636D">
              <w:rPr>
                <w:rFonts w:ascii="Times New Roman" w:hAnsi="Times New Roman" w:cs="Times New Roman"/>
                <w:bCs/>
                <w:sz w:val="24"/>
                <w:szCs w:val="24"/>
              </w:rPr>
              <w:t>I</w:t>
            </w:r>
            <w:r w:rsidR="00086F53" w:rsidRPr="0043636D">
              <w:rPr>
                <w:rFonts w:ascii="Times New Roman" w:hAnsi="Times New Roman" w:cs="Times New Roman"/>
                <w:bCs/>
                <w:sz w:val="24"/>
                <w:szCs w:val="24"/>
              </w:rPr>
              <w:t>novāciju akadēmijā</w:t>
            </w:r>
            <w:r w:rsidRPr="0043636D">
              <w:rPr>
                <w:rFonts w:ascii="Times New Roman" w:hAnsi="Times New Roman" w:cs="Times New Roman"/>
                <w:bCs/>
                <w:sz w:val="24"/>
                <w:szCs w:val="24"/>
              </w:rPr>
              <w:t xml:space="preserve"> </w:t>
            </w:r>
            <w:r w:rsidR="0026438D" w:rsidRPr="0043636D">
              <w:rPr>
                <w:rFonts w:ascii="Times New Roman" w:hAnsi="Times New Roman" w:cs="Times New Roman"/>
                <w:bCs/>
                <w:sz w:val="24"/>
                <w:szCs w:val="24"/>
              </w:rPr>
              <w:t xml:space="preserve">paredzētas </w:t>
            </w:r>
            <w:r w:rsidR="00D9376A" w:rsidRPr="0043636D">
              <w:rPr>
                <w:rFonts w:ascii="Times New Roman" w:hAnsi="Times New Roman" w:cs="Times New Roman"/>
                <w:bCs/>
                <w:sz w:val="24"/>
                <w:szCs w:val="24"/>
              </w:rPr>
              <w:t>vairākos</w:t>
            </w:r>
            <w:r w:rsidR="0026438D" w:rsidRPr="0043636D">
              <w:rPr>
                <w:rFonts w:ascii="Times New Roman" w:hAnsi="Times New Roman" w:cs="Times New Roman"/>
                <w:bCs/>
                <w:sz w:val="24"/>
                <w:szCs w:val="24"/>
              </w:rPr>
              <w:t xml:space="preserve"> uzsaukum</w:t>
            </w:r>
            <w:r w:rsidR="00CD3D8A" w:rsidRPr="0043636D">
              <w:rPr>
                <w:rFonts w:ascii="Times New Roman" w:hAnsi="Times New Roman" w:cs="Times New Roman"/>
                <w:bCs/>
                <w:sz w:val="24"/>
                <w:szCs w:val="24"/>
              </w:rPr>
              <w:t>o</w:t>
            </w:r>
            <w:r w:rsidR="0026438D" w:rsidRPr="0043636D">
              <w:rPr>
                <w:rFonts w:ascii="Times New Roman" w:hAnsi="Times New Roman" w:cs="Times New Roman"/>
                <w:bCs/>
                <w:sz w:val="24"/>
                <w:szCs w:val="24"/>
              </w:rPr>
              <w:t>s</w:t>
            </w:r>
            <w:r w:rsidR="00B60C99" w:rsidRPr="0043636D">
              <w:rPr>
                <w:rFonts w:ascii="Times New Roman" w:hAnsi="Times New Roman" w:cs="Times New Roman"/>
                <w:bCs/>
                <w:sz w:val="24"/>
                <w:szCs w:val="24"/>
              </w:rPr>
              <w:t>, tad a</w:t>
            </w:r>
            <w:r w:rsidR="00952AD0" w:rsidRPr="0043636D">
              <w:rPr>
                <w:rFonts w:ascii="Times New Roman" w:hAnsi="Times New Roman" w:cs="Times New Roman"/>
                <w:bCs/>
                <w:sz w:val="24"/>
                <w:szCs w:val="24"/>
              </w:rPr>
              <w:t>vansa maksājumi par MK noteikumu Nr. 4 72.3.</w:t>
            </w:r>
            <w:r w:rsidR="00E042BE" w:rsidRPr="0043636D">
              <w:rPr>
                <w:rFonts w:ascii="Times New Roman" w:hAnsi="Times New Roman" w:cs="Times New Roman"/>
                <w:bCs/>
                <w:sz w:val="24"/>
                <w:szCs w:val="24"/>
              </w:rPr>
              <w:t xml:space="preserve"> </w:t>
            </w:r>
            <w:r w:rsidR="00952AD0" w:rsidRPr="0043636D">
              <w:rPr>
                <w:rFonts w:ascii="Times New Roman" w:hAnsi="Times New Roman" w:cs="Times New Roman"/>
                <w:bCs/>
                <w:sz w:val="24"/>
                <w:szCs w:val="24"/>
              </w:rPr>
              <w:t xml:space="preserve">apakšpunktā </w:t>
            </w:r>
            <w:r w:rsidR="008B1A8A" w:rsidRPr="0043636D">
              <w:rPr>
                <w:rFonts w:ascii="Times New Roman" w:hAnsi="Times New Roman" w:cs="Times New Roman"/>
                <w:bCs/>
                <w:sz w:val="24"/>
                <w:szCs w:val="24"/>
              </w:rPr>
              <w:t>norādītajām darbībām</w:t>
            </w:r>
            <w:r w:rsidR="002B6151" w:rsidRPr="0043636D">
              <w:rPr>
                <w:rFonts w:ascii="Times New Roman" w:hAnsi="Times New Roman" w:cs="Times New Roman"/>
                <w:bCs/>
                <w:sz w:val="24"/>
                <w:szCs w:val="24"/>
              </w:rPr>
              <w:t xml:space="preserve"> var tikt veikti</w:t>
            </w:r>
            <w:r w:rsidR="005771E5" w:rsidRPr="0043636D">
              <w:rPr>
                <w:rFonts w:ascii="Times New Roman" w:hAnsi="Times New Roman" w:cs="Times New Roman"/>
                <w:bCs/>
                <w:sz w:val="24"/>
                <w:szCs w:val="24"/>
              </w:rPr>
              <w:t xml:space="preserve">, kad </w:t>
            </w:r>
            <w:r w:rsidRPr="0043636D">
              <w:rPr>
                <w:rFonts w:ascii="Times New Roman" w:hAnsi="Times New Roman" w:cs="Times New Roman"/>
                <w:bCs/>
                <w:sz w:val="24"/>
                <w:szCs w:val="24"/>
              </w:rPr>
              <w:t>T</w:t>
            </w:r>
            <w:r w:rsidR="005771E5" w:rsidRPr="0043636D">
              <w:rPr>
                <w:rFonts w:ascii="Times New Roman" w:hAnsi="Times New Roman" w:cs="Times New Roman"/>
                <w:bCs/>
                <w:sz w:val="24"/>
                <w:szCs w:val="24"/>
              </w:rPr>
              <w:t xml:space="preserve">ehnoloģiju biznesa centrs </w:t>
            </w:r>
            <w:r w:rsidR="00157B88" w:rsidRPr="0043636D">
              <w:rPr>
                <w:rFonts w:ascii="Times New Roman" w:hAnsi="Times New Roman" w:cs="Times New Roman"/>
                <w:bCs/>
                <w:sz w:val="24"/>
                <w:szCs w:val="24"/>
              </w:rPr>
              <w:t xml:space="preserve">būs </w:t>
            </w:r>
            <w:r w:rsidR="005771E5" w:rsidRPr="0043636D">
              <w:rPr>
                <w:rFonts w:ascii="Times New Roman" w:hAnsi="Times New Roman" w:cs="Times New Roman"/>
                <w:bCs/>
                <w:sz w:val="24"/>
                <w:szCs w:val="24"/>
              </w:rPr>
              <w:t>pieņ</w:t>
            </w:r>
            <w:r w:rsidR="00157B88" w:rsidRPr="0043636D">
              <w:rPr>
                <w:rFonts w:ascii="Times New Roman" w:hAnsi="Times New Roman" w:cs="Times New Roman"/>
                <w:bCs/>
                <w:sz w:val="24"/>
                <w:szCs w:val="24"/>
              </w:rPr>
              <w:t>ēmis</w:t>
            </w:r>
            <w:r w:rsidR="005771E5" w:rsidRPr="0043636D">
              <w:rPr>
                <w:rFonts w:ascii="Times New Roman" w:hAnsi="Times New Roman" w:cs="Times New Roman"/>
                <w:bCs/>
                <w:sz w:val="24"/>
                <w:szCs w:val="24"/>
              </w:rPr>
              <w:t xml:space="preserve"> </w:t>
            </w:r>
            <w:r w:rsidR="00E16150" w:rsidRPr="0043636D">
              <w:rPr>
                <w:rFonts w:ascii="Times New Roman" w:hAnsi="Times New Roman" w:cs="Times New Roman"/>
                <w:bCs/>
                <w:sz w:val="24"/>
                <w:szCs w:val="24"/>
              </w:rPr>
              <w:t>lēmumus par gala labuma guvēju apstiprināšanu</w:t>
            </w:r>
            <w:r w:rsidRPr="0043636D">
              <w:rPr>
                <w:rFonts w:ascii="Times New Roman" w:hAnsi="Times New Roman" w:cs="Times New Roman"/>
                <w:bCs/>
                <w:sz w:val="24"/>
                <w:szCs w:val="24"/>
              </w:rPr>
              <w:t xml:space="preserve"> </w:t>
            </w:r>
            <w:r w:rsidR="00157B88" w:rsidRPr="0043636D">
              <w:rPr>
                <w:rFonts w:ascii="Times New Roman" w:hAnsi="Times New Roman" w:cs="Times New Roman"/>
                <w:bCs/>
                <w:sz w:val="24"/>
                <w:szCs w:val="24"/>
              </w:rPr>
              <w:t>Inovāciju akadēmija</w:t>
            </w:r>
            <w:r w:rsidR="00534FB1" w:rsidRPr="0043636D">
              <w:rPr>
                <w:rFonts w:ascii="Times New Roman" w:hAnsi="Times New Roman" w:cs="Times New Roman"/>
                <w:bCs/>
                <w:sz w:val="24"/>
                <w:szCs w:val="24"/>
              </w:rPr>
              <w:t>s konkrētajam uzsaukumam</w:t>
            </w:r>
            <w:r w:rsidR="00157B88" w:rsidRPr="0043636D">
              <w:rPr>
                <w:rFonts w:ascii="Times New Roman" w:hAnsi="Times New Roman" w:cs="Times New Roman"/>
                <w:bCs/>
                <w:sz w:val="24"/>
                <w:szCs w:val="24"/>
              </w:rPr>
              <w:t xml:space="preserve">, kuru nodrošinās Rīgas </w:t>
            </w:r>
            <w:r w:rsidR="00576ED1" w:rsidRPr="0043636D">
              <w:rPr>
                <w:rFonts w:ascii="Times New Roman" w:hAnsi="Times New Roman" w:cs="Times New Roman"/>
                <w:bCs/>
                <w:sz w:val="24"/>
                <w:szCs w:val="24"/>
              </w:rPr>
              <w:t>T</w:t>
            </w:r>
            <w:r w:rsidR="00157B88" w:rsidRPr="0043636D">
              <w:rPr>
                <w:rFonts w:ascii="Times New Roman" w:hAnsi="Times New Roman" w:cs="Times New Roman"/>
                <w:bCs/>
                <w:sz w:val="24"/>
                <w:szCs w:val="24"/>
              </w:rPr>
              <w:t xml:space="preserve">ehniskās universitātes </w:t>
            </w:r>
            <w:r w:rsidR="00576ED1" w:rsidRPr="0043636D">
              <w:rPr>
                <w:rFonts w:ascii="Times New Roman" w:hAnsi="Times New Roman" w:cs="Times New Roman"/>
                <w:bCs/>
                <w:sz w:val="24"/>
                <w:szCs w:val="24"/>
              </w:rPr>
              <w:t>R</w:t>
            </w:r>
            <w:r w:rsidR="00E30413" w:rsidRPr="0043636D">
              <w:rPr>
                <w:rFonts w:ascii="Times New Roman" w:hAnsi="Times New Roman" w:cs="Times New Roman"/>
                <w:bCs/>
                <w:sz w:val="24"/>
                <w:szCs w:val="24"/>
              </w:rPr>
              <w:t xml:space="preserve">īgas </w:t>
            </w:r>
            <w:r w:rsidR="00F359B3" w:rsidRPr="0043636D">
              <w:rPr>
                <w:rFonts w:ascii="Times New Roman" w:hAnsi="Times New Roman" w:cs="Times New Roman"/>
                <w:bCs/>
                <w:sz w:val="24"/>
                <w:szCs w:val="24"/>
              </w:rPr>
              <w:t>B</w:t>
            </w:r>
            <w:r w:rsidR="00E30413" w:rsidRPr="0043636D">
              <w:rPr>
                <w:rFonts w:ascii="Times New Roman" w:hAnsi="Times New Roman" w:cs="Times New Roman"/>
                <w:bCs/>
                <w:sz w:val="24"/>
                <w:szCs w:val="24"/>
              </w:rPr>
              <w:t>iznesa skola</w:t>
            </w:r>
            <w:r w:rsidR="00F359B3" w:rsidRPr="0043636D">
              <w:rPr>
                <w:rFonts w:ascii="Times New Roman" w:hAnsi="Times New Roman" w:cs="Times New Roman"/>
                <w:bCs/>
                <w:sz w:val="24"/>
                <w:szCs w:val="24"/>
              </w:rPr>
              <w:t>, kā arī būs saņemts avansa rēķins no Rīgas Tehniskās universitātes</w:t>
            </w:r>
            <w:r w:rsidR="00FE77C0" w:rsidRPr="0043636D">
              <w:rPr>
                <w:rFonts w:ascii="Times New Roman" w:hAnsi="Times New Roman" w:cs="Times New Roman"/>
                <w:bCs/>
                <w:sz w:val="24"/>
                <w:szCs w:val="24"/>
              </w:rPr>
              <w:t xml:space="preserve"> </w:t>
            </w:r>
            <w:r w:rsidR="00F359B3" w:rsidRPr="0043636D">
              <w:rPr>
                <w:rFonts w:ascii="Times New Roman" w:hAnsi="Times New Roman" w:cs="Times New Roman"/>
                <w:bCs/>
                <w:sz w:val="24"/>
                <w:szCs w:val="24"/>
              </w:rPr>
              <w:t>par</w:t>
            </w:r>
            <w:r w:rsidR="004B6B98" w:rsidRPr="0043636D">
              <w:rPr>
                <w:rFonts w:ascii="Times New Roman" w:hAnsi="Times New Roman" w:cs="Times New Roman"/>
                <w:bCs/>
                <w:sz w:val="24"/>
                <w:szCs w:val="24"/>
              </w:rPr>
              <w:t xml:space="preserve"> kārtējā Inovāciju akadēmijas uzsaukuma nodrošināšanu/</w:t>
            </w:r>
            <w:r w:rsidR="0043636D">
              <w:rPr>
                <w:rFonts w:ascii="Times New Roman" w:hAnsi="Times New Roman" w:cs="Times New Roman"/>
                <w:bCs/>
                <w:sz w:val="24"/>
                <w:szCs w:val="24"/>
              </w:rPr>
              <w:t xml:space="preserve"> </w:t>
            </w:r>
            <w:r w:rsidR="004B6B98" w:rsidRPr="0043636D">
              <w:rPr>
                <w:rFonts w:ascii="Times New Roman" w:hAnsi="Times New Roman" w:cs="Times New Roman"/>
                <w:bCs/>
                <w:sz w:val="24"/>
                <w:szCs w:val="24"/>
              </w:rPr>
              <w:t>īstenošanu</w:t>
            </w:r>
            <w:r w:rsidR="000D6D1F" w:rsidRPr="0043636D">
              <w:rPr>
                <w:rFonts w:ascii="Times New Roman" w:hAnsi="Times New Roman" w:cs="Times New Roman"/>
                <w:bCs/>
                <w:sz w:val="24"/>
                <w:szCs w:val="24"/>
              </w:rPr>
              <w:t>.</w:t>
            </w:r>
          </w:p>
          <w:p w14:paraId="7E7510D8" w14:textId="753B115B" w:rsidR="00373DB4" w:rsidRPr="0043636D" w:rsidRDefault="00567A57" w:rsidP="00373DB4">
            <w:pPr>
              <w:spacing w:after="120" w:line="240" w:lineRule="auto"/>
              <w:jc w:val="both"/>
              <w:rPr>
                <w:rFonts w:ascii="Times New Roman" w:hAnsi="Times New Roman" w:cs="Times New Roman"/>
                <w:bCs/>
                <w:sz w:val="24"/>
                <w:szCs w:val="24"/>
              </w:rPr>
            </w:pPr>
            <w:r w:rsidRPr="0043636D">
              <w:rPr>
                <w:rFonts w:ascii="Times New Roman" w:hAnsi="Times New Roman" w:cs="Times New Roman"/>
                <w:bCs/>
                <w:sz w:val="24"/>
                <w:szCs w:val="24"/>
              </w:rPr>
              <w:t>Tehnoloģiju biznesa centr</w:t>
            </w:r>
            <w:r w:rsidR="00AC7FA2" w:rsidRPr="0043636D">
              <w:rPr>
                <w:rFonts w:ascii="Times New Roman" w:hAnsi="Times New Roman" w:cs="Times New Roman"/>
                <w:bCs/>
                <w:sz w:val="24"/>
                <w:szCs w:val="24"/>
              </w:rPr>
              <w:t>s kā</w:t>
            </w:r>
            <w:r w:rsidRPr="0043636D">
              <w:rPr>
                <w:rFonts w:ascii="Times New Roman" w:hAnsi="Times New Roman" w:cs="Times New Roman"/>
                <w:bCs/>
                <w:sz w:val="24"/>
                <w:szCs w:val="24"/>
              </w:rPr>
              <w:t xml:space="preserve"> līdzfinansējuma saņēmējs </w:t>
            </w:r>
            <w:r w:rsidR="0043636D">
              <w:rPr>
                <w:rFonts w:ascii="Times New Roman" w:hAnsi="Times New Roman" w:cs="Times New Roman"/>
                <w:bCs/>
                <w:sz w:val="24"/>
                <w:szCs w:val="24"/>
              </w:rPr>
              <w:t>cita starpā pieņems</w:t>
            </w:r>
            <w:r w:rsidRPr="0043636D">
              <w:rPr>
                <w:rFonts w:ascii="Times New Roman" w:hAnsi="Times New Roman" w:cs="Times New Roman"/>
                <w:bCs/>
                <w:sz w:val="24"/>
                <w:szCs w:val="24"/>
              </w:rPr>
              <w:t xml:space="preserve"> lēmumus par gala labuma guvēju apstiprināšanu MK noteikumu Nr. 4 72.4. apakšpunktā norādītajai atbalstāmajai darbībai </w:t>
            </w:r>
            <w:r w:rsidR="0043636D">
              <w:rPr>
                <w:rFonts w:ascii="Times New Roman" w:hAnsi="Times New Roman" w:cs="Times New Roman"/>
                <w:bCs/>
                <w:sz w:val="24"/>
                <w:szCs w:val="24"/>
              </w:rPr>
              <w:t>–</w:t>
            </w:r>
            <w:r w:rsidR="002A34C9" w:rsidRPr="0043636D">
              <w:rPr>
                <w:rFonts w:ascii="Times New Roman" w:hAnsi="Times New Roman" w:cs="Times New Roman"/>
                <w:bCs/>
                <w:sz w:val="24"/>
                <w:szCs w:val="24"/>
              </w:rPr>
              <w:t xml:space="preserve"> </w:t>
            </w:r>
            <w:r w:rsidR="00BA3E61" w:rsidRPr="0043636D">
              <w:rPr>
                <w:rFonts w:ascii="Times New Roman" w:hAnsi="Times New Roman" w:cs="Times New Roman"/>
                <w:bCs/>
                <w:sz w:val="24"/>
                <w:szCs w:val="24"/>
              </w:rPr>
              <w:t>jaunu produktu vai pakalpojumu prototipu izstrādes nodrošināšana gala labuma guvējiem</w:t>
            </w:r>
            <w:r w:rsidR="0000109A" w:rsidRPr="0043636D">
              <w:rPr>
                <w:rFonts w:ascii="Times New Roman" w:hAnsi="Times New Roman" w:cs="Times New Roman"/>
                <w:bCs/>
                <w:sz w:val="24"/>
                <w:szCs w:val="24"/>
              </w:rPr>
              <w:t xml:space="preserve">. Pēc </w:t>
            </w:r>
            <w:r w:rsidR="00F9283A" w:rsidRPr="0043636D">
              <w:rPr>
                <w:rFonts w:ascii="Times New Roman" w:hAnsi="Times New Roman" w:cs="Times New Roman"/>
                <w:bCs/>
                <w:sz w:val="24"/>
                <w:szCs w:val="24"/>
              </w:rPr>
              <w:t xml:space="preserve">pozitīva </w:t>
            </w:r>
            <w:r w:rsidR="005A036C" w:rsidRPr="0043636D">
              <w:rPr>
                <w:rFonts w:ascii="Times New Roman" w:hAnsi="Times New Roman" w:cs="Times New Roman"/>
                <w:bCs/>
                <w:sz w:val="24"/>
                <w:szCs w:val="24"/>
              </w:rPr>
              <w:t xml:space="preserve">lēmuma saņemšanas gala labuma guvējs slēgs </w:t>
            </w:r>
            <w:r w:rsidR="009C0E5A" w:rsidRPr="0043636D">
              <w:rPr>
                <w:rFonts w:ascii="Times New Roman" w:hAnsi="Times New Roman" w:cs="Times New Roman"/>
                <w:bCs/>
                <w:sz w:val="24"/>
                <w:szCs w:val="24"/>
              </w:rPr>
              <w:t>prototipa izstrādes līgumu</w:t>
            </w:r>
            <w:r w:rsidR="002E14F0" w:rsidRPr="0043636D">
              <w:rPr>
                <w:rFonts w:ascii="Times New Roman" w:hAnsi="Times New Roman" w:cs="Times New Roman"/>
                <w:bCs/>
                <w:sz w:val="24"/>
                <w:szCs w:val="24"/>
              </w:rPr>
              <w:t>, kuram būs pievienota detalizēta tāme,</w:t>
            </w:r>
            <w:r w:rsidR="009C0E5A" w:rsidRPr="0043636D">
              <w:rPr>
                <w:rFonts w:ascii="Times New Roman" w:hAnsi="Times New Roman" w:cs="Times New Roman"/>
                <w:bCs/>
                <w:sz w:val="24"/>
                <w:szCs w:val="24"/>
              </w:rPr>
              <w:t xml:space="preserve"> ar vienu no MK noteikumu Nr. 4 71.</w:t>
            </w:r>
            <w:r w:rsidR="0043636D">
              <w:rPr>
                <w:rFonts w:ascii="Times New Roman" w:hAnsi="Times New Roman" w:cs="Times New Roman"/>
                <w:bCs/>
                <w:sz w:val="24"/>
                <w:szCs w:val="24"/>
              </w:rPr>
              <w:t xml:space="preserve"> </w:t>
            </w:r>
            <w:r w:rsidR="009C0E5A" w:rsidRPr="0043636D">
              <w:rPr>
                <w:rFonts w:ascii="Times New Roman" w:hAnsi="Times New Roman" w:cs="Times New Roman"/>
                <w:bCs/>
                <w:sz w:val="24"/>
                <w:szCs w:val="24"/>
              </w:rPr>
              <w:t>punktā</w:t>
            </w:r>
            <w:r w:rsidR="00DF7B13" w:rsidRPr="0043636D">
              <w:rPr>
                <w:rFonts w:ascii="Times New Roman" w:hAnsi="Times New Roman" w:cs="Times New Roman"/>
                <w:bCs/>
                <w:sz w:val="24"/>
                <w:szCs w:val="24"/>
              </w:rPr>
              <w:t xml:space="preserve"> norādītajiem iepriekš noteiktā projekta </w:t>
            </w:r>
            <w:r w:rsidR="00E151F4" w:rsidRPr="0043636D">
              <w:rPr>
                <w:rFonts w:ascii="Times New Roman" w:hAnsi="Times New Roman" w:cs="Times New Roman"/>
                <w:bCs/>
                <w:sz w:val="24"/>
                <w:szCs w:val="24"/>
              </w:rPr>
              <w:t>partneriem</w:t>
            </w:r>
            <w:r w:rsidR="002E14F0" w:rsidRPr="0043636D">
              <w:rPr>
                <w:rFonts w:ascii="Times New Roman" w:hAnsi="Times New Roman" w:cs="Times New Roman"/>
                <w:bCs/>
                <w:sz w:val="24"/>
                <w:szCs w:val="24"/>
              </w:rPr>
              <w:t>.</w:t>
            </w:r>
            <w:r w:rsidR="00E87C6E" w:rsidRPr="0043636D">
              <w:rPr>
                <w:rFonts w:ascii="Times New Roman" w:hAnsi="Times New Roman" w:cs="Times New Roman"/>
                <w:bCs/>
                <w:sz w:val="24"/>
                <w:szCs w:val="24"/>
              </w:rPr>
              <w:t xml:space="preserve"> Attiecīgi</w:t>
            </w:r>
            <w:r w:rsidR="0043636D">
              <w:rPr>
                <w:rFonts w:ascii="Times New Roman" w:hAnsi="Times New Roman" w:cs="Times New Roman"/>
                <w:bCs/>
                <w:sz w:val="24"/>
                <w:szCs w:val="24"/>
              </w:rPr>
              <w:t xml:space="preserve">, </w:t>
            </w:r>
            <w:r w:rsidR="00E87C6E" w:rsidRPr="0043636D">
              <w:rPr>
                <w:rFonts w:ascii="Times New Roman" w:hAnsi="Times New Roman" w:cs="Times New Roman"/>
                <w:bCs/>
                <w:sz w:val="24"/>
                <w:szCs w:val="24"/>
              </w:rPr>
              <w:t>avansa maksājumu līdz 50</w:t>
            </w:r>
            <w:r w:rsidR="0043636D">
              <w:rPr>
                <w:rFonts w:ascii="Times New Roman" w:hAnsi="Times New Roman" w:cs="Times New Roman"/>
                <w:bCs/>
                <w:sz w:val="24"/>
                <w:szCs w:val="24"/>
              </w:rPr>
              <w:t xml:space="preserve"> </w:t>
            </w:r>
            <w:r w:rsidR="00E87C6E" w:rsidRPr="0043636D">
              <w:rPr>
                <w:rFonts w:ascii="Times New Roman" w:hAnsi="Times New Roman" w:cs="Times New Roman"/>
                <w:bCs/>
                <w:sz w:val="24"/>
                <w:szCs w:val="24"/>
              </w:rPr>
              <w:t xml:space="preserve">% apmērā </w:t>
            </w:r>
            <w:r w:rsidR="00133243" w:rsidRPr="0043636D">
              <w:rPr>
                <w:rFonts w:ascii="Times New Roman" w:hAnsi="Times New Roman" w:cs="Times New Roman"/>
                <w:bCs/>
                <w:sz w:val="24"/>
                <w:szCs w:val="24"/>
              </w:rPr>
              <w:t xml:space="preserve">iepriekš noteiktā projekta līdzfinansējuma saņēmējs </w:t>
            </w:r>
            <w:r w:rsidR="00373DB4" w:rsidRPr="0043636D">
              <w:rPr>
                <w:rFonts w:ascii="Times New Roman" w:hAnsi="Times New Roman" w:cs="Times New Roman"/>
                <w:bCs/>
                <w:sz w:val="24"/>
                <w:szCs w:val="24"/>
              </w:rPr>
              <w:t xml:space="preserve">iepriekš noteiktā projekta partnerim var veikt, pamatojoties uz </w:t>
            </w:r>
            <w:r w:rsidR="00110A56" w:rsidRPr="0043636D">
              <w:rPr>
                <w:rFonts w:ascii="Times New Roman" w:hAnsi="Times New Roman" w:cs="Times New Roman"/>
                <w:bCs/>
                <w:sz w:val="24"/>
                <w:szCs w:val="24"/>
              </w:rPr>
              <w:t xml:space="preserve">saņemto avansa rēķinu un </w:t>
            </w:r>
            <w:r w:rsidR="000B17E8" w:rsidRPr="0043636D">
              <w:rPr>
                <w:rFonts w:ascii="Times New Roman" w:hAnsi="Times New Roman" w:cs="Times New Roman"/>
                <w:bCs/>
                <w:sz w:val="24"/>
                <w:szCs w:val="24"/>
              </w:rPr>
              <w:t>prototipa izstrādes līgum</w:t>
            </w:r>
            <w:r w:rsidR="008A3904">
              <w:rPr>
                <w:rFonts w:ascii="Times New Roman" w:hAnsi="Times New Roman" w:cs="Times New Roman"/>
                <w:bCs/>
                <w:sz w:val="24"/>
                <w:szCs w:val="24"/>
              </w:rPr>
              <w:t>a</w:t>
            </w:r>
            <w:r w:rsidR="00CB6366" w:rsidRPr="0043636D">
              <w:rPr>
                <w:rFonts w:ascii="Times New Roman" w:hAnsi="Times New Roman" w:cs="Times New Roman"/>
                <w:bCs/>
                <w:sz w:val="24"/>
                <w:szCs w:val="24"/>
              </w:rPr>
              <w:t>, kas noslēgts starp iepriekš noteiktā projekta partneri</w:t>
            </w:r>
            <w:r w:rsidR="00715AF7" w:rsidRPr="0043636D">
              <w:rPr>
                <w:rFonts w:ascii="Times New Roman" w:hAnsi="Times New Roman" w:cs="Times New Roman"/>
                <w:bCs/>
                <w:sz w:val="24"/>
                <w:szCs w:val="24"/>
              </w:rPr>
              <w:t xml:space="preserve"> un gala labuma guvēju,</w:t>
            </w:r>
            <w:r w:rsidR="000B17E8" w:rsidRPr="0043636D">
              <w:rPr>
                <w:rFonts w:ascii="Times New Roman" w:hAnsi="Times New Roman" w:cs="Times New Roman"/>
                <w:bCs/>
                <w:sz w:val="24"/>
                <w:szCs w:val="24"/>
              </w:rPr>
              <w:t xml:space="preserve"> kopiju</w:t>
            </w:r>
            <w:r w:rsidR="005A211C">
              <w:rPr>
                <w:rFonts w:ascii="Times New Roman" w:hAnsi="Times New Roman" w:cs="Times New Roman"/>
                <w:bCs/>
                <w:sz w:val="24"/>
                <w:szCs w:val="24"/>
              </w:rPr>
              <w:t xml:space="preserve"> </w:t>
            </w:r>
            <w:r w:rsidR="00B847C8" w:rsidRPr="0078238F">
              <w:rPr>
                <w:rFonts w:ascii="Times New Roman" w:hAnsi="Times New Roman" w:cs="Times New Roman"/>
                <w:bCs/>
                <w:sz w:val="24"/>
                <w:szCs w:val="24"/>
              </w:rPr>
              <w:t>elektroniskā formā vai oriģinālu, kas parakstīts ar drošu elektronisko parakstu</w:t>
            </w:r>
            <w:r w:rsidR="000F64E5" w:rsidRPr="0043636D">
              <w:rPr>
                <w:rFonts w:ascii="Times New Roman" w:hAnsi="Times New Roman" w:cs="Times New Roman"/>
                <w:bCs/>
                <w:sz w:val="24"/>
                <w:szCs w:val="24"/>
              </w:rPr>
              <w:t>.</w:t>
            </w:r>
          </w:p>
          <w:p w14:paraId="77FBCB3D" w14:textId="418545C9" w:rsidR="0067600D" w:rsidRPr="0043636D" w:rsidRDefault="00770A0A" w:rsidP="004E3D63">
            <w:pPr>
              <w:pStyle w:val="Default"/>
              <w:spacing w:after="120"/>
              <w:jc w:val="both"/>
              <w:rPr>
                <w:color w:val="2B579A"/>
              </w:rPr>
            </w:pPr>
            <w:r w:rsidRPr="0043636D">
              <w:rPr>
                <w:color w:val="auto"/>
              </w:rPr>
              <w:t>MK noteikumos Nr. 4 ir noteiktas kā attiecinām</w:t>
            </w:r>
            <w:r w:rsidR="00493989" w:rsidRPr="0043636D">
              <w:rPr>
                <w:color w:val="auto"/>
              </w:rPr>
              <w:t>a</w:t>
            </w:r>
            <w:r w:rsidRPr="0043636D">
              <w:rPr>
                <w:color w:val="auto"/>
              </w:rPr>
              <w:t>s netiešās izmaksas tikai iepriekš noteiktā projekta līdzfinansējuma saņēmējam</w:t>
            </w:r>
            <w:r w:rsidR="00493989" w:rsidRPr="0043636D">
              <w:rPr>
                <w:color w:val="auto"/>
              </w:rPr>
              <w:t xml:space="preserve">. </w:t>
            </w:r>
            <w:r w:rsidR="00A8150F" w:rsidRPr="0043636D">
              <w:rPr>
                <w:color w:val="auto"/>
              </w:rPr>
              <w:t xml:space="preserve">Saskaņā ar </w:t>
            </w:r>
            <w:r w:rsidR="00493989" w:rsidRPr="0043636D">
              <w:rPr>
                <w:color w:val="auto"/>
              </w:rPr>
              <w:t>Donorvalsts</w:t>
            </w:r>
            <w:r w:rsidR="00A8150F" w:rsidRPr="0043636D">
              <w:rPr>
                <w:color w:val="auto"/>
              </w:rPr>
              <w:t xml:space="preserve"> noteikumu 8.5.</w:t>
            </w:r>
            <w:r w:rsidR="004E3D63" w:rsidRPr="0043636D">
              <w:rPr>
                <w:color w:val="auto"/>
              </w:rPr>
              <w:t xml:space="preserve"> </w:t>
            </w:r>
            <w:r w:rsidR="00A8150F" w:rsidRPr="0043636D">
              <w:rPr>
                <w:color w:val="auto"/>
              </w:rPr>
              <w:t>panta pirmā punkta c</w:t>
            </w:r>
            <w:r w:rsidR="00493989" w:rsidRPr="0043636D">
              <w:rPr>
                <w:color w:val="auto"/>
              </w:rPr>
              <w:t>)</w:t>
            </w:r>
            <w:r w:rsidR="00A8150F" w:rsidRPr="0043636D">
              <w:rPr>
                <w:color w:val="auto"/>
              </w:rPr>
              <w:t xml:space="preserve"> </w:t>
            </w:r>
            <w:r w:rsidR="008A52E4" w:rsidRPr="0043636D">
              <w:rPr>
                <w:color w:val="auto"/>
              </w:rPr>
              <w:t>apakšpunktu</w:t>
            </w:r>
            <w:r w:rsidR="00A8150F" w:rsidRPr="0043636D">
              <w:rPr>
                <w:color w:val="auto"/>
              </w:rPr>
              <w:t xml:space="preserve">, netiešo izmaksu likmi var piemērot arī projekta partneriem. </w:t>
            </w:r>
            <w:r w:rsidR="00495414" w:rsidRPr="0043636D">
              <w:rPr>
                <w:color w:val="auto"/>
              </w:rPr>
              <w:t>Ņemot vērā, ka iepriekš noteiktā projekta partneriem arī rodas netiešās izmaksas</w:t>
            </w:r>
            <w:r w:rsidR="00462449" w:rsidRPr="0043636D">
              <w:rPr>
                <w:color w:val="auto"/>
              </w:rPr>
              <w:t xml:space="preserve"> par</w:t>
            </w:r>
            <w:r w:rsidR="00462449" w:rsidRPr="0043636D">
              <w:t xml:space="preserve"> </w:t>
            </w:r>
            <w:r w:rsidR="00462449" w:rsidRPr="0043636D">
              <w:rPr>
                <w:color w:val="auto"/>
              </w:rPr>
              <w:t>MK noteikumu Nr.</w:t>
            </w:r>
            <w:r w:rsidR="004E3D63" w:rsidRPr="0043636D">
              <w:rPr>
                <w:color w:val="auto"/>
              </w:rPr>
              <w:t xml:space="preserve"> </w:t>
            </w:r>
            <w:r w:rsidR="00462449" w:rsidRPr="0043636D">
              <w:rPr>
                <w:color w:val="auto"/>
              </w:rPr>
              <w:t>4 72.3. un 72.4. apakšpunktā norādīto atbalstāmo darbību īstenošanu</w:t>
            </w:r>
            <w:r w:rsidR="00937051" w:rsidRPr="0043636D">
              <w:rPr>
                <w:color w:val="auto"/>
              </w:rPr>
              <w:t xml:space="preserve"> un lai atvieglotu atskaitīšanās mehānismu</w:t>
            </w:r>
            <w:r w:rsidR="00A8150F" w:rsidRPr="0043636D">
              <w:rPr>
                <w:color w:val="auto"/>
              </w:rPr>
              <w:t>, Noteikumu projektā paredzēts noteikt netiešo izmaksu attiecināšanu arī iepriekš noteiktā projekta partnerim.</w:t>
            </w:r>
            <w:r w:rsidR="009D0102" w:rsidRPr="0043636D">
              <w:rPr>
                <w:color w:val="auto"/>
              </w:rPr>
              <w:t xml:space="preserve"> Netiešo attiecināmo izmaksu likme ir 15 % no iepriekš noteiktā projekta partneru </w:t>
            </w:r>
            <w:r w:rsidR="00B96BA5" w:rsidRPr="0043636D">
              <w:rPr>
                <w:color w:val="auto"/>
              </w:rPr>
              <w:t xml:space="preserve">tiešajām </w:t>
            </w:r>
            <w:r w:rsidR="009D0102" w:rsidRPr="0043636D">
              <w:rPr>
                <w:color w:val="auto"/>
              </w:rPr>
              <w:t>attiecināmajām personāla izmaksām, kas iesaistītas šo noteikumu 72.3. un 72.4. apakšpunktā norādīto atbalstāmo darbību īstenošanā.</w:t>
            </w:r>
          </w:p>
          <w:p w14:paraId="522F215F" w14:textId="30D2FC99" w:rsidR="00153523" w:rsidRPr="0043636D" w:rsidRDefault="00E30E90" w:rsidP="00153523">
            <w:pPr>
              <w:pStyle w:val="Default"/>
              <w:spacing w:after="120"/>
              <w:jc w:val="both"/>
              <w:rPr>
                <w:color w:val="auto"/>
                <w:shd w:val="clear" w:color="auto" w:fill="FFFFFF"/>
              </w:rPr>
            </w:pPr>
            <w:r w:rsidRPr="0043636D">
              <w:t xml:space="preserve">Atbilstoši </w:t>
            </w:r>
            <w:r w:rsidR="00F3210E" w:rsidRPr="0043636D">
              <w:t>MK noteikum</w:t>
            </w:r>
            <w:r w:rsidR="000B02F2" w:rsidRPr="0043636D">
              <w:t>u</w:t>
            </w:r>
            <w:r w:rsidR="00F3210E" w:rsidRPr="0043636D">
              <w:t xml:space="preserve"> Nr. 4 81.1. apakšpunktam</w:t>
            </w:r>
            <w:r w:rsidR="008A3904">
              <w:t>,</w:t>
            </w:r>
            <w:r w:rsidR="00F3210E" w:rsidRPr="0043636D">
              <w:t xml:space="preserve"> iepriekš noteiktā projekta gala labuma guvējam nedrīkst būt </w:t>
            </w:r>
            <w:r w:rsidR="00F3210E" w:rsidRPr="0043636D">
              <w:rPr>
                <w:color w:val="auto"/>
                <w:shd w:val="clear" w:color="auto" w:fill="FFFFFF"/>
              </w:rPr>
              <w:t xml:space="preserve">Valsts ieņēmumu dienesta administrēto nodokļu vai nodevu parādu, tai skaitā valsts sociālās apdrošināšanas </w:t>
            </w:r>
            <w:r w:rsidR="00F3210E" w:rsidRPr="0043636D">
              <w:rPr>
                <w:color w:val="auto"/>
                <w:shd w:val="clear" w:color="auto" w:fill="FFFFFF"/>
              </w:rPr>
              <w:lastRenderedPageBreak/>
              <w:t>obligāto iemaksu parādu, kas kopsummā pārsniedz 150 </w:t>
            </w:r>
            <w:r w:rsidR="00F3210E" w:rsidRPr="0043636D">
              <w:rPr>
                <w:i/>
                <w:iCs/>
                <w:color w:val="auto"/>
                <w:shd w:val="clear" w:color="auto" w:fill="FFFFFF"/>
              </w:rPr>
              <w:t>euro.</w:t>
            </w:r>
            <w:r w:rsidR="00B776D8" w:rsidRPr="0043636D">
              <w:t xml:space="preserve"> </w:t>
            </w:r>
            <w:r w:rsidR="00B776D8" w:rsidRPr="0043636D">
              <w:rPr>
                <w:color w:val="auto"/>
                <w:shd w:val="clear" w:color="auto" w:fill="FFFFFF"/>
              </w:rPr>
              <w:t xml:space="preserve">Noteikumu projektā ir paredzēts paaugstināt Valsts ieņēmumu dienesta administrēto nodokļu vai nodevu parādu slieksni līdz 1000 </w:t>
            </w:r>
            <w:r w:rsidR="00B776D8" w:rsidRPr="0043636D">
              <w:rPr>
                <w:i/>
                <w:iCs/>
                <w:color w:val="auto"/>
                <w:shd w:val="clear" w:color="auto" w:fill="FFFFFF"/>
              </w:rPr>
              <w:t>euro</w:t>
            </w:r>
            <w:r w:rsidR="00B776D8" w:rsidRPr="0043636D">
              <w:rPr>
                <w:color w:val="auto"/>
                <w:shd w:val="clear" w:color="auto" w:fill="FFFFFF"/>
              </w:rPr>
              <w:t>.</w:t>
            </w:r>
            <w:r w:rsidR="00153523" w:rsidRPr="0043636D">
              <w:rPr>
                <w:color w:val="auto"/>
                <w:shd w:val="clear" w:color="auto" w:fill="FFFFFF"/>
              </w:rPr>
              <w:t xml:space="preserve"> Piedāvātā nodokļu vai nodevu parādu sliekšņa paaugstināšana ir vērtēta, balstoties uz redzējumu par iespējamajiem riskiem un samērīgumu. Tādējādi secināms, ka 150 </w:t>
            </w:r>
            <w:r w:rsidR="00153523" w:rsidRPr="0043636D">
              <w:rPr>
                <w:i/>
                <w:iCs/>
                <w:color w:val="auto"/>
                <w:shd w:val="clear" w:color="auto" w:fill="FFFFFF"/>
              </w:rPr>
              <w:t>euro</w:t>
            </w:r>
            <w:r w:rsidR="00153523" w:rsidRPr="0043636D">
              <w:rPr>
                <w:color w:val="auto"/>
                <w:shd w:val="clear" w:color="auto" w:fill="FFFFFF"/>
              </w:rPr>
              <w:t xml:space="preserve"> nodokļu vai nodevu parādu slieksnis ir vērtējams kā pārāk strikts un administratīvu slogu veicinošs nosacījums. Līdzīgs vērtējums veikts citās ES fondu programmās, piemēram, Ministru kabineta noteikumos, kas regulē 3.2.1.2. pasākumu “Starptautiskās konkurētspējas veicināšana” un noteikumos, kas regulē 3.1.1.6. pasākumu “Reģionālie biznesa inkubatori un radošo industriju inkubators”, kur sākotnējais nosacījums par 150 </w:t>
            </w:r>
            <w:r w:rsidR="00153523" w:rsidRPr="0043636D">
              <w:rPr>
                <w:i/>
                <w:iCs/>
                <w:color w:val="auto"/>
                <w:shd w:val="clear" w:color="auto" w:fill="FFFFFF"/>
              </w:rPr>
              <w:t>euro</w:t>
            </w:r>
            <w:r w:rsidR="00153523" w:rsidRPr="0043636D">
              <w:rPr>
                <w:color w:val="auto"/>
                <w:shd w:val="clear" w:color="auto" w:fill="FFFFFF"/>
              </w:rPr>
              <w:t xml:space="preserve"> nodokļu vai nodevu parādu slieksnis tika palielināts līdz 1000 </w:t>
            </w:r>
            <w:r w:rsidR="00153523" w:rsidRPr="0043636D">
              <w:rPr>
                <w:i/>
                <w:iCs/>
                <w:color w:val="auto"/>
                <w:shd w:val="clear" w:color="auto" w:fill="FFFFFF"/>
              </w:rPr>
              <w:t>euro</w:t>
            </w:r>
            <w:r w:rsidR="00153523" w:rsidRPr="0043636D">
              <w:rPr>
                <w:color w:val="auto"/>
                <w:shd w:val="clear" w:color="auto" w:fill="FFFFFF"/>
              </w:rPr>
              <w:t>.</w:t>
            </w:r>
          </w:p>
          <w:p w14:paraId="40158071" w14:textId="396BA157" w:rsidR="009120FD" w:rsidRPr="00A86CC2" w:rsidRDefault="00153523" w:rsidP="004E3D63">
            <w:pPr>
              <w:pStyle w:val="Default"/>
              <w:spacing w:after="120"/>
              <w:jc w:val="both"/>
              <w:rPr>
                <w:color w:val="auto"/>
              </w:rPr>
            </w:pPr>
            <w:r w:rsidRPr="0043636D">
              <w:rPr>
                <w:color w:val="auto"/>
                <w:shd w:val="clear" w:color="auto" w:fill="FFFFFF"/>
              </w:rPr>
              <w:t xml:space="preserve">Tāpat secināms, ka COVID-19 pandēmijas ietekme Latvijā nav beigusies, jo uzņēmējdarbības aktivitāte joprojām nav atgriezusies </w:t>
            </w:r>
            <w:proofErr w:type="spellStart"/>
            <w:r w:rsidRPr="0043636D">
              <w:rPr>
                <w:color w:val="auto"/>
                <w:shd w:val="clear" w:color="auto" w:fill="FFFFFF"/>
              </w:rPr>
              <w:t>pirm</w:t>
            </w:r>
            <w:r w:rsidR="00AF4E0D" w:rsidRPr="0043636D">
              <w:rPr>
                <w:color w:val="auto"/>
                <w:shd w:val="clear" w:color="auto" w:fill="FFFFFF"/>
              </w:rPr>
              <w:t>s</w:t>
            </w:r>
            <w:r w:rsidRPr="0043636D">
              <w:rPr>
                <w:color w:val="auto"/>
                <w:shd w:val="clear" w:color="auto" w:fill="FFFFFF"/>
              </w:rPr>
              <w:t>krīzes</w:t>
            </w:r>
            <w:proofErr w:type="spellEnd"/>
            <w:r w:rsidRPr="0043636D">
              <w:rPr>
                <w:color w:val="auto"/>
                <w:shd w:val="clear" w:color="auto" w:fill="FFFFFF"/>
              </w:rPr>
              <w:t xml:space="preserve"> līmenī.</w:t>
            </w:r>
            <w:r w:rsidR="008A3904">
              <w:rPr>
                <w:color w:val="auto"/>
                <w:shd w:val="clear" w:color="auto" w:fill="FFFFFF"/>
              </w:rPr>
              <w:t xml:space="preserve"> </w:t>
            </w:r>
            <w:r w:rsidRPr="0043636D">
              <w:rPr>
                <w:color w:val="auto"/>
                <w:shd w:val="clear" w:color="auto" w:fill="FFFFFF"/>
              </w:rPr>
              <w:t xml:space="preserve">Saglabājoties epidemioloģiskajiem ierobežojumiem, 2021. gada 1. ceturksnī ekonomikā bija vērojama lejupslīde. 2021. gada pirmajā pusē, uzlabojoties epidemioloģiskajai situācijai, ko veicina vakcinācija un sezonālais darbs, ekonomiskā aktivitāte pakāpeniski palielinās. Ekonomikas ministrijas prognozē, ka 2021. gadā ekonomikas izaugsme var pārsniegt 3%, tomēr saglabāsies ļoti augsta nenoteiktība. Ekonomikas ministrijas vērtējumā ekonomikas atgūšanos un ekonomikas konkurētspējas priekšrocības var radīt inovācijas, tehnoloģiskie faktori un ražošanas efektivitātes uzlabošana. Tehnoloģiju biznesa centra ietvaros sniegtie pakalpojumi un biznesa komandas, kas attīstīs jaunus produktus un tehnoloģijas, ir priekšnosacījums inovāciju, tehnoloģisko un produktivitāti sekmējošu risinājumu ieviešanai tirgū. Turklāt, sadarbībā ar uzņēmējus pārstāvošajām organizācijām 2020. gadā izstrādātais Latvijas ekonomikas atjaunošanas plāns “Stratēģija Latvijai Covid-19 krīzes radīto seku mazināšanai” paredz secīgus soļus: 2020. gadā stabilizēt tautsaimniecību, 2021.-2022. gadā pārorientēt ekonomiku, bet no 2023. gada ieiet izaugsmes fāzē. Tieši pārorientēšanas fāzē esošajiem un topošajiem uzņēmējiem nepieciešami valsts sniegti, pretimnākoši risinājumi uzņēmējdarbības, </w:t>
            </w:r>
            <w:r w:rsidR="008A3904">
              <w:rPr>
                <w:color w:val="auto"/>
                <w:shd w:val="clear" w:color="auto" w:fill="FFFFFF"/>
              </w:rPr>
              <w:t>j</w:t>
            </w:r>
            <w:r w:rsidRPr="0043636D">
              <w:rPr>
                <w:color w:val="auto"/>
                <w:shd w:val="clear" w:color="auto" w:fill="FFFFFF"/>
              </w:rPr>
              <w:t>o īpaši – inovatīvas uzņēmējdarbības – uzsākšanai un tālākai attīstīšanai, tādējādi veicinot nevis kavējot ekonomisko aktivitāti, un atbalstot uzņēmumus vai uzņēmējdarbības uzsācējus, kurus gan tieši, gan netieši ir ietekmējuši valdības</w:t>
            </w:r>
            <w:r w:rsidR="008A3904">
              <w:rPr>
                <w:color w:val="auto"/>
                <w:shd w:val="clear" w:color="auto" w:fill="FFFFFF"/>
              </w:rPr>
              <w:t xml:space="preserve"> </w:t>
            </w:r>
            <w:r w:rsidRPr="0043636D">
              <w:rPr>
                <w:color w:val="auto"/>
                <w:shd w:val="clear" w:color="auto" w:fill="FFFFFF"/>
              </w:rPr>
              <w:t>iepriekš noteiktie</w:t>
            </w:r>
            <w:r w:rsidR="008A3904">
              <w:rPr>
                <w:color w:val="auto"/>
                <w:shd w:val="clear" w:color="auto" w:fill="FFFFFF"/>
              </w:rPr>
              <w:t xml:space="preserve"> </w:t>
            </w:r>
            <w:r w:rsidRPr="0043636D">
              <w:rPr>
                <w:color w:val="auto"/>
                <w:shd w:val="clear" w:color="auto" w:fill="FFFFFF"/>
              </w:rPr>
              <w:t xml:space="preserve">drošības pasākumi Covid-19 vīrusa ierobežošanai. Vienlaikus jāakcentē, ka galvenā </w:t>
            </w:r>
            <w:r w:rsidRPr="0043636D">
              <w:rPr>
                <w:color w:val="auto"/>
                <w:shd w:val="clear" w:color="auto" w:fill="FFFFFF"/>
              </w:rPr>
              <w:lastRenderedPageBreak/>
              <w:t xml:space="preserve">Tehnoloģiju biznesa centra mērķauditorija, līdzīgi kā ES fondu 3.1.1.6. pasākumā “Reģionālie biznesa inkubatori un radošo industriju inkubators”, ir topošie un jaunie uzņēmēji, kuri tikai noformulē un attīsta savu biznesa ideju, saņemot apmācību un prototipu izstrādes pakalpojumus. Ņemot vērā, ka nodokļu parādi rodas jauniem uzņēmumiem salīdzinoši agrā attīstības stadijā, kad vēl nav skaidra finanšu plūsma un sadarbības partneri, tad tieši šī mērķauditorija ir visvairāk ierobežota saņemt Tehnoloģiju biznesa centra pakalpojumus, ja tiks konstatēts nodokļu parāds. Nosakot augstāku nodokļu vai nodevu parāda slieksni, nav paredzēts noteikt konkrētas nozares, un nodokļu vai nodevu parāda slieksnis 1000 </w:t>
            </w:r>
            <w:r w:rsidRPr="0043636D">
              <w:rPr>
                <w:i/>
                <w:iCs/>
                <w:color w:val="auto"/>
                <w:shd w:val="clear" w:color="auto" w:fill="FFFFFF"/>
              </w:rPr>
              <w:t>euro</w:t>
            </w:r>
            <w:r w:rsidRPr="0043636D">
              <w:rPr>
                <w:color w:val="auto"/>
                <w:shd w:val="clear" w:color="auto" w:fill="FFFFFF"/>
              </w:rPr>
              <w:t xml:space="preserve"> apmērā tiks piemērots visu nozaru biznesa ideju attīstītājiem, topošajiem un jaunajiem uzņēmējiem.</w:t>
            </w:r>
          </w:p>
        </w:tc>
      </w:tr>
      <w:tr w:rsidR="005942DA" w:rsidRPr="0043636D" w14:paraId="307B988F"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B93406" w14:textId="77777777" w:rsidR="00083640"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4F0D7902" w14:textId="77777777" w:rsidR="00083640"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52E82FB8" w14:textId="70205CA4" w:rsidR="00083640" w:rsidRPr="0043636D" w:rsidRDefault="00D3143A" w:rsidP="000932C9">
            <w:pPr>
              <w:pStyle w:val="Default"/>
              <w:jc w:val="both"/>
            </w:pPr>
            <w:r w:rsidRPr="0043636D">
              <w:t>E</w:t>
            </w:r>
            <w:r w:rsidR="00F52EEF" w:rsidRPr="0043636D">
              <w:t>konomikas ministrija</w:t>
            </w:r>
            <w:r w:rsidRPr="0043636D">
              <w:t>,</w:t>
            </w:r>
            <w:r w:rsidR="4226755B" w:rsidRPr="0043636D">
              <w:t xml:space="preserve"> Latvijas Investīciju un attīstības aģentūra</w:t>
            </w:r>
            <w:r w:rsidR="00F52EEF" w:rsidRPr="0043636D">
              <w:t>.</w:t>
            </w:r>
          </w:p>
        </w:tc>
      </w:tr>
      <w:tr w:rsidR="005942DA" w:rsidRPr="0043636D" w14:paraId="337E4414" w14:textId="77777777" w:rsidTr="0335586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0988350" w14:textId="77777777" w:rsidR="00083640"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45F253FA" w14:textId="77777777" w:rsidR="00083640"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C8C7555" w14:textId="33F3B024" w:rsidR="00083640" w:rsidRPr="0043636D" w:rsidRDefault="00D3143A" w:rsidP="000932C9">
            <w:pPr>
              <w:spacing w:after="0" w:line="240" w:lineRule="auto"/>
              <w:jc w:val="both"/>
              <w:rPr>
                <w:rFonts w:ascii="Times New Roman" w:hAnsi="Times New Roman" w:cs="Times New Roman"/>
                <w:sz w:val="24"/>
                <w:szCs w:val="24"/>
              </w:rPr>
            </w:pPr>
            <w:r w:rsidRPr="0043636D">
              <w:rPr>
                <w:rFonts w:ascii="Times New Roman" w:hAnsi="Times New Roman" w:cs="Times New Roman"/>
                <w:sz w:val="24"/>
                <w:szCs w:val="24"/>
              </w:rPr>
              <w:t>Nav</w:t>
            </w:r>
            <w:r w:rsidR="0052578E" w:rsidRPr="0043636D">
              <w:rPr>
                <w:rFonts w:ascii="Times New Roman" w:hAnsi="Times New Roman" w:cs="Times New Roman"/>
                <w:sz w:val="24"/>
                <w:szCs w:val="24"/>
              </w:rPr>
              <w:t>.</w:t>
            </w:r>
          </w:p>
        </w:tc>
      </w:tr>
    </w:tbl>
    <w:p w14:paraId="76AA8723" w14:textId="1775248C" w:rsidR="002623AC" w:rsidRPr="0043636D" w:rsidRDefault="00991CC7"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3005"/>
        <w:gridCol w:w="5497"/>
        <w:gridCol w:w="161"/>
      </w:tblGrid>
      <w:tr w:rsidR="005942DA" w:rsidRPr="0043636D" w14:paraId="15935420" w14:textId="77777777" w:rsidTr="0043636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2877C37D" w14:textId="77777777" w:rsidR="00655F2C" w:rsidRPr="0043636D" w:rsidRDefault="00D3143A" w:rsidP="000932C9">
            <w:pPr>
              <w:spacing w:after="0" w:line="240" w:lineRule="auto"/>
              <w:jc w:val="center"/>
              <w:rPr>
                <w:rFonts w:ascii="Times New Roman" w:hAnsi="Times New Roman" w:cs="Times New Roman"/>
                <w:b/>
                <w:sz w:val="24"/>
                <w:szCs w:val="24"/>
              </w:rPr>
            </w:pPr>
            <w:r w:rsidRPr="0043636D">
              <w:rPr>
                <w:rFonts w:ascii="Times New Roman" w:hAnsi="Times New Roman" w:cs="Times New Roman"/>
                <w:b/>
                <w:sz w:val="24"/>
                <w:szCs w:val="24"/>
              </w:rPr>
              <w:t>II. Tiesību akta projekta ietekme uz sabiedrību, tautsaimniecības attīstību un administratīvo slogu</w:t>
            </w:r>
          </w:p>
        </w:tc>
      </w:tr>
      <w:tr w:rsidR="005942DA" w:rsidRPr="0043636D" w14:paraId="5FEE8A48" w14:textId="77777777" w:rsidTr="0043636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00F0E90" w14:textId="77777777" w:rsidR="00655F2C"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1.</w:t>
            </w:r>
          </w:p>
        </w:tc>
        <w:tc>
          <w:tcPr>
            <w:tcW w:w="1633" w:type="pct"/>
            <w:tcBorders>
              <w:top w:val="outset" w:sz="6" w:space="0" w:color="auto"/>
              <w:left w:val="outset" w:sz="6" w:space="0" w:color="auto"/>
              <w:bottom w:val="outset" w:sz="6" w:space="0" w:color="auto"/>
              <w:right w:val="outset" w:sz="6" w:space="0" w:color="auto"/>
            </w:tcBorders>
            <w:hideMark/>
          </w:tcPr>
          <w:p w14:paraId="6CAE9A54" w14:textId="77777777" w:rsidR="00E5323B"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 xml:space="preserve">Sabiedrības </w:t>
            </w:r>
            <w:proofErr w:type="spellStart"/>
            <w:r w:rsidRPr="0043636D">
              <w:rPr>
                <w:rFonts w:ascii="Times New Roman" w:hAnsi="Times New Roman" w:cs="Times New Roman"/>
                <w:sz w:val="24"/>
                <w:szCs w:val="24"/>
              </w:rPr>
              <w:t>mērķgrupas</w:t>
            </w:r>
            <w:proofErr w:type="spellEnd"/>
            <w:r w:rsidRPr="0043636D">
              <w:rPr>
                <w:rFonts w:ascii="Times New Roman" w:hAnsi="Times New Roman" w:cs="Times New Roman"/>
                <w:sz w:val="24"/>
                <w:szCs w:val="24"/>
              </w:rPr>
              <w:t>, kuras tiesiskais regulējums ietekmē vai varētu ietekmēt</w:t>
            </w:r>
          </w:p>
        </w:tc>
        <w:tc>
          <w:tcPr>
            <w:tcW w:w="3033" w:type="pct"/>
            <w:gridSpan w:val="2"/>
            <w:tcBorders>
              <w:top w:val="outset" w:sz="6" w:space="0" w:color="auto"/>
              <w:left w:val="outset" w:sz="6" w:space="0" w:color="auto"/>
              <w:bottom w:val="outset" w:sz="6" w:space="0" w:color="auto"/>
              <w:right w:val="outset" w:sz="6" w:space="0" w:color="auto"/>
            </w:tcBorders>
            <w:hideMark/>
          </w:tcPr>
          <w:p w14:paraId="01637790" w14:textId="1C1DF545" w:rsidR="00E5323B" w:rsidRPr="0043636D" w:rsidRDefault="00553771" w:rsidP="000932C9">
            <w:pPr>
              <w:spacing w:after="0" w:line="240" w:lineRule="auto"/>
              <w:jc w:val="both"/>
              <w:rPr>
                <w:rFonts w:ascii="Times New Roman" w:hAnsi="Times New Roman" w:cs="Times New Roman"/>
                <w:sz w:val="24"/>
                <w:szCs w:val="24"/>
              </w:rPr>
            </w:pPr>
            <w:r w:rsidRPr="0043636D">
              <w:rPr>
                <w:rStyle w:val="normaltextrun"/>
                <w:rFonts w:ascii="Times New Roman" w:hAnsi="Times New Roman" w:cs="Times New Roman"/>
                <w:color w:val="000000"/>
                <w:sz w:val="24"/>
                <w:szCs w:val="24"/>
                <w:shd w:val="clear" w:color="auto" w:fill="FFFFFF"/>
              </w:rPr>
              <w:t>Iepriekš noteiktā projekta </w:t>
            </w:r>
            <w:proofErr w:type="spellStart"/>
            <w:r w:rsidRPr="0043636D">
              <w:rPr>
                <w:rStyle w:val="normaltextrun"/>
                <w:rFonts w:ascii="Times New Roman" w:hAnsi="Times New Roman" w:cs="Times New Roman"/>
                <w:color w:val="000000"/>
                <w:sz w:val="24"/>
                <w:szCs w:val="24"/>
                <w:shd w:val="clear" w:color="auto" w:fill="FFFFFF"/>
              </w:rPr>
              <w:t>mērķgrupas</w:t>
            </w:r>
            <w:proofErr w:type="spellEnd"/>
            <w:r w:rsidRPr="0043636D">
              <w:rPr>
                <w:rStyle w:val="normaltextrun"/>
                <w:rFonts w:ascii="Times New Roman" w:hAnsi="Times New Roman" w:cs="Times New Roman"/>
                <w:color w:val="000000"/>
                <w:sz w:val="24"/>
                <w:szCs w:val="24"/>
                <w:shd w:val="clear" w:color="auto" w:fill="FFFFFF"/>
              </w:rPr>
              <w:t> ir Latvijas Republikā reģistrētie sīkie (mikro), mazie un vidējie komersanti, kā arī topošie uzņēmēji – fiziskas personas un fizisko personu grupas.</w:t>
            </w:r>
          </w:p>
        </w:tc>
      </w:tr>
      <w:tr w:rsidR="005942DA" w:rsidRPr="0043636D" w14:paraId="15D5C5C9" w14:textId="77777777" w:rsidTr="0043636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D3BC41F" w14:textId="77777777" w:rsidR="00655F2C"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2.</w:t>
            </w:r>
          </w:p>
        </w:tc>
        <w:tc>
          <w:tcPr>
            <w:tcW w:w="1633" w:type="pct"/>
            <w:tcBorders>
              <w:top w:val="outset" w:sz="6" w:space="0" w:color="auto"/>
              <w:left w:val="outset" w:sz="6" w:space="0" w:color="auto"/>
              <w:bottom w:val="outset" w:sz="6" w:space="0" w:color="auto"/>
              <w:right w:val="outset" w:sz="6" w:space="0" w:color="auto"/>
            </w:tcBorders>
            <w:hideMark/>
          </w:tcPr>
          <w:p w14:paraId="58DFC801" w14:textId="77777777" w:rsidR="00E5323B"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Tiesiskā regulējuma ietekme uz tautsaimniecību un administratīvo slogu</w:t>
            </w:r>
          </w:p>
        </w:tc>
        <w:tc>
          <w:tcPr>
            <w:tcW w:w="3033" w:type="pct"/>
            <w:gridSpan w:val="2"/>
            <w:tcBorders>
              <w:top w:val="outset" w:sz="6" w:space="0" w:color="auto"/>
              <w:left w:val="outset" w:sz="6" w:space="0" w:color="auto"/>
              <w:bottom w:val="outset" w:sz="6" w:space="0" w:color="auto"/>
              <w:right w:val="outset" w:sz="6" w:space="0" w:color="auto"/>
            </w:tcBorders>
            <w:hideMark/>
          </w:tcPr>
          <w:p w14:paraId="1C08BA0A" w14:textId="7EF45F4D" w:rsidR="00E5323B" w:rsidRPr="0043636D" w:rsidRDefault="00ED0C5A" w:rsidP="00811D80">
            <w:pPr>
              <w:spacing w:after="120" w:line="240" w:lineRule="auto"/>
              <w:jc w:val="both"/>
              <w:rPr>
                <w:rFonts w:ascii="Times New Roman" w:hAnsi="Times New Roman" w:cs="Times New Roman"/>
                <w:sz w:val="24"/>
                <w:szCs w:val="24"/>
              </w:rPr>
            </w:pPr>
            <w:r w:rsidRPr="0043636D">
              <w:rPr>
                <w:rFonts w:ascii="Times New Roman" w:hAnsi="Times New Roman" w:cs="Times New Roman"/>
                <w:sz w:val="24"/>
                <w:szCs w:val="24"/>
              </w:rPr>
              <w:t xml:space="preserve">Projekts </w:t>
            </w:r>
            <w:r w:rsidR="007E6555" w:rsidRPr="0043636D">
              <w:rPr>
                <w:rFonts w:ascii="Times New Roman" w:hAnsi="Times New Roman" w:cs="Times New Roman"/>
                <w:sz w:val="24"/>
                <w:szCs w:val="24"/>
              </w:rPr>
              <w:t>neparedz palielināt administratīvo slogu</w:t>
            </w:r>
            <w:r w:rsidRPr="0043636D">
              <w:rPr>
                <w:rFonts w:ascii="Times New Roman" w:hAnsi="Times New Roman" w:cs="Times New Roman"/>
                <w:sz w:val="24"/>
                <w:szCs w:val="24"/>
              </w:rPr>
              <w:t xml:space="preserve"> mērķa grupām – maziem</w:t>
            </w:r>
            <w:r w:rsidR="00BA30CD" w:rsidRPr="0043636D">
              <w:rPr>
                <w:rFonts w:ascii="Times New Roman" w:hAnsi="Times New Roman" w:cs="Times New Roman"/>
                <w:sz w:val="24"/>
                <w:szCs w:val="24"/>
              </w:rPr>
              <w:t xml:space="preserve"> un</w:t>
            </w:r>
            <w:r w:rsidRPr="0043636D">
              <w:rPr>
                <w:rFonts w:ascii="Times New Roman" w:hAnsi="Times New Roman" w:cs="Times New Roman"/>
                <w:sz w:val="24"/>
                <w:szCs w:val="24"/>
              </w:rPr>
              <w:t xml:space="preserve"> vidējiem </w:t>
            </w:r>
            <w:r w:rsidR="00FA5C9C" w:rsidRPr="0043636D">
              <w:rPr>
                <w:rFonts w:ascii="Times New Roman" w:hAnsi="Times New Roman" w:cs="Times New Roman"/>
                <w:sz w:val="24"/>
                <w:szCs w:val="24"/>
              </w:rPr>
              <w:t>komersantiem</w:t>
            </w:r>
            <w:r w:rsidRPr="0043636D">
              <w:rPr>
                <w:rFonts w:ascii="Times New Roman" w:hAnsi="Times New Roman" w:cs="Times New Roman"/>
                <w:sz w:val="24"/>
                <w:szCs w:val="24"/>
              </w:rPr>
              <w:t>,</w:t>
            </w:r>
            <w:r w:rsidR="00553771" w:rsidRPr="0043636D">
              <w:rPr>
                <w:rFonts w:ascii="Times New Roman" w:hAnsi="Times New Roman" w:cs="Times New Roman"/>
                <w:sz w:val="24"/>
                <w:szCs w:val="24"/>
              </w:rPr>
              <w:t xml:space="preserve"> kā arī topošiem uzņēmējiem – fiziskām personām un fizisko personu grupām.</w:t>
            </w:r>
            <w:r w:rsidRPr="0043636D">
              <w:rPr>
                <w:rFonts w:ascii="Times New Roman" w:hAnsi="Times New Roman" w:cs="Times New Roman"/>
                <w:sz w:val="24"/>
                <w:szCs w:val="24"/>
              </w:rPr>
              <w:t xml:space="preserve"> </w:t>
            </w:r>
            <w:r w:rsidR="00D65281" w:rsidRPr="0043636D">
              <w:rPr>
                <w:rFonts w:ascii="Times New Roman" w:hAnsi="Times New Roman" w:cs="Times New Roman"/>
                <w:sz w:val="24"/>
                <w:szCs w:val="24"/>
              </w:rPr>
              <w:t xml:space="preserve">Iepriekš noteiktā </w:t>
            </w:r>
            <w:r w:rsidR="009B7444" w:rsidRPr="0043636D">
              <w:rPr>
                <w:rFonts w:ascii="Times New Roman" w:hAnsi="Times New Roman" w:cs="Times New Roman"/>
                <w:sz w:val="24"/>
                <w:szCs w:val="24"/>
              </w:rPr>
              <w:t>projekta līdzfinansējuma saņēmējam un projekta partneriem vienas vienības izmaksu likme un netiešās izmaksas</w:t>
            </w:r>
            <w:r w:rsidR="0043676F" w:rsidRPr="0043636D">
              <w:rPr>
                <w:rFonts w:ascii="Times New Roman" w:hAnsi="Times New Roman" w:cs="Times New Roman"/>
                <w:sz w:val="24"/>
                <w:szCs w:val="24"/>
              </w:rPr>
              <w:t xml:space="preserve"> samazina</w:t>
            </w:r>
            <w:r w:rsidR="009B7444" w:rsidRPr="0043636D">
              <w:rPr>
                <w:rFonts w:ascii="Times New Roman" w:hAnsi="Times New Roman" w:cs="Times New Roman"/>
                <w:sz w:val="24"/>
                <w:szCs w:val="24"/>
              </w:rPr>
              <w:t xml:space="preserve"> </w:t>
            </w:r>
            <w:r w:rsidR="0043676F" w:rsidRPr="0043636D">
              <w:rPr>
                <w:rFonts w:ascii="Times New Roman" w:hAnsi="Times New Roman" w:cs="Times New Roman"/>
                <w:sz w:val="24"/>
                <w:szCs w:val="24"/>
              </w:rPr>
              <w:t xml:space="preserve">administratīvo </w:t>
            </w:r>
            <w:r w:rsidR="00421251" w:rsidRPr="0043636D">
              <w:rPr>
                <w:rFonts w:ascii="Times New Roman" w:hAnsi="Times New Roman" w:cs="Times New Roman"/>
                <w:sz w:val="24"/>
                <w:szCs w:val="24"/>
              </w:rPr>
              <w:t>slog</w:t>
            </w:r>
            <w:r w:rsidR="0043676F" w:rsidRPr="0043636D">
              <w:rPr>
                <w:rFonts w:ascii="Times New Roman" w:hAnsi="Times New Roman" w:cs="Times New Roman"/>
                <w:sz w:val="24"/>
                <w:szCs w:val="24"/>
              </w:rPr>
              <w:t>u un veicina iepriekš noteiktā projekta</w:t>
            </w:r>
            <w:r w:rsidR="00E1467F" w:rsidRPr="0043636D">
              <w:rPr>
                <w:rFonts w:ascii="Times New Roman" w:hAnsi="Times New Roman" w:cs="Times New Roman"/>
                <w:sz w:val="24"/>
                <w:szCs w:val="24"/>
              </w:rPr>
              <w:t xml:space="preserve"> efektīvāku īstenošanu. Tāpat nodokļu parāda sliekšņa palielināšan</w:t>
            </w:r>
            <w:r w:rsidR="00B34ED1" w:rsidRPr="0043636D">
              <w:rPr>
                <w:rFonts w:ascii="Times New Roman" w:hAnsi="Times New Roman" w:cs="Times New Roman"/>
                <w:sz w:val="24"/>
                <w:szCs w:val="24"/>
              </w:rPr>
              <w:t xml:space="preserve">a iepriekš noteiktā projekta gala labuma guvējiem uz 1000 </w:t>
            </w:r>
            <w:r w:rsidR="00B34ED1" w:rsidRPr="0043636D">
              <w:rPr>
                <w:rFonts w:ascii="Times New Roman" w:hAnsi="Times New Roman" w:cs="Times New Roman"/>
                <w:i/>
                <w:iCs/>
                <w:sz w:val="24"/>
                <w:szCs w:val="24"/>
              </w:rPr>
              <w:t>euro</w:t>
            </w:r>
            <w:r w:rsidR="00BE4EE1" w:rsidRPr="0043636D">
              <w:rPr>
                <w:rFonts w:ascii="Times New Roman" w:hAnsi="Times New Roman" w:cs="Times New Roman"/>
                <w:sz w:val="24"/>
                <w:szCs w:val="24"/>
              </w:rPr>
              <w:t xml:space="preserve"> veicinās atbalsta pieejamību un tautsaimniecības attīstību.</w:t>
            </w:r>
            <w:r w:rsidR="00811D80" w:rsidRPr="0043636D">
              <w:rPr>
                <w:rFonts w:ascii="Times New Roman" w:hAnsi="Times New Roman" w:cs="Times New Roman"/>
                <w:sz w:val="24"/>
                <w:szCs w:val="24"/>
              </w:rPr>
              <w:t xml:space="preserve"> </w:t>
            </w:r>
          </w:p>
        </w:tc>
      </w:tr>
      <w:tr w:rsidR="005942DA" w:rsidRPr="0043636D" w14:paraId="035010E2" w14:textId="77777777" w:rsidTr="0043636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451173AE" w14:textId="77777777" w:rsidR="00655F2C"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3.</w:t>
            </w:r>
          </w:p>
        </w:tc>
        <w:tc>
          <w:tcPr>
            <w:tcW w:w="1633" w:type="pct"/>
            <w:tcBorders>
              <w:top w:val="outset" w:sz="6" w:space="0" w:color="auto"/>
              <w:left w:val="outset" w:sz="6" w:space="0" w:color="auto"/>
              <w:bottom w:val="outset" w:sz="6" w:space="0" w:color="auto"/>
              <w:right w:val="outset" w:sz="6" w:space="0" w:color="auto"/>
            </w:tcBorders>
            <w:hideMark/>
          </w:tcPr>
          <w:p w14:paraId="498FB4E0" w14:textId="77777777" w:rsidR="00E5323B"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Administratīvo izmaksu monetārs novērtējums</w:t>
            </w:r>
          </w:p>
        </w:tc>
        <w:tc>
          <w:tcPr>
            <w:tcW w:w="3033" w:type="pct"/>
            <w:gridSpan w:val="2"/>
            <w:tcBorders>
              <w:top w:val="outset" w:sz="6" w:space="0" w:color="auto"/>
              <w:left w:val="outset" w:sz="6" w:space="0" w:color="auto"/>
              <w:bottom w:val="outset" w:sz="6" w:space="0" w:color="auto"/>
              <w:right w:val="outset" w:sz="6" w:space="0" w:color="auto"/>
            </w:tcBorders>
            <w:hideMark/>
          </w:tcPr>
          <w:p w14:paraId="291AC6F9" w14:textId="26E56013" w:rsidR="00E5323B" w:rsidRPr="0043636D" w:rsidRDefault="00D3143A" w:rsidP="000932C9">
            <w:pPr>
              <w:spacing w:after="0" w:line="240" w:lineRule="auto"/>
              <w:jc w:val="both"/>
              <w:rPr>
                <w:rFonts w:ascii="Times New Roman" w:hAnsi="Times New Roman" w:cs="Times New Roman"/>
                <w:sz w:val="24"/>
                <w:szCs w:val="24"/>
              </w:rPr>
            </w:pPr>
            <w:r w:rsidRPr="0043636D">
              <w:rPr>
                <w:rFonts w:ascii="Times New Roman" w:hAnsi="Times New Roman" w:cs="Times New Roman"/>
                <w:sz w:val="24"/>
                <w:szCs w:val="24"/>
              </w:rPr>
              <w:t>Projekts šo jomu neskar</w:t>
            </w:r>
            <w:r w:rsidR="0052578E" w:rsidRPr="0043636D">
              <w:rPr>
                <w:rFonts w:ascii="Times New Roman" w:hAnsi="Times New Roman" w:cs="Times New Roman"/>
                <w:sz w:val="24"/>
                <w:szCs w:val="24"/>
              </w:rPr>
              <w:t>.</w:t>
            </w:r>
          </w:p>
        </w:tc>
      </w:tr>
      <w:tr w:rsidR="005942DA" w:rsidRPr="0043636D" w14:paraId="513DE783" w14:textId="77777777" w:rsidTr="0043636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1A45A16" w14:textId="77777777" w:rsidR="00655F2C"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4.</w:t>
            </w:r>
          </w:p>
        </w:tc>
        <w:tc>
          <w:tcPr>
            <w:tcW w:w="1633" w:type="pct"/>
            <w:tcBorders>
              <w:top w:val="outset" w:sz="6" w:space="0" w:color="auto"/>
              <w:left w:val="outset" w:sz="6" w:space="0" w:color="auto"/>
              <w:bottom w:val="outset" w:sz="6" w:space="0" w:color="auto"/>
              <w:right w:val="outset" w:sz="6" w:space="0" w:color="auto"/>
            </w:tcBorders>
            <w:hideMark/>
          </w:tcPr>
          <w:p w14:paraId="0920C960" w14:textId="77777777" w:rsidR="00E5323B"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Atbilstības izmaksu monetārs novērtējums</w:t>
            </w:r>
          </w:p>
        </w:tc>
        <w:tc>
          <w:tcPr>
            <w:tcW w:w="3033" w:type="pct"/>
            <w:gridSpan w:val="2"/>
            <w:tcBorders>
              <w:top w:val="outset" w:sz="6" w:space="0" w:color="auto"/>
              <w:left w:val="outset" w:sz="6" w:space="0" w:color="auto"/>
              <w:bottom w:val="outset" w:sz="6" w:space="0" w:color="auto"/>
              <w:right w:val="outset" w:sz="6" w:space="0" w:color="auto"/>
            </w:tcBorders>
            <w:hideMark/>
          </w:tcPr>
          <w:p w14:paraId="49DA2803" w14:textId="48A373A5" w:rsidR="00E5323B" w:rsidRPr="0043636D" w:rsidRDefault="00D3143A" w:rsidP="000932C9">
            <w:pPr>
              <w:spacing w:after="0" w:line="240" w:lineRule="auto"/>
              <w:jc w:val="both"/>
              <w:rPr>
                <w:rFonts w:ascii="Times New Roman" w:hAnsi="Times New Roman" w:cs="Times New Roman"/>
                <w:sz w:val="24"/>
                <w:szCs w:val="24"/>
              </w:rPr>
            </w:pPr>
            <w:r w:rsidRPr="0043636D">
              <w:rPr>
                <w:rFonts w:ascii="Times New Roman" w:hAnsi="Times New Roman" w:cs="Times New Roman"/>
                <w:sz w:val="24"/>
                <w:szCs w:val="24"/>
              </w:rPr>
              <w:t>Projekts šo jomu neskar</w:t>
            </w:r>
            <w:r w:rsidR="0052578E" w:rsidRPr="0043636D">
              <w:rPr>
                <w:rFonts w:ascii="Times New Roman" w:hAnsi="Times New Roman" w:cs="Times New Roman"/>
                <w:sz w:val="24"/>
                <w:szCs w:val="24"/>
              </w:rPr>
              <w:t>.</w:t>
            </w:r>
          </w:p>
        </w:tc>
      </w:tr>
      <w:tr w:rsidR="005942DA" w:rsidRPr="0043636D" w14:paraId="250B8A84" w14:textId="77777777" w:rsidTr="0043636D">
        <w:trPr>
          <w:trHeight w:val="20"/>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4EE7600F" w14:textId="77777777" w:rsidR="00655F2C"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5.</w:t>
            </w:r>
          </w:p>
        </w:tc>
        <w:tc>
          <w:tcPr>
            <w:tcW w:w="1633" w:type="pct"/>
            <w:tcBorders>
              <w:top w:val="outset" w:sz="6" w:space="0" w:color="auto"/>
              <w:left w:val="outset" w:sz="6" w:space="0" w:color="auto"/>
              <w:bottom w:val="outset" w:sz="6" w:space="0" w:color="auto"/>
              <w:right w:val="outset" w:sz="6" w:space="0" w:color="auto"/>
            </w:tcBorders>
            <w:hideMark/>
          </w:tcPr>
          <w:p w14:paraId="1D5D06A1" w14:textId="77777777" w:rsidR="00E5323B" w:rsidRPr="0043636D" w:rsidRDefault="00D3143A" w:rsidP="000932C9">
            <w:pPr>
              <w:spacing w:after="0" w:line="240" w:lineRule="auto"/>
              <w:rPr>
                <w:rFonts w:ascii="Times New Roman" w:hAnsi="Times New Roman" w:cs="Times New Roman"/>
                <w:sz w:val="24"/>
                <w:szCs w:val="24"/>
              </w:rPr>
            </w:pPr>
            <w:r w:rsidRPr="0043636D">
              <w:rPr>
                <w:rFonts w:ascii="Times New Roman" w:hAnsi="Times New Roman" w:cs="Times New Roman"/>
                <w:sz w:val="24"/>
                <w:szCs w:val="24"/>
              </w:rPr>
              <w:t>Cita informācija</w:t>
            </w:r>
          </w:p>
        </w:tc>
        <w:tc>
          <w:tcPr>
            <w:tcW w:w="3033" w:type="pct"/>
            <w:gridSpan w:val="2"/>
            <w:tcBorders>
              <w:top w:val="outset" w:sz="6" w:space="0" w:color="auto"/>
              <w:left w:val="outset" w:sz="6" w:space="0" w:color="auto"/>
              <w:bottom w:val="outset" w:sz="6" w:space="0" w:color="auto"/>
              <w:right w:val="outset" w:sz="6" w:space="0" w:color="auto"/>
            </w:tcBorders>
            <w:hideMark/>
          </w:tcPr>
          <w:p w14:paraId="14D4068A" w14:textId="41986A5E" w:rsidR="00E5323B" w:rsidRPr="0043636D" w:rsidRDefault="00D3143A" w:rsidP="000932C9">
            <w:pPr>
              <w:spacing w:after="0" w:line="240" w:lineRule="auto"/>
              <w:jc w:val="both"/>
              <w:rPr>
                <w:rFonts w:ascii="Times New Roman" w:hAnsi="Times New Roman" w:cs="Times New Roman"/>
                <w:sz w:val="24"/>
                <w:szCs w:val="24"/>
              </w:rPr>
            </w:pPr>
            <w:r w:rsidRPr="0043636D">
              <w:rPr>
                <w:rFonts w:ascii="Times New Roman" w:hAnsi="Times New Roman" w:cs="Times New Roman"/>
                <w:sz w:val="24"/>
                <w:szCs w:val="24"/>
              </w:rPr>
              <w:t>Nav</w:t>
            </w:r>
            <w:r w:rsidR="0052578E" w:rsidRPr="0043636D">
              <w:rPr>
                <w:rFonts w:ascii="Times New Roman" w:hAnsi="Times New Roman" w:cs="Times New Roman"/>
                <w:sz w:val="24"/>
                <w:szCs w:val="24"/>
              </w:rPr>
              <w:t>.</w:t>
            </w:r>
          </w:p>
        </w:tc>
      </w:tr>
      <w:tr w:rsidR="007061D1" w:rsidRPr="0043636D" w14:paraId="0A5A8E2C" w14:textId="77777777" w:rsidTr="0043636D">
        <w:trPr>
          <w:gridAfter w:val="1"/>
          <w:wAfter w:w="48" w:type="pct"/>
          <w:tblCellSpacing w:w="15" w:type="dxa"/>
        </w:trPr>
        <w:tc>
          <w:tcPr>
            <w:tcW w:w="4903" w:type="pct"/>
            <w:gridSpan w:val="3"/>
            <w:tcBorders>
              <w:top w:val="outset" w:sz="6" w:space="0" w:color="auto"/>
              <w:left w:val="outset" w:sz="6" w:space="0" w:color="auto"/>
              <w:bottom w:val="outset" w:sz="6" w:space="0" w:color="auto"/>
              <w:right w:val="outset" w:sz="6" w:space="0" w:color="auto"/>
            </w:tcBorders>
            <w:vAlign w:val="center"/>
            <w:hideMark/>
          </w:tcPr>
          <w:p w14:paraId="41558EF8" w14:textId="77777777" w:rsidR="007061D1" w:rsidRPr="0043636D" w:rsidRDefault="007061D1" w:rsidP="007061D1">
            <w:pPr>
              <w:spacing w:after="0" w:line="240" w:lineRule="auto"/>
              <w:rPr>
                <w:rFonts w:ascii="Times New Roman" w:eastAsia="Times New Roman" w:hAnsi="Times New Roman" w:cs="Times New Roman"/>
                <w:b/>
                <w:bCs/>
                <w:iCs/>
                <w:color w:val="414142"/>
                <w:sz w:val="24"/>
                <w:szCs w:val="24"/>
                <w:lang w:eastAsia="lv-LV"/>
              </w:rPr>
            </w:pPr>
            <w:r w:rsidRPr="004363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3EC56348" w:rsidRPr="0043636D" w14:paraId="0A786BF1" w14:textId="77777777" w:rsidTr="0043636D">
        <w:trPr>
          <w:gridAfter w:val="1"/>
          <w:wAfter w:w="48" w:type="pct"/>
          <w:tblCellSpacing w:w="15" w:type="dxa"/>
        </w:trPr>
        <w:tc>
          <w:tcPr>
            <w:tcW w:w="4903" w:type="pct"/>
            <w:gridSpan w:val="3"/>
            <w:tcBorders>
              <w:top w:val="outset" w:sz="6" w:space="0" w:color="auto"/>
              <w:left w:val="outset" w:sz="6" w:space="0" w:color="auto"/>
              <w:bottom w:val="outset" w:sz="6" w:space="0" w:color="auto"/>
              <w:right w:val="outset" w:sz="6" w:space="0" w:color="auto"/>
            </w:tcBorders>
            <w:vAlign w:val="center"/>
            <w:hideMark/>
          </w:tcPr>
          <w:p w14:paraId="6BD045D7" w14:textId="09A903C9" w:rsidR="62D402C2" w:rsidRPr="0043636D" w:rsidRDefault="62D402C2" w:rsidP="3EC56348">
            <w:pPr>
              <w:spacing w:line="240" w:lineRule="auto"/>
              <w:rPr>
                <w:rFonts w:ascii="Times New Roman" w:eastAsia="Times New Roman" w:hAnsi="Times New Roman" w:cs="Times New Roman"/>
                <w:color w:val="414142"/>
                <w:sz w:val="24"/>
                <w:szCs w:val="24"/>
                <w:lang w:eastAsia="lv-LV"/>
              </w:rPr>
            </w:pPr>
            <w:r w:rsidRPr="0043636D">
              <w:rPr>
                <w:rFonts w:ascii="Times New Roman" w:eastAsia="Times New Roman" w:hAnsi="Times New Roman" w:cs="Times New Roman"/>
                <w:color w:val="414142"/>
                <w:sz w:val="24"/>
                <w:szCs w:val="24"/>
                <w:lang w:eastAsia="lv-LV"/>
              </w:rPr>
              <w:t>Projekts šo jomu neskar.</w:t>
            </w:r>
          </w:p>
        </w:tc>
      </w:tr>
    </w:tbl>
    <w:p w14:paraId="4FF3BC3C" w14:textId="7FB8E426" w:rsidR="007061D1" w:rsidRDefault="007061D1" w:rsidP="007061D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5E00D4" w:rsidRPr="0043636D" w14:paraId="44A3F812" w14:textId="77777777" w:rsidTr="00F669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3828C" w14:textId="77777777" w:rsidR="005E00D4" w:rsidRPr="0043636D" w:rsidRDefault="005E00D4" w:rsidP="00F66958">
            <w:pPr>
              <w:spacing w:after="0" w:line="240" w:lineRule="auto"/>
              <w:rPr>
                <w:rFonts w:ascii="Times New Roman" w:eastAsia="Times New Roman" w:hAnsi="Times New Roman" w:cs="Times New Roman"/>
                <w:b/>
                <w:bCs/>
                <w:iCs/>
                <w:color w:val="414142"/>
                <w:sz w:val="24"/>
                <w:szCs w:val="24"/>
                <w:lang w:eastAsia="lv-LV"/>
              </w:rPr>
            </w:pPr>
            <w:r w:rsidRPr="0043636D">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5E00D4" w:rsidRPr="0043636D" w14:paraId="38FA5370" w14:textId="77777777" w:rsidTr="00F669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70A1C1" w14:textId="77777777" w:rsidR="005E00D4" w:rsidRPr="0043636D" w:rsidRDefault="005E00D4" w:rsidP="00F66958">
            <w:pPr>
              <w:spacing w:after="0" w:line="240" w:lineRule="auto"/>
              <w:rPr>
                <w:rFonts w:ascii="Times New Roman" w:eastAsia="Times New Roman" w:hAnsi="Times New Roman" w:cs="Times New Roman"/>
                <w:b/>
                <w:bCs/>
                <w:iCs/>
                <w:color w:val="414142"/>
                <w:sz w:val="24"/>
                <w:szCs w:val="24"/>
                <w:lang w:eastAsia="lv-LV"/>
              </w:rPr>
            </w:pPr>
            <w:r w:rsidRPr="0043636D">
              <w:rPr>
                <w:rFonts w:ascii="Times New Roman" w:eastAsia="Times New Roman" w:hAnsi="Times New Roman" w:cs="Times New Roman"/>
                <w:iCs/>
                <w:color w:val="414142"/>
                <w:sz w:val="24"/>
                <w:szCs w:val="24"/>
                <w:lang w:eastAsia="lv-LV"/>
              </w:rPr>
              <w:t>Projekts šo jomu neskar.</w:t>
            </w:r>
          </w:p>
        </w:tc>
      </w:tr>
    </w:tbl>
    <w:p w14:paraId="469A120E" w14:textId="77777777" w:rsidR="005E00D4" w:rsidRDefault="005E00D4" w:rsidP="007061D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2281"/>
        <w:gridCol w:w="6327"/>
      </w:tblGrid>
      <w:tr w:rsidR="00651EA0" w:rsidRPr="00F629D4" w14:paraId="4B7430EF" w14:textId="77777777" w:rsidTr="00F669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4B366F" w14:textId="77777777" w:rsidR="00651EA0" w:rsidRPr="00F629D4" w:rsidRDefault="00651EA0" w:rsidP="00F66958">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51EA0" w:rsidRPr="00F629D4" w14:paraId="56E34DB1" w14:textId="77777777" w:rsidTr="00F669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860B9A"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0877F76E" w14:textId="77777777" w:rsidR="00651EA0" w:rsidRPr="00F629D4" w:rsidRDefault="00651EA0" w:rsidP="00F66958">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hideMark/>
          </w:tcPr>
          <w:p w14:paraId="7D5BDA53" w14:textId="77777777" w:rsidR="00651EA0" w:rsidRPr="00F629D4" w:rsidRDefault="00651EA0" w:rsidP="00F66958">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Ar noteikumu projektu tiks ieviestas prasības no:</w:t>
            </w:r>
          </w:p>
          <w:p w14:paraId="763B4C34" w14:textId="77777777" w:rsidR="00375DF9" w:rsidRDefault="00375DF9" w:rsidP="00651EA0">
            <w:pPr>
              <w:pStyle w:val="ListParagraph"/>
              <w:numPr>
                <w:ilvl w:val="0"/>
                <w:numId w:val="5"/>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Komisijas </w:t>
            </w:r>
            <w:r>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egulas Nr. 1407/2013</w:t>
            </w:r>
            <w:r>
              <w:rPr>
                <w:rFonts w:ascii="Times New Roman" w:eastAsia="Times New Roman" w:hAnsi="Times New Roman" w:cs="Times New Roman"/>
                <w:iCs/>
                <w:sz w:val="24"/>
                <w:szCs w:val="24"/>
                <w:lang w:eastAsia="lv-LV"/>
              </w:rPr>
              <w:t>;</w:t>
            </w:r>
          </w:p>
          <w:p w14:paraId="4D5BD410" w14:textId="3DDD8F9E" w:rsidR="00651EA0" w:rsidRPr="00375DF9" w:rsidRDefault="00651EA0" w:rsidP="00375DF9">
            <w:pPr>
              <w:pStyle w:val="ListParagraph"/>
              <w:numPr>
                <w:ilvl w:val="0"/>
                <w:numId w:val="5"/>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Komisijas </w:t>
            </w:r>
            <w:r>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egulas Nr. 651/2014;</w:t>
            </w:r>
          </w:p>
        </w:tc>
      </w:tr>
      <w:tr w:rsidR="00651EA0" w:rsidRPr="00F629D4" w14:paraId="68A7767B" w14:textId="77777777" w:rsidTr="00F669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285E02"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4CAB6358"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Citas starptautiskās saistības</w:t>
            </w:r>
          </w:p>
        </w:tc>
        <w:tc>
          <w:tcPr>
            <w:tcW w:w="3414" w:type="pct"/>
            <w:tcBorders>
              <w:top w:val="outset" w:sz="6" w:space="0" w:color="auto"/>
              <w:left w:val="outset" w:sz="6" w:space="0" w:color="auto"/>
              <w:bottom w:val="outset" w:sz="6" w:space="0" w:color="auto"/>
              <w:right w:val="outset" w:sz="6" w:space="0" w:color="auto"/>
            </w:tcBorders>
            <w:hideMark/>
          </w:tcPr>
          <w:p w14:paraId="660F0108" w14:textId="28917A21" w:rsidR="00651EA0" w:rsidRPr="00F629D4" w:rsidRDefault="00651EA0" w:rsidP="00F669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51EA0" w:rsidRPr="00F629D4" w14:paraId="52BF614E" w14:textId="77777777" w:rsidTr="00F669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794012"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759BE840"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7929C6DF"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bl>
    <w:p w14:paraId="1304D6C3" w14:textId="77777777" w:rsidR="00651EA0" w:rsidRPr="00F629D4" w:rsidRDefault="00651EA0" w:rsidP="00651E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80"/>
        <w:gridCol w:w="2070"/>
        <w:gridCol w:w="1652"/>
        <w:gridCol w:w="2196"/>
      </w:tblGrid>
      <w:tr w:rsidR="00651EA0" w:rsidRPr="00F629D4" w14:paraId="606A3176" w14:textId="77777777" w:rsidTr="00D15DA7">
        <w:trPr>
          <w:tblCellSpacing w:w="15" w:type="dxa"/>
        </w:trPr>
        <w:tc>
          <w:tcPr>
            <w:tcW w:w="9138" w:type="dxa"/>
            <w:gridSpan w:val="4"/>
            <w:tcBorders>
              <w:top w:val="outset" w:sz="6" w:space="0" w:color="auto"/>
              <w:left w:val="outset" w:sz="6" w:space="0" w:color="auto"/>
              <w:bottom w:val="outset" w:sz="6" w:space="0" w:color="auto"/>
              <w:right w:val="outset" w:sz="6" w:space="0" w:color="auto"/>
            </w:tcBorders>
            <w:vAlign w:val="center"/>
            <w:hideMark/>
          </w:tcPr>
          <w:p w14:paraId="3BAFC01F" w14:textId="77777777" w:rsidR="00651EA0" w:rsidRPr="00F629D4" w:rsidRDefault="00651EA0" w:rsidP="00F66958">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1. tabula</w:t>
            </w:r>
            <w:r w:rsidRPr="00F629D4">
              <w:rPr>
                <w:rFonts w:ascii="Times New Roman" w:eastAsia="Times New Roman" w:hAnsi="Times New Roman" w:cs="Times New Roman"/>
                <w:b/>
                <w:bCs/>
                <w:iCs/>
                <w:sz w:val="24"/>
                <w:szCs w:val="24"/>
                <w:lang w:eastAsia="lv-LV"/>
              </w:rPr>
              <w:br/>
              <w:t>Tiesību akta projekta atbilstība ES tiesību aktiem</w:t>
            </w:r>
          </w:p>
        </w:tc>
      </w:tr>
      <w:tr w:rsidR="00651EA0" w:rsidRPr="00F629D4" w14:paraId="6939B5AC"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hideMark/>
          </w:tcPr>
          <w:p w14:paraId="64F871A7"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Attiecīgā ES tiesību akta datums, numurs un nosaukums</w:t>
            </w:r>
          </w:p>
        </w:tc>
        <w:tc>
          <w:tcPr>
            <w:tcW w:w="5873" w:type="dxa"/>
            <w:gridSpan w:val="3"/>
            <w:tcBorders>
              <w:top w:val="outset" w:sz="6" w:space="0" w:color="auto"/>
              <w:left w:val="outset" w:sz="6" w:space="0" w:color="auto"/>
              <w:bottom w:val="outset" w:sz="6" w:space="0" w:color="auto"/>
              <w:right w:val="outset" w:sz="6" w:space="0" w:color="auto"/>
            </w:tcBorders>
            <w:hideMark/>
          </w:tcPr>
          <w:p w14:paraId="2A2D0230" w14:textId="77777777" w:rsidR="00651EA0" w:rsidRPr="00F629D4" w:rsidRDefault="00651EA0" w:rsidP="00F66958">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Noteikumu projekts nodrošina šādu ES tiesību aktu ievērošanu:</w:t>
            </w:r>
          </w:p>
          <w:p w14:paraId="6FD9ECF1" w14:textId="77777777" w:rsidR="00DF6893" w:rsidRDefault="00DF6893" w:rsidP="00651EA0">
            <w:pPr>
              <w:pStyle w:val="ListParagraph"/>
              <w:numPr>
                <w:ilvl w:val="0"/>
                <w:numId w:val="6"/>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Komisijas </w:t>
            </w:r>
            <w:r>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egula Nr. 1407/2013</w:t>
            </w:r>
            <w:r>
              <w:rPr>
                <w:rFonts w:ascii="Times New Roman" w:eastAsia="Times New Roman" w:hAnsi="Times New Roman" w:cs="Times New Roman"/>
                <w:iCs/>
                <w:sz w:val="24"/>
                <w:szCs w:val="24"/>
                <w:lang w:eastAsia="lv-LV"/>
              </w:rPr>
              <w:t>;</w:t>
            </w:r>
          </w:p>
          <w:p w14:paraId="2B07E71B" w14:textId="27F3377F" w:rsidR="00651EA0" w:rsidRPr="00DF6893" w:rsidRDefault="00651EA0" w:rsidP="00DF6893">
            <w:pPr>
              <w:pStyle w:val="ListParagraph"/>
              <w:numPr>
                <w:ilvl w:val="0"/>
                <w:numId w:val="6"/>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Komisijas </w:t>
            </w:r>
            <w:r>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egula Nr. 651/2014</w:t>
            </w:r>
            <w:r w:rsidR="00DF6893">
              <w:rPr>
                <w:rFonts w:ascii="Times New Roman" w:eastAsia="Times New Roman" w:hAnsi="Times New Roman" w:cs="Times New Roman"/>
                <w:iCs/>
                <w:sz w:val="24"/>
                <w:szCs w:val="24"/>
                <w:lang w:eastAsia="lv-LV"/>
              </w:rPr>
              <w:t>.</w:t>
            </w:r>
          </w:p>
        </w:tc>
      </w:tr>
      <w:tr w:rsidR="00651EA0" w:rsidRPr="00F629D4" w14:paraId="6421F05D"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vAlign w:val="center"/>
            <w:hideMark/>
          </w:tcPr>
          <w:p w14:paraId="65FB7088"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w:t>
            </w:r>
          </w:p>
        </w:tc>
        <w:tc>
          <w:tcPr>
            <w:tcW w:w="2040" w:type="dxa"/>
            <w:tcBorders>
              <w:top w:val="outset" w:sz="6" w:space="0" w:color="auto"/>
              <w:left w:val="outset" w:sz="6" w:space="0" w:color="auto"/>
              <w:bottom w:val="outset" w:sz="6" w:space="0" w:color="auto"/>
              <w:right w:val="outset" w:sz="6" w:space="0" w:color="auto"/>
            </w:tcBorders>
            <w:vAlign w:val="center"/>
            <w:hideMark/>
          </w:tcPr>
          <w:p w14:paraId="7A190491"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B</w:t>
            </w:r>
          </w:p>
        </w:tc>
        <w:tc>
          <w:tcPr>
            <w:tcW w:w="1622" w:type="dxa"/>
            <w:tcBorders>
              <w:top w:val="outset" w:sz="6" w:space="0" w:color="auto"/>
              <w:left w:val="outset" w:sz="6" w:space="0" w:color="auto"/>
              <w:bottom w:val="outset" w:sz="6" w:space="0" w:color="auto"/>
              <w:right w:val="outset" w:sz="6" w:space="0" w:color="auto"/>
            </w:tcBorders>
            <w:vAlign w:val="center"/>
            <w:hideMark/>
          </w:tcPr>
          <w:p w14:paraId="2CD135D9"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w:t>
            </w:r>
          </w:p>
        </w:tc>
        <w:tc>
          <w:tcPr>
            <w:tcW w:w="2151" w:type="dxa"/>
            <w:tcBorders>
              <w:top w:val="outset" w:sz="6" w:space="0" w:color="auto"/>
              <w:left w:val="outset" w:sz="6" w:space="0" w:color="auto"/>
              <w:bottom w:val="outset" w:sz="6" w:space="0" w:color="auto"/>
              <w:right w:val="outset" w:sz="6" w:space="0" w:color="auto"/>
            </w:tcBorders>
            <w:vAlign w:val="center"/>
            <w:hideMark/>
          </w:tcPr>
          <w:p w14:paraId="710B9361"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D</w:t>
            </w:r>
          </w:p>
        </w:tc>
      </w:tr>
      <w:tr w:rsidR="00651EA0" w:rsidRPr="00F629D4" w14:paraId="6003F573"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hideMark/>
          </w:tcPr>
          <w:p w14:paraId="050F1101"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2040" w:type="dxa"/>
            <w:tcBorders>
              <w:top w:val="outset" w:sz="6" w:space="0" w:color="auto"/>
              <w:left w:val="outset" w:sz="6" w:space="0" w:color="auto"/>
              <w:bottom w:val="outset" w:sz="6" w:space="0" w:color="auto"/>
              <w:right w:val="outset" w:sz="6" w:space="0" w:color="auto"/>
            </w:tcBorders>
            <w:hideMark/>
          </w:tcPr>
          <w:p w14:paraId="2E0C1873"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622" w:type="dxa"/>
            <w:tcBorders>
              <w:top w:val="outset" w:sz="6" w:space="0" w:color="auto"/>
              <w:left w:val="outset" w:sz="6" w:space="0" w:color="auto"/>
              <w:bottom w:val="outset" w:sz="6" w:space="0" w:color="auto"/>
              <w:right w:val="outset" w:sz="6" w:space="0" w:color="auto"/>
            </w:tcBorders>
            <w:hideMark/>
          </w:tcPr>
          <w:p w14:paraId="2112B963"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629D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629D4">
              <w:rPr>
                <w:rFonts w:ascii="Times New Roman" w:eastAsia="Times New Roman" w:hAnsi="Times New Roman" w:cs="Times New Roman"/>
                <w:iCs/>
                <w:sz w:val="24"/>
                <w:szCs w:val="24"/>
                <w:lang w:eastAsia="lv-LV"/>
              </w:rPr>
              <w:br/>
              <w:t xml:space="preserve">Norāda institūciju, kas ir atbildīga par </w:t>
            </w:r>
            <w:r w:rsidRPr="00F629D4">
              <w:rPr>
                <w:rFonts w:ascii="Times New Roman" w:eastAsia="Times New Roman" w:hAnsi="Times New Roman" w:cs="Times New Roman"/>
                <w:iCs/>
                <w:sz w:val="24"/>
                <w:szCs w:val="24"/>
                <w:lang w:eastAsia="lv-LV"/>
              </w:rPr>
              <w:lastRenderedPageBreak/>
              <w:t>šo saistību izpildi pilnībā</w:t>
            </w:r>
          </w:p>
        </w:tc>
        <w:tc>
          <w:tcPr>
            <w:tcW w:w="2151" w:type="dxa"/>
            <w:tcBorders>
              <w:top w:val="outset" w:sz="6" w:space="0" w:color="auto"/>
              <w:left w:val="outset" w:sz="6" w:space="0" w:color="auto"/>
              <w:bottom w:val="outset" w:sz="6" w:space="0" w:color="auto"/>
              <w:right w:val="outset" w:sz="6" w:space="0" w:color="auto"/>
            </w:tcBorders>
            <w:hideMark/>
          </w:tcPr>
          <w:p w14:paraId="665EDAFC"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F629D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629D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51EA0" w:rsidRPr="00F629D4" w14:paraId="0DBAF2B7"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shd w:val="clear" w:color="auto" w:fill="auto"/>
          </w:tcPr>
          <w:p w14:paraId="044F0762" w14:textId="666C0C77"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Style w:val="normaltextrun"/>
                <w:rFonts w:ascii="Times New Roman" w:hAnsi="Times New Roman"/>
                <w:sz w:val="24"/>
                <w:szCs w:val="24"/>
                <w:bdr w:val="none" w:sz="0" w:space="0" w:color="auto" w:frame="1"/>
              </w:rPr>
              <w:t xml:space="preserve">Komisijas </w:t>
            </w:r>
            <w:r w:rsidR="00DF6893">
              <w:rPr>
                <w:rStyle w:val="normaltextrun"/>
                <w:rFonts w:ascii="Times New Roman" w:hAnsi="Times New Roman"/>
                <w:sz w:val="24"/>
                <w:szCs w:val="24"/>
                <w:bdr w:val="none" w:sz="0" w:space="0" w:color="auto" w:frame="1"/>
              </w:rPr>
              <w:t>R</w:t>
            </w:r>
            <w:r w:rsidRPr="00F629D4">
              <w:rPr>
                <w:rStyle w:val="normaltextrun"/>
                <w:rFonts w:ascii="Times New Roman" w:hAnsi="Times New Roman"/>
                <w:sz w:val="24"/>
                <w:szCs w:val="24"/>
                <w:bdr w:val="none" w:sz="0" w:space="0" w:color="auto" w:frame="1"/>
              </w:rPr>
              <w:t>egulas N</w:t>
            </w:r>
            <w:r w:rsidR="00DF6893">
              <w:rPr>
                <w:rStyle w:val="normaltextrun"/>
                <w:rFonts w:ascii="Times New Roman" w:hAnsi="Times New Roman"/>
                <w:sz w:val="24"/>
                <w:szCs w:val="24"/>
                <w:bdr w:val="none" w:sz="0" w:space="0" w:color="auto" w:frame="1"/>
              </w:rPr>
              <w:t>r. 1407</w:t>
            </w:r>
            <w:r w:rsidRPr="00F629D4">
              <w:rPr>
                <w:rStyle w:val="normaltextrun"/>
                <w:rFonts w:ascii="Times New Roman" w:hAnsi="Times New Roman"/>
                <w:sz w:val="24"/>
                <w:szCs w:val="24"/>
                <w:bdr w:val="none" w:sz="0" w:space="0" w:color="auto" w:frame="1"/>
              </w:rPr>
              <w:t>/201</w:t>
            </w:r>
            <w:r w:rsidR="00DF6893">
              <w:rPr>
                <w:rStyle w:val="normaltextrun"/>
                <w:rFonts w:ascii="Times New Roman" w:hAnsi="Times New Roman"/>
                <w:sz w:val="24"/>
                <w:szCs w:val="24"/>
                <w:bdr w:val="none" w:sz="0" w:space="0" w:color="auto" w:frame="1"/>
              </w:rPr>
              <w:t>3</w:t>
            </w:r>
            <w:r w:rsidRPr="00F629D4">
              <w:rPr>
                <w:rStyle w:val="normaltextrun"/>
                <w:rFonts w:ascii="Times New Roman" w:hAnsi="Times New Roman"/>
                <w:sz w:val="24"/>
                <w:szCs w:val="24"/>
                <w:bdr w:val="none" w:sz="0" w:space="0" w:color="auto" w:frame="1"/>
              </w:rPr>
              <w:t xml:space="preserve"> </w:t>
            </w:r>
            <w:r w:rsidR="00DF6893" w:rsidRPr="0043636D">
              <w:rPr>
                <w:rFonts w:ascii="Times New Roman" w:hAnsi="Times New Roman" w:cs="Times New Roman"/>
                <w:sz w:val="24"/>
                <w:szCs w:val="24"/>
                <w:shd w:val="clear" w:color="auto" w:fill="FFFFFF"/>
              </w:rPr>
              <w:t>6.</w:t>
            </w:r>
            <w:r w:rsidR="00DF6893">
              <w:rPr>
                <w:shd w:val="clear" w:color="auto" w:fill="FFFFFF"/>
              </w:rPr>
              <w:t xml:space="preserve"> </w:t>
            </w:r>
            <w:r w:rsidR="00DF6893" w:rsidRPr="0043636D">
              <w:rPr>
                <w:rFonts w:ascii="Times New Roman" w:hAnsi="Times New Roman" w:cs="Times New Roman"/>
                <w:sz w:val="24"/>
                <w:szCs w:val="24"/>
                <w:shd w:val="clear" w:color="auto" w:fill="FFFFFF"/>
              </w:rPr>
              <w:t>panta 4.</w:t>
            </w:r>
            <w:r w:rsidR="00DF6893">
              <w:rPr>
                <w:shd w:val="clear" w:color="auto" w:fill="FFFFFF"/>
              </w:rPr>
              <w:t xml:space="preserve"> </w:t>
            </w:r>
            <w:r w:rsidR="00DF6893" w:rsidRPr="0043636D">
              <w:rPr>
                <w:rFonts w:ascii="Times New Roman" w:hAnsi="Times New Roman" w:cs="Times New Roman"/>
                <w:sz w:val="24"/>
                <w:szCs w:val="24"/>
                <w:shd w:val="clear" w:color="auto" w:fill="FFFFFF"/>
              </w:rPr>
              <w:t>punkt</w:t>
            </w:r>
            <w:r w:rsidR="00DF6893">
              <w:rPr>
                <w:rFonts w:ascii="Times New Roman" w:hAnsi="Times New Roman" w:cs="Times New Roman"/>
                <w:sz w:val="24"/>
                <w:szCs w:val="24"/>
                <w:shd w:val="clear" w:color="auto" w:fill="FFFFFF"/>
              </w:rPr>
              <w:t>s</w:t>
            </w:r>
          </w:p>
        </w:tc>
        <w:tc>
          <w:tcPr>
            <w:tcW w:w="2040" w:type="dxa"/>
            <w:tcBorders>
              <w:top w:val="outset" w:sz="6" w:space="0" w:color="auto"/>
              <w:left w:val="outset" w:sz="6" w:space="0" w:color="auto"/>
              <w:bottom w:val="outset" w:sz="6" w:space="0" w:color="auto"/>
              <w:right w:val="outset" w:sz="6" w:space="0" w:color="auto"/>
            </w:tcBorders>
            <w:shd w:val="clear" w:color="auto" w:fill="auto"/>
          </w:tcPr>
          <w:p w14:paraId="66DAE276" w14:textId="1BCDA010"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0DF6893">
              <w:rPr>
                <w:rFonts w:ascii="Times New Roman" w:eastAsia="Times New Roman" w:hAnsi="Times New Roman" w:cs="Times New Roman"/>
                <w:sz w:val="24"/>
                <w:szCs w:val="24"/>
                <w:lang w:eastAsia="lv-LV"/>
              </w:rPr>
              <w:t xml:space="preserve">15.5. </w:t>
            </w:r>
            <w:r w:rsidR="005E00D4">
              <w:rPr>
                <w:rFonts w:ascii="Times New Roman" w:eastAsia="Times New Roman" w:hAnsi="Times New Roman" w:cs="Times New Roman"/>
                <w:sz w:val="24"/>
                <w:szCs w:val="24"/>
                <w:lang w:eastAsia="lv-LV"/>
              </w:rPr>
              <w:t>apakš</w:t>
            </w:r>
            <w:r w:rsidRPr="00F629D4">
              <w:rPr>
                <w:rFonts w:ascii="Times New Roman" w:eastAsia="Times New Roman" w:hAnsi="Times New Roman" w:cs="Times New Roman"/>
                <w:sz w:val="24"/>
                <w:szCs w:val="24"/>
                <w:lang w:eastAsia="lv-LV"/>
              </w:rPr>
              <w:t>punkts</w:t>
            </w:r>
          </w:p>
        </w:tc>
        <w:tc>
          <w:tcPr>
            <w:tcW w:w="1622" w:type="dxa"/>
            <w:tcBorders>
              <w:top w:val="outset" w:sz="6" w:space="0" w:color="auto"/>
              <w:left w:val="outset" w:sz="6" w:space="0" w:color="auto"/>
              <w:bottom w:val="outset" w:sz="6" w:space="0" w:color="auto"/>
              <w:right w:val="outset" w:sz="6" w:space="0" w:color="auto"/>
            </w:tcBorders>
          </w:tcPr>
          <w:p w14:paraId="762EBAFB" w14:textId="77777777"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Ieviesta pilnībā</w:t>
            </w:r>
          </w:p>
        </w:tc>
        <w:tc>
          <w:tcPr>
            <w:tcW w:w="2151" w:type="dxa"/>
            <w:tcBorders>
              <w:top w:val="outset" w:sz="6" w:space="0" w:color="auto"/>
              <w:left w:val="outset" w:sz="6" w:space="0" w:color="auto"/>
              <w:bottom w:val="outset" w:sz="6" w:space="0" w:color="auto"/>
              <w:right w:val="outset" w:sz="6" w:space="0" w:color="auto"/>
            </w:tcBorders>
          </w:tcPr>
          <w:p w14:paraId="79C82185" w14:textId="77777777"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Neparedz stingrākas prasības</w:t>
            </w:r>
          </w:p>
        </w:tc>
      </w:tr>
      <w:tr w:rsidR="00651EA0" w:rsidRPr="00F629D4" w14:paraId="5EBD9985"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shd w:val="clear" w:color="auto" w:fill="auto"/>
          </w:tcPr>
          <w:p w14:paraId="57FE12A6" w14:textId="5E844567"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Style w:val="normaltextrun"/>
                <w:rFonts w:ascii="Times New Roman" w:hAnsi="Times New Roman"/>
                <w:sz w:val="24"/>
                <w:szCs w:val="24"/>
                <w:bdr w:val="none" w:sz="0" w:space="0" w:color="auto" w:frame="1"/>
              </w:rPr>
              <w:t xml:space="preserve">Komisijas </w:t>
            </w:r>
            <w:r w:rsidR="005E00D4">
              <w:rPr>
                <w:rStyle w:val="normaltextrun"/>
                <w:rFonts w:ascii="Times New Roman" w:hAnsi="Times New Roman"/>
                <w:sz w:val="24"/>
                <w:szCs w:val="24"/>
                <w:bdr w:val="none" w:sz="0" w:space="0" w:color="auto" w:frame="1"/>
              </w:rPr>
              <w:t>R</w:t>
            </w:r>
            <w:r w:rsidRPr="00F629D4">
              <w:rPr>
                <w:rStyle w:val="normaltextrun"/>
                <w:rFonts w:ascii="Times New Roman" w:hAnsi="Times New Roman"/>
                <w:sz w:val="24"/>
                <w:szCs w:val="24"/>
                <w:bdr w:val="none" w:sz="0" w:space="0" w:color="auto" w:frame="1"/>
              </w:rPr>
              <w:t>egulas Nr. 651/2014</w:t>
            </w:r>
            <w:r w:rsidR="005E00D4">
              <w:rPr>
                <w:rStyle w:val="normaltextrun"/>
                <w:rFonts w:ascii="Times New Roman" w:hAnsi="Times New Roman"/>
                <w:sz w:val="24"/>
                <w:szCs w:val="24"/>
                <w:bdr w:val="none" w:sz="0" w:space="0" w:color="auto" w:frame="1"/>
              </w:rPr>
              <w:t xml:space="preserve"> </w:t>
            </w:r>
            <w:r w:rsidR="005E00D4" w:rsidRPr="0043636D">
              <w:rPr>
                <w:rFonts w:ascii="Times New Roman" w:hAnsi="Times New Roman" w:cs="Times New Roman"/>
                <w:sz w:val="24"/>
                <w:szCs w:val="24"/>
                <w:shd w:val="clear" w:color="auto" w:fill="FFFFFF"/>
              </w:rPr>
              <w:t>2.</w:t>
            </w:r>
            <w:r w:rsidR="005E00D4">
              <w:rPr>
                <w:shd w:val="clear" w:color="auto" w:fill="FFFFFF"/>
              </w:rPr>
              <w:t xml:space="preserve"> </w:t>
            </w:r>
            <w:r w:rsidR="005E00D4" w:rsidRPr="0043636D">
              <w:rPr>
                <w:rFonts w:ascii="Times New Roman" w:hAnsi="Times New Roman" w:cs="Times New Roman"/>
                <w:sz w:val="24"/>
                <w:szCs w:val="24"/>
                <w:shd w:val="clear" w:color="auto" w:fill="FFFFFF"/>
              </w:rPr>
              <w:t>panta 18.</w:t>
            </w:r>
            <w:r w:rsidR="005E00D4">
              <w:rPr>
                <w:shd w:val="clear" w:color="auto" w:fill="FFFFFF"/>
              </w:rPr>
              <w:t xml:space="preserve"> </w:t>
            </w:r>
            <w:r w:rsidR="005E00D4" w:rsidRPr="0043636D">
              <w:rPr>
                <w:rFonts w:ascii="Times New Roman" w:hAnsi="Times New Roman" w:cs="Times New Roman"/>
                <w:sz w:val="24"/>
                <w:szCs w:val="24"/>
                <w:shd w:val="clear" w:color="auto" w:fill="FFFFFF"/>
              </w:rPr>
              <w:t>punkta c) apakšpunkt</w:t>
            </w:r>
            <w:r w:rsidR="005E00D4">
              <w:rPr>
                <w:rFonts w:ascii="Times New Roman" w:hAnsi="Times New Roman" w:cs="Times New Roman"/>
                <w:sz w:val="24"/>
                <w:szCs w:val="24"/>
                <w:shd w:val="clear" w:color="auto" w:fill="FFFFFF"/>
              </w:rPr>
              <w:t>s</w:t>
            </w:r>
          </w:p>
        </w:tc>
        <w:tc>
          <w:tcPr>
            <w:tcW w:w="2040" w:type="dxa"/>
            <w:tcBorders>
              <w:top w:val="outset" w:sz="6" w:space="0" w:color="auto"/>
              <w:left w:val="outset" w:sz="6" w:space="0" w:color="auto"/>
              <w:bottom w:val="outset" w:sz="6" w:space="0" w:color="auto"/>
              <w:right w:val="outset" w:sz="6" w:space="0" w:color="auto"/>
            </w:tcBorders>
            <w:shd w:val="clear" w:color="auto" w:fill="auto"/>
          </w:tcPr>
          <w:p w14:paraId="491E3EAC" w14:textId="2C410F5A"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05E00D4">
              <w:rPr>
                <w:rFonts w:ascii="Times New Roman" w:eastAsia="Times New Roman" w:hAnsi="Times New Roman" w:cs="Times New Roman"/>
                <w:sz w:val="24"/>
                <w:szCs w:val="24"/>
                <w:lang w:eastAsia="lv-LV"/>
              </w:rPr>
              <w:t>22.1</w:t>
            </w:r>
            <w:r w:rsidRPr="00F629D4">
              <w:rPr>
                <w:rFonts w:ascii="Times New Roman" w:eastAsia="Times New Roman" w:hAnsi="Times New Roman" w:cs="Times New Roman"/>
                <w:sz w:val="24"/>
                <w:szCs w:val="24"/>
                <w:lang w:eastAsia="lv-LV"/>
              </w:rPr>
              <w:t>.</w:t>
            </w:r>
            <w:r w:rsidR="005E00D4">
              <w:rPr>
                <w:rFonts w:ascii="Times New Roman" w:eastAsia="Times New Roman" w:hAnsi="Times New Roman" w:cs="Times New Roman"/>
                <w:sz w:val="24"/>
                <w:szCs w:val="24"/>
                <w:lang w:eastAsia="lv-LV"/>
              </w:rPr>
              <w:t xml:space="preserve"> apakš</w:t>
            </w:r>
            <w:r w:rsidRPr="00F629D4">
              <w:rPr>
                <w:rFonts w:ascii="Times New Roman" w:eastAsia="Times New Roman" w:hAnsi="Times New Roman" w:cs="Times New Roman"/>
                <w:sz w:val="24"/>
                <w:szCs w:val="24"/>
                <w:lang w:eastAsia="lv-LV"/>
              </w:rPr>
              <w:t>punkts</w:t>
            </w:r>
          </w:p>
        </w:tc>
        <w:tc>
          <w:tcPr>
            <w:tcW w:w="1622" w:type="dxa"/>
            <w:tcBorders>
              <w:top w:val="outset" w:sz="6" w:space="0" w:color="auto"/>
              <w:left w:val="outset" w:sz="6" w:space="0" w:color="auto"/>
              <w:bottom w:val="outset" w:sz="6" w:space="0" w:color="auto"/>
              <w:right w:val="outset" w:sz="6" w:space="0" w:color="auto"/>
            </w:tcBorders>
          </w:tcPr>
          <w:p w14:paraId="28573A8E" w14:textId="77777777" w:rsidR="00651EA0" w:rsidRPr="00F629D4" w:rsidRDefault="00651EA0" w:rsidP="00F6695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Ieviesta pilnībā</w:t>
            </w:r>
          </w:p>
        </w:tc>
        <w:tc>
          <w:tcPr>
            <w:tcW w:w="2151" w:type="dxa"/>
            <w:tcBorders>
              <w:top w:val="outset" w:sz="6" w:space="0" w:color="auto"/>
              <w:left w:val="outset" w:sz="6" w:space="0" w:color="auto"/>
              <w:bottom w:val="outset" w:sz="6" w:space="0" w:color="auto"/>
              <w:right w:val="outset" w:sz="6" w:space="0" w:color="auto"/>
            </w:tcBorders>
          </w:tcPr>
          <w:p w14:paraId="356E2CE8" w14:textId="65402608" w:rsidR="00651EA0" w:rsidRPr="00F629D4" w:rsidRDefault="005E00D4" w:rsidP="00F6695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w:t>
            </w:r>
            <w:r w:rsidR="00651EA0" w:rsidRPr="00F629D4">
              <w:rPr>
                <w:rFonts w:ascii="Times New Roman" w:eastAsia="Times New Roman" w:hAnsi="Times New Roman" w:cs="Times New Roman"/>
                <w:sz w:val="24"/>
                <w:szCs w:val="24"/>
                <w:lang w:eastAsia="lv-LV"/>
              </w:rPr>
              <w:t xml:space="preserve"> stingrākas prasības</w:t>
            </w:r>
          </w:p>
        </w:tc>
      </w:tr>
      <w:tr w:rsidR="00651EA0" w:rsidRPr="00F629D4" w14:paraId="2CF25074"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shd w:val="clear" w:color="auto" w:fill="auto"/>
          </w:tcPr>
          <w:p w14:paraId="2AB769F8" w14:textId="2CBDE423" w:rsidR="00651EA0" w:rsidRPr="00F629D4" w:rsidRDefault="005E00D4" w:rsidP="00F66958">
            <w:pPr>
              <w:spacing w:after="0" w:line="240" w:lineRule="auto"/>
              <w:rPr>
                <w:rFonts w:ascii="Times New Roman" w:hAnsi="Times New Roman" w:cs="Times New Roman"/>
                <w:sz w:val="24"/>
                <w:szCs w:val="24"/>
              </w:rPr>
            </w:pPr>
            <w:r w:rsidRPr="00F629D4">
              <w:rPr>
                <w:rStyle w:val="normaltextrun"/>
                <w:rFonts w:ascii="Times New Roman" w:hAnsi="Times New Roman"/>
                <w:sz w:val="24"/>
                <w:szCs w:val="24"/>
                <w:bdr w:val="none" w:sz="0" w:space="0" w:color="auto" w:frame="1"/>
              </w:rPr>
              <w:t xml:space="preserve">Komisijas </w:t>
            </w:r>
            <w:r>
              <w:rPr>
                <w:rStyle w:val="normaltextrun"/>
                <w:rFonts w:ascii="Times New Roman" w:hAnsi="Times New Roman"/>
                <w:sz w:val="24"/>
                <w:szCs w:val="24"/>
                <w:bdr w:val="none" w:sz="0" w:space="0" w:color="auto" w:frame="1"/>
              </w:rPr>
              <w:t>R</w:t>
            </w:r>
            <w:r w:rsidRPr="00F629D4">
              <w:rPr>
                <w:rStyle w:val="normaltextrun"/>
                <w:rFonts w:ascii="Times New Roman" w:hAnsi="Times New Roman"/>
                <w:sz w:val="24"/>
                <w:szCs w:val="24"/>
                <w:bdr w:val="none" w:sz="0" w:space="0" w:color="auto" w:frame="1"/>
              </w:rPr>
              <w:t>egulas Nr. 651/2014</w:t>
            </w:r>
            <w:r>
              <w:rPr>
                <w:rStyle w:val="normaltextrun"/>
                <w:rFonts w:ascii="Times New Roman" w:hAnsi="Times New Roman"/>
                <w:sz w:val="24"/>
                <w:szCs w:val="24"/>
                <w:bdr w:val="none" w:sz="0" w:space="0" w:color="auto" w:frame="1"/>
              </w:rPr>
              <w:t xml:space="preserve"> </w:t>
            </w:r>
            <w:r w:rsidRPr="005E00D4">
              <w:rPr>
                <w:rFonts w:ascii="Times New Roman" w:hAnsi="Times New Roman" w:cs="Times New Roman"/>
                <w:sz w:val="24"/>
                <w:szCs w:val="24"/>
              </w:rPr>
              <w:t>12. panta 1. punkt</w:t>
            </w:r>
            <w:r>
              <w:rPr>
                <w:rFonts w:ascii="Times New Roman" w:hAnsi="Times New Roman" w:cs="Times New Roman"/>
                <w:sz w:val="24"/>
                <w:szCs w:val="24"/>
              </w:rPr>
              <w:t>s</w:t>
            </w:r>
          </w:p>
        </w:tc>
        <w:tc>
          <w:tcPr>
            <w:tcW w:w="2040" w:type="dxa"/>
            <w:tcBorders>
              <w:top w:val="outset" w:sz="6" w:space="0" w:color="auto"/>
              <w:left w:val="outset" w:sz="6" w:space="0" w:color="auto"/>
              <w:bottom w:val="outset" w:sz="6" w:space="0" w:color="auto"/>
              <w:right w:val="outset" w:sz="6" w:space="0" w:color="auto"/>
            </w:tcBorders>
            <w:shd w:val="clear" w:color="auto" w:fill="auto"/>
          </w:tcPr>
          <w:p w14:paraId="59692316" w14:textId="2DE73235" w:rsidR="00651EA0" w:rsidRPr="00F629D4" w:rsidRDefault="005E00D4" w:rsidP="00F6695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Pr>
                <w:rFonts w:ascii="Times New Roman" w:eastAsia="Times New Roman" w:hAnsi="Times New Roman" w:cs="Times New Roman"/>
                <w:sz w:val="24"/>
                <w:szCs w:val="24"/>
                <w:lang w:eastAsia="lv-LV"/>
              </w:rPr>
              <w:t>27.4</w:t>
            </w:r>
            <w:r w:rsidRPr="00F629D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apakš</w:t>
            </w:r>
            <w:r w:rsidRPr="00F629D4">
              <w:rPr>
                <w:rFonts w:ascii="Times New Roman" w:eastAsia="Times New Roman" w:hAnsi="Times New Roman" w:cs="Times New Roman"/>
                <w:sz w:val="24"/>
                <w:szCs w:val="24"/>
                <w:lang w:eastAsia="lv-LV"/>
              </w:rPr>
              <w:t>punkts</w:t>
            </w:r>
          </w:p>
        </w:tc>
        <w:tc>
          <w:tcPr>
            <w:tcW w:w="1622" w:type="dxa"/>
            <w:tcBorders>
              <w:top w:val="outset" w:sz="6" w:space="0" w:color="auto"/>
              <w:left w:val="outset" w:sz="6" w:space="0" w:color="auto"/>
              <w:bottom w:val="outset" w:sz="6" w:space="0" w:color="auto"/>
              <w:right w:val="outset" w:sz="6" w:space="0" w:color="auto"/>
            </w:tcBorders>
          </w:tcPr>
          <w:p w14:paraId="3173F496" w14:textId="75103B08" w:rsidR="00651EA0" w:rsidRPr="00F629D4" w:rsidRDefault="005E00D4" w:rsidP="00F6695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Ieviesta pilnībā</w:t>
            </w:r>
          </w:p>
        </w:tc>
        <w:tc>
          <w:tcPr>
            <w:tcW w:w="2151" w:type="dxa"/>
            <w:tcBorders>
              <w:top w:val="outset" w:sz="6" w:space="0" w:color="auto"/>
              <w:left w:val="outset" w:sz="6" w:space="0" w:color="auto"/>
              <w:bottom w:val="outset" w:sz="6" w:space="0" w:color="auto"/>
              <w:right w:val="outset" w:sz="6" w:space="0" w:color="auto"/>
            </w:tcBorders>
          </w:tcPr>
          <w:p w14:paraId="487AE00E" w14:textId="1ED39D3C" w:rsidR="00651EA0" w:rsidRPr="00F629D4" w:rsidRDefault="005E00D4" w:rsidP="00F6695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Neparedz</w:t>
            </w:r>
            <w:r w:rsidRPr="00F629D4">
              <w:rPr>
                <w:rFonts w:ascii="Times New Roman" w:eastAsia="Times New Roman" w:hAnsi="Times New Roman" w:cs="Times New Roman"/>
                <w:sz w:val="24"/>
                <w:szCs w:val="24"/>
                <w:lang w:eastAsia="lv-LV"/>
              </w:rPr>
              <w:t xml:space="preserve"> stingrākas prasības</w:t>
            </w:r>
          </w:p>
        </w:tc>
      </w:tr>
      <w:tr w:rsidR="00651EA0" w:rsidRPr="00F629D4" w14:paraId="7493C86C"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hideMark/>
          </w:tcPr>
          <w:p w14:paraId="24FECA7B"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5873" w:type="dxa"/>
            <w:gridSpan w:val="3"/>
            <w:tcBorders>
              <w:top w:val="outset" w:sz="6" w:space="0" w:color="auto"/>
              <w:left w:val="outset" w:sz="6" w:space="0" w:color="auto"/>
              <w:bottom w:val="outset" w:sz="6" w:space="0" w:color="auto"/>
              <w:right w:val="outset" w:sz="6" w:space="0" w:color="auto"/>
            </w:tcBorders>
            <w:hideMark/>
          </w:tcPr>
          <w:p w14:paraId="5DAA97F0"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Projekts šo jomu neskar.</w:t>
            </w:r>
          </w:p>
        </w:tc>
      </w:tr>
      <w:tr w:rsidR="00651EA0" w:rsidRPr="00F629D4" w14:paraId="758521A1"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hideMark/>
          </w:tcPr>
          <w:p w14:paraId="647CC933"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873" w:type="dxa"/>
            <w:gridSpan w:val="3"/>
            <w:tcBorders>
              <w:top w:val="outset" w:sz="6" w:space="0" w:color="auto"/>
              <w:left w:val="outset" w:sz="6" w:space="0" w:color="auto"/>
              <w:bottom w:val="outset" w:sz="6" w:space="0" w:color="auto"/>
              <w:right w:val="outset" w:sz="6" w:space="0" w:color="auto"/>
            </w:tcBorders>
            <w:hideMark/>
          </w:tcPr>
          <w:p w14:paraId="22DAB94E" w14:textId="658DA115" w:rsidR="00651EA0" w:rsidRPr="00F629D4" w:rsidRDefault="005E00D4" w:rsidP="00F66958">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Projekts šo jomu neskar.</w:t>
            </w:r>
          </w:p>
          <w:p w14:paraId="3C03B6B5" w14:textId="77777777" w:rsidR="00651EA0" w:rsidRPr="00F629D4" w:rsidRDefault="00651EA0" w:rsidP="00F66958">
            <w:pPr>
              <w:spacing w:after="0" w:line="240" w:lineRule="auto"/>
              <w:jc w:val="both"/>
              <w:rPr>
                <w:rFonts w:ascii="Times New Roman" w:eastAsia="Times New Roman" w:hAnsi="Times New Roman" w:cs="Times New Roman"/>
                <w:iCs/>
                <w:sz w:val="24"/>
                <w:szCs w:val="24"/>
                <w:lang w:eastAsia="lv-LV"/>
              </w:rPr>
            </w:pPr>
          </w:p>
        </w:tc>
      </w:tr>
      <w:tr w:rsidR="00651EA0" w:rsidRPr="00F629D4" w14:paraId="686F6CBD" w14:textId="77777777" w:rsidTr="00D15DA7">
        <w:trPr>
          <w:tblCellSpacing w:w="15" w:type="dxa"/>
        </w:trPr>
        <w:tc>
          <w:tcPr>
            <w:tcW w:w="3235" w:type="dxa"/>
            <w:tcBorders>
              <w:top w:val="outset" w:sz="6" w:space="0" w:color="auto"/>
              <w:left w:val="outset" w:sz="6" w:space="0" w:color="auto"/>
              <w:bottom w:val="outset" w:sz="6" w:space="0" w:color="auto"/>
              <w:right w:val="outset" w:sz="6" w:space="0" w:color="auto"/>
            </w:tcBorders>
            <w:hideMark/>
          </w:tcPr>
          <w:p w14:paraId="0F682290"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5873" w:type="dxa"/>
            <w:gridSpan w:val="3"/>
            <w:tcBorders>
              <w:top w:val="outset" w:sz="6" w:space="0" w:color="auto"/>
              <w:left w:val="outset" w:sz="6" w:space="0" w:color="auto"/>
              <w:bottom w:val="outset" w:sz="6" w:space="0" w:color="auto"/>
              <w:right w:val="outset" w:sz="6" w:space="0" w:color="auto"/>
            </w:tcBorders>
            <w:hideMark/>
          </w:tcPr>
          <w:p w14:paraId="2902B891" w14:textId="77777777" w:rsidR="00651EA0" w:rsidRPr="00F629D4" w:rsidRDefault="00651EA0" w:rsidP="00F6695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bl>
    <w:p w14:paraId="323F7CC4"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8"/>
        <w:gridCol w:w="1555"/>
        <w:gridCol w:w="7285"/>
      </w:tblGrid>
      <w:tr w:rsidR="0064546F" w:rsidRPr="0043636D" w14:paraId="19EA66F9" w14:textId="77777777" w:rsidTr="00297891">
        <w:trPr>
          <w:tblCellSpacing w:w="15" w:type="dxa"/>
        </w:trPr>
        <w:tc>
          <w:tcPr>
            <w:tcW w:w="9279" w:type="dxa"/>
            <w:gridSpan w:val="3"/>
            <w:tcBorders>
              <w:top w:val="outset" w:sz="6" w:space="0" w:color="auto"/>
              <w:left w:val="outset" w:sz="6" w:space="0" w:color="auto"/>
              <w:bottom w:val="outset" w:sz="6" w:space="0" w:color="auto"/>
              <w:right w:val="outset" w:sz="6" w:space="0" w:color="auto"/>
            </w:tcBorders>
            <w:vAlign w:val="center"/>
            <w:hideMark/>
          </w:tcPr>
          <w:p w14:paraId="6F3330F7" w14:textId="77777777" w:rsidR="0064546F" w:rsidRPr="0043636D" w:rsidRDefault="0064546F" w:rsidP="0053678A">
            <w:pPr>
              <w:spacing w:after="0" w:line="240" w:lineRule="auto"/>
              <w:rPr>
                <w:rFonts w:ascii="Times New Roman" w:eastAsia="Times New Roman" w:hAnsi="Times New Roman" w:cs="Times New Roman"/>
                <w:b/>
                <w:bCs/>
                <w:iCs/>
                <w:color w:val="414142"/>
                <w:sz w:val="24"/>
                <w:szCs w:val="24"/>
                <w:lang w:eastAsia="lv-LV"/>
              </w:rPr>
            </w:pPr>
            <w:r w:rsidRPr="0043636D">
              <w:rPr>
                <w:rFonts w:ascii="Times New Roman" w:eastAsia="Times New Roman" w:hAnsi="Times New Roman" w:cs="Times New Roman"/>
                <w:b/>
                <w:bCs/>
                <w:iCs/>
                <w:color w:val="414142"/>
                <w:sz w:val="24"/>
                <w:szCs w:val="24"/>
                <w:lang w:eastAsia="lv-LV"/>
              </w:rPr>
              <w:t>VI. Sabiedrības līdzdalība un komunikācijas aktivitātes</w:t>
            </w:r>
          </w:p>
        </w:tc>
      </w:tr>
      <w:tr w:rsidR="0064546F" w:rsidRPr="0043636D" w14:paraId="06A93378"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507D2005"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1.</w:t>
            </w:r>
          </w:p>
        </w:tc>
        <w:tc>
          <w:tcPr>
            <w:tcW w:w="1548" w:type="dxa"/>
            <w:tcBorders>
              <w:top w:val="outset" w:sz="6" w:space="0" w:color="auto"/>
              <w:left w:val="outset" w:sz="6" w:space="0" w:color="auto"/>
              <w:bottom w:val="outset" w:sz="6" w:space="0" w:color="auto"/>
              <w:right w:val="outset" w:sz="6" w:space="0" w:color="auto"/>
            </w:tcBorders>
            <w:hideMark/>
          </w:tcPr>
          <w:p w14:paraId="6B42372E"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7355" w:type="dxa"/>
            <w:tcBorders>
              <w:top w:val="outset" w:sz="6" w:space="0" w:color="auto"/>
              <w:left w:val="outset" w:sz="6" w:space="0" w:color="auto"/>
              <w:bottom w:val="outset" w:sz="6" w:space="0" w:color="auto"/>
              <w:right w:val="outset" w:sz="6" w:space="0" w:color="auto"/>
            </w:tcBorders>
            <w:hideMark/>
          </w:tcPr>
          <w:p w14:paraId="664BD7F8" w14:textId="77777777" w:rsidR="0064546F" w:rsidRPr="0043636D" w:rsidRDefault="0064546F" w:rsidP="0053678A">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43636D">
              <w:rPr>
                <w:rFonts w:ascii="Times New Roman" w:hAnsi="Times New Roman" w:cs="Times New Roman"/>
                <w:sz w:val="24"/>
                <w:szCs w:val="24"/>
              </w:rPr>
              <w:t>Atbilstoši normatīvo aktu prasībām Ekonomikas ministrija savā tīmekļa vietnē publicē informāciju par noteikumu projektu un par tā virzību. Informācija publicēšanai tās tīmekļa vietnē tiek nosūtīta arī Valsts kancelejai.</w:t>
            </w:r>
          </w:p>
        </w:tc>
      </w:tr>
      <w:tr w:rsidR="0064546F" w:rsidRPr="0043636D" w14:paraId="6D8AB8A1"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24282510"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2.</w:t>
            </w:r>
          </w:p>
        </w:tc>
        <w:tc>
          <w:tcPr>
            <w:tcW w:w="1548" w:type="dxa"/>
            <w:tcBorders>
              <w:top w:val="outset" w:sz="6" w:space="0" w:color="auto"/>
              <w:left w:val="outset" w:sz="6" w:space="0" w:color="auto"/>
              <w:bottom w:val="outset" w:sz="6" w:space="0" w:color="auto"/>
              <w:right w:val="outset" w:sz="6" w:space="0" w:color="auto"/>
            </w:tcBorders>
            <w:hideMark/>
          </w:tcPr>
          <w:p w14:paraId="33229F92"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Sabiedrības līdzdalība projekta izstrādē</w:t>
            </w:r>
          </w:p>
        </w:tc>
        <w:tc>
          <w:tcPr>
            <w:tcW w:w="7355" w:type="dxa"/>
            <w:tcBorders>
              <w:top w:val="outset" w:sz="6" w:space="0" w:color="auto"/>
              <w:left w:val="outset" w:sz="6" w:space="0" w:color="auto"/>
              <w:bottom w:val="outset" w:sz="6" w:space="0" w:color="auto"/>
              <w:right w:val="outset" w:sz="6" w:space="0" w:color="auto"/>
            </w:tcBorders>
            <w:hideMark/>
          </w:tcPr>
          <w:p w14:paraId="525065D3" w14:textId="77777777" w:rsidR="0064546F" w:rsidRPr="0043636D" w:rsidRDefault="0064546F" w:rsidP="0053678A">
            <w:pPr>
              <w:spacing w:after="0" w:line="240" w:lineRule="auto"/>
              <w:ind w:left="60"/>
              <w:jc w:val="both"/>
              <w:rPr>
                <w:rFonts w:ascii="Times New Roman" w:hAnsi="Times New Roman" w:cs="Times New Roman"/>
                <w:sz w:val="24"/>
                <w:szCs w:val="24"/>
              </w:rPr>
            </w:pPr>
            <w:r w:rsidRPr="0043636D">
              <w:rPr>
                <w:rFonts w:ascii="Times New Roman" w:hAnsi="Times New Roman" w:cs="Times New Roman"/>
                <w:sz w:val="24"/>
                <w:szCs w:val="24"/>
              </w:rPr>
              <w:t xml:space="preserve">Sabiedrības informēšanai Noteikumu projekts publicēts Ekonomikas ministrijas mājaslapā sadaļā “Sabiedrības līdzdalība” </w:t>
            </w:r>
            <w:hyperlink r:id="rId11" w:history="1">
              <w:r w:rsidRPr="0043636D">
                <w:rPr>
                  <w:rStyle w:val="Hyperlink"/>
                  <w:rFonts w:ascii="Times New Roman" w:hAnsi="Times New Roman" w:cs="Times New Roman"/>
                  <w:sz w:val="24"/>
                  <w:szCs w:val="24"/>
                </w:rPr>
                <w:t>https://em.gov.lv/lv/Ministrija/sabiedribas_lidzdaliba/diskusiju_dokumenti/</w:t>
              </w:r>
            </w:hyperlink>
            <w:r w:rsidRPr="0043636D">
              <w:rPr>
                <w:rFonts w:ascii="Times New Roman" w:hAnsi="Times New Roman" w:cs="Times New Roman"/>
                <w:sz w:val="24"/>
                <w:szCs w:val="24"/>
              </w:rPr>
              <w:t xml:space="preserve"> un</w:t>
            </w:r>
          </w:p>
          <w:p w14:paraId="715F3BEC" w14:textId="77777777" w:rsidR="0064546F" w:rsidRPr="0043636D" w:rsidRDefault="0064546F" w:rsidP="0053678A">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43636D">
              <w:rPr>
                <w:rFonts w:ascii="Times New Roman" w:hAnsi="Times New Roman" w:cs="Times New Roman"/>
                <w:sz w:val="24"/>
                <w:szCs w:val="24"/>
              </w:rPr>
              <w:t xml:space="preserve">Valsts kancelejas mājaslapā sadaļā “Sabiedrības līdzdalība” </w:t>
            </w:r>
            <w:hyperlink r:id="rId12" w:history="1">
              <w:r w:rsidRPr="0043636D">
                <w:rPr>
                  <w:rStyle w:val="Hyperlink"/>
                  <w:rFonts w:ascii="Times New Roman" w:hAnsi="Times New Roman" w:cs="Times New Roman"/>
                  <w:sz w:val="24"/>
                  <w:szCs w:val="24"/>
                </w:rPr>
                <w:t>https://www.mk.gov.lv/content/ministru-kabineta-diskusiju-dokumenti</w:t>
              </w:r>
            </w:hyperlink>
            <w:r w:rsidRPr="0043636D">
              <w:rPr>
                <w:rFonts w:ascii="Times New Roman" w:hAnsi="Times New Roman" w:cs="Times New Roman"/>
                <w:sz w:val="24"/>
                <w:szCs w:val="24"/>
              </w:rPr>
              <w:t>.</w:t>
            </w:r>
          </w:p>
        </w:tc>
      </w:tr>
      <w:tr w:rsidR="0064546F" w:rsidRPr="0043636D" w14:paraId="671F7B66"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7DD9E7E7"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3.</w:t>
            </w:r>
          </w:p>
        </w:tc>
        <w:tc>
          <w:tcPr>
            <w:tcW w:w="1548" w:type="dxa"/>
            <w:tcBorders>
              <w:top w:val="outset" w:sz="6" w:space="0" w:color="auto"/>
              <w:left w:val="outset" w:sz="6" w:space="0" w:color="auto"/>
              <w:bottom w:val="outset" w:sz="6" w:space="0" w:color="auto"/>
              <w:right w:val="outset" w:sz="6" w:space="0" w:color="auto"/>
            </w:tcBorders>
            <w:hideMark/>
          </w:tcPr>
          <w:p w14:paraId="2BA28D05"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Sabiedrības līdzdalības rezultāti</w:t>
            </w:r>
          </w:p>
        </w:tc>
        <w:tc>
          <w:tcPr>
            <w:tcW w:w="7355" w:type="dxa"/>
            <w:tcBorders>
              <w:top w:val="outset" w:sz="6" w:space="0" w:color="auto"/>
              <w:left w:val="outset" w:sz="6" w:space="0" w:color="auto"/>
              <w:bottom w:val="outset" w:sz="6" w:space="0" w:color="auto"/>
              <w:right w:val="outset" w:sz="6" w:space="0" w:color="auto"/>
            </w:tcBorders>
            <w:hideMark/>
          </w:tcPr>
          <w:p w14:paraId="1608B549" w14:textId="77777777" w:rsidR="0064546F" w:rsidRPr="0043636D" w:rsidRDefault="0064546F" w:rsidP="0053678A">
            <w:pPr>
              <w:spacing w:after="0" w:line="240" w:lineRule="auto"/>
              <w:rPr>
                <w:rFonts w:ascii="Times New Roman" w:eastAsia="Times New Roman" w:hAnsi="Times New Roman" w:cs="Times New Roman"/>
                <w:iCs/>
                <w:color w:val="A6A6A6" w:themeColor="background1" w:themeShade="A6"/>
                <w:sz w:val="24"/>
                <w:szCs w:val="24"/>
                <w:lang w:eastAsia="lv-LV"/>
              </w:rPr>
            </w:pPr>
            <w:r w:rsidRPr="0043636D">
              <w:rPr>
                <w:rFonts w:ascii="Times New Roman" w:hAnsi="Times New Roman" w:cs="Times New Roman"/>
                <w:sz w:val="24"/>
                <w:szCs w:val="24"/>
              </w:rPr>
              <w:t>Nav saņemti iebildumi</w:t>
            </w:r>
            <w:r w:rsidRPr="0043636D">
              <w:rPr>
                <w:rFonts w:ascii="Times New Roman" w:hAnsi="Times New Roman" w:cs="Times New Roman"/>
                <w:sz w:val="24"/>
                <w:szCs w:val="24"/>
                <w:shd w:val="clear" w:color="auto" w:fill="FFFFFF"/>
              </w:rPr>
              <w:t xml:space="preserve"> </w:t>
            </w:r>
          </w:p>
        </w:tc>
      </w:tr>
      <w:tr w:rsidR="0064546F" w:rsidRPr="0043636D" w14:paraId="37D3E736" w14:textId="77777777" w:rsidTr="00297891">
        <w:trPr>
          <w:tblCellSpacing w:w="15" w:type="dxa"/>
        </w:trPr>
        <w:tc>
          <w:tcPr>
            <w:tcW w:w="316" w:type="dxa"/>
            <w:tcBorders>
              <w:top w:val="outset" w:sz="6" w:space="0" w:color="auto"/>
              <w:left w:val="outset" w:sz="6" w:space="0" w:color="auto"/>
              <w:bottom w:val="outset" w:sz="6" w:space="0" w:color="auto"/>
              <w:right w:val="outset" w:sz="6" w:space="0" w:color="auto"/>
            </w:tcBorders>
            <w:hideMark/>
          </w:tcPr>
          <w:p w14:paraId="3DCDD5A4"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4.</w:t>
            </w:r>
          </w:p>
        </w:tc>
        <w:tc>
          <w:tcPr>
            <w:tcW w:w="1548" w:type="dxa"/>
            <w:tcBorders>
              <w:top w:val="outset" w:sz="6" w:space="0" w:color="auto"/>
              <w:left w:val="outset" w:sz="6" w:space="0" w:color="auto"/>
              <w:bottom w:val="outset" w:sz="6" w:space="0" w:color="auto"/>
              <w:right w:val="outset" w:sz="6" w:space="0" w:color="auto"/>
            </w:tcBorders>
            <w:hideMark/>
          </w:tcPr>
          <w:p w14:paraId="1C89C966" w14:textId="77777777" w:rsidR="0064546F" w:rsidRPr="0043636D" w:rsidRDefault="0064546F" w:rsidP="0053678A">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Cita informācija</w:t>
            </w:r>
          </w:p>
        </w:tc>
        <w:tc>
          <w:tcPr>
            <w:tcW w:w="7355" w:type="dxa"/>
            <w:tcBorders>
              <w:top w:val="outset" w:sz="6" w:space="0" w:color="auto"/>
              <w:left w:val="outset" w:sz="6" w:space="0" w:color="auto"/>
              <w:bottom w:val="outset" w:sz="6" w:space="0" w:color="auto"/>
              <w:right w:val="outset" w:sz="6" w:space="0" w:color="auto"/>
            </w:tcBorders>
            <w:hideMark/>
          </w:tcPr>
          <w:p w14:paraId="6D001935" w14:textId="77777777" w:rsidR="0064546F" w:rsidRPr="0043636D" w:rsidRDefault="0064546F" w:rsidP="0053678A">
            <w:pPr>
              <w:spacing w:after="0" w:line="240" w:lineRule="auto"/>
              <w:rPr>
                <w:rFonts w:ascii="Times New Roman" w:eastAsia="Times New Roman" w:hAnsi="Times New Roman" w:cs="Times New Roman"/>
                <w:iCs/>
                <w:color w:val="A6A6A6" w:themeColor="background1" w:themeShade="A6"/>
                <w:sz w:val="24"/>
                <w:szCs w:val="24"/>
                <w:lang w:eastAsia="lv-LV"/>
              </w:rPr>
            </w:pPr>
            <w:r w:rsidRPr="0043636D">
              <w:rPr>
                <w:rFonts w:ascii="Times New Roman" w:eastAsia="Times New Roman" w:hAnsi="Times New Roman" w:cs="Times New Roman"/>
                <w:iCs/>
                <w:sz w:val="24"/>
                <w:szCs w:val="24"/>
                <w:lang w:eastAsia="lv-LV"/>
              </w:rPr>
              <w:t>Nav</w:t>
            </w:r>
          </w:p>
        </w:tc>
      </w:tr>
    </w:tbl>
    <w:p w14:paraId="7899AD2C" w14:textId="78988E12" w:rsidR="007061D1" w:rsidRPr="0043636D" w:rsidRDefault="0064546F"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7061D1" w:rsidRPr="0043636D" w14:paraId="0E4FDC5D" w14:textId="77777777" w:rsidTr="007061D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9557A3" w14:textId="77777777" w:rsidR="007061D1" w:rsidRPr="0043636D" w:rsidRDefault="007061D1" w:rsidP="007061D1">
            <w:pPr>
              <w:spacing w:after="0" w:line="240" w:lineRule="auto"/>
              <w:rPr>
                <w:rFonts w:ascii="Times New Roman" w:eastAsia="Times New Roman" w:hAnsi="Times New Roman" w:cs="Times New Roman"/>
                <w:b/>
                <w:bCs/>
                <w:iCs/>
                <w:color w:val="414142"/>
                <w:sz w:val="24"/>
                <w:szCs w:val="24"/>
                <w:lang w:eastAsia="lv-LV"/>
              </w:rPr>
            </w:pPr>
            <w:r w:rsidRPr="0043636D">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7061D1" w:rsidRPr="0043636D" w14:paraId="07E87817" w14:textId="77777777" w:rsidTr="007061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C58E97"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FBF02D"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539C678" w14:textId="77777777" w:rsidR="007061D1" w:rsidRPr="0043636D" w:rsidRDefault="007061D1" w:rsidP="007061D1">
            <w:pPr>
              <w:spacing w:after="0" w:line="240" w:lineRule="auto"/>
              <w:jc w:val="both"/>
              <w:rPr>
                <w:rFonts w:ascii="Times New Roman" w:eastAsia="Times New Roman" w:hAnsi="Times New Roman" w:cs="Times New Roman"/>
                <w:iCs/>
                <w:color w:val="000000" w:themeColor="text1"/>
                <w:sz w:val="24"/>
                <w:szCs w:val="24"/>
                <w:lang w:eastAsia="lv-LV"/>
              </w:rPr>
            </w:pPr>
            <w:r w:rsidRPr="0043636D">
              <w:rPr>
                <w:rFonts w:ascii="Times New Roman" w:eastAsia="Times New Roman" w:hAnsi="Times New Roman" w:cs="Times New Roman"/>
                <w:iCs/>
                <w:color w:val="000000" w:themeColor="text1"/>
                <w:sz w:val="24"/>
                <w:szCs w:val="24"/>
                <w:lang w:eastAsia="lv-LV"/>
              </w:rPr>
              <w:t>Noteikumu projekta īstenošanā ir iesaistītas šādas institūcijas:</w:t>
            </w:r>
          </w:p>
          <w:p w14:paraId="147F8E16" w14:textId="77777777" w:rsidR="007061D1" w:rsidRPr="0043636D" w:rsidRDefault="007061D1" w:rsidP="00486362">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43636D">
              <w:rPr>
                <w:rFonts w:ascii="Times New Roman" w:eastAsia="Times New Roman" w:hAnsi="Times New Roman" w:cs="Times New Roman"/>
                <w:iCs/>
                <w:sz w:val="24"/>
                <w:szCs w:val="24"/>
                <w:lang w:eastAsia="lv-LV"/>
              </w:rPr>
              <w:t>LIAA kā programmas apsaimniekotājs un iepriekš noteiktā projekta līdzfinansējuma saņēmējs;</w:t>
            </w:r>
          </w:p>
          <w:p w14:paraId="7C7AA713" w14:textId="6087BE92" w:rsidR="007061D1" w:rsidRPr="0043636D" w:rsidRDefault="007061D1" w:rsidP="00486362">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43636D">
              <w:rPr>
                <w:rFonts w:ascii="Times New Roman" w:eastAsia="Times New Roman" w:hAnsi="Times New Roman" w:cs="Times New Roman"/>
                <w:iCs/>
                <w:sz w:val="24"/>
                <w:szCs w:val="24"/>
                <w:lang w:eastAsia="lv-LV"/>
              </w:rPr>
              <w:t>Ekonomikas ministrija kā par programmas sagatavošanu līdzatbildīgā iestāde (atbilstoši Saprašanās memoranda B pielikuma 3.</w:t>
            </w:r>
            <w:r w:rsidR="00F52EEF" w:rsidRPr="0043636D">
              <w:rPr>
                <w:rFonts w:ascii="Times New Roman" w:eastAsia="Times New Roman" w:hAnsi="Times New Roman" w:cs="Times New Roman"/>
                <w:iCs/>
                <w:sz w:val="24"/>
                <w:szCs w:val="24"/>
                <w:lang w:eastAsia="lv-LV"/>
              </w:rPr>
              <w:t xml:space="preserve"> </w:t>
            </w:r>
            <w:r w:rsidRPr="0043636D">
              <w:rPr>
                <w:rFonts w:ascii="Times New Roman" w:eastAsia="Times New Roman" w:hAnsi="Times New Roman" w:cs="Times New Roman"/>
                <w:iCs/>
                <w:sz w:val="24"/>
                <w:szCs w:val="24"/>
                <w:lang w:eastAsia="lv-LV"/>
              </w:rPr>
              <w:t>daļas A. punktā programmā noteiktajam);</w:t>
            </w:r>
          </w:p>
          <w:p w14:paraId="08686FE1" w14:textId="77777777" w:rsidR="007061D1" w:rsidRPr="0043636D" w:rsidRDefault="007061D1" w:rsidP="00486362">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43636D">
              <w:rPr>
                <w:rFonts w:ascii="Times New Roman" w:eastAsia="Times New Roman" w:hAnsi="Times New Roman" w:cs="Times New Roman"/>
                <w:iCs/>
                <w:sz w:val="24"/>
                <w:szCs w:val="24"/>
                <w:lang w:eastAsia="lv-LV"/>
              </w:rPr>
              <w:t>Latvijas Universitāte, Rīgas Tehniskā Universitāte un Rīgas Stradiņa Universitāte kā iepriekš noteiktā projekta partneri;</w:t>
            </w:r>
          </w:p>
          <w:p w14:paraId="62506677" w14:textId="77777777" w:rsidR="007061D1" w:rsidRPr="0043636D" w:rsidRDefault="007061D1" w:rsidP="00486362">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43636D">
              <w:rPr>
                <w:rFonts w:ascii="Times New Roman" w:eastAsia="Times New Roman" w:hAnsi="Times New Roman" w:cs="Times New Roman"/>
                <w:iCs/>
                <w:sz w:val="24"/>
                <w:szCs w:val="24"/>
                <w:lang w:eastAsia="lv-LV"/>
              </w:rPr>
              <w:t>Finanšu ministrija kā vadošā iestāde, neatbilstību iestāde un revīzijas iestāde;</w:t>
            </w:r>
          </w:p>
          <w:p w14:paraId="37425CA2" w14:textId="04CCD834" w:rsidR="007061D1" w:rsidRPr="0043636D" w:rsidRDefault="007061D1" w:rsidP="00486362">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43636D">
              <w:rPr>
                <w:rFonts w:ascii="Times New Roman" w:eastAsia="Times New Roman" w:hAnsi="Times New Roman" w:cs="Times New Roman"/>
                <w:iCs/>
                <w:sz w:val="24"/>
                <w:szCs w:val="24"/>
                <w:lang w:eastAsia="lv-LV"/>
              </w:rPr>
              <w:t>Norvēģijas valsts institūcija “Innovation Norway” kā donorvalsts programmas partneris</w:t>
            </w:r>
            <w:r w:rsidR="00F52EEF" w:rsidRPr="0043636D">
              <w:rPr>
                <w:rFonts w:ascii="Times New Roman" w:eastAsia="Times New Roman" w:hAnsi="Times New Roman" w:cs="Times New Roman"/>
                <w:iCs/>
                <w:sz w:val="24"/>
                <w:szCs w:val="24"/>
                <w:lang w:eastAsia="lv-LV"/>
              </w:rPr>
              <w:t>.</w:t>
            </w:r>
          </w:p>
        </w:tc>
      </w:tr>
      <w:tr w:rsidR="007061D1" w:rsidRPr="0043636D" w14:paraId="1EF92561" w14:textId="77777777" w:rsidTr="007061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53B789"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2B4F0EA"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Projekta izpildes ietekme uz pārvaldes funkcijām un institucionālo struktūru.</w:t>
            </w:r>
            <w:r w:rsidRPr="0043636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28B1B72" w14:textId="77777777" w:rsidR="007061D1" w:rsidRPr="0043636D" w:rsidRDefault="007061D1" w:rsidP="007061D1">
            <w:pPr>
              <w:spacing w:after="0" w:line="240" w:lineRule="auto"/>
              <w:jc w:val="both"/>
              <w:rPr>
                <w:rFonts w:ascii="Times New Roman" w:hAnsi="Times New Roman" w:cs="Times New Roman"/>
                <w:sz w:val="24"/>
                <w:szCs w:val="24"/>
              </w:rPr>
            </w:pPr>
            <w:r w:rsidRPr="0043636D">
              <w:rPr>
                <w:rFonts w:ascii="Times New Roman" w:hAnsi="Times New Roman" w:cs="Times New Roman"/>
                <w:sz w:val="24"/>
                <w:szCs w:val="24"/>
              </w:rPr>
              <w:t>Noteikumu projekts tiks īstenots esošo institūciju un cilvēkresursu ietvaros.</w:t>
            </w:r>
          </w:p>
          <w:p w14:paraId="0DA8C779" w14:textId="77777777" w:rsidR="007061D1" w:rsidRPr="0043636D" w:rsidRDefault="007061D1" w:rsidP="007061D1">
            <w:pPr>
              <w:spacing w:after="0" w:line="240" w:lineRule="auto"/>
              <w:ind w:firstLine="393"/>
              <w:jc w:val="both"/>
              <w:rPr>
                <w:rFonts w:ascii="Times New Roman" w:eastAsia="Times New Roman" w:hAnsi="Times New Roman" w:cs="Times New Roman"/>
                <w:iCs/>
                <w:color w:val="A6A6A6" w:themeColor="background1" w:themeShade="A6"/>
                <w:sz w:val="24"/>
                <w:szCs w:val="24"/>
                <w:lang w:eastAsia="lv-LV"/>
              </w:rPr>
            </w:pPr>
          </w:p>
        </w:tc>
      </w:tr>
      <w:tr w:rsidR="007061D1" w:rsidRPr="0043636D" w14:paraId="089BF8AD" w14:textId="77777777" w:rsidTr="007061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1BCB76"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05943CF" w14:textId="77777777" w:rsidR="007061D1" w:rsidRPr="0043636D" w:rsidRDefault="007061D1" w:rsidP="007061D1">
            <w:pPr>
              <w:spacing w:after="0" w:line="240" w:lineRule="auto"/>
              <w:rPr>
                <w:rFonts w:ascii="Times New Roman" w:eastAsia="Times New Roman" w:hAnsi="Times New Roman" w:cs="Times New Roman"/>
                <w:iCs/>
                <w:color w:val="414142"/>
                <w:sz w:val="24"/>
                <w:szCs w:val="24"/>
                <w:lang w:eastAsia="lv-LV"/>
              </w:rPr>
            </w:pPr>
            <w:r w:rsidRPr="0043636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B8B4326" w14:textId="0CFF2F7E" w:rsidR="007061D1" w:rsidRPr="0043636D" w:rsidRDefault="007061D1" w:rsidP="007061D1">
            <w:pPr>
              <w:spacing w:after="0" w:line="240" w:lineRule="auto"/>
              <w:rPr>
                <w:rFonts w:ascii="Times New Roman" w:eastAsia="Times New Roman" w:hAnsi="Times New Roman" w:cs="Times New Roman"/>
                <w:iCs/>
                <w:color w:val="A6A6A6" w:themeColor="background1" w:themeShade="A6"/>
                <w:sz w:val="24"/>
                <w:szCs w:val="24"/>
                <w:lang w:eastAsia="lv-LV"/>
              </w:rPr>
            </w:pPr>
            <w:r w:rsidRPr="0043636D">
              <w:rPr>
                <w:rFonts w:ascii="Times New Roman" w:eastAsia="Times New Roman" w:hAnsi="Times New Roman" w:cs="Times New Roman"/>
                <w:iCs/>
                <w:sz w:val="24"/>
                <w:szCs w:val="24"/>
                <w:lang w:eastAsia="lv-LV"/>
              </w:rPr>
              <w:t>Nav</w:t>
            </w:r>
            <w:r w:rsidR="00F52EEF" w:rsidRPr="0043636D">
              <w:rPr>
                <w:rFonts w:ascii="Times New Roman" w:eastAsia="Times New Roman" w:hAnsi="Times New Roman" w:cs="Times New Roman"/>
                <w:iCs/>
                <w:sz w:val="24"/>
                <w:szCs w:val="24"/>
                <w:lang w:eastAsia="lv-LV"/>
              </w:rPr>
              <w:t>.</w:t>
            </w:r>
          </w:p>
        </w:tc>
      </w:tr>
    </w:tbl>
    <w:p w14:paraId="629FBF97" w14:textId="72FE6303" w:rsidR="007061D1" w:rsidRPr="0043636D" w:rsidRDefault="007061D1" w:rsidP="007061D1">
      <w:pPr>
        <w:spacing w:after="0" w:line="240" w:lineRule="auto"/>
        <w:rPr>
          <w:rFonts w:ascii="Times New Roman" w:hAnsi="Times New Roman" w:cs="Times New Roman"/>
          <w:sz w:val="24"/>
          <w:szCs w:val="24"/>
        </w:rPr>
      </w:pPr>
    </w:p>
    <w:p w14:paraId="24296533" w14:textId="77777777" w:rsidR="006213A9" w:rsidRPr="0043636D" w:rsidRDefault="006213A9" w:rsidP="007061D1">
      <w:pPr>
        <w:spacing w:after="0" w:line="240" w:lineRule="auto"/>
        <w:rPr>
          <w:rFonts w:ascii="Times New Roman" w:hAnsi="Times New Roman" w:cs="Times New Roman"/>
          <w:sz w:val="24"/>
          <w:szCs w:val="24"/>
        </w:rPr>
      </w:pPr>
    </w:p>
    <w:p w14:paraId="66A61751" w14:textId="240FCB83" w:rsidR="007061D1" w:rsidRPr="0043636D" w:rsidRDefault="007061D1" w:rsidP="007061D1">
      <w:pPr>
        <w:tabs>
          <w:tab w:val="left" w:pos="7230"/>
        </w:tabs>
        <w:spacing w:after="0" w:line="240" w:lineRule="auto"/>
        <w:rPr>
          <w:rFonts w:ascii="Times New Roman" w:hAnsi="Times New Roman" w:cs="Times New Roman"/>
          <w:sz w:val="24"/>
          <w:szCs w:val="24"/>
        </w:rPr>
      </w:pPr>
      <w:r w:rsidRPr="0043636D">
        <w:rPr>
          <w:rFonts w:ascii="Times New Roman" w:hAnsi="Times New Roman" w:cs="Times New Roman"/>
          <w:sz w:val="24"/>
          <w:szCs w:val="24"/>
        </w:rPr>
        <w:t>Ekonomikas ministrs</w:t>
      </w:r>
      <w:r w:rsidRPr="0043636D">
        <w:rPr>
          <w:rFonts w:ascii="Times New Roman" w:hAnsi="Times New Roman" w:cs="Times New Roman"/>
          <w:sz w:val="24"/>
          <w:szCs w:val="24"/>
        </w:rPr>
        <w:tab/>
        <w:t>J. Vitenbergs</w:t>
      </w:r>
    </w:p>
    <w:p w14:paraId="0CD9677B" w14:textId="77777777" w:rsidR="007061D1" w:rsidRPr="0043636D" w:rsidRDefault="007061D1" w:rsidP="007061D1">
      <w:pPr>
        <w:tabs>
          <w:tab w:val="left" w:pos="7230"/>
        </w:tabs>
        <w:spacing w:after="0" w:line="240" w:lineRule="auto"/>
        <w:rPr>
          <w:rFonts w:ascii="Times New Roman" w:hAnsi="Times New Roman" w:cs="Times New Roman"/>
          <w:sz w:val="24"/>
          <w:szCs w:val="24"/>
        </w:rPr>
      </w:pPr>
    </w:p>
    <w:p w14:paraId="0B638020" w14:textId="77777777" w:rsidR="007061D1" w:rsidRPr="0043636D" w:rsidRDefault="007061D1" w:rsidP="007061D1">
      <w:pPr>
        <w:tabs>
          <w:tab w:val="left" w:pos="7230"/>
        </w:tabs>
        <w:spacing w:after="0" w:line="240" w:lineRule="auto"/>
        <w:rPr>
          <w:rFonts w:ascii="Times New Roman" w:hAnsi="Times New Roman" w:cs="Times New Roman"/>
          <w:sz w:val="24"/>
          <w:szCs w:val="24"/>
        </w:rPr>
      </w:pPr>
    </w:p>
    <w:p w14:paraId="03370613" w14:textId="77777777" w:rsidR="007061D1" w:rsidRPr="0043636D" w:rsidRDefault="007061D1" w:rsidP="007061D1">
      <w:pPr>
        <w:tabs>
          <w:tab w:val="left" w:pos="7230"/>
        </w:tabs>
        <w:spacing w:after="0" w:line="240" w:lineRule="auto"/>
        <w:rPr>
          <w:rFonts w:ascii="Times New Roman" w:hAnsi="Times New Roman" w:cs="Times New Roman"/>
          <w:sz w:val="24"/>
          <w:szCs w:val="24"/>
        </w:rPr>
      </w:pPr>
      <w:r w:rsidRPr="0043636D">
        <w:rPr>
          <w:rFonts w:ascii="Times New Roman" w:hAnsi="Times New Roman" w:cs="Times New Roman"/>
          <w:sz w:val="24"/>
          <w:szCs w:val="24"/>
        </w:rPr>
        <w:t xml:space="preserve">Vīza: </w:t>
      </w:r>
    </w:p>
    <w:p w14:paraId="70F0AE16" w14:textId="77777777" w:rsidR="007061D1" w:rsidRPr="0043636D" w:rsidRDefault="007061D1" w:rsidP="007061D1">
      <w:pPr>
        <w:tabs>
          <w:tab w:val="left" w:pos="7230"/>
        </w:tabs>
        <w:spacing w:after="0" w:line="240" w:lineRule="auto"/>
        <w:rPr>
          <w:rFonts w:ascii="Times New Roman" w:hAnsi="Times New Roman" w:cs="Times New Roman"/>
          <w:sz w:val="24"/>
          <w:szCs w:val="24"/>
        </w:rPr>
      </w:pPr>
      <w:r w:rsidRPr="0043636D">
        <w:rPr>
          <w:rFonts w:ascii="Times New Roman" w:hAnsi="Times New Roman" w:cs="Times New Roman"/>
          <w:sz w:val="24"/>
          <w:szCs w:val="24"/>
        </w:rPr>
        <w:t>Valsts sekretārs</w:t>
      </w:r>
      <w:r w:rsidRPr="0043636D">
        <w:rPr>
          <w:rFonts w:ascii="Times New Roman" w:hAnsi="Times New Roman" w:cs="Times New Roman"/>
          <w:sz w:val="24"/>
          <w:szCs w:val="24"/>
        </w:rPr>
        <w:tab/>
        <w:t>E. Valantis</w:t>
      </w:r>
    </w:p>
    <w:p w14:paraId="218C6663" w14:textId="631C19C9" w:rsidR="00F52EEF" w:rsidRPr="0043636D" w:rsidRDefault="00F52EEF" w:rsidP="000932C9">
      <w:pPr>
        <w:pStyle w:val="naislab"/>
        <w:spacing w:before="0" w:after="0"/>
        <w:jc w:val="left"/>
        <w:rPr>
          <w:rFonts w:eastAsia="Calibri"/>
        </w:rPr>
      </w:pPr>
    </w:p>
    <w:p w14:paraId="48162011" w14:textId="77777777" w:rsidR="006213A9" w:rsidRPr="0043636D" w:rsidRDefault="006213A9" w:rsidP="000932C9">
      <w:pPr>
        <w:pStyle w:val="naislab"/>
        <w:spacing w:before="0" w:after="0"/>
        <w:jc w:val="left"/>
        <w:rPr>
          <w:rFonts w:eastAsia="Calibri"/>
        </w:rPr>
      </w:pPr>
    </w:p>
    <w:p w14:paraId="0675816E" w14:textId="2EFFAC94" w:rsidR="00FE17DB" w:rsidRPr="0043636D" w:rsidRDefault="009465BF" w:rsidP="000932C9">
      <w:pPr>
        <w:pStyle w:val="naislab"/>
        <w:spacing w:before="0" w:after="0"/>
        <w:jc w:val="left"/>
        <w:rPr>
          <w:rFonts w:eastAsia="Calibri"/>
          <w:color w:val="595959" w:themeColor="text1" w:themeTint="A6"/>
          <w:sz w:val="20"/>
          <w:szCs w:val="20"/>
        </w:rPr>
      </w:pPr>
      <w:r w:rsidRPr="0043636D">
        <w:rPr>
          <w:rFonts w:eastAsia="Calibri"/>
          <w:color w:val="595959" w:themeColor="text1" w:themeTint="A6"/>
          <w:sz w:val="20"/>
          <w:szCs w:val="20"/>
        </w:rPr>
        <w:t>Mārtiņš Jansons</w:t>
      </w:r>
      <w:r w:rsidR="00D3143A" w:rsidRPr="0043636D">
        <w:rPr>
          <w:rFonts w:eastAsia="Calibri"/>
          <w:color w:val="595959" w:themeColor="text1" w:themeTint="A6"/>
          <w:sz w:val="20"/>
          <w:szCs w:val="20"/>
        </w:rPr>
        <w:t>, 670130</w:t>
      </w:r>
      <w:r w:rsidRPr="0043636D">
        <w:rPr>
          <w:rFonts w:eastAsia="Calibri"/>
          <w:color w:val="595959" w:themeColor="text1" w:themeTint="A6"/>
          <w:sz w:val="20"/>
          <w:szCs w:val="20"/>
        </w:rPr>
        <w:t>57</w:t>
      </w:r>
    </w:p>
    <w:p w14:paraId="3B9430D6" w14:textId="7021DB95" w:rsidR="005D77A2" w:rsidRPr="0043636D" w:rsidRDefault="0012444A" w:rsidP="000932C9">
      <w:pPr>
        <w:pStyle w:val="naislab"/>
        <w:spacing w:before="0" w:after="0"/>
        <w:jc w:val="left"/>
        <w:rPr>
          <w:rFonts w:eastAsia="Calibri"/>
          <w:color w:val="595959" w:themeColor="text1" w:themeTint="A6"/>
          <w:sz w:val="20"/>
          <w:szCs w:val="20"/>
        </w:rPr>
      </w:pPr>
      <w:hyperlink r:id="rId13" w:history="1">
        <w:r w:rsidR="009465BF" w:rsidRPr="0043636D">
          <w:rPr>
            <w:rStyle w:val="Hyperlink"/>
            <w:rFonts w:eastAsia="Calibri"/>
            <w:color w:val="595959" w:themeColor="text1" w:themeTint="A6"/>
            <w:sz w:val="20"/>
            <w:szCs w:val="20"/>
          </w:rPr>
          <w:t>Martins.Jansons@em.gov.lv</w:t>
        </w:r>
      </w:hyperlink>
    </w:p>
    <w:sectPr w:rsidR="005D77A2" w:rsidRPr="0043636D" w:rsidSect="00D15DA7">
      <w:footerReference w:type="default" r:id="rId14"/>
      <w:footerReference w:type="first" r:id="rId15"/>
      <w:pgSz w:w="11906" w:h="16838"/>
      <w:pgMar w:top="1134" w:right="1274" w:bottom="1418" w:left="1418"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C858" w14:textId="77777777" w:rsidR="0012444A" w:rsidRDefault="0012444A">
      <w:pPr>
        <w:spacing w:after="0" w:line="240" w:lineRule="auto"/>
      </w:pPr>
      <w:r>
        <w:separator/>
      </w:r>
    </w:p>
  </w:endnote>
  <w:endnote w:type="continuationSeparator" w:id="0">
    <w:p w14:paraId="716F3CB3" w14:textId="77777777" w:rsidR="0012444A" w:rsidRDefault="0012444A">
      <w:pPr>
        <w:spacing w:after="0" w:line="240" w:lineRule="auto"/>
      </w:pPr>
      <w:r>
        <w:continuationSeparator/>
      </w:r>
    </w:p>
  </w:endnote>
  <w:endnote w:type="continuationNotice" w:id="1">
    <w:p w14:paraId="534E0587" w14:textId="77777777" w:rsidR="0012444A" w:rsidRDefault="00124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53898"/>
      <w:docPartObj>
        <w:docPartGallery w:val="Page Numbers (Bottom of Page)"/>
        <w:docPartUnique/>
      </w:docPartObj>
    </w:sdtPr>
    <w:sdtEndPr>
      <w:rPr>
        <w:rFonts w:ascii="Times New Roman" w:hAnsi="Times New Roman" w:cs="Times New Roman"/>
        <w:noProof/>
      </w:rPr>
    </w:sdtEndPr>
    <w:sdtContent>
      <w:p w14:paraId="783E7D0C" w14:textId="59855F33" w:rsidR="007061D1" w:rsidRPr="00C44E20" w:rsidRDefault="007061D1">
        <w:pPr>
          <w:pStyle w:val="Footer"/>
          <w:jc w:val="center"/>
          <w:rPr>
            <w:rFonts w:ascii="Times New Roman" w:hAnsi="Times New Roman" w:cs="Times New Roman"/>
          </w:rPr>
        </w:pPr>
        <w:r w:rsidRPr="00C44E20">
          <w:rPr>
            <w:rFonts w:ascii="Times New Roman" w:hAnsi="Times New Roman" w:cs="Times New Roman"/>
          </w:rPr>
          <w:fldChar w:fldCharType="begin"/>
        </w:r>
        <w:r w:rsidRPr="00C44E20">
          <w:rPr>
            <w:rFonts w:ascii="Times New Roman" w:hAnsi="Times New Roman" w:cs="Times New Roman"/>
          </w:rPr>
          <w:instrText xml:space="preserve"> PAGE   \* MERGEFORMAT </w:instrText>
        </w:r>
        <w:r w:rsidRPr="00C44E20">
          <w:rPr>
            <w:rFonts w:ascii="Times New Roman" w:hAnsi="Times New Roman" w:cs="Times New Roman"/>
          </w:rPr>
          <w:fldChar w:fldCharType="separate"/>
        </w:r>
        <w:r w:rsidR="00C152A7">
          <w:rPr>
            <w:rFonts w:ascii="Times New Roman" w:hAnsi="Times New Roman" w:cs="Times New Roman"/>
            <w:noProof/>
          </w:rPr>
          <w:t>2</w:t>
        </w:r>
        <w:r w:rsidRPr="00C44E20">
          <w:rPr>
            <w:rFonts w:ascii="Times New Roman" w:hAnsi="Times New Roman" w:cs="Times New Roman"/>
            <w:noProof/>
          </w:rPr>
          <w:fldChar w:fldCharType="end"/>
        </w:r>
      </w:p>
    </w:sdtContent>
  </w:sdt>
  <w:p w14:paraId="2D0659AA" w14:textId="39A1FF69" w:rsidR="007061D1" w:rsidRPr="00FE17DB" w:rsidRDefault="00D071BE" w:rsidP="00D071BE">
    <w:pPr>
      <w:tabs>
        <w:tab w:val="left" w:pos="9071"/>
      </w:tabs>
      <w:spacing w:after="0" w:line="240" w:lineRule="auto"/>
      <w:jc w:val="both"/>
      <w:rPr>
        <w:rFonts w:ascii="Times New Roman" w:hAnsi="Times New Roman" w:cs="Times New Roman"/>
        <w:sz w:val="20"/>
      </w:rPr>
    </w:pPr>
    <w:r w:rsidRPr="00D071BE">
      <w:rPr>
        <w:rFonts w:ascii="Times New Roman" w:hAnsi="Times New Roman" w:cs="Times New Roman"/>
        <w:bCs/>
        <w:sz w:val="20"/>
      </w:rPr>
      <w:t>EMAnot_</w:t>
    </w:r>
    <w:r w:rsidRPr="009A10D6">
      <w:rPr>
        <w:rFonts w:ascii="Times New Roman" w:hAnsi="Times New Roman" w:cs="Times New Roman"/>
        <w:bCs/>
        <w:sz w:val="20"/>
      </w:rPr>
      <w:t>280</w:t>
    </w:r>
    <w:r w:rsidR="009A10D6" w:rsidRPr="009A10D6">
      <w:rPr>
        <w:rFonts w:ascii="Times New Roman" w:hAnsi="Times New Roman" w:cs="Times New Roman"/>
        <w:bCs/>
        <w:sz w:val="20"/>
      </w:rPr>
      <w:t>7</w:t>
    </w:r>
    <w:r w:rsidRPr="009A10D6">
      <w:rPr>
        <w:rFonts w:ascii="Times New Roman" w:hAnsi="Times New Roman" w:cs="Times New Roman"/>
        <w:bCs/>
        <w:sz w:val="20"/>
      </w:rPr>
      <w:t>2021</w:t>
    </w:r>
    <w:r w:rsidRPr="00D071BE">
      <w:rPr>
        <w:rFonts w:ascii="Times New Roman" w:hAnsi="Times New Roman" w:cs="Times New Roman"/>
        <w:bCs/>
        <w:sz w:val="20"/>
      </w:rPr>
      <w:t>_NFI_groz4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D2E4" w14:textId="51C744F3" w:rsidR="007061D1" w:rsidRPr="00D071BE" w:rsidRDefault="00D071BE" w:rsidP="00D071BE">
    <w:pPr>
      <w:pStyle w:val="Footer"/>
    </w:pPr>
    <w:r w:rsidRPr="00D071BE">
      <w:rPr>
        <w:rFonts w:ascii="Times New Roman" w:hAnsi="Times New Roman" w:cs="Times New Roman"/>
        <w:bCs/>
        <w:sz w:val="20"/>
      </w:rPr>
      <w:t>EMAnot_280</w:t>
    </w:r>
    <w:r w:rsidR="009A10D6">
      <w:rPr>
        <w:rFonts w:ascii="Times New Roman" w:hAnsi="Times New Roman" w:cs="Times New Roman"/>
        <w:bCs/>
        <w:sz w:val="20"/>
      </w:rPr>
      <w:t>7</w:t>
    </w:r>
    <w:r w:rsidRPr="00D071BE">
      <w:rPr>
        <w:rFonts w:ascii="Times New Roman" w:hAnsi="Times New Roman" w:cs="Times New Roman"/>
        <w:bCs/>
        <w:sz w:val="20"/>
      </w:rPr>
      <w:t>2021_NFI_groz4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34D9" w14:textId="77777777" w:rsidR="0012444A" w:rsidRDefault="0012444A">
      <w:pPr>
        <w:spacing w:after="0" w:line="240" w:lineRule="auto"/>
      </w:pPr>
      <w:r>
        <w:separator/>
      </w:r>
    </w:p>
  </w:footnote>
  <w:footnote w:type="continuationSeparator" w:id="0">
    <w:p w14:paraId="10ED8279" w14:textId="77777777" w:rsidR="0012444A" w:rsidRDefault="0012444A">
      <w:pPr>
        <w:spacing w:after="0" w:line="240" w:lineRule="auto"/>
      </w:pPr>
      <w:r>
        <w:continuationSeparator/>
      </w:r>
    </w:p>
  </w:footnote>
  <w:footnote w:type="continuationNotice" w:id="1">
    <w:p w14:paraId="28A65B0B" w14:textId="77777777" w:rsidR="0012444A" w:rsidRDefault="001244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A48F5"/>
    <w:multiLevelType w:val="multilevel"/>
    <w:tmpl w:val="C568B6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7CB7B19"/>
    <w:multiLevelType w:val="hybridMultilevel"/>
    <w:tmpl w:val="E528D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5E4DE9"/>
    <w:multiLevelType w:val="hybridMultilevel"/>
    <w:tmpl w:val="67D02ACA"/>
    <w:lvl w:ilvl="0" w:tplc="FFB6B2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68763BB0"/>
    <w:multiLevelType w:val="hybridMultilevel"/>
    <w:tmpl w:val="F15AC60E"/>
    <w:lvl w:ilvl="0" w:tplc="936E6B0E">
      <w:start w:val="1"/>
      <w:numFmt w:val="decimal"/>
      <w:lvlText w:val="%1)"/>
      <w:lvlJc w:val="left"/>
      <w:pPr>
        <w:ind w:left="780" w:hanging="360"/>
      </w:pPr>
      <w:rPr>
        <w:rFonts w:ascii="Times New Roman" w:eastAsiaTheme="minorHAnsi"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6E4A50D1"/>
    <w:multiLevelType w:val="hybridMultilevel"/>
    <w:tmpl w:val="682618CA"/>
    <w:lvl w:ilvl="0" w:tplc="CF464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52AC0"/>
    <w:multiLevelType w:val="hybridMultilevel"/>
    <w:tmpl w:val="A47EE600"/>
    <w:lvl w:ilvl="0" w:tplc="CF46462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0727"/>
    <w:rsid w:val="0000109A"/>
    <w:rsid w:val="00003CE1"/>
    <w:rsid w:val="00006190"/>
    <w:rsid w:val="000062D8"/>
    <w:rsid w:val="00010ED2"/>
    <w:rsid w:val="0001166F"/>
    <w:rsid w:val="00012E6F"/>
    <w:rsid w:val="00013935"/>
    <w:rsid w:val="00013F85"/>
    <w:rsid w:val="000171DE"/>
    <w:rsid w:val="0001782B"/>
    <w:rsid w:val="00020066"/>
    <w:rsid w:val="00022711"/>
    <w:rsid w:val="000237D7"/>
    <w:rsid w:val="00024C89"/>
    <w:rsid w:val="00024F19"/>
    <w:rsid w:val="0002712E"/>
    <w:rsid w:val="00027ACF"/>
    <w:rsid w:val="000301F2"/>
    <w:rsid w:val="000328EF"/>
    <w:rsid w:val="0003354D"/>
    <w:rsid w:val="00033745"/>
    <w:rsid w:val="000340C1"/>
    <w:rsid w:val="0003655C"/>
    <w:rsid w:val="00040664"/>
    <w:rsid w:val="00041432"/>
    <w:rsid w:val="000445EC"/>
    <w:rsid w:val="000448B6"/>
    <w:rsid w:val="00051A92"/>
    <w:rsid w:val="00052AF4"/>
    <w:rsid w:val="00053230"/>
    <w:rsid w:val="00055463"/>
    <w:rsid w:val="00056C27"/>
    <w:rsid w:val="00057E51"/>
    <w:rsid w:val="00060264"/>
    <w:rsid w:val="00060DBA"/>
    <w:rsid w:val="00063FE1"/>
    <w:rsid w:val="000653BC"/>
    <w:rsid w:val="00065A1F"/>
    <w:rsid w:val="000668D6"/>
    <w:rsid w:val="00067728"/>
    <w:rsid w:val="00067954"/>
    <w:rsid w:val="000705B7"/>
    <w:rsid w:val="00071807"/>
    <w:rsid w:val="00071919"/>
    <w:rsid w:val="00071954"/>
    <w:rsid w:val="000727AD"/>
    <w:rsid w:val="00074841"/>
    <w:rsid w:val="0007637E"/>
    <w:rsid w:val="0007778E"/>
    <w:rsid w:val="00080927"/>
    <w:rsid w:val="0008128D"/>
    <w:rsid w:val="0008257E"/>
    <w:rsid w:val="0008327C"/>
    <w:rsid w:val="00083640"/>
    <w:rsid w:val="000837D6"/>
    <w:rsid w:val="00086474"/>
    <w:rsid w:val="00086F53"/>
    <w:rsid w:val="000877C5"/>
    <w:rsid w:val="00087AC7"/>
    <w:rsid w:val="00090854"/>
    <w:rsid w:val="000932C9"/>
    <w:rsid w:val="00094347"/>
    <w:rsid w:val="00097C41"/>
    <w:rsid w:val="000A3ACD"/>
    <w:rsid w:val="000A79BC"/>
    <w:rsid w:val="000B02F2"/>
    <w:rsid w:val="000B17E8"/>
    <w:rsid w:val="000B26C3"/>
    <w:rsid w:val="000B2732"/>
    <w:rsid w:val="000B2841"/>
    <w:rsid w:val="000B5971"/>
    <w:rsid w:val="000B6FA4"/>
    <w:rsid w:val="000B758C"/>
    <w:rsid w:val="000C011C"/>
    <w:rsid w:val="000C03A9"/>
    <w:rsid w:val="000C24FE"/>
    <w:rsid w:val="000C3694"/>
    <w:rsid w:val="000C5D89"/>
    <w:rsid w:val="000D1612"/>
    <w:rsid w:val="000D2207"/>
    <w:rsid w:val="000D3654"/>
    <w:rsid w:val="000D4D48"/>
    <w:rsid w:val="000D6D1F"/>
    <w:rsid w:val="000D7320"/>
    <w:rsid w:val="000E18BE"/>
    <w:rsid w:val="000E326C"/>
    <w:rsid w:val="000E3E3F"/>
    <w:rsid w:val="000E41AB"/>
    <w:rsid w:val="000E434D"/>
    <w:rsid w:val="000E4560"/>
    <w:rsid w:val="000E539A"/>
    <w:rsid w:val="000E5654"/>
    <w:rsid w:val="000E6230"/>
    <w:rsid w:val="000E64E1"/>
    <w:rsid w:val="000E6758"/>
    <w:rsid w:val="000F10F6"/>
    <w:rsid w:val="000F439F"/>
    <w:rsid w:val="000F4AFC"/>
    <w:rsid w:val="000F4D33"/>
    <w:rsid w:val="000F53D2"/>
    <w:rsid w:val="000F64E5"/>
    <w:rsid w:val="000F6B7E"/>
    <w:rsid w:val="0010163F"/>
    <w:rsid w:val="00103557"/>
    <w:rsid w:val="00103932"/>
    <w:rsid w:val="0010471A"/>
    <w:rsid w:val="00104A8B"/>
    <w:rsid w:val="00105F84"/>
    <w:rsid w:val="0010737F"/>
    <w:rsid w:val="00110A56"/>
    <w:rsid w:val="001111DB"/>
    <w:rsid w:val="001148D8"/>
    <w:rsid w:val="0011537C"/>
    <w:rsid w:val="00123901"/>
    <w:rsid w:val="0012444A"/>
    <w:rsid w:val="00125375"/>
    <w:rsid w:val="00126D2A"/>
    <w:rsid w:val="00127B7C"/>
    <w:rsid w:val="00130E51"/>
    <w:rsid w:val="0013100D"/>
    <w:rsid w:val="00132A11"/>
    <w:rsid w:val="00133243"/>
    <w:rsid w:val="0013363E"/>
    <w:rsid w:val="00134416"/>
    <w:rsid w:val="00134B6A"/>
    <w:rsid w:val="00134DD3"/>
    <w:rsid w:val="00136AE3"/>
    <w:rsid w:val="00136B2B"/>
    <w:rsid w:val="0014021A"/>
    <w:rsid w:val="001439B8"/>
    <w:rsid w:val="00143B91"/>
    <w:rsid w:val="00145DB1"/>
    <w:rsid w:val="00146570"/>
    <w:rsid w:val="001511E8"/>
    <w:rsid w:val="00152372"/>
    <w:rsid w:val="00153523"/>
    <w:rsid w:val="00157B88"/>
    <w:rsid w:val="00157C1C"/>
    <w:rsid w:val="00157D9E"/>
    <w:rsid w:val="00160252"/>
    <w:rsid w:val="001610DA"/>
    <w:rsid w:val="001612AE"/>
    <w:rsid w:val="00163589"/>
    <w:rsid w:val="001642F0"/>
    <w:rsid w:val="00166BD8"/>
    <w:rsid w:val="001709FF"/>
    <w:rsid w:val="00170EF5"/>
    <w:rsid w:val="001742AE"/>
    <w:rsid w:val="00176243"/>
    <w:rsid w:val="0018060A"/>
    <w:rsid w:val="00180ACC"/>
    <w:rsid w:val="00182EBF"/>
    <w:rsid w:val="0018483E"/>
    <w:rsid w:val="00186295"/>
    <w:rsid w:val="001864B2"/>
    <w:rsid w:val="0018755F"/>
    <w:rsid w:val="001917FD"/>
    <w:rsid w:val="00192F30"/>
    <w:rsid w:val="001935A0"/>
    <w:rsid w:val="0019369D"/>
    <w:rsid w:val="001959B2"/>
    <w:rsid w:val="00196A2A"/>
    <w:rsid w:val="001A48A8"/>
    <w:rsid w:val="001A5909"/>
    <w:rsid w:val="001A5A15"/>
    <w:rsid w:val="001A7FEE"/>
    <w:rsid w:val="001B1E7A"/>
    <w:rsid w:val="001B24D2"/>
    <w:rsid w:val="001B377F"/>
    <w:rsid w:val="001B41EE"/>
    <w:rsid w:val="001B4693"/>
    <w:rsid w:val="001B5DE6"/>
    <w:rsid w:val="001B6C23"/>
    <w:rsid w:val="001B76F1"/>
    <w:rsid w:val="001C114A"/>
    <w:rsid w:val="001C27EC"/>
    <w:rsid w:val="001C2882"/>
    <w:rsid w:val="001C4B6A"/>
    <w:rsid w:val="001C65A9"/>
    <w:rsid w:val="001C7B53"/>
    <w:rsid w:val="001D02B9"/>
    <w:rsid w:val="001D1E8C"/>
    <w:rsid w:val="001D2968"/>
    <w:rsid w:val="001D31A7"/>
    <w:rsid w:val="001D3EFF"/>
    <w:rsid w:val="001D4549"/>
    <w:rsid w:val="001D4D08"/>
    <w:rsid w:val="001D555F"/>
    <w:rsid w:val="001D5E55"/>
    <w:rsid w:val="001D6B19"/>
    <w:rsid w:val="001D7306"/>
    <w:rsid w:val="001E1B88"/>
    <w:rsid w:val="001E1D0D"/>
    <w:rsid w:val="001E2DFD"/>
    <w:rsid w:val="001E3D51"/>
    <w:rsid w:val="001E40A8"/>
    <w:rsid w:val="001E4BB9"/>
    <w:rsid w:val="001E7D11"/>
    <w:rsid w:val="001F173E"/>
    <w:rsid w:val="001F7270"/>
    <w:rsid w:val="00200922"/>
    <w:rsid w:val="002013DF"/>
    <w:rsid w:val="00202A07"/>
    <w:rsid w:val="00205BFA"/>
    <w:rsid w:val="00206E96"/>
    <w:rsid w:val="0021183B"/>
    <w:rsid w:val="00212664"/>
    <w:rsid w:val="00213690"/>
    <w:rsid w:val="00216FB0"/>
    <w:rsid w:val="00220705"/>
    <w:rsid w:val="002219F7"/>
    <w:rsid w:val="00224085"/>
    <w:rsid w:val="00224A44"/>
    <w:rsid w:val="00226CA2"/>
    <w:rsid w:val="00226F7F"/>
    <w:rsid w:val="00227888"/>
    <w:rsid w:val="00227C89"/>
    <w:rsid w:val="00227E87"/>
    <w:rsid w:val="002300DF"/>
    <w:rsid w:val="00233E07"/>
    <w:rsid w:val="0023409A"/>
    <w:rsid w:val="00236063"/>
    <w:rsid w:val="0024015D"/>
    <w:rsid w:val="002411D1"/>
    <w:rsid w:val="00243426"/>
    <w:rsid w:val="00243D6D"/>
    <w:rsid w:val="0024464D"/>
    <w:rsid w:val="00244D40"/>
    <w:rsid w:val="00245084"/>
    <w:rsid w:val="0024765D"/>
    <w:rsid w:val="00253E09"/>
    <w:rsid w:val="002557A8"/>
    <w:rsid w:val="00257A08"/>
    <w:rsid w:val="002623AC"/>
    <w:rsid w:val="00262E1C"/>
    <w:rsid w:val="00263077"/>
    <w:rsid w:val="0026373B"/>
    <w:rsid w:val="0026438D"/>
    <w:rsid w:val="002678C0"/>
    <w:rsid w:val="00273493"/>
    <w:rsid w:val="00276189"/>
    <w:rsid w:val="00277460"/>
    <w:rsid w:val="00277821"/>
    <w:rsid w:val="00280EEE"/>
    <w:rsid w:val="002822F5"/>
    <w:rsid w:val="00282725"/>
    <w:rsid w:val="00282C67"/>
    <w:rsid w:val="0028627A"/>
    <w:rsid w:val="00287F2B"/>
    <w:rsid w:val="0029043E"/>
    <w:rsid w:val="00290986"/>
    <w:rsid w:val="00292C2A"/>
    <w:rsid w:val="00292E46"/>
    <w:rsid w:val="002941CD"/>
    <w:rsid w:val="00295A0B"/>
    <w:rsid w:val="00296A85"/>
    <w:rsid w:val="002971E8"/>
    <w:rsid w:val="00297891"/>
    <w:rsid w:val="002A1656"/>
    <w:rsid w:val="002A1CB2"/>
    <w:rsid w:val="002A2FF6"/>
    <w:rsid w:val="002A31E6"/>
    <w:rsid w:val="002A34C9"/>
    <w:rsid w:val="002A461C"/>
    <w:rsid w:val="002A79F7"/>
    <w:rsid w:val="002B19F3"/>
    <w:rsid w:val="002B25EB"/>
    <w:rsid w:val="002B3E83"/>
    <w:rsid w:val="002B6151"/>
    <w:rsid w:val="002C2269"/>
    <w:rsid w:val="002C534C"/>
    <w:rsid w:val="002C73AC"/>
    <w:rsid w:val="002D083A"/>
    <w:rsid w:val="002D1436"/>
    <w:rsid w:val="002D2825"/>
    <w:rsid w:val="002D4511"/>
    <w:rsid w:val="002D6467"/>
    <w:rsid w:val="002E14F0"/>
    <w:rsid w:val="002E1C05"/>
    <w:rsid w:val="002F03C7"/>
    <w:rsid w:val="002F0843"/>
    <w:rsid w:val="002F0C98"/>
    <w:rsid w:val="002F1C6A"/>
    <w:rsid w:val="002F344B"/>
    <w:rsid w:val="002F5A7D"/>
    <w:rsid w:val="002F66D3"/>
    <w:rsid w:val="002F6C57"/>
    <w:rsid w:val="00300691"/>
    <w:rsid w:val="003011D5"/>
    <w:rsid w:val="00301C21"/>
    <w:rsid w:val="00302970"/>
    <w:rsid w:val="00303264"/>
    <w:rsid w:val="00303C57"/>
    <w:rsid w:val="003066F5"/>
    <w:rsid w:val="0031040D"/>
    <w:rsid w:val="003125D5"/>
    <w:rsid w:val="00313D8D"/>
    <w:rsid w:val="0031571D"/>
    <w:rsid w:val="00315B20"/>
    <w:rsid w:val="003177C9"/>
    <w:rsid w:val="003206BC"/>
    <w:rsid w:val="003240A9"/>
    <w:rsid w:val="0032415D"/>
    <w:rsid w:val="00330AFE"/>
    <w:rsid w:val="0033119D"/>
    <w:rsid w:val="00333A66"/>
    <w:rsid w:val="00334E6E"/>
    <w:rsid w:val="00336446"/>
    <w:rsid w:val="00341B04"/>
    <w:rsid w:val="00344B0B"/>
    <w:rsid w:val="00344EBB"/>
    <w:rsid w:val="0034668C"/>
    <w:rsid w:val="00351310"/>
    <w:rsid w:val="00351623"/>
    <w:rsid w:val="00352E5B"/>
    <w:rsid w:val="00353CC4"/>
    <w:rsid w:val="003544D9"/>
    <w:rsid w:val="00354B3B"/>
    <w:rsid w:val="00354B62"/>
    <w:rsid w:val="00356DC5"/>
    <w:rsid w:val="003633ED"/>
    <w:rsid w:val="003673D3"/>
    <w:rsid w:val="00367A40"/>
    <w:rsid w:val="00370E6D"/>
    <w:rsid w:val="00372164"/>
    <w:rsid w:val="00372174"/>
    <w:rsid w:val="00373DB4"/>
    <w:rsid w:val="0037413F"/>
    <w:rsid w:val="00375CCF"/>
    <w:rsid w:val="00375DF9"/>
    <w:rsid w:val="003779A0"/>
    <w:rsid w:val="00381D2C"/>
    <w:rsid w:val="003822D9"/>
    <w:rsid w:val="003848EC"/>
    <w:rsid w:val="00385073"/>
    <w:rsid w:val="00385864"/>
    <w:rsid w:val="00387304"/>
    <w:rsid w:val="00390A38"/>
    <w:rsid w:val="0039111D"/>
    <w:rsid w:val="00391890"/>
    <w:rsid w:val="00391CC2"/>
    <w:rsid w:val="00393A42"/>
    <w:rsid w:val="003953C9"/>
    <w:rsid w:val="00395B0D"/>
    <w:rsid w:val="003963D5"/>
    <w:rsid w:val="003A2BBC"/>
    <w:rsid w:val="003A3011"/>
    <w:rsid w:val="003A38CC"/>
    <w:rsid w:val="003A42C3"/>
    <w:rsid w:val="003A5419"/>
    <w:rsid w:val="003A5BA4"/>
    <w:rsid w:val="003B0BF9"/>
    <w:rsid w:val="003B15FD"/>
    <w:rsid w:val="003B58D6"/>
    <w:rsid w:val="003C5024"/>
    <w:rsid w:val="003C5E7D"/>
    <w:rsid w:val="003D1697"/>
    <w:rsid w:val="003D2233"/>
    <w:rsid w:val="003D2AE1"/>
    <w:rsid w:val="003D37B6"/>
    <w:rsid w:val="003D5BD6"/>
    <w:rsid w:val="003D6FD2"/>
    <w:rsid w:val="003E0791"/>
    <w:rsid w:val="003E14C7"/>
    <w:rsid w:val="003E150B"/>
    <w:rsid w:val="003E2BAA"/>
    <w:rsid w:val="003E2C93"/>
    <w:rsid w:val="003E3751"/>
    <w:rsid w:val="003E3AF4"/>
    <w:rsid w:val="003E4E60"/>
    <w:rsid w:val="003E5236"/>
    <w:rsid w:val="003F0210"/>
    <w:rsid w:val="003F17C5"/>
    <w:rsid w:val="003F28AC"/>
    <w:rsid w:val="003F3163"/>
    <w:rsid w:val="003F3255"/>
    <w:rsid w:val="003F47C0"/>
    <w:rsid w:val="003F53FC"/>
    <w:rsid w:val="003F55F3"/>
    <w:rsid w:val="004048A0"/>
    <w:rsid w:val="00405263"/>
    <w:rsid w:val="00406D1A"/>
    <w:rsid w:val="00406FD4"/>
    <w:rsid w:val="0041143B"/>
    <w:rsid w:val="00415438"/>
    <w:rsid w:val="004209FE"/>
    <w:rsid w:val="0042121A"/>
    <w:rsid w:val="00421251"/>
    <w:rsid w:val="00422587"/>
    <w:rsid w:val="00423407"/>
    <w:rsid w:val="004250BA"/>
    <w:rsid w:val="00426BA6"/>
    <w:rsid w:val="0042721D"/>
    <w:rsid w:val="00432E54"/>
    <w:rsid w:val="00434393"/>
    <w:rsid w:val="0043458F"/>
    <w:rsid w:val="0043636D"/>
    <w:rsid w:val="0043676F"/>
    <w:rsid w:val="00441E4F"/>
    <w:rsid w:val="00442DCC"/>
    <w:rsid w:val="00443D23"/>
    <w:rsid w:val="00444300"/>
    <w:rsid w:val="004454FE"/>
    <w:rsid w:val="0044618D"/>
    <w:rsid w:val="00447A1F"/>
    <w:rsid w:val="00447D50"/>
    <w:rsid w:val="004504F0"/>
    <w:rsid w:val="00454787"/>
    <w:rsid w:val="004550D5"/>
    <w:rsid w:val="004562C0"/>
    <w:rsid w:val="00456DDC"/>
    <w:rsid w:val="00456E40"/>
    <w:rsid w:val="004577DD"/>
    <w:rsid w:val="00461E7A"/>
    <w:rsid w:val="004620F4"/>
    <w:rsid w:val="00462449"/>
    <w:rsid w:val="00465894"/>
    <w:rsid w:val="00471F27"/>
    <w:rsid w:val="00473679"/>
    <w:rsid w:val="004737BF"/>
    <w:rsid w:val="0047449B"/>
    <w:rsid w:val="00474904"/>
    <w:rsid w:val="00475AF9"/>
    <w:rsid w:val="004763B1"/>
    <w:rsid w:val="004803AD"/>
    <w:rsid w:val="00486186"/>
    <w:rsid w:val="004861FA"/>
    <w:rsid w:val="00486362"/>
    <w:rsid w:val="00487014"/>
    <w:rsid w:val="004919A4"/>
    <w:rsid w:val="00491BA7"/>
    <w:rsid w:val="00491FA5"/>
    <w:rsid w:val="00493989"/>
    <w:rsid w:val="00495414"/>
    <w:rsid w:val="004A0794"/>
    <w:rsid w:val="004A164B"/>
    <w:rsid w:val="004A56C6"/>
    <w:rsid w:val="004A583E"/>
    <w:rsid w:val="004B6B98"/>
    <w:rsid w:val="004B7E74"/>
    <w:rsid w:val="004C06C4"/>
    <w:rsid w:val="004C2982"/>
    <w:rsid w:val="004C4501"/>
    <w:rsid w:val="004C71DE"/>
    <w:rsid w:val="004C7D6A"/>
    <w:rsid w:val="004D0EEA"/>
    <w:rsid w:val="004D1E55"/>
    <w:rsid w:val="004D7370"/>
    <w:rsid w:val="004E200A"/>
    <w:rsid w:val="004E3D63"/>
    <w:rsid w:val="004E5B2D"/>
    <w:rsid w:val="004E6F5D"/>
    <w:rsid w:val="004F0EA3"/>
    <w:rsid w:val="004F1863"/>
    <w:rsid w:val="004F18CB"/>
    <w:rsid w:val="004F202E"/>
    <w:rsid w:val="004F300B"/>
    <w:rsid w:val="004F3B74"/>
    <w:rsid w:val="004F4BD4"/>
    <w:rsid w:val="004F5EF7"/>
    <w:rsid w:val="004F65AF"/>
    <w:rsid w:val="004F6AFA"/>
    <w:rsid w:val="004F72E9"/>
    <w:rsid w:val="005015B0"/>
    <w:rsid w:val="0050178F"/>
    <w:rsid w:val="0050204C"/>
    <w:rsid w:val="00502FC0"/>
    <w:rsid w:val="00503C07"/>
    <w:rsid w:val="0050577C"/>
    <w:rsid w:val="0051238D"/>
    <w:rsid w:val="00514CD8"/>
    <w:rsid w:val="00515927"/>
    <w:rsid w:val="005162CC"/>
    <w:rsid w:val="00517079"/>
    <w:rsid w:val="0052302F"/>
    <w:rsid w:val="0052578E"/>
    <w:rsid w:val="005258C4"/>
    <w:rsid w:val="00526490"/>
    <w:rsid w:val="005278D5"/>
    <w:rsid w:val="00530012"/>
    <w:rsid w:val="005305F3"/>
    <w:rsid w:val="00532B31"/>
    <w:rsid w:val="00532D89"/>
    <w:rsid w:val="00532EFE"/>
    <w:rsid w:val="0053412E"/>
    <w:rsid w:val="00534FB1"/>
    <w:rsid w:val="00535679"/>
    <w:rsid w:val="00535FDC"/>
    <w:rsid w:val="0053678A"/>
    <w:rsid w:val="00541131"/>
    <w:rsid w:val="005438C9"/>
    <w:rsid w:val="005516BE"/>
    <w:rsid w:val="00551F12"/>
    <w:rsid w:val="00553771"/>
    <w:rsid w:val="005541B1"/>
    <w:rsid w:val="005547DE"/>
    <w:rsid w:val="005560BE"/>
    <w:rsid w:val="0055645B"/>
    <w:rsid w:val="0056074B"/>
    <w:rsid w:val="005625BB"/>
    <w:rsid w:val="005630A7"/>
    <w:rsid w:val="00563F7C"/>
    <w:rsid w:val="005659F1"/>
    <w:rsid w:val="00567A57"/>
    <w:rsid w:val="00571E1C"/>
    <w:rsid w:val="00572508"/>
    <w:rsid w:val="00572644"/>
    <w:rsid w:val="0057367C"/>
    <w:rsid w:val="0057418D"/>
    <w:rsid w:val="0057661C"/>
    <w:rsid w:val="00576866"/>
    <w:rsid w:val="00576C22"/>
    <w:rsid w:val="00576E8F"/>
    <w:rsid w:val="00576ED1"/>
    <w:rsid w:val="005771E5"/>
    <w:rsid w:val="0058270F"/>
    <w:rsid w:val="00585D93"/>
    <w:rsid w:val="00586F37"/>
    <w:rsid w:val="005915B2"/>
    <w:rsid w:val="0059332D"/>
    <w:rsid w:val="00593893"/>
    <w:rsid w:val="005942DA"/>
    <w:rsid w:val="00594486"/>
    <w:rsid w:val="00594B00"/>
    <w:rsid w:val="0059606C"/>
    <w:rsid w:val="005A036C"/>
    <w:rsid w:val="005A211C"/>
    <w:rsid w:val="005A3D49"/>
    <w:rsid w:val="005A60CF"/>
    <w:rsid w:val="005A7662"/>
    <w:rsid w:val="005A7B17"/>
    <w:rsid w:val="005B0771"/>
    <w:rsid w:val="005B1B55"/>
    <w:rsid w:val="005B5761"/>
    <w:rsid w:val="005C0C96"/>
    <w:rsid w:val="005C18DD"/>
    <w:rsid w:val="005C324B"/>
    <w:rsid w:val="005C37EE"/>
    <w:rsid w:val="005C6785"/>
    <w:rsid w:val="005D0246"/>
    <w:rsid w:val="005D0C73"/>
    <w:rsid w:val="005D0E6D"/>
    <w:rsid w:val="005D2206"/>
    <w:rsid w:val="005D4393"/>
    <w:rsid w:val="005D4C34"/>
    <w:rsid w:val="005D50F1"/>
    <w:rsid w:val="005D5A0F"/>
    <w:rsid w:val="005D5A1F"/>
    <w:rsid w:val="005D5CE1"/>
    <w:rsid w:val="005D77A2"/>
    <w:rsid w:val="005E00D4"/>
    <w:rsid w:val="005E1EB3"/>
    <w:rsid w:val="005E2390"/>
    <w:rsid w:val="005E2553"/>
    <w:rsid w:val="005E5E83"/>
    <w:rsid w:val="005E6415"/>
    <w:rsid w:val="005E768F"/>
    <w:rsid w:val="005F1335"/>
    <w:rsid w:val="005F141E"/>
    <w:rsid w:val="005F3F66"/>
    <w:rsid w:val="005F4082"/>
    <w:rsid w:val="005F4642"/>
    <w:rsid w:val="005F477C"/>
    <w:rsid w:val="00600694"/>
    <w:rsid w:val="00601DF1"/>
    <w:rsid w:val="006033F3"/>
    <w:rsid w:val="00605520"/>
    <w:rsid w:val="00607C5E"/>
    <w:rsid w:val="00615B64"/>
    <w:rsid w:val="006213A9"/>
    <w:rsid w:val="00621773"/>
    <w:rsid w:val="0062212C"/>
    <w:rsid w:val="006229FA"/>
    <w:rsid w:val="00623220"/>
    <w:rsid w:val="006238F3"/>
    <w:rsid w:val="00625AE6"/>
    <w:rsid w:val="00626FFD"/>
    <w:rsid w:val="00627C5B"/>
    <w:rsid w:val="00630C89"/>
    <w:rsid w:val="00631CCA"/>
    <w:rsid w:val="00633168"/>
    <w:rsid w:val="0063422E"/>
    <w:rsid w:val="00634240"/>
    <w:rsid w:val="00640E3C"/>
    <w:rsid w:val="0064546F"/>
    <w:rsid w:val="006457FD"/>
    <w:rsid w:val="00646819"/>
    <w:rsid w:val="00647719"/>
    <w:rsid w:val="00651EA0"/>
    <w:rsid w:val="0065249F"/>
    <w:rsid w:val="00652555"/>
    <w:rsid w:val="00652639"/>
    <w:rsid w:val="00653BEA"/>
    <w:rsid w:val="006552BC"/>
    <w:rsid w:val="006559E5"/>
    <w:rsid w:val="00655C03"/>
    <w:rsid w:val="00655E3A"/>
    <w:rsid w:val="00655F2C"/>
    <w:rsid w:val="00655FD5"/>
    <w:rsid w:val="006612CC"/>
    <w:rsid w:val="0066149F"/>
    <w:rsid w:val="00663FDE"/>
    <w:rsid w:val="00667579"/>
    <w:rsid w:val="00670B98"/>
    <w:rsid w:val="00672406"/>
    <w:rsid w:val="00675927"/>
    <w:rsid w:val="0067600D"/>
    <w:rsid w:val="0067699A"/>
    <w:rsid w:val="00680134"/>
    <w:rsid w:val="006813EC"/>
    <w:rsid w:val="00681EF2"/>
    <w:rsid w:val="0068216F"/>
    <w:rsid w:val="00686C86"/>
    <w:rsid w:val="0069040F"/>
    <w:rsid w:val="006949DC"/>
    <w:rsid w:val="00696488"/>
    <w:rsid w:val="006974A5"/>
    <w:rsid w:val="006979E1"/>
    <w:rsid w:val="006A48B1"/>
    <w:rsid w:val="006A6535"/>
    <w:rsid w:val="006B12CA"/>
    <w:rsid w:val="006B252F"/>
    <w:rsid w:val="006B2DA2"/>
    <w:rsid w:val="006B451A"/>
    <w:rsid w:val="006B6542"/>
    <w:rsid w:val="006B738C"/>
    <w:rsid w:val="006B759C"/>
    <w:rsid w:val="006C208B"/>
    <w:rsid w:val="006C234E"/>
    <w:rsid w:val="006C4ABD"/>
    <w:rsid w:val="006C4BA7"/>
    <w:rsid w:val="006C517C"/>
    <w:rsid w:val="006C772F"/>
    <w:rsid w:val="006D01F1"/>
    <w:rsid w:val="006D035A"/>
    <w:rsid w:val="006D20A4"/>
    <w:rsid w:val="006D3585"/>
    <w:rsid w:val="006D4EE5"/>
    <w:rsid w:val="006D511F"/>
    <w:rsid w:val="006D67E7"/>
    <w:rsid w:val="006D7780"/>
    <w:rsid w:val="006D7B22"/>
    <w:rsid w:val="006E00FB"/>
    <w:rsid w:val="006E0EF8"/>
    <w:rsid w:val="006E1081"/>
    <w:rsid w:val="006E1DD1"/>
    <w:rsid w:val="006E2486"/>
    <w:rsid w:val="006E503F"/>
    <w:rsid w:val="006E5FBB"/>
    <w:rsid w:val="006F2402"/>
    <w:rsid w:val="006F2539"/>
    <w:rsid w:val="006F37EE"/>
    <w:rsid w:val="006F4FC8"/>
    <w:rsid w:val="006F771A"/>
    <w:rsid w:val="00700A2D"/>
    <w:rsid w:val="00701EEA"/>
    <w:rsid w:val="0070508C"/>
    <w:rsid w:val="00706078"/>
    <w:rsid w:val="007061D1"/>
    <w:rsid w:val="00707B91"/>
    <w:rsid w:val="00711468"/>
    <w:rsid w:val="00712172"/>
    <w:rsid w:val="0071272E"/>
    <w:rsid w:val="00713B50"/>
    <w:rsid w:val="00715AF7"/>
    <w:rsid w:val="00717EE6"/>
    <w:rsid w:val="00720585"/>
    <w:rsid w:val="00720C4E"/>
    <w:rsid w:val="00722299"/>
    <w:rsid w:val="007259B2"/>
    <w:rsid w:val="00726482"/>
    <w:rsid w:val="00730BF4"/>
    <w:rsid w:val="00733200"/>
    <w:rsid w:val="00733AEE"/>
    <w:rsid w:val="00733B72"/>
    <w:rsid w:val="00733FE6"/>
    <w:rsid w:val="0073409D"/>
    <w:rsid w:val="0073439F"/>
    <w:rsid w:val="00734F80"/>
    <w:rsid w:val="0074073E"/>
    <w:rsid w:val="00741143"/>
    <w:rsid w:val="00743A65"/>
    <w:rsid w:val="00744AFC"/>
    <w:rsid w:val="0074580B"/>
    <w:rsid w:val="00745963"/>
    <w:rsid w:val="007465D9"/>
    <w:rsid w:val="00750B91"/>
    <w:rsid w:val="007535F8"/>
    <w:rsid w:val="00753E2D"/>
    <w:rsid w:val="007564F4"/>
    <w:rsid w:val="0076044A"/>
    <w:rsid w:val="007623DA"/>
    <w:rsid w:val="00763796"/>
    <w:rsid w:val="00763C96"/>
    <w:rsid w:val="00765797"/>
    <w:rsid w:val="00765AB2"/>
    <w:rsid w:val="0076612A"/>
    <w:rsid w:val="00770A0A"/>
    <w:rsid w:val="00770AEE"/>
    <w:rsid w:val="007731BE"/>
    <w:rsid w:val="007732E7"/>
    <w:rsid w:val="00773AF6"/>
    <w:rsid w:val="00775099"/>
    <w:rsid w:val="007757A7"/>
    <w:rsid w:val="00776180"/>
    <w:rsid w:val="00777B54"/>
    <w:rsid w:val="007801A1"/>
    <w:rsid w:val="00780C4A"/>
    <w:rsid w:val="00782A21"/>
    <w:rsid w:val="00782C64"/>
    <w:rsid w:val="00783FC7"/>
    <w:rsid w:val="00784F2F"/>
    <w:rsid w:val="0078695D"/>
    <w:rsid w:val="00786CBE"/>
    <w:rsid w:val="00787149"/>
    <w:rsid w:val="00787958"/>
    <w:rsid w:val="007928F4"/>
    <w:rsid w:val="007943DF"/>
    <w:rsid w:val="00795F71"/>
    <w:rsid w:val="007A02CE"/>
    <w:rsid w:val="007A1425"/>
    <w:rsid w:val="007A6688"/>
    <w:rsid w:val="007B36E5"/>
    <w:rsid w:val="007B4E82"/>
    <w:rsid w:val="007B636C"/>
    <w:rsid w:val="007B76B3"/>
    <w:rsid w:val="007B7CAB"/>
    <w:rsid w:val="007C2D6D"/>
    <w:rsid w:val="007C37F7"/>
    <w:rsid w:val="007C7A67"/>
    <w:rsid w:val="007C7FC9"/>
    <w:rsid w:val="007D14F3"/>
    <w:rsid w:val="007D3879"/>
    <w:rsid w:val="007D3C00"/>
    <w:rsid w:val="007D43A8"/>
    <w:rsid w:val="007D6BF9"/>
    <w:rsid w:val="007E0ADF"/>
    <w:rsid w:val="007E3042"/>
    <w:rsid w:val="007E348D"/>
    <w:rsid w:val="007E3E4F"/>
    <w:rsid w:val="007E4B71"/>
    <w:rsid w:val="007E5F7A"/>
    <w:rsid w:val="007E619F"/>
    <w:rsid w:val="007E6555"/>
    <w:rsid w:val="007E73AB"/>
    <w:rsid w:val="007F00A1"/>
    <w:rsid w:val="007F1CEC"/>
    <w:rsid w:val="007F2314"/>
    <w:rsid w:val="007F2D67"/>
    <w:rsid w:val="007F2DA2"/>
    <w:rsid w:val="007F47A7"/>
    <w:rsid w:val="007F4CA7"/>
    <w:rsid w:val="007F6E31"/>
    <w:rsid w:val="00800A0A"/>
    <w:rsid w:val="00801954"/>
    <w:rsid w:val="00802FDE"/>
    <w:rsid w:val="008038A1"/>
    <w:rsid w:val="00804271"/>
    <w:rsid w:val="00804E6C"/>
    <w:rsid w:val="00805EF1"/>
    <w:rsid w:val="00811D80"/>
    <w:rsid w:val="0081500D"/>
    <w:rsid w:val="0081604D"/>
    <w:rsid w:val="00816C11"/>
    <w:rsid w:val="00820FB0"/>
    <w:rsid w:val="00823685"/>
    <w:rsid w:val="00824A11"/>
    <w:rsid w:val="00825089"/>
    <w:rsid w:val="00825DB8"/>
    <w:rsid w:val="008328E0"/>
    <w:rsid w:val="00835A51"/>
    <w:rsid w:val="008370F1"/>
    <w:rsid w:val="00837E13"/>
    <w:rsid w:val="008409EA"/>
    <w:rsid w:val="00840F80"/>
    <w:rsid w:val="0084189A"/>
    <w:rsid w:val="0084339B"/>
    <w:rsid w:val="0084397E"/>
    <w:rsid w:val="00844A13"/>
    <w:rsid w:val="0084501D"/>
    <w:rsid w:val="00846414"/>
    <w:rsid w:val="00847DB2"/>
    <w:rsid w:val="008506FE"/>
    <w:rsid w:val="00851A9F"/>
    <w:rsid w:val="00853FA7"/>
    <w:rsid w:val="0085454B"/>
    <w:rsid w:val="00857C0A"/>
    <w:rsid w:val="0086173D"/>
    <w:rsid w:val="00863EFA"/>
    <w:rsid w:val="00870672"/>
    <w:rsid w:val="00871693"/>
    <w:rsid w:val="00871A45"/>
    <w:rsid w:val="00871ADE"/>
    <w:rsid w:val="00872317"/>
    <w:rsid w:val="0087239B"/>
    <w:rsid w:val="00874CB4"/>
    <w:rsid w:val="00875D82"/>
    <w:rsid w:val="0087758C"/>
    <w:rsid w:val="008807B5"/>
    <w:rsid w:val="00882829"/>
    <w:rsid w:val="00882F98"/>
    <w:rsid w:val="008840D2"/>
    <w:rsid w:val="00885281"/>
    <w:rsid w:val="0088597E"/>
    <w:rsid w:val="008907C0"/>
    <w:rsid w:val="00890807"/>
    <w:rsid w:val="00891EA4"/>
    <w:rsid w:val="008929CB"/>
    <w:rsid w:val="008946E3"/>
    <w:rsid w:val="00894C55"/>
    <w:rsid w:val="00894F5D"/>
    <w:rsid w:val="00895350"/>
    <w:rsid w:val="00895D52"/>
    <w:rsid w:val="00897EE5"/>
    <w:rsid w:val="008A02D6"/>
    <w:rsid w:val="008A0779"/>
    <w:rsid w:val="008A30F0"/>
    <w:rsid w:val="008A31D5"/>
    <w:rsid w:val="008A3904"/>
    <w:rsid w:val="008A52E4"/>
    <w:rsid w:val="008A5D1F"/>
    <w:rsid w:val="008A5EDB"/>
    <w:rsid w:val="008A677D"/>
    <w:rsid w:val="008A67F6"/>
    <w:rsid w:val="008A7384"/>
    <w:rsid w:val="008B110B"/>
    <w:rsid w:val="008B15A8"/>
    <w:rsid w:val="008B1A8A"/>
    <w:rsid w:val="008B4422"/>
    <w:rsid w:val="008B58A7"/>
    <w:rsid w:val="008B6337"/>
    <w:rsid w:val="008B76D3"/>
    <w:rsid w:val="008C6272"/>
    <w:rsid w:val="008C6E24"/>
    <w:rsid w:val="008C76F8"/>
    <w:rsid w:val="008D0122"/>
    <w:rsid w:val="008D034C"/>
    <w:rsid w:val="008D206A"/>
    <w:rsid w:val="008D4ACF"/>
    <w:rsid w:val="008D6467"/>
    <w:rsid w:val="008E1383"/>
    <w:rsid w:val="008E185D"/>
    <w:rsid w:val="008E25C6"/>
    <w:rsid w:val="008E308A"/>
    <w:rsid w:val="008E3C6F"/>
    <w:rsid w:val="008E5065"/>
    <w:rsid w:val="008E6EED"/>
    <w:rsid w:val="008E77EC"/>
    <w:rsid w:val="008F169B"/>
    <w:rsid w:val="008F1B80"/>
    <w:rsid w:val="008F2CDC"/>
    <w:rsid w:val="008F37EA"/>
    <w:rsid w:val="008F4B79"/>
    <w:rsid w:val="008F6768"/>
    <w:rsid w:val="008F6902"/>
    <w:rsid w:val="008F74AD"/>
    <w:rsid w:val="008F7793"/>
    <w:rsid w:val="00904423"/>
    <w:rsid w:val="009067AF"/>
    <w:rsid w:val="00906ABE"/>
    <w:rsid w:val="009120FD"/>
    <w:rsid w:val="00913591"/>
    <w:rsid w:val="00913B8F"/>
    <w:rsid w:val="00915E92"/>
    <w:rsid w:val="0091656F"/>
    <w:rsid w:val="009203E9"/>
    <w:rsid w:val="00920464"/>
    <w:rsid w:val="009245D9"/>
    <w:rsid w:val="00924926"/>
    <w:rsid w:val="00924969"/>
    <w:rsid w:val="00926B7A"/>
    <w:rsid w:val="00926D39"/>
    <w:rsid w:val="00927D74"/>
    <w:rsid w:val="00932D0F"/>
    <w:rsid w:val="00934D1A"/>
    <w:rsid w:val="00937051"/>
    <w:rsid w:val="0094087C"/>
    <w:rsid w:val="00940A0B"/>
    <w:rsid w:val="00943253"/>
    <w:rsid w:val="00945383"/>
    <w:rsid w:val="00945D6C"/>
    <w:rsid w:val="009465BF"/>
    <w:rsid w:val="00946750"/>
    <w:rsid w:val="0094690C"/>
    <w:rsid w:val="00951C10"/>
    <w:rsid w:val="00952AD0"/>
    <w:rsid w:val="0095785A"/>
    <w:rsid w:val="00957975"/>
    <w:rsid w:val="0096186D"/>
    <w:rsid w:val="00962F18"/>
    <w:rsid w:val="00964BA9"/>
    <w:rsid w:val="00966291"/>
    <w:rsid w:val="0096781C"/>
    <w:rsid w:val="009742BA"/>
    <w:rsid w:val="00974B9E"/>
    <w:rsid w:val="00974EB1"/>
    <w:rsid w:val="009765F9"/>
    <w:rsid w:val="009801D1"/>
    <w:rsid w:val="0098045B"/>
    <w:rsid w:val="009847B8"/>
    <w:rsid w:val="00987CD0"/>
    <w:rsid w:val="00991CC7"/>
    <w:rsid w:val="0099472C"/>
    <w:rsid w:val="00997583"/>
    <w:rsid w:val="009A04E7"/>
    <w:rsid w:val="009A10D6"/>
    <w:rsid w:val="009A135B"/>
    <w:rsid w:val="009A2654"/>
    <w:rsid w:val="009A2ABD"/>
    <w:rsid w:val="009A33C5"/>
    <w:rsid w:val="009A40D2"/>
    <w:rsid w:val="009A45E3"/>
    <w:rsid w:val="009A5B03"/>
    <w:rsid w:val="009A63AC"/>
    <w:rsid w:val="009A673E"/>
    <w:rsid w:val="009A6C31"/>
    <w:rsid w:val="009A70E4"/>
    <w:rsid w:val="009B13EF"/>
    <w:rsid w:val="009B3B4E"/>
    <w:rsid w:val="009B7444"/>
    <w:rsid w:val="009B7470"/>
    <w:rsid w:val="009B75B0"/>
    <w:rsid w:val="009C016A"/>
    <w:rsid w:val="009C0E5A"/>
    <w:rsid w:val="009C1EBA"/>
    <w:rsid w:val="009C1ED7"/>
    <w:rsid w:val="009C3198"/>
    <w:rsid w:val="009C4010"/>
    <w:rsid w:val="009C489F"/>
    <w:rsid w:val="009D0102"/>
    <w:rsid w:val="009D126A"/>
    <w:rsid w:val="009D12D8"/>
    <w:rsid w:val="009D16EB"/>
    <w:rsid w:val="009D499A"/>
    <w:rsid w:val="009D514A"/>
    <w:rsid w:val="009E05F2"/>
    <w:rsid w:val="009E0614"/>
    <w:rsid w:val="009E0ADD"/>
    <w:rsid w:val="009E0BB4"/>
    <w:rsid w:val="009E142A"/>
    <w:rsid w:val="009E177A"/>
    <w:rsid w:val="009E3B27"/>
    <w:rsid w:val="009E3D9B"/>
    <w:rsid w:val="009E5A9B"/>
    <w:rsid w:val="009E660C"/>
    <w:rsid w:val="009E7302"/>
    <w:rsid w:val="009F06D9"/>
    <w:rsid w:val="009F2152"/>
    <w:rsid w:val="009F52AD"/>
    <w:rsid w:val="009F6473"/>
    <w:rsid w:val="009F66CD"/>
    <w:rsid w:val="00A02C24"/>
    <w:rsid w:val="00A06D6E"/>
    <w:rsid w:val="00A102BE"/>
    <w:rsid w:val="00A10FC3"/>
    <w:rsid w:val="00A11C3B"/>
    <w:rsid w:val="00A12193"/>
    <w:rsid w:val="00A1293F"/>
    <w:rsid w:val="00A12BC6"/>
    <w:rsid w:val="00A12E5C"/>
    <w:rsid w:val="00A14CDB"/>
    <w:rsid w:val="00A15203"/>
    <w:rsid w:val="00A21ADA"/>
    <w:rsid w:val="00A2267B"/>
    <w:rsid w:val="00A2450C"/>
    <w:rsid w:val="00A25036"/>
    <w:rsid w:val="00A250CE"/>
    <w:rsid w:val="00A31C23"/>
    <w:rsid w:val="00A31E10"/>
    <w:rsid w:val="00A32587"/>
    <w:rsid w:val="00A34846"/>
    <w:rsid w:val="00A35910"/>
    <w:rsid w:val="00A4055B"/>
    <w:rsid w:val="00A43448"/>
    <w:rsid w:val="00A45694"/>
    <w:rsid w:val="00A45AA7"/>
    <w:rsid w:val="00A45F70"/>
    <w:rsid w:val="00A47FEF"/>
    <w:rsid w:val="00A50729"/>
    <w:rsid w:val="00A5249B"/>
    <w:rsid w:val="00A54099"/>
    <w:rsid w:val="00A5443C"/>
    <w:rsid w:val="00A5580B"/>
    <w:rsid w:val="00A6027E"/>
    <w:rsid w:val="00A6073E"/>
    <w:rsid w:val="00A60CB2"/>
    <w:rsid w:val="00A61BD3"/>
    <w:rsid w:val="00A620A2"/>
    <w:rsid w:val="00A633A2"/>
    <w:rsid w:val="00A63DA9"/>
    <w:rsid w:val="00A64EB1"/>
    <w:rsid w:val="00A67522"/>
    <w:rsid w:val="00A70C05"/>
    <w:rsid w:val="00A70D4F"/>
    <w:rsid w:val="00A73010"/>
    <w:rsid w:val="00A7415E"/>
    <w:rsid w:val="00A774A4"/>
    <w:rsid w:val="00A7774C"/>
    <w:rsid w:val="00A80F7B"/>
    <w:rsid w:val="00A8150F"/>
    <w:rsid w:val="00A8396E"/>
    <w:rsid w:val="00A85F9B"/>
    <w:rsid w:val="00A86CC2"/>
    <w:rsid w:val="00A90207"/>
    <w:rsid w:val="00A91BF9"/>
    <w:rsid w:val="00A935A0"/>
    <w:rsid w:val="00A93AE5"/>
    <w:rsid w:val="00A93EFF"/>
    <w:rsid w:val="00A93F9F"/>
    <w:rsid w:val="00A95255"/>
    <w:rsid w:val="00A9607C"/>
    <w:rsid w:val="00A96533"/>
    <w:rsid w:val="00AA00F5"/>
    <w:rsid w:val="00AA16DE"/>
    <w:rsid w:val="00AA1E19"/>
    <w:rsid w:val="00AB2C03"/>
    <w:rsid w:val="00AB36D2"/>
    <w:rsid w:val="00AB4B25"/>
    <w:rsid w:val="00AB5BB8"/>
    <w:rsid w:val="00AB6591"/>
    <w:rsid w:val="00AB6C64"/>
    <w:rsid w:val="00AC0C19"/>
    <w:rsid w:val="00AC1093"/>
    <w:rsid w:val="00AC10A3"/>
    <w:rsid w:val="00AC1C58"/>
    <w:rsid w:val="00AC3658"/>
    <w:rsid w:val="00AC37A5"/>
    <w:rsid w:val="00AC6A7A"/>
    <w:rsid w:val="00AC7FA2"/>
    <w:rsid w:val="00AD12CE"/>
    <w:rsid w:val="00AD3EF0"/>
    <w:rsid w:val="00AD54E5"/>
    <w:rsid w:val="00AE0B42"/>
    <w:rsid w:val="00AE4984"/>
    <w:rsid w:val="00AE4B9B"/>
    <w:rsid w:val="00AE5567"/>
    <w:rsid w:val="00AE55F9"/>
    <w:rsid w:val="00AE6ABC"/>
    <w:rsid w:val="00AE6C37"/>
    <w:rsid w:val="00AE6DA7"/>
    <w:rsid w:val="00AF028E"/>
    <w:rsid w:val="00AF1239"/>
    <w:rsid w:val="00AF13A6"/>
    <w:rsid w:val="00AF1BD5"/>
    <w:rsid w:val="00AF3613"/>
    <w:rsid w:val="00AF4664"/>
    <w:rsid w:val="00AF4E0D"/>
    <w:rsid w:val="00AF63A1"/>
    <w:rsid w:val="00B0036E"/>
    <w:rsid w:val="00B04FE4"/>
    <w:rsid w:val="00B054A4"/>
    <w:rsid w:val="00B0567E"/>
    <w:rsid w:val="00B05E78"/>
    <w:rsid w:val="00B07B74"/>
    <w:rsid w:val="00B1001C"/>
    <w:rsid w:val="00B11C1A"/>
    <w:rsid w:val="00B11EF9"/>
    <w:rsid w:val="00B16480"/>
    <w:rsid w:val="00B171DC"/>
    <w:rsid w:val="00B2086B"/>
    <w:rsid w:val="00B2165C"/>
    <w:rsid w:val="00B222ED"/>
    <w:rsid w:val="00B2252A"/>
    <w:rsid w:val="00B23AF2"/>
    <w:rsid w:val="00B26D69"/>
    <w:rsid w:val="00B3140C"/>
    <w:rsid w:val="00B317CA"/>
    <w:rsid w:val="00B31C64"/>
    <w:rsid w:val="00B324FF"/>
    <w:rsid w:val="00B34ED1"/>
    <w:rsid w:val="00B3569B"/>
    <w:rsid w:val="00B35C08"/>
    <w:rsid w:val="00B36C6B"/>
    <w:rsid w:val="00B36C88"/>
    <w:rsid w:val="00B371BB"/>
    <w:rsid w:val="00B3786C"/>
    <w:rsid w:val="00B40CD7"/>
    <w:rsid w:val="00B41B70"/>
    <w:rsid w:val="00B46F82"/>
    <w:rsid w:val="00B5095C"/>
    <w:rsid w:val="00B51EDB"/>
    <w:rsid w:val="00B521AF"/>
    <w:rsid w:val="00B523CE"/>
    <w:rsid w:val="00B55918"/>
    <w:rsid w:val="00B575B9"/>
    <w:rsid w:val="00B57ADE"/>
    <w:rsid w:val="00B60C99"/>
    <w:rsid w:val="00B61EFB"/>
    <w:rsid w:val="00B64EE9"/>
    <w:rsid w:val="00B65DEB"/>
    <w:rsid w:val="00B71906"/>
    <w:rsid w:val="00B74534"/>
    <w:rsid w:val="00B75F0B"/>
    <w:rsid w:val="00B776D8"/>
    <w:rsid w:val="00B847C8"/>
    <w:rsid w:val="00B91096"/>
    <w:rsid w:val="00B91BA4"/>
    <w:rsid w:val="00B92CD6"/>
    <w:rsid w:val="00B952AE"/>
    <w:rsid w:val="00B96BA5"/>
    <w:rsid w:val="00B977F9"/>
    <w:rsid w:val="00BA0C6F"/>
    <w:rsid w:val="00BA18B4"/>
    <w:rsid w:val="00BA20AA"/>
    <w:rsid w:val="00BA30CD"/>
    <w:rsid w:val="00BA381E"/>
    <w:rsid w:val="00BA3E61"/>
    <w:rsid w:val="00BA4157"/>
    <w:rsid w:val="00BA77B1"/>
    <w:rsid w:val="00BB0060"/>
    <w:rsid w:val="00BB0818"/>
    <w:rsid w:val="00BB08C7"/>
    <w:rsid w:val="00BB2A5E"/>
    <w:rsid w:val="00BB7145"/>
    <w:rsid w:val="00BB7896"/>
    <w:rsid w:val="00BB7D50"/>
    <w:rsid w:val="00BB7FD3"/>
    <w:rsid w:val="00BC03B0"/>
    <w:rsid w:val="00BC191A"/>
    <w:rsid w:val="00BC1D4D"/>
    <w:rsid w:val="00BC5337"/>
    <w:rsid w:val="00BD0004"/>
    <w:rsid w:val="00BD133B"/>
    <w:rsid w:val="00BD1EE8"/>
    <w:rsid w:val="00BD23F9"/>
    <w:rsid w:val="00BD4176"/>
    <w:rsid w:val="00BD4425"/>
    <w:rsid w:val="00BD4B68"/>
    <w:rsid w:val="00BD64E3"/>
    <w:rsid w:val="00BE05BD"/>
    <w:rsid w:val="00BE1AE8"/>
    <w:rsid w:val="00BE1C59"/>
    <w:rsid w:val="00BE32B1"/>
    <w:rsid w:val="00BE32BF"/>
    <w:rsid w:val="00BE3362"/>
    <w:rsid w:val="00BE4EE1"/>
    <w:rsid w:val="00BE6565"/>
    <w:rsid w:val="00BE7023"/>
    <w:rsid w:val="00BF1306"/>
    <w:rsid w:val="00BF1C81"/>
    <w:rsid w:val="00BF3080"/>
    <w:rsid w:val="00BF380B"/>
    <w:rsid w:val="00BF43FB"/>
    <w:rsid w:val="00C001BD"/>
    <w:rsid w:val="00C00916"/>
    <w:rsid w:val="00C0179F"/>
    <w:rsid w:val="00C02DF5"/>
    <w:rsid w:val="00C047D4"/>
    <w:rsid w:val="00C05BE7"/>
    <w:rsid w:val="00C10C3C"/>
    <w:rsid w:val="00C12E96"/>
    <w:rsid w:val="00C152A7"/>
    <w:rsid w:val="00C15350"/>
    <w:rsid w:val="00C20063"/>
    <w:rsid w:val="00C242C6"/>
    <w:rsid w:val="00C25B49"/>
    <w:rsid w:val="00C26C70"/>
    <w:rsid w:val="00C36D67"/>
    <w:rsid w:val="00C3731F"/>
    <w:rsid w:val="00C40D1A"/>
    <w:rsid w:val="00C41CA1"/>
    <w:rsid w:val="00C41CFE"/>
    <w:rsid w:val="00C42AB1"/>
    <w:rsid w:val="00C44E20"/>
    <w:rsid w:val="00C5184E"/>
    <w:rsid w:val="00C52BBA"/>
    <w:rsid w:val="00C54604"/>
    <w:rsid w:val="00C54A30"/>
    <w:rsid w:val="00C54EBD"/>
    <w:rsid w:val="00C65C0B"/>
    <w:rsid w:val="00C67779"/>
    <w:rsid w:val="00C7138C"/>
    <w:rsid w:val="00C71436"/>
    <w:rsid w:val="00C725C8"/>
    <w:rsid w:val="00C73C6F"/>
    <w:rsid w:val="00C75AB4"/>
    <w:rsid w:val="00C76155"/>
    <w:rsid w:val="00C8134D"/>
    <w:rsid w:val="00C82D7E"/>
    <w:rsid w:val="00C84301"/>
    <w:rsid w:val="00C90B2E"/>
    <w:rsid w:val="00C90B6A"/>
    <w:rsid w:val="00C91084"/>
    <w:rsid w:val="00C91156"/>
    <w:rsid w:val="00C9518A"/>
    <w:rsid w:val="00C95FBE"/>
    <w:rsid w:val="00C97BF4"/>
    <w:rsid w:val="00CA0B42"/>
    <w:rsid w:val="00CA1BE1"/>
    <w:rsid w:val="00CA2626"/>
    <w:rsid w:val="00CA272F"/>
    <w:rsid w:val="00CA7087"/>
    <w:rsid w:val="00CB066D"/>
    <w:rsid w:val="00CB0F18"/>
    <w:rsid w:val="00CB17F5"/>
    <w:rsid w:val="00CB6366"/>
    <w:rsid w:val="00CC0D2D"/>
    <w:rsid w:val="00CC3A0D"/>
    <w:rsid w:val="00CC651D"/>
    <w:rsid w:val="00CC74A9"/>
    <w:rsid w:val="00CD0957"/>
    <w:rsid w:val="00CD1B1B"/>
    <w:rsid w:val="00CD3D8A"/>
    <w:rsid w:val="00CD4C99"/>
    <w:rsid w:val="00CD5DEE"/>
    <w:rsid w:val="00CD6EDD"/>
    <w:rsid w:val="00CD7090"/>
    <w:rsid w:val="00CD78B4"/>
    <w:rsid w:val="00CE3883"/>
    <w:rsid w:val="00CE3B22"/>
    <w:rsid w:val="00CE536A"/>
    <w:rsid w:val="00CE5657"/>
    <w:rsid w:val="00CE5984"/>
    <w:rsid w:val="00CE6918"/>
    <w:rsid w:val="00CE724B"/>
    <w:rsid w:val="00CE791E"/>
    <w:rsid w:val="00CE7B43"/>
    <w:rsid w:val="00CF04CA"/>
    <w:rsid w:val="00CF2F70"/>
    <w:rsid w:val="00CF3584"/>
    <w:rsid w:val="00CF6108"/>
    <w:rsid w:val="00CF6A93"/>
    <w:rsid w:val="00D0238F"/>
    <w:rsid w:val="00D02CDC"/>
    <w:rsid w:val="00D031E2"/>
    <w:rsid w:val="00D03518"/>
    <w:rsid w:val="00D04EF2"/>
    <w:rsid w:val="00D052FF"/>
    <w:rsid w:val="00D071BE"/>
    <w:rsid w:val="00D07542"/>
    <w:rsid w:val="00D1022F"/>
    <w:rsid w:val="00D133F8"/>
    <w:rsid w:val="00D14A3E"/>
    <w:rsid w:val="00D15DA7"/>
    <w:rsid w:val="00D16ABD"/>
    <w:rsid w:val="00D17075"/>
    <w:rsid w:val="00D2125A"/>
    <w:rsid w:val="00D21E46"/>
    <w:rsid w:val="00D26DCA"/>
    <w:rsid w:val="00D30B74"/>
    <w:rsid w:val="00D3143A"/>
    <w:rsid w:val="00D32692"/>
    <w:rsid w:val="00D33EDF"/>
    <w:rsid w:val="00D359B9"/>
    <w:rsid w:val="00D36F2D"/>
    <w:rsid w:val="00D400CC"/>
    <w:rsid w:val="00D40FBB"/>
    <w:rsid w:val="00D4405D"/>
    <w:rsid w:val="00D44250"/>
    <w:rsid w:val="00D442F1"/>
    <w:rsid w:val="00D474CA"/>
    <w:rsid w:val="00D51B74"/>
    <w:rsid w:val="00D51E33"/>
    <w:rsid w:val="00D54C9D"/>
    <w:rsid w:val="00D55155"/>
    <w:rsid w:val="00D56129"/>
    <w:rsid w:val="00D577BB"/>
    <w:rsid w:val="00D6058E"/>
    <w:rsid w:val="00D60896"/>
    <w:rsid w:val="00D6154C"/>
    <w:rsid w:val="00D6162A"/>
    <w:rsid w:val="00D63615"/>
    <w:rsid w:val="00D647F3"/>
    <w:rsid w:val="00D64FB5"/>
    <w:rsid w:val="00D65281"/>
    <w:rsid w:val="00D65C16"/>
    <w:rsid w:val="00D66844"/>
    <w:rsid w:val="00D71A21"/>
    <w:rsid w:val="00D72FC0"/>
    <w:rsid w:val="00D73E45"/>
    <w:rsid w:val="00D73F8B"/>
    <w:rsid w:val="00D7406A"/>
    <w:rsid w:val="00D75351"/>
    <w:rsid w:val="00D76E0C"/>
    <w:rsid w:val="00D77CCB"/>
    <w:rsid w:val="00D8048D"/>
    <w:rsid w:val="00D85235"/>
    <w:rsid w:val="00D8537F"/>
    <w:rsid w:val="00D8551C"/>
    <w:rsid w:val="00D8622E"/>
    <w:rsid w:val="00D9117B"/>
    <w:rsid w:val="00D9376A"/>
    <w:rsid w:val="00D93EFC"/>
    <w:rsid w:val="00D95B1C"/>
    <w:rsid w:val="00D96A5D"/>
    <w:rsid w:val="00DA758F"/>
    <w:rsid w:val="00DB03D4"/>
    <w:rsid w:val="00DB18D8"/>
    <w:rsid w:val="00DB253A"/>
    <w:rsid w:val="00DB39A1"/>
    <w:rsid w:val="00DB51C8"/>
    <w:rsid w:val="00DC148B"/>
    <w:rsid w:val="00DC158E"/>
    <w:rsid w:val="00DC1ACD"/>
    <w:rsid w:val="00DC1E2D"/>
    <w:rsid w:val="00DC4CD2"/>
    <w:rsid w:val="00DC6C4E"/>
    <w:rsid w:val="00DC7837"/>
    <w:rsid w:val="00DC79ED"/>
    <w:rsid w:val="00DD05C0"/>
    <w:rsid w:val="00DD0CF2"/>
    <w:rsid w:val="00DD0D02"/>
    <w:rsid w:val="00DD1484"/>
    <w:rsid w:val="00DD38F2"/>
    <w:rsid w:val="00DD6303"/>
    <w:rsid w:val="00DD63FF"/>
    <w:rsid w:val="00DD7317"/>
    <w:rsid w:val="00DE0274"/>
    <w:rsid w:val="00DE6CC4"/>
    <w:rsid w:val="00DF2255"/>
    <w:rsid w:val="00DF22C7"/>
    <w:rsid w:val="00DF44FA"/>
    <w:rsid w:val="00DF4A29"/>
    <w:rsid w:val="00DF57A5"/>
    <w:rsid w:val="00DF6893"/>
    <w:rsid w:val="00DF7452"/>
    <w:rsid w:val="00DF7B13"/>
    <w:rsid w:val="00E00664"/>
    <w:rsid w:val="00E00FDB"/>
    <w:rsid w:val="00E01622"/>
    <w:rsid w:val="00E02FE2"/>
    <w:rsid w:val="00E0315E"/>
    <w:rsid w:val="00E0326E"/>
    <w:rsid w:val="00E042BE"/>
    <w:rsid w:val="00E05167"/>
    <w:rsid w:val="00E0567A"/>
    <w:rsid w:val="00E07276"/>
    <w:rsid w:val="00E0767D"/>
    <w:rsid w:val="00E141CA"/>
    <w:rsid w:val="00E1467F"/>
    <w:rsid w:val="00E14881"/>
    <w:rsid w:val="00E15165"/>
    <w:rsid w:val="00E151F4"/>
    <w:rsid w:val="00E16150"/>
    <w:rsid w:val="00E166D0"/>
    <w:rsid w:val="00E1692B"/>
    <w:rsid w:val="00E17DC5"/>
    <w:rsid w:val="00E215BD"/>
    <w:rsid w:val="00E30413"/>
    <w:rsid w:val="00E30CDF"/>
    <w:rsid w:val="00E30E90"/>
    <w:rsid w:val="00E3149E"/>
    <w:rsid w:val="00E3157A"/>
    <w:rsid w:val="00E3403E"/>
    <w:rsid w:val="00E344D6"/>
    <w:rsid w:val="00E34518"/>
    <w:rsid w:val="00E35551"/>
    <w:rsid w:val="00E3716B"/>
    <w:rsid w:val="00E40C39"/>
    <w:rsid w:val="00E4359A"/>
    <w:rsid w:val="00E444AB"/>
    <w:rsid w:val="00E46654"/>
    <w:rsid w:val="00E47107"/>
    <w:rsid w:val="00E507FD"/>
    <w:rsid w:val="00E53117"/>
    <w:rsid w:val="00E5323B"/>
    <w:rsid w:val="00E56878"/>
    <w:rsid w:val="00E56F6D"/>
    <w:rsid w:val="00E61819"/>
    <w:rsid w:val="00E62545"/>
    <w:rsid w:val="00E62A93"/>
    <w:rsid w:val="00E62D92"/>
    <w:rsid w:val="00E63746"/>
    <w:rsid w:val="00E63A4D"/>
    <w:rsid w:val="00E64C85"/>
    <w:rsid w:val="00E64D42"/>
    <w:rsid w:val="00E70DC9"/>
    <w:rsid w:val="00E723AB"/>
    <w:rsid w:val="00E73617"/>
    <w:rsid w:val="00E76C0E"/>
    <w:rsid w:val="00E846D9"/>
    <w:rsid w:val="00E850FF"/>
    <w:rsid w:val="00E86D9D"/>
    <w:rsid w:val="00E86F2D"/>
    <w:rsid w:val="00E8749E"/>
    <w:rsid w:val="00E87AC5"/>
    <w:rsid w:val="00E87C6E"/>
    <w:rsid w:val="00E90C01"/>
    <w:rsid w:val="00E914FA"/>
    <w:rsid w:val="00E973CB"/>
    <w:rsid w:val="00EA14FA"/>
    <w:rsid w:val="00EA1BCD"/>
    <w:rsid w:val="00EA486E"/>
    <w:rsid w:val="00EA5191"/>
    <w:rsid w:val="00EA5EC7"/>
    <w:rsid w:val="00EA7A00"/>
    <w:rsid w:val="00EB0229"/>
    <w:rsid w:val="00EB179B"/>
    <w:rsid w:val="00EB519A"/>
    <w:rsid w:val="00EB5CED"/>
    <w:rsid w:val="00EB5E3E"/>
    <w:rsid w:val="00EB635C"/>
    <w:rsid w:val="00EC07B4"/>
    <w:rsid w:val="00EC11D3"/>
    <w:rsid w:val="00EC1C38"/>
    <w:rsid w:val="00EC3B35"/>
    <w:rsid w:val="00EC4298"/>
    <w:rsid w:val="00ED0C5A"/>
    <w:rsid w:val="00ED1556"/>
    <w:rsid w:val="00ED286D"/>
    <w:rsid w:val="00ED28D0"/>
    <w:rsid w:val="00ED484C"/>
    <w:rsid w:val="00ED749E"/>
    <w:rsid w:val="00EE12A3"/>
    <w:rsid w:val="00EE2B05"/>
    <w:rsid w:val="00EE3C88"/>
    <w:rsid w:val="00EE4216"/>
    <w:rsid w:val="00EE45C6"/>
    <w:rsid w:val="00EE5F54"/>
    <w:rsid w:val="00EE6024"/>
    <w:rsid w:val="00EF0039"/>
    <w:rsid w:val="00EF061E"/>
    <w:rsid w:val="00EF42F7"/>
    <w:rsid w:val="00EF4602"/>
    <w:rsid w:val="00F00C50"/>
    <w:rsid w:val="00F0138F"/>
    <w:rsid w:val="00F02728"/>
    <w:rsid w:val="00F02F42"/>
    <w:rsid w:val="00F0362A"/>
    <w:rsid w:val="00F0731D"/>
    <w:rsid w:val="00F12181"/>
    <w:rsid w:val="00F12255"/>
    <w:rsid w:val="00F12E9F"/>
    <w:rsid w:val="00F13480"/>
    <w:rsid w:val="00F16648"/>
    <w:rsid w:val="00F16CE9"/>
    <w:rsid w:val="00F206F8"/>
    <w:rsid w:val="00F22286"/>
    <w:rsid w:val="00F24B03"/>
    <w:rsid w:val="00F25398"/>
    <w:rsid w:val="00F25975"/>
    <w:rsid w:val="00F259E5"/>
    <w:rsid w:val="00F3037E"/>
    <w:rsid w:val="00F319CA"/>
    <w:rsid w:val="00F3210E"/>
    <w:rsid w:val="00F323B0"/>
    <w:rsid w:val="00F3360F"/>
    <w:rsid w:val="00F33C87"/>
    <w:rsid w:val="00F359B3"/>
    <w:rsid w:val="00F3644F"/>
    <w:rsid w:val="00F36901"/>
    <w:rsid w:val="00F37046"/>
    <w:rsid w:val="00F412A4"/>
    <w:rsid w:val="00F42627"/>
    <w:rsid w:val="00F4342F"/>
    <w:rsid w:val="00F4358B"/>
    <w:rsid w:val="00F451E7"/>
    <w:rsid w:val="00F454DD"/>
    <w:rsid w:val="00F45BCE"/>
    <w:rsid w:val="00F52EEF"/>
    <w:rsid w:val="00F568D5"/>
    <w:rsid w:val="00F577FB"/>
    <w:rsid w:val="00F57B0C"/>
    <w:rsid w:val="00F6145E"/>
    <w:rsid w:val="00F63D1D"/>
    <w:rsid w:val="00F640C0"/>
    <w:rsid w:val="00F64E54"/>
    <w:rsid w:val="00F65B98"/>
    <w:rsid w:val="00F66095"/>
    <w:rsid w:val="00F66738"/>
    <w:rsid w:val="00F66AC2"/>
    <w:rsid w:val="00F6798A"/>
    <w:rsid w:val="00F71350"/>
    <w:rsid w:val="00F71A15"/>
    <w:rsid w:val="00F7342D"/>
    <w:rsid w:val="00F75F0B"/>
    <w:rsid w:val="00F762C6"/>
    <w:rsid w:val="00F7749B"/>
    <w:rsid w:val="00F8052E"/>
    <w:rsid w:val="00F80BF7"/>
    <w:rsid w:val="00F80F7D"/>
    <w:rsid w:val="00F8245E"/>
    <w:rsid w:val="00F8327E"/>
    <w:rsid w:val="00F85819"/>
    <w:rsid w:val="00F91938"/>
    <w:rsid w:val="00F92685"/>
    <w:rsid w:val="00F9283A"/>
    <w:rsid w:val="00F950FC"/>
    <w:rsid w:val="00FA0691"/>
    <w:rsid w:val="00FA2C24"/>
    <w:rsid w:val="00FA327C"/>
    <w:rsid w:val="00FA4B9A"/>
    <w:rsid w:val="00FA4BF4"/>
    <w:rsid w:val="00FA5C9C"/>
    <w:rsid w:val="00FA632A"/>
    <w:rsid w:val="00FB34F2"/>
    <w:rsid w:val="00FB51BE"/>
    <w:rsid w:val="00FC1A55"/>
    <w:rsid w:val="00FC4C9D"/>
    <w:rsid w:val="00FC75C9"/>
    <w:rsid w:val="00FD0310"/>
    <w:rsid w:val="00FD203F"/>
    <w:rsid w:val="00FD30A9"/>
    <w:rsid w:val="00FD376D"/>
    <w:rsid w:val="00FD6E84"/>
    <w:rsid w:val="00FE089E"/>
    <w:rsid w:val="00FE103A"/>
    <w:rsid w:val="00FE17DB"/>
    <w:rsid w:val="00FE1E66"/>
    <w:rsid w:val="00FE33DA"/>
    <w:rsid w:val="00FE3879"/>
    <w:rsid w:val="00FE6132"/>
    <w:rsid w:val="00FE77C0"/>
    <w:rsid w:val="00FF0846"/>
    <w:rsid w:val="00FF1F0C"/>
    <w:rsid w:val="00FF2904"/>
    <w:rsid w:val="00FF40FD"/>
    <w:rsid w:val="00FF7399"/>
    <w:rsid w:val="01E611D2"/>
    <w:rsid w:val="020DB27F"/>
    <w:rsid w:val="02D1E83A"/>
    <w:rsid w:val="0335586C"/>
    <w:rsid w:val="03F76742"/>
    <w:rsid w:val="045F95C0"/>
    <w:rsid w:val="0583C32C"/>
    <w:rsid w:val="06837BF8"/>
    <w:rsid w:val="06ECE575"/>
    <w:rsid w:val="08CE5499"/>
    <w:rsid w:val="08D7605C"/>
    <w:rsid w:val="0CFA268A"/>
    <w:rsid w:val="119BE1A4"/>
    <w:rsid w:val="11C1376B"/>
    <w:rsid w:val="12CEE3A7"/>
    <w:rsid w:val="140A5F15"/>
    <w:rsid w:val="14F7319C"/>
    <w:rsid w:val="1766E17E"/>
    <w:rsid w:val="176FA6CB"/>
    <w:rsid w:val="18681564"/>
    <w:rsid w:val="187364A6"/>
    <w:rsid w:val="18DD953C"/>
    <w:rsid w:val="194611B6"/>
    <w:rsid w:val="1A328723"/>
    <w:rsid w:val="1BBC4567"/>
    <w:rsid w:val="1CBD387E"/>
    <w:rsid w:val="1D40C6BE"/>
    <w:rsid w:val="1F055941"/>
    <w:rsid w:val="1F3FD0A7"/>
    <w:rsid w:val="202B0751"/>
    <w:rsid w:val="209BFDA8"/>
    <w:rsid w:val="22030D9B"/>
    <w:rsid w:val="2303F138"/>
    <w:rsid w:val="2373EE46"/>
    <w:rsid w:val="2A177F35"/>
    <w:rsid w:val="2CA00AEC"/>
    <w:rsid w:val="2DF2033C"/>
    <w:rsid w:val="2EB63B7D"/>
    <w:rsid w:val="350EDD8F"/>
    <w:rsid w:val="3697F92D"/>
    <w:rsid w:val="3C74FEA5"/>
    <w:rsid w:val="3D84959D"/>
    <w:rsid w:val="3EC56348"/>
    <w:rsid w:val="3F4FF336"/>
    <w:rsid w:val="4226755B"/>
    <w:rsid w:val="44DCEA07"/>
    <w:rsid w:val="454B62F4"/>
    <w:rsid w:val="48077A90"/>
    <w:rsid w:val="4BEA27F0"/>
    <w:rsid w:val="4C154DE1"/>
    <w:rsid w:val="4E100E41"/>
    <w:rsid w:val="4E69DA6F"/>
    <w:rsid w:val="4F8B04B6"/>
    <w:rsid w:val="54107B9A"/>
    <w:rsid w:val="55BC3027"/>
    <w:rsid w:val="5804FB8C"/>
    <w:rsid w:val="58E65D07"/>
    <w:rsid w:val="597B0EA0"/>
    <w:rsid w:val="5A652611"/>
    <w:rsid w:val="5DF86E6E"/>
    <w:rsid w:val="62D402C2"/>
    <w:rsid w:val="6322C3AB"/>
    <w:rsid w:val="639156B7"/>
    <w:rsid w:val="64A876FD"/>
    <w:rsid w:val="64CA23D1"/>
    <w:rsid w:val="65BB25EB"/>
    <w:rsid w:val="66C616E4"/>
    <w:rsid w:val="677A55C0"/>
    <w:rsid w:val="68B0D172"/>
    <w:rsid w:val="6AF17A99"/>
    <w:rsid w:val="6B718D56"/>
    <w:rsid w:val="6C4982FB"/>
    <w:rsid w:val="6E9335B4"/>
    <w:rsid w:val="6FBCB39E"/>
    <w:rsid w:val="7074E6B0"/>
    <w:rsid w:val="7308CF27"/>
    <w:rsid w:val="749EE893"/>
    <w:rsid w:val="74A49F88"/>
    <w:rsid w:val="7618BF43"/>
    <w:rsid w:val="76365BB6"/>
    <w:rsid w:val="76406FE9"/>
    <w:rsid w:val="77DF7C17"/>
    <w:rsid w:val="7D5369B8"/>
    <w:rsid w:val="7DD01973"/>
    <w:rsid w:val="7ED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88FA"/>
  <w15:docId w15:val="{B58AA812-F1AE-4739-9B73-3D6297A1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E6"/>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customStyle="1" w:styleId="UnresolvedMention1">
    <w:name w:val="Unresolved Mention1"/>
    <w:basedOn w:val="DefaultParagraphFont"/>
    <w:uiPriority w:val="99"/>
    <w:unhideWhenUsed/>
    <w:rsid w:val="004504F0"/>
    <w:rPr>
      <w:color w:val="808080"/>
      <w:shd w:val="clear" w:color="auto" w:fill="E6E6E6"/>
    </w:rPr>
  </w:style>
  <w:style w:type="character" w:styleId="CommentReference">
    <w:name w:val="annotation reference"/>
    <w:uiPriority w:val="99"/>
    <w:unhideWhenUsed/>
    <w:rsid w:val="005915B2"/>
    <w:rPr>
      <w:sz w:val="16"/>
      <w:szCs w:val="16"/>
    </w:rPr>
  </w:style>
  <w:style w:type="paragraph" w:styleId="CommentText">
    <w:name w:val="annotation text"/>
    <w:basedOn w:val="Normal"/>
    <w:link w:val="CommentTextChar"/>
    <w:uiPriority w:val="99"/>
    <w:unhideWhenUsed/>
    <w:rsid w:val="005915B2"/>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915B2"/>
    <w:rPr>
      <w:rFonts w:ascii="Times New Roman" w:eastAsia="Calibri" w:hAnsi="Times New Roman" w:cs="Times New Roman"/>
      <w:sz w:val="20"/>
      <w:szCs w:val="20"/>
      <w:lang w:val="x-none" w:eastAsia="x-none"/>
    </w:rPr>
  </w:style>
  <w:style w:type="paragraph" w:customStyle="1" w:styleId="Default">
    <w:name w:val="Default"/>
    <w:rsid w:val="005915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M1">
    <w:name w:val="CM1"/>
    <w:basedOn w:val="Default"/>
    <w:next w:val="Default"/>
    <w:uiPriority w:val="99"/>
    <w:rsid w:val="005915B2"/>
    <w:rPr>
      <w:rFonts w:ascii="EUAlbertina" w:hAnsi="EUAlbertina"/>
      <w:color w:val="auto"/>
    </w:rPr>
  </w:style>
  <w:style w:type="paragraph" w:customStyle="1" w:styleId="naislab">
    <w:name w:val="naislab"/>
    <w:basedOn w:val="Normal"/>
    <w:rsid w:val="00FE17DB"/>
    <w:pPr>
      <w:spacing w:before="84" w:after="84" w:line="240" w:lineRule="auto"/>
      <w:jc w:val="right"/>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D7320"/>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D7320"/>
    <w:rPr>
      <w:rFonts w:ascii="Times New Roman" w:eastAsia="Calibri" w:hAnsi="Times New Roman" w:cs="Times New Roman"/>
      <w:b/>
      <w:bCs/>
      <w:sz w:val="20"/>
      <w:szCs w:val="20"/>
      <w:lang w:val="x-none" w:eastAsia="x-none"/>
    </w:rPr>
  </w:style>
  <w:style w:type="character" w:customStyle="1" w:styleId="UnresolvedMention2">
    <w:name w:val="Unresolved Mention2"/>
    <w:basedOn w:val="DefaultParagraphFont"/>
    <w:uiPriority w:val="99"/>
    <w:rsid w:val="009465BF"/>
    <w:rPr>
      <w:color w:val="605E5C"/>
      <w:shd w:val="clear" w:color="auto" w:fill="E1DFDD"/>
    </w:rPr>
  </w:style>
  <w:style w:type="character" w:customStyle="1" w:styleId="st">
    <w:name w:val="st"/>
    <w:basedOn w:val="DefaultParagraphFont"/>
    <w:rsid w:val="0052578E"/>
  </w:style>
  <w:style w:type="paragraph" w:styleId="ListParagraph">
    <w:name w:val="List Paragraph"/>
    <w:aliases w:val="H&amp;P List Paragraph,2,Strip,Saraksta rindkopa,Colorful List - Accent 12,List Paragraph1,List1,Akapit z listą BS,Colorful List - Accent 11,Saraksta rindkopa1,Normal bullet 2,Bullet list,References"/>
    <w:basedOn w:val="Normal"/>
    <w:link w:val="ListParagraphChar"/>
    <w:uiPriority w:val="34"/>
    <w:qFormat/>
    <w:rsid w:val="00CF6A93"/>
    <w:pPr>
      <w:ind w:left="720"/>
      <w:contextualSpacing/>
    </w:pPr>
  </w:style>
  <w:style w:type="paragraph" w:customStyle="1" w:styleId="tv213">
    <w:name w:val="tv213"/>
    <w:basedOn w:val="Normal"/>
    <w:rsid w:val="0096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A1BCD"/>
    <w:pPr>
      <w:spacing w:after="0" w:line="240" w:lineRule="auto"/>
    </w:pPr>
  </w:style>
  <w:style w:type="character" w:customStyle="1" w:styleId="normaltextrun">
    <w:name w:val="normaltextrun"/>
    <w:basedOn w:val="DefaultParagraphFont"/>
    <w:rsid w:val="002C73AC"/>
  </w:style>
  <w:style w:type="character" w:customStyle="1" w:styleId="ListParagraphChar">
    <w:name w:val="List Paragraph Char"/>
    <w:aliases w:val="H&amp;P List Paragraph Char,2 Char,Strip Char,Saraksta rindkopa Char,Colorful List - Accent 12 Char,List Paragraph1 Char,List1 Char,Akapit z listą BS Char,Colorful List - Accent 11 Char,Saraksta rindkopa1 Char,Normal bullet 2 Char"/>
    <w:link w:val="ListParagraph"/>
    <w:uiPriority w:val="34"/>
    <w:qFormat/>
    <w:locked/>
    <w:rsid w:val="0067600D"/>
  </w:style>
  <w:style w:type="character" w:customStyle="1" w:styleId="eop">
    <w:name w:val="eop"/>
    <w:basedOn w:val="DefaultParagraphFont"/>
    <w:rsid w:val="00553771"/>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nhideWhenUsed/>
    <w:qFormat/>
    <w:rsid w:val="007061D1"/>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rsid w:val="007061D1"/>
    <w:rPr>
      <w:rFonts w:ascii="Times New Roman" w:hAnsi="Times New Roman"/>
      <w:sz w:val="20"/>
      <w:szCs w:val="20"/>
    </w:rPr>
  </w:style>
  <w:style w:type="paragraph" w:styleId="Title">
    <w:name w:val="Title"/>
    <w:basedOn w:val="Normal"/>
    <w:link w:val="TitleChar"/>
    <w:qFormat/>
    <w:rsid w:val="007061D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061D1"/>
    <w:rPr>
      <w:rFonts w:ascii="Times New Roman" w:eastAsia="Times New Roman" w:hAnsi="Times New Roman" w:cs="Times New Roman"/>
      <w:sz w:val="28"/>
      <w:szCs w:val="20"/>
    </w:rPr>
  </w:style>
  <w:style w:type="paragraph" w:customStyle="1" w:styleId="Normal1">
    <w:name w:val="Normal1"/>
    <w:rsid w:val="007061D1"/>
    <w:pPr>
      <w:spacing w:after="0" w:line="240" w:lineRule="auto"/>
    </w:pPr>
    <w:rPr>
      <w:rFonts w:ascii="Calibri" w:eastAsia="Calibri" w:hAnsi="Calibri" w:cs="Calibri"/>
      <w:color w:val="000000"/>
      <w:lang w:eastAsia="lv-LV"/>
    </w:rPr>
  </w:style>
  <w:style w:type="paragraph" w:customStyle="1" w:styleId="paragraph">
    <w:name w:val="paragraph"/>
    <w:basedOn w:val="Normal"/>
    <w:rsid w:val="007061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unhideWhenUsed/>
    <w:rsid w:val="007061D1"/>
    <w:rPr>
      <w:color w:val="2B579A"/>
      <w:shd w:val="clear" w:color="auto" w:fill="E1DFDD"/>
    </w:rPr>
  </w:style>
  <w:style w:type="character" w:customStyle="1" w:styleId="spellingerror">
    <w:name w:val="spellingerror"/>
    <w:basedOn w:val="DefaultParagraphFont"/>
    <w:rsid w:val="007061D1"/>
  </w:style>
  <w:style w:type="paragraph" w:customStyle="1" w:styleId="naisc">
    <w:name w:val="naisc"/>
    <w:basedOn w:val="Normal"/>
    <w:rsid w:val="007061D1"/>
    <w:pPr>
      <w:spacing w:before="75" w:after="75" w:line="240" w:lineRule="auto"/>
      <w:jc w:val="center"/>
    </w:pPr>
    <w:rPr>
      <w:rFonts w:ascii="Times New Roman" w:eastAsia="Times New Roman" w:hAnsi="Times New Roman" w:cs="Times New Roman"/>
      <w:sz w:val="24"/>
      <w:szCs w:val="24"/>
      <w:lang w:eastAsia="lv-LV"/>
    </w:rPr>
  </w:style>
  <w:style w:type="character" w:customStyle="1" w:styleId="normaltextrun1">
    <w:name w:val="normaltextrun1"/>
    <w:basedOn w:val="DefaultParagraphFont"/>
    <w:rsid w:val="007061D1"/>
  </w:style>
  <w:style w:type="character" w:customStyle="1" w:styleId="Mention2">
    <w:name w:val="Mention2"/>
    <w:basedOn w:val="DefaultParagraphFont"/>
    <w:uiPriority w:val="99"/>
    <w:unhideWhenUsed/>
    <w:rsid w:val="007061D1"/>
    <w:rPr>
      <w:color w:val="2B579A"/>
      <w:shd w:val="clear" w:color="auto" w:fill="E6E6E6"/>
    </w:rPr>
  </w:style>
  <w:style w:type="character" w:styleId="UnresolvedMention">
    <w:name w:val="Unresolved Mention"/>
    <w:basedOn w:val="DefaultParagraphFont"/>
    <w:uiPriority w:val="99"/>
    <w:unhideWhenUsed/>
    <w:rsid w:val="000B6FA4"/>
    <w:rPr>
      <w:color w:val="605E5C"/>
      <w:shd w:val="clear" w:color="auto" w:fill="E1DFDD"/>
    </w:rPr>
  </w:style>
  <w:style w:type="character" w:styleId="Mention">
    <w:name w:val="Mention"/>
    <w:basedOn w:val="DefaultParagraphFont"/>
    <w:uiPriority w:val="99"/>
    <w:unhideWhenUsed/>
    <w:rsid w:val="000B6F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8757">
      <w:bodyDiv w:val="1"/>
      <w:marLeft w:val="0"/>
      <w:marRight w:val="0"/>
      <w:marTop w:val="0"/>
      <w:marBottom w:val="0"/>
      <w:divBdr>
        <w:top w:val="none" w:sz="0" w:space="0" w:color="auto"/>
        <w:left w:val="none" w:sz="0" w:space="0" w:color="auto"/>
        <w:bottom w:val="none" w:sz="0" w:space="0" w:color="auto"/>
        <w:right w:val="none" w:sz="0" w:space="0" w:color="auto"/>
      </w:divBdr>
    </w:div>
    <w:div w:id="100995613">
      <w:bodyDiv w:val="1"/>
      <w:marLeft w:val="0"/>
      <w:marRight w:val="0"/>
      <w:marTop w:val="0"/>
      <w:marBottom w:val="0"/>
      <w:divBdr>
        <w:top w:val="none" w:sz="0" w:space="0" w:color="auto"/>
        <w:left w:val="none" w:sz="0" w:space="0" w:color="auto"/>
        <w:bottom w:val="none" w:sz="0" w:space="0" w:color="auto"/>
        <w:right w:val="none" w:sz="0" w:space="0" w:color="auto"/>
      </w:divBdr>
    </w:div>
    <w:div w:id="203640194">
      <w:bodyDiv w:val="1"/>
      <w:marLeft w:val="0"/>
      <w:marRight w:val="0"/>
      <w:marTop w:val="0"/>
      <w:marBottom w:val="0"/>
      <w:divBdr>
        <w:top w:val="none" w:sz="0" w:space="0" w:color="auto"/>
        <w:left w:val="none" w:sz="0" w:space="0" w:color="auto"/>
        <w:bottom w:val="none" w:sz="0" w:space="0" w:color="auto"/>
        <w:right w:val="none" w:sz="0" w:space="0" w:color="auto"/>
      </w:divBdr>
    </w:div>
    <w:div w:id="295062503">
      <w:bodyDiv w:val="1"/>
      <w:marLeft w:val="0"/>
      <w:marRight w:val="0"/>
      <w:marTop w:val="0"/>
      <w:marBottom w:val="0"/>
      <w:divBdr>
        <w:top w:val="none" w:sz="0" w:space="0" w:color="auto"/>
        <w:left w:val="none" w:sz="0" w:space="0" w:color="auto"/>
        <w:bottom w:val="none" w:sz="0" w:space="0" w:color="auto"/>
        <w:right w:val="none" w:sz="0" w:space="0" w:color="auto"/>
      </w:divBdr>
      <w:divsChild>
        <w:div w:id="1262105220">
          <w:marLeft w:val="0"/>
          <w:marRight w:val="0"/>
          <w:marTop w:val="0"/>
          <w:marBottom w:val="0"/>
          <w:divBdr>
            <w:top w:val="none" w:sz="0" w:space="0" w:color="auto"/>
            <w:left w:val="none" w:sz="0" w:space="0" w:color="auto"/>
            <w:bottom w:val="none" w:sz="0" w:space="0" w:color="auto"/>
            <w:right w:val="none" w:sz="0" w:space="0" w:color="auto"/>
          </w:divBdr>
        </w:div>
      </w:divsChild>
    </w:div>
    <w:div w:id="305596124">
      <w:bodyDiv w:val="1"/>
      <w:marLeft w:val="0"/>
      <w:marRight w:val="0"/>
      <w:marTop w:val="0"/>
      <w:marBottom w:val="0"/>
      <w:divBdr>
        <w:top w:val="none" w:sz="0" w:space="0" w:color="auto"/>
        <w:left w:val="none" w:sz="0" w:space="0" w:color="auto"/>
        <w:bottom w:val="none" w:sz="0" w:space="0" w:color="auto"/>
        <w:right w:val="none" w:sz="0" w:space="0" w:color="auto"/>
      </w:divBdr>
    </w:div>
    <w:div w:id="332218858">
      <w:bodyDiv w:val="1"/>
      <w:marLeft w:val="0"/>
      <w:marRight w:val="0"/>
      <w:marTop w:val="0"/>
      <w:marBottom w:val="0"/>
      <w:divBdr>
        <w:top w:val="none" w:sz="0" w:space="0" w:color="auto"/>
        <w:left w:val="none" w:sz="0" w:space="0" w:color="auto"/>
        <w:bottom w:val="none" w:sz="0" w:space="0" w:color="auto"/>
        <w:right w:val="none" w:sz="0" w:space="0" w:color="auto"/>
      </w:divBdr>
    </w:div>
    <w:div w:id="4522909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96">
          <w:marLeft w:val="0"/>
          <w:marRight w:val="0"/>
          <w:marTop w:val="0"/>
          <w:marBottom w:val="0"/>
          <w:divBdr>
            <w:top w:val="none" w:sz="0" w:space="0" w:color="auto"/>
            <w:left w:val="none" w:sz="0" w:space="0" w:color="auto"/>
            <w:bottom w:val="none" w:sz="0" w:space="0" w:color="auto"/>
            <w:right w:val="none" w:sz="0" w:space="0" w:color="auto"/>
          </w:divBdr>
        </w:div>
      </w:divsChild>
    </w:div>
    <w:div w:id="492259669">
      <w:bodyDiv w:val="1"/>
      <w:marLeft w:val="0"/>
      <w:marRight w:val="0"/>
      <w:marTop w:val="0"/>
      <w:marBottom w:val="0"/>
      <w:divBdr>
        <w:top w:val="none" w:sz="0" w:space="0" w:color="auto"/>
        <w:left w:val="none" w:sz="0" w:space="0" w:color="auto"/>
        <w:bottom w:val="none" w:sz="0" w:space="0" w:color="auto"/>
        <w:right w:val="none" w:sz="0" w:space="0" w:color="auto"/>
      </w:divBdr>
    </w:div>
    <w:div w:id="498424718">
      <w:bodyDiv w:val="1"/>
      <w:marLeft w:val="0"/>
      <w:marRight w:val="0"/>
      <w:marTop w:val="0"/>
      <w:marBottom w:val="0"/>
      <w:divBdr>
        <w:top w:val="none" w:sz="0" w:space="0" w:color="auto"/>
        <w:left w:val="none" w:sz="0" w:space="0" w:color="auto"/>
        <w:bottom w:val="none" w:sz="0" w:space="0" w:color="auto"/>
        <w:right w:val="none" w:sz="0" w:space="0" w:color="auto"/>
      </w:divBdr>
    </w:div>
    <w:div w:id="528377523">
      <w:bodyDiv w:val="1"/>
      <w:marLeft w:val="0"/>
      <w:marRight w:val="0"/>
      <w:marTop w:val="0"/>
      <w:marBottom w:val="0"/>
      <w:divBdr>
        <w:top w:val="none" w:sz="0" w:space="0" w:color="auto"/>
        <w:left w:val="none" w:sz="0" w:space="0" w:color="auto"/>
        <w:bottom w:val="none" w:sz="0" w:space="0" w:color="auto"/>
        <w:right w:val="none" w:sz="0" w:space="0" w:color="auto"/>
      </w:divBdr>
      <w:divsChild>
        <w:div w:id="1291740308">
          <w:marLeft w:val="0"/>
          <w:marRight w:val="0"/>
          <w:marTop w:val="0"/>
          <w:marBottom w:val="0"/>
          <w:divBdr>
            <w:top w:val="none" w:sz="0" w:space="0" w:color="auto"/>
            <w:left w:val="none" w:sz="0" w:space="0" w:color="auto"/>
            <w:bottom w:val="none" w:sz="0" w:space="0" w:color="auto"/>
            <w:right w:val="none" w:sz="0" w:space="0" w:color="auto"/>
          </w:divBdr>
        </w:div>
      </w:divsChild>
    </w:div>
    <w:div w:id="651105875">
      <w:bodyDiv w:val="1"/>
      <w:marLeft w:val="0"/>
      <w:marRight w:val="0"/>
      <w:marTop w:val="0"/>
      <w:marBottom w:val="0"/>
      <w:divBdr>
        <w:top w:val="none" w:sz="0" w:space="0" w:color="auto"/>
        <w:left w:val="none" w:sz="0" w:space="0" w:color="auto"/>
        <w:bottom w:val="none" w:sz="0" w:space="0" w:color="auto"/>
        <w:right w:val="none" w:sz="0" w:space="0" w:color="auto"/>
      </w:divBdr>
    </w:div>
    <w:div w:id="724723376">
      <w:bodyDiv w:val="1"/>
      <w:marLeft w:val="0"/>
      <w:marRight w:val="0"/>
      <w:marTop w:val="0"/>
      <w:marBottom w:val="0"/>
      <w:divBdr>
        <w:top w:val="none" w:sz="0" w:space="0" w:color="auto"/>
        <w:left w:val="none" w:sz="0" w:space="0" w:color="auto"/>
        <w:bottom w:val="none" w:sz="0" w:space="0" w:color="auto"/>
        <w:right w:val="none" w:sz="0" w:space="0" w:color="auto"/>
      </w:divBdr>
    </w:div>
    <w:div w:id="823158972">
      <w:bodyDiv w:val="1"/>
      <w:marLeft w:val="0"/>
      <w:marRight w:val="0"/>
      <w:marTop w:val="0"/>
      <w:marBottom w:val="0"/>
      <w:divBdr>
        <w:top w:val="none" w:sz="0" w:space="0" w:color="auto"/>
        <w:left w:val="none" w:sz="0" w:space="0" w:color="auto"/>
        <w:bottom w:val="none" w:sz="0" w:space="0" w:color="auto"/>
        <w:right w:val="none" w:sz="0" w:space="0" w:color="auto"/>
      </w:divBdr>
    </w:div>
    <w:div w:id="1009209906">
      <w:bodyDiv w:val="1"/>
      <w:marLeft w:val="0"/>
      <w:marRight w:val="0"/>
      <w:marTop w:val="0"/>
      <w:marBottom w:val="0"/>
      <w:divBdr>
        <w:top w:val="none" w:sz="0" w:space="0" w:color="auto"/>
        <w:left w:val="none" w:sz="0" w:space="0" w:color="auto"/>
        <w:bottom w:val="none" w:sz="0" w:space="0" w:color="auto"/>
        <w:right w:val="none" w:sz="0" w:space="0" w:color="auto"/>
      </w:divBdr>
    </w:div>
    <w:div w:id="1119492818">
      <w:bodyDiv w:val="1"/>
      <w:marLeft w:val="0"/>
      <w:marRight w:val="0"/>
      <w:marTop w:val="0"/>
      <w:marBottom w:val="0"/>
      <w:divBdr>
        <w:top w:val="none" w:sz="0" w:space="0" w:color="auto"/>
        <w:left w:val="none" w:sz="0" w:space="0" w:color="auto"/>
        <w:bottom w:val="none" w:sz="0" w:space="0" w:color="auto"/>
        <w:right w:val="none" w:sz="0" w:space="0" w:color="auto"/>
      </w:divBdr>
    </w:div>
    <w:div w:id="1236936533">
      <w:bodyDiv w:val="1"/>
      <w:marLeft w:val="0"/>
      <w:marRight w:val="0"/>
      <w:marTop w:val="0"/>
      <w:marBottom w:val="0"/>
      <w:divBdr>
        <w:top w:val="none" w:sz="0" w:space="0" w:color="auto"/>
        <w:left w:val="none" w:sz="0" w:space="0" w:color="auto"/>
        <w:bottom w:val="none" w:sz="0" w:space="0" w:color="auto"/>
        <w:right w:val="none" w:sz="0" w:space="0" w:color="auto"/>
      </w:divBdr>
    </w:div>
    <w:div w:id="1271861467">
      <w:bodyDiv w:val="1"/>
      <w:marLeft w:val="0"/>
      <w:marRight w:val="0"/>
      <w:marTop w:val="0"/>
      <w:marBottom w:val="0"/>
      <w:divBdr>
        <w:top w:val="none" w:sz="0" w:space="0" w:color="auto"/>
        <w:left w:val="none" w:sz="0" w:space="0" w:color="auto"/>
        <w:bottom w:val="none" w:sz="0" w:space="0" w:color="auto"/>
        <w:right w:val="none" w:sz="0" w:space="0" w:color="auto"/>
      </w:divBdr>
    </w:div>
    <w:div w:id="165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A86C7-0F11-47AE-9046-235A56C8C4CC}">
  <ds:schemaRefs>
    <ds:schemaRef ds:uri="http://schemas.openxmlformats.org/officeDocument/2006/bibliography"/>
  </ds:schemaRefs>
</ds:datastoreItem>
</file>

<file path=customXml/itemProps2.xml><?xml version="1.0" encoding="utf-8"?>
<ds:datastoreItem xmlns:ds="http://schemas.openxmlformats.org/officeDocument/2006/customXml" ds:itemID="{D95BF6D7-8C8B-4C04-BC14-9E8885A75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39B28-3E85-43A6-B5E2-483ADC067C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E12C3-7F02-4D4C-ACEF-7BA3C95B6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11122</Words>
  <Characters>6341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EMAnot_28072021_NFI_groz4; Ministru kabineta noteikumu projekta “Grozījumi Ministru kabineta 2021. gada 7. janvāra noteikumos Nr. 4 “Norvēģijas finanšu instrumenta 2014.-2021. gada perioda programmas “Uzņēmējdarbības attīstība, inovācijas un mazie un vidē</vt:lpstr>
    </vt:vector>
  </TitlesOfParts>
  <Company>Ekonomikas ministrija</Company>
  <LinksUpToDate>false</LinksUpToDate>
  <CharactersWithSpaces>17429</CharactersWithSpaces>
  <SharedDoc>false</SharedDoc>
  <HLinks>
    <vt:vector size="18" baseType="variant">
      <vt:variant>
        <vt:i4>196659</vt:i4>
      </vt:variant>
      <vt:variant>
        <vt:i4>15</vt:i4>
      </vt:variant>
      <vt:variant>
        <vt:i4>0</vt:i4>
      </vt:variant>
      <vt:variant>
        <vt:i4>5</vt:i4>
      </vt:variant>
      <vt:variant>
        <vt:lpwstr>mailto:Martins.Jansons@em.gov.lv</vt:lpwstr>
      </vt:variant>
      <vt:variant>
        <vt:lpwstr/>
      </vt:variant>
      <vt:variant>
        <vt:i4>2687097</vt:i4>
      </vt:variant>
      <vt:variant>
        <vt:i4>12</vt:i4>
      </vt:variant>
      <vt:variant>
        <vt:i4>0</vt:i4>
      </vt:variant>
      <vt:variant>
        <vt:i4>5</vt:i4>
      </vt:variant>
      <vt:variant>
        <vt:lpwstr>https://www.mk.gov.lv/content/ministru-kabineta-diskusiju-dokumenti</vt:lpwstr>
      </vt:variant>
      <vt:variant>
        <vt:lpwstr/>
      </vt:variant>
      <vt:variant>
        <vt:i4>4522006</vt:i4>
      </vt:variant>
      <vt:variant>
        <vt:i4>9</vt:i4>
      </vt:variant>
      <vt:variant>
        <vt:i4>0</vt:i4>
      </vt:variant>
      <vt:variant>
        <vt:i4>5</vt:i4>
      </vt:variant>
      <vt:variant>
        <vt:lpwstr>https://em.gov.lv/lv/Ministrija/sabiedribas_lidzdaliba/diskusiju_dokumenti/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EMAnot_28072021_NFI_groz4; Ministru kabineta noteikumu projekta “Grozījumi Ministru kabineta 2021. gada 7. janvāra noteikumos Nr. 4 “Norvēģijas finanšu instrumenta 2014.-2021. gada perioda programmas “Uzņēmējdarbības attīstība, inovācijas un mazie un vidējie uzņēmumi” īstenošanas noteikumi” sākotnējās ietekmes novērtējuma ziņojums (anotācija)</dc:title>
  <dc:subject>Anotācija</dc:subject>
  <dc:creator>Martins.Jansons@em.gov.lv</dc:creator>
  <cp:keywords>Anotācija</cp:keywords>
  <dc:description>Martins.Jansons@em.gov.lv, 67013057</dc:description>
  <cp:lastModifiedBy>Mārtiņš Jansons</cp:lastModifiedBy>
  <cp:revision>13</cp:revision>
  <cp:lastPrinted>2018-08-31T19:46:00Z</cp:lastPrinted>
  <dcterms:created xsi:type="dcterms:W3CDTF">2021-07-29T06:35:00Z</dcterms:created>
  <dcterms:modified xsi:type="dcterms:W3CDTF">2021-08-05T06:28:00Z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