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BB45" w14:textId="170E9FC3" w:rsidR="00894C55" w:rsidRPr="00AB0A81" w:rsidRDefault="003935E7"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DF2C3B" w:rsidRPr="00AB0A81">
            <w:rPr>
              <w:rFonts w:ascii="Times New Roman" w:eastAsia="Times New Roman" w:hAnsi="Times New Roman" w:cs="Times New Roman"/>
              <w:b/>
              <w:bCs/>
              <w:color w:val="000000" w:themeColor="text1"/>
              <w:sz w:val="28"/>
              <w:szCs w:val="24"/>
              <w:lang w:eastAsia="lv-LV"/>
            </w:rPr>
            <w:t>Ministru kabineta noteikumu</w:t>
          </w:r>
          <w:r w:rsidR="00CD2F80" w:rsidRPr="00AB0A81">
            <w:rPr>
              <w:rFonts w:ascii="Times New Roman" w:eastAsia="Times New Roman" w:hAnsi="Times New Roman" w:cs="Times New Roman"/>
              <w:b/>
              <w:bCs/>
              <w:color w:val="000000" w:themeColor="text1"/>
              <w:sz w:val="28"/>
              <w:szCs w:val="24"/>
              <w:lang w:eastAsia="lv-LV"/>
            </w:rPr>
            <w:t xml:space="preserve"> projekta </w:t>
          </w:r>
          <w:r w:rsidR="00DF2C3B" w:rsidRPr="00AB0A81">
            <w:rPr>
              <w:rFonts w:ascii="Times New Roman" w:eastAsia="Times New Roman" w:hAnsi="Times New Roman" w:cs="Times New Roman"/>
              <w:b/>
              <w:bCs/>
              <w:color w:val="000000" w:themeColor="text1"/>
              <w:sz w:val="28"/>
              <w:szCs w:val="24"/>
              <w:lang w:eastAsia="lv-LV"/>
            </w:rPr>
            <w:t>"Grozījumi Ministru kabineta 2016.</w:t>
          </w:r>
          <w:r w:rsidR="00BE01A5" w:rsidRPr="00AB0A81">
            <w:rPr>
              <w:rFonts w:ascii="Times New Roman" w:eastAsia="Times New Roman" w:hAnsi="Times New Roman" w:cs="Times New Roman"/>
              <w:b/>
              <w:bCs/>
              <w:color w:val="000000" w:themeColor="text1"/>
              <w:sz w:val="28"/>
              <w:szCs w:val="24"/>
              <w:lang w:eastAsia="lv-LV"/>
            </w:rPr>
            <w:t> </w:t>
          </w:r>
          <w:r w:rsidR="00DF2C3B" w:rsidRPr="00AB0A81">
            <w:rPr>
              <w:rFonts w:ascii="Times New Roman" w:eastAsia="Times New Roman" w:hAnsi="Times New Roman" w:cs="Times New Roman"/>
              <w:b/>
              <w:bCs/>
              <w:color w:val="000000" w:themeColor="text1"/>
              <w:sz w:val="28"/>
              <w:szCs w:val="24"/>
              <w:lang w:eastAsia="lv-LV"/>
            </w:rPr>
            <w:t>gada 15. marta noteikumos Nr. 160 "Darbības programmas "Izaugsme un nodarbinātība" 4.2.1. specifiskā atbalsta mērķa "Veicināt energoefektivitātes paaugstināšanu valsts un dzīvojamās ēkās" 4.2.1.1.</w:t>
          </w:r>
          <w:r w:rsidR="00BE01A5" w:rsidRPr="00AB0A81">
            <w:rPr>
              <w:rFonts w:ascii="Times New Roman" w:eastAsia="Times New Roman" w:hAnsi="Times New Roman" w:cs="Times New Roman"/>
              <w:b/>
              <w:bCs/>
              <w:color w:val="000000" w:themeColor="text1"/>
              <w:sz w:val="28"/>
              <w:szCs w:val="24"/>
              <w:lang w:eastAsia="lv-LV"/>
            </w:rPr>
            <w:t> </w:t>
          </w:r>
          <w:r w:rsidR="00DF2C3B" w:rsidRPr="00AB0A81">
            <w:rPr>
              <w:rFonts w:ascii="Times New Roman" w:eastAsia="Times New Roman" w:hAnsi="Times New Roman" w:cs="Times New Roman"/>
              <w:b/>
              <w:bCs/>
              <w:color w:val="000000" w:themeColor="text1"/>
              <w:sz w:val="28"/>
              <w:szCs w:val="24"/>
              <w:lang w:eastAsia="lv-LV"/>
            </w:rPr>
            <w:t>specifiskā atbalsta mērķa pasākuma "Veicināt energoefektivitātes paaugstināšanu dzīvojamās ēkās" īstenošanas noteikumi"</w:t>
          </w:r>
        </w:sdtContent>
      </w:sdt>
      <w:r w:rsidR="003B0BF9" w:rsidRPr="00AB0A81">
        <w:rPr>
          <w:rFonts w:ascii="Times New Roman" w:eastAsia="Times New Roman" w:hAnsi="Times New Roman" w:cs="Times New Roman"/>
          <w:b/>
          <w:bCs/>
          <w:color w:val="000000" w:themeColor="text1"/>
          <w:sz w:val="28"/>
          <w:szCs w:val="24"/>
          <w:lang w:eastAsia="lv-LV"/>
        </w:rPr>
        <w:br/>
      </w:r>
      <w:r w:rsidR="00894C55" w:rsidRPr="00AB0A81">
        <w:rPr>
          <w:rFonts w:ascii="Times New Roman" w:eastAsia="Times New Roman" w:hAnsi="Times New Roman" w:cs="Times New Roman"/>
          <w:b/>
          <w:bCs/>
          <w:color w:val="000000" w:themeColor="text1"/>
          <w:sz w:val="28"/>
          <w:szCs w:val="24"/>
          <w:lang w:eastAsia="lv-LV"/>
        </w:rPr>
        <w:t>sākotnējās ietekmes novērtējuma ziņojums (anotācija)</w:t>
      </w:r>
    </w:p>
    <w:p w14:paraId="4EEB0169" w14:textId="77777777" w:rsidR="00E5323B" w:rsidRPr="00AB0A81"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3"/>
        <w:gridCol w:w="6703"/>
      </w:tblGrid>
      <w:tr w:rsidR="00E5323B" w:rsidRPr="00AB0A81" w14:paraId="67248887" w14:textId="77777777" w:rsidTr="00AB0A81">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28A1ED97" w14:textId="77777777" w:rsidR="00655F2C" w:rsidRPr="00AB0A81" w:rsidRDefault="00E5323B" w:rsidP="000B2764">
            <w:pPr>
              <w:spacing w:after="0" w:line="240" w:lineRule="auto"/>
              <w:jc w:val="center"/>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Tiesību akta projekta anotācijas kopsavilkums</w:t>
            </w:r>
          </w:p>
        </w:tc>
      </w:tr>
      <w:tr w:rsidR="00E5323B" w:rsidRPr="00AB0A81" w14:paraId="15927FDE" w14:textId="77777777" w:rsidTr="00AB0A81">
        <w:trPr>
          <w:tblCellSpacing w:w="15" w:type="dxa"/>
        </w:trPr>
        <w:tc>
          <w:tcPr>
            <w:tcW w:w="1653" w:type="pct"/>
            <w:tcBorders>
              <w:top w:val="outset" w:sz="6" w:space="0" w:color="auto"/>
              <w:left w:val="outset" w:sz="6" w:space="0" w:color="auto"/>
              <w:bottom w:val="outset" w:sz="6" w:space="0" w:color="auto"/>
              <w:right w:val="outset" w:sz="6" w:space="0" w:color="auto"/>
            </w:tcBorders>
            <w:hideMark/>
          </w:tcPr>
          <w:p w14:paraId="7F96989A"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302" w:type="pct"/>
            <w:tcBorders>
              <w:top w:val="outset" w:sz="6" w:space="0" w:color="auto"/>
              <w:left w:val="outset" w:sz="6" w:space="0" w:color="auto"/>
              <w:bottom w:val="outset" w:sz="6" w:space="0" w:color="auto"/>
              <w:right w:val="outset" w:sz="6" w:space="0" w:color="auto"/>
            </w:tcBorders>
            <w:hideMark/>
          </w:tcPr>
          <w:p w14:paraId="1FB9E583" w14:textId="7B6122CE" w:rsidR="000B2764" w:rsidRPr="00AB0A81" w:rsidRDefault="00D55ED8" w:rsidP="00D55ED8">
            <w:pPr>
              <w:spacing w:after="0" w:line="240" w:lineRule="auto"/>
              <w:ind w:firstLine="363"/>
              <w:jc w:val="both"/>
              <w:rPr>
                <w:rFonts w:ascii="Times New Roman" w:eastAsia="Times New Roman" w:hAnsi="Times New Roman" w:cs="Times New Roman"/>
                <w:iCs/>
                <w:color w:val="000000" w:themeColor="text1"/>
                <w:sz w:val="24"/>
                <w:szCs w:val="24"/>
                <w:lang w:eastAsia="lv-LV"/>
              </w:rPr>
            </w:pPr>
            <w:bookmarkStart w:id="0" w:name="_Hlk20126694"/>
            <w:r>
              <w:rPr>
                <w:rFonts w:ascii="Times New Roman" w:eastAsia="Times New Roman" w:hAnsi="Times New Roman" w:cs="Times New Roman"/>
                <w:iCs/>
                <w:color w:val="000000" w:themeColor="text1"/>
                <w:sz w:val="24"/>
                <w:szCs w:val="24"/>
                <w:lang w:eastAsia="lv-LV"/>
              </w:rPr>
              <w:t>Tiesību akts paredz</w:t>
            </w:r>
            <w:r w:rsidR="00DF2C3B" w:rsidRPr="00AB0A81">
              <w:rPr>
                <w:rFonts w:ascii="Times New Roman" w:eastAsia="Times New Roman" w:hAnsi="Times New Roman" w:cs="Times New Roman"/>
                <w:iCs/>
                <w:color w:val="000000" w:themeColor="text1"/>
                <w:sz w:val="24"/>
                <w:szCs w:val="24"/>
                <w:lang w:eastAsia="lv-LV"/>
              </w:rPr>
              <w:t xml:space="preserve"> </w:t>
            </w:r>
            <w:r w:rsidR="002C69D3">
              <w:rPr>
                <w:rFonts w:ascii="Times New Roman" w:eastAsia="Times New Roman" w:hAnsi="Times New Roman" w:cs="Times New Roman"/>
                <w:iCs/>
                <w:color w:val="000000" w:themeColor="text1"/>
                <w:sz w:val="24"/>
                <w:szCs w:val="24"/>
                <w:lang w:eastAsia="lv-LV"/>
              </w:rPr>
              <w:t xml:space="preserve">veikt grozījumus </w:t>
            </w:r>
            <w:r w:rsidR="00DF2C3B" w:rsidRPr="00AB0A81">
              <w:rPr>
                <w:rFonts w:ascii="Times New Roman" w:eastAsia="Times New Roman" w:hAnsi="Times New Roman" w:cs="Times New Roman"/>
                <w:iCs/>
                <w:color w:val="000000" w:themeColor="text1"/>
                <w:sz w:val="24"/>
                <w:szCs w:val="24"/>
                <w:lang w:eastAsia="lv-LV"/>
              </w:rPr>
              <w:t xml:space="preserve">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w:t>
            </w:r>
            <w:r w:rsidR="00601F56">
              <w:rPr>
                <w:rFonts w:ascii="Times New Roman" w:eastAsia="Times New Roman" w:hAnsi="Times New Roman" w:cs="Times New Roman"/>
                <w:iCs/>
                <w:color w:val="000000" w:themeColor="text1"/>
                <w:sz w:val="24"/>
                <w:szCs w:val="24"/>
                <w:lang w:eastAsia="lv-LV"/>
              </w:rPr>
              <w:t>tekstā</w:t>
            </w:r>
            <w:r w:rsidR="00DF2C3B" w:rsidRPr="00AB0A81">
              <w:rPr>
                <w:rFonts w:ascii="Times New Roman" w:eastAsia="Times New Roman" w:hAnsi="Times New Roman" w:cs="Times New Roman"/>
                <w:iCs/>
                <w:color w:val="000000" w:themeColor="text1"/>
                <w:sz w:val="24"/>
                <w:szCs w:val="24"/>
                <w:lang w:eastAsia="lv-LV"/>
              </w:rPr>
              <w:t xml:space="preserve">– </w:t>
            </w:r>
            <w:r w:rsidR="00601F56">
              <w:rPr>
                <w:rFonts w:ascii="Times New Roman" w:eastAsia="Times New Roman" w:hAnsi="Times New Roman" w:cs="Times New Roman"/>
                <w:iCs/>
                <w:color w:val="000000" w:themeColor="text1"/>
                <w:sz w:val="24"/>
                <w:szCs w:val="24"/>
                <w:lang w:eastAsia="lv-LV"/>
              </w:rPr>
              <w:t>Noteikumu projekts</w:t>
            </w:r>
            <w:r w:rsidR="002C69D3">
              <w:rPr>
                <w:rFonts w:ascii="Times New Roman" w:eastAsia="Times New Roman" w:hAnsi="Times New Roman" w:cs="Times New Roman"/>
                <w:iCs/>
                <w:color w:val="000000" w:themeColor="text1"/>
                <w:sz w:val="24"/>
                <w:szCs w:val="24"/>
                <w:lang w:eastAsia="lv-LV"/>
              </w:rPr>
              <w:t xml:space="preserve">), </w:t>
            </w:r>
            <w:r w:rsidR="002C69D3" w:rsidRPr="002C69D3">
              <w:rPr>
                <w:rFonts w:ascii="Times New Roman" w:eastAsia="Times New Roman" w:hAnsi="Times New Roman" w:cs="Times New Roman"/>
                <w:iCs/>
                <w:color w:val="000000" w:themeColor="text1"/>
                <w:sz w:val="24"/>
                <w:szCs w:val="24"/>
                <w:lang w:eastAsia="lv-LV"/>
              </w:rPr>
              <w:t>nodroši</w:t>
            </w:r>
            <w:r w:rsidR="002C69D3">
              <w:rPr>
                <w:rFonts w:ascii="Times New Roman" w:eastAsia="Times New Roman" w:hAnsi="Times New Roman" w:cs="Times New Roman"/>
                <w:iCs/>
                <w:color w:val="000000" w:themeColor="text1"/>
                <w:sz w:val="24"/>
                <w:szCs w:val="24"/>
                <w:lang w:eastAsia="lv-LV"/>
              </w:rPr>
              <w:t>not</w:t>
            </w:r>
            <w:r w:rsidR="002C69D3" w:rsidRPr="002C69D3">
              <w:rPr>
                <w:rFonts w:ascii="Times New Roman" w:eastAsia="Times New Roman" w:hAnsi="Times New Roman" w:cs="Times New Roman"/>
                <w:iCs/>
                <w:color w:val="000000" w:themeColor="text1"/>
                <w:sz w:val="24"/>
                <w:szCs w:val="24"/>
                <w:lang w:eastAsia="lv-LV"/>
              </w:rPr>
              <w:t xml:space="preserve"> skaidru normatīvo regulējumu neatbilstoši veikto izdevumu atgūšanas procesam</w:t>
            </w:r>
            <w:r w:rsidR="002C69D3">
              <w:rPr>
                <w:rFonts w:ascii="Times New Roman" w:eastAsia="Times New Roman" w:hAnsi="Times New Roman" w:cs="Times New Roman"/>
                <w:iCs/>
                <w:color w:val="000000" w:themeColor="text1"/>
                <w:sz w:val="24"/>
                <w:szCs w:val="24"/>
                <w:lang w:eastAsia="lv-LV"/>
              </w:rPr>
              <w:t xml:space="preserve"> </w:t>
            </w:r>
            <w:r w:rsidR="002C69D3" w:rsidRPr="002C69D3">
              <w:rPr>
                <w:rFonts w:ascii="Times New Roman" w:eastAsia="Times New Roman" w:hAnsi="Times New Roman" w:cs="Times New Roman"/>
                <w:iCs/>
                <w:color w:val="000000" w:themeColor="text1"/>
                <w:sz w:val="24"/>
                <w:szCs w:val="24"/>
                <w:lang w:eastAsia="lv-LV"/>
              </w:rPr>
              <w:t>4.2.1.1. specifiskā atbalsta mērķa pasākum</w:t>
            </w:r>
            <w:r w:rsidR="002C69D3">
              <w:rPr>
                <w:rFonts w:ascii="Times New Roman" w:eastAsia="Times New Roman" w:hAnsi="Times New Roman" w:cs="Times New Roman"/>
                <w:iCs/>
                <w:color w:val="000000" w:themeColor="text1"/>
                <w:sz w:val="24"/>
                <w:szCs w:val="24"/>
                <w:lang w:eastAsia="lv-LV"/>
              </w:rPr>
              <w:t>ā</w:t>
            </w:r>
            <w:r w:rsidR="002C69D3" w:rsidRPr="002C69D3">
              <w:rPr>
                <w:rFonts w:ascii="Times New Roman" w:eastAsia="Times New Roman" w:hAnsi="Times New Roman" w:cs="Times New Roman"/>
                <w:iCs/>
                <w:color w:val="000000" w:themeColor="text1"/>
                <w:sz w:val="24"/>
                <w:szCs w:val="24"/>
                <w:lang w:eastAsia="lv-LV"/>
              </w:rPr>
              <w:t xml:space="preserve"> "Veicināt energoefektivitātes paaugstināšanu dzīvojamās ēkās"</w:t>
            </w:r>
            <w:r w:rsidR="002C69D3">
              <w:rPr>
                <w:rFonts w:ascii="Times New Roman" w:eastAsia="Times New Roman" w:hAnsi="Times New Roman" w:cs="Times New Roman"/>
                <w:iCs/>
                <w:color w:val="000000" w:themeColor="text1"/>
                <w:sz w:val="24"/>
                <w:szCs w:val="24"/>
                <w:lang w:eastAsia="lv-LV"/>
              </w:rPr>
              <w:t xml:space="preserve"> (turpmāk tekstā- 4.2.1.1. pasākums)</w:t>
            </w:r>
            <w:r w:rsidR="007230FE">
              <w:rPr>
                <w:rFonts w:ascii="Times New Roman" w:eastAsia="Times New Roman" w:hAnsi="Times New Roman" w:cs="Times New Roman"/>
                <w:iCs/>
                <w:color w:val="000000" w:themeColor="text1"/>
                <w:sz w:val="24"/>
                <w:szCs w:val="24"/>
                <w:lang w:eastAsia="lv-LV"/>
              </w:rPr>
              <w:t xml:space="preserve">. </w:t>
            </w:r>
          </w:p>
          <w:p w14:paraId="4F694BEC" w14:textId="33E14058" w:rsidR="00E5323B" w:rsidRPr="00AB0A81" w:rsidRDefault="00DF2C3B" w:rsidP="00615524">
            <w:pPr>
              <w:spacing w:after="0" w:line="240" w:lineRule="auto"/>
              <w:ind w:firstLine="363"/>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projekts stāsies spēkā pēc tā publicēšanas Latvijas Vēstnesī.</w:t>
            </w:r>
            <w:bookmarkEnd w:id="0"/>
          </w:p>
        </w:tc>
      </w:tr>
    </w:tbl>
    <w:p w14:paraId="3040270A"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797"/>
        <w:gridCol w:w="6691"/>
      </w:tblGrid>
      <w:tr w:rsidR="00E5323B" w:rsidRPr="00AB0A81" w14:paraId="66CC3D9D" w14:textId="77777777" w:rsidTr="00AB0A8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82677BC" w14:textId="77777777" w:rsidR="00655F2C" w:rsidRPr="00AB0A8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E5323B" w:rsidRPr="00AB0A81" w14:paraId="01A306EF" w14:textId="77777777" w:rsidTr="00AB0A81">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44649377"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1.</w:t>
            </w:r>
          </w:p>
        </w:tc>
        <w:tc>
          <w:tcPr>
            <w:tcW w:w="1383" w:type="pct"/>
            <w:tcBorders>
              <w:top w:val="outset" w:sz="6" w:space="0" w:color="auto"/>
              <w:left w:val="outset" w:sz="6" w:space="0" w:color="auto"/>
              <w:bottom w:val="outset" w:sz="6" w:space="0" w:color="auto"/>
              <w:right w:val="outset" w:sz="6" w:space="0" w:color="auto"/>
            </w:tcBorders>
            <w:hideMark/>
          </w:tcPr>
          <w:p w14:paraId="617A177E"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Pamatojums</w:t>
            </w:r>
          </w:p>
        </w:tc>
        <w:tc>
          <w:tcPr>
            <w:tcW w:w="3291" w:type="pct"/>
            <w:tcBorders>
              <w:top w:val="outset" w:sz="6" w:space="0" w:color="auto"/>
              <w:left w:val="outset" w:sz="6" w:space="0" w:color="auto"/>
              <w:bottom w:val="outset" w:sz="6" w:space="0" w:color="auto"/>
              <w:right w:val="outset" w:sz="6" w:space="0" w:color="auto"/>
            </w:tcBorders>
            <w:hideMark/>
          </w:tcPr>
          <w:p w14:paraId="08EB424B" w14:textId="6F1C8A40" w:rsidR="00E134F4" w:rsidRDefault="006C73AA" w:rsidP="007143AB">
            <w:pPr>
              <w:pStyle w:val="ListParagraph"/>
              <w:ind w:left="0" w:firstLine="360"/>
              <w:jc w:val="both"/>
              <w:rPr>
                <w:iCs/>
                <w:color w:val="000000" w:themeColor="text1"/>
                <w:sz w:val="24"/>
                <w:szCs w:val="24"/>
              </w:rPr>
            </w:pPr>
            <w:r w:rsidRPr="006C73AA">
              <w:rPr>
                <w:iCs/>
                <w:color w:val="000000" w:themeColor="text1"/>
                <w:sz w:val="24"/>
                <w:szCs w:val="24"/>
              </w:rPr>
              <w:t xml:space="preserve">Eiropas Savienības struktūrfondu un Kohēzijas fonda 2014.–2020. gada plānošanas perioda vadības likuma 20. panta </w:t>
            </w:r>
            <w:r w:rsidR="00FC1AC7">
              <w:rPr>
                <w:iCs/>
                <w:color w:val="000000" w:themeColor="text1"/>
                <w:sz w:val="24"/>
                <w:szCs w:val="24"/>
              </w:rPr>
              <w:t>13 un 14.</w:t>
            </w:r>
            <w:r w:rsidR="002F674D">
              <w:rPr>
                <w:iCs/>
                <w:color w:val="000000" w:themeColor="text1"/>
                <w:sz w:val="24"/>
                <w:szCs w:val="24"/>
              </w:rPr>
              <w:t> </w:t>
            </w:r>
            <w:r w:rsidRPr="006C73AA">
              <w:rPr>
                <w:iCs/>
                <w:color w:val="000000" w:themeColor="text1"/>
                <w:sz w:val="24"/>
                <w:szCs w:val="24"/>
              </w:rPr>
              <w:t>punkts</w:t>
            </w:r>
            <w:r w:rsidR="00141930">
              <w:rPr>
                <w:iCs/>
                <w:color w:val="000000" w:themeColor="text1"/>
                <w:sz w:val="24"/>
                <w:szCs w:val="24"/>
              </w:rPr>
              <w:t>.</w:t>
            </w:r>
          </w:p>
          <w:p w14:paraId="23E41FC1" w14:textId="577B9C6E" w:rsidR="002C69D3" w:rsidRPr="00AB0A81" w:rsidRDefault="002C69D3" w:rsidP="007143AB">
            <w:pPr>
              <w:pStyle w:val="ListParagraph"/>
              <w:ind w:left="0" w:firstLine="360"/>
              <w:jc w:val="both"/>
              <w:rPr>
                <w:iCs/>
                <w:color w:val="000000" w:themeColor="text1"/>
                <w:sz w:val="24"/>
                <w:szCs w:val="24"/>
              </w:rPr>
            </w:pPr>
            <w:r w:rsidRPr="002C69D3">
              <w:rPr>
                <w:iCs/>
                <w:color w:val="000000" w:themeColor="text1"/>
                <w:sz w:val="24"/>
                <w:szCs w:val="24"/>
              </w:rPr>
              <w:t>Ministru kabineta 2021. gada 21. janvāra sēdes protokola Nr. 8 22. §</w:t>
            </w:r>
            <w:r>
              <w:rPr>
                <w:iCs/>
                <w:color w:val="000000" w:themeColor="text1"/>
                <w:sz w:val="24"/>
                <w:szCs w:val="24"/>
              </w:rPr>
              <w:t xml:space="preserve"> 3. punkts.</w:t>
            </w:r>
          </w:p>
        </w:tc>
      </w:tr>
      <w:tr w:rsidR="00CD2F80" w:rsidRPr="00AB0A81" w14:paraId="5649DF26" w14:textId="77777777" w:rsidTr="007230FE">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664DADCD" w14:textId="77777777" w:rsidR="00CD2F80" w:rsidRPr="00AB0A81"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2.</w:t>
            </w:r>
          </w:p>
        </w:tc>
        <w:tc>
          <w:tcPr>
            <w:tcW w:w="1383" w:type="pct"/>
            <w:tcBorders>
              <w:top w:val="outset" w:sz="6" w:space="0" w:color="auto"/>
              <w:left w:val="outset" w:sz="6" w:space="0" w:color="auto"/>
              <w:bottom w:val="outset" w:sz="6" w:space="0" w:color="auto"/>
              <w:right w:val="outset" w:sz="6" w:space="0" w:color="auto"/>
            </w:tcBorders>
            <w:hideMark/>
          </w:tcPr>
          <w:p w14:paraId="69607D4F" w14:textId="77777777" w:rsidR="00CD2F80" w:rsidRPr="00AB0A81"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7886F8D7" w14:textId="0D3774E1" w:rsidR="00FB3EBB" w:rsidRPr="00FB3EBB" w:rsidRDefault="00FB3EBB" w:rsidP="005D1F0C">
            <w:pPr>
              <w:tabs>
                <w:tab w:val="left" w:pos="852"/>
              </w:tabs>
              <w:rPr>
                <w:rFonts w:ascii="Times New Roman" w:eastAsia="Times New Roman" w:hAnsi="Times New Roman" w:cs="Times New Roman"/>
                <w:sz w:val="24"/>
                <w:szCs w:val="24"/>
                <w:lang w:eastAsia="lv-LV"/>
              </w:rPr>
            </w:pPr>
          </w:p>
          <w:p w14:paraId="7D0F793D" w14:textId="77777777" w:rsidR="00FB3EBB" w:rsidRPr="00FB3EBB" w:rsidRDefault="00FB3EBB" w:rsidP="00FB3EBB">
            <w:pPr>
              <w:rPr>
                <w:rFonts w:ascii="Times New Roman" w:eastAsia="Times New Roman" w:hAnsi="Times New Roman" w:cs="Times New Roman"/>
                <w:sz w:val="24"/>
                <w:szCs w:val="24"/>
                <w:lang w:eastAsia="lv-LV"/>
              </w:rPr>
            </w:pPr>
          </w:p>
          <w:p w14:paraId="384E8F48" w14:textId="77777777" w:rsidR="00FB3EBB" w:rsidRDefault="00FB3EBB" w:rsidP="00FB3EBB">
            <w:pPr>
              <w:jc w:val="center"/>
              <w:rPr>
                <w:rFonts w:ascii="Times New Roman" w:eastAsia="Times New Roman" w:hAnsi="Times New Roman" w:cs="Times New Roman"/>
                <w:sz w:val="24"/>
                <w:szCs w:val="24"/>
                <w:lang w:eastAsia="lv-LV"/>
              </w:rPr>
            </w:pPr>
          </w:p>
          <w:p w14:paraId="5BE05EF0" w14:textId="77777777" w:rsidR="00D34EE3" w:rsidRPr="00D34EE3" w:rsidRDefault="00D34EE3" w:rsidP="00D34EE3">
            <w:pPr>
              <w:rPr>
                <w:rFonts w:ascii="Times New Roman" w:eastAsia="Times New Roman" w:hAnsi="Times New Roman" w:cs="Times New Roman"/>
                <w:sz w:val="24"/>
                <w:szCs w:val="24"/>
                <w:lang w:eastAsia="lv-LV"/>
              </w:rPr>
            </w:pPr>
          </w:p>
          <w:p w14:paraId="24994224" w14:textId="77777777" w:rsidR="00D34EE3" w:rsidRPr="00D34EE3" w:rsidRDefault="00D34EE3" w:rsidP="00D34EE3">
            <w:pPr>
              <w:rPr>
                <w:rFonts w:ascii="Times New Roman" w:eastAsia="Times New Roman" w:hAnsi="Times New Roman" w:cs="Times New Roman"/>
                <w:sz w:val="24"/>
                <w:szCs w:val="24"/>
                <w:lang w:eastAsia="lv-LV"/>
              </w:rPr>
            </w:pPr>
          </w:p>
          <w:p w14:paraId="42A0E8BF" w14:textId="77777777" w:rsidR="00D34EE3" w:rsidRPr="00D34EE3" w:rsidRDefault="00D34EE3" w:rsidP="00D34EE3">
            <w:pPr>
              <w:rPr>
                <w:rFonts w:ascii="Times New Roman" w:eastAsia="Times New Roman" w:hAnsi="Times New Roman" w:cs="Times New Roman"/>
                <w:sz w:val="24"/>
                <w:szCs w:val="24"/>
                <w:lang w:eastAsia="lv-LV"/>
              </w:rPr>
            </w:pPr>
          </w:p>
          <w:p w14:paraId="5489C1F1" w14:textId="77777777" w:rsidR="00D34EE3" w:rsidRPr="00D34EE3" w:rsidRDefault="00D34EE3" w:rsidP="00D34EE3">
            <w:pPr>
              <w:rPr>
                <w:rFonts w:ascii="Times New Roman" w:eastAsia="Times New Roman" w:hAnsi="Times New Roman" w:cs="Times New Roman"/>
                <w:sz w:val="24"/>
                <w:szCs w:val="24"/>
                <w:lang w:eastAsia="lv-LV"/>
              </w:rPr>
            </w:pPr>
          </w:p>
          <w:p w14:paraId="5223FE49" w14:textId="77777777" w:rsidR="00D34EE3" w:rsidRPr="00D34EE3" w:rsidRDefault="00D34EE3" w:rsidP="00B76D90">
            <w:pPr>
              <w:ind w:firstLine="720"/>
              <w:rPr>
                <w:rFonts w:ascii="Times New Roman" w:eastAsia="Times New Roman" w:hAnsi="Times New Roman" w:cs="Times New Roman"/>
                <w:sz w:val="24"/>
                <w:szCs w:val="24"/>
                <w:lang w:eastAsia="lv-LV"/>
              </w:rPr>
            </w:pPr>
          </w:p>
          <w:p w14:paraId="1A486ADA" w14:textId="77777777" w:rsidR="00D34EE3" w:rsidRDefault="00F737DA" w:rsidP="00151C14">
            <w:pPr>
              <w:tabs>
                <w:tab w:val="left" w:pos="58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p w14:paraId="679BA22B" w14:textId="77777777" w:rsidR="0029759B" w:rsidRPr="0029759B" w:rsidRDefault="0029759B" w:rsidP="0029759B">
            <w:pPr>
              <w:rPr>
                <w:rFonts w:ascii="Times New Roman" w:eastAsia="Times New Roman" w:hAnsi="Times New Roman" w:cs="Times New Roman"/>
                <w:sz w:val="24"/>
                <w:szCs w:val="24"/>
                <w:lang w:eastAsia="lv-LV"/>
              </w:rPr>
            </w:pPr>
          </w:p>
          <w:p w14:paraId="703C416D" w14:textId="77777777" w:rsidR="0029759B" w:rsidRPr="0029759B" w:rsidRDefault="0029759B" w:rsidP="0029759B">
            <w:pPr>
              <w:rPr>
                <w:rFonts w:ascii="Times New Roman" w:eastAsia="Times New Roman" w:hAnsi="Times New Roman" w:cs="Times New Roman"/>
                <w:sz w:val="24"/>
                <w:szCs w:val="24"/>
                <w:lang w:eastAsia="lv-LV"/>
              </w:rPr>
            </w:pPr>
          </w:p>
          <w:p w14:paraId="69E5B268" w14:textId="77777777" w:rsidR="0029759B" w:rsidRPr="0029759B" w:rsidRDefault="0029759B" w:rsidP="0029759B">
            <w:pPr>
              <w:rPr>
                <w:rFonts w:ascii="Times New Roman" w:eastAsia="Times New Roman" w:hAnsi="Times New Roman" w:cs="Times New Roman"/>
                <w:sz w:val="24"/>
                <w:szCs w:val="24"/>
                <w:lang w:eastAsia="lv-LV"/>
              </w:rPr>
            </w:pPr>
          </w:p>
          <w:p w14:paraId="3889EE56" w14:textId="77777777" w:rsidR="0029759B" w:rsidRPr="0029759B" w:rsidRDefault="0029759B" w:rsidP="0029759B">
            <w:pPr>
              <w:rPr>
                <w:rFonts w:ascii="Times New Roman" w:eastAsia="Times New Roman" w:hAnsi="Times New Roman" w:cs="Times New Roman"/>
                <w:sz w:val="24"/>
                <w:szCs w:val="24"/>
                <w:lang w:eastAsia="lv-LV"/>
              </w:rPr>
            </w:pPr>
          </w:p>
          <w:p w14:paraId="0CC7C8DA" w14:textId="77777777" w:rsidR="0029759B" w:rsidRPr="0029759B" w:rsidRDefault="0029759B" w:rsidP="0029759B">
            <w:pPr>
              <w:rPr>
                <w:rFonts w:ascii="Times New Roman" w:eastAsia="Times New Roman" w:hAnsi="Times New Roman" w:cs="Times New Roman"/>
                <w:sz w:val="24"/>
                <w:szCs w:val="24"/>
                <w:lang w:eastAsia="lv-LV"/>
              </w:rPr>
            </w:pPr>
          </w:p>
          <w:p w14:paraId="77FF904C" w14:textId="77777777" w:rsidR="0029759B" w:rsidRPr="0029759B" w:rsidRDefault="0029759B" w:rsidP="0029759B">
            <w:pPr>
              <w:rPr>
                <w:rFonts w:ascii="Times New Roman" w:eastAsia="Times New Roman" w:hAnsi="Times New Roman" w:cs="Times New Roman"/>
                <w:sz w:val="24"/>
                <w:szCs w:val="24"/>
                <w:lang w:eastAsia="lv-LV"/>
              </w:rPr>
            </w:pPr>
          </w:p>
          <w:p w14:paraId="65BDAF60" w14:textId="77777777" w:rsidR="0029759B" w:rsidRPr="0029759B" w:rsidRDefault="0029759B" w:rsidP="0029759B">
            <w:pPr>
              <w:rPr>
                <w:rFonts w:ascii="Times New Roman" w:eastAsia="Times New Roman" w:hAnsi="Times New Roman" w:cs="Times New Roman"/>
                <w:sz w:val="24"/>
                <w:szCs w:val="24"/>
                <w:lang w:eastAsia="lv-LV"/>
              </w:rPr>
            </w:pPr>
          </w:p>
          <w:p w14:paraId="7EDC7135" w14:textId="77777777" w:rsidR="0029759B" w:rsidRPr="0029759B" w:rsidRDefault="0029759B" w:rsidP="0029759B">
            <w:pPr>
              <w:rPr>
                <w:rFonts w:ascii="Times New Roman" w:eastAsia="Times New Roman" w:hAnsi="Times New Roman" w:cs="Times New Roman"/>
                <w:sz w:val="24"/>
                <w:szCs w:val="24"/>
                <w:lang w:eastAsia="lv-LV"/>
              </w:rPr>
            </w:pPr>
          </w:p>
          <w:p w14:paraId="33DFA442" w14:textId="77777777" w:rsidR="0029759B" w:rsidRPr="0029759B" w:rsidRDefault="0029759B" w:rsidP="0029759B">
            <w:pPr>
              <w:rPr>
                <w:rFonts w:ascii="Times New Roman" w:eastAsia="Times New Roman" w:hAnsi="Times New Roman" w:cs="Times New Roman"/>
                <w:sz w:val="24"/>
                <w:szCs w:val="24"/>
                <w:lang w:eastAsia="lv-LV"/>
              </w:rPr>
            </w:pPr>
          </w:p>
          <w:p w14:paraId="04EC3351" w14:textId="77777777" w:rsidR="0029759B" w:rsidRPr="0029759B" w:rsidRDefault="0029759B" w:rsidP="0029759B">
            <w:pPr>
              <w:rPr>
                <w:rFonts w:ascii="Times New Roman" w:eastAsia="Times New Roman" w:hAnsi="Times New Roman" w:cs="Times New Roman"/>
                <w:sz w:val="24"/>
                <w:szCs w:val="24"/>
                <w:lang w:eastAsia="lv-LV"/>
              </w:rPr>
            </w:pPr>
          </w:p>
          <w:p w14:paraId="707B886C" w14:textId="77777777" w:rsidR="0029759B" w:rsidRPr="0029759B" w:rsidRDefault="0029759B" w:rsidP="0029759B">
            <w:pPr>
              <w:rPr>
                <w:rFonts w:ascii="Times New Roman" w:eastAsia="Times New Roman" w:hAnsi="Times New Roman" w:cs="Times New Roman"/>
                <w:sz w:val="24"/>
                <w:szCs w:val="24"/>
                <w:lang w:eastAsia="lv-LV"/>
              </w:rPr>
            </w:pPr>
          </w:p>
          <w:p w14:paraId="43939267" w14:textId="77777777" w:rsidR="0029759B" w:rsidRPr="0029759B" w:rsidRDefault="0029759B" w:rsidP="0029759B">
            <w:pPr>
              <w:rPr>
                <w:rFonts w:ascii="Times New Roman" w:eastAsia="Times New Roman" w:hAnsi="Times New Roman" w:cs="Times New Roman"/>
                <w:sz w:val="24"/>
                <w:szCs w:val="24"/>
                <w:lang w:eastAsia="lv-LV"/>
              </w:rPr>
            </w:pPr>
          </w:p>
          <w:p w14:paraId="1830ED43" w14:textId="77777777" w:rsidR="0029759B" w:rsidRPr="0029759B" w:rsidRDefault="0029759B" w:rsidP="0029759B">
            <w:pPr>
              <w:rPr>
                <w:rFonts w:ascii="Times New Roman" w:eastAsia="Times New Roman" w:hAnsi="Times New Roman" w:cs="Times New Roman"/>
                <w:sz w:val="24"/>
                <w:szCs w:val="24"/>
                <w:lang w:eastAsia="lv-LV"/>
              </w:rPr>
            </w:pPr>
          </w:p>
          <w:p w14:paraId="440DB405" w14:textId="77777777" w:rsidR="0029759B" w:rsidRPr="0029759B" w:rsidRDefault="0029759B" w:rsidP="0029759B">
            <w:pPr>
              <w:rPr>
                <w:rFonts w:ascii="Times New Roman" w:eastAsia="Times New Roman" w:hAnsi="Times New Roman" w:cs="Times New Roman"/>
                <w:sz w:val="24"/>
                <w:szCs w:val="24"/>
                <w:lang w:eastAsia="lv-LV"/>
              </w:rPr>
            </w:pPr>
          </w:p>
          <w:p w14:paraId="4AC69AF9" w14:textId="77777777" w:rsidR="0029759B" w:rsidRPr="0029759B" w:rsidRDefault="0029759B" w:rsidP="0029759B">
            <w:pPr>
              <w:rPr>
                <w:rFonts w:ascii="Times New Roman" w:eastAsia="Times New Roman" w:hAnsi="Times New Roman" w:cs="Times New Roman"/>
                <w:sz w:val="24"/>
                <w:szCs w:val="24"/>
                <w:lang w:eastAsia="lv-LV"/>
              </w:rPr>
            </w:pPr>
          </w:p>
          <w:p w14:paraId="2A25C1AC" w14:textId="77777777" w:rsidR="0029759B" w:rsidRPr="0029759B" w:rsidRDefault="0029759B" w:rsidP="0029759B">
            <w:pPr>
              <w:rPr>
                <w:rFonts w:ascii="Times New Roman" w:eastAsia="Times New Roman" w:hAnsi="Times New Roman" w:cs="Times New Roman"/>
                <w:sz w:val="24"/>
                <w:szCs w:val="24"/>
                <w:lang w:eastAsia="lv-LV"/>
              </w:rPr>
            </w:pPr>
          </w:p>
          <w:p w14:paraId="260C387A" w14:textId="77777777" w:rsidR="0029759B" w:rsidRPr="0029759B" w:rsidRDefault="0029759B" w:rsidP="0029759B">
            <w:pPr>
              <w:rPr>
                <w:rFonts w:ascii="Times New Roman" w:eastAsia="Times New Roman" w:hAnsi="Times New Roman" w:cs="Times New Roman"/>
                <w:sz w:val="24"/>
                <w:szCs w:val="24"/>
                <w:lang w:eastAsia="lv-LV"/>
              </w:rPr>
            </w:pPr>
          </w:p>
          <w:p w14:paraId="40D72EA5" w14:textId="77777777" w:rsidR="0029759B" w:rsidRPr="0029759B" w:rsidRDefault="0029759B" w:rsidP="0029759B">
            <w:pPr>
              <w:rPr>
                <w:rFonts w:ascii="Times New Roman" w:eastAsia="Times New Roman" w:hAnsi="Times New Roman" w:cs="Times New Roman"/>
                <w:sz w:val="24"/>
                <w:szCs w:val="24"/>
                <w:lang w:eastAsia="lv-LV"/>
              </w:rPr>
            </w:pPr>
          </w:p>
          <w:p w14:paraId="23C2ECDF" w14:textId="77777777" w:rsidR="0029759B" w:rsidRPr="0029759B" w:rsidRDefault="0029759B" w:rsidP="0029759B">
            <w:pPr>
              <w:rPr>
                <w:rFonts w:ascii="Times New Roman" w:eastAsia="Times New Roman" w:hAnsi="Times New Roman" w:cs="Times New Roman"/>
                <w:sz w:val="24"/>
                <w:szCs w:val="24"/>
                <w:lang w:eastAsia="lv-LV"/>
              </w:rPr>
            </w:pPr>
          </w:p>
          <w:p w14:paraId="690DE05B" w14:textId="77777777" w:rsidR="0029759B" w:rsidRPr="0029759B" w:rsidRDefault="0029759B" w:rsidP="0029759B">
            <w:pPr>
              <w:rPr>
                <w:rFonts w:ascii="Times New Roman" w:eastAsia="Times New Roman" w:hAnsi="Times New Roman" w:cs="Times New Roman"/>
                <w:sz w:val="24"/>
                <w:szCs w:val="24"/>
                <w:lang w:eastAsia="lv-LV"/>
              </w:rPr>
            </w:pPr>
          </w:p>
          <w:p w14:paraId="41971A62" w14:textId="77777777" w:rsidR="0029759B" w:rsidRPr="0029759B" w:rsidRDefault="0029759B" w:rsidP="0029759B">
            <w:pPr>
              <w:rPr>
                <w:rFonts w:ascii="Times New Roman" w:eastAsia="Times New Roman" w:hAnsi="Times New Roman" w:cs="Times New Roman"/>
                <w:sz w:val="24"/>
                <w:szCs w:val="24"/>
                <w:lang w:eastAsia="lv-LV"/>
              </w:rPr>
            </w:pPr>
          </w:p>
          <w:p w14:paraId="7EEDC859" w14:textId="77777777" w:rsidR="0029759B" w:rsidRPr="0029759B" w:rsidRDefault="0029759B" w:rsidP="0029759B">
            <w:pPr>
              <w:rPr>
                <w:rFonts w:ascii="Times New Roman" w:eastAsia="Times New Roman" w:hAnsi="Times New Roman" w:cs="Times New Roman"/>
                <w:sz w:val="24"/>
                <w:szCs w:val="24"/>
                <w:lang w:eastAsia="lv-LV"/>
              </w:rPr>
            </w:pPr>
          </w:p>
          <w:p w14:paraId="490A4884" w14:textId="77777777" w:rsidR="0029759B" w:rsidRPr="0029759B" w:rsidRDefault="0029759B" w:rsidP="0029759B">
            <w:pPr>
              <w:rPr>
                <w:rFonts w:ascii="Times New Roman" w:eastAsia="Times New Roman" w:hAnsi="Times New Roman" w:cs="Times New Roman"/>
                <w:sz w:val="24"/>
                <w:szCs w:val="24"/>
                <w:lang w:eastAsia="lv-LV"/>
              </w:rPr>
            </w:pPr>
          </w:p>
          <w:p w14:paraId="74CA8911" w14:textId="77777777" w:rsidR="0029759B" w:rsidRPr="0029759B" w:rsidRDefault="0029759B" w:rsidP="0029759B">
            <w:pPr>
              <w:rPr>
                <w:rFonts w:ascii="Times New Roman" w:eastAsia="Times New Roman" w:hAnsi="Times New Roman" w:cs="Times New Roman"/>
                <w:sz w:val="24"/>
                <w:szCs w:val="24"/>
                <w:lang w:eastAsia="lv-LV"/>
              </w:rPr>
            </w:pPr>
          </w:p>
          <w:p w14:paraId="2E43D88A" w14:textId="77777777" w:rsidR="0029759B" w:rsidRPr="0029759B" w:rsidRDefault="0029759B" w:rsidP="0029759B">
            <w:pPr>
              <w:rPr>
                <w:rFonts w:ascii="Times New Roman" w:eastAsia="Times New Roman" w:hAnsi="Times New Roman" w:cs="Times New Roman"/>
                <w:sz w:val="24"/>
                <w:szCs w:val="24"/>
                <w:lang w:eastAsia="lv-LV"/>
              </w:rPr>
            </w:pPr>
          </w:p>
          <w:p w14:paraId="01B0EA6F" w14:textId="77777777" w:rsidR="0029759B" w:rsidRPr="0029759B" w:rsidRDefault="0029759B" w:rsidP="0029759B">
            <w:pPr>
              <w:rPr>
                <w:rFonts w:ascii="Times New Roman" w:eastAsia="Times New Roman" w:hAnsi="Times New Roman" w:cs="Times New Roman"/>
                <w:sz w:val="24"/>
                <w:szCs w:val="24"/>
                <w:lang w:eastAsia="lv-LV"/>
              </w:rPr>
            </w:pPr>
          </w:p>
          <w:p w14:paraId="585FCB06" w14:textId="77777777" w:rsidR="0029759B" w:rsidRPr="0029759B" w:rsidRDefault="0029759B" w:rsidP="0029759B">
            <w:pPr>
              <w:rPr>
                <w:rFonts w:ascii="Times New Roman" w:eastAsia="Times New Roman" w:hAnsi="Times New Roman" w:cs="Times New Roman"/>
                <w:sz w:val="24"/>
                <w:szCs w:val="24"/>
                <w:lang w:eastAsia="lv-LV"/>
              </w:rPr>
            </w:pPr>
          </w:p>
          <w:p w14:paraId="0A00BBBC" w14:textId="77777777" w:rsidR="0029759B" w:rsidRPr="0029759B" w:rsidRDefault="0029759B" w:rsidP="0029759B">
            <w:pPr>
              <w:rPr>
                <w:rFonts w:ascii="Times New Roman" w:eastAsia="Times New Roman" w:hAnsi="Times New Roman" w:cs="Times New Roman"/>
                <w:sz w:val="24"/>
                <w:szCs w:val="24"/>
                <w:lang w:eastAsia="lv-LV"/>
              </w:rPr>
            </w:pPr>
          </w:p>
          <w:p w14:paraId="73CAD315" w14:textId="77777777" w:rsidR="0029759B" w:rsidRPr="0029759B" w:rsidRDefault="0029759B" w:rsidP="0029759B">
            <w:pPr>
              <w:rPr>
                <w:rFonts w:ascii="Times New Roman" w:eastAsia="Times New Roman" w:hAnsi="Times New Roman" w:cs="Times New Roman"/>
                <w:sz w:val="24"/>
                <w:szCs w:val="24"/>
                <w:lang w:eastAsia="lv-LV"/>
              </w:rPr>
            </w:pPr>
          </w:p>
          <w:p w14:paraId="4D118D68" w14:textId="592ECF12" w:rsidR="0029759B" w:rsidRPr="0029759B" w:rsidRDefault="0029759B" w:rsidP="0029759B">
            <w:pPr>
              <w:rPr>
                <w:rFonts w:ascii="Times New Roman" w:eastAsia="Times New Roman" w:hAnsi="Times New Roman" w:cs="Times New Roman"/>
                <w:sz w:val="24"/>
                <w:szCs w:val="24"/>
                <w:lang w:eastAsia="lv-LV"/>
              </w:rPr>
            </w:pPr>
          </w:p>
        </w:tc>
        <w:tc>
          <w:tcPr>
            <w:tcW w:w="3291" w:type="pct"/>
            <w:tcBorders>
              <w:top w:val="outset" w:sz="6" w:space="0" w:color="auto"/>
              <w:left w:val="outset" w:sz="6" w:space="0" w:color="auto"/>
              <w:bottom w:val="outset" w:sz="6" w:space="0" w:color="auto"/>
              <w:right w:val="outset" w:sz="6" w:space="0" w:color="auto"/>
            </w:tcBorders>
          </w:tcPr>
          <w:p w14:paraId="1CB657D5" w14:textId="43579E89" w:rsidR="00FF52F5" w:rsidRPr="00E15DCE" w:rsidRDefault="00FF52F5" w:rsidP="00E15DCE">
            <w:pPr>
              <w:spacing w:after="0" w:line="240" w:lineRule="auto"/>
              <w:ind w:firstLine="363"/>
              <w:jc w:val="both"/>
              <w:rPr>
                <w:rFonts w:ascii="Times New Roman" w:eastAsia="Times New Roman" w:hAnsi="Times New Roman" w:cs="Times New Roman"/>
                <w:iCs/>
                <w:color w:val="000000" w:themeColor="text1"/>
                <w:sz w:val="24"/>
                <w:szCs w:val="24"/>
                <w:lang w:eastAsia="lv-LV"/>
              </w:rPr>
            </w:pPr>
            <w:r w:rsidRPr="00E15DCE">
              <w:rPr>
                <w:rFonts w:ascii="Times New Roman" w:eastAsia="Times New Roman" w:hAnsi="Times New Roman" w:cs="Times New Roman"/>
                <w:iCs/>
                <w:color w:val="000000" w:themeColor="text1"/>
                <w:sz w:val="24"/>
                <w:szCs w:val="24"/>
                <w:lang w:eastAsia="lv-LV"/>
              </w:rPr>
              <w:lastRenderedPageBreak/>
              <w:t xml:space="preserve">No 2019.gada 10.oktobra līdz 2019.gada 10.decembrim Finanšu ministrijas Eiropas fondu revīzijas departaments kā Revīzijas iestāde (turpmāk tekstā- Revīzijas iestāde) veica 4.2.1.1. pasākuma ietvaros Eiropas Komisijai deklarēto izdevumu pārbaudi (no 2019.gada 1.janvāra līdz 2019.gada 30.jūnijam). Pārbaudes laikā 4.2.1.1. pasākumā tika konstatēti normatīvo aktu pārkāpumi, kuru rezultātā konstatēti neatbilstoši veiktie izdevumi, kā rezultātā piemērojamas finanšu korekcijas. Pēc veiktās pārbaudes </w:t>
            </w:r>
            <w:r w:rsidR="00E15DCE">
              <w:rPr>
                <w:rFonts w:ascii="Times New Roman" w:eastAsia="Times New Roman" w:hAnsi="Times New Roman" w:cs="Times New Roman"/>
                <w:iCs/>
                <w:color w:val="000000" w:themeColor="text1"/>
                <w:sz w:val="24"/>
                <w:szCs w:val="24"/>
                <w:lang w:eastAsia="lv-LV"/>
              </w:rPr>
              <w:t xml:space="preserve">AS </w:t>
            </w:r>
            <w:r w:rsidR="00E15DCE" w:rsidRPr="00E15DCE">
              <w:rPr>
                <w:rFonts w:ascii="Times New Roman" w:eastAsia="Times New Roman" w:hAnsi="Times New Roman" w:cs="Times New Roman"/>
                <w:iCs/>
                <w:color w:val="000000" w:themeColor="text1"/>
                <w:sz w:val="24"/>
                <w:szCs w:val="24"/>
                <w:lang w:eastAsia="lv-LV"/>
              </w:rPr>
              <w:t>"Attīstības finanšu institūcija Altum"</w:t>
            </w:r>
            <w:r w:rsidR="00E15DCE">
              <w:rPr>
                <w:rFonts w:ascii="Times New Roman" w:eastAsia="Times New Roman" w:hAnsi="Times New Roman" w:cs="Times New Roman"/>
                <w:iCs/>
                <w:color w:val="000000" w:themeColor="text1"/>
                <w:sz w:val="24"/>
                <w:szCs w:val="24"/>
                <w:lang w:eastAsia="lv-LV"/>
              </w:rPr>
              <w:t xml:space="preserve"> (turpmāk tekstā- Altum)</w:t>
            </w:r>
            <w:r w:rsidRPr="00E15DCE">
              <w:rPr>
                <w:rFonts w:ascii="Times New Roman" w:eastAsia="Times New Roman" w:hAnsi="Times New Roman" w:cs="Times New Roman"/>
                <w:iCs/>
                <w:color w:val="000000" w:themeColor="text1"/>
                <w:sz w:val="24"/>
                <w:szCs w:val="24"/>
                <w:lang w:eastAsia="lv-LV"/>
              </w:rPr>
              <w:t xml:space="preserve"> pieņēma 73 lēmumus par finanšu korekcijām 67 projektos  293 657,33  EUR apmērā.  Finanšu korekcijas piemērotas par konstatētajiem iepirkumu pārkāpumiem - sadalītais iepirkums un būvniecības līgumu termiņu pagarināšana.</w:t>
            </w:r>
            <w:r w:rsidR="00D85856">
              <w:rPr>
                <w:rFonts w:ascii="Times New Roman" w:eastAsia="Times New Roman" w:hAnsi="Times New Roman" w:cs="Times New Roman"/>
                <w:iCs/>
                <w:color w:val="000000" w:themeColor="text1"/>
                <w:sz w:val="24"/>
                <w:szCs w:val="24"/>
                <w:lang w:eastAsia="lv-LV"/>
              </w:rPr>
              <w:t xml:space="preserve"> Pārkāpumi tika konstatēti līdz </w:t>
            </w:r>
            <w:r w:rsidR="00D85856" w:rsidRPr="00D85856">
              <w:rPr>
                <w:rFonts w:ascii="Times New Roman" w:eastAsia="Times New Roman" w:hAnsi="Times New Roman" w:cs="Times New Roman"/>
                <w:iCs/>
                <w:color w:val="000000" w:themeColor="text1"/>
                <w:sz w:val="24"/>
                <w:szCs w:val="24"/>
                <w:lang w:eastAsia="lv-LV"/>
              </w:rPr>
              <w:t>2020. gada 30.aprīļa grozījumiem Publisko iepirkumu likumā (turpmāk – PIL), ar kuriem PIL 5. pants tika papildināts ar 19. apakšpunktu</w:t>
            </w:r>
            <w:r w:rsidR="00D85856">
              <w:rPr>
                <w:rFonts w:ascii="Times New Roman" w:eastAsia="Times New Roman" w:hAnsi="Times New Roman" w:cs="Times New Roman"/>
                <w:iCs/>
                <w:color w:val="000000" w:themeColor="text1"/>
                <w:sz w:val="24"/>
                <w:szCs w:val="24"/>
                <w:lang w:eastAsia="lv-LV"/>
              </w:rPr>
              <w:t>, kas nosaka</w:t>
            </w:r>
            <w:r w:rsidR="00D85856" w:rsidRPr="00D85856">
              <w:rPr>
                <w:rFonts w:ascii="Times New Roman" w:eastAsia="Times New Roman" w:hAnsi="Times New Roman" w:cs="Times New Roman"/>
                <w:iCs/>
                <w:color w:val="000000" w:themeColor="text1"/>
                <w:sz w:val="24"/>
                <w:szCs w:val="24"/>
                <w:lang w:eastAsia="lv-LV"/>
              </w:rPr>
              <w:t>: “</w:t>
            </w:r>
            <w:r w:rsidR="00D85856" w:rsidRPr="00D85856">
              <w:rPr>
                <w:rFonts w:ascii="Times New Roman" w:eastAsia="Times New Roman" w:hAnsi="Times New Roman" w:cs="Times New Roman"/>
                <w:i/>
                <w:color w:val="000000" w:themeColor="text1"/>
                <w:sz w:val="24"/>
                <w:szCs w:val="24"/>
                <w:lang w:eastAsia="lv-LV"/>
              </w:rPr>
              <w:t xml:space="preserve">Pasūtītājs nepiemēro likumā noteiktās iepirkuma procedūras, […] ja tas tiek slēgts par būvdarbiem, piegādēm vai pakalpojumiem daudzdzīvokļu dzīvojamo ēku energoefektivitātes paaugstināšanas programmas </w:t>
            </w:r>
            <w:r w:rsidR="00D85856" w:rsidRPr="00D85856">
              <w:rPr>
                <w:rFonts w:ascii="Times New Roman" w:eastAsia="Times New Roman" w:hAnsi="Times New Roman" w:cs="Times New Roman"/>
                <w:i/>
                <w:color w:val="000000" w:themeColor="text1"/>
                <w:sz w:val="24"/>
                <w:szCs w:val="24"/>
                <w:lang w:eastAsia="lv-LV"/>
              </w:rPr>
              <w:lastRenderedPageBreak/>
              <w:t>ietvaros, kuru administrē akciju sabiedrība “Attīstības finanšu institūcija Altum”</w:t>
            </w:r>
            <w:r w:rsidR="00D85856" w:rsidRPr="00D85856">
              <w:rPr>
                <w:rFonts w:ascii="Times New Roman" w:eastAsia="Times New Roman" w:hAnsi="Times New Roman" w:cs="Times New Roman"/>
                <w:iCs/>
                <w:color w:val="000000" w:themeColor="text1"/>
                <w:sz w:val="24"/>
                <w:szCs w:val="24"/>
                <w:lang w:eastAsia="lv-LV"/>
              </w:rPr>
              <w:t>”</w:t>
            </w:r>
            <w:r w:rsidR="00D85856">
              <w:rPr>
                <w:rFonts w:ascii="Times New Roman" w:eastAsia="Times New Roman" w:hAnsi="Times New Roman" w:cs="Times New Roman"/>
                <w:iCs/>
                <w:color w:val="000000" w:themeColor="text1"/>
                <w:sz w:val="24"/>
                <w:szCs w:val="24"/>
                <w:lang w:eastAsia="lv-LV"/>
              </w:rPr>
              <w:t>.</w:t>
            </w:r>
          </w:p>
          <w:p w14:paraId="6EFFE7B2" w14:textId="0C265FCB" w:rsidR="009C6DFF" w:rsidRPr="00E15DCE" w:rsidRDefault="009C6DFF" w:rsidP="009C6DFF">
            <w:pPr>
              <w:spacing w:after="0" w:line="240" w:lineRule="auto"/>
              <w:ind w:firstLine="363"/>
              <w:jc w:val="both"/>
              <w:rPr>
                <w:rFonts w:ascii="Times New Roman" w:eastAsia="Times New Roman" w:hAnsi="Times New Roman" w:cs="Times New Roman"/>
                <w:iCs/>
                <w:color w:val="000000" w:themeColor="text1"/>
                <w:sz w:val="24"/>
                <w:szCs w:val="24"/>
                <w:lang w:eastAsia="lv-LV"/>
              </w:rPr>
            </w:pPr>
            <w:r w:rsidRPr="00E15DCE">
              <w:rPr>
                <w:rFonts w:ascii="Times New Roman" w:eastAsia="Times New Roman" w:hAnsi="Times New Roman" w:cs="Times New Roman"/>
                <w:iCs/>
                <w:color w:val="000000" w:themeColor="text1"/>
                <w:sz w:val="24"/>
                <w:szCs w:val="24"/>
                <w:lang w:eastAsia="lv-LV"/>
              </w:rPr>
              <w:t xml:space="preserve">Pamatojoties uz augstāk minēto, tika sagatavots </w:t>
            </w:r>
            <w:r>
              <w:rPr>
                <w:rFonts w:ascii="Times New Roman" w:eastAsia="Times New Roman" w:hAnsi="Times New Roman" w:cs="Times New Roman"/>
                <w:iCs/>
                <w:color w:val="000000" w:themeColor="text1"/>
                <w:sz w:val="24"/>
                <w:szCs w:val="24"/>
                <w:lang w:eastAsia="lv-LV"/>
              </w:rPr>
              <w:t>i</w:t>
            </w:r>
            <w:r w:rsidRPr="00E15DCE">
              <w:rPr>
                <w:rFonts w:ascii="Times New Roman" w:eastAsia="Times New Roman" w:hAnsi="Times New Roman" w:cs="Times New Roman"/>
                <w:iCs/>
                <w:color w:val="000000" w:themeColor="text1"/>
                <w:sz w:val="24"/>
                <w:szCs w:val="24"/>
                <w:lang w:eastAsia="lv-LV"/>
              </w:rPr>
              <w:t xml:space="preserve">nformatīvais ziņojums “Par neatbilstoši veiktajiem vai neattiecināmajiem izdevumiem, kas radušies no Altum neatkarīgu apstākļu dēļ darbības programmas "Izaugsme un nodarbinātība" 4.2.1. specifiskā atbalsta mērķa "Veicināt energoefektivitātes paaugstināšanu valsts un dzīvojamās ēkās" 4.2.1.1. specifiskā atbalsta mērķa pasākuma "Veicināt energoefektivitātes paaugstināšanu dzīvojamās ēkās" un to attiecināšanu uz valsts budžeta izdevumiem"” (turpmāk tekstā- Informatīvais ziņojums), </w:t>
            </w:r>
            <w:r w:rsidR="008748A7">
              <w:rPr>
                <w:rFonts w:ascii="Times New Roman" w:eastAsia="Times New Roman" w:hAnsi="Times New Roman" w:cs="Times New Roman"/>
                <w:iCs/>
                <w:color w:val="000000" w:themeColor="text1"/>
                <w:sz w:val="24"/>
                <w:szCs w:val="24"/>
                <w:lang w:eastAsia="lv-LV"/>
              </w:rPr>
              <w:t>kura rezultātā Ministru kabinets lēma</w:t>
            </w:r>
            <w:r w:rsidRPr="00E15DCE">
              <w:rPr>
                <w:rFonts w:ascii="Times New Roman" w:eastAsia="Times New Roman" w:hAnsi="Times New Roman" w:cs="Times New Roman"/>
                <w:iCs/>
                <w:color w:val="000000" w:themeColor="text1"/>
                <w:sz w:val="24"/>
                <w:szCs w:val="24"/>
                <w:lang w:eastAsia="lv-LV"/>
              </w:rPr>
              <w:t xml:space="preserve"> attiecināt 4.2.1.1. pasākuma neatbilstoši veiktos izdevumus 293 657.33 EUR apmērā uz valsts budžeta izdevumiem un uzdots kā pienākums </w:t>
            </w:r>
            <w:r>
              <w:rPr>
                <w:rFonts w:ascii="Times New Roman" w:eastAsia="Times New Roman" w:hAnsi="Times New Roman" w:cs="Times New Roman"/>
                <w:iCs/>
                <w:color w:val="000000" w:themeColor="text1"/>
                <w:sz w:val="24"/>
                <w:szCs w:val="24"/>
                <w:lang w:eastAsia="lv-LV"/>
              </w:rPr>
              <w:t>Ekonomikas ministrijai (turpmāk tekstā-</w:t>
            </w:r>
            <w:r w:rsidR="00601F56">
              <w:rPr>
                <w:rFonts w:ascii="Times New Roman" w:eastAsia="Times New Roman" w:hAnsi="Times New Roman" w:cs="Times New Roman"/>
                <w:iCs/>
                <w:color w:val="000000" w:themeColor="text1"/>
                <w:sz w:val="24"/>
                <w:szCs w:val="24"/>
                <w:lang w:eastAsia="lv-LV"/>
              </w:rPr>
              <w:t xml:space="preserve"> </w:t>
            </w:r>
            <w:r w:rsidRPr="00E15DCE">
              <w:rPr>
                <w:rFonts w:ascii="Times New Roman" w:eastAsia="Times New Roman" w:hAnsi="Times New Roman" w:cs="Times New Roman"/>
                <w:iCs/>
                <w:color w:val="000000" w:themeColor="text1"/>
                <w:sz w:val="24"/>
                <w:szCs w:val="24"/>
                <w:lang w:eastAsia="lv-LV"/>
              </w:rPr>
              <w:t>EM</w:t>
            </w:r>
            <w:r>
              <w:rPr>
                <w:rFonts w:ascii="Times New Roman" w:eastAsia="Times New Roman" w:hAnsi="Times New Roman" w:cs="Times New Roman"/>
                <w:iCs/>
                <w:color w:val="000000" w:themeColor="text1"/>
                <w:sz w:val="24"/>
                <w:szCs w:val="24"/>
                <w:lang w:eastAsia="lv-LV"/>
              </w:rPr>
              <w:t>)</w:t>
            </w:r>
            <w:r w:rsidRPr="00E15DCE">
              <w:rPr>
                <w:rFonts w:ascii="Times New Roman" w:eastAsia="Times New Roman" w:hAnsi="Times New Roman" w:cs="Times New Roman"/>
                <w:iCs/>
                <w:color w:val="000000" w:themeColor="text1"/>
                <w:sz w:val="24"/>
                <w:szCs w:val="24"/>
                <w:lang w:eastAsia="lv-LV"/>
              </w:rPr>
              <w:t xml:space="preserve"> izstrādāt </w:t>
            </w:r>
            <w:r w:rsidR="00601F56" w:rsidRPr="00601F56">
              <w:rPr>
                <w:rFonts w:ascii="Times New Roman" w:eastAsia="Times New Roman" w:hAnsi="Times New Roman" w:cs="Times New Roman"/>
                <w:iCs/>
                <w:color w:val="000000" w:themeColor="text1"/>
                <w:sz w:val="24"/>
                <w:szCs w:val="24"/>
                <w:lang w:eastAsia="lv-LV"/>
              </w:rPr>
              <w:t>Ministru kabineta 2016. gada 15. marta noteikum</w:t>
            </w:r>
            <w:r w:rsidR="00601F56">
              <w:rPr>
                <w:rFonts w:ascii="Times New Roman" w:eastAsia="Times New Roman" w:hAnsi="Times New Roman" w:cs="Times New Roman"/>
                <w:iCs/>
                <w:color w:val="000000" w:themeColor="text1"/>
                <w:sz w:val="24"/>
                <w:szCs w:val="24"/>
                <w:lang w:eastAsia="lv-LV"/>
              </w:rPr>
              <w:t>u</w:t>
            </w:r>
            <w:r w:rsidR="00601F56" w:rsidRPr="00601F56">
              <w:rPr>
                <w:rFonts w:ascii="Times New Roman" w:eastAsia="Times New Roman" w:hAnsi="Times New Roman" w:cs="Times New Roman"/>
                <w:iCs/>
                <w:color w:val="000000" w:themeColor="text1"/>
                <w:sz w:val="24"/>
                <w:szCs w:val="24"/>
                <w:lang w:eastAsia="lv-LV"/>
              </w:rPr>
              <w:t xml:space="preserve">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w:t>
            </w:r>
            <w:r w:rsidR="00601F56">
              <w:rPr>
                <w:rFonts w:ascii="Times New Roman" w:eastAsia="Times New Roman" w:hAnsi="Times New Roman" w:cs="Times New Roman"/>
                <w:iCs/>
                <w:color w:val="000000" w:themeColor="text1"/>
                <w:sz w:val="24"/>
                <w:szCs w:val="24"/>
                <w:lang w:eastAsia="lv-LV"/>
              </w:rPr>
              <w:t>(turpmāk tekstā- MK noteikumi Nr.160)</w:t>
            </w:r>
            <w:r w:rsidRPr="00E15DCE">
              <w:rPr>
                <w:rFonts w:ascii="Times New Roman" w:eastAsia="Times New Roman" w:hAnsi="Times New Roman" w:cs="Times New Roman"/>
                <w:iCs/>
                <w:color w:val="000000" w:themeColor="text1"/>
                <w:sz w:val="24"/>
                <w:szCs w:val="24"/>
                <w:lang w:eastAsia="lv-LV"/>
              </w:rPr>
              <w:t xml:space="preserve"> grozījumu projektu, lai nodrošinātu skaidru normatīvo regulējumu neatbilstoši veikto izdevumu atgūšanas procesam 4.2.1.1. pasākumā. Informatīvais ziņojums tika apstiprināts Ministru kabinetā ar Ministru kabineta 2021. gada 21. janvāra sēdes protokola Nr. 8 22.</w:t>
            </w:r>
            <w:r w:rsidR="000E3B29">
              <w:rPr>
                <w:rFonts w:ascii="Times New Roman" w:eastAsia="Times New Roman" w:hAnsi="Times New Roman" w:cs="Times New Roman"/>
                <w:iCs/>
                <w:color w:val="000000" w:themeColor="text1"/>
                <w:sz w:val="24"/>
                <w:szCs w:val="24"/>
                <w:lang w:eastAsia="lv-LV"/>
              </w:rPr>
              <w:t> </w:t>
            </w:r>
            <w:r w:rsidRPr="00E15DCE">
              <w:rPr>
                <w:rFonts w:ascii="Times New Roman" w:eastAsia="Times New Roman" w:hAnsi="Times New Roman" w:cs="Times New Roman"/>
                <w:iCs/>
                <w:color w:val="000000" w:themeColor="text1"/>
                <w:sz w:val="24"/>
                <w:szCs w:val="24"/>
                <w:lang w:eastAsia="lv-LV"/>
              </w:rPr>
              <w:t xml:space="preserve">§. </w:t>
            </w:r>
          </w:p>
          <w:p w14:paraId="1A54409A" w14:textId="314223F0" w:rsidR="00FF52F5" w:rsidRPr="00E410B0" w:rsidRDefault="00FF52F5" w:rsidP="00E15DCE">
            <w:pPr>
              <w:spacing w:after="0" w:line="240" w:lineRule="auto"/>
              <w:ind w:firstLine="363"/>
              <w:jc w:val="both"/>
              <w:rPr>
                <w:rFonts w:ascii="Times New Roman" w:eastAsia="Times New Roman" w:hAnsi="Times New Roman" w:cs="Times New Roman"/>
                <w:i/>
                <w:color w:val="000000" w:themeColor="text1"/>
                <w:sz w:val="24"/>
                <w:szCs w:val="24"/>
                <w:lang w:eastAsia="lv-LV"/>
              </w:rPr>
            </w:pPr>
            <w:bookmarkStart w:id="1" w:name="_Hlk67991511"/>
            <w:r w:rsidRPr="00E15DCE">
              <w:rPr>
                <w:rFonts w:ascii="Times New Roman" w:eastAsia="Times New Roman" w:hAnsi="Times New Roman" w:cs="Times New Roman"/>
                <w:iCs/>
                <w:color w:val="000000" w:themeColor="text1"/>
                <w:sz w:val="24"/>
                <w:szCs w:val="24"/>
                <w:lang w:eastAsia="lv-LV"/>
              </w:rPr>
              <w:t>MK noteikumi Nr. 160 paredz, ka 4.2.1.1. pasākumā</w:t>
            </w:r>
            <w:r w:rsidR="00E15DCE">
              <w:rPr>
                <w:rFonts w:ascii="Times New Roman" w:eastAsia="Times New Roman" w:hAnsi="Times New Roman" w:cs="Times New Roman"/>
                <w:iCs/>
                <w:color w:val="000000" w:themeColor="text1"/>
                <w:sz w:val="24"/>
                <w:szCs w:val="24"/>
                <w:lang w:eastAsia="lv-LV"/>
              </w:rPr>
              <w:t xml:space="preserve"> </w:t>
            </w:r>
            <w:r w:rsidRPr="00E15DCE">
              <w:rPr>
                <w:rFonts w:ascii="Times New Roman" w:eastAsia="Times New Roman" w:hAnsi="Times New Roman" w:cs="Times New Roman"/>
                <w:iCs/>
                <w:color w:val="000000" w:themeColor="text1"/>
                <w:sz w:val="24"/>
                <w:szCs w:val="24"/>
                <w:lang w:eastAsia="lv-LV"/>
              </w:rPr>
              <w:t xml:space="preserve">Altum atsevišķos pamatotos gadījumos var vērsties Ministru kabinetā un lūgt neatbilstoši veikto izdevumu </w:t>
            </w:r>
            <w:r w:rsidR="0084466B">
              <w:rPr>
                <w:rFonts w:ascii="Times New Roman" w:eastAsia="Times New Roman" w:hAnsi="Times New Roman" w:cs="Times New Roman"/>
                <w:iCs/>
                <w:color w:val="000000" w:themeColor="text1"/>
                <w:sz w:val="24"/>
                <w:szCs w:val="24"/>
                <w:lang w:eastAsia="lv-LV"/>
              </w:rPr>
              <w:t>attiecināšanu uz valsts budžeta izdevumiem</w:t>
            </w:r>
            <w:r w:rsidR="0084466B" w:rsidRPr="00E15DCE" w:rsidDel="0084466B">
              <w:rPr>
                <w:rFonts w:ascii="Times New Roman" w:eastAsia="Times New Roman" w:hAnsi="Times New Roman" w:cs="Times New Roman"/>
                <w:iCs/>
                <w:color w:val="000000" w:themeColor="text1"/>
                <w:sz w:val="24"/>
                <w:szCs w:val="24"/>
                <w:lang w:eastAsia="lv-LV"/>
              </w:rPr>
              <w:t xml:space="preserve"> </w:t>
            </w:r>
            <w:r w:rsidRPr="00E15DCE">
              <w:rPr>
                <w:rFonts w:ascii="Times New Roman" w:eastAsia="Times New Roman" w:hAnsi="Times New Roman" w:cs="Times New Roman"/>
                <w:iCs/>
                <w:color w:val="000000" w:themeColor="text1"/>
                <w:sz w:val="24"/>
                <w:szCs w:val="24"/>
                <w:lang w:eastAsia="lv-LV"/>
              </w:rPr>
              <w:t>(MK noteikumu Nr. 160 70.1</w:t>
            </w:r>
            <w:r w:rsidR="0084466B">
              <w:rPr>
                <w:rFonts w:ascii="Times New Roman" w:eastAsia="Times New Roman" w:hAnsi="Times New Roman" w:cs="Times New Roman"/>
                <w:iCs/>
                <w:color w:val="000000" w:themeColor="text1"/>
                <w:sz w:val="24"/>
                <w:szCs w:val="24"/>
                <w:lang w:eastAsia="lv-LV"/>
              </w:rPr>
              <w:t>3</w:t>
            </w:r>
            <w:r w:rsidRPr="00E15DCE">
              <w:rPr>
                <w:rFonts w:ascii="Times New Roman" w:eastAsia="Times New Roman" w:hAnsi="Times New Roman" w:cs="Times New Roman"/>
                <w:iCs/>
                <w:color w:val="000000" w:themeColor="text1"/>
                <w:sz w:val="24"/>
                <w:szCs w:val="24"/>
                <w:lang w:eastAsia="lv-LV"/>
              </w:rPr>
              <w:t>. apakšpunkts).</w:t>
            </w:r>
            <w:bookmarkEnd w:id="1"/>
            <w:r w:rsidRPr="00E15DCE">
              <w:rPr>
                <w:rFonts w:ascii="Times New Roman" w:eastAsia="Times New Roman" w:hAnsi="Times New Roman" w:cs="Times New Roman"/>
                <w:iCs/>
                <w:color w:val="000000" w:themeColor="text1"/>
                <w:sz w:val="24"/>
                <w:szCs w:val="24"/>
                <w:lang w:eastAsia="lv-LV"/>
              </w:rPr>
              <w:t xml:space="preserve"> Vienlaicīgi Ministru kabineta 2017.gada 18.jūlija noteikumu Nr. 410  “Grozījumi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anotācijā noteikts, ka </w:t>
            </w:r>
            <w:r w:rsidRPr="00E410B0">
              <w:rPr>
                <w:rFonts w:ascii="Times New Roman" w:eastAsia="Times New Roman" w:hAnsi="Times New Roman" w:cs="Times New Roman"/>
                <w:i/>
                <w:color w:val="000000" w:themeColor="text1"/>
                <w:sz w:val="24"/>
                <w:szCs w:val="24"/>
                <w:lang w:eastAsia="lv-LV"/>
              </w:rPr>
              <w:t xml:space="preserve">Altum veiks visas darbības, lai atgūtu neatbilstoši veiktos izdevumus no dzīvokļu īpašnieku pilnvarotajām personām vai dzīvokļu īpašniekiem. Par neatbilstoši veikto izdevumu </w:t>
            </w:r>
            <w:r w:rsidR="001956F0" w:rsidRPr="00E410B0">
              <w:rPr>
                <w:rFonts w:ascii="Times New Roman" w:eastAsia="Times New Roman" w:hAnsi="Times New Roman" w:cs="Times New Roman"/>
                <w:i/>
                <w:color w:val="000000" w:themeColor="text1"/>
                <w:sz w:val="24"/>
                <w:szCs w:val="24"/>
                <w:lang w:eastAsia="lv-LV"/>
              </w:rPr>
              <w:t>attiecināšanu uz valsts budžeta izdevumiem</w:t>
            </w:r>
            <w:r w:rsidRPr="00E410B0">
              <w:rPr>
                <w:rFonts w:ascii="Times New Roman" w:eastAsia="Times New Roman" w:hAnsi="Times New Roman" w:cs="Times New Roman"/>
                <w:i/>
                <w:color w:val="000000" w:themeColor="text1"/>
                <w:sz w:val="24"/>
                <w:szCs w:val="24"/>
                <w:lang w:eastAsia="lv-LV"/>
              </w:rPr>
              <w:t xml:space="preserve"> Ministru kabinets lems gadījumos, kad Altum nevarēs atgūt izsniegto atbalstu vai atbalsta atgūšana tiks uzskatīta par neefektīvu līdzekļu izmantošanu, proti, atgūstamā atbalsta apmērs būs mazāks vai vienāds par piedziņas procesa izmaksām. Atbilstoši MK noteikumos Nr. 160 noteiktajam, Altum izstrādāja iekšējo kārtību neatbilstoši veikto izdevumu atgūšanai, saskaņojot ar EM un Finanšu ministriju (turpmāk - FM).</w:t>
            </w:r>
          </w:p>
          <w:p w14:paraId="688C1F21" w14:textId="103B67D9" w:rsidR="00FF52F5" w:rsidRDefault="00FF52F5" w:rsidP="00E15DCE">
            <w:pPr>
              <w:spacing w:after="0" w:line="240" w:lineRule="auto"/>
              <w:ind w:firstLine="363"/>
              <w:jc w:val="both"/>
              <w:rPr>
                <w:rFonts w:ascii="Times New Roman" w:eastAsia="Times New Roman" w:hAnsi="Times New Roman" w:cs="Times New Roman"/>
                <w:iCs/>
                <w:color w:val="000000" w:themeColor="text1"/>
                <w:sz w:val="24"/>
                <w:szCs w:val="24"/>
                <w:lang w:eastAsia="lv-LV"/>
              </w:rPr>
            </w:pPr>
            <w:r w:rsidRPr="00E15DCE">
              <w:rPr>
                <w:rFonts w:ascii="Times New Roman" w:eastAsia="Times New Roman" w:hAnsi="Times New Roman" w:cs="Times New Roman"/>
                <w:iCs/>
                <w:color w:val="000000" w:themeColor="text1"/>
                <w:sz w:val="24"/>
                <w:szCs w:val="24"/>
                <w:lang w:eastAsia="lv-LV"/>
              </w:rPr>
              <w:t xml:space="preserve">Lai nodrošinātu skaidru normatīvo regulējumu neatbilstoši veikto izdevumu atgūšanas procesam </w:t>
            </w:r>
            <w:r w:rsidR="00601F56">
              <w:rPr>
                <w:rFonts w:ascii="Times New Roman" w:eastAsia="Times New Roman" w:hAnsi="Times New Roman" w:cs="Times New Roman"/>
                <w:iCs/>
                <w:color w:val="000000" w:themeColor="text1"/>
                <w:sz w:val="24"/>
                <w:szCs w:val="24"/>
                <w:lang w:eastAsia="lv-LV"/>
              </w:rPr>
              <w:t>Noteikumu projekts paredz</w:t>
            </w:r>
            <w:r w:rsidRPr="00E15DCE">
              <w:rPr>
                <w:rFonts w:ascii="Times New Roman" w:eastAsia="Times New Roman" w:hAnsi="Times New Roman" w:cs="Times New Roman"/>
                <w:iCs/>
                <w:color w:val="000000" w:themeColor="text1"/>
                <w:sz w:val="24"/>
                <w:szCs w:val="24"/>
                <w:lang w:eastAsia="lv-LV"/>
              </w:rPr>
              <w:t>:</w:t>
            </w:r>
          </w:p>
          <w:p w14:paraId="039BE11C" w14:textId="4710BBE6" w:rsidR="00601F56" w:rsidRPr="0029759B" w:rsidRDefault="00601F56" w:rsidP="00601F56">
            <w:pPr>
              <w:pStyle w:val="ListParagraph"/>
              <w:numPr>
                <w:ilvl w:val="0"/>
                <w:numId w:val="20"/>
              </w:numPr>
              <w:ind w:left="0" w:firstLine="360"/>
              <w:jc w:val="both"/>
              <w:rPr>
                <w:b/>
                <w:bCs/>
                <w:iCs/>
                <w:color w:val="000000" w:themeColor="text1"/>
                <w:sz w:val="24"/>
                <w:szCs w:val="24"/>
              </w:rPr>
            </w:pPr>
            <w:r w:rsidRPr="00601F56">
              <w:rPr>
                <w:b/>
                <w:bCs/>
                <w:iCs/>
                <w:color w:val="000000" w:themeColor="text1"/>
                <w:sz w:val="24"/>
                <w:szCs w:val="24"/>
              </w:rPr>
              <w:t>noteikt par pienākumu dzīvokļu īpašniekiem segt neatbilstoši veiktos izdevumus, ja tādi radīsies energoefektivitātes paaugstināšanas pasākumu īstenošanas laikā</w:t>
            </w:r>
            <w:r>
              <w:rPr>
                <w:b/>
                <w:bCs/>
                <w:iCs/>
                <w:color w:val="000000" w:themeColor="text1"/>
                <w:sz w:val="24"/>
                <w:szCs w:val="24"/>
              </w:rPr>
              <w:t>.</w:t>
            </w:r>
          </w:p>
          <w:p w14:paraId="25F45994" w14:textId="2952DA51" w:rsidR="00601F56" w:rsidRPr="009939B1" w:rsidRDefault="005C4F94" w:rsidP="006A26A2">
            <w:pPr>
              <w:tabs>
                <w:tab w:val="left" w:pos="1470"/>
              </w:tabs>
              <w:ind w:firstLine="387"/>
              <w:jc w:val="both"/>
              <w:rPr>
                <w:sz w:val="24"/>
                <w:szCs w:val="24"/>
              </w:rPr>
            </w:pPr>
            <w:r w:rsidRPr="009939B1">
              <w:rPr>
                <w:rFonts w:ascii="Times New Roman" w:hAnsi="Times New Roman" w:cs="Times New Roman"/>
                <w:sz w:val="24"/>
                <w:szCs w:val="24"/>
              </w:rPr>
              <w:lastRenderedPageBreak/>
              <w:t xml:space="preserve">4.2.1.1.pasākumā gala labuma saņēmēji ir dzīvokļu īpašnieki. Dzīvokļu īpašnieku pilnvarotās personas ir juridiskas personas, kuras dzīvokļu īpašnieku vārdā īsteno energoefektivitātes paaugstināšanas pasākumus, kā arī slēdz līgumus un paraksta ar tiem saistītos darījuma dokumentus par finanšu instrumentu un grantu saņemšanu un izpilda šos līgumus. </w:t>
            </w:r>
            <w:r w:rsidR="00EF4FA0" w:rsidRPr="009939B1">
              <w:rPr>
                <w:rFonts w:ascii="Times New Roman" w:hAnsi="Times New Roman" w:cs="Times New Roman"/>
                <w:sz w:val="24"/>
                <w:szCs w:val="24"/>
              </w:rPr>
              <w:t>Neskatoties uz to, ka visbiežāk pārkāpumus, kas rada neatbilstoši veiktos izdevumus, veic pilnvarotās personas, Altum nav juridiska pamata izdevumu atgūšanu tiešā veidā attiecināt uz pilnvarotājām personām, kuras pašas nav atbalsta saņēmēji.</w:t>
            </w:r>
            <w:r w:rsidR="00870110" w:rsidRPr="009939B1">
              <w:rPr>
                <w:rFonts w:ascii="Times New Roman" w:hAnsi="Times New Roman" w:cs="Times New Roman"/>
                <w:sz w:val="24"/>
                <w:szCs w:val="24"/>
              </w:rPr>
              <w:t xml:space="preserve"> Neatbilstoši veiktie izdevumi var rasties energoefektivitātes paaugstināšanas pasākumu īstenošanas laikā nenodrošinot pasākumu īstenošanu atbilstību dažādiem nacionāla un ES līmeņa normatīvajiem aktiem. Detalizēts šādu pārkāpumu uzskaitījums, kā arī piemērojamais soda apmērs norādīts Altum tīmekļa vietnē</w:t>
            </w:r>
            <w:r w:rsidR="00870110" w:rsidRPr="009939B1">
              <w:rPr>
                <w:rStyle w:val="FootnoteReference"/>
                <w:rFonts w:ascii="Times New Roman" w:hAnsi="Times New Roman" w:cs="Times New Roman"/>
                <w:iCs/>
                <w:color w:val="000000" w:themeColor="text1"/>
                <w:sz w:val="24"/>
                <w:szCs w:val="24"/>
              </w:rPr>
              <w:footnoteReference w:id="1"/>
            </w:r>
            <w:r w:rsidR="00870110" w:rsidRPr="009939B1">
              <w:rPr>
                <w:rFonts w:ascii="Times New Roman" w:hAnsi="Times New Roman" w:cs="Times New Roman"/>
                <w:sz w:val="24"/>
                <w:szCs w:val="24"/>
              </w:rPr>
              <w:t>.</w:t>
            </w:r>
          </w:p>
          <w:p w14:paraId="7C2D66A9" w14:textId="6490C8E4" w:rsidR="00601F56" w:rsidRDefault="00601F56" w:rsidP="00601F56">
            <w:pPr>
              <w:pStyle w:val="ListParagraph"/>
              <w:numPr>
                <w:ilvl w:val="0"/>
                <w:numId w:val="20"/>
              </w:numPr>
              <w:ind w:left="0" w:firstLine="360"/>
              <w:jc w:val="both"/>
              <w:rPr>
                <w:b/>
                <w:bCs/>
                <w:iCs/>
                <w:color w:val="000000" w:themeColor="text1"/>
                <w:sz w:val="24"/>
                <w:szCs w:val="24"/>
              </w:rPr>
            </w:pPr>
            <w:r>
              <w:rPr>
                <w:b/>
                <w:bCs/>
                <w:iCs/>
                <w:color w:val="000000" w:themeColor="text1"/>
                <w:sz w:val="24"/>
                <w:szCs w:val="24"/>
              </w:rPr>
              <w:t xml:space="preserve">noteikt, ka </w:t>
            </w:r>
            <w:r w:rsidRPr="00601F56">
              <w:rPr>
                <w:b/>
                <w:bCs/>
                <w:iCs/>
                <w:color w:val="000000" w:themeColor="text1"/>
                <w:sz w:val="24"/>
                <w:szCs w:val="24"/>
              </w:rPr>
              <w:t xml:space="preserve">saskaņā ar normatīvo aktu prasībām </w:t>
            </w:r>
            <w:r>
              <w:rPr>
                <w:b/>
                <w:bCs/>
                <w:iCs/>
                <w:color w:val="000000" w:themeColor="text1"/>
                <w:sz w:val="24"/>
                <w:szCs w:val="24"/>
              </w:rPr>
              <w:t>dzīvokļu īpašniekiem ir jāpieņem lēmums par neatbilstoši veikto izdevumu segšanu.</w:t>
            </w:r>
          </w:p>
          <w:p w14:paraId="3FFE4013" w14:textId="3B7A5C2E" w:rsidR="00870110" w:rsidRPr="00870110" w:rsidRDefault="00D6134D" w:rsidP="00870110">
            <w:pPr>
              <w:pStyle w:val="ListParagraph"/>
              <w:ind w:left="0" w:firstLine="387"/>
              <w:jc w:val="both"/>
              <w:rPr>
                <w:iCs/>
                <w:color w:val="000000" w:themeColor="text1"/>
                <w:sz w:val="24"/>
                <w:szCs w:val="24"/>
              </w:rPr>
            </w:pPr>
            <w:r w:rsidRPr="00D6134D">
              <w:rPr>
                <w:iCs/>
                <w:color w:val="000000" w:themeColor="text1"/>
                <w:sz w:val="24"/>
                <w:szCs w:val="24"/>
              </w:rPr>
              <w:t xml:space="preserve">Ņemot vērā, ka </w:t>
            </w:r>
            <w:r w:rsidR="00EF4FA0">
              <w:rPr>
                <w:iCs/>
                <w:color w:val="000000" w:themeColor="text1"/>
                <w:sz w:val="24"/>
                <w:szCs w:val="24"/>
              </w:rPr>
              <w:t>neatbilstoši veiktos izdevumus sedz dzīvokļu īpašnieki, MK noteikumos Nr. 160 ir jānosaka, ka dzīvokļu īpašniekiem ir jābūt informētiem par šādiem izdevumiem</w:t>
            </w:r>
            <w:r w:rsidR="007A4C86">
              <w:rPr>
                <w:iCs/>
                <w:color w:val="000000" w:themeColor="text1"/>
                <w:sz w:val="24"/>
                <w:szCs w:val="24"/>
              </w:rPr>
              <w:t>, kā arī jāvienojas par šādu izdevumu segšanu.</w:t>
            </w:r>
            <w:r w:rsidR="00336B1F">
              <w:rPr>
                <w:iCs/>
                <w:color w:val="000000" w:themeColor="text1"/>
                <w:sz w:val="24"/>
                <w:szCs w:val="24"/>
              </w:rPr>
              <w:t xml:space="preserve"> </w:t>
            </w:r>
          </w:p>
          <w:p w14:paraId="63997EED" w14:textId="433DEB3D" w:rsidR="00D6134D" w:rsidRDefault="00601F56" w:rsidP="00FE292C">
            <w:pPr>
              <w:pStyle w:val="ListParagraph"/>
              <w:numPr>
                <w:ilvl w:val="0"/>
                <w:numId w:val="20"/>
              </w:numPr>
              <w:ind w:left="0" w:firstLine="387"/>
              <w:jc w:val="both"/>
              <w:rPr>
                <w:b/>
                <w:bCs/>
                <w:iCs/>
                <w:color w:val="000000" w:themeColor="text1"/>
                <w:sz w:val="24"/>
                <w:szCs w:val="24"/>
              </w:rPr>
            </w:pPr>
            <w:r>
              <w:rPr>
                <w:b/>
                <w:bCs/>
                <w:iCs/>
                <w:color w:val="000000" w:themeColor="text1"/>
                <w:sz w:val="24"/>
                <w:szCs w:val="24"/>
              </w:rPr>
              <w:t>precizēt MK noteikumu 70.11. apakšpunktu</w:t>
            </w:r>
            <w:r w:rsidR="000E3B29">
              <w:rPr>
                <w:b/>
                <w:bCs/>
                <w:iCs/>
                <w:color w:val="000000" w:themeColor="text1"/>
                <w:sz w:val="24"/>
                <w:szCs w:val="24"/>
              </w:rPr>
              <w:t>, nosakot, ka neatbilstoši veikt</w:t>
            </w:r>
            <w:r w:rsidR="00D6134D">
              <w:rPr>
                <w:b/>
                <w:bCs/>
                <w:iCs/>
                <w:color w:val="000000" w:themeColor="text1"/>
                <w:sz w:val="24"/>
                <w:szCs w:val="24"/>
              </w:rPr>
              <w:t>o</w:t>
            </w:r>
            <w:r w:rsidR="000E3B29">
              <w:rPr>
                <w:b/>
                <w:bCs/>
                <w:iCs/>
                <w:color w:val="000000" w:themeColor="text1"/>
                <w:sz w:val="24"/>
                <w:szCs w:val="24"/>
              </w:rPr>
              <w:t xml:space="preserve"> izdevum</w:t>
            </w:r>
            <w:r w:rsidR="00D6134D">
              <w:rPr>
                <w:b/>
                <w:bCs/>
                <w:iCs/>
                <w:color w:val="000000" w:themeColor="text1"/>
                <w:sz w:val="24"/>
                <w:szCs w:val="24"/>
              </w:rPr>
              <w:t>u kārtība tiek piemērota tikai dzīvokļu īpašniekiem</w:t>
            </w:r>
            <w:r w:rsidR="003774D1">
              <w:rPr>
                <w:b/>
                <w:bCs/>
                <w:iCs/>
                <w:color w:val="000000" w:themeColor="text1"/>
                <w:sz w:val="24"/>
                <w:szCs w:val="24"/>
              </w:rPr>
              <w:t xml:space="preserve">, kā arī paredzēt, ka Altum izstrādātājā kārtībā tiek noteikta ne tikai </w:t>
            </w:r>
            <w:r w:rsidR="007A4C86">
              <w:rPr>
                <w:b/>
                <w:bCs/>
                <w:iCs/>
                <w:color w:val="000000" w:themeColor="text1"/>
                <w:sz w:val="24"/>
                <w:szCs w:val="24"/>
              </w:rPr>
              <w:t xml:space="preserve">neatbilstoši veikto izdevumu </w:t>
            </w:r>
            <w:r w:rsidR="003774D1">
              <w:rPr>
                <w:b/>
                <w:bCs/>
                <w:iCs/>
                <w:color w:val="000000" w:themeColor="text1"/>
                <w:sz w:val="24"/>
                <w:szCs w:val="24"/>
              </w:rPr>
              <w:t xml:space="preserve">atgūšanas, bet arī </w:t>
            </w:r>
            <w:r w:rsidR="007A4C86">
              <w:rPr>
                <w:b/>
                <w:bCs/>
                <w:iCs/>
                <w:color w:val="000000" w:themeColor="text1"/>
                <w:sz w:val="24"/>
                <w:szCs w:val="24"/>
              </w:rPr>
              <w:t xml:space="preserve">to </w:t>
            </w:r>
            <w:r w:rsidR="003774D1">
              <w:rPr>
                <w:b/>
                <w:bCs/>
                <w:iCs/>
                <w:color w:val="000000" w:themeColor="text1"/>
                <w:sz w:val="24"/>
                <w:szCs w:val="24"/>
              </w:rPr>
              <w:t>piemērošanas kārtība.</w:t>
            </w:r>
          </w:p>
          <w:p w14:paraId="12A73E2A" w14:textId="701C92DA" w:rsidR="00D6134D" w:rsidRDefault="007A4C86" w:rsidP="00FE292C">
            <w:pPr>
              <w:pStyle w:val="ListParagraph"/>
              <w:ind w:left="0" w:firstLine="387"/>
              <w:jc w:val="both"/>
              <w:rPr>
                <w:iCs/>
                <w:color w:val="000000" w:themeColor="text1"/>
                <w:sz w:val="24"/>
                <w:szCs w:val="24"/>
              </w:rPr>
            </w:pPr>
            <w:r>
              <w:rPr>
                <w:iCs/>
                <w:color w:val="000000" w:themeColor="text1"/>
                <w:sz w:val="24"/>
                <w:szCs w:val="24"/>
              </w:rPr>
              <w:t>Šādi precizēji nepieciešami, saskaņā ar šajā anotācijā sniegtajiem skaidrojumiem par</w:t>
            </w:r>
            <w:r w:rsidR="0086343D">
              <w:rPr>
                <w:iCs/>
                <w:color w:val="000000" w:themeColor="text1"/>
                <w:sz w:val="24"/>
                <w:szCs w:val="24"/>
              </w:rPr>
              <w:t xml:space="preserve"> to, ka neatbilstoši veiktie izdevumi ir atgūstami tikai no dzīvokļu īpašniekiem. Papildus MK noteikumu Nr. 160 70.11. apakšpunktā ir jābūt noteiktam regulējumam, kas paredz, ka daļa neatbilstoši veiktie izdevumi var tik noteikti par neatgūstamiem.</w:t>
            </w:r>
          </w:p>
          <w:p w14:paraId="24D4FDCB" w14:textId="0F744E8A" w:rsidR="00601F56" w:rsidRDefault="00D6134D" w:rsidP="00FE292C">
            <w:pPr>
              <w:pStyle w:val="ListParagraph"/>
              <w:numPr>
                <w:ilvl w:val="0"/>
                <w:numId w:val="20"/>
              </w:numPr>
              <w:ind w:left="0" w:firstLine="387"/>
              <w:jc w:val="both"/>
              <w:rPr>
                <w:b/>
                <w:bCs/>
                <w:iCs/>
                <w:color w:val="000000" w:themeColor="text1"/>
                <w:sz w:val="24"/>
                <w:szCs w:val="24"/>
              </w:rPr>
            </w:pPr>
            <w:r>
              <w:rPr>
                <w:b/>
                <w:bCs/>
                <w:iCs/>
                <w:color w:val="000000" w:themeColor="text1"/>
                <w:sz w:val="24"/>
                <w:szCs w:val="24"/>
              </w:rPr>
              <w:t>papildināt MK noteikumus Nr. 160 ar normu, kas nosaka neatbilstoši veikto izdevumu rašanās gadījumus.</w:t>
            </w:r>
          </w:p>
          <w:p w14:paraId="64ADBD6A" w14:textId="152D0586" w:rsidR="00CC4454" w:rsidRDefault="0086343D" w:rsidP="00FE292C">
            <w:pPr>
              <w:pStyle w:val="ListParagraph"/>
              <w:ind w:left="0" w:firstLine="387"/>
              <w:jc w:val="both"/>
              <w:rPr>
                <w:iCs/>
                <w:color w:val="000000" w:themeColor="text1"/>
                <w:sz w:val="24"/>
                <w:szCs w:val="24"/>
              </w:rPr>
            </w:pPr>
            <w:r w:rsidRPr="0086343D">
              <w:rPr>
                <w:iCs/>
                <w:color w:val="000000" w:themeColor="text1"/>
                <w:sz w:val="24"/>
                <w:szCs w:val="24"/>
              </w:rPr>
              <w:t>Ņemot vērā, ka Informatīvā ziņojuma saskaņošanas laikā</w:t>
            </w:r>
            <w:r>
              <w:rPr>
                <w:iCs/>
                <w:color w:val="000000" w:themeColor="text1"/>
                <w:sz w:val="24"/>
                <w:szCs w:val="24"/>
              </w:rPr>
              <w:t xml:space="preserve"> 4.2.1.1. pasākuma īstenošanā iesaistītie partneri</w:t>
            </w:r>
            <w:r w:rsidR="00336B1F">
              <w:rPr>
                <w:iCs/>
                <w:color w:val="000000" w:themeColor="text1"/>
                <w:sz w:val="24"/>
                <w:szCs w:val="24"/>
              </w:rPr>
              <w:t xml:space="preserve"> (apsaimniekotāji, kredītiestādes, būvkomersanti)</w:t>
            </w:r>
            <w:r>
              <w:rPr>
                <w:iCs/>
                <w:color w:val="000000" w:themeColor="text1"/>
                <w:sz w:val="24"/>
                <w:szCs w:val="24"/>
              </w:rPr>
              <w:t xml:space="preserve"> norādīja, ka </w:t>
            </w:r>
            <w:r w:rsidR="00336B1F">
              <w:rPr>
                <w:iCs/>
                <w:color w:val="000000" w:themeColor="text1"/>
                <w:sz w:val="24"/>
                <w:szCs w:val="24"/>
              </w:rPr>
              <w:t xml:space="preserve">tiem </w:t>
            </w:r>
            <w:r>
              <w:rPr>
                <w:iCs/>
                <w:color w:val="000000" w:themeColor="text1"/>
                <w:sz w:val="24"/>
                <w:szCs w:val="24"/>
              </w:rPr>
              <w:t xml:space="preserve">nav </w:t>
            </w:r>
            <w:r w:rsidR="00336B1F">
              <w:rPr>
                <w:iCs/>
                <w:color w:val="000000" w:themeColor="text1"/>
                <w:sz w:val="24"/>
                <w:szCs w:val="24"/>
              </w:rPr>
              <w:t xml:space="preserve">skaidrs </w:t>
            </w:r>
            <w:r>
              <w:rPr>
                <w:iCs/>
                <w:color w:val="000000" w:themeColor="text1"/>
                <w:sz w:val="24"/>
                <w:szCs w:val="24"/>
              </w:rPr>
              <w:t>tiesisk</w:t>
            </w:r>
            <w:r w:rsidR="00336B1F">
              <w:rPr>
                <w:iCs/>
                <w:color w:val="000000" w:themeColor="text1"/>
                <w:sz w:val="24"/>
                <w:szCs w:val="24"/>
              </w:rPr>
              <w:t>ais</w:t>
            </w:r>
            <w:r>
              <w:rPr>
                <w:iCs/>
                <w:color w:val="000000" w:themeColor="text1"/>
                <w:sz w:val="24"/>
                <w:szCs w:val="24"/>
              </w:rPr>
              <w:t xml:space="preserve"> regulēja</w:t>
            </w:r>
            <w:r w:rsidR="00A2115E">
              <w:rPr>
                <w:iCs/>
                <w:color w:val="000000" w:themeColor="text1"/>
                <w:sz w:val="24"/>
                <w:szCs w:val="24"/>
              </w:rPr>
              <w:t>m</w:t>
            </w:r>
            <w:r w:rsidR="00336B1F">
              <w:rPr>
                <w:iCs/>
                <w:color w:val="000000" w:themeColor="text1"/>
                <w:sz w:val="24"/>
                <w:szCs w:val="24"/>
              </w:rPr>
              <w:t>s</w:t>
            </w:r>
            <w:r>
              <w:rPr>
                <w:iCs/>
                <w:color w:val="000000" w:themeColor="text1"/>
                <w:sz w:val="24"/>
                <w:szCs w:val="24"/>
              </w:rPr>
              <w:t>, k</w:t>
            </w:r>
            <w:r w:rsidR="00336B1F">
              <w:rPr>
                <w:iCs/>
                <w:color w:val="000000" w:themeColor="text1"/>
                <w:sz w:val="24"/>
                <w:szCs w:val="24"/>
              </w:rPr>
              <w:t>urā ir</w:t>
            </w:r>
            <w:r>
              <w:rPr>
                <w:iCs/>
                <w:color w:val="000000" w:themeColor="text1"/>
                <w:sz w:val="24"/>
                <w:szCs w:val="24"/>
              </w:rPr>
              <w:t xml:space="preserve"> noteikt</w:t>
            </w:r>
            <w:r w:rsidR="00336B1F">
              <w:rPr>
                <w:iCs/>
                <w:color w:val="000000" w:themeColor="text1"/>
                <w:sz w:val="24"/>
                <w:szCs w:val="24"/>
              </w:rPr>
              <w:t>i gadījumi, kad var rasties</w:t>
            </w:r>
            <w:r>
              <w:rPr>
                <w:iCs/>
                <w:color w:val="000000" w:themeColor="text1"/>
                <w:sz w:val="24"/>
                <w:szCs w:val="24"/>
              </w:rPr>
              <w:t xml:space="preserve"> neatbilstoši veikt</w:t>
            </w:r>
            <w:r w:rsidR="00336B1F">
              <w:rPr>
                <w:iCs/>
                <w:color w:val="000000" w:themeColor="text1"/>
                <w:sz w:val="24"/>
                <w:szCs w:val="24"/>
              </w:rPr>
              <w:t>ie</w:t>
            </w:r>
            <w:r>
              <w:rPr>
                <w:iCs/>
                <w:color w:val="000000" w:themeColor="text1"/>
                <w:sz w:val="24"/>
                <w:szCs w:val="24"/>
              </w:rPr>
              <w:t xml:space="preserve"> izdevum</w:t>
            </w:r>
            <w:r w:rsidR="00336B1F">
              <w:rPr>
                <w:iCs/>
                <w:color w:val="000000" w:themeColor="text1"/>
                <w:sz w:val="24"/>
                <w:szCs w:val="24"/>
              </w:rPr>
              <w:t>i</w:t>
            </w:r>
            <w:r>
              <w:rPr>
                <w:iCs/>
                <w:color w:val="000000" w:themeColor="text1"/>
                <w:sz w:val="24"/>
                <w:szCs w:val="24"/>
              </w:rPr>
              <w:t>, MK noteikumi Nr. 160 ir jāpapildina ar normu, kas nosaka kādu normatīvo aktu pārkāpumi var radīt neatbilstoši veiktos izdevumus.</w:t>
            </w:r>
            <w:r w:rsidR="00E52402">
              <w:rPr>
                <w:iCs/>
                <w:color w:val="000000" w:themeColor="text1"/>
                <w:sz w:val="24"/>
                <w:szCs w:val="24"/>
              </w:rPr>
              <w:t xml:space="preserve"> </w:t>
            </w:r>
            <w:r w:rsidR="00336B1F">
              <w:rPr>
                <w:iCs/>
                <w:color w:val="000000" w:themeColor="text1"/>
                <w:sz w:val="24"/>
                <w:szCs w:val="24"/>
              </w:rPr>
              <w:t>Papildinājums tika veikts pamatojoties uz Ministru kabineta 2015. gada 8. septembra noteikumos Nr. 517 “</w:t>
            </w:r>
            <w:r w:rsidR="00336B1F" w:rsidRPr="00336B1F">
              <w:rPr>
                <w:iCs/>
                <w:color w:val="000000" w:themeColor="text1"/>
                <w:sz w:val="24"/>
                <w:szCs w:val="24"/>
              </w:rPr>
              <w:t>Kārtība, kādā ziņo par konstatētajām neatbilstībām un atgūst neatbilstoši veiktos izdevumus Eiropas Savienības struktūrfondu un Kohēzijas fonda ieviešanā 2014.–2020. gada plānošanas periodā</w:t>
            </w:r>
            <w:r w:rsidR="00336B1F">
              <w:rPr>
                <w:iCs/>
                <w:color w:val="000000" w:themeColor="text1"/>
                <w:sz w:val="24"/>
                <w:szCs w:val="24"/>
              </w:rPr>
              <w:t>”</w:t>
            </w:r>
            <w:r w:rsidR="00EB6A94">
              <w:rPr>
                <w:iCs/>
                <w:color w:val="000000" w:themeColor="text1"/>
                <w:sz w:val="24"/>
                <w:szCs w:val="24"/>
              </w:rPr>
              <w:t xml:space="preserve"> (turpmāk tekstā- MK noteikumi Nr. 517)</w:t>
            </w:r>
            <w:r w:rsidR="00336B1F">
              <w:rPr>
                <w:iCs/>
                <w:color w:val="000000" w:themeColor="text1"/>
                <w:sz w:val="24"/>
                <w:szCs w:val="24"/>
              </w:rPr>
              <w:t xml:space="preserve"> ietvertajām normām, kas 4.2.1.1.pasākuma gala labuma saņēmējiem nav tieši piemērojam</w:t>
            </w:r>
            <w:r w:rsidR="00002C0E">
              <w:rPr>
                <w:iCs/>
                <w:color w:val="000000" w:themeColor="text1"/>
                <w:sz w:val="24"/>
                <w:szCs w:val="24"/>
              </w:rPr>
              <w:t>as</w:t>
            </w:r>
            <w:r w:rsidR="00336B1F">
              <w:rPr>
                <w:iCs/>
                <w:color w:val="000000" w:themeColor="text1"/>
                <w:sz w:val="24"/>
                <w:szCs w:val="24"/>
              </w:rPr>
              <w:t>.</w:t>
            </w:r>
          </w:p>
          <w:p w14:paraId="6393C853" w14:textId="7B5502E5" w:rsidR="00CC4454" w:rsidRPr="00F448D3" w:rsidRDefault="004610F6" w:rsidP="00FE292C">
            <w:pPr>
              <w:pStyle w:val="ListParagraph"/>
              <w:numPr>
                <w:ilvl w:val="0"/>
                <w:numId w:val="20"/>
              </w:numPr>
              <w:ind w:left="0" w:firstLine="360"/>
              <w:jc w:val="both"/>
            </w:pPr>
            <w:r>
              <w:rPr>
                <w:b/>
                <w:bCs/>
                <w:iCs/>
                <w:color w:val="000000" w:themeColor="text1"/>
                <w:sz w:val="24"/>
                <w:szCs w:val="24"/>
              </w:rPr>
              <w:lastRenderedPageBreak/>
              <w:t xml:space="preserve">Precizēt </w:t>
            </w:r>
            <w:r w:rsidR="00183ADE">
              <w:rPr>
                <w:b/>
                <w:bCs/>
                <w:iCs/>
                <w:color w:val="000000" w:themeColor="text1"/>
                <w:sz w:val="24"/>
                <w:szCs w:val="24"/>
              </w:rPr>
              <w:t>MK noteikumu Nr.</w:t>
            </w:r>
            <w:r w:rsidR="004004B2">
              <w:rPr>
                <w:b/>
                <w:bCs/>
                <w:iCs/>
                <w:color w:val="000000" w:themeColor="text1"/>
                <w:sz w:val="24"/>
                <w:szCs w:val="24"/>
              </w:rPr>
              <w:t xml:space="preserve"> </w:t>
            </w:r>
            <w:r w:rsidR="00183ADE">
              <w:rPr>
                <w:b/>
                <w:bCs/>
                <w:iCs/>
                <w:color w:val="000000" w:themeColor="text1"/>
                <w:sz w:val="24"/>
                <w:szCs w:val="24"/>
              </w:rPr>
              <w:t>160 70.13. apakšpunktu</w:t>
            </w:r>
            <w:r>
              <w:rPr>
                <w:b/>
                <w:bCs/>
                <w:iCs/>
                <w:color w:val="000000" w:themeColor="text1"/>
                <w:sz w:val="24"/>
                <w:szCs w:val="24"/>
              </w:rPr>
              <w:t xml:space="preserve">, nenosakot par pienākumu </w:t>
            </w:r>
            <w:r w:rsidR="009939B1">
              <w:rPr>
                <w:b/>
                <w:bCs/>
                <w:iCs/>
                <w:color w:val="000000" w:themeColor="text1"/>
                <w:sz w:val="24"/>
                <w:szCs w:val="24"/>
              </w:rPr>
              <w:t xml:space="preserve">sabiedrībai “Altum” sniegt </w:t>
            </w:r>
            <w:r>
              <w:rPr>
                <w:b/>
                <w:bCs/>
                <w:iCs/>
                <w:color w:val="000000" w:themeColor="text1"/>
                <w:sz w:val="24"/>
                <w:szCs w:val="24"/>
              </w:rPr>
              <w:t xml:space="preserve">informāciju </w:t>
            </w:r>
            <w:r w:rsidR="009939B1">
              <w:rPr>
                <w:b/>
                <w:bCs/>
                <w:iCs/>
                <w:color w:val="000000" w:themeColor="text1"/>
                <w:sz w:val="24"/>
                <w:szCs w:val="24"/>
              </w:rPr>
              <w:t>Ekonomikas ministrijai</w:t>
            </w:r>
            <w:r>
              <w:rPr>
                <w:b/>
                <w:bCs/>
                <w:iCs/>
                <w:color w:val="000000" w:themeColor="text1"/>
                <w:sz w:val="24"/>
                <w:szCs w:val="24"/>
              </w:rPr>
              <w:t xml:space="preserve"> reizi pusgadā, </w:t>
            </w:r>
            <w:r w:rsidRPr="004610F6">
              <w:rPr>
                <w:b/>
                <w:bCs/>
                <w:iCs/>
                <w:color w:val="000000" w:themeColor="text1"/>
                <w:sz w:val="24"/>
                <w:szCs w:val="24"/>
              </w:rPr>
              <w:t>attiecīgi līdz 1. februārim un 1. augustam</w:t>
            </w:r>
            <w:r w:rsidR="0084466B">
              <w:rPr>
                <w:b/>
                <w:bCs/>
                <w:iCs/>
                <w:color w:val="000000" w:themeColor="text1"/>
                <w:sz w:val="24"/>
                <w:szCs w:val="24"/>
              </w:rPr>
              <w:t>.</w:t>
            </w:r>
          </w:p>
          <w:p w14:paraId="4DC2735C" w14:textId="30C6284D" w:rsidR="004610F6" w:rsidRDefault="009939B1" w:rsidP="00346F5E">
            <w:pPr>
              <w:pStyle w:val="ListParagraph"/>
              <w:ind w:left="0" w:firstLine="387"/>
              <w:jc w:val="both"/>
              <w:rPr>
                <w:iCs/>
                <w:color w:val="000000" w:themeColor="text1"/>
                <w:sz w:val="24"/>
                <w:szCs w:val="24"/>
              </w:rPr>
            </w:pPr>
            <w:r>
              <w:rPr>
                <w:iCs/>
                <w:color w:val="000000" w:themeColor="text1"/>
                <w:sz w:val="24"/>
                <w:szCs w:val="24"/>
              </w:rPr>
              <w:t>Precizējums nepieciešams</w:t>
            </w:r>
            <w:r w:rsidR="00AD735B">
              <w:rPr>
                <w:iCs/>
                <w:color w:val="000000" w:themeColor="text1"/>
                <w:sz w:val="24"/>
                <w:szCs w:val="24"/>
              </w:rPr>
              <w:t xml:space="preserve"> </w:t>
            </w:r>
            <w:r w:rsidR="00AD735B" w:rsidRPr="00AD735B">
              <w:rPr>
                <w:iCs/>
                <w:color w:val="000000" w:themeColor="text1"/>
                <w:sz w:val="24"/>
                <w:szCs w:val="24"/>
              </w:rPr>
              <w:t>administratīvā sloga mazināšanai kā arī lai nodrošinātu sabiedrībai</w:t>
            </w:r>
            <w:r w:rsidR="00AD735B">
              <w:rPr>
                <w:iCs/>
                <w:color w:val="000000" w:themeColor="text1"/>
                <w:sz w:val="24"/>
                <w:szCs w:val="24"/>
              </w:rPr>
              <w:t xml:space="preserve"> </w:t>
            </w:r>
            <w:r w:rsidR="00AD735B" w:rsidRPr="00AD735B">
              <w:rPr>
                <w:iCs/>
                <w:color w:val="000000" w:themeColor="text1"/>
                <w:sz w:val="24"/>
                <w:szCs w:val="24"/>
              </w:rPr>
              <w:t>“Altum”</w:t>
            </w:r>
            <w:r w:rsidR="00AD735B">
              <w:rPr>
                <w:iCs/>
                <w:color w:val="000000" w:themeColor="text1"/>
                <w:sz w:val="24"/>
                <w:szCs w:val="24"/>
              </w:rPr>
              <w:t xml:space="preserve"> un Ekonomikas ministrijai</w:t>
            </w:r>
            <w:r w:rsidR="00AD735B" w:rsidRPr="00AD735B">
              <w:rPr>
                <w:iCs/>
                <w:color w:val="000000" w:themeColor="text1"/>
                <w:sz w:val="24"/>
                <w:szCs w:val="24"/>
              </w:rPr>
              <w:t xml:space="preserve"> iespēju operatīvi veikt nepieciešamās darbības</w:t>
            </w:r>
            <w:r w:rsidR="00AD735B">
              <w:rPr>
                <w:iCs/>
                <w:color w:val="000000" w:themeColor="text1"/>
                <w:sz w:val="24"/>
                <w:szCs w:val="24"/>
              </w:rPr>
              <w:t xml:space="preserve"> jautājumos, kas saitīti ar izdevumiem.</w:t>
            </w:r>
          </w:p>
          <w:p w14:paraId="4236C99E" w14:textId="6DD6596C" w:rsidR="004004B2" w:rsidRDefault="004004B2" w:rsidP="00346F5E">
            <w:pPr>
              <w:pStyle w:val="ListParagraph"/>
              <w:ind w:left="0" w:firstLine="387"/>
              <w:jc w:val="both"/>
              <w:rPr>
                <w:iCs/>
                <w:color w:val="000000" w:themeColor="text1"/>
                <w:sz w:val="24"/>
                <w:szCs w:val="24"/>
              </w:rPr>
            </w:pPr>
            <w:r>
              <w:rPr>
                <w:iCs/>
                <w:color w:val="000000" w:themeColor="text1"/>
                <w:sz w:val="24"/>
                <w:szCs w:val="24"/>
              </w:rPr>
              <w:t xml:space="preserve">Pamatojoties uz iepriekš minēto, Ekonomikas ministrijas ieskatā nav nepieciešamības noteikt par pienākumu </w:t>
            </w:r>
            <w:r w:rsidRPr="004004B2">
              <w:rPr>
                <w:iCs/>
                <w:color w:val="000000" w:themeColor="text1"/>
                <w:sz w:val="24"/>
                <w:szCs w:val="24"/>
              </w:rPr>
              <w:t>sabiedrībai “Altum” sniegt informāciju Ekonomikas ministrijai reizi pusgadā, attiecīgi līdz 1. februārim un 1. augustam</w:t>
            </w:r>
            <w:r>
              <w:rPr>
                <w:iCs/>
                <w:color w:val="000000" w:themeColor="text1"/>
                <w:sz w:val="24"/>
                <w:szCs w:val="24"/>
              </w:rPr>
              <w:t xml:space="preserve">, bet gan </w:t>
            </w:r>
            <w:r w:rsidR="005E32A9">
              <w:rPr>
                <w:iCs/>
                <w:color w:val="000000" w:themeColor="text1"/>
                <w:sz w:val="24"/>
                <w:szCs w:val="24"/>
              </w:rPr>
              <w:t>sniegt informāciju</w:t>
            </w:r>
            <w:r>
              <w:rPr>
                <w:iCs/>
                <w:color w:val="000000" w:themeColor="text1"/>
                <w:sz w:val="24"/>
                <w:szCs w:val="24"/>
              </w:rPr>
              <w:t xml:space="preserve"> pēc nepieciešamības</w:t>
            </w:r>
            <w:r w:rsidR="005E32A9">
              <w:rPr>
                <w:iCs/>
                <w:color w:val="000000" w:themeColor="text1"/>
                <w:sz w:val="24"/>
                <w:szCs w:val="24"/>
              </w:rPr>
              <w:t>.</w:t>
            </w:r>
          </w:p>
          <w:p w14:paraId="427A1761" w14:textId="77777777" w:rsidR="00A76A13" w:rsidRDefault="00A76A13" w:rsidP="00A417D6">
            <w:pPr>
              <w:pStyle w:val="ListParagraph"/>
              <w:ind w:left="0" w:firstLine="539"/>
              <w:jc w:val="both"/>
              <w:rPr>
                <w:iCs/>
                <w:color w:val="000000" w:themeColor="text1"/>
                <w:sz w:val="24"/>
                <w:szCs w:val="24"/>
              </w:rPr>
            </w:pPr>
          </w:p>
          <w:p w14:paraId="7982CC8C" w14:textId="70E31504" w:rsidR="00A76A13" w:rsidRPr="00A76A13" w:rsidRDefault="00A76A13" w:rsidP="00A76A13">
            <w:pPr>
              <w:pStyle w:val="ListParagraph"/>
              <w:numPr>
                <w:ilvl w:val="0"/>
                <w:numId w:val="20"/>
              </w:numPr>
              <w:ind w:left="0" w:firstLine="360"/>
              <w:jc w:val="both"/>
              <w:rPr>
                <w:b/>
                <w:bCs/>
              </w:rPr>
            </w:pPr>
            <w:bookmarkStart w:id="2" w:name="_Hlk67310861"/>
            <w:r w:rsidRPr="00A76A13">
              <w:rPr>
                <w:b/>
                <w:bCs/>
                <w:iCs/>
                <w:color w:val="000000" w:themeColor="text1"/>
                <w:sz w:val="24"/>
                <w:szCs w:val="24"/>
              </w:rPr>
              <w:t>Noteikumu projekts paredz arī izmaiņas  4.2.1.1. pasākuma ietvaros īsteno</w:t>
            </w:r>
            <w:r w:rsidR="007967F6">
              <w:rPr>
                <w:b/>
                <w:bCs/>
                <w:iCs/>
                <w:color w:val="000000" w:themeColor="text1"/>
                <w:sz w:val="24"/>
                <w:szCs w:val="24"/>
              </w:rPr>
              <w:t>to</w:t>
            </w:r>
            <w:r w:rsidRPr="00A76A13">
              <w:rPr>
                <w:b/>
                <w:bCs/>
                <w:iCs/>
                <w:color w:val="000000" w:themeColor="text1"/>
                <w:sz w:val="24"/>
                <w:szCs w:val="24"/>
              </w:rPr>
              <w:t xml:space="preserve"> finanšu instrumentu vadības maksu noteikšan</w:t>
            </w:r>
            <w:r w:rsidR="00F448D3">
              <w:rPr>
                <w:b/>
                <w:bCs/>
                <w:iCs/>
                <w:color w:val="000000" w:themeColor="text1"/>
                <w:sz w:val="24"/>
                <w:szCs w:val="24"/>
              </w:rPr>
              <w:t>ā un kompensēšanā</w:t>
            </w:r>
            <w:r w:rsidRPr="00A76A13">
              <w:rPr>
                <w:b/>
                <w:bCs/>
                <w:iCs/>
                <w:color w:val="000000" w:themeColor="text1"/>
                <w:sz w:val="24"/>
                <w:szCs w:val="24"/>
              </w:rPr>
              <w:t>.</w:t>
            </w:r>
          </w:p>
          <w:p w14:paraId="5B6A5205" w14:textId="4B29C2AC" w:rsidR="00A76A13" w:rsidRPr="00A76A13" w:rsidRDefault="00A76A13" w:rsidP="00A76A13">
            <w:pPr>
              <w:spacing w:after="0"/>
              <w:ind w:firstLine="529"/>
              <w:jc w:val="both"/>
              <w:rPr>
                <w:rFonts w:ascii="Times New Roman" w:hAnsi="Times New Roman" w:cs="Times New Roman"/>
                <w:sz w:val="24"/>
                <w:szCs w:val="24"/>
              </w:rPr>
            </w:pPr>
            <w:r w:rsidRPr="00A76A13">
              <w:rPr>
                <w:rFonts w:ascii="Times New Roman" w:hAnsi="Times New Roman" w:cs="Times New Roman"/>
                <w:sz w:val="24"/>
                <w:szCs w:val="24"/>
              </w:rPr>
              <w:t xml:space="preserve">Ierosināto grozījumu uzdevums ir mazināt administratīvo slogu </w:t>
            </w:r>
            <w:r>
              <w:rPr>
                <w:rFonts w:ascii="Times New Roman" w:hAnsi="Times New Roman" w:cs="Times New Roman"/>
                <w:sz w:val="24"/>
                <w:szCs w:val="24"/>
              </w:rPr>
              <w:t xml:space="preserve">4.2.1.1. pasākuma </w:t>
            </w:r>
            <w:r w:rsidRPr="00A76A13">
              <w:rPr>
                <w:rFonts w:ascii="Times New Roman" w:hAnsi="Times New Roman" w:cs="Times New Roman"/>
                <w:sz w:val="24"/>
                <w:szCs w:val="24"/>
              </w:rPr>
              <w:t xml:space="preserve">īstenošanā, pārejot no vadības izmaksu kompensācijas uz vadības maksu, kas paredzētu sabiedrības “Altum” maksājuma pieprasījumos CFLA attiecināšanai vadības izdevumus, ievērojot noteiktās robežvērtības, bet  nenorādot visus ar </w:t>
            </w:r>
            <w:r w:rsidR="00F448D3">
              <w:rPr>
                <w:rFonts w:ascii="Times New Roman" w:hAnsi="Times New Roman" w:cs="Times New Roman"/>
                <w:sz w:val="24"/>
                <w:szCs w:val="24"/>
              </w:rPr>
              <w:t>4.2.1.1.pasākuma finanšu instrumentu</w:t>
            </w:r>
            <w:r w:rsidRPr="00A76A13">
              <w:rPr>
                <w:rFonts w:ascii="Times New Roman" w:hAnsi="Times New Roman" w:cs="Times New Roman"/>
                <w:sz w:val="24"/>
                <w:szCs w:val="24"/>
              </w:rPr>
              <w:t xml:space="preserve"> vadību saistīto izdevumu rēķinus un šo rēķinu proporcionālās daļas sadalījumā pa finanšu instrumentiem.</w:t>
            </w:r>
          </w:p>
          <w:p w14:paraId="18D97557" w14:textId="6328E848" w:rsidR="00A76A13" w:rsidRPr="00A76A13" w:rsidRDefault="00A76A13" w:rsidP="00A76A13">
            <w:pPr>
              <w:spacing w:after="0"/>
              <w:ind w:firstLine="529"/>
              <w:jc w:val="both"/>
              <w:rPr>
                <w:rFonts w:ascii="Times New Roman" w:hAnsi="Times New Roman" w:cs="Times New Roman"/>
                <w:sz w:val="24"/>
                <w:szCs w:val="24"/>
              </w:rPr>
            </w:pPr>
            <w:r w:rsidRPr="00A76A13">
              <w:rPr>
                <w:rFonts w:ascii="Times New Roman" w:hAnsi="Times New Roman" w:cs="Times New Roman"/>
                <w:sz w:val="24"/>
                <w:szCs w:val="24"/>
              </w:rPr>
              <w:t>Būtiskākā atšķirība vadības izdevumu segšanā starp vadības izmaksu kompensēšanu un vadības maksu ir tajā, cik detalizēti ieviesēja institūcijai sabiedrībai “Altum” izdevumu attiecināšanai ir jāpamato un CFLA jāpārbauda vadības izdevumu rašanās.</w:t>
            </w:r>
          </w:p>
          <w:p w14:paraId="6977572E" w14:textId="13CB7C36" w:rsidR="00A76A13" w:rsidRPr="00A76A13" w:rsidRDefault="00792271" w:rsidP="00A76A13">
            <w:pPr>
              <w:spacing w:after="0"/>
              <w:ind w:firstLine="529"/>
              <w:jc w:val="both"/>
              <w:rPr>
                <w:rFonts w:ascii="Times New Roman" w:hAnsi="Times New Roman" w:cs="Times New Roman"/>
                <w:sz w:val="24"/>
                <w:szCs w:val="24"/>
              </w:rPr>
            </w:pPr>
            <w:r w:rsidRPr="00792271">
              <w:rPr>
                <w:rFonts w:ascii="Times New Roman" w:hAnsi="Times New Roman" w:cs="Times New Roman"/>
                <w:sz w:val="24"/>
                <w:szCs w:val="24"/>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1303/2013)</w:t>
            </w:r>
            <w:r>
              <w:rPr>
                <w:rFonts w:ascii="Times New Roman" w:hAnsi="Times New Roman" w:cs="Times New Roman"/>
                <w:sz w:val="24"/>
                <w:szCs w:val="24"/>
              </w:rPr>
              <w:t xml:space="preserve"> </w:t>
            </w:r>
            <w:r w:rsidR="00A76A13" w:rsidRPr="00A76A13">
              <w:rPr>
                <w:rFonts w:ascii="Times New Roman" w:hAnsi="Times New Roman" w:cs="Times New Roman"/>
                <w:sz w:val="24"/>
                <w:szCs w:val="24"/>
              </w:rPr>
              <w:t xml:space="preserve">42. panta 5. punkts nosaka, ka izmaksas kompensē, atbilstoši izdevumu pamatojumam, bet maksu nosaka atbilstīgi saskaņotai sniegto pakalpojumu cenai. </w:t>
            </w:r>
            <w:r w:rsidR="00A76A13" w:rsidRPr="00002C0E">
              <w:rPr>
                <w:rFonts w:ascii="Times New Roman" w:hAnsi="Times New Roman" w:cs="Times New Roman"/>
                <w:sz w:val="24"/>
                <w:szCs w:val="24"/>
              </w:rPr>
              <w:t xml:space="preserve">Sabiedrība “Altum” ir izstrādājusi vadības maksas apmēru, pamatojoties uz </w:t>
            </w:r>
            <w:r w:rsidR="00A76A13" w:rsidRPr="00872387">
              <w:rPr>
                <w:rFonts w:ascii="Times New Roman" w:hAnsi="Times New Roman" w:cs="Times New Roman"/>
                <w:sz w:val="24"/>
                <w:szCs w:val="24"/>
              </w:rPr>
              <w:t xml:space="preserve">4.2.1.1. pasākuma finanšu instrumentu vēsturiskiem izmaksu datiem, kas ir atbilstoši CFLA nolīgumā noteiktai kārtībai iesniegti un CFLA pārbaudīti un apstiprināti </w:t>
            </w:r>
            <w:r w:rsidR="00A76A13" w:rsidRPr="00630E07">
              <w:rPr>
                <w:rFonts w:ascii="Times New Roman" w:hAnsi="Times New Roman" w:cs="Times New Roman"/>
                <w:sz w:val="24"/>
                <w:szCs w:val="24"/>
              </w:rPr>
              <w:t>m</w:t>
            </w:r>
            <w:r w:rsidR="00A76A13" w:rsidRPr="00951603">
              <w:rPr>
                <w:rFonts w:ascii="Times New Roman" w:hAnsi="Times New Roman" w:cs="Times New Roman"/>
                <w:sz w:val="24"/>
                <w:szCs w:val="24"/>
              </w:rPr>
              <w:t>aksājumu pieprasījumos.</w:t>
            </w:r>
          </w:p>
          <w:p w14:paraId="225871FB" w14:textId="2B129238" w:rsidR="00A76A13" w:rsidRPr="00A76A13" w:rsidRDefault="00A76A13" w:rsidP="00A76A13">
            <w:pPr>
              <w:spacing w:after="0"/>
              <w:ind w:firstLine="529"/>
              <w:jc w:val="both"/>
              <w:rPr>
                <w:rFonts w:ascii="Times New Roman" w:hAnsi="Times New Roman" w:cs="Times New Roman"/>
                <w:sz w:val="24"/>
                <w:szCs w:val="24"/>
              </w:rPr>
            </w:pPr>
            <w:r w:rsidRPr="00A76A13">
              <w:rPr>
                <w:rFonts w:ascii="Times New Roman" w:hAnsi="Times New Roman" w:cs="Times New Roman"/>
                <w:sz w:val="24"/>
                <w:szCs w:val="24"/>
              </w:rPr>
              <w:t xml:space="preserve">Izmaiņas ļaus ietaupīt administratīvos izdevumus, attiecinot </w:t>
            </w:r>
            <w:r>
              <w:rPr>
                <w:rFonts w:ascii="Times New Roman" w:hAnsi="Times New Roman" w:cs="Times New Roman"/>
                <w:sz w:val="24"/>
                <w:szCs w:val="24"/>
              </w:rPr>
              <w:t>4.2.1.1. pasākuma finanšu instrumentu</w:t>
            </w:r>
            <w:r w:rsidRPr="00A76A13">
              <w:rPr>
                <w:rFonts w:ascii="Times New Roman" w:hAnsi="Times New Roman" w:cs="Times New Roman"/>
                <w:sz w:val="24"/>
                <w:szCs w:val="24"/>
              </w:rPr>
              <w:t xml:space="preserve"> vadības izmaksas: </w:t>
            </w:r>
          </w:p>
          <w:p w14:paraId="36195DBC" w14:textId="17EAAAA2" w:rsidR="00A76A13" w:rsidRPr="00A76A13" w:rsidRDefault="00A76A13" w:rsidP="00A76A13">
            <w:pPr>
              <w:spacing w:after="0"/>
              <w:ind w:firstLine="529"/>
              <w:jc w:val="both"/>
              <w:rPr>
                <w:rFonts w:ascii="Times New Roman" w:hAnsi="Times New Roman" w:cs="Times New Roman"/>
                <w:sz w:val="24"/>
                <w:szCs w:val="24"/>
              </w:rPr>
            </w:pPr>
            <w:r w:rsidRPr="00A76A13">
              <w:rPr>
                <w:rFonts w:ascii="Times New Roman" w:hAnsi="Times New Roman" w:cs="Times New Roman"/>
                <w:sz w:val="24"/>
                <w:szCs w:val="24"/>
              </w:rPr>
              <w:t>1)</w:t>
            </w:r>
            <w:r w:rsidR="00951603">
              <w:rPr>
                <w:rFonts w:ascii="Times New Roman" w:hAnsi="Times New Roman" w:cs="Times New Roman"/>
                <w:sz w:val="24"/>
                <w:szCs w:val="24"/>
              </w:rPr>
              <w:t xml:space="preserve"> </w:t>
            </w:r>
            <w:r w:rsidRPr="00A76A13">
              <w:rPr>
                <w:rFonts w:ascii="Times New Roman" w:hAnsi="Times New Roman" w:cs="Times New Roman"/>
                <w:sz w:val="24"/>
                <w:szCs w:val="24"/>
              </w:rPr>
              <w:t>sabiedrība</w:t>
            </w:r>
            <w:r w:rsidR="00875FCD">
              <w:rPr>
                <w:rFonts w:ascii="Times New Roman" w:hAnsi="Times New Roman" w:cs="Times New Roman"/>
                <w:sz w:val="24"/>
                <w:szCs w:val="24"/>
              </w:rPr>
              <w:t>i</w:t>
            </w:r>
            <w:r w:rsidRPr="00A76A13">
              <w:rPr>
                <w:rFonts w:ascii="Times New Roman" w:hAnsi="Times New Roman" w:cs="Times New Roman"/>
                <w:sz w:val="24"/>
                <w:szCs w:val="24"/>
              </w:rPr>
              <w:t xml:space="preserve"> “Altum” maksājumu pieprasījumos CFLA, neuzskaitot visus ar </w:t>
            </w:r>
            <w:r>
              <w:rPr>
                <w:rFonts w:ascii="Times New Roman" w:hAnsi="Times New Roman" w:cs="Times New Roman"/>
                <w:sz w:val="24"/>
                <w:szCs w:val="24"/>
              </w:rPr>
              <w:t>finanšu instrumentu</w:t>
            </w:r>
            <w:r w:rsidRPr="00A76A13">
              <w:rPr>
                <w:rFonts w:ascii="Times New Roman" w:hAnsi="Times New Roman" w:cs="Times New Roman"/>
                <w:sz w:val="24"/>
                <w:szCs w:val="24"/>
              </w:rPr>
              <w:t xml:space="preserve"> vadību saistīto izdevumu rēķinus un šo rēķinu proporcionālās daļas, sadalījumā pa finanšu </w:t>
            </w:r>
            <w:r w:rsidRPr="00A76A13">
              <w:rPr>
                <w:rFonts w:ascii="Times New Roman" w:hAnsi="Times New Roman" w:cs="Times New Roman"/>
                <w:sz w:val="24"/>
                <w:szCs w:val="24"/>
              </w:rPr>
              <w:lastRenderedPageBreak/>
              <w:t>instrumentiem, kas nereti ir dažu desmitu centu apmērā un rada noapaļošanas problēmas;</w:t>
            </w:r>
          </w:p>
          <w:p w14:paraId="062DCDF1" w14:textId="20A0D009" w:rsidR="00A76A13" w:rsidRPr="00A76A13" w:rsidRDefault="00A76A13" w:rsidP="00A76A13">
            <w:pPr>
              <w:spacing w:after="0"/>
              <w:ind w:firstLine="529"/>
              <w:jc w:val="both"/>
              <w:rPr>
                <w:rFonts w:ascii="Times New Roman" w:hAnsi="Times New Roman" w:cs="Times New Roman"/>
                <w:sz w:val="24"/>
                <w:szCs w:val="24"/>
              </w:rPr>
            </w:pPr>
            <w:r w:rsidRPr="00A76A13">
              <w:rPr>
                <w:rFonts w:ascii="Times New Roman" w:hAnsi="Times New Roman" w:cs="Times New Roman"/>
                <w:sz w:val="24"/>
                <w:szCs w:val="24"/>
              </w:rPr>
              <w:t>2)</w:t>
            </w:r>
            <w:r w:rsidR="00951603">
              <w:rPr>
                <w:rFonts w:ascii="Times New Roman" w:hAnsi="Times New Roman" w:cs="Times New Roman"/>
                <w:sz w:val="24"/>
                <w:szCs w:val="24"/>
              </w:rPr>
              <w:t xml:space="preserve"> </w:t>
            </w:r>
            <w:r w:rsidRPr="00A76A13">
              <w:rPr>
                <w:rFonts w:ascii="Times New Roman" w:hAnsi="Times New Roman" w:cs="Times New Roman"/>
                <w:sz w:val="24"/>
                <w:szCs w:val="24"/>
              </w:rPr>
              <w:t>CFLA, īstenojot kontroli</w:t>
            </w:r>
            <w:r w:rsidR="00282676">
              <w:rPr>
                <w:rFonts w:ascii="Times New Roman" w:hAnsi="Times New Roman" w:cs="Times New Roman"/>
                <w:sz w:val="24"/>
                <w:szCs w:val="24"/>
              </w:rPr>
              <w:t>,</w:t>
            </w:r>
            <w:r w:rsidRPr="00A76A13">
              <w:rPr>
                <w:rFonts w:ascii="Times New Roman" w:hAnsi="Times New Roman" w:cs="Times New Roman"/>
                <w:sz w:val="24"/>
                <w:szCs w:val="24"/>
              </w:rPr>
              <w:t xml:space="preserve"> neveicot rēķinu un to sadalījuma pa finanšu instrumentiem pārbaudi.</w:t>
            </w:r>
          </w:p>
          <w:p w14:paraId="576F681A" w14:textId="13B5FC3D" w:rsidR="00A76A13" w:rsidRPr="00A76A13" w:rsidRDefault="00282676" w:rsidP="00A76A13">
            <w:pPr>
              <w:spacing w:after="0"/>
              <w:ind w:firstLine="529"/>
              <w:jc w:val="both"/>
              <w:rPr>
                <w:rFonts w:ascii="Times New Roman" w:hAnsi="Times New Roman" w:cs="Times New Roman"/>
                <w:sz w:val="24"/>
                <w:szCs w:val="24"/>
              </w:rPr>
            </w:pPr>
            <w:r>
              <w:rPr>
                <w:rFonts w:ascii="Times New Roman" w:hAnsi="Times New Roman" w:cs="Times New Roman"/>
                <w:sz w:val="24"/>
                <w:szCs w:val="24"/>
              </w:rPr>
              <w:t>V</w:t>
            </w:r>
            <w:r w:rsidRPr="00A76A13">
              <w:rPr>
                <w:rFonts w:ascii="Times New Roman" w:hAnsi="Times New Roman" w:cs="Times New Roman"/>
                <w:sz w:val="24"/>
                <w:szCs w:val="24"/>
              </w:rPr>
              <w:t xml:space="preserve">adības maksu metode </w:t>
            </w:r>
            <w:r w:rsidR="00A76A13" w:rsidRPr="00A76A13">
              <w:rPr>
                <w:rFonts w:ascii="Times New Roman" w:hAnsi="Times New Roman" w:cs="Times New Roman"/>
                <w:sz w:val="24"/>
                <w:szCs w:val="24"/>
              </w:rPr>
              <w:t>tiks piemērota</w:t>
            </w:r>
            <w:r w:rsidRPr="00A76A13">
              <w:rPr>
                <w:rFonts w:ascii="Times New Roman" w:hAnsi="Times New Roman" w:cs="Times New Roman"/>
                <w:sz w:val="24"/>
                <w:szCs w:val="24"/>
              </w:rPr>
              <w:t xml:space="preserve"> no 202</w:t>
            </w:r>
            <w:r>
              <w:rPr>
                <w:rFonts w:ascii="Times New Roman" w:hAnsi="Times New Roman" w:cs="Times New Roman"/>
                <w:sz w:val="24"/>
                <w:szCs w:val="24"/>
              </w:rPr>
              <w:t>1</w:t>
            </w:r>
            <w:r w:rsidRPr="00A76A13">
              <w:rPr>
                <w:rFonts w:ascii="Times New Roman" w:hAnsi="Times New Roman" w:cs="Times New Roman"/>
                <w:sz w:val="24"/>
                <w:szCs w:val="24"/>
              </w:rPr>
              <w:t>.gada 1.</w:t>
            </w:r>
            <w:r>
              <w:rPr>
                <w:rFonts w:ascii="Times New Roman" w:hAnsi="Times New Roman" w:cs="Times New Roman"/>
                <w:sz w:val="24"/>
                <w:szCs w:val="24"/>
              </w:rPr>
              <w:t>janvāra</w:t>
            </w:r>
            <w:r w:rsidR="00A76A13" w:rsidRPr="00A76A13">
              <w:rPr>
                <w:rFonts w:ascii="Times New Roman" w:hAnsi="Times New Roman" w:cs="Times New Roman"/>
                <w:sz w:val="24"/>
                <w:szCs w:val="24"/>
              </w:rPr>
              <w:t>.</w:t>
            </w:r>
          </w:p>
          <w:p w14:paraId="6DE4095E" w14:textId="3C18DC45" w:rsidR="00A76A13" w:rsidRPr="00A76A13" w:rsidRDefault="00A76A13" w:rsidP="00282676">
            <w:pPr>
              <w:spacing w:after="0"/>
              <w:ind w:firstLine="529"/>
              <w:jc w:val="both"/>
              <w:rPr>
                <w:rFonts w:ascii="Times New Roman" w:hAnsi="Times New Roman" w:cs="Times New Roman"/>
                <w:sz w:val="24"/>
                <w:szCs w:val="24"/>
              </w:rPr>
            </w:pPr>
            <w:r w:rsidRPr="00A76A13">
              <w:rPr>
                <w:rFonts w:ascii="Times New Roman" w:hAnsi="Times New Roman" w:cs="Times New Roman"/>
                <w:sz w:val="24"/>
                <w:szCs w:val="24"/>
              </w:rPr>
              <w:t xml:space="preserve">Arī pēc Noteikumu projekta pieņemšanas, piemērojot vadības maksu, sabiedrības “Altum” vadības maksas tiks noteiktas ievērojot </w:t>
            </w:r>
            <w:r w:rsidR="000856B2" w:rsidRPr="000856B2">
              <w:rPr>
                <w:rFonts w:ascii="Times New Roman" w:hAnsi="Times New Roman" w:cs="Times New Roman"/>
                <w:sz w:val="24"/>
                <w:szCs w:val="24"/>
              </w:rPr>
              <w:t>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480/2014)</w:t>
            </w:r>
            <w:r w:rsidR="000856B2">
              <w:rPr>
                <w:rFonts w:ascii="Times New Roman" w:hAnsi="Times New Roman" w:cs="Times New Roman"/>
                <w:sz w:val="24"/>
                <w:szCs w:val="24"/>
              </w:rPr>
              <w:t xml:space="preserve"> </w:t>
            </w:r>
            <w:r w:rsidRPr="00A76A13">
              <w:rPr>
                <w:rFonts w:ascii="Times New Roman" w:hAnsi="Times New Roman" w:cs="Times New Roman"/>
                <w:sz w:val="24"/>
                <w:szCs w:val="24"/>
              </w:rPr>
              <w:t>13. pantā noteikto kārtību un robežvērtības. Nosacījuma izpildi kontrolē</w:t>
            </w:r>
            <w:r w:rsidR="00F448D3">
              <w:rPr>
                <w:rFonts w:ascii="Times New Roman" w:hAnsi="Times New Roman" w:cs="Times New Roman"/>
                <w:sz w:val="24"/>
                <w:szCs w:val="24"/>
              </w:rPr>
              <w:t>s</w:t>
            </w:r>
            <w:r w:rsidRPr="00A76A13">
              <w:rPr>
                <w:rFonts w:ascii="Times New Roman" w:hAnsi="Times New Roman" w:cs="Times New Roman"/>
                <w:sz w:val="24"/>
                <w:szCs w:val="24"/>
              </w:rPr>
              <w:t xml:space="preserve"> CFLA, pārbaudot iesniegtos maksājumu pieprasījumus.</w:t>
            </w:r>
            <w:r w:rsidR="00282676">
              <w:rPr>
                <w:rFonts w:ascii="Times New Roman" w:hAnsi="Times New Roman" w:cs="Times New Roman"/>
                <w:sz w:val="24"/>
                <w:szCs w:val="24"/>
              </w:rPr>
              <w:t xml:space="preserve"> V</w:t>
            </w:r>
            <w:r w:rsidRPr="00A76A13">
              <w:rPr>
                <w:rFonts w:ascii="Times New Roman" w:hAnsi="Times New Roman" w:cs="Times New Roman"/>
                <w:sz w:val="24"/>
                <w:szCs w:val="24"/>
              </w:rPr>
              <w:t xml:space="preserve">adības maksas piemērošana vadības izdevumu attiecināšanai tiks paredzēta Finansēšanas nolīgumā par </w:t>
            </w:r>
            <w:r w:rsidR="00CC4454">
              <w:rPr>
                <w:rFonts w:ascii="Times New Roman" w:hAnsi="Times New Roman" w:cs="Times New Roman"/>
                <w:sz w:val="24"/>
                <w:szCs w:val="24"/>
              </w:rPr>
              <w:t>4.2.1.1.pasākuma</w:t>
            </w:r>
            <w:r w:rsidRPr="00A76A13">
              <w:rPr>
                <w:rFonts w:ascii="Times New Roman" w:hAnsi="Times New Roman" w:cs="Times New Roman"/>
                <w:sz w:val="24"/>
                <w:szCs w:val="24"/>
              </w:rPr>
              <w:t xml:space="preserve"> finanšu instrumentu īstenošanu starp CFLA un sabiedrību “Altum”.</w:t>
            </w:r>
          </w:p>
          <w:p w14:paraId="1C7E2649" w14:textId="1D5D17B2" w:rsidR="00A76A13" w:rsidRDefault="00A76A13" w:rsidP="00A76A13">
            <w:pPr>
              <w:spacing w:after="0"/>
              <w:ind w:firstLine="529"/>
              <w:jc w:val="both"/>
              <w:rPr>
                <w:rFonts w:ascii="Times New Roman" w:hAnsi="Times New Roman" w:cs="Times New Roman"/>
                <w:sz w:val="24"/>
                <w:szCs w:val="24"/>
              </w:rPr>
            </w:pPr>
            <w:r w:rsidRPr="00A76A13">
              <w:rPr>
                <w:rFonts w:ascii="Times New Roman" w:hAnsi="Times New Roman" w:cs="Times New Roman"/>
                <w:sz w:val="24"/>
                <w:szCs w:val="24"/>
              </w:rPr>
              <w:t xml:space="preserve">Pēc pārejas uz jauno kārtību sabiedrība “Altum” iesniegs CFLA maksājumu pieprasījumus nedetalizējot tajos visus ar </w:t>
            </w:r>
            <w:r w:rsidR="00282676">
              <w:rPr>
                <w:rFonts w:ascii="Times New Roman" w:hAnsi="Times New Roman" w:cs="Times New Roman"/>
                <w:sz w:val="24"/>
                <w:szCs w:val="24"/>
              </w:rPr>
              <w:t>finanšu instrumentu</w:t>
            </w:r>
            <w:r w:rsidRPr="00A76A13">
              <w:rPr>
                <w:rFonts w:ascii="Times New Roman" w:hAnsi="Times New Roman" w:cs="Times New Roman"/>
                <w:sz w:val="24"/>
                <w:szCs w:val="24"/>
              </w:rPr>
              <w:t xml:space="preserve"> vadību saistīto izdevumu rēķinus un šo rēķinu proporcionālās daļas sadalījumā pa finanšu instrumentiem, bet norādot vadības maksas apmēru, saskaņā ar  likmēm, par kurām, pamatojoties uz vēsturiskiem datiem </w:t>
            </w:r>
            <w:r w:rsidR="00282676">
              <w:rPr>
                <w:rFonts w:ascii="Times New Roman" w:hAnsi="Times New Roman" w:cs="Times New Roman"/>
                <w:sz w:val="24"/>
                <w:szCs w:val="24"/>
              </w:rPr>
              <w:t>4.2.1.1.pasākuma</w:t>
            </w:r>
            <w:r w:rsidRPr="00A76A13">
              <w:rPr>
                <w:rFonts w:ascii="Times New Roman" w:hAnsi="Times New Roman" w:cs="Times New Roman"/>
                <w:sz w:val="24"/>
                <w:szCs w:val="24"/>
              </w:rPr>
              <w:t xml:space="preserve"> īstenošanā, tiks panākta savstarpējā vienošanās ar CFLA, bet kas nepārsniedz regulas Nr. 480/2014 13. pantā noteiktās likmes. Sabiedrībai “Altum” CFLA iesniedzamajos maksājumu pieprasījumos neiekļaujot informāciju par rēķiniem tiks ietaupīti Altum un CFLA administratīvie resursi. Vienlaikus arī jaunās pieejas pamatā ir aprēķins un dati, kas pamato izmaksu procentuālo apjomu, kas tiek noformēts kā finanšu nolīguma pielikums.</w:t>
            </w:r>
            <w:bookmarkEnd w:id="2"/>
          </w:p>
          <w:p w14:paraId="1762CA81" w14:textId="43FF6B3D" w:rsidR="00C87E98" w:rsidRDefault="00C87E98" w:rsidP="00A76A13">
            <w:pPr>
              <w:spacing w:after="0"/>
              <w:ind w:firstLine="529"/>
              <w:jc w:val="both"/>
              <w:rPr>
                <w:rFonts w:ascii="Times New Roman" w:hAnsi="Times New Roman" w:cs="Times New Roman"/>
                <w:sz w:val="24"/>
                <w:szCs w:val="24"/>
              </w:rPr>
            </w:pPr>
          </w:p>
          <w:p w14:paraId="168709BC" w14:textId="77777777" w:rsidR="00C87E98" w:rsidRPr="000B1DDD" w:rsidRDefault="00C87E98" w:rsidP="00C87E98">
            <w:pPr>
              <w:pStyle w:val="ListParagraph"/>
              <w:numPr>
                <w:ilvl w:val="0"/>
                <w:numId w:val="20"/>
              </w:numPr>
              <w:ind w:left="0" w:firstLine="0"/>
              <w:jc w:val="both"/>
              <w:rPr>
                <w:b/>
                <w:bCs/>
                <w:sz w:val="24"/>
                <w:szCs w:val="24"/>
              </w:rPr>
            </w:pPr>
            <w:r w:rsidRPr="000B1DDD">
              <w:rPr>
                <w:b/>
                <w:bCs/>
                <w:sz w:val="24"/>
                <w:szCs w:val="24"/>
              </w:rPr>
              <w:t xml:space="preserve">Papildināt noteikumus ar nosacījumu par </w:t>
            </w:r>
            <w:r>
              <w:rPr>
                <w:b/>
                <w:bCs/>
                <w:sz w:val="24"/>
                <w:szCs w:val="24"/>
              </w:rPr>
              <w:t>“</w:t>
            </w:r>
            <w:r w:rsidRPr="000B1DDD">
              <w:rPr>
                <w:b/>
                <w:bCs/>
                <w:sz w:val="24"/>
                <w:szCs w:val="24"/>
              </w:rPr>
              <w:t>Altum</w:t>
            </w:r>
            <w:r>
              <w:rPr>
                <w:b/>
                <w:bCs/>
                <w:sz w:val="24"/>
                <w:szCs w:val="24"/>
              </w:rPr>
              <w:t>”</w:t>
            </w:r>
            <w:r w:rsidRPr="000B1DDD">
              <w:rPr>
                <w:b/>
                <w:bCs/>
                <w:sz w:val="24"/>
                <w:szCs w:val="24"/>
              </w:rPr>
              <w:t xml:space="preserve"> aizdevumu finansēšanu.</w:t>
            </w:r>
          </w:p>
          <w:p w14:paraId="38C1DBBA" w14:textId="782ECCC5" w:rsidR="00C87E98" w:rsidRDefault="00C87E98" w:rsidP="00C87E98">
            <w:pPr>
              <w:spacing w:after="0"/>
              <w:ind w:firstLine="529"/>
              <w:jc w:val="both"/>
              <w:rPr>
                <w:rFonts w:ascii="Times New Roman" w:hAnsi="Times New Roman" w:cs="Times New Roman"/>
                <w:sz w:val="24"/>
                <w:szCs w:val="24"/>
              </w:rPr>
            </w:pPr>
            <w:r w:rsidRPr="000B1DDD">
              <w:rPr>
                <w:rFonts w:ascii="Times New Roman" w:hAnsi="Times New Roman" w:cs="Times New Roman"/>
                <w:sz w:val="24"/>
                <w:szCs w:val="24"/>
              </w:rPr>
              <w:t>Ministru kabineta noteikumu grozījumu projekts paredz, ka valsts budžeta un ERAF finansējums nepārsniedz 50% no kopējiem sabiedrības “Altum” sniegtajiem aizdevumiem daudzdzīvokļu māju energoefektivitātes uzlabošanai šis atbalsta programmas ietvaros. Šobrīd Altum ir izveidojusi nodalītu finanšu bloku daudzdzīvokļu māju energoefektivitātes uzlabošanas aizdevumu sniegšanai. Šos aizdevumus finansē 70% apmērā no sabiedrības Altum pašu vai piesaistītā finansējuma un 30% no valsts budžeta un ERAF finansējuma.</w:t>
            </w:r>
            <w:r>
              <w:rPr>
                <w:rFonts w:ascii="Times New Roman" w:hAnsi="Times New Roman" w:cs="Times New Roman"/>
                <w:sz w:val="24"/>
                <w:szCs w:val="24"/>
              </w:rPr>
              <w:t xml:space="preserve"> </w:t>
            </w:r>
            <w:r w:rsidRPr="000B1DDD">
              <w:rPr>
                <w:rFonts w:ascii="Times New Roman" w:hAnsi="Times New Roman" w:cs="Times New Roman"/>
                <w:sz w:val="24"/>
                <w:szCs w:val="24"/>
              </w:rPr>
              <w:t xml:space="preserve">Lai vienkāršotu aizdevumu komponentes administrēšanu atbalsta programmas noslēgšanas etapā, sabiedrība “Altum” papildus nodalīs atsevišķu finanšu bloku aizdevumu </w:t>
            </w:r>
            <w:r w:rsidRPr="000B1DDD">
              <w:rPr>
                <w:rFonts w:ascii="Times New Roman" w:hAnsi="Times New Roman" w:cs="Times New Roman"/>
                <w:sz w:val="24"/>
                <w:szCs w:val="24"/>
              </w:rPr>
              <w:lastRenderedPageBreak/>
              <w:t>sniegšanai 100% apmērā no valsts budžeta un ERAF finansējumu aizdevumu sniegšanai. Sabiedrība “Altum” nodrošinās, ka kopējais valsts budžeta un ERAF finansējums no visiem sabiedrības “Altum” izsniegtajiem aizdevumiem šīs programmas ietvaros nepārsniedz 50%.</w:t>
            </w:r>
          </w:p>
          <w:p w14:paraId="3672A105" w14:textId="77777777" w:rsidR="00C87E98" w:rsidRDefault="00C87E98" w:rsidP="00C87E98">
            <w:pPr>
              <w:spacing w:after="0"/>
              <w:ind w:firstLine="529"/>
              <w:jc w:val="both"/>
              <w:rPr>
                <w:rFonts w:ascii="Times New Roman" w:hAnsi="Times New Roman" w:cs="Times New Roman"/>
                <w:sz w:val="24"/>
                <w:szCs w:val="24"/>
              </w:rPr>
            </w:pPr>
          </w:p>
          <w:p w14:paraId="356A9E5B" w14:textId="293F5C11" w:rsidR="003D3478" w:rsidRPr="006C3363" w:rsidRDefault="003D3478" w:rsidP="00A76A13">
            <w:pPr>
              <w:spacing w:after="0"/>
              <w:ind w:firstLine="529"/>
              <w:jc w:val="both"/>
              <w:rPr>
                <w:rFonts w:ascii="Times New Roman" w:hAnsi="Times New Roman" w:cs="Times New Roman"/>
                <w:sz w:val="24"/>
                <w:szCs w:val="24"/>
              </w:rPr>
            </w:pPr>
            <w:r w:rsidRPr="006C3363">
              <w:rPr>
                <w:rFonts w:ascii="Times New Roman" w:hAnsi="Times New Roman" w:cs="Times New Roman"/>
                <w:sz w:val="24"/>
                <w:szCs w:val="24"/>
              </w:rPr>
              <w:t>Tiks sagatavots programmas ietekmes, risku un sagaidāmo zaudējumu, finansiālo rezultātu un programmas īstenošanas izmaksu izvērtējums, t.sk., pamatojums par vadības izmaksām finanšu instrumentu griezumā.</w:t>
            </w:r>
          </w:p>
        </w:tc>
      </w:tr>
      <w:tr w:rsidR="00CD2F80" w:rsidRPr="00AB0A81" w14:paraId="6149E5E4" w14:textId="77777777" w:rsidTr="00AB0A81">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6B02A9B1" w14:textId="77777777" w:rsidR="00CD2F80" w:rsidRPr="00AB0A81"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lastRenderedPageBreak/>
              <w:t>3.</w:t>
            </w:r>
          </w:p>
        </w:tc>
        <w:tc>
          <w:tcPr>
            <w:tcW w:w="1383" w:type="pct"/>
            <w:tcBorders>
              <w:top w:val="outset" w:sz="6" w:space="0" w:color="auto"/>
              <w:left w:val="outset" w:sz="6" w:space="0" w:color="auto"/>
              <w:bottom w:val="outset" w:sz="6" w:space="0" w:color="auto"/>
              <w:right w:val="outset" w:sz="6" w:space="0" w:color="auto"/>
            </w:tcBorders>
            <w:hideMark/>
          </w:tcPr>
          <w:p w14:paraId="6034D2ED" w14:textId="77777777" w:rsidR="00CD2F80" w:rsidRPr="00AB0A81"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91" w:type="pct"/>
            <w:tcBorders>
              <w:top w:val="outset" w:sz="6" w:space="0" w:color="auto"/>
              <w:left w:val="outset" w:sz="6" w:space="0" w:color="auto"/>
              <w:bottom w:val="outset" w:sz="6" w:space="0" w:color="auto"/>
              <w:right w:val="outset" w:sz="6" w:space="0" w:color="auto"/>
            </w:tcBorders>
            <w:hideMark/>
          </w:tcPr>
          <w:p w14:paraId="658CB007" w14:textId="2734DDC3" w:rsidR="00CD2F80" w:rsidRPr="00AB0A81"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Ekonomikas ministrija</w:t>
            </w:r>
            <w:r w:rsidR="00E15DCE">
              <w:rPr>
                <w:rFonts w:ascii="Times New Roman" w:eastAsia="Times New Roman" w:hAnsi="Times New Roman" w:cs="Times New Roman"/>
                <w:iCs/>
                <w:color w:val="000000" w:themeColor="text1"/>
                <w:sz w:val="24"/>
                <w:szCs w:val="24"/>
                <w:lang w:eastAsia="lv-LV"/>
              </w:rPr>
              <w:t xml:space="preserve"> un</w:t>
            </w:r>
            <w:r w:rsidRPr="00AB0A81">
              <w:rPr>
                <w:rFonts w:ascii="Times New Roman" w:eastAsia="Times New Roman" w:hAnsi="Times New Roman" w:cs="Times New Roman"/>
                <w:iCs/>
                <w:color w:val="000000" w:themeColor="text1"/>
                <w:sz w:val="24"/>
                <w:szCs w:val="24"/>
                <w:lang w:eastAsia="lv-LV"/>
              </w:rPr>
              <w:t xml:space="preserve"> Altum</w:t>
            </w:r>
            <w:r w:rsidR="0058611F" w:rsidRPr="00AB0A81">
              <w:rPr>
                <w:rFonts w:ascii="Times New Roman" w:eastAsia="Times New Roman" w:hAnsi="Times New Roman" w:cs="Times New Roman"/>
                <w:iCs/>
                <w:color w:val="000000" w:themeColor="text1"/>
                <w:sz w:val="24"/>
                <w:szCs w:val="24"/>
                <w:lang w:eastAsia="lv-LV"/>
              </w:rPr>
              <w:t>.</w:t>
            </w:r>
          </w:p>
        </w:tc>
      </w:tr>
      <w:tr w:rsidR="00CD2F80" w:rsidRPr="00AB0A81" w14:paraId="4C2BE816" w14:textId="77777777" w:rsidTr="00AB0A81">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6B054480" w14:textId="77777777" w:rsidR="00CD2F80" w:rsidRPr="00AB0A81"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4.</w:t>
            </w:r>
          </w:p>
        </w:tc>
        <w:tc>
          <w:tcPr>
            <w:tcW w:w="1383" w:type="pct"/>
            <w:tcBorders>
              <w:top w:val="outset" w:sz="6" w:space="0" w:color="auto"/>
              <w:left w:val="outset" w:sz="6" w:space="0" w:color="auto"/>
              <w:bottom w:val="outset" w:sz="6" w:space="0" w:color="auto"/>
              <w:right w:val="outset" w:sz="6" w:space="0" w:color="auto"/>
            </w:tcBorders>
            <w:hideMark/>
          </w:tcPr>
          <w:p w14:paraId="4421D930" w14:textId="77777777" w:rsidR="00CD2F80" w:rsidRPr="00AB0A81"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Cita informācija</w:t>
            </w:r>
          </w:p>
        </w:tc>
        <w:tc>
          <w:tcPr>
            <w:tcW w:w="3291" w:type="pct"/>
            <w:tcBorders>
              <w:top w:val="outset" w:sz="6" w:space="0" w:color="auto"/>
              <w:left w:val="outset" w:sz="6" w:space="0" w:color="auto"/>
              <w:bottom w:val="outset" w:sz="6" w:space="0" w:color="auto"/>
              <w:right w:val="outset" w:sz="6" w:space="0" w:color="auto"/>
            </w:tcBorders>
            <w:hideMark/>
          </w:tcPr>
          <w:p w14:paraId="6195D57C" w14:textId="1D811BE6" w:rsidR="00CD2F80" w:rsidRPr="00AB0A81" w:rsidRDefault="00A97B10" w:rsidP="00A97B10">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Nav</w:t>
            </w:r>
          </w:p>
        </w:tc>
      </w:tr>
    </w:tbl>
    <w:p w14:paraId="4B737F5D"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94"/>
        <w:gridCol w:w="6504"/>
      </w:tblGrid>
      <w:tr w:rsidR="00E5323B" w:rsidRPr="00AB0A81" w14:paraId="32D3D487" w14:textId="77777777" w:rsidTr="00AB0A8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8E9F7CA" w14:textId="77777777" w:rsidR="00655F2C" w:rsidRPr="00AB0A8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E5323B" w:rsidRPr="00AB0A81" w14:paraId="1FF67631" w14:textId="77777777" w:rsidTr="00AB0A81">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038D1836"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14:paraId="56E688F0" w14:textId="77777777" w:rsidR="00E5323B" w:rsidRPr="00AB0A81" w:rsidRDefault="00E5323B" w:rsidP="00951603">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198" w:type="pct"/>
            <w:tcBorders>
              <w:top w:val="outset" w:sz="6" w:space="0" w:color="auto"/>
              <w:left w:val="outset" w:sz="6" w:space="0" w:color="auto"/>
              <w:bottom w:val="outset" w:sz="6" w:space="0" w:color="auto"/>
              <w:right w:val="outset" w:sz="6" w:space="0" w:color="auto"/>
            </w:tcBorders>
            <w:hideMark/>
          </w:tcPr>
          <w:p w14:paraId="6520374D" w14:textId="4F77CA20" w:rsidR="00E5323B" w:rsidRPr="00AB0A81" w:rsidRDefault="00D76C7F" w:rsidP="005360C5">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D</w:t>
            </w:r>
            <w:r w:rsidR="005360C5" w:rsidRPr="00AB0A81">
              <w:rPr>
                <w:rFonts w:ascii="Times New Roman" w:eastAsia="Times New Roman" w:hAnsi="Times New Roman" w:cs="Times New Roman"/>
                <w:iCs/>
                <w:color w:val="000000" w:themeColor="text1"/>
                <w:sz w:val="24"/>
                <w:szCs w:val="24"/>
                <w:lang w:eastAsia="lv-LV"/>
              </w:rPr>
              <w:t>zīvokļu īpašnieki un to pilnvarotās personas</w:t>
            </w:r>
            <w:r w:rsidR="007D4A10">
              <w:rPr>
                <w:rFonts w:ascii="Times New Roman" w:eastAsia="Times New Roman" w:hAnsi="Times New Roman" w:cs="Times New Roman"/>
                <w:iCs/>
                <w:color w:val="000000" w:themeColor="text1"/>
                <w:sz w:val="24"/>
                <w:szCs w:val="24"/>
                <w:lang w:eastAsia="lv-LV"/>
              </w:rPr>
              <w:t>.</w:t>
            </w:r>
          </w:p>
        </w:tc>
      </w:tr>
      <w:tr w:rsidR="00E5323B" w:rsidRPr="00AB0A81" w14:paraId="2EA3E1A3" w14:textId="77777777" w:rsidTr="00AB0A81">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D20FAE2"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14:paraId="05459C14" w14:textId="77777777" w:rsidR="00E5323B" w:rsidRPr="00AB0A81" w:rsidRDefault="00E5323B" w:rsidP="00951603">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198" w:type="pct"/>
            <w:tcBorders>
              <w:top w:val="outset" w:sz="6" w:space="0" w:color="auto"/>
              <w:left w:val="outset" w:sz="6" w:space="0" w:color="auto"/>
              <w:bottom w:val="outset" w:sz="6" w:space="0" w:color="auto"/>
              <w:right w:val="outset" w:sz="6" w:space="0" w:color="auto"/>
            </w:tcBorders>
            <w:hideMark/>
          </w:tcPr>
          <w:p w14:paraId="5A8154ED" w14:textId="373AE68B" w:rsidR="00E5323B" w:rsidRPr="00AB0A81" w:rsidRDefault="005360C5" w:rsidP="008E6FFD">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Noteikumu projekts neparedz ietekmi uz administratīvo slogu. </w:t>
            </w:r>
          </w:p>
        </w:tc>
      </w:tr>
      <w:tr w:rsidR="00E5323B" w:rsidRPr="00AB0A81" w14:paraId="3F83F629" w14:textId="77777777" w:rsidTr="00AB0A81">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60140660"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14:paraId="7B457ABF" w14:textId="77777777" w:rsidR="00E5323B" w:rsidRPr="00AB0A81" w:rsidRDefault="00E5323B" w:rsidP="00951603">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Administratīvo izmaksu monetārs novērtējums</w:t>
            </w:r>
          </w:p>
        </w:tc>
        <w:tc>
          <w:tcPr>
            <w:tcW w:w="3198" w:type="pct"/>
            <w:tcBorders>
              <w:top w:val="outset" w:sz="6" w:space="0" w:color="auto"/>
              <w:left w:val="outset" w:sz="6" w:space="0" w:color="auto"/>
              <w:bottom w:val="outset" w:sz="6" w:space="0" w:color="auto"/>
              <w:right w:val="outset" w:sz="6" w:space="0" w:color="auto"/>
            </w:tcBorders>
            <w:hideMark/>
          </w:tcPr>
          <w:p w14:paraId="62A0BCA8" w14:textId="77777777" w:rsidR="00E5323B" w:rsidRDefault="005360C5" w:rsidP="008E6FFD">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projekts neparedz ietekmi uz administratīvo slogu un izmaksām.</w:t>
            </w:r>
          </w:p>
          <w:p w14:paraId="3382E47A" w14:textId="46205D1B" w:rsidR="00C10407" w:rsidRPr="00C10407" w:rsidRDefault="00C10407" w:rsidP="00C10407">
            <w:pPr>
              <w:rPr>
                <w:rFonts w:ascii="Times New Roman" w:eastAsia="Times New Roman" w:hAnsi="Times New Roman" w:cs="Times New Roman"/>
                <w:sz w:val="24"/>
                <w:szCs w:val="24"/>
                <w:lang w:eastAsia="lv-LV"/>
              </w:rPr>
            </w:pPr>
          </w:p>
        </w:tc>
      </w:tr>
      <w:tr w:rsidR="00E5323B" w:rsidRPr="00AB0A81" w14:paraId="44BAC52C" w14:textId="77777777" w:rsidTr="00AB0A81">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4875491"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14:paraId="16C41811" w14:textId="59711795" w:rsidR="002B73AF" w:rsidRPr="00AB0A81" w:rsidRDefault="00E5323B" w:rsidP="00951603">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Atbilstības izmaksu monetārs novērtējums</w:t>
            </w:r>
          </w:p>
        </w:tc>
        <w:tc>
          <w:tcPr>
            <w:tcW w:w="3198" w:type="pct"/>
            <w:tcBorders>
              <w:top w:val="outset" w:sz="6" w:space="0" w:color="auto"/>
              <w:left w:val="outset" w:sz="6" w:space="0" w:color="auto"/>
              <w:bottom w:val="outset" w:sz="6" w:space="0" w:color="auto"/>
              <w:right w:val="outset" w:sz="6" w:space="0" w:color="auto"/>
            </w:tcBorders>
            <w:hideMark/>
          </w:tcPr>
          <w:p w14:paraId="7BDC1266" w14:textId="3E4BDCB9" w:rsidR="00E5323B" w:rsidRPr="00AB0A81" w:rsidRDefault="0055018D"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projekts neparedz ietekmi uz atbilstības izmaksām.</w:t>
            </w:r>
          </w:p>
        </w:tc>
      </w:tr>
      <w:tr w:rsidR="00E5323B" w:rsidRPr="00AB0A81" w14:paraId="46487C6A" w14:textId="77777777" w:rsidTr="00AB0A81">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C2AF509"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5.</w:t>
            </w:r>
          </w:p>
        </w:tc>
        <w:tc>
          <w:tcPr>
            <w:tcW w:w="1481" w:type="pct"/>
            <w:tcBorders>
              <w:top w:val="outset" w:sz="6" w:space="0" w:color="auto"/>
              <w:left w:val="outset" w:sz="6" w:space="0" w:color="auto"/>
              <w:bottom w:val="outset" w:sz="6" w:space="0" w:color="auto"/>
              <w:right w:val="outset" w:sz="6" w:space="0" w:color="auto"/>
            </w:tcBorders>
            <w:hideMark/>
          </w:tcPr>
          <w:p w14:paraId="2707421F" w14:textId="77777777" w:rsidR="00E5323B" w:rsidRPr="00AB0A81" w:rsidRDefault="00E5323B" w:rsidP="00951603">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Cita informācija</w:t>
            </w:r>
          </w:p>
        </w:tc>
        <w:tc>
          <w:tcPr>
            <w:tcW w:w="3198" w:type="pct"/>
            <w:tcBorders>
              <w:top w:val="outset" w:sz="6" w:space="0" w:color="auto"/>
              <w:left w:val="outset" w:sz="6" w:space="0" w:color="auto"/>
              <w:bottom w:val="outset" w:sz="6" w:space="0" w:color="auto"/>
              <w:right w:val="outset" w:sz="6" w:space="0" w:color="auto"/>
            </w:tcBorders>
            <w:hideMark/>
          </w:tcPr>
          <w:p w14:paraId="5C806FA9" w14:textId="1E43DCA5" w:rsidR="00E5323B" w:rsidRPr="00AB0A81" w:rsidRDefault="0055018D"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Nav</w:t>
            </w:r>
          </w:p>
        </w:tc>
      </w:tr>
    </w:tbl>
    <w:p w14:paraId="65D9B610" w14:textId="66303FCA"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5D1F0C" w:rsidRPr="00AB0A81" w14:paraId="0EA715F8" w14:textId="77777777" w:rsidTr="007C4A28">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0E5FDCD2" w14:textId="45229FB4" w:rsidR="005D1F0C" w:rsidRPr="005D1F0C" w:rsidRDefault="005D1F0C" w:rsidP="007C4A28">
            <w:pPr>
              <w:spacing w:after="0" w:line="240" w:lineRule="auto"/>
              <w:rPr>
                <w:rFonts w:ascii="Times New Roman" w:eastAsia="Times New Roman" w:hAnsi="Times New Roman" w:cs="Times New Roman"/>
                <w:b/>
                <w:bCs/>
                <w:iCs/>
                <w:color w:val="000000" w:themeColor="text1"/>
                <w:sz w:val="24"/>
                <w:szCs w:val="24"/>
                <w:lang w:eastAsia="lv-LV"/>
              </w:rPr>
            </w:pPr>
            <w:r w:rsidRPr="005D1F0C">
              <w:rPr>
                <w:rFonts w:ascii="Times New Roman" w:hAnsi="Times New Roman" w:cs="Times New Roman"/>
                <w:b/>
                <w:bCs/>
                <w:sz w:val="26"/>
                <w:szCs w:val="26"/>
                <w:lang w:eastAsia="ja-JP"/>
              </w:rPr>
              <w:t>III. Tiesību akta projekta ietekme uz valsts budžetu un pašvaldību budžetiem</w:t>
            </w:r>
          </w:p>
        </w:tc>
      </w:tr>
      <w:tr w:rsidR="005D1F0C" w:rsidRPr="00AB0A81" w14:paraId="6C33FC63" w14:textId="77777777" w:rsidTr="007C4A28">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3B028EFB" w14:textId="77777777" w:rsidR="005D1F0C" w:rsidRPr="00AB0A81" w:rsidRDefault="005D1F0C" w:rsidP="007C4A28">
            <w:pPr>
              <w:spacing w:after="0" w:line="240" w:lineRule="auto"/>
              <w:jc w:val="center"/>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Projekts šo jomu neskar.</w:t>
            </w:r>
          </w:p>
        </w:tc>
      </w:tr>
    </w:tbl>
    <w:p w14:paraId="60AAAA9B" w14:textId="77777777" w:rsidR="005D1F0C" w:rsidRPr="00AB0A81" w:rsidRDefault="005D1F0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E5323B" w:rsidRPr="00AB0A81" w14:paraId="02C9B58F" w14:textId="77777777" w:rsidTr="00AB0A81">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05C5F88" w14:textId="77777777" w:rsidR="00655F2C" w:rsidRPr="00AB0A8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E75D95" w:rsidRPr="00AB0A81" w14:paraId="7D3E913F" w14:textId="77777777" w:rsidTr="00AB0A81">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517B2B72" w14:textId="7D77C6AF" w:rsidR="00E75D95" w:rsidRPr="00AB0A81" w:rsidRDefault="00E75D95" w:rsidP="00E75D95">
            <w:pPr>
              <w:spacing w:after="0" w:line="240" w:lineRule="auto"/>
              <w:jc w:val="center"/>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Projekts šo jomu neskar.</w:t>
            </w:r>
          </w:p>
        </w:tc>
      </w:tr>
    </w:tbl>
    <w:p w14:paraId="61C17EB7" w14:textId="16500D53" w:rsidR="008E6FFD"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6"/>
        <w:gridCol w:w="3091"/>
        <w:gridCol w:w="5979"/>
      </w:tblGrid>
      <w:tr w:rsidR="003072A1" w:rsidRPr="00AB0A81" w14:paraId="48E60ED1" w14:textId="77777777" w:rsidTr="00AB0A8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BD1C101" w14:textId="77777777" w:rsidR="003072A1" w:rsidRPr="00AB0A81" w:rsidRDefault="003072A1" w:rsidP="00700481">
            <w:pPr>
              <w:spacing w:after="0" w:line="240" w:lineRule="auto"/>
              <w:rPr>
                <w:rFonts w:ascii="Times New Roman" w:eastAsia="Times New Roman" w:hAnsi="Times New Roman" w:cs="Times New Roman"/>
                <w:b/>
                <w:bCs/>
                <w:iCs/>
                <w:sz w:val="24"/>
                <w:szCs w:val="24"/>
                <w:lang w:eastAsia="lv-LV"/>
              </w:rPr>
            </w:pPr>
            <w:r w:rsidRPr="00AB0A8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A47CD" w:rsidRPr="00AB0A81" w14:paraId="378BDAB0" w14:textId="77777777" w:rsidTr="00951603">
        <w:trPr>
          <w:trHeight w:val="1562"/>
          <w:tblCellSpacing w:w="15" w:type="dxa"/>
        </w:trPr>
        <w:tc>
          <w:tcPr>
            <w:tcW w:w="475" w:type="pct"/>
            <w:tcBorders>
              <w:top w:val="outset" w:sz="6" w:space="0" w:color="auto"/>
              <w:left w:val="outset" w:sz="6" w:space="0" w:color="auto"/>
              <w:right w:val="outset" w:sz="6" w:space="0" w:color="auto"/>
            </w:tcBorders>
            <w:vAlign w:val="center"/>
          </w:tcPr>
          <w:p w14:paraId="7A704728" w14:textId="196B4650" w:rsidR="001A47CD" w:rsidRPr="000F1826" w:rsidRDefault="001A47CD" w:rsidP="000F1826">
            <w:pPr>
              <w:spacing w:after="0" w:line="240" w:lineRule="auto"/>
              <w:rPr>
                <w:rFonts w:ascii="Times New Roman" w:eastAsia="Times New Roman" w:hAnsi="Times New Roman" w:cs="Times New Roman"/>
                <w:iCs/>
                <w:color w:val="000000" w:themeColor="text1"/>
                <w:sz w:val="24"/>
                <w:szCs w:val="24"/>
                <w:lang w:eastAsia="lv-LV"/>
              </w:rPr>
            </w:pPr>
            <w:r w:rsidRPr="000F1826">
              <w:rPr>
                <w:rFonts w:ascii="Times New Roman" w:eastAsia="Times New Roman" w:hAnsi="Times New Roman" w:cs="Times New Roman"/>
                <w:iCs/>
                <w:color w:val="000000" w:themeColor="text1"/>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vAlign w:val="center"/>
          </w:tcPr>
          <w:p w14:paraId="6223130A" w14:textId="7EB02C40" w:rsidR="001A47CD" w:rsidRPr="000F1826" w:rsidRDefault="001A47CD" w:rsidP="000F1826">
            <w:pPr>
              <w:spacing w:after="0" w:line="240" w:lineRule="auto"/>
              <w:rPr>
                <w:rFonts w:ascii="Times New Roman" w:eastAsia="Times New Roman" w:hAnsi="Times New Roman" w:cs="Times New Roman"/>
                <w:iCs/>
                <w:color w:val="000000" w:themeColor="text1"/>
                <w:sz w:val="24"/>
                <w:szCs w:val="24"/>
                <w:lang w:eastAsia="lv-LV"/>
              </w:rPr>
            </w:pPr>
            <w:r w:rsidRPr="000F1826">
              <w:rPr>
                <w:rFonts w:ascii="Times New Roman" w:eastAsia="Times New Roman" w:hAnsi="Times New Roman" w:cs="Times New Roman"/>
                <w:iCs/>
                <w:color w:val="000000" w:themeColor="text1"/>
                <w:sz w:val="24"/>
                <w:szCs w:val="24"/>
                <w:lang w:eastAsia="lv-LV"/>
              </w:rPr>
              <w:t>Saistības pret Eiropas Savienību</w:t>
            </w:r>
          </w:p>
        </w:tc>
        <w:tc>
          <w:tcPr>
            <w:tcW w:w="2935" w:type="pct"/>
            <w:tcBorders>
              <w:top w:val="outset" w:sz="6" w:space="0" w:color="auto"/>
              <w:left w:val="outset" w:sz="6" w:space="0" w:color="auto"/>
              <w:bottom w:val="outset" w:sz="6" w:space="0" w:color="auto"/>
              <w:right w:val="outset" w:sz="6" w:space="0" w:color="auto"/>
            </w:tcBorders>
          </w:tcPr>
          <w:p w14:paraId="697B5EFC" w14:textId="0CC314C7" w:rsidR="001A47CD" w:rsidRDefault="00695FBE" w:rsidP="000856B2">
            <w:pPr>
              <w:pStyle w:val="ListParagraph"/>
              <w:numPr>
                <w:ilvl w:val="0"/>
                <w:numId w:val="21"/>
              </w:numPr>
              <w:tabs>
                <w:tab w:val="left" w:pos="249"/>
              </w:tabs>
              <w:ind w:left="19" w:firstLine="0"/>
              <w:jc w:val="both"/>
              <w:rPr>
                <w:sz w:val="24"/>
                <w:szCs w:val="24"/>
              </w:rPr>
            </w:pPr>
            <w:r w:rsidRPr="00695FBE">
              <w:rPr>
                <w:sz w:val="24"/>
                <w:szCs w:val="24"/>
              </w:rPr>
              <w:t xml:space="preserve">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w:t>
            </w:r>
            <w:r w:rsidRPr="00695FBE">
              <w:rPr>
                <w:sz w:val="24"/>
                <w:szCs w:val="24"/>
              </w:rPr>
              <w:lastRenderedPageBreak/>
              <w:t>Eiropas Jūrlietu un zivsaimniecības fondu un atceļ Padomes regulu (EK) Nr. 1083/2006 (turpmāk – regula Nr. 1303/2013)</w:t>
            </w:r>
            <w:r w:rsidR="00224571">
              <w:rPr>
                <w:sz w:val="24"/>
                <w:szCs w:val="24"/>
              </w:rPr>
              <w:t>;</w:t>
            </w:r>
          </w:p>
          <w:p w14:paraId="25344E9C" w14:textId="1CD4E776" w:rsidR="00224571" w:rsidRDefault="00224571" w:rsidP="00951603">
            <w:pPr>
              <w:pStyle w:val="ListParagraph"/>
              <w:numPr>
                <w:ilvl w:val="0"/>
                <w:numId w:val="21"/>
              </w:numPr>
              <w:tabs>
                <w:tab w:val="left" w:pos="249"/>
              </w:tabs>
              <w:ind w:left="19" w:firstLine="0"/>
              <w:jc w:val="both"/>
              <w:rPr>
                <w:sz w:val="24"/>
                <w:szCs w:val="24"/>
              </w:rPr>
            </w:pPr>
            <w:r>
              <w:rPr>
                <w:sz w:val="24"/>
                <w:szCs w:val="24"/>
              </w:rPr>
              <w:t>K</w:t>
            </w:r>
            <w:r w:rsidRPr="00224571">
              <w:rPr>
                <w:sz w:val="24"/>
                <w:szCs w:val="24"/>
              </w:rPr>
              <w:t xml:space="preserve">omisijas 2013. gada 18. decembra Regulas (ES) Nr.   1407/2013 par Līguma par Eiropas Savienības darbību 107. un 108. panta piemērošanu </w:t>
            </w:r>
            <w:r w:rsidRPr="000856B2">
              <w:rPr>
                <w:i/>
                <w:iCs/>
                <w:sz w:val="24"/>
                <w:szCs w:val="24"/>
              </w:rPr>
              <w:t>de minimis</w:t>
            </w:r>
            <w:r w:rsidRPr="00224571">
              <w:rPr>
                <w:sz w:val="24"/>
                <w:szCs w:val="24"/>
              </w:rPr>
              <w:t xml:space="preserve"> atbalstam (turpmāk – regula Nr.   1407/2013)</w:t>
            </w:r>
            <w:r w:rsidR="00872387">
              <w:rPr>
                <w:sz w:val="24"/>
                <w:szCs w:val="24"/>
              </w:rPr>
              <w:t>;</w:t>
            </w:r>
          </w:p>
          <w:p w14:paraId="30047F13" w14:textId="3FF5FFFD" w:rsidR="001A47CD" w:rsidRPr="00DD264E" w:rsidRDefault="00695FBE" w:rsidP="00951603">
            <w:pPr>
              <w:pStyle w:val="ListParagraph"/>
              <w:numPr>
                <w:ilvl w:val="0"/>
                <w:numId w:val="21"/>
              </w:numPr>
              <w:tabs>
                <w:tab w:val="left" w:pos="249"/>
              </w:tabs>
              <w:ind w:left="19" w:firstLine="0"/>
              <w:jc w:val="both"/>
              <w:rPr>
                <w:sz w:val="24"/>
                <w:szCs w:val="24"/>
              </w:rPr>
            </w:pPr>
            <w:r w:rsidRPr="00695FBE">
              <w:rPr>
                <w:sz w:val="24"/>
                <w:szCs w:val="24"/>
              </w:rPr>
              <w:t>Komisijas 2014. gada 3. marta Deleģētā regula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480/2014)</w:t>
            </w:r>
            <w:r w:rsidR="00872387">
              <w:rPr>
                <w:sz w:val="24"/>
                <w:szCs w:val="24"/>
              </w:rPr>
              <w:t>.</w:t>
            </w:r>
          </w:p>
        </w:tc>
      </w:tr>
      <w:tr w:rsidR="001A47CD" w:rsidRPr="00AB0A81" w14:paraId="0E2977C0" w14:textId="77777777" w:rsidTr="00951603">
        <w:trPr>
          <w:trHeight w:val="200"/>
          <w:tblCellSpacing w:w="15" w:type="dxa"/>
        </w:trPr>
        <w:tc>
          <w:tcPr>
            <w:tcW w:w="475" w:type="pct"/>
            <w:tcBorders>
              <w:left w:val="outset" w:sz="6" w:space="0" w:color="auto"/>
              <w:right w:val="outset" w:sz="6" w:space="0" w:color="auto"/>
            </w:tcBorders>
            <w:vAlign w:val="center"/>
          </w:tcPr>
          <w:p w14:paraId="39074386" w14:textId="67661EEB" w:rsidR="001A47CD" w:rsidRPr="000F1826" w:rsidDel="001A47CD" w:rsidRDefault="001A47CD" w:rsidP="000F1826">
            <w:pPr>
              <w:spacing w:after="0" w:line="240" w:lineRule="auto"/>
              <w:rPr>
                <w:rFonts w:ascii="Times New Roman" w:eastAsia="Times New Roman" w:hAnsi="Times New Roman" w:cs="Times New Roman"/>
                <w:iCs/>
                <w:color w:val="000000" w:themeColor="text1"/>
                <w:sz w:val="24"/>
                <w:szCs w:val="24"/>
                <w:lang w:eastAsia="lv-LV"/>
              </w:rPr>
            </w:pPr>
            <w:r w:rsidRPr="000F1826">
              <w:rPr>
                <w:rFonts w:ascii="Times New Roman" w:eastAsia="Times New Roman" w:hAnsi="Times New Roman" w:cs="Times New Roman"/>
                <w:iCs/>
                <w:color w:val="000000" w:themeColor="text1"/>
                <w:sz w:val="24"/>
                <w:szCs w:val="24"/>
                <w:lang w:eastAsia="lv-LV"/>
              </w:rPr>
              <w:lastRenderedPageBreak/>
              <w:t>2.</w:t>
            </w:r>
          </w:p>
        </w:tc>
        <w:tc>
          <w:tcPr>
            <w:tcW w:w="1530" w:type="pct"/>
            <w:tcBorders>
              <w:top w:val="outset" w:sz="6" w:space="0" w:color="414142"/>
              <w:left w:val="outset" w:sz="6" w:space="0" w:color="414142"/>
              <w:bottom w:val="outset" w:sz="6" w:space="0" w:color="414142"/>
              <w:right w:val="outset" w:sz="6" w:space="0" w:color="414142"/>
            </w:tcBorders>
            <w:vAlign w:val="center"/>
          </w:tcPr>
          <w:p w14:paraId="7C2C61DA" w14:textId="479E7DA6" w:rsidR="001A47CD" w:rsidRPr="000F1826" w:rsidDel="001A47CD" w:rsidRDefault="001A47CD" w:rsidP="000F1826">
            <w:pPr>
              <w:spacing w:after="0" w:line="240" w:lineRule="auto"/>
              <w:rPr>
                <w:rFonts w:ascii="Times New Roman" w:eastAsia="Times New Roman" w:hAnsi="Times New Roman" w:cs="Times New Roman"/>
                <w:iCs/>
                <w:color w:val="000000" w:themeColor="text1"/>
                <w:sz w:val="24"/>
                <w:szCs w:val="24"/>
                <w:lang w:eastAsia="lv-LV"/>
              </w:rPr>
            </w:pPr>
            <w:r w:rsidRPr="000F1826">
              <w:rPr>
                <w:rFonts w:ascii="Times New Roman" w:eastAsia="Times New Roman" w:hAnsi="Times New Roman" w:cs="Times New Roman"/>
                <w:iCs/>
                <w:color w:val="000000" w:themeColor="text1"/>
                <w:sz w:val="24"/>
                <w:szCs w:val="24"/>
                <w:lang w:eastAsia="lv-LV"/>
              </w:rPr>
              <w:t>Citas starptautiskās saistības</w:t>
            </w:r>
          </w:p>
        </w:tc>
        <w:tc>
          <w:tcPr>
            <w:tcW w:w="2935" w:type="pct"/>
            <w:tcBorders>
              <w:top w:val="outset" w:sz="6" w:space="0" w:color="auto"/>
              <w:left w:val="outset" w:sz="6" w:space="0" w:color="auto"/>
              <w:bottom w:val="outset" w:sz="6" w:space="0" w:color="auto"/>
              <w:right w:val="outset" w:sz="6" w:space="0" w:color="auto"/>
            </w:tcBorders>
            <w:vAlign w:val="center"/>
          </w:tcPr>
          <w:p w14:paraId="2B5C4756" w14:textId="013D8AD6" w:rsidR="001A47CD" w:rsidRPr="00AB0A81" w:rsidDel="001A47CD" w:rsidRDefault="001A47CD" w:rsidP="000F182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1A47CD" w:rsidRPr="00AB0A81" w14:paraId="7B23E6DB" w14:textId="77777777" w:rsidTr="00951603">
        <w:trPr>
          <w:trHeight w:val="91"/>
          <w:tblCellSpacing w:w="15" w:type="dxa"/>
        </w:trPr>
        <w:tc>
          <w:tcPr>
            <w:tcW w:w="475" w:type="pct"/>
            <w:tcBorders>
              <w:left w:val="outset" w:sz="6" w:space="0" w:color="auto"/>
              <w:right w:val="outset" w:sz="6" w:space="0" w:color="auto"/>
            </w:tcBorders>
            <w:vAlign w:val="center"/>
          </w:tcPr>
          <w:p w14:paraId="3C0A0227" w14:textId="1897886A" w:rsidR="001A47CD" w:rsidRPr="000F1826" w:rsidDel="001A47CD" w:rsidRDefault="001A47CD" w:rsidP="000F1826">
            <w:pPr>
              <w:spacing w:after="0" w:line="240" w:lineRule="auto"/>
              <w:rPr>
                <w:rFonts w:ascii="Times New Roman" w:eastAsia="Times New Roman" w:hAnsi="Times New Roman" w:cs="Times New Roman"/>
                <w:iCs/>
                <w:color w:val="000000" w:themeColor="text1"/>
                <w:sz w:val="24"/>
                <w:szCs w:val="24"/>
                <w:lang w:eastAsia="lv-LV"/>
              </w:rPr>
            </w:pPr>
            <w:r w:rsidRPr="000F1826">
              <w:rPr>
                <w:rFonts w:ascii="Times New Roman" w:eastAsia="Times New Roman" w:hAnsi="Times New Roman" w:cs="Times New Roman"/>
                <w:iCs/>
                <w:color w:val="000000" w:themeColor="text1"/>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vAlign w:val="center"/>
          </w:tcPr>
          <w:p w14:paraId="6BAFC09F" w14:textId="26472073" w:rsidR="001A47CD" w:rsidRPr="000F1826" w:rsidDel="001A47CD" w:rsidRDefault="001A47CD" w:rsidP="000F1826">
            <w:pPr>
              <w:spacing w:after="0" w:line="240" w:lineRule="auto"/>
              <w:rPr>
                <w:rFonts w:ascii="Times New Roman" w:eastAsia="Times New Roman" w:hAnsi="Times New Roman" w:cs="Times New Roman"/>
                <w:iCs/>
                <w:color w:val="000000" w:themeColor="text1"/>
                <w:sz w:val="24"/>
                <w:szCs w:val="24"/>
                <w:lang w:eastAsia="lv-LV"/>
              </w:rPr>
            </w:pPr>
            <w:r w:rsidRPr="000F1826">
              <w:rPr>
                <w:rFonts w:ascii="Times New Roman" w:eastAsia="Times New Roman" w:hAnsi="Times New Roman" w:cs="Times New Roman"/>
                <w:iCs/>
                <w:color w:val="000000" w:themeColor="text1"/>
                <w:sz w:val="24"/>
                <w:szCs w:val="24"/>
                <w:lang w:eastAsia="lv-LV"/>
              </w:rPr>
              <w:t>Cita informācija</w:t>
            </w:r>
          </w:p>
        </w:tc>
        <w:tc>
          <w:tcPr>
            <w:tcW w:w="2935" w:type="pct"/>
            <w:tcBorders>
              <w:top w:val="outset" w:sz="6" w:space="0" w:color="auto"/>
              <w:left w:val="outset" w:sz="6" w:space="0" w:color="auto"/>
              <w:right w:val="outset" w:sz="6" w:space="0" w:color="auto"/>
            </w:tcBorders>
            <w:vAlign w:val="center"/>
          </w:tcPr>
          <w:p w14:paraId="1E248C37" w14:textId="172EB7D9" w:rsidR="001A47CD" w:rsidRPr="00AB0A81" w:rsidDel="001A47CD" w:rsidRDefault="001A47CD" w:rsidP="000F182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F4F2383" w14:textId="5E3819CD" w:rsidR="00E5323B" w:rsidRDefault="003072A1"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Ind w:w="-43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3120"/>
        <w:gridCol w:w="2976"/>
        <w:gridCol w:w="1701"/>
        <w:gridCol w:w="2269"/>
      </w:tblGrid>
      <w:tr w:rsidR="006B4B8C" w:rsidRPr="006B4B8C" w14:paraId="577B2DC8" w14:textId="77777777" w:rsidTr="000F1826">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85F42" w14:textId="77777777" w:rsidR="006B4B8C" w:rsidRPr="000F1826" w:rsidRDefault="006B4B8C" w:rsidP="006B4B8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1826">
              <w:rPr>
                <w:rFonts w:ascii="Times New Roman" w:eastAsia="Times New Roman" w:hAnsi="Times New Roman" w:cs="Times New Roman"/>
                <w:b/>
                <w:bCs/>
                <w:sz w:val="24"/>
                <w:szCs w:val="24"/>
                <w:lang w:eastAsia="lv-LV"/>
              </w:rPr>
              <w:t>1. tabula</w:t>
            </w:r>
            <w:r w:rsidRPr="000F1826">
              <w:rPr>
                <w:rFonts w:ascii="Times New Roman" w:eastAsia="Times New Roman" w:hAnsi="Times New Roman" w:cs="Times New Roman"/>
                <w:b/>
                <w:bCs/>
                <w:sz w:val="24"/>
                <w:szCs w:val="24"/>
                <w:lang w:eastAsia="lv-LV"/>
              </w:rPr>
              <w:br/>
              <w:t>Tiesību akta projekta atbilstība ES tiesību aktiem</w:t>
            </w:r>
          </w:p>
        </w:tc>
      </w:tr>
      <w:tr w:rsidR="006B4B8C" w:rsidRPr="006B4B8C" w14:paraId="7584856C" w14:textId="77777777" w:rsidTr="00951603">
        <w:trPr>
          <w:trHeight w:val="518"/>
        </w:trPr>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2B984473" w14:textId="77777777" w:rsidR="006B4B8C" w:rsidRPr="000F1826" w:rsidRDefault="006B4B8C" w:rsidP="006B4B8C">
            <w:pPr>
              <w:spacing w:after="0" w:line="240" w:lineRule="auto"/>
              <w:rPr>
                <w:rFonts w:ascii="Times New Roman" w:eastAsia="Times New Roman" w:hAnsi="Times New Roman" w:cs="Times New Roman"/>
                <w:sz w:val="24"/>
                <w:szCs w:val="24"/>
                <w:lang w:eastAsia="lv-LV"/>
              </w:rPr>
            </w:pPr>
            <w:r w:rsidRPr="000F1826">
              <w:rPr>
                <w:rFonts w:ascii="Times New Roman" w:eastAsia="Times New Roman" w:hAnsi="Times New Roman" w:cs="Times New Roman"/>
                <w:sz w:val="24"/>
                <w:szCs w:val="24"/>
                <w:lang w:eastAsia="lv-LV"/>
              </w:rPr>
              <w:t>Attiecīgā ES tiesību akta datums, numurs un nosaukums</w:t>
            </w:r>
          </w:p>
        </w:tc>
        <w:tc>
          <w:tcPr>
            <w:tcW w:w="34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B86ADBF" w14:textId="72ECFE3C" w:rsidR="006B4B8C" w:rsidRPr="000F1826" w:rsidRDefault="006B4B8C" w:rsidP="00951603">
            <w:pPr>
              <w:spacing w:before="75" w:after="0" w:line="240" w:lineRule="auto"/>
              <w:jc w:val="both"/>
              <w:rPr>
                <w:rFonts w:ascii="Times New Roman" w:eastAsia="Times New Roman" w:hAnsi="Times New Roman" w:cs="Times New Roman"/>
                <w:sz w:val="24"/>
                <w:szCs w:val="24"/>
                <w:lang w:eastAsia="lv-LV"/>
              </w:rPr>
            </w:pPr>
            <w:r w:rsidRPr="000F1826">
              <w:rPr>
                <w:rFonts w:ascii="Times New Roman" w:eastAsia="Times New Roman" w:hAnsi="Times New Roman" w:cs="Times New Roman"/>
                <w:sz w:val="24"/>
                <w:szCs w:val="24"/>
                <w:lang w:eastAsia="lv-LV"/>
              </w:rPr>
              <w:t>Ar Noteikumu projektu tiek ieviesta šāda Eiropas Savienības tiesību aktu prasības:</w:t>
            </w:r>
          </w:p>
          <w:p w14:paraId="4AF8900E" w14:textId="463C91FC" w:rsidR="006B4B8C" w:rsidRDefault="000F1826" w:rsidP="00951603">
            <w:pPr>
              <w:pStyle w:val="ListParagraph"/>
              <w:numPr>
                <w:ilvl w:val="0"/>
                <w:numId w:val="22"/>
              </w:numPr>
              <w:tabs>
                <w:tab w:val="clear" w:pos="720"/>
              </w:tabs>
              <w:spacing w:before="75" w:after="75"/>
              <w:ind w:left="248" w:hanging="218"/>
              <w:jc w:val="both"/>
              <w:rPr>
                <w:sz w:val="24"/>
                <w:szCs w:val="24"/>
              </w:rPr>
            </w:pPr>
            <w:r w:rsidRPr="000F1826">
              <w:rPr>
                <w:sz w:val="24"/>
                <w:szCs w:val="24"/>
              </w:rPr>
              <w:t xml:space="preserve">regula Nr. </w:t>
            </w:r>
            <w:r w:rsidRPr="00DE5198">
              <w:rPr>
                <w:sz w:val="24"/>
                <w:szCs w:val="24"/>
              </w:rPr>
              <w:t>1303/2013</w:t>
            </w:r>
            <w:r w:rsidR="00224571">
              <w:rPr>
                <w:sz w:val="24"/>
                <w:szCs w:val="24"/>
              </w:rPr>
              <w:t>;</w:t>
            </w:r>
          </w:p>
          <w:p w14:paraId="461C88F9" w14:textId="77777777" w:rsidR="00224571" w:rsidRDefault="00224571" w:rsidP="00951603">
            <w:pPr>
              <w:pStyle w:val="ListParagraph"/>
              <w:numPr>
                <w:ilvl w:val="0"/>
                <w:numId w:val="22"/>
              </w:numPr>
              <w:tabs>
                <w:tab w:val="clear" w:pos="720"/>
              </w:tabs>
              <w:spacing w:before="75" w:after="75"/>
              <w:ind w:left="248" w:hanging="218"/>
              <w:jc w:val="both"/>
              <w:rPr>
                <w:sz w:val="24"/>
                <w:szCs w:val="24"/>
              </w:rPr>
            </w:pPr>
            <w:r>
              <w:rPr>
                <w:sz w:val="24"/>
                <w:szCs w:val="24"/>
              </w:rPr>
              <w:t xml:space="preserve">regula </w:t>
            </w:r>
            <w:r w:rsidRPr="00224571">
              <w:rPr>
                <w:sz w:val="24"/>
                <w:szCs w:val="24"/>
              </w:rPr>
              <w:t>Nr. 1407/2013</w:t>
            </w:r>
            <w:r w:rsidR="00872387">
              <w:rPr>
                <w:sz w:val="24"/>
                <w:szCs w:val="24"/>
              </w:rPr>
              <w:t>;</w:t>
            </w:r>
          </w:p>
          <w:p w14:paraId="27A81042" w14:textId="02441944" w:rsidR="00872387" w:rsidRPr="000F1826" w:rsidRDefault="00872387" w:rsidP="00951603">
            <w:pPr>
              <w:pStyle w:val="ListParagraph"/>
              <w:numPr>
                <w:ilvl w:val="0"/>
                <w:numId w:val="22"/>
              </w:numPr>
              <w:tabs>
                <w:tab w:val="clear" w:pos="720"/>
              </w:tabs>
              <w:spacing w:before="75"/>
              <w:ind w:left="248" w:hanging="218"/>
              <w:jc w:val="both"/>
              <w:rPr>
                <w:sz w:val="24"/>
                <w:szCs w:val="24"/>
              </w:rPr>
            </w:pPr>
            <w:r w:rsidRPr="00872387">
              <w:rPr>
                <w:sz w:val="24"/>
                <w:szCs w:val="24"/>
              </w:rPr>
              <w:t>regula Nr. 480/2014</w:t>
            </w:r>
            <w:r>
              <w:rPr>
                <w:sz w:val="24"/>
                <w:szCs w:val="24"/>
              </w:rPr>
              <w:t>.</w:t>
            </w:r>
          </w:p>
        </w:tc>
      </w:tr>
      <w:tr w:rsidR="000856B2" w:rsidRPr="006B4B8C" w14:paraId="3E68806B" w14:textId="77777777" w:rsidTr="000856B2">
        <w:tc>
          <w:tcPr>
            <w:tcW w:w="15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77FF6B14" w14:textId="77777777" w:rsidR="006B4B8C" w:rsidRPr="000F1826" w:rsidRDefault="006B4B8C" w:rsidP="006B4B8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1826">
              <w:rPr>
                <w:rFonts w:ascii="Times New Roman" w:eastAsia="Times New Roman" w:hAnsi="Times New Roman" w:cs="Times New Roman"/>
                <w:sz w:val="24"/>
                <w:szCs w:val="24"/>
                <w:lang w:eastAsia="lv-LV"/>
              </w:rPr>
              <w:t>A</w:t>
            </w:r>
          </w:p>
        </w:tc>
        <w:tc>
          <w:tcPr>
            <w:tcW w:w="1478"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CBBDF5F" w14:textId="77777777" w:rsidR="006B4B8C" w:rsidRPr="000F1826" w:rsidRDefault="006B4B8C" w:rsidP="006B4B8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1826">
              <w:rPr>
                <w:rFonts w:ascii="Times New Roman" w:eastAsia="Times New Roman" w:hAnsi="Times New Roman" w:cs="Times New Roman"/>
                <w:sz w:val="24"/>
                <w:szCs w:val="24"/>
                <w:lang w:eastAsia="lv-LV"/>
              </w:rPr>
              <w:t>B</w:t>
            </w:r>
          </w:p>
        </w:tc>
        <w:tc>
          <w:tcPr>
            <w:tcW w:w="84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E74F1C9" w14:textId="77777777" w:rsidR="006B4B8C" w:rsidRPr="000F1826" w:rsidRDefault="006B4B8C" w:rsidP="006B4B8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1826">
              <w:rPr>
                <w:rFonts w:ascii="Times New Roman" w:eastAsia="Times New Roman" w:hAnsi="Times New Roman" w:cs="Times New Roman"/>
                <w:sz w:val="24"/>
                <w:szCs w:val="24"/>
                <w:lang w:eastAsia="lv-LV"/>
              </w:rPr>
              <w:t>C</w:t>
            </w:r>
          </w:p>
        </w:tc>
        <w:tc>
          <w:tcPr>
            <w:tcW w:w="1127"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76CA7A7" w14:textId="77777777" w:rsidR="006B4B8C" w:rsidRPr="000F1826" w:rsidRDefault="006B4B8C" w:rsidP="006B4B8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F1826">
              <w:rPr>
                <w:rFonts w:ascii="Times New Roman" w:eastAsia="Times New Roman" w:hAnsi="Times New Roman" w:cs="Times New Roman"/>
                <w:sz w:val="24"/>
                <w:szCs w:val="24"/>
                <w:lang w:eastAsia="lv-LV"/>
              </w:rPr>
              <w:t>D</w:t>
            </w:r>
          </w:p>
        </w:tc>
      </w:tr>
      <w:tr w:rsidR="000856B2" w:rsidRPr="006B4B8C" w14:paraId="13BE5E21" w14:textId="77777777" w:rsidTr="000856B2">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550" w:type="pct"/>
            <w:tcBorders>
              <w:top w:val="nil"/>
              <w:left w:val="single" w:sz="6" w:space="0" w:color="000000"/>
              <w:bottom w:val="single" w:sz="6" w:space="0" w:color="000000"/>
              <w:right w:val="single" w:sz="6" w:space="0" w:color="000000"/>
            </w:tcBorders>
            <w:shd w:val="clear" w:color="auto" w:fill="auto"/>
          </w:tcPr>
          <w:p w14:paraId="08E2FABD" w14:textId="7096BA75" w:rsidR="00872387" w:rsidRDefault="00872387" w:rsidP="00872387">
            <w:pPr>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w:t>
            </w:r>
            <w:r w:rsidRPr="00872387">
              <w:rPr>
                <w:rFonts w:ascii="Times New Roman" w:eastAsia="Calibri" w:hAnsi="Times New Roman" w:cs="Times New Roman"/>
                <w:sz w:val="24"/>
                <w:szCs w:val="24"/>
              </w:rPr>
              <w:t>egulas Nr. 480/2014 13. panta 2. un 3. punkt</w:t>
            </w:r>
            <w:r w:rsidR="000856B2">
              <w:rPr>
                <w:rFonts w:ascii="Times New Roman" w:eastAsia="Calibri" w:hAnsi="Times New Roman" w:cs="Times New Roman"/>
                <w:sz w:val="24"/>
                <w:szCs w:val="24"/>
              </w:rPr>
              <w:t>s</w:t>
            </w:r>
          </w:p>
        </w:tc>
        <w:tc>
          <w:tcPr>
            <w:tcW w:w="1478" w:type="pct"/>
            <w:tcBorders>
              <w:top w:val="nil"/>
              <w:left w:val="nil"/>
              <w:bottom w:val="single" w:sz="6" w:space="0" w:color="000000"/>
              <w:right w:val="single" w:sz="6" w:space="0" w:color="000000"/>
            </w:tcBorders>
            <w:shd w:val="clear" w:color="auto" w:fill="auto"/>
          </w:tcPr>
          <w:p w14:paraId="06B9DEBC" w14:textId="1400BAAC" w:rsidR="00872387" w:rsidRPr="006B4B8C" w:rsidRDefault="00872387" w:rsidP="00872387">
            <w:pPr>
              <w:spacing w:after="0" w:line="240" w:lineRule="auto"/>
              <w:textAlignment w:val="baseline"/>
              <w:rPr>
                <w:rFonts w:ascii="Times New Roman" w:eastAsia="Calibri" w:hAnsi="Times New Roman" w:cs="Times New Roman"/>
                <w:sz w:val="24"/>
                <w:szCs w:val="24"/>
              </w:rPr>
            </w:pPr>
            <w:r w:rsidRPr="006B4B8C">
              <w:rPr>
                <w:rFonts w:ascii="Times New Roman" w:eastAsia="Calibri" w:hAnsi="Times New Roman" w:cs="Times New Roman"/>
                <w:sz w:val="24"/>
                <w:szCs w:val="24"/>
              </w:rPr>
              <w:t xml:space="preserve">Noteikumu projekta </w:t>
            </w:r>
            <w:r w:rsidR="00FD4463">
              <w:rPr>
                <w:rFonts w:ascii="Times New Roman" w:eastAsia="Calibri" w:hAnsi="Times New Roman" w:cs="Times New Roman"/>
                <w:sz w:val="24"/>
                <w:szCs w:val="24"/>
              </w:rPr>
              <w:t>4</w:t>
            </w:r>
            <w:r>
              <w:rPr>
                <w:rFonts w:ascii="Times New Roman" w:eastAsia="Calibri" w:hAnsi="Times New Roman" w:cs="Times New Roman"/>
                <w:sz w:val="24"/>
                <w:szCs w:val="24"/>
              </w:rPr>
              <w:t>.</w:t>
            </w:r>
            <w:r w:rsidRPr="00224571">
              <w:rPr>
                <w:rFonts w:ascii="Times New Roman" w:eastAsia="Calibri" w:hAnsi="Times New Roman" w:cs="Times New Roman"/>
                <w:sz w:val="24"/>
                <w:szCs w:val="24"/>
              </w:rPr>
              <w:t xml:space="preserve"> </w:t>
            </w:r>
            <w:r>
              <w:rPr>
                <w:rFonts w:ascii="Times New Roman" w:eastAsia="Calibri" w:hAnsi="Times New Roman" w:cs="Times New Roman"/>
                <w:sz w:val="24"/>
                <w:szCs w:val="24"/>
              </w:rPr>
              <w:t>punkts</w:t>
            </w:r>
          </w:p>
        </w:tc>
        <w:tc>
          <w:tcPr>
            <w:tcW w:w="845" w:type="pct"/>
            <w:tcBorders>
              <w:top w:val="nil"/>
              <w:left w:val="nil"/>
              <w:bottom w:val="single" w:sz="6" w:space="0" w:color="000000"/>
              <w:right w:val="single" w:sz="6" w:space="0" w:color="000000"/>
            </w:tcBorders>
            <w:shd w:val="clear" w:color="auto" w:fill="auto"/>
          </w:tcPr>
          <w:p w14:paraId="23A27D02" w14:textId="1C04ABAD" w:rsidR="00872387" w:rsidRPr="00792271" w:rsidRDefault="00872387" w:rsidP="00872387">
            <w:pPr>
              <w:spacing w:after="0" w:line="240" w:lineRule="auto"/>
              <w:textAlignment w:val="baseline"/>
              <w:rPr>
                <w:rFonts w:ascii="Times New Roman" w:eastAsia="Times New Roman" w:hAnsi="Times New Roman" w:cs="Times New Roman"/>
                <w:i/>
                <w:iCs/>
                <w:sz w:val="24"/>
                <w:szCs w:val="24"/>
                <w:lang w:eastAsia="lv-LV"/>
              </w:rPr>
            </w:pPr>
            <w:r w:rsidRPr="00792271">
              <w:rPr>
                <w:rFonts w:ascii="Times New Roman" w:eastAsia="Times New Roman" w:hAnsi="Times New Roman" w:cs="Times New Roman"/>
                <w:i/>
                <w:iCs/>
                <w:sz w:val="24"/>
                <w:szCs w:val="24"/>
                <w:lang w:eastAsia="lv-LV"/>
              </w:rPr>
              <w:t>Ieviests pilnībā</w:t>
            </w:r>
          </w:p>
        </w:tc>
        <w:tc>
          <w:tcPr>
            <w:tcW w:w="1127" w:type="pct"/>
            <w:tcBorders>
              <w:top w:val="nil"/>
              <w:left w:val="nil"/>
              <w:bottom w:val="single" w:sz="6" w:space="0" w:color="000000"/>
              <w:right w:val="single" w:sz="6" w:space="0" w:color="000000"/>
            </w:tcBorders>
            <w:shd w:val="clear" w:color="auto" w:fill="auto"/>
          </w:tcPr>
          <w:p w14:paraId="2BA27DBC" w14:textId="7A3ABAD3" w:rsidR="00872387" w:rsidRPr="00792271" w:rsidRDefault="00872387" w:rsidP="00872387">
            <w:pPr>
              <w:spacing w:after="0" w:line="240" w:lineRule="auto"/>
              <w:textAlignment w:val="baseline"/>
              <w:rPr>
                <w:rFonts w:ascii="Times New Roman" w:eastAsia="Times New Roman" w:hAnsi="Times New Roman" w:cs="Times New Roman"/>
                <w:i/>
                <w:iCs/>
                <w:sz w:val="24"/>
                <w:szCs w:val="24"/>
                <w:lang w:eastAsia="lv-LV"/>
              </w:rPr>
            </w:pPr>
            <w:r w:rsidRPr="00792271">
              <w:rPr>
                <w:rFonts w:ascii="Times New Roman" w:eastAsia="Times New Roman" w:hAnsi="Times New Roman" w:cs="Times New Roman"/>
                <w:i/>
                <w:iCs/>
                <w:sz w:val="24"/>
                <w:szCs w:val="24"/>
                <w:lang w:eastAsia="lv-LV"/>
              </w:rPr>
              <w:t>Neparedz stingrākas prasības</w:t>
            </w:r>
          </w:p>
        </w:tc>
      </w:tr>
      <w:tr w:rsidR="000856B2" w:rsidRPr="006B4B8C" w14:paraId="2D5EEECE" w14:textId="77777777" w:rsidTr="000856B2">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550" w:type="pct"/>
            <w:tcBorders>
              <w:top w:val="nil"/>
              <w:left w:val="single" w:sz="6" w:space="0" w:color="000000"/>
              <w:bottom w:val="single" w:sz="6" w:space="0" w:color="000000"/>
              <w:right w:val="single" w:sz="6" w:space="0" w:color="000000"/>
            </w:tcBorders>
            <w:shd w:val="clear" w:color="auto" w:fill="auto"/>
          </w:tcPr>
          <w:p w14:paraId="705BA739" w14:textId="4496EE17" w:rsidR="00872387" w:rsidRDefault="00872387" w:rsidP="00951603">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w:t>
            </w:r>
            <w:r w:rsidRPr="00872387">
              <w:rPr>
                <w:rFonts w:ascii="Times New Roman" w:eastAsia="Calibri" w:hAnsi="Times New Roman" w:cs="Times New Roman"/>
                <w:sz w:val="24"/>
                <w:szCs w:val="24"/>
              </w:rPr>
              <w:t>egulas Nr. 480/2014 13. pant</w:t>
            </w:r>
            <w:r>
              <w:rPr>
                <w:rFonts w:ascii="Times New Roman" w:eastAsia="Calibri" w:hAnsi="Times New Roman" w:cs="Times New Roman"/>
                <w:sz w:val="24"/>
                <w:szCs w:val="24"/>
              </w:rPr>
              <w:t>s</w:t>
            </w:r>
          </w:p>
        </w:tc>
        <w:tc>
          <w:tcPr>
            <w:tcW w:w="1478" w:type="pct"/>
            <w:tcBorders>
              <w:top w:val="nil"/>
              <w:left w:val="nil"/>
              <w:bottom w:val="single" w:sz="6" w:space="0" w:color="000000"/>
              <w:right w:val="single" w:sz="6" w:space="0" w:color="000000"/>
            </w:tcBorders>
            <w:shd w:val="clear" w:color="auto" w:fill="auto"/>
          </w:tcPr>
          <w:p w14:paraId="072B19BD" w14:textId="7B060630" w:rsidR="00872387" w:rsidRPr="006B4B8C" w:rsidRDefault="00872387" w:rsidP="00872387">
            <w:pPr>
              <w:spacing w:after="0" w:line="240" w:lineRule="auto"/>
              <w:textAlignment w:val="baseline"/>
              <w:rPr>
                <w:rFonts w:ascii="Times New Roman" w:eastAsia="Calibri" w:hAnsi="Times New Roman" w:cs="Times New Roman"/>
                <w:sz w:val="24"/>
                <w:szCs w:val="24"/>
              </w:rPr>
            </w:pPr>
            <w:r w:rsidRPr="006B4B8C">
              <w:rPr>
                <w:rFonts w:ascii="Times New Roman" w:eastAsia="Calibri" w:hAnsi="Times New Roman" w:cs="Times New Roman"/>
                <w:sz w:val="24"/>
                <w:szCs w:val="24"/>
              </w:rPr>
              <w:t xml:space="preserve">Noteikumu projekta </w:t>
            </w:r>
            <w:r w:rsidR="00FD4463">
              <w:rPr>
                <w:rFonts w:ascii="Times New Roman" w:eastAsia="Calibri" w:hAnsi="Times New Roman" w:cs="Times New Roman"/>
                <w:sz w:val="24"/>
                <w:szCs w:val="24"/>
              </w:rPr>
              <w:t>5</w:t>
            </w:r>
            <w:r>
              <w:rPr>
                <w:rFonts w:ascii="Times New Roman" w:eastAsia="Calibri" w:hAnsi="Times New Roman" w:cs="Times New Roman"/>
                <w:sz w:val="24"/>
                <w:szCs w:val="24"/>
              </w:rPr>
              <w:t>.</w:t>
            </w:r>
            <w:r w:rsidRPr="00224571">
              <w:rPr>
                <w:rFonts w:ascii="Times New Roman" w:eastAsia="Calibri" w:hAnsi="Times New Roman" w:cs="Times New Roman"/>
                <w:sz w:val="24"/>
                <w:szCs w:val="24"/>
              </w:rPr>
              <w:t xml:space="preserve"> </w:t>
            </w:r>
            <w:r>
              <w:rPr>
                <w:rFonts w:ascii="Times New Roman" w:eastAsia="Calibri" w:hAnsi="Times New Roman" w:cs="Times New Roman"/>
                <w:sz w:val="24"/>
                <w:szCs w:val="24"/>
              </w:rPr>
              <w:t>punkts</w:t>
            </w:r>
          </w:p>
        </w:tc>
        <w:tc>
          <w:tcPr>
            <w:tcW w:w="845" w:type="pct"/>
            <w:tcBorders>
              <w:top w:val="nil"/>
              <w:left w:val="nil"/>
              <w:bottom w:val="single" w:sz="6" w:space="0" w:color="000000"/>
              <w:right w:val="single" w:sz="6" w:space="0" w:color="000000"/>
            </w:tcBorders>
            <w:shd w:val="clear" w:color="auto" w:fill="auto"/>
          </w:tcPr>
          <w:p w14:paraId="1B872E05" w14:textId="45CB2B32" w:rsidR="00872387" w:rsidRPr="006B4B8C" w:rsidRDefault="00872387" w:rsidP="00872387">
            <w:pPr>
              <w:spacing w:after="0" w:line="240" w:lineRule="auto"/>
              <w:textAlignment w:val="baseline"/>
              <w:rPr>
                <w:rFonts w:ascii="Times New Roman" w:eastAsia="Times New Roman" w:hAnsi="Times New Roman" w:cs="Times New Roman"/>
                <w:sz w:val="24"/>
                <w:szCs w:val="24"/>
                <w:lang w:eastAsia="lv-LV"/>
              </w:rPr>
            </w:pPr>
            <w:r w:rsidRPr="00E76BB7">
              <w:rPr>
                <w:rFonts w:ascii="Times New Roman" w:eastAsia="Times New Roman" w:hAnsi="Times New Roman" w:cs="Times New Roman"/>
                <w:i/>
                <w:iCs/>
                <w:sz w:val="24"/>
                <w:szCs w:val="24"/>
                <w:lang w:eastAsia="lv-LV"/>
              </w:rPr>
              <w:t>Ieviests pilnībā</w:t>
            </w:r>
          </w:p>
        </w:tc>
        <w:tc>
          <w:tcPr>
            <w:tcW w:w="1127" w:type="pct"/>
            <w:tcBorders>
              <w:top w:val="nil"/>
              <w:left w:val="nil"/>
              <w:bottom w:val="single" w:sz="6" w:space="0" w:color="000000"/>
              <w:right w:val="single" w:sz="6" w:space="0" w:color="000000"/>
            </w:tcBorders>
            <w:shd w:val="clear" w:color="auto" w:fill="auto"/>
          </w:tcPr>
          <w:p w14:paraId="2BFD3ECC" w14:textId="1E4509E3" w:rsidR="00872387" w:rsidRPr="006B4B8C" w:rsidRDefault="00872387" w:rsidP="00872387">
            <w:pPr>
              <w:spacing w:after="0" w:line="240" w:lineRule="auto"/>
              <w:textAlignment w:val="baseline"/>
              <w:rPr>
                <w:rFonts w:ascii="Times New Roman" w:eastAsia="Times New Roman" w:hAnsi="Times New Roman" w:cs="Times New Roman"/>
                <w:sz w:val="24"/>
                <w:szCs w:val="24"/>
                <w:lang w:eastAsia="lv-LV"/>
              </w:rPr>
            </w:pPr>
            <w:r w:rsidRPr="00E76BB7">
              <w:rPr>
                <w:rFonts w:ascii="Times New Roman" w:eastAsia="Times New Roman" w:hAnsi="Times New Roman" w:cs="Times New Roman"/>
                <w:i/>
                <w:iCs/>
                <w:sz w:val="24"/>
                <w:szCs w:val="24"/>
                <w:lang w:eastAsia="lv-LV"/>
              </w:rPr>
              <w:t>Neparedz stingrākas prasības</w:t>
            </w:r>
          </w:p>
        </w:tc>
      </w:tr>
      <w:tr w:rsidR="000856B2" w:rsidRPr="006B4B8C" w14:paraId="4711BD05" w14:textId="77777777" w:rsidTr="000856B2">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550" w:type="pct"/>
            <w:tcBorders>
              <w:top w:val="nil"/>
              <w:left w:val="single" w:sz="6" w:space="0" w:color="000000"/>
              <w:bottom w:val="single" w:sz="6" w:space="0" w:color="000000"/>
              <w:right w:val="single" w:sz="6" w:space="0" w:color="000000"/>
            </w:tcBorders>
            <w:shd w:val="clear" w:color="auto" w:fill="auto"/>
          </w:tcPr>
          <w:p w14:paraId="2ABFF830" w14:textId="0AB9EE96" w:rsidR="00872387" w:rsidRDefault="00872387" w:rsidP="00951603">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w:t>
            </w:r>
            <w:r w:rsidRPr="00872387">
              <w:rPr>
                <w:rFonts w:ascii="Times New Roman" w:eastAsia="Calibri" w:hAnsi="Times New Roman" w:cs="Times New Roman"/>
                <w:sz w:val="24"/>
                <w:szCs w:val="24"/>
              </w:rPr>
              <w:t>egulas Nr. 480/2014 13. panta 3. punkt</w:t>
            </w:r>
            <w:r>
              <w:rPr>
                <w:rFonts w:ascii="Times New Roman" w:eastAsia="Calibri" w:hAnsi="Times New Roman" w:cs="Times New Roman"/>
                <w:sz w:val="24"/>
                <w:szCs w:val="24"/>
              </w:rPr>
              <w:t>s</w:t>
            </w:r>
          </w:p>
        </w:tc>
        <w:tc>
          <w:tcPr>
            <w:tcW w:w="1478" w:type="pct"/>
            <w:tcBorders>
              <w:top w:val="nil"/>
              <w:left w:val="nil"/>
              <w:bottom w:val="single" w:sz="6" w:space="0" w:color="000000"/>
              <w:right w:val="single" w:sz="6" w:space="0" w:color="000000"/>
            </w:tcBorders>
            <w:shd w:val="clear" w:color="auto" w:fill="auto"/>
          </w:tcPr>
          <w:p w14:paraId="21A1090E" w14:textId="31285800" w:rsidR="00872387" w:rsidRPr="006B4B8C" w:rsidRDefault="00872387" w:rsidP="00872387">
            <w:pPr>
              <w:spacing w:after="0" w:line="240" w:lineRule="auto"/>
              <w:textAlignment w:val="baseline"/>
              <w:rPr>
                <w:rFonts w:ascii="Times New Roman" w:eastAsia="Calibri" w:hAnsi="Times New Roman" w:cs="Times New Roman"/>
                <w:sz w:val="24"/>
                <w:szCs w:val="24"/>
              </w:rPr>
            </w:pPr>
            <w:r w:rsidRPr="006B4B8C">
              <w:rPr>
                <w:rFonts w:ascii="Times New Roman" w:eastAsia="Calibri" w:hAnsi="Times New Roman" w:cs="Times New Roman"/>
                <w:sz w:val="24"/>
                <w:szCs w:val="24"/>
              </w:rPr>
              <w:t xml:space="preserve">Noteikumu projekta </w:t>
            </w:r>
            <w:r w:rsidR="00FD4463">
              <w:rPr>
                <w:rFonts w:ascii="Times New Roman" w:eastAsia="Calibri" w:hAnsi="Times New Roman" w:cs="Times New Roman"/>
                <w:sz w:val="24"/>
                <w:szCs w:val="24"/>
              </w:rPr>
              <w:t>5</w:t>
            </w:r>
            <w:r>
              <w:rPr>
                <w:rFonts w:ascii="Times New Roman" w:eastAsia="Calibri" w:hAnsi="Times New Roman" w:cs="Times New Roman"/>
                <w:sz w:val="24"/>
                <w:szCs w:val="24"/>
              </w:rPr>
              <w:t>.</w:t>
            </w:r>
            <w:r w:rsidRPr="00224571">
              <w:rPr>
                <w:rFonts w:ascii="Times New Roman" w:eastAsia="Calibri" w:hAnsi="Times New Roman" w:cs="Times New Roman"/>
                <w:sz w:val="24"/>
                <w:szCs w:val="24"/>
              </w:rPr>
              <w:t xml:space="preserve"> </w:t>
            </w:r>
            <w:r>
              <w:rPr>
                <w:rFonts w:ascii="Times New Roman" w:eastAsia="Calibri" w:hAnsi="Times New Roman" w:cs="Times New Roman"/>
                <w:sz w:val="24"/>
                <w:szCs w:val="24"/>
              </w:rPr>
              <w:t>punkts</w:t>
            </w:r>
          </w:p>
        </w:tc>
        <w:tc>
          <w:tcPr>
            <w:tcW w:w="845" w:type="pct"/>
            <w:tcBorders>
              <w:top w:val="nil"/>
              <w:left w:val="nil"/>
              <w:bottom w:val="single" w:sz="6" w:space="0" w:color="000000"/>
              <w:right w:val="single" w:sz="6" w:space="0" w:color="000000"/>
            </w:tcBorders>
            <w:shd w:val="clear" w:color="auto" w:fill="auto"/>
          </w:tcPr>
          <w:p w14:paraId="39E519BB" w14:textId="1F63DDD7" w:rsidR="00872387" w:rsidRPr="006B4B8C" w:rsidRDefault="00872387" w:rsidP="00872387">
            <w:pPr>
              <w:spacing w:after="0" w:line="240" w:lineRule="auto"/>
              <w:textAlignment w:val="baseline"/>
              <w:rPr>
                <w:rFonts w:ascii="Times New Roman" w:eastAsia="Times New Roman" w:hAnsi="Times New Roman" w:cs="Times New Roman"/>
                <w:sz w:val="24"/>
                <w:szCs w:val="24"/>
                <w:lang w:eastAsia="lv-LV"/>
              </w:rPr>
            </w:pPr>
            <w:r w:rsidRPr="00E76BB7">
              <w:rPr>
                <w:rFonts w:ascii="Times New Roman" w:eastAsia="Times New Roman" w:hAnsi="Times New Roman" w:cs="Times New Roman"/>
                <w:i/>
                <w:iCs/>
                <w:sz w:val="24"/>
                <w:szCs w:val="24"/>
                <w:lang w:eastAsia="lv-LV"/>
              </w:rPr>
              <w:t>Ieviests pilnībā</w:t>
            </w:r>
          </w:p>
        </w:tc>
        <w:tc>
          <w:tcPr>
            <w:tcW w:w="1127" w:type="pct"/>
            <w:tcBorders>
              <w:top w:val="nil"/>
              <w:left w:val="nil"/>
              <w:bottom w:val="single" w:sz="6" w:space="0" w:color="000000"/>
              <w:right w:val="single" w:sz="6" w:space="0" w:color="000000"/>
            </w:tcBorders>
            <w:shd w:val="clear" w:color="auto" w:fill="auto"/>
          </w:tcPr>
          <w:p w14:paraId="2518E4E4" w14:textId="554238ED" w:rsidR="00872387" w:rsidRPr="006B4B8C" w:rsidRDefault="00872387" w:rsidP="00872387">
            <w:pPr>
              <w:spacing w:after="0" w:line="240" w:lineRule="auto"/>
              <w:textAlignment w:val="baseline"/>
              <w:rPr>
                <w:rFonts w:ascii="Times New Roman" w:eastAsia="Times New Roman" w:hAnsi="Times New Roman" w:cs="Times New Roman"/>
                <w:sz w:val="24"/>
                <w:szCs w:val="24"/>
                <w:lang w:eastAsia="lv-LV"/>
              </w:rPr>
            </w:pPr>
            <w:r w:rsidRPr="00E76BB7">
              <w:rPr>
                <w:rFonts w:ascii="Times New Roman" w:eastAsia="Times New Roman" w:hAnsi="Times New Roman" w:cs="Times New Roman"/>
                <w:i/>
                <w:iCs/>
                <w:sz w:val="24"/>
                <w:szCs w:val="24"/>
                <w:lang w:eastAsia="lv-LV"/>
              </w:rPr>
              <w:t>Neparedz stingrākas prasības</w:t>
            </w:r>
          </w:p>
        </w:tc>
      </w:tr>
      <w:tr w:rsidR="000856B2" w:rsidRPr="006B4B8C" w14:paraId="1D9DCD15" w14:textId="77777777" w:rsidTr="000856B2">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550" w:type="pct"/>
            <w:tcBorders>
              <w:top w:val="nil"/>
              <w:left w:val="single" w:sz="6" w:space="0" w:color="000000"/>
              <w:bottom w:val="single" w:sz="6" w:space="0" w:color="000000"/>
              <w:right w:val="single" w:sz="6" w:space="0" w:color="000000"/>
            </w:tcBorders>
            <w:shd w:val="clear" w:color="auto" w:fill="auto"/>
          </w:tcPr>
          <w:p w14:paraId="63B53785" w14:textId="723BA26D" w:rsidR="00872387" w:rsidRDefault="00872387" w:rsidP="00951603">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w:t>
            </w:r>
            <w:r w:rsidRPr="00872387">
              <w:rPr>
                <w:rFonts w:ascii="Times New Roman" w:eastAsia="Calibri" w:hAnsi="Times New Roman" w:cs="Times New Roman"/>
                <w:sz w:val="24"/>
                <w:szCs w:val="24"/>
              </w:rPr>
              <w:t>egulas Nr.  1303/2013 44. un 45. pant</w:t>
            </w:r>
            <w:r>
              <w:rPr>
                <w:rFonts w:ascii="Times New Roman" w:eastAsia="Calibri" w:hAnsi="Times New Roman" w:cs="Times New Roman"/>
                <w:sz w:val="24"/>
                <w:szCs w:val="24"/>
              </w:rPr>
              <w:t>s</w:t>
            </w:r>
          </w:p>
        </w:tc>
        <w:tc>
          <w:tcPr>
            <w:tcW w:w="1478" w:type="pct"/>
            <w:tcBorders>
              <w:top w:val="nil"/>
              <w:left w:val="nil"/>
              <w:bottom w:val="single" w:sz="6" w:space="0" w:color="000000"/>
              <w:right w:val="single" w:sz="6" w:space="0" w:color="000000"/>
            </w:tcBorders>
            <w:shd w:val="clear" w:color="auto" w:fill="auto"/>
          </w:tcPr>
          <w:p w14:paraId="3A1FC3C1" w14:textId="73C4B583" w:rsidR="00872387" w:rsidRPr="006B4B8C" w:rsidRDefault="00872387" w:rsidP="00872387">
            <w:pPr>
              <w:spacing w:after="0" w:line="240" w:lineRule="auto"/>
              <w:textAlignment w:val="baseline"/>
              <w:rPr>
                <w:rFonts w:ascii="Times New Roman" w:eastAsia="Calibri" w:hAnsi="Times New Roman" w:cs="Times New Roman"/>
                <w:sz w:val="24"/>
                <w:szCs w:val="24"/>
              </w:rPr>
            </w:pPr>
            <w:r w:rsidRPr="006B4B8C">
              <w:rPr>
                <w:rFonts w:ascii="Times New Roman" w:eastAsia="Calibri" w:hAnsi="Times New Roman" w:cs="Times New Roman"/>
                <w:sz w:val="24"/>
                <w:szCs w:val="24"/>
              </w:rPr>
              <w:t xml:space="preserve">Noteikumu projekta </w:t>
            </w:r>
            <w:r w:rsidR="00FD4463">
              <w:rPr>
                <w:rFonts w:ascii="Times New Roman" w:eastAsia="Calibri" w:hAnsi="Times New Roman" w:cs="Times New Roman"/>
                <w:sz w:val="24"/>
                <w:szCs w:val="24"/>
              </w:rPr>
              <w:t>6</w:t>
            </w:r>
            <w:r>
              <w:rPr>
                <w:rFonts w:ascii="Times New Roman" w:eastAsia="Calibri" w:hAnsi="Times New Roman" w:cs="Times New Roman"/>
                <w:sz w:val="24"/>
                <w:szCs w:val="24"/>
              </w:rPr>
              <w:t>.</w:t>
            </w:r>
            <w:r w:rsidRPr="00224571">
              <w:rPr>
                <w:rFonts w:ascii="Times New Roman" w:eastAsia="Calibri" w:hAnsi="Times New Roman" w:cs="Times New Roman"/>
                <w:sz w:val="24"/>
                <w:szCs w:val="24"/>
              </w:rPr>
              <w:t xml:space="preserve"> </w:t>
            </w:r>
            <w:r>
              <w:rPr>
                <w:rFonts w:ascii="Times New Roman" w:eastAsia="Calibri" w:hAnsi="Times New Roman" w:cs="Times New Roman"/>
                <w:sz w:val="24"/>
                <w:szCs w:val="24"/>
              </w:rPr>
              <w:t>punkts</w:t>
            </w:r>
          </w:p>
        </w:tc>
        <w:tc>
          <w:tcPr>
            <w:tcW w:w="845" w:type="pct"/>
            <w:tcBorders>
              <w:top w:val="nil"/>
              <w:left w:val="nil"/>
              <w:bottom w:val="single" w:sz="6" w:space="0" w:color="000000"/>
              <w:right w:val="single" w:sz="6" w:space="0" w:color="000000"/>
            </w:tcBorders>
            <w:shd w:val="clear" w:color="auto" w:fill="auto"/>
          </w:tcPr>
          <w:p w14:paraId="6FA5A62A" w14:textId="4EE68DC6" w:rsidR="00872387" w:rsidRPr="006B4B8C" w:rsidRDefault="00872387" w:rsidP="00872387">
            <w:pPr>
              <w:spacing w:after="0" w:line="240" w:lineRule="auto"/>
              <w:textAlignment w:val="baseline"/>
              <w:rPr>
                <w:rFonts w:ascii="Times New Roman" w:eastAsia="Times New Roman" w:hAnsi="Times New Roman" w:cs="Times New Roman"/>
                <w:sz w:val="24"/>
                <w:szCs w:val="24"/>
                <w:lang w:eastAsia="lv-LV"/>
              </w:rPr>
            </w:pPr>
            <w:r w:rsidRPr="00E76BB7">
              <w:rPr>
                <w:rFonts w:ascii="Times New Roman" w:eastAsia="Times New Roman" w:hAnsi="Times New Roman" w:cs="Times New Roman"/>
                <w:i/>
                <w:iCs/>
                <w:sz w:val="24"/>
                <w:szCs w:val="24"/>
                <w:lang w:eastAsia="lv-LV"/>
              </w:rPr>
              <w:t>Ieviests pilnībā</w:t>
            </w:r>
          </w:p>
        </w:tc>
        <w:tc>
          <w:tcPr>
            <w:tcW w:w="1127" w:type="pct"/>
            <w:tcBorders>
              <w:top w:val="nil"/>
              <w:left w:val="nil"/>
              <w:bottom w:val="single" w:sz="6" w:space="0" w:color="000000"/>
              <w:right w:val="single" w:sz="6" w:space="0" w:color="000000"/>
            </w:tcBorders>
            <w:shd w:val="clear" w:color="auto" w:fill="auto"/>
          </w:tcPr>
          <w:p w14:paraId="40E49E68" w14:textId="7DD9C3A3" w:rsidR="00872387" w:rsidRPr="006B4B8C" w:rsidRDefault="00872387" w:rsidP="00872387">
            <w:pPr>
              <w:spacing w:after="0" w:line="240" w:lineRule="auto"/>
              <w:textAlignment w:val="baseline"/>
              <w:rPr>
                <w:rFonts w:ascii="Times New Roman" w:eastAsia="Times New Roman" w:hAnsi="Times New Roman" w:cs="Times New Roman"/>
                <w:sz w:val="24"/>
                <w:szCs w:val="24"/>
                <w:lang w:eastAsia="lv-LV"/>
              </w:rPr>
            </w:pPr>
            <w:r w:rsidRPr="00E76BB7">
              <w:rPr>
                <w:rFonts w:ascii="Times New Roman" w:eastAsia="Times New Roman" w:hAnsi="Times New Roman" w:cs="Times New Roman"/>
                <w:i/>
                <w:iCs/>
                <w:sz w:val="24"/>
                <w:szCs w:val="24"/>
                <w:lang w:eastAsia="lv-LV"/>
              </w:rPr>
              <w:t>Neparedz stingrākas prasības</w:t>
            </w:r>
          </w:p>
        </w:tc>
      </w:tr>
      <w:tr w:rsidR="000856B2" w:rsidRPr="006B4B8C" w14:paraId="4B71743F" w14:textId="77777777" w:rsidTr="000856B2">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550" w:type="pct"/>
            <w:tcBorders>
              <w:top w:val="nil"/>
              <w:left w:val="single" w:sz="6" w:space="0" w:color="000000"/>
              <w:bottom w:val="single" w:sz="6" w:space="0" w:color="000000"/>
              <w:right w:val="single" w:sz="6" w:space="0" w:color="000000"/>
            </w:tcBorders>
            <w:shd w:val="clear" w:color="auto" w:fill="auto"/>
          </w:tcPr>
          <w:p w14:paraId="1FED3115" w14:textId="489080D8" w:rsidR="006B4B8C" w:rsidRPr="006B4B8C" w:rsidRDefault="006B4B8C" w:rsidP="00951603">
            <w:pPr>
              <w:spacing w:after="0" w:line="240" w:lineRule="auto"/>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Komisijas </w:t>
            </w:r>
            <w:r w:rsidRPr="006B4B8C">
              <w:rPr>
                <w:rFonts w:ascii="Times New Roman" w:eastAsia="Calibri" w:hAnsi="Times New Roman" w:cs="Times New Roman"/>
                <w:sz w:val="24"/>
                <w:szCs w:val="24"/>
              </w:rPr>
              <w:t>regulas Nr. 1303/2013 2. panta 36. punkt</w:t>
            </w:r>
            <w:r>
              <w:rPr>
                <w:rFonts w:ascii="Times New Roman" w:eastAsia="Calibri" w:hAnsi="Times New Roman" w:cs="Times New Roman"/>
                <w:sz w:val="24"/>
                <w:szCs w:val="24"/>
              </w:rPr>
              <w:t>s</w:t>
            </w:r>
          </w:p>
        </w:tc>
        <w:tc>
          <w:tcPr>
            <w:tcW w:w="1478" w:type="pct"/>
            <w:tcBorders>
              <w:top w:val="nil"/>
              <w:left w:val="nil"/>
              <w:bottom w:val="single" w:sz="6" w:space="0" w:color="000000"/>
              <w:right w:val="single" w:sz="6" w:space="0" w:color="000000"/>
            </w:tcBorders>
            <w:shd w:val="clear" w:color="auto" w:fill="auto"/>
          </w:tcPr>
          <w:p w14:paraId="6980C473" w14:textId="5C7467A9" w:rsidR="006B4B8C" w:rsidRPr="006B4B8C" w:rsidRDefault="006B4B8C" w:rsidP="006B4B8C">
            <w:pPr>
              <w:spacing w:after="0" w:line="240" w:lineRule="auto"/>
              <w:textAlignment w:val="baseline"/>
              <w:rPr>
                <w:rFonts w:ascii="Times New Roman" w:eastAsia="Times New Roman" w:hAnsi="Times New Roman" w:cs="Times New Roman"/>
                <w:sz w:val="24"/>
                <w:szCs w:val="24"/>
              </w:rPr>
            </w:pPr>
            <w:r w:rsidRPr="006B4B8C">
              <w:rPr>
                <w:rFonts w:ascii="Times New Roman" w:eastAsia="Calibri" w:hAnsi="Times New Roman" w:cs="Times New Roman"/>
                <w:sz w:val="24"/>
                <w:szCs w:val="24"/>
              </w:rPr>
              <w:t xml:space="preserve">Noteikumu projekta </w:t>
            </w:r>
            <w:r w:rsidR="00FD4463">
              <w:rPr>
                <w:rFonts w:ascii="Times New Roman" w:eastAsia="Calibri" w:hAnsi="Times New Roman" w:cs="Times New Roman"/>
                <w:sz w:val="24"/>
                <w:szCs w:val="24"/>
              </w:rPr>
              <w:t>12</w:t>
            </w:r>
            <w:r w:rsidR="00224571">
              <w:rPr>
                <w:rFonts w:ascii="Times New Roman" w:eastAsia="Calibri" w:hAnsi="Times New Roman" w:cs="Times New Roman"/>
                <w:sz w:val="24"/>
                <w:szCs w:val="24"/>
              </w:rPr>
              <w:t>.</w:t>
            </w:r>
            <w:r w:rsidR="00951603">
              <w:rPr>
                <w:rFonts w:ascii="Times New Roman" w:eastAsia="Calibri" w:hAnsi="Times New Roman" w:cs="Times New Roman"/>
                <w:sz w:val="24"/>
                <w:szCs w:val="24"/>
              </w:rPr>
              <w:t>p</w:t>
            </w:r>
            <w:r>
              <w:rPr>
                <w:rFonts w:ascii="Times New Roman" w:eastAsia="Calibri" w:hAnsi="Times New Roman" w:cs="Times New Roman"/>
                <w:sz w:val="24"/>
                <w:szCs w:val="24"/>
              </w:rPr>
              <w:t>unkts</w:t>
            </w:r>
          </w:p>
        </w:tc>
        <w:tc>
          <w:tcPr>
            <w:tcW w:w="845" w:type="pct"/>
            <w:tcBorders>
              <w:top w:val="nil"/>
              <w:left w:val="nil"/>
              <w:bottom w:val="single" w:sz="6" w:space="0" w:color="000000"/>
              <w:right w:val="single" w:sz="6" w:space="0" w:color="000000"/>
            </w:tcBorders>
            <w:shd w:val="clear" w:color="auto" w:fill="auto"/>
          </w:tcPr>
          <w:p w14:paraId="0BFD571B" w14:textId="77777777" w:rsidR="006B4B8C" w:rsidRPr="00792271" w:rsidRDefault="006B4B8C" w:rsidP="006B4B8C">
            <w:pPr>
              <w:spacing w:after="0" w:line="240" w:lineRule="auto"/>
              <w:textAlignment w:val="baseline"/>
              <w:rPr>
                <w:rFonts w:ascii="Times New Roman" w:eastAsia="Times New Roman" w:hAnsi="Times New Roman" w:cs="Times New Roman"/>
                <w:i/>
                <w:iCs/>
                <w:sz w:val="24"/>
                <w:szCs w:val="24"/>
                <w:lang w:eastAsia="lv-LV"/>
              </w:rPr>
            </w:pPr>
            <w:r w:rsidRPr="00792271">
              <w:rPr>
                <w:rFonts w:ascii="Times New Roman" w:eastAsia="Times New Roman" w:hAnsi="Times New Roman" w:cs="Times New Roman"/>
                <w:i/>
                <w:iCs/>
                <w:sz w:val="24"/>
                <w:szCs w:val="24"/>
                <w:lang w:eastAsia="lv-LV"/>
              </w:rPr>
              <w:t>Ieviests pilnībā</w:t>
            </w:r>
          </w:p>
        </w:tc>
        <w:tc>
          <w:tcPr>
            <w:tcW w:w="1127" w:type="pct"/>
            <w:tcBorders>
              <w:top w:val="nil"/>
              <w:left w:val="nil"/>
              <w:bottom w:val="single" w:sz="6" w:space="0" w:color="000000"/>
              <w:right w:val="single" w:sz="6" w:space="0" w:color="000000"/>
            </w:tcBorders>
            <w:shd w:val="clear" w:color="auto" w:fill="auto"/>
          </w:tcPr>
          <w:p w14:paraId="11036CCB" w14:textId="090730C1" w:rsidR="006B4B8C" w:rsidRPr="00792271" w:rsidRDefault="006B4B8C" w:rsidP="006B4B8C">
            <w:pPr>
              <w:spacing w:after="0" w:line="240" w:lineRule="auto"/>
              <w:textAlignment w:val="baseline"/>
              <w:rPr>
                <w:rFonts w:ascii="Times New Roman" w:eastAsia="Times New Roman" w:hAnsi="Times New Roman" w:cs="Times New Roman"/>
                <w:i/>
                <w:iCs/>
                <w:sz w:val="24"/>
                <w:szCs w:val="24"/>
                <w:lang w:eastAsia="lv-LV"/>
              </w:rPr>
            </w:pPr>
            <w:r w:rsidRPr="00792271">
              <w:rPr>
                <w:rFonts w:ascii="Times New Roman" w:eastAsia="Times New Roman" w:hAnsi="Times New Roman" w:cs="Times New Roman"/>
                <w:i/>
                <w:iCs/>
                <w:sz w:val="24"/>
                <w:szCs w:val="24"/>
                <w:lang w:eastAsia="lv-LV"/>
              </w:rPr>
              <w:t>Neparedz stingrākas prasības</w:t>
            </w:r>
          </w:p>
        </w:tc>
      </w:tr>
      <w:tr w:rsidR="000856B2" w:rsidRPr="006B4B8C" w14:paraId="2BA70568" w14:textId="77777777" w:rsidTr="000856B2">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550" w:type="pct"/>
            <w:tcBorders>
              <w:top w:val="nil"/>
              <w:left w:val="single" w:sz="6" w:space="0" w:color="000000"/>
              <w:bottom w:val="single" w:sz="6" w:space="0" w:color="000000"/>
              <w:right w:val="single" w:sz="6" w:space="0" w:color="000000"/>
            </w:tcBorders>
            <w:shd w:val="clear" w:color="auto" w:fill="auto"/>
          </w:tcPr>
          <w:p w14:paraId="69C01012" w14:textId="68553922" w:rsidR="00DD264E" w:rsidRDefault="00872387" w:rsidP="00951603">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Vispārīga atsauce uz </w:t>
            </w:r>
            <w:r w:rsidR="00DD264E">
              <w:rPr>
                <w:rFonts w:ascii="Times New Roman" w:eastAsia="Calibri" w:hAnsi="Times New Roman" w:cs="Times New Roman"/>
                <w:sz w:val="24"/>
                <w:szCs w:val="24"/>
              </w:rPr>
              <w:t>Komisijas regul</w:t>
            </w:r>
            <w:r>
              <w:rPr>
                <w:rFonts w:ascii="Times New Roman" w:eastAsia="Calibri" w:hAnsi="Times New Roman" w:cs="Times New Roman"/>
                <w:sz w:val="24"/>
                <w:szCs w:val="24"/>
              </w:rPr>
              <w:t xml:space="preserve">u </w:t>
            </w:r>
            <w:r w:rsidR="00DD264E" w:rsidRPr="00DD264E">
              <w:rPr>
                <w:rFonts w:ascii="Times New Roman" w:eastAsia="Calibri" w:hAnsi="Times New Roman" w:cs="Times New Roman"/>
                <w:sz w:val="24"/>
                <w:szCs w:val="24"/>
              </w:rPr>
              <w:t>1407/2013</w:t>
            </w:r>
          </w:p>
        </w:tc>
        <w:tc>
          <w:tcPr>
            <w:tcW w:w="1478" w:type="pct"/>
            <w:tcBorders>
              <w:top w:val="nil"/>
              <w:left w:val="nil"/>
              <w:bottom w:val="single" w:sz="6" w:space="0" w:color="000000"/>
              <w:right w:val="single" w:sz="6" w:space="0" w:color="000000"/>
            </w:tcBorders>
            <w:shd w:val="clear" w:color="auto" w:fill="auto"/>
          </w:tcPr>
          <w:p w14:paraId="08356F90" w14:textId="78B9AF02" w:rsidR="00DD264E" w:rsidRPr="006B4B8C" w:rsidRDefault="00DD264E" w:rsidP="00DD264E">
            <w:pPr>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Noteikuma projekta </w:t>
            </w:r>
            <w:r w:rsidR="00FD4463">
              <w:rPr>
                <w:rFonts w:ascii="Times New Roman" w:eastAsia="Calibri" w:hAnsi="Times New Roman" w:cs="Times New Roman"/>
                <w:sz w:val="24"/>
                <w:szCs w:val="24"/>
              </w:rPr>
              <w:t>14</w:t>
            </w:r>
            <w:r>
              <w:rPr>
                <w:rFonts w:ascii="Times New Roman" w:eastAsia="Calibri" w:hAnsi="Times New Roman" w:cs="Times New Roman"/>
                <w:sz w:val="24"/>
                <w:szCs w:val="24"/>
              </w:rPr>
              <w:t>.</w:t>
            </w:r>
            <w:r w:rsidR="00951603">
              <w:rPr>
                <w:rFonts w:ascii="Times New Roman" w:eastAsia="Calibri" w:hAnsi="Times New Roman" w:cs="Times New Roman"/>
                <w:sz w:val="24"/>
                <w:szCs w:val="24"/>
              </w:rPr>
              <w:t>p</w:t>
            </w:r>
            <w:r>
              <w:rPr>
                <w:rFonts w:ascii="Times New Roman" w:eastAsia="Calibri" w:hAnsi="Times New Roman" w:cs="Times New Roman"/>
                <w:sz w:val="24"/>
                <w:szCs w:val="24"/>
              </w:rPr>
              <w:t>unkts</w:t>
            </w:r>
          </w:p>
        </w:tc>
        <w:tc>
          <w:tcPr>
            <w:tcW w:w="845" w:type="pct"/>
            <w:tcBorders>
              <w:top w:val="nil"/>
              <w:left w:val="nil"/>
              <w:bottom w:val="single" w:sz="6" w:space="0" w:color="000000"/>
              <w:right w:val="single" w:sz="6" w:space="0" w:color="000000"/>
            </w:tcBorders>
            <w:shd w:val="clear" w:color="auto" w:fill="auto"/>
          </w:tcPr>
          <w:p w14:paraId="0505A5CE" w14:textId="5408FE10" w:rsidR="00DD264E" w:rsidRPr="00792271" w:rsidRDefault="00DD264E" w:rsidP="00DD264E">
            <w:pPr>
              <w:spacing w:after="0" w:line="240" w:lineRule="auto"/>
              <w:textAlignment w:val="baseline"/>
              <w:rPr>
                <w:rFonts w:ascii="Times New Roman" w:eastAsia="Times New Roman" w:hAnsi="Times New Roman" w:cs="Times New Roman"/>
                <w:i/>
                <w:iCs/>
                <w:sz w:val="24"/>
                <w:szCs w:val="24"/>
                <w:lang w:eastAsia="lv-LV"/>
              </w:rPr>
            </w:pPr>
            <w:r w:rsidRPr="00792271">
              <w:rPr>
                <w:rFonts w:ascii="Times New Roman" w:eastAsia="Times New Roman" w:hAnsi="Times New Roman" w:cs="Times New Roman"/>
                <w:i/>
                <w:iCs/>
                <w:sz w:val="24"/>
                <w:szCs w:val="24"/>
                <w:lang w:eastAsia="lv-LV"/>
              </w:rPr>
              <w:t>Ieviests pilnībā</w:t>
            </w:r>
          </w:p>
        </w:tc>
        <w:tc>
          <w:tcPr>
            <w:tcW w:w="1127" w:type="pct"/>
            <w:tcBorders>
              <w:top w:val="nil"/>
              <w:left w:val="nil"/>
              <w:bottom w:val="single" w:sz="6" w:space="0" w:color="000000"/>
              <w:right w:val="single" w:sz="6" w:space="0" w:color="000000"/>
            </w:tcBorders>
            <w:shd w:val="clear" w:color="auto" w:fill="auto"/>
          </w:tcPr>
          <w:p w14:paraId="44B6960B" w14:textId="7807819A" w:rsidR="00DD264E" w:rsidRPr="00792271" w:rsidRDefault="00DD264E" w:rsidP="00DD264E">
            <w:pPr>
              <w:spacing w:after="0" w:line="240" w:lineRule="auto"/>
              <w:textAlignment w:val="baseline"/>
              <w:rPr>
                <w:rFonts w:ascii="Times New Roman" w:eastAsia="Times New Roman" w:hAnsi="Times New Roman" w:cs="Times New Roman"/>
                <w:i/>
                <w:iCs/>
                <w:sz w:val="24"/>
                <w:szCs w:val="24"/>
                <w:lang w:eastAsia="lv-LV"/>
              </w:rPr>
            </w:pPr>
            <w:r w:rsidRPr="00792271">
              <w:rPr>
                <w:rFonts w:ascii="Times New Roman" w:eastAsia="Times New Roman" w:hAnsi="Times New Roman" w:cs="Times New Roman"/>
                <w:i/>
                <w:iCs/>
                <w:sz w:val="24"/>
                <w:szCs w:val="24"/>
                <w:lang w:eastAsia="lv-LV"/>
              </w:rPr>
              <w:t>Neparedz stingrākas prasības</w:t>
            </w:r>
          </w:p>
        </w:tc>
      </w:tr>
      <w:tr w:rsidR="00DD264E" w:rsidRPr="006B4B8C" w14:paraId="3BC7C669" w14:textId="77777777" w:rsidTr="000856B2">
        <w:tc>
          <w:tcPr>
            <w:tcW w:w="1550" w:type="pct"/>
            <w:tcBorders>
              <w:top w:val="single" w:sz="4" w:space="0" w:color="auto"/>
              <w:left w:val="outset" w:sz="6" w:space="0" w:color="414142"/>
              <w:bottom w:val="outset" w:sz="6" w:space="0" w:color="414142"/>
              <w:right w:val="outset" w:sz="6" w:space="0" w:color="414142"/>
            </w:tcBorders>
            <w:shd w:val="clear" w:color="auto" w:fill="FFFFFF"/>
            <w:hideMark/>
          </w:tcPr>
          <w:p w14:paraId="0B3F013B" w14:textId="77777777" w:rsidR="00DD264E" w:rsidRPr="000F1826" w:rsidRDefault="00DD264E" w:rsidP="00951603">
            <w:pPr>
              <w:spacing w:after="0" w:line="240" w:lineRule="auto"/>
              <w:jc w:val="both"/>
              <w:rPr>
                <w:rFonts w:ascii="Times New Roman" w:eastAsia="Times New Roman" w:hAnsi="Times New Roman" w:cs="Times New Roman"/>
                <w:sz w:val="24"/>
                <w:szCs w:val="24"/>
                <w:lang w:eastAsia="lv-LV"/>
              </w:rPr>
            </w:pPr>
            <w:r w:rsidRPr="000F1826">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3450" w:type="pct"/>
            <w:gridSpan w:val="3"/>
            <w:tcBorders>
              <w:top w:val="single" w:sz="4" w:space="0" w:color="auto"/>
              <w:left w:val="single" w:sz="4" w:space="0" w:color="auto"/>
              <w:bottom w:val="single" w:sz="4" w:space="0" w:color="auto"/>
              <w:right w:val="single" w:sz="4" w:space="0" w:color="auto"/>
            </w:tcBorders>
            <w:hideMark/>
          </w:tcPr>
          <w:p w14:paraId="0B1EE870" w14:textId="592771E6" w:rsidR="00DD264E" w:rsidRPr="000F1826" w:rsidRDefault="00DD264E" w:rsidP="00DD264E">
            <w:pPr>
              <w:spacing w:after="0" w:line="240" w:lineRule="auto"/>
              <w:rPr>
                <w:rFonts w:ascii="Times New Roman" w:eastAsia="Times New Roman" w:hAnsi="Times New Roman" w:cs="Times New Roman"/>
                <w:sz w:val="24"/>
                <w:szCs w:val="24"/>
                <w:lang w:eastAsia="lv-LV"/>
              </w:rPr>
            </w:pPr>
            <w:r w:rsidRPr="000F1826">
              <w:rPr>
                <w:rFonts w:ascii="Times New Roman" w:eastAsia="Times New Roman" w:hAnsi="Times New Roman" w:cs="Times New Roman"/>
                <w:sz w:val="24"/>
                <w:szCs w:val="24"/>
              </w:rPr>
              <w:t>Projekts šo jomu neskar.</w:t>
            </w:r>
          </w:p>
        </w:tc>
      </w:tr>
      <w:tr w:rsidR="00DD264E" w:rsidRPr="006B4B8C" w14:paraId="1BE44695" w14:textId="77777777" w:rsidTr="000856B2">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7A138D0C" w14:textId="77777777" w:rsidR="00DD264E" w:rsidRPr="000F1826" w:rsidRDefault="00DD264E" w:rsidP="00951603">
            <w:pPr>
              <w:spacing w:after="0" w:line="240" w:lineRule="auto"/>
              <w:jc w:val="both"/>
              <w:rPr>
                <w:rFonts w:ascii="Times New Roman" w:eastAsia="Times New Roman" w:hAnsi="Times New Roman" w:cs="Times New Roman"/>
                <w:sz w:val="24"/>
                <w:szCs w:val="24"/>
                <w:lang w:eastAsia="lv-LV"/>
              </w:rPr>
            </w:pPr>
            <w:r w:rsidRPr="000F1826">
              <w:rPr>
                <w:rFonts w:ascii="Times New Roman" w:eastAsia="Times New Roman" w:hAnsi="Times New Roman" w:cs="Times New Roman"/>
                <w:sz w:val="24"/>
                <w:szCs w:val="24"/>
                <w:lang w:eastAsia="lv-LV"/>
              </w:rPr>
              <w:t xml:space="preserve">Saistības sniegt paziņojumu ES institūcijām un ES dalībvalstīm atbilstoši normatīvajiem </w:t>
            </w:r>
            <w:r w:rsidRPr="000F1826">
              <w:rPr>
                <w:rFonts w:ascii="Times New Roman" w:eastAsia="Times New Roman" w:hAnsi="Times New Roman" w:cs="Times New Roman"/>
                <w:sz w:val="24"/>
                <w:szCs w:val="24"/>
                <w:lang w:eastAsia="lv-LV"/>
              </w:rPr>
              <w:lastRenderedPageBreak/>
              <w:t>aktiem, kas regulē informācijas sniegšanu par tehnisko noteikumu, valsts atbalsta piešķiršanas un finanšu noteikumu (attiecībā uz monetāro politiku) projektiem</w:t>
            </w:r>
          </w:p>
        </w:tc>
        <w:tc>
          <w:tcPr>
            <w:tcW w:w="3450" w:type="pct"/>
            <w:gridSpan w:val="3"/>
            <w:tcBorders>
              <w:top w:val="single" w:sz="4" w:space="0" w:color="auto"/>
              <w:left w:val="single" w:sz="4" w:space="0" w:color="auto"/>
              <w:bottom w:val="single" w:sz="4" w:space="0" w:color="auto"/>
              <w:right w:val="single" w:sz="4" w:space="0" w:color="auto"/>
            </w:tcBorders>
            <w:hideMark/>
          </w:tcPr>
          <w:p w14:paraId="5B16FC92" w14:textId="3ACF0E75" w:rsidR="00DD264E" w:rsidRPr="000F1826" w:rsidRDefault="00DD264E" w:rsidP="00DD264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lastRenderedPageBreak/>
              <w:t>Projekts šo jomu neskar.</w:t>
            </w:r>
          </w:p>
        </w:tc>
      </w:tr>
      <w:tr w:rsidR="00DD264E" w:rsidRPr="006B4B8C" w14:paraId="23442530" w14:textId="77777777" w:rsidTr="000856B2">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1F7477EE" w14:textId="77777777" w:rsidR="00DD264E" w:rsidRPr="000F1826" w:rsidRDefault="00DD264E" w:rsidP="00951603">
            <w:pPr>
              <w:spacing w:after="0" w:line="240" w:lineRule="auto"/>
              <w:jc w:val="both"/>
              <w:rPr>
                <w:rFonts w:ascii="Times New Roman" w:eastAsia="Times New Roman" w:hAnsi="Times New Roman" w:cs="Times New Roman"/>
                <w:sz w:val="24"/>
                <w:szCs w:val="24"/>
                <w:lang w:eastAsia="lv-LV"/>
              </w:rPr>
            </w:pPr>
            <w:r w:rsidRPr="000F1826">
              <w:rPr>
                <w:rFonts w:ascii="Times New Roman" w:eastAsia="Times New Roman" w:hAnsi="Times New Roman" w:cs="Times New Roman"/>
                <w:sz w:val="24"/>
                <w:szCs w:val="24"/>
                <w:lang w:eastAsia="lv-LV"/>
              </w:rPr>
              <w:t>Cita informācija</w:t>
            </w:r>
          </w:p>
        </w:tc>
        <w:tc>
          <w:tcPr>
            <w:tcW w:w="3450" w:type="pct"/>
            <w:gridSpan w:val="3"/>
            <w:tcBorders>
              <w:top w:val="single" w:sz="4" w:space="0" w:color="auto"/>
              <w:left w:val="single" w:sz="4" w:space="0" w:color="auto"/>
              <w:bottom w:val="single" w:sz="4" w:space="0" w:color="auto"/>
              <w:right w:val="single" w:sz="4" w:space="0" w:color="auto"/>
            </w:tcBorders>
            <w:hideMark/>
          </w:tcPr>
          <w:p w14:paraId="5229A8F8" w14:textId="77777777" w:rsidR="00DD264E" w:rsidRPr="000F1826" w:rsidRDefault="00DD264E" w:rsidP="00DD264E">
            <w:pPr>
              <w:spacing w:after="0" w:line="240" w:lineRule="auto"/>
              <w:rPr>
                <w:rFonts w:ascii="Times New Roman" w:eastAsia="Times New Roman" w:hAnsi="Times New Roman" w:cs="Times New Roman"/>
                <w:sz w:val="24"/>
                <w:szCs w:val="24"/>
                <w:lang w:eastAsia="lv-LV"/>
              </w:rPr>
            </w:pPr>
            <w:r w:rsidRPr="000F1826">
              <w:rPr>
                <w:rFonts w:ascii="Times New Roman" w:eastAsia="Calibri" w:hAnsi="Times New Roman" w:cs="Times New Roman"/>
                <w:sz w:val="24"/>
                <w:szCs w:val="24"/>
              </w:rPr>
              <w:t>Nav.</w:t>
            </w:r>
          </w:p>
        </w:tc>
      </w:tr>
    </w:tbl>
    <w:p w14:paraId="19713036" w14:textId="77777777" w:rsidR="006B4B8C" w:rsidRPr="00AB0A81" w:rsidRDefault="006B4B8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070"/>
        <w:gridCol w:w="6437"/>
      </w:tblGrid>
      <w:tr w:rsidR="003D1800" w:rsidRPr="00AB0A81" w14:paraId="6229310D" w14:textId="77777777" w:rsidTr="00AB0A81">
        <w:trPr>
          <w:tblCellSpacing w:w="15" w:type="dxa"/>
        </w:trPr>
        <w:tc>
          <w:tcPr>
            <w:tcW w:w="10005" w:type="dxa"/>
            <w:gridSpan w:val="3"/>
            <w:tcBorders>
              <w:top w:val="outset" w:sz="6" w:space="0" w:color="auto"/>
              <w:left w:val="outset" w:sz="6" w:space="0" w:color="auto"/>
              <w:bottom w:val="outset" w:sz="6" w:space="0" w:color="auto"/>
              <w:right w:val="outset" w:sz="6" w:space="0" w:color="auto"/>
            </w:tcBorders>
            <w:vAlign w:val="center"/>
            <w:hideMark/>
          </w:tcPr>
          <w:p w14:paraId="3A121129" w14:textId="77777777" w:rsidR="00655F2C" w:rsidRPr="00AB0A8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3D1800" w:rsidRPr="00AB0A81" w14:paraId="20A56262" w14:textId="77777777" w:rsidTr="00AB0A8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14BB3C9"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1.</w:t>
            </w:r>
          </w:p>
        </w:tc>
        <w:tc>
          <w:tcPr>
            <w:tcW w:w="3040" w:type="dxa"/>
            <w:tcBorders>
              <w:top w:val="outset" w:sz="6" w:space="0" w:color="auto"/>
              <w:left w:val="outset" w:sz="6" w:space="0" w:color="auto"/>
              <w:bottom w:val="outset" w:sz="6" w:space="0" w:color="auto"/>
              <w:right w:val="outset" w:sz="6" w:space="0" w:color="auto"/>
            </w:tcBorders>
            <w:hideMark/>
          </w:tcPr>
          <w:p w14:paraId="303D0DB9" w14:textId="77777777" w:rsidR="00E5323B" w:rsidRPr="00AB0A81" w:rsidRDefault="00E5323B" w:rsidP="00951603">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6391" w:type="dxa"/>
            <w:tcBorders>
              <w:top w:val="outset" w:sz="6" w:space="0" w:color="auto"/>
              <w:left w:val="outset" w:sz="6" w:space="0" w:color="auto"/>
              <w:bottom w:val="outset" w:sz="6" w:space="0" w:color="auto"/>
              <w:right w:val="outset" w:sz="6" w:space="0" w:color="auto"/>
            </w:tcBorders>
            <w:hideMark/>
          </w:tcPr>
          <w:p w14:paraId="314434AB" w14:textId="77B928C1" w:rsidR="00E5323B" w:rsidRPr="00AB0A81" w:rsidRDefault="003935E7" w:rsidP="00F441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projekts konceptuāli izdiskutēts ar Latvijas Finanšu nozares asociāciju.</w:t>
            </w:r>
          </w:p>
        </w:tc>
      </w:tr>
      <w:tr w:rsidR="003D1800" w:rsidRPr="00AB0A81" w14:paraId="20F5A14F" w14:textId="77777777" w:rsidTr="00AB0A8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3BC106A" w14:textId="77777777" w:rsidR="0054488C" w:rsidRPr="00AB0A81"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2.</w:t>
            </w:r>
          </w:p>
        </w:tc>
        <w:tc>
          <w:tcPr>
            <w:tcW w:w="3040" w:type="dxa"/>
            <w:tcBorders>
              <w:top w:val="outset" w:sz="6" w:space="0" w:color="auto"/>
              <w:left w:val="outset" w:sz="6" w:space="0" w:color="auto"/>
              <w:bottom w:val="outset" w:sz="6" w:space="0" w:color="auto"/>
              <w:right w:val="outset" w:sz="6" w:space="0" w:color="auto"/>
            </w:tcBorders>
            <w:hideMark/>
          </w:tcPr>
          <w:p w14:paraId="60CE5892" w14:textId="77777777" w:rsidR="0054488C" w:rsidRPr="00AB0A81" w:rsidRDefault="0054488C" w:rsidP="00951603">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Sabiedrības līdzdalība projekta izstrādē</w:t>
            </w:r>
          </w:p>
        </w:tc>
        <w:tc>
          <w:tcPr>
            <w:tcW w:w="6391" w:type="dxa"/>
            <w:tcBorders>
              <w:top w:val="outset" w:sz="6" w:space="0" w:color="auto"/>
              <w:left w:val="outset" w:sz="6" w:space="0" w:color="auto"/>
              <w:bottom w:val="outset" w:sz="6" w:space="0" w:color="auto"/>
              <w:right w:val="outset" w:sz="6" w:space="0" w:color="auto"/>
            </w:tcBorders>
            <w:hideMark/>
          </w:tcPr>
          <w:p w14:paraId="6728BD5E" w14:textId="463697D2" w:rsidR="0054488C" w:rsidRPr="00AB0A81" w:rsidRDefault="0054488C" w:rsidP="00F441DB">
            <w:pPr>
              <w:spacing w:after="0" w:line="240" w:lineRule="auto"/>
              <w:jc w:val="both"/>
              <w:rPr>
                <w:rFonts w:ascii="Times New Roman" w:eastAsia="Times New Roman" w:hAnsi="Times New Roman" w:cs="Times New Roman"/>
                <w:iCs/>
                <w:color w:val="000000" w:themeColor="text1"/>
                <w:sz w:val="24"/>
                <w:szCs w:val="24"/>
                <w:lang w:eastAsia="lv-LV"/>
              </w:rPr>
            </w:pPr>
          </w:p>
        </w:tc>
      </w:tr>
      <w:tr w:rsidR="003D1800" w:rsidRPr="00AB0A81" w14:paraId="0F416249" w14:textId="77777777" w:rsidTr="00AB0A8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A3A053B" w14:textId="77777777" w:rsidR="0054488C" w:rsidRPr="00AB0A81"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3.</w:t>
            </w:r>
          </w:p>
        </w:tc>
        <w:tc>
          <w:tcPr>
            <w:tcW w:w="3040" w:type="dxa"/>
            <w:tcBorders>
              <w:top w:val="outset" w:sz="6" w:space="0" w:color="auto"/>
              <w:left w:val="outset" w:sz="6" w:space="0" w:color="auto"/>
              <w:bottom w:val="outset" w:sz="6" w:space="0" w:color="auto"/>
              <w:right w:val="outset" w:sz="6" w:space="0" w:color="auto"/>
            </w:tcBorders>
            <w:hideMark/>
          </w:tcPr>
          <w:p w14:paraId="6EE75E61" w14:textId="77777777" w:rsidR="0054488C" w:rsidRPr="00AB0A81" w:rsidRDefault="0054488C" w:rsidP="00951603">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Sabiedrības līdzdalības rezultāti</w:t>
            </w:r>
          </w:p>
        </w:tc>
        <w:tc>
          <w:tcPr>
            <w:tcW w:w="6391" w:type="dxa"/>
            <w:tcBorders>
              <w:top w:val="outset" w:sz="6" w:space="0" w:color="auto"/>
              <w:left w:val="outset" w:sz="6" w:space="0" w:color="auto"/>
              <w:bottom w:val="outset" w:sz="6" w:space="0" w:color="auto"/>
              <w:right w:val="outset" w:sz="6" w:space="0" w:color="auto"/>
            </w:tcBorders>
            <w:hideMark/>
          </w:tcPr>
          <w:p w14:paraId="3D1CA70D" w14:textId="7D7020E0" w:rsidR="0054488C" w:rsidRPr="00AB0A81" w:rsidRDefault="003935E7" w:rsidP="003935E7">
            <w:pPr>
              <w:spacing w:after="0" w:line="240" w:lineRule="auto"/>
              <w:jc w:val="both"/>
              <w:rPr>
                <w:rFonts w:ascii="Times New Roman" w:eastAsia="Times New Roman" w:hAnsi="Times New Roman" w:cs="Times New Roman"/>
                <w:iCs/>
                <w:color w:val="000000" w:themeColor="text1"/>
                <w:sz w:val="24"/>
                <w:szCs w:val="24"/>
                <w:lang w:eastAsia="lv-LV"/>
              </w:rPr>
            </w:pPr>
            <w:r w:rsidRPr="003935E7">
              <w:rPr>
                <w:rFonts w:ascii="Times New Roman" w:eastAsia="Times New Roman" w:hAnsi="Times New Roman" w:cs="Times New Roman"/>
                <w:iCs/>
                <w:color w:val="000000" w:themeColor="text1"/>
                <w:sz w:val="24"/>
                <w:szCs w:val="24"/>
                <w:lang w:eastAsia="lv-LV"/>
              </w:rPr>
              <w:t xml:space="preserve">Sabiedrības līdzdalības rezultātā tika saņemti atzinumi no </w:t>
            </w:r>
            <w:bookmarkStart w:id="3" w:name="_GoBack"/>
            <w:bookmarkEnd w:id="3"/>
            <w:r>
              <w:rPr>
                <w:rFonts w:ascii="Times New Roman" w:eastAsia="Times New Roman" w:hAnsi="Times New Roman" w:cs="Times New Roman"/>
                <w:iCs/>
                <w:color w:val="000000" w:themeColor="text1"/>
                <w:sz w:val="24"/>
                <w:szCs w:val="24"/>
                <w:lang w:eastAsia="lv-LV"/>
              </w:rPr>
              <w:t>Latvijas Finanšu nozares asociācijas.</w:t>
            </w:r>
          </w:p>
        </w:tc>
      </w:tr>
      <w:tr w:rsidR="003D1800" w:rsidRPr="00AB0A81" w14:paraId="4B72EE77" w14:textId="77777777" w:rsidTr="00AB0A8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A6445B6" w14:textId="77777777" w:rsidR="0054488C" w:rsidRPr="00AB0A81"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4.</w:t>
            </w:r>
          </w:p>
        </w:tc>
        <w:tc>
          <w:tcPr>
            <w:tcW w:w="3040" w:type="dxa"/>
            <w:tcBorders>
              <w:top w:val="outset" w:sz="6" w:space="0" w:color="auto"/>
              <w:left w:val="outset" w:sz="6" w:space="0" w:color="auto"/>
              <w:bottom w:val="outset" w:sz="6" w:space="0" w:color="auto"/>
              <w:right w:val="outset" w:sz="6" w:space="0" w:color="auto"/>
            </w:tcBorders>
            <w:hideMark/>
          </w:tcPr>
          <w:p w14:paraId="53D343FD" w14:textId="77777777" w:rsidR="0054488C" w:rsidRPr="00AB0A81" w:rsidRDefault="0054488C" w:rsidP="00951603">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Cita informācija</w:t>
            </w:r>
          </w:p>
        </w:tc>
        <w:tc>
          <w:tcPr>
            <w:tcW w:w="6391" w:type="dxa"/>
            <w:tcBorders>
              <w:top w:val="outset" w:sz="6" w:space="0" w:color="auto"/>
              <w:left w:val="outset" w:sz="6" w:space="0" w:color="auto"/>
              <w:bottom w:val="outset" w:sz="6" w:space="0" w:color="auto"/>
              <w:right w:val="outset" w:sz="6" w:space="0" w:color="auto"/>
            </w:tcBorders>
            <w:hideMark/>
          </w:tcPr>
          <w:p w14:paraId="6AE417D3" w14:textId="041FE70B" w:rsidR="0054488C" w:rsidRPr="00AB0A81"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Nav</w:t>
            </w:r>
          </w:p>
        </w:tc>
      </w:tr>
    </w:tbl>
    <w:p w14:paraId="13332BF7"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0"/>
        <w:gridCol w:w="6438"/>
      </w:tblGrid>
      <w:tr w:rsidR="00E5323B" w:rsidRPr="00AB0A81" w14:paraId="4F16FFF2" w14:textId="77777777" w:rsidTr="00AB0A8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D2A6950" w14:textId="77777777" w:rsidR="00655F2C" w:rsidRPr="00AB0A8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E5323B" w:rsidRPr="00AB0A81" w14:paraId="6FBF5536" w14:textId="77777777" w:rsidTr="00AB0A81">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4065D79B"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1E0D3658" w14:textId="77777777" w:rsidR="00E5323B" w:rsidRPr="00AB0A81" w:rsidRDefault="00E5323B" w:rsidP="00951603">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Projekta izpildē iesaistītās institūcijas</w:t>
            </w:r>
          </w:p>
        </w:tc>
        <w:tc>
          <w:tcPr>
            <w:tcW w:w="3165" w:type="pct"/>
            <w:tcBorders>
              <w:top w:val="outset" w:sz="6" w:space="0" w:color="auto"/>
              <w:left w:val="outset" w:sz="6" w:space="0" w:color="auto"/>
              <w:bottom w:val="outset" w:sz="6" w:space="0" w:color="auto"/>
              <w:right w:val="outset" w:sz="6" w:space="0" w:color="auto"/>
            </w:tcBorders>
            <w:hideMark/>
          </w:tcPr>
          <w:p w14:paraId="7BEA8A0F" w14:textId="0D98F458" w:rsidR="00E5323B" w:rsidRPr="00AB0A81" w:rsidRDefault="00ED2B23"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projekta izpildi nodrošinās Ekonomikas ministrija un Altum.</w:t>
            </w:r>
          </w:p>
        </w:tc>
      </w:tr>
      <w:tr w:rsidR="00E5323B" w:rsidRPr="00AB0A81" w14:paraId="31844BE1" w14:textId="77777777" w:rsidTr="00AB0A81">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1A34EAE3"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7B23BA16" w14:textId="77777777" w:rsidR="00E5323B" w:rsidRPr="00AB0A81" w:rsidRDefault="00E5323B" w:rsidP="00951603">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AB0A81">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165" w:type="pct"/>
            <w:tcBorders>
              <w:top w:val="outset" w:sz="6" w:space="0" w:color="auto"/>
              <w:left w:val="outset" w:sz="6" w:space="0" w:color="auto"/>
              <w:bottom w:val="outset" w:sz="6" w:space="0" w:color="auto"/>
              <w:right w:val="outset" w:sz="6" w:space="0" w:color="auto"/>
            </w:tcBorders>
            <w:hideMark/>
          </w:tcPr>
          <w:p w14:paraId="727FE9A3" w14:textId="3FE28280" w:rsidR="00ED2B23" w:rsidRPr="00AB0A81" w:rsidRDefault="00ED2B23"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projekta izpilde tiks nodrošināta Altum esošo funkciju ietvaros, nav nepieciešams izveidot jaunas institūcijas, likvidēt esošas institūcijas vai veikt reorganizāciju.</w:t>
            </w:r>
          </w:p>
          <w:p w14:paraId="24A6E3F7" w14:textId="30330874" w:rsidR="00E5323B" w:rsidRPr="00AB0A81" w:rsidRDefault="00ED2B23"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projekta izpilde tiks organizēta esošo cilvēkresursu ietvaros.</w:t>
            </w:r>
          </w:p>
        </w:tc>
      </w:tr>
      <w:tr w:rsidR="003D1800" w:rsidRPr="00AB0A81" w14:paraId="55C28117" w14:textId="77777777" w:rsidTr="00AB0A81">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3B5FC5B7"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3.</w:t>
            </w:r>
          </w:p>
        </w:tc>
        <w:tc>
          <w:tcPr>
            <w:tcW w:w="1509" w:type="pct"/>
            <w:tcBorders>
              <w:top w:val="outset" w:sz="6" w:space="0" w:color="auto"/>
              <w:left w:val="outset" w:sz="6" w:space="0" w:color="auto"/>
              <w:bottom w:val="outset" w:sz="6" w:space="0" w:color="auto"/>
              <w:right w:val="outset" w:sz="6" w:space="0" w:color="auto"/>
            </w:tcBorders>
            <w:hideMark/>
          </w:tcPr>
          <w:p w14:paraId="6430C230"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Cita informācija</w:t>
            </w:r>
          </w:p>
        </w:tc>
        <w:tc>
          <w:tcPr>
            <w:tcW w:w="3165" w:type="pct"/>
            <w:tcBorders>
              <w:top w:val="outset" w:sz="6" w:space="0" w:color="auto"/>
              <w:left w:val="outset" w:sz="6" w:space="0" w:color="auto"/>
              <w:bottom w:val="outset" w:sz="6" w:space="0" w:color="auto"/>
              <w:right w:val="outset" w:sz="6" w:space="0" w:color="auto"/>
            </w:tcBorders>
            <w:hideMark/>
          </w:tcPr>
          <w:p w14:paraId="3D969AEE" w14:textId="26582176" w:rsidR="00E5323B" w:rsidRPr="00AB0A81" w:rsidRDefault="00ED2B23"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Nav</w:t>
            </w:r>
          </w:p>
        </w:tc>
      </w:tr>
    </w:tbl>
    <w:p w14:paraId="21DF2706" w14:textId="529538E5" w:rsidR="00C25B49" w:rsidRDefault="00C25B49" w:rsidP="00894C55">
      <w:pPr>
        <w:spacing w:after="0" w:line="240" w:lineRule="auto"/>
        <w:rPr>
          <w:rFonts w:ascii="Times New Roman" w:hAnsi="Times New Roman" w:cs="Times New Roman"/>
          <w:color w:val="000000" w:themeColor="text1"/>
          <w:sz w:val="24"/>
          <w:szCs w:val="24"/>
        </w:rPr>
      </w:pPr>
    </w:p>
    <w:p w14:paraId="41B47C5D" w14:textId="4413C717" w:rsidR="00474881" w:rsidRDefault="00474881" w:rsidP="00894C55">
      <w:pPr>
        <w:spacing w:after="0" w:line="240" w:lineRule="auto"/>
        <w:rPr>
          <w:rFonts w:ascii="Times New Roman" w:hAnsi="Times New Roman" w:cs="Times New Roman"/>
          <w:color w:val="000000" w:themeColor="text1"/>
          <w:sz w:val="24"/>
          <w:szCs w:val="24"/>
        </w:rPr>
      </w:pPr>
    </w:p>
    <w:p w14:paraId="45C985E3" w14:textId="5F2228B5" w:rsidR="00474881" w:rsidRDefault="00474881" w:rsidP="00894C55">
      <w:pPr>
        <w:spacing w:after="0" w:line="240" w:lineRule="auto"/>
        <w:rPr>
          <w:rFonts w:ascii="Times New Roman" w:hAnsi="Times New Roman" w:cs="Times New Roman"/>
          <w:color w:val="000000" w:themeColor="text1"/>
          <w:sz w:val="24"/>
          <w:szCs w:val="24"/>
        </w:rPr>
      </w:pPr>
    </w:p>
    <w:p w14:paraId="3C80A064" w14:textId="77777777" w:rsidR="00474881" w:rsidRPr="00AB0A81" w:rsidRDefault="00474881" w:rsidP="00894C55">
      <w:pPr>
        <w:spacing w:after="0" w:line="240" w:lineRule="auto"/>
        <w:rPr>
          <w:rFonts w:ascii="Times New Roman" w:hAnsi="Times New Roman" w:cs="Times New Roman"/>
          <w:color w:val="000000" w:themeColor="text1"/>
          <w:sz w:val="24"/>
          <w:szCs w:val="24"/>
        </w:rPr>
      </w:pPr>
    </w:p>
    <w:p w14:paraId="035025EF" w14:textId="1837F9A1" w:rsidR="00ED2B23" w:rsidRPr="00AB0A81" w:rsidRDefault="00ED2B23" w:rsidP="008444D1">
      <w:pPr>
        <w:tabs>
          <w:tab w:val="left" w:pos="7655"/>
        </w:tabs>
        <w:contextualSpacing/>
        <w:rPr>
          <w:rFonts w:ascii="Times New Roman" w:hAnsi="Times New Roman" w:cs="Times New Roman"/>
          <w:color w:val="000000" w:themeColor="text1"/>
          <w:sz w:val="24"/>
          <w:szCs w:val="24"/>
        </w:rPr>
      </w:pPr>
      <w:r w:rsidRPr="00AB0A81">
        <w:rPr>
          <w:rFonts w:ascii="Times New Roman" w:hAnsi="Times New Roman" w:cs="Times New Roman"/>
          <w:color w:val="000000" w:themeColor="text1"/>
          <w:sz w:val="24"/>
          <w:szCs w:val="24"/>
        </w:rPr>
        <w:t>Ekonomikas ministrs</w:t>
      </w:r>
      <w:r w:rsidRPr="00AB0A81">
        <w:rPr>
          <w:rFonts w:ascii="Times New Roman" w:hAnsi="Times New Roman" w:cs="Times New Roman"/>
          <w:color w:val="000000" w:themeColor="text1"/>
          <w:sz w:val="24"/>
          <w:szCs w:val="24"/>
        </w:rPr>
        <w:tab/>
      </w:r>
      <w:r w:rsidR="008444D1" w:rsidRPr="00AB0A81">
        <w:rPr>
          <w:rFonts w:ascii="Times New Roman" w:hAnsi="Times New Roman" w:cs="Times New Roman"/>
          <w:color w:val="000000" w:themeColor="text1"/>
          <w:sz w:val="24"/>
          <w:szCs w:val="24"/>
        </w:rPr>
        <w:t>J. Vitenbergs</w:t>
      </w:r>
    </w:p>
    <w:p w14:paraId="0EEA8406" w14:textId="5209918E" w:rsidR="00ED2B23" w:rsidRDefault="00ED2B23" w:rsidP="00ED2B23">
      <w:pPr>
        <w:contextualSpacing/>
        <w:rPr>
          <w:rFonts w:ascii="Times New Roman" w:hAnsi="Times New Roman" w:cs="Times New Roman"/>
          <w:color w:val="000000" w:themeColor="text1"/>
          <w:sz w:val="24"/>
          <w:szCs w:val="24"/>
        </w:rPr>
      </w:pPr>
    </w:p>
    <w:p w14:paraId="5421E37B" w14:textId="3320B8EE" w:rsidR="00972930" w:rsidRDefault="00972930" w:rsidP="00ED2B23">
      <w:pPr>
        <w:contextualSpacing/>
        <w:rPr>
          <w:rFonts w:ascii="Times New Roman" w:hAnsi="Times New Roman" w:cs="Times New Roman"/>
          <w:color w:val="000000" w:themeColor="text1"/>
          <w:sz w:val="24"/>
          <w:szCs w:val="24"/>
        </w:rPr>
      </w:pPr>
    </w:p>
    <w:p w14:paraId="096354BC" w14:textId="77777777" w:rsidR="00972930" w:rsidRPr="00AB0A81" w:rsidRDefault="00972930" w:rsidP="00ED2B23">
      <w:pPr>
        <w:contextualSpacing/>
        <w:rPr>
          <w:rFonts w:ascii="Times New Roman" w:hAnsi="Times New Roman" w:cs="Times New Roman"/>
          <w:color w:val="000000" w:themeColor="text1"/>
          <w:sz w:val="24"/>
          <w:szCs w:val="24"/>
        </w:rPr>
      </w:pPr>
    </w:p>
    <w:p w14:paraId="199C3C02" w14:textId="70B0639D" w:rsidR="00894C55" w:rsidRPr="007230FE" w:rsidRDefault="00ED2B23" w:rsidP="007230FE">
      <w:pPr>
        <w:tabs>
          <w:tab w:val="left" w:pos="7938"/>
        </w:tabs>
        <w:contextualSpacing/>
        <w:rPr>
          <w:rFonts w:ascii="Times New Roman" w:hAnsi="Times New Roman" w:cs="Times New Roman"/>
          <w:color w:val="000000" w:themeColor="text1"/>
          <w:sz w:val="24"/>
          <w:szCs w:val="24"/>
        </w:rPr>
      </w:pPr>
      <w:r w:rsidRPr="00AB0A81">
        <w:rPr>
          <w:rFonts w:ascii="Times New Roman" w:hAnsi="Times New Roman" w:cs="Times New Roman"/>
          <w:color w:val="000000" w:themeColor="text1"/>
          <w:sz w:val="24"/>
          <w:szCs w:val="24"/>
        </w:rPr>
        <w:t>Vīza: Valsts sekretār</w:t>
      </w:r>
      <w:r w:rsidR="007230FE">
        <w:rPr>
          <w:rFonts w:ascii="Times New Roman" w:hAnsi="Times New Roman" w:cs="Times New Roman"/>
          <w:color w:val="000000" w:themeColor="text1"/>
          <w:sz w:val="24"/>
          <w:szCs w:val="24"/>
        </w:rPr>
        <w:t>s</w:t>
      </w:r>
      <w:r w:rsidR="007230FE">
        <w:rPr>
          <w:rFonts w:ascii="Times New Roman" w:hAnsi="Times New Roman" w:cs="Times New Roman"/>
          <w:color w:val="000000" w:themeColor="text1"/>
          <w:sz w:val="24"/>
          <w:szCs w:val="24"/>
        </w:rPr>
        <w:tab/>
        <w:t>E.Valantis</w:t>
      </w:r>
    </w:p>
    <w:p w14:paraId="21FD4C76" w14:textId="429B9675" w:rsidR="0074044E" w:rsidRDefault="0074044E" w:rsidP="00841A28">
      <w:pPr>
        <w:tabs>
          <w:tab w:val="left" w:pos="6237"/>
        </w:tabs>
        <w:spacing w:after="0" w:line="240" w:lineRule="auto"/>
        <w:rPr>
          <w:rFonts w:ascii="Times New Roman" w:hAnsi="Times New Roman" w:cs="Times New Roman"/>
          <w:color w:val="000000" w:themeColor="text1"/>
          <w:sz w:val="20"/>
          <w:szCs w:val="20"/>
        </w:rPr>
      </w:pPr>
    </w:p>
    <w:p w14:paraId="65E7D507" w14:textId="09E4552C" w:rsidR="00C51A6A" w:rsidRDefault="00C51A6A" w:rsidP="00841A28">
      <w:pPr>
        <w:tabs>
          <w:tab w:val="left" w:pos="6237"/>
        </w:tabs>
        <w:spacing w:after="0" w:line="240" w:lineRule="auto"/>
        <w:rPr>
          <w:rFonts w:ascii="Times New Roman" w:hAnsi="Times New Roman" w:cs="Times New Roman"/>
          <w:color w:val="000000" w:themeColor="text1"/>
          <w:sz w:val="20"/>
          <w:szCs w:val="20"/>
        </w:rPr>
      </w:pPr>
    </w:p>
    <w:p w14:paraId="17A4347B" w14:textId="117E0EB4" w:rsidR="00C51A6A" w:rsidRDefault="00C51A6A" w:rsidP="00841A28">
      <w:pPr>
        <w:tabs>
          <w:tab w:val="left" w:pos="6237"/>
        </w:tabs>
        <w:spacing w:after="0" w:line="240" w:lineRule="auto"/>
        <w:rPr>
          <w:rFonts w:ascii="Times New Roman" w:hAnsi="Times New Roman" w:cs="Times New Roman"/>
          <w:color w:val="000000" w:themeColor="text1"/>
          <w:sz w:val="20"/>
          <w:szCs w:val="20"/>
        </w:rPr>
      </w:pPr>
    </w:p>
    <w:p w14:paraId="7433BAEF" w14:textId="5E0E4C84" w:rsidR="00C51A6A" w:rsidRPr="00AB0A81" w:rsidRDefault="00C51A6A" w:rsidP="00841A28">
      <w:pPr>
        <w:tabs>
          <w:tab w:val="left" w:pos="6237"/>
        </w:tabs>
        <w:spacing w:after="0" w:line="240" w:lineRule="auto"/>
        <w:rPr>
          <w:rFonts w:ascii="Times New Roman" w:hAnsi="Times New Roman" w:cs="Times New Roman"/>
          <w:color w:val="000000" w:themeColor="text1"/>
          <w:sz w:val="20"/>
          <w:szCs w:val="20"/>
        </w:rPr>
      </w:pPr>
    </w:p>
    <w:sectPr w:rsidR="00C51A6A" w:rsidRPr="00AB0A81" w:rsidSect="006A26A2">
      <w:headerReference w:type="default" r:id="rId8"/>
      <w:footerReference w:type="default" r:id="rId9"/>
      <w:footerReference w:type="first" r:id="rId10"/>
      <w:pgSz w:w="11906" w:h="16838"/>
      <w:pgMar w:top="1276"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EF207" w16cex:dateUtc="2021-07-06T12: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FD511" w14:textId="77777777" w:rsidR="000814B4" w:rsidRDefault="000814B4" w:rsidP="00894C55">
      <w:pPr>
        <w:spacing w:after="0" w:line="240" w:lineRule="auto"/>
      </w:pPr>
      <w:r>
        <w:separator/>
      </w:r>
    </w:p>
  </w:endnote>
  <w:endnote w:type="continuationSeparator" w:id="0">
    <w:p w14:paraId="0A0CBBAD" w14:textId="77777777" w:rsidR="000814B4" w:rsidRDefault="000814B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91F4" w14:textId="437A86CB" w:rsidR="00C10407" w:rsidRPr="00D34EE3" w:rsidRDefault="00FD39E3" w:rsidP="00D34EE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C668A">
      <w:rPr>
        <w:rFonts w:ascii="Times New Roman" w:hAnsi="Times New Roman" w:cs="Times New Roman"/>
        <w:noProof/>
        <w:sz w:val="20"/>
        <w:szCs w:val="20"/>
      </w:rPr>
      <w:t>EMAnot_</w:t>
    </w:r>
    <w:r w:rsidR="00B76D90">
      <w:rPr>
        <w:rFonts w:ascii="Times New Roman" w:hAnsi="Times New Roman" w:cs="Times New Roman"/>
        <w:noProof/>
        <w:sz w:val="20"/>
        <w:szCs w:val="20"/>
      </w:rPr>
      <w:t>30</w:t>
    </w:r>
    <w:r w:rsidR="00AC668A">
      <w:rPr>
        <w:rFonts w:ascii="Times New Roman" w:hAnsi="Times New Roman" w:cs="Times New Roman"/>
        <w:noProof/>
        <w:sz w:val="20"/>
        <w:szCs w:val="20"/>
      </w:rPr>
      <w:t>072021_GrozMKN160.docx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9950" w14:textId="067BE028" w:rsidR="00700481" w:rsidRPr="00FA1F16" w:rsidRDefault="00AC668A" w:rsidP="00FA1F16">
    <w:pPr>
      <w:pStyle w:val="Footer"/>
      <w:rPr>
        <w:rFonts w:ascii="Times New Roman" w:hAnsi="Times New Roman" w:cs="Times New Roman"/>
        <w:sz w:val="20"/>
        <w:szCs w:val="20"/>
      </w:rPr>
    </w:pPr>
    <w:r w:rsidRPr="00AC668A">
      <w:rPr>
        <w:rFonts w:ascii="Times New Roman" w:hAnsi="Times New Roman" w:cs="Times New Roman"/>
        <w:sz w:val="20"/>
        <w:szCs w:val="20"/>
      </w:rPr>
      <w:t>EMAnot_</w:t>
    </w:r>
    <w:r w:rsidR="00B76D90">
      <w:rPr>
        <w:rFonts w:ascii="Times New Roman" w:hAnsi="Times New Roman" w:cs="Times New Roman"/>
        <w:sz w:val="20"/>
        <w:szCs w:val="20"/>
      </w:rPr>
      <w:t>30</w:t>
    </w:r>
    <w:r w:rsidR="00B76D90" w:rsidRPr="00AC668A">
      <w:rPr>
        <w:rFonts w:ascii="Times New Roman" w:hAnsi="Times New Roman" w:cs="Times New Roman"/>
        <w:sz w:val="20"/>
        <w:szCs w:val="20"/>
      </w:rPr>
      <w:t>072021</w:t>
    </w:r>
    <w:r w:rsidRPr="00AC668A">
      <w:rPr>
        <w:rFonts w:ascii="Times New Roman" w:hAnsi="Times New Roman" w:cs="Times New Roman"/>
        <w:sz w:val="20"/>
        <w:szCs w:val="20"/>
      </w:rPr>
      <w:t>_GrozMKN160.docx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C650" w14:textId="77777777" w:rsidR="000814B4" w:rsidRDefault="000814B4" w:rsidP="00894C55">
      <w:pPr>
        <w:spacing w:after="0" w:line="240" w:lineRule="auto"/>
      </w:pPr>
      <w:r>
        <w:separator/>
      </w:r>
    </w:p>
  </w:footnote>
  <w:footnote w:type="continuationSeparator" w:id="0">
    <w:p w14:paraId="08214978" w14:textId="77777777" w:rsidR="000814B4" w:rsidRDefault="000814B4" w:rsidP="00894C55">
      <w:pPr>
        <w:spacing w:after="0" w:line="240" w:lineRule="auto"/>
      </w:pPr>
      <w:r>
        <w:continuationSeparator/>
      </w:r>
    </w:p>
  </w:footnote>
  <w:footnote w:id="1">
    <w:p w14:paraId="0B2FE407" w14:textId="77777777" w:rsidR="00870110" w:rsidRPr="00630E07" w:rsidRDefault="00870110" w:rsidP="00870110">
      <w:pPr>
        <w:pStyle w:val="FootnoteText"/>
        <w:rPr>
          <w:rFonts w:ascii="Times New Roman" w:hAnsi="Times New Roman" w:cs="Times New Roman"/>
        </w:rPr>
      </w:pPr>
      <w:r w:rsidRPr="00630E07">
        <w:rPr>
          <w:rStyle w:val="FootnoteReference"/>
          <w:rFonts w:ascii="Times New Roman" w:hAnsi="Times New Roman" w:cs="Times New Roman"/>
        </w:rPr>
        <w:footnoteRef/>
      </w:r>
      <w:r w:rsidRPr="00630E07">
        <w:rPr>
          <w:rFonts w:ascii="Times New Roman" w:hAnsi="Times New Roman" w:cs="Times New Roman"/>
        </w:rPr>
        <w:t xml:space="preserve"> https://www.altum.lv/files/dme_korekciju_cenradis.pdf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02FF69F" w14:textId="65C80D68" w:rsidR="00700481" w:rsidRPr="00C25B49" w:rsidRDefault="0070048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26A10">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2D1"/>
    <w:multiLevelType w:val="hybridMultilevel"/>
    <w:tmpl w:val="B23E61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A60350"/>
    <w:multiLevelType w:val="hybridMultilevel"/>
    <w:tmpl w:val="EAD2FE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B35A1"/>
    <w:multiLevelType w:val="multilevel"/>
    <w:tmpl w:val="557CE1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0CE14A0F"/>
    <w:multiLevelType w:val="multilevel"/>
    <w:tmpl w:val="E65CEFF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0FED2B95"/>
    <w:multiLevelType w:val="hybridMultilevel"/>
    <w:tmpl w:val="87E61B9E"/>
    <w:lvl w:ilvl="0" w:tplc="03AE850E">
      <w:start w:val="1"/>
      <w:numFmt w:val="decimal"/>
      <w:lvlText w:val="%1)"/>
      <w:lvlJc w:val="left"/>
      <w:pPr>
        <w:ind w:left="360" w:hanging="360"/>
      </w:pPr>
      <w:rPr>
        <w:rFonts w:hint="default"/>
        <w:b/>
        <w:bCs w:val="0"/>
        <w:i/>
        <w:iCs/>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2D7570"/>
    <w:multiLevelType w:val="hybridMultilevel"/>
    <w:tmpl w:val="20FE20B4"/>
    <w:lvl w:ilvl="0" w:tplc="04260011">
      <w:start w:val="1"/>
      <w:numFmt w:val="decimal"/>
      <w:lvlText w:val="%1)"/>
      <w:lvlJc w:val="left"/>
      <w:pPr>
        <w:ind w:left="1329" w:hanging="360"/>
      </w:p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abstractNum w:abstractNumId="6" w15:restartNumberingAfterBreak="0">
    <w:nsid w:val="2BD836B4"/>
    <w:multiLevelType w:val="multilevel"/>
    <w:tmpl w:val="D408C0C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C114067"/>
    <w:multiLevelType w:val="hybridMultilevel"/>
    <w:tmpl w:val="3FE834AC"/>
    <w:lvl w:ilvl="0" w:tplc="37F8972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5B01A9"/>
    <w:multiLevelType w:val="multilevel"/>
    <w:tmpl w:val="D408C0C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342C2D96"/>
    <w:multiLevelType w:val="hybridMultilevel"/>
    <w:tmpl w:val="2E0E51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41FF23F0"/>
    <w:multiLevelType w:val="hybridMultilevel"/>
    <w:tmpl w:val="55FAD448"/>
    <w:lvl w:ilvl="0" w:tplc="A0A8FAE2">
      <w:start w:val="1"/>
      <w:numFmt w:val="decimal"/>
      <w:lvlText w:val="%1."/>
      <w:lvlJc w:val="left"/>
      <w:pPr>
        <w:ind w:left="864" w:hanging="360"/>
      </w:pPr>
      <w:rPr>
        <w:rFonts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11" w15:restartNumberingAfterBreak="0">
    <w:nsid w:val="455478B8"/>
    <w:multiLevelType w:val="hybridMultilevel"/>
    <w:tmpl w:val="06C06286"/>
    <w:lvl w:ilvl="0" w:tplc="A9DE4F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7E464D"/>
    <w:multiLevelType w:val="hybridMultilevel"/>
    <w:tmpl w:val="FF644466"/>
    <w:lvl w:ilvl="0" w:tplc="7D6C13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4025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9A2A95"/>
    <w:multiLevelType w:val="hybridMultilevel"/>
    <w:tmpl w:val="D5BE66CE"/>
    <w:lvl w:ilvl="0" w:tplc="63CA92F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B8E7898"/>
    <w:multiLevelType w:val="hybridMultilevel"/>
    <w:tmpl w:val="4D68E83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8" w15:restartNumberingAfterBreak="0">
    <w:nsid w:val="6DCE5455"/>
    <w:multiLevelType w:val="hybridMultilevel"/>
    <w:tmpl w:val="03AE8CF4"/>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9" w15:restartNumberingAfterBreak="0">
    <w:nsid w:val="7C4C5125"/>
    <w:multiLevelType w:val="hybridMultilevel"/>
    <w:tmpl w:val="700ABCFA"/>
    <w:lvl w:ilvl="0" w:tplc="669CDAE6">
      <w:start w:val="1"/>
      <w:numFmt w:val="decimal"/>
      <w:lvlText w:val="%1."/>
      <w:lvlJc w:val="left"/>
      <w:pPr>
        <w:ind w:left="360" w:hanging="360"/>
      </w:pPr>
      <w:rPr>
        <w:b/>
        <w:bCs/>
        <w:i/>
        <w:iCs/>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D514DD7"/>
    <w:multiLevelType w:val="hybridMultilevel"/>
    <w:tmpl w:val="CC265FBC"/>
    <w:lvl w:ilvl="0" w:tplc="04260011">
      <w:start w:val="1"/>
      <w:numFmt w:val="decimal"/>
      <w:lvlText w:val="%1)"/>
      <w:lvlJc w:val="left"/>
      <w:pPr>
        <w:ind w:left="1253" w:hanging="360"/>
      </w:pPr>
    </w:lvl>
    <w:lvl w:ilvl="1" w:tplc="04260019" w:tentative="1">
      <w:start w:val="1"/>
      <w:numFmt w:val="lowerLetter"/>
      <w:lvlText w:val="%2."/>
      <w:lvlJc w:val="left"/>
      <w:pPr>
        <w:ind w:left="1973" w:hanging="360"/>
      </w:pPr>
    </w:lvl>
    <w:lvl w:ilvl="2" w:tplc="0426001B" w:tentative="1">
      <w:start w:val="1"/>
      <w:numFmt w:val="lowerRoman"/>
      <w:lvlText w:val="%3."/>
      <w:lvlJc w:val="right"/>
      <w:pPr>
        <w:ind w:left="2693" w:hanging="180"/>
      </w:pPr>
    </w:lvl>
    <w:lvl w:ilvl="3" w:tplc="0426000F" w:tentative="1">
      <w:start w:val="1"/>
      <w:numFmt w:val="decimal"/>
      <w:lvlText w:val="%4."/>
      <w:lvlJc w:val="left"/>
      <w:pPr>
        <w:ind w:left="3413" w:hanging="360"/>
      </w:pPr>
    </w:lvl>
    <w:lvl w:ilvl="4" w:tplc="04260019" w:tentative="1">
      <w:start w:val="1"/>
      <w:numFmt w:val="lowerLetter"/>
      <w:lvlText w:val="%5."/>
      <w:lvlJc w:val="left"/>
      <w:pPr>
        <w:ind w:left="4133" w:hanging="360"/>
      </w:pPr>
    </w:lvl>
    <w:lvl w:ilvl="5" w:tplc="0426001B" w:tentative="1">
      <w:start w:val="1"/>
      <w:numFmt w:val="lowerRoman"/>
      <w:lvlText w:val="%6."/>
      <w:lvlJc w:val="right"/>
      <w:pPr>
        <w:ind w:left="4853" w:hanging="180"/>
      </w:pPr>
    </w:lvl>
    <w:lvl w:ilvl="6" w:tplc="0426000F" w:tentative="1">
      <w:start w:val="1"/>
      <w:numFmt w:val="decimal"/>
      <w:lvlText w:val="%7."/>
      <w:lvlJc w:val="left"/>
      <w:pPr>
        <w:ind w:left="5573" w:hanging="360"/>
      </w:pPr>
    </w:lvl>
    <w:lvl w:ilvl="7" w:tplc="04260019" w:tentative="1">
      <w:start w:val="1"/>
      <w:numFmt w:val="lowerLetter"/>
      <w:lvlText w:val="%8."/>
      <w:lvlJc w:val="left"/>
      <w:pPr>
        <w:ind w:left="6293" w:hanging="360"/>
      </w:pPr>
    </w:lvl>
    <w:lvl w:ilvl="8" w:tplc="0426001B" w:tentative="1">
      <w:start w:val="1"/>
      <w:numFmt w:val="lowerRoman"/>
      <w:lvlText w:val="%9."/>
      <w:lvlJc w:val="right"/>
      <w:pPr>
        <w:ind w:left="7013" w:hanging="180"/>
      </w:pPr>
    </w:lvl>
  </w:abstractNum>
  <w:abstractNum w:abstractNumId="21" w15:restartNumberingAfterBreak="0">
    <w:nsid w:val="7E37648A"/>
    <w:multiLevelType w:val="hybridMultilevel"/>
    <w:tmpl w:val="9E84D716"/>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num w:numId="1">
    <w:abstractNumId w:val="5"/>
  </w:num>
  <w:num w:numId="2">
    <w:abstractNumId w:val="19"/>
  </w:num>
  <w:num w:numId="3">
    <w:abstractNumId w:val="20"/>
  </w:num>
  <w:num w:numId="4">
    <w:abstractNumId w:val="16"/>
  </w:num>
  <w:num w:numId="5">
    <w:abstractNumId w:val="3"/>
  </w:num>
  <w:num w:numId="6">
    <w:abstractNumId w:val="8"/>
  </w:num>
  <w:num w:numId="7">
    <w:abstractNumId w:val="2"/>
  </w:num>
  <w:num w:numId="8">
    <w:abstractNumId w:val="6"/>
  </w:num>
  <w:num w:numId="9">
    <w:abstractNumId w:val="11"/>
  </w:num>
  <w:num w:numId="10">
    <w:abstractNumId w:val="15"/>
  </w:num>
  <w:num w:numId="11">
    <w:abstractNumId w:val="10"/>
  </w:num>
  <w:num w:numId="12">
    <w:abstractNumId w:val="0"/>
  </w:num>
  <w:num w:numId="13">
    <w:abstractNumId w:val="1"/>
  </w:num>
  <w:num w:numId="14">
    <w:abstractNumId w:val="4"/>
  </w:num>
  <w:num w:numId="15">
    <w:abstractNumId w:val="17"/>
  </w:num>
  <w:num w:numId="16">
    <w:abstractNumId w:val="18"/>
  </w:num>
  <w:num w:numId="17">
    <w:abstractNumId w:val="7"/>
  </w:num>
  <w:num w:numId="18">
    <w:abstractNumId w:val="9"/>
  </w:num>
  <w:num w:numId="19">
    <w:abstractNumId w:val="21"/>
  </w:num>
  <w:num w:numId="20">
    <w:abstractNumId w:val="13"/>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C0E"/>
    <w:rsid w:val="00003316"/>
    <w:rsid w:val="00003A14"/>
    <w:rsid w:val="00005057"/>
    <w:rsid w:val="00010E0F"/>
    <w:rsid w:val="00011A56"/>
    <w:rsid w:val="000152F8"/>
    <w:rsid w:val="00016332"/>
    <w:rsid w:val="00022657"/>
    <w:rsid w:val="00022B95"/>
    <w:rsid w:val="000331E1"/>
    <w:rsid w:val="0003689C"/>
    <w:rsid w:val="000472AB"/>
    <w:rsid w:val="0007029A"/>
    <w:rsid w:val="000814B4"/>
    <w:rsid w:val="000856B2"/>
    <w:rsid w:val="00091E2F"/>
    <w:rsid w:val="000A653A"/>
    <w:rsid w:val="000B2764"/>
    <w:rsid w:val="000C0623"/>
    <w:rsid w:val="000D72C1"/>
    <w:rsid w:val="000E318E"/>
    <w:rsid w:val="000E3B29"/>
    <w:rsid w:val="000E6D14"/>
    <w:rsid w:val="000F06E8"/>
    <w:rsid w:val="000F1826"/>
    <w:rsid w:val="000F71AD"/>
    <w:rsid w:val="00114642"/>
    <w:rsid w:val="00115EAC"/>
    <w:rsid w:val="00122363"/>
    <w:rsid w:val="00122848"/>
    <w:rsid w:val="00124E01"/>
    <w:rsid w:val="00126A10"/>
    <w:rsid w:val="00127577"/>
    <w:rsid w:val="00141930"/>
    <w:rsid w:val="00151C14"/>
    <w:rsid w:val="00155CB2"/>
    <w:rsid w:val="00156323"/>
    <w:rsid w:val="00157A21"/>
    <w:rsid w:val="00183ADE"/>
    <w:rsid w:val="001956F0"/>
    <w:rsid w:val="001A0F99"/>
    <w:rsid w:val="001A10E7"/>
    <w:rsid w:val="001A15DA"/>
    <w:rsid w:val="001A47CD"/>
    <w:rsid w:val="001A787B"/>
    <w:rsid w:val="001B06CB"/>
    <w:rsid w:val="001C0C4B"/>
    <w:rsid w:val="001D0551"/>
    <w:rsid w:val="001D6351"/>
    <w:rsid w:val="001E567D"/>
    <w:rsid w:val="001E6E18"/>
    <w:rsid w:val="001E7E40"/>
    <w:rsid w:val="001F6E74"/>
    <w:rsid w:val="0020009D"/>
    <w:rsid w:val="00202519"/>
    <w:rsid w:val="002159E0"/>
    <w:rsid w:val="00224571"/>
    <w:rsid w:val="00224972"/>
    <w:rsid w:val="00232346"/>
    <w:rsid w:val="002409DC"/>
    <w:rsid w:val="00243426"/>
    <w:rsid w:val="00254397"/>
    <w:rsid w:val="00254D5A"/>
    <w:rsid w:val="00255C93"/>
    <w:rsid w:val="002565AF"/>
    <w:rsid w:val="00270D14"/>
    <w:rsid w:val="0027371A"/>
    <w:rsid w:val="00282676"/>
    <w:rsid w:val="002854FE"/>
    <w:rsid w:val="0029759B"/>
    <w:rsid w:val="002B24DE"/>
    <w:rsid w:val="002B73AF"/>
    <w:rsid w:val="002C3778"/>
    <w:rsid w:val="002C6145"/>
    <w:rsid w:val="002C69D3"/>
    <w:rsid w:val="002D3082"/>
    <w:rsid w:val="002E1C05"/>
    <w:rsid w:val="002E725A"/>
    <w:rsid w:val="002F242F"/>
    <w:rsid w:val="002F3626"/>
    <w:rsid w:val="002F674D"/>
    <w:rsid w:val="00306F89"/>
    <w:rsid w:val="003072A1"/>
    <w:rsid w:val="003109DB"/>
    <w:rsid w:val="00314E97"/>
    <w:rsid w:val="0032134F"/>
    <w:rsid w:val="00323D65"/>
    <w:rsid w:val="003264D2"/>
    <w:rsid w:val="00326B2C"/>
    <w:rsid w:val="00335666"/>
    <w:rsid w:val="00336B1F"/>
    <w:rsid w:val="00337D95"/>
    <w:rsid w:val="00343462"/>
    <w:rsid w:val="00346F5E"/>
    <w:rsid w:val="00347AE9"/>
    <w:rsid w:val="00354CD3"/>
    <w:rsid w:val="00355723"/>
    <w:rsid w:val="00355D8F"/>
    <w:rsid w:val="00360AC8"/>
    <w:rsid w:val="00363CD8"/>
    <w:rsid w:val="00365146"/>
    <w:rsid w:val="003774D1"/>
    <w:rsid w:val="0039108D"/>
    <w:rsid w:val="003935E7"/>
    <w:rsid w:val="00394366"/>
    <w:rsid w:val="003B0BF9"/>
    <w:rsid w:val="003C1CD4"/>
    <w:rsid w:val="003D1800"/>
    <w:rsid w:val="003D3478"/>
    <w:rsid w:val="003D54E4"/>
    <w:rsid w:val="003D5A50"/>
    <w:rsid w:val="003D6339"/>
    <w:rsid w:val="003D6372"/>
    <w:rsid w:val="003E0791"/>
    <w:rsid w:val="003F2084"/>
    <w:rsid w:val="003F28AC"/>
    <w:rsid w:val="003F3F8B"/>
    <w:rsid w:val="004004B2"/>
    <w:rsid w:val="004174ED"/>
    <w:rsid w:val="0042366F"/>
    <w:rsid w:val="00424006"/>
    <w:rsid w:val="004349A0"/>
    <w:rsid w:val="004454FE"/>
    <w:rsid w:val="00446DBE"/>
    <w:rsid w:val="00456E40"/>
    <w:rsid w:val="004610F6"/>
    <w:rsid w:val="004625E6"/>
    <w:rsid w:val="004656D5"/>
    <w:rsid w:val="00471F27"/>
    <w:rsid w:val="004747C9"/>
    <w:rsid w:val="00474881"/>
    <w:rsid w:val="00477003"/>
    <w:rsid w:val="0049276C"/>
    <w:rsid w:val="004A4336"/>
    <w:rsid w:val="004C3524"/>
    <w:rsid w:val="004C72A4"/>
    <w:rsid w:val="004D1E90"/>
    <w:rsid w:val="004D3E1C"/>
    <w:rsid w:val="004E61F8"/>
    <w:rsid w:val="004F285C"/>
    <w:rsid w:val="004F3400"/>
    <w:rsid w:val="004F4D03"/>
    <w:rsid w:val="00500622"/>
    <w:rsid w:val="0050178F"/>
    <w:rsid w:val="00511CA8"/>
    <w:rsid w:val="00512ECA"/>
    <w:rsid w:val="00524219"/>
    <w:rsid w:val="005360C5"/>
    <w:rsid w:val="0054488C"/>
    <w:rsid w:val="0055018D"/>
    <w:rsid w:val="00550D57"/>
    <w:rsid w:val="005523DC"/>
    <w:rsid w:val="00566EDD"/>
    <w:rsid w:val="00583A33"/>
    <w:rsid w:val="0058611F"/>
    <w:rsid w:val="00590A43"/>
    <w:rsid w:val="005A57B2"/>
    <w:rsid w:val="005B6863"/>
    <w:rsid w:val="005C2D32"/>
    <w:rsid w:val="005C4F94"/>
    <w:rsid w:val="005C52EB"/>
    <w:rsid w:val="005C5F23"/>
    <w:rsid w:val="005C7E25"/>
    <w:rsid w:val="005D1F0C"/>
    <w:rsid w:val="005D21DE"/>
    <w:rsid w:val="005D469E"/>
    <w:rsid w:val="005E32A9"/>
    <w:rsid w:val="005E41A2"/>
    <w:rsid w:val="005E6441"/>
    <w:rsid w:val="005F5CF5"/>
    <w:rsid w:val="005F5ED2"/>
    <w:rsid w:val="006009DB"/>
    <w:rsid w:val="00601F56"/>
    <w:rsid w:val="00607401"/>
    <w:rsid w:val="00611DED"/>
    <w:rsid w:val="00615524"/>
    <w:rsid w:val="00630E07"/>
    <w:rsid w:val="006316B6"/>
    <w:rsid w:val="00643CC6"/>
    <w:rsid w:val="006449F2"/>
    <w:rsid w:val="0065018B"/>
    <w:rsid w:val="00651063"/>
    <w:rsid w:val="00651859"/>
    <w:rsid w:val="00655F2C"/>
    <w:rsid w:val="00665AF0"/>
    <w:rsid w:val="00695FBE"/>
    <w:rsid w:val="006A239D"/>
    <w:rsid w:val="006A26A2"/>
    <w:rsid w:val="006A39F5"/>
    <w:rsid w:val="006B4B8C"/>
    <w:rsid w:val="006C3363"/>
    <w:rsid w:val="006C73AA"/>
    <w:rsid w:val="006D3672"/>
    <w:rsid w:val="006D5CAD"/>
    <w:rsid w:val="006E1081"/>
    <w:rsid w:val="006F766D"/>
    <w:rsid w:val="0070007C"/>
    <w:rsid w:val="00700481"/>
    <w:rsid w:val="007143AB"/>
    <w:rsid w:val="00720585"/>
    <w:rsid w:val="00720DE9"/>
    <w:rsid w:val="007230FE"/>
    <w:rsid w:val="00724A85"/>
    <w:rsid w:val="00727EF7"/>
    <w:rsid w:val="00735C18"/>
    <w:rsid w:val="0074044E"/>
    <w:rsid w:val="00751AA1"/>
    <w:rsid w:val="00754AF0"/>
    <w:rsid w:val="00766BFE"/>
    <w:rsid w:val="0077033E"/>
    <w:rsid w:val="00773AF6"/>
    <w:rsid w:val="00775E88"/>
    <w:rsid w:val="007834D0"/>
    <w:rsid w:val="00783EE1"/>
    <w:rsid w:val="00792271"/>
    <w:rsid w:val="00795DD7"/>
    <w:rsid w:val="00795F71"/>
    <w:rsid w:val="007967F6"/>
    <w:rsid w:val="007A4C86"/>
    <w:rsid w:val="007A4E3E"/>
    <w:rsid w:val="007B7CFA"/>
    <w:rsid w:val="007D13F1"/>
    <w:rsid w:val="007D4A10"/>
    <w:rsid w:val="007D50C5"/>
    <w:rsid w:val="007D7968"/>
    <w:rsid w:val="007D7C09"/>
    <w:rsid w:val="007E5E18"/>
    <w:rsid w:val="007E5F7A"/>
    <w:rsid w:val="007E73AB"/>
    <w:rsid w:val="00802FCE"/>
    <w:rsid w:val="00805ED6"/>
    <w:rsid w:val="0081673D"/>
    <w:rsid w:val="00816C11"/>
    <w:rsid w:val="00825A16"/>
    <w:rsid w:val="008278A3"/>
    <w:rsid w:val="00835AC1"/>
    <w:rsid w:val="00841A28"/>
    <w:rsid w:val="00843F9B"/>
    <w:rsid w:val="008444D1"/>
    <w:rsid w:val="0084466B"/>
    <w:rsid w:val="0084535C"/>
    <w:rsid w:val="00847A5A"/>
    <w:rsid w:val="008538A1"/>
    <w:rsid w:val="0086343D"/>
    <w:rsid w:val="00870110"/>
    <w:rsid w:val="00872387"/>
    <w:rsid w:val="008748A7"/>
    <w:rsid w:val="00875FCD"/>
    <w:rsid w:val="008824C5"/>
    <w:rsid w:val="0088564C"/>
    <w:rsid w:val="008874D4"/>
    <w:rsid w:val="00893365"/>
    <w:rsid w:val="00894C55"/>
    <w:rsid w:val="008A4BD3"/>
    <w:rsid w:val="008B01FB"/>
    <w:rsid w:val="008B22EE"/>
    <w:rsid w:val="008B6F86"/>
    <w:rsid w:val="008C1DAF"/>
    <w:rsid w:val="008C318B"/>
    <w:rsid w:val="008C715F"/>
    <w:rsid w:val="008C7B00"/>
    <w:rsid w:val="008E044E"/>
    <w:rsid w:val="008E601C"/>
    <w:rsid w:val="008E6FFD"/>
    <w:rsid w:val="008E7ED7"/>
    <w:rsid w:val="008F3E22"/>
    <w:rsid w:val="008F7C69"/>
    <w:rsid w:val="009024D7"/>
    <w:rsid w:val="00902D23"/>
    <w:rsid w:val="00904F2B"/>
    <w:rsid w:val="009111E4"/>
    <w:rsid w:val="009148E2"/>
    <w:rsid w:val="00916C59"/>
    <w:rsid w:val="00917F2D"/>
    <w:rsid w:val="00925F18"/>
    <w:rsid w:val="009265C1"/>
    <w:rsid w:val="009336B3"/>
    <w:rsid w:val="0093594A"/>
    <w:rsid w:val="009405B1"/>
    <w:rsid w:val="00940B35"/>
    <w:rsid w:val="00951603"/>
    <w:rsid w:val="00965455"/>
    <w:rsid w:val="00972930"/>
    <w:rsid w:val="0098077B"/>
    <w:rsid w:val="00980C3C"/>
    <w:rsid w:val="00992907"/>
    <w:rsid w:val="009939B1"/>
    <w:rsid w:val="0099670C"/>
    <w:rsid w:val="009A2654"/>
    <w:rsid w:val="009B02F5"/>
    <w:rsid w:val="009C6DFF"/>
    <w:rsid w:val="009C7BFA"/>
    <w:rsid w:val="009D11E1"/>
    <w:rsid w:val="009F10AC"/>
    <w:rsid w:val="009F396A"/>
    <w:rsid w:val="00A10FC3"/>
    <w:rsid w:val="00A204AB"/>
    <w:rsid w:val="00A2115E"/>
    <w:rsid w:val="00A270BA"/>
    <w:rsid w:val="00A271D0"/>
    <w:rsid w:val="00A40471"/>
    <w:rsid w:val="00A40FD9"/>
    <w:rsid w:val="00A417D6"/>
    <w:rsid w:val="00A43DE6"/>
    <w:rsid w:val="00A47CDE"/>
    <w:rsid w:val="00A50301"/>
    <w:rsid w:val="00A52F16"/>
    <w:rsid w:val="00A56575"/>
    <w:rsid w:val="00A578A9"/>
    <w:rsid w:val="00A6073E"/>
    <w:rsid w:val="00A637B7"/>
    <w:rsid w:val="00A6572F"/>
    <w:rsid w:val="00A723C2"/>
    <w:rsid w:val="00A76A13"/>
    <w:rsid w:val="00A76AEA"/>
    <w:rsid w:val="00A7755F"/>
    <w:rsid w:val="00A81BD9"/>
    <w:rsid w:val="00A96A65"/>
    <w:rsid w:val="00A97B10"/>
    <w:rsid w:val="00AB0A81"/>
    <w:rsid w:val="00AB2496"/>
    <w:rsid w:val="00AB272C"/>
    <w:rsid w:val="00AC668A"/>
    <w:rsid w:val="00AD309A"/>
    <w:rsid w:val="00AD4440"/>
    <w:rsid w:val="00AD5851"/>
    <w:rsid w:val="00AD735B"/>
    <w:rsid w:val="00AE34E5"/>
    <w:rsid w:val="00AE4FAF"/>
    <w:rsid w:val="00AE5567"/>
    <w:rsid w:val="00AE5878"/>
    <w:rsid w:val="00AF1239"/>
    <w:rsid w:val="00B13B90"/>
    <w:rsid w:val="00B14492"/>
    <w:rsid w:val="00B1455B"/>
    <w:rsid w:val="00B16480"/>
    <w:rsid w:val="00B2165C"/>
    <w:rsid w:val="00B30691"/>
    <w:rsid w:val="00B336C8"/>
    <w:rsid w:val="00B4109F"/>
    <w:rsid w:val="00B44468"/>
    <w:rsid w:val="00B478CF"/>
    <w:rsid w:val="00B53C4A"/>
    <w:rsid w:val="00B577DF"/>
    <w:rsid w:val="00B631A9"/>
    <w:rsid w:val="00B6589C"/>
    <w:rsid w:val="00B6646D"/>
    <w:rsid w:val="00B76D90"/>
    <w:rsid w:val="00B77AB7"/>
    <w:rsid w:val="00B83891"/>
    <w:rsid w:val="00B87E6E"/>
    <w:rsid w:val="00B925D0"/>
    <w:rsid w:val="00BA20AA"/>
    <w:rsid w:val="00BA4A5E"/>
    <w:rsid w:val="00BC4970"/>
    <w:rsid w:val="00BC798F"/>
    <w:rsid w:val="00BD4425"/>
    <w:rsid w:val="00BD53C0"/>
    <w:rsid w:val="00BE01A5"/>
    <w:rsid w:val="00BE0B3B"/>
    <w:rsid w:val="00BE1FEB"/>
    <w:rsid w:val="00BF4E50"/>
    <w:rsid w:val="00C10407"/>
    <w:rsid w:val="00C12329"/>
    <w:rsid w:val="00C1730D"/>
    <w:rsid w:val="00C20B69"/>
    <w:rsid w:val="00C24108"/>
    <w:rsid w:val="00C25B49"/>
    <w:rsid w:val="00C31230"/>
    <w:rsid w:val="00C312FB"/>
    <w:rsid w:val="00C32F69"/>
    <w:rsid w:val="00C423F9"/>
    <w:rsid w:val="00C463A3"/>
    <w:rsid w:val="00C5175B"/>
    <w:rsid w:val="00C51A6A"/>
    <w:rsid w:val="00C5294A"/>
    <w:rsid w:val="00C65B5C"/>
    <w:rsid w:val="00C708D9"/>
    <w:rsid w:val="00C709F9"/>
    <w:rsid w:val="00C725A0"/>
    <w:rsid w:val="00C86F48"/>
    <w:rsid w:val="00C87E98"/>
    <w:rsid w:val="00C92B4B"/>
    <w:rsid w:val="00CA3D3E"/>
    <w:rsid w:val="00CA5562"/>
    <w:rsid w:val="00CB53BD"/>
    <w:rsid w:val="00CC0D2D"/>
    <w:rsid w:val="00CC4454"/>
    <w:rsid w:val="00CC5F0D"/>
    <w:rsid w:val="00CD2F80"/>
    <w:rsid w:val="00CD5B50"/>
    <w:rsid w:val="00CE5657"/>
    <w:rsid w:val="00CF0422"/>
    <w:rsid w:val="00CF544A"/>
    <w:rsid w:val="00D00DE3"/>
    <w:rsid w:val="00D01BF6"/>
    <w:rsid w:val="00D02C31"/>
    <w:rsid w:val="00D103E6"/>
    <w:rsid w:val="00D133F8"/>
    <w:rsid w:val="00D148FC"/>
    <w:rsid w:val="00D14A3E"/>
    <w:rsid w:val="00D15469"/>
    <w:rsid w:val="00D24EAD"/>
    <w:rsid w:val="00D32380"/>
    <w:rsid w:val="00D339AD"/>
    <w:rsid w:val="00D34EE3"/>
    <w:rsid w:val="00D4114C"/>
    <w:rsid w:val="00D5167C"/>
    <w:rsid w:val="00D51FB8"/>
    <w:rsid w:val="00D53679"/>
    <w:rsid w:val="00D55C77"/>
    <w:rsid w:val="00D55ED8"/>
    <w:rsid w:val="00D6134D"/>
    <w:rsid w:val="00D62BCA"/>
    <w:rsid w:val="00D76C7F"/>
    <w:rsid w:val="00D85856"/>
    <w:rsid w:val="00D85E5E"/>
    <w:rsid w:val="00D91AD0"/>
    <w:rsid w:val="00D9483B"/>
    <w:rsid w:val="00DA5C24"/>
    <w:rsid w:val="00DC402A"/>
    <w:rsid w:val="00DD264E"/>
    <w:rsid w:val="00DD3434"/>
    <w:rsid w:val="00DE5198"/>
    <w:rsid w:val="00DF2C3B"/>
    <w:rsid w:val="00DF4400"/>
    <w:rsid w:val="00E04044"/>
    <w:rsid w:val="00E043FC"/>
    <w:rsid w:val="00E134F4"/>
    <w:rsid w:val="00E15DCE"/>
    <w:rsid w:val="00E165BC"/>
    <w:rsid w:val="00E16BBC"/>
    <w:rsid w:val="00E34282"/>
    <w:rsid w:val="00E3716B"/>
    <w:rsid w:val="00E37CE0"/>
    <w:rsid w:val="00E410B0"/>
    <w:rsid w:val="00E425E7"/>
    <w:rsid w:val="00E44EBC"/>
    <w:rsid w:val="00E52402"/>
    <w:rsid w:val="00E5323B"/>
    <w:rsid w:val="00E6013E"/>
    <w:rsid w:val="00E629FE"/>
    <w:rsid w:val="00E65939"/>
    <w:rsid w:val="00E72389"/>
    <w:rsid w:val="00E75D95"/>
    <w:rsid w:val="00E86DB9"/>
    <w:rsid w:val="00E8749E"/>
    <w:rsid w:val="00E90C01"/>
    <w:rsid w:val="00E91901"/>
    <w:rsid w:val="00E937E5"/>
    <w:rsid w:val="00E971B0"/>
    <w:rsid w:val="00EA3E5B"/>
    <w:rsid w:val="00EA486E"/>
    <w:rsid w:val="00EB2B68"/>
    <w:rsid w:val="00EB6A94"/>
    <w:rsid w:val="00EC2678"/>
    <w:rsid w:val="00ED2B23"/>
    <w:rsid w:val="00ED2EEA"/>
    <w:rsid w:val="00EE0258"/>
    <w:rsid w:val="00EF4FA0"/>
    <w:rsid w:val="00EF6317"/>
    <w:rsid w:val="00EF6D10"/>
    <w:rsid w:val="00F0056A"/>
    <w:rsid w:val="00F06294"/>
    <w:rsid w:val="00F11DEA"/>
    <w:rsid w:val="00F15227"/>
    <w:rsid w:val="00F202DD"/>
    <w:rsid w:val="00F241C7"/>
    <w:rsid w:val="00F27A4C"/>
    <w:rsid w:val="00F441DB"/>
    <w:rsid w:val="00F448D3"/>
    <w:rsid w:val="00F57755"/>
    <w:rsid w:val="00F57B0C"/>
    <w:rsid w:val="00F60E5F"/>
    <w:rsid w:val="00F65DA7"/>
    <w:rsid w:val="00F730A0"/>
    <w:rsid w:val="00F737DA"/>
    <w:rsid w:val="00F75FB9"/>
    <w:rsid w:val="00F800B4"/>
    <w:rsid w:val="00F81E55"/>
    <w:rsid w:val="00F879AD"/>
    <w:rsid w:val="00F904C4"/>
    <w:rsid w:val="00F94B18"/>
    <w:rsid w:val="00FA1F16"/>
    <w:rsid w:val="00FA47F3"/>
    <w:rsid w:val="00FA764E"/>
    <w:rsid w:val="00FB3EBB"/>
    <w:rsid w:val="00FB5642"/>
    <w:rsid w:val="00FB566F"/>
    <w:rsid w:val="00FB6A51"/>
    <w:rsid w:val="00FC1AC7"/>
    <w:rsid w:val="00FC69DF"/>
    <w:rsid w:val="00FD39E3"/>
    <w:rsid w:val="00FD4463"/>
    <w:rsid w:val="00FD5EA0"/>
    <w:rsid w:val="00FE0850"/>
    <w:rsid w:val="00FE2185"/>
    <w:rsid w:val="00FE292C"/>
    <w:rsid w:val="00FF1B05"/>
    <w:rsid w:val="00FF52F5"/>
    <w:rsid w:val="00FF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7601F"/>
  <w15:docId w15:val="{6022FE5C-93A4-4528-92C6-E0FA80B8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F2C3B"/>
    <w:rPr>
      <w:sz w:val="16"/>
      <w:szCs w:val="16"/>
    </w:rPr>
  </w:style>
  <w:style w:type="paragraph" w:styleId="CommentText">
    <w:name w:val="annotation text"/>
    <w:basedOn w:val="Normal"/>
    <w:link w:val="CommentTextChar"/>
    <w:uiPriority w:val="99"/>
    <w:semiHidden/>
    <w:unhideWhenUsed/>
    <w:rsid w:val="00DF2C3B"/>
    <w:pPr>
      <w:spacing w:after="0" w:line="240"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DF2C3B"/>
    <w:rPr>
      <w:rFonts w:ascii="Times New Roman" w:eastAsia="Calibri" w:hAnsi="Times New Roman" w:cs="Times New Roman"/>
      <w:sz w:val="20"/>
      <w:szCs w:val="20"/>
      <w:lang w:eastAsia="lv-LV"/>
    </w:r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CD2F80"/>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CD2F80"/>
    <w:rPr>
      <w:rFonts w:ascii="Times New Roman" w:eastAsia="Times New Roman" w:hAnsi="Times New Roman" w:cs="Times New Roman"/>
      <w:lang w:eastAsia="lv-LV"/>
    </w:rPr>
  </w:style>
  <w:style w:type="paragraph" w:styleId="CommentSubject">
    <w:name w:val="annotation subject"/>
    <w:basedOn w:val="CommentText"/>
    <w:next w:val="CommentText"/>
    <w:link w:val="CommentSubjectChar"/>
    <w:uiPriority w:val="99"/>
    <w:semiHidden/>
    <w:unhideWhenUsed/>
    <w:rsid w:val="0025439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4397"/>
    <w:rPr>
      <w:rFonts w:ascii="Times New Roman" w:eastAsia="Calibri" w:hAnsi="Times New Roman" w:cs="Times New Roman"/>
      <w:b/>
      <w:bCs/>
      <w:sz w:val="20"/>
      <w:szCs w:val="20"/>
      <w:lang w:eastAsia="lv-LV"/>
    </w:rPr>
  </w:style>
  <w:style w:type="paragraph" w:styleId="FootnoteText">
    <w:name w:val="footnote text"/>
    <w:basedOn w:val="Normal"/>
    <w:link w:val="FootnoteTextChar"/>
    <w:uiPriority w:val="99"/>
    <w:semiHidden/>
    <w:unhideWhenUsed/>
    <w:rsid w:val="001E56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67D"/>
    <w:rPr>
      <w:sz w:val="20"/>
      <w:szCs w:val="20"/>
    </w:rPr>
  </w:style>
  <w:style w:type="character" w:styleId="FootnoteReference">
    <w:name w:val="footnote reference"/>
    <w:basedOn w:val="DefaultParagraphFont"/>
    <w:uiPriority w:val="99"/>
    <w:semiHidden/>
    <w:unhideWhenUsed/>
    <w:rsid w:val="001E567D"/>
    <w:rPr>
      <w:vertAlign w:val="superscript"/>
    </w:rPr>
  </w:style>
  <w:style w:type="character" w:customStyle="1" w:styleId="UnresolvedMention1">
    <w:name w:val="Unresolved Mention1"/>
    <w:basedOn w:val="DefaultParagraphFont"/>
    <w:uiPriority w:val="99"/>
    <w:semiHidden/>
    <w:unhideWhenUsed/>
    <w:rsid w:val="001E567D"/>
    <w:rPr>
      <w:color w:val="605E5C"/>
      <w:shd w:val="clear" w:color="auto" w:fill="E1DFDD"/>
    </w:rPr>
  </w:style>
  <w:style w:type="paragraph" w:styleId="Revision">
    <w:name w:val="Revision"/>
    <w:hidden/>
    <w:uiPriority w:val="99"/>
    <w:semiHidden/>
    <w:rsid w:val="008E6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20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2755310">
      <w:bodyDiv w:val="1"/>
      <w:marLeft w:val="0"/>
      <w:marRight w:val="0"/>
      <w:marTop w:val="0"/>
      <w:marBottom w:val="0"/>
      <w:divBdr>
        <w:top w:val="none" w:sz="0" w:space="0" w:color="auto"/>
        <w:left w:val="none" w:sz="0" w:space="0" w:color="auto"/>
        <w:bottom w:val="none" w:sz="0" w:space="0" w:color="auto"/>
        <w:right w:val="none" w:sz="0" w:space="0" w:color="auto"/>
      </w:divBdr>
    </w:div>
    <w:div w:id="8724969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12AB"/>
    <w:rsid w:val="0003333C"/>
    <w:rsid w:val="00057C8B"/>
    <w:rsid w:val="0007248D"/>
    <w:rsid w:val="00084514"/>
    <w:rsid w:val="000B162F"/>
    <w:rsid w:val="00137DE1"/>
    <w:rsid w:val="00141C0A"/>
    <w:rsid w:val="00177E07"/>
    <w:rsid w:val="00202461"/>
    <w:rsid w:val="00257482"/>
    <w:rsid w:val="002D6FF7"/>
    <w:rsid w:val="00300903"/>
    <w:rsid w:val="003425CF"/>
    <w:rsid w:val="00344186"/>
    <w:rsid w:val="00370CAB"/>
    <w:rsid w:val="00375922"/>
    <w:rsid w:val="003766DC"/>
    <w:rsid w:val="00385832"/>
    <w:rsid w:val="00392C0B"/>
    <w:rsid w:val="003A40B4"/>
    <w:rsid w:val="003C6ED4"/>
    <w:rsid w:val="003F19F8"/>
    <w:rsid w:val="0044445F"/>
    <w:rsid w:val="004675CB"/>
    <w:rsid w:val="00472F39"/>
    <w:rsid w:val="004A2E09"/>
    <w:rsid w:val="004D4D0E"/>
    <w:rsid w:val="00523A63"/>
    <w:rsid w:val="0067652F"/>
    <w:rsid w:val="0069624F"/>
    <w:rsid w:val="006F1566"/>
    <w:rsid w:val="007030C4"/>
    <w:rsid w:val="007117EC"/>
    <w:rsid w:val="00715BE1"/>
    <w:rsid w:val="00767BCD"/>
    <w:rsid w:val="007D5079"/>
    <w:rsid w:val="008334BF"/>
    <w:rsid w:val="008B623B"/>
    <w:rsid w:val="008C69D9"/>
    <w:rsid w:val="008D39C9"/>
    <w:rsid w:val="009318A2"/>
    <w:rsid w:val="009518D0"/>
    <w:rsid w:val="00957E11"/>
    <w:rsid w:val="009632CF"/>
    <w:rsid w:val="009B07EE"/>
    <w:rsid w:val="009B36AB"/>
    <w:rsid w:val="009B55AC"/>
    <w:rsid w:val="009C1B4C"/>
    <w:rsid w:val="00AD4A2F"/>
    <w:rsid w:val="00AF45E7"/>
    <w:rsid w:val="00B04FB7"/>
    <w:rsid w:val="00B062B4"/>
    <w:rsid w:val="00B13CE5"/>
    <w:rsid w:val="00B3767C"/>
    <w:rsid w:val="00B757E9"/>
    <w:rsid w:val="00BF39AB"/>
    <w:rsid w:val="00C00671"/>
    <w:rsid w:val="00C01626"/>
    <w:rsid w:val="00C81D5A"/>
    <w:rsid w:val="00CE0143"/>
    <w:rsid w:val="00D36FC9"/>
    <w:rsid w:val="00DA4926"/>
    <w:rsid w:val="00DB413A"/>
    <w:rsid w:val="00DE3D16"/>
    <w:rsid w:val="00E0483C"/>
    <w:rsid w:val="00EB2187"/>
    <w:rsid w:val="00EB4993"/>
    <w:rsid w:val="00ED4ED0"/>
    <w:rsid w:val="00EF53C9"/>
    <w:rsid w:val="00F36C7D"/>
    <w:rsid w:val="00F81BBD"/>
    <w:rsid w:val="00F95F73"/>
    <w:rsid w:val="00FA3C4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7F60DA-8896-4E00-A666-8F217FA9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12595</Words>
  <Characters>7180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EMAnot_01112019_Groz160</vt:lpstr>
    </vt:vector>
  </TitlesOfParts>
  <Company>Iestādes nosaukums</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EMAnot_01112019_Groz160</dc:title>
  <dc:subject>Anotācija</dc:subject>
  <dc:creator>Janis.Silins@em.gov.lv</dc:creator>
  <dc:description>67013005, Janis.Silins@em.gov.lv</dc:description>
  <cp:lastModifiedBy>Indra Stepanova</cp:lastModifiedBy>
  <cp:revision>6</cp:revision>
  <dcterms:created xsi:type="dcterms:W3CDTF">2021-07-06T12:16:00Z</dcterms:created>
  <dcterms:modified xsi:type="dcterms:W3CDTF">2021-08-05T06:21:00Z</dcterms:modified>
</cp:coreProperties>
</file>