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BCECC" w14:textId="3A55D5B4" w:rsidR="007116C7" w:rsidRPr="00A02401" w:rsidRDefault="007116C7" w:rsidP="006C70E3">
      <w:pPr>
        <w:pStyle w:val="naisnod"/>
        <w:spacing w:before="0" w:after="0"/>
        <w:ind w:firstLine="720"/>
      </w:pPr>
      <w:r w:rsidRPr="00A02401">
        <w:t>Izziņa par atzinumos sniegtajiem iebildumiem</w:t>
      </w:r>
    </w:p>
    <w:tbl>
      <w:tblPr>
        <w:tblW w:w="0" w:type="auto"/>
        <w:jc w:val="center"/>
        <w:tblLook w:val="00A0" w:firstRow="1" w:lastRow="0" w:firstColumn="1" w:lastColumn="0" w:noHBand="0" w:noVBand="0"/>
      </w:tblPr>
      <w:tblGrid>
        <w:gridCol w:w="10188"/>
      </w:tblGrid>
      <w:tr w:rsidR="001D7AE5" w:rsidRPr="00A02401" w14:paraId="203BD9F2" w14:textId="77777777">
        <w:trPr>
          <w:jc w:val="center"/>
        </w:trPr>
        <w:tc>
          <w:tcPr>
            <w:tcW w:w="10188" w:type="dxa"/>
            <w:tcBorders>
              <w:bottom w:val="single" w:sz="6" w:space="0" w:color="000000"/>
            </w:tcBorders>
          </w:tcPr>
          <w:p w14:paraId="5525A51B" w14:textId="5DCB3C50" w:rsidR="007116C7" w:rsidRPr="00A02401" w:rsidRDefault="00D720AF" w:rsidP="006C70E3">
            <w:pPr>
              <w:ind w:firstLine="720"/>
              <w:jc w:val="center"/>
              <w:rPr>
                <w:b/>
              </w:rPr>
            </w:pPr>
            <w:r w:rsidRPr="00A02401">
              <w:rPr>
                <w:b/>
              </w:rPr>
              <w:t>p</w:t>
            </w:r>
            <w:r w:rsidR="0047127A" w:rsidRPr="00A02401">
              <w:rPr>
                <w:b/>
              </w:rPr>
              <w:t xml:space="preserve">ar </w:t>
            </w:r>
            <w:r w:rsidR="00175D6C" w:rsidRPr="00A02401">
              <w:rPr>
                <w:b/>
              </w:rPr>
              <w:t>ministru kabineta noteikumu projektu</w:t>
            </w:r>
            <w:r w:rsidR="0047127A" w:rsidRPr="00A02401">
              <w:rPr>
                <w:b/>
              </w:rPr>
              <w:t xml:space="preserve"> </w:t>
            </w:r>
            <w:r w:rsidR="003F6927" w:rsidRPr="00A02401">
              <w:rPr>
                <w:b/>
              </w:rPr>
              <w:t xml:space="preserve">“Grozījumi Ministru kabineta 2017.gada 7.februāra noteikumos Nr.78 </w:t>
            </w:r>
            <w:r w:rsidR="00DD75BA">
              <w:rPr>
                <w:b/>
              </w:rPr>
              <w:t>“</w:t>
            </w:r>
            <w:r w:rsidR="003F6927" w:rsidRPr="00A02401">
              <w:rPr>
                <w:b/>
              </w:rPr>
              <w:t xml:space="preserve">Dabasgāzes tirdzniecības un lietošanas noteikumi”” </w:t>
            </w:r>
            <w:r w:rsidR="0047127A" w:rsidRPr="00A02401">
              <w:rPr>
                <w:b/>
              </w:rPr>
              <w:t>(VSS-</w:t>
            </w:r>
            <w:r w:rsidR="003F6927" w:rsidRPr="00A02401">
              <w:rPr>
                <w:b/>
              </w:rPr>
              <w:t>510</w:t>
            </w:r>
            <w:r w:rsidR="0047127A" w:rsidRPr="00A02401">
              <w:rPr>
                <w:b/>
              </w:rPr>
              <w:t>)</w:t>
            </w:r>
          </w:p>
        </w:tc>
      </w:tr>
    </w:tbl>
    <w:p w14:paraId="3324EA4A" w14:textId="77777777" w:rsidR="007116C7" w:rsidRPr="00A02401" w:rsidRDefault="007116C7" w:rsidP="006C70E3">
      <w:pPr>
        <w:pStyle w:val="naisc"/>
        <w:spacing w:before="0" w:after="0"/>
        <w:ind w:firstLine="1080"/>
        <w:contextualSpacing/>
      </w:pPr>
      <w:r w:rsidRPr="00A02401">
        <w:t>(dokumenta veids un nosaukums)</w:t>
      </w:r>
    </w:p>
    <w:p w14:paraId="2A3CD667" w14:textId="77777777" w:rsidR="007B4C0F" w:rsidRPr="00A02401" w:rsidRDefault="007B4C0F" w:rsidP="006C70E3">
      <w:pPr>
        <w:pStyle w:val="naisf"/>
        <w:spacing w:before="0" w:after="0"/>
        <w:ind w:firstLine="720"/>
        <w:contextualSpacing/>
      </w:pPr>
    </w:p>
    <w:p w14:paraId="548A7380" w14:textId="77777777" w:rsidR="00562AEB" w:rsidRPr="00A02401" w:rsidRDefault="00562AEB" w:rsidP="006C70E3">
      <w:pPr>
        <w:pStyle w:val="naisf"/>
        <w:numPr>
          <w:ilvl w:val="0"/>
          <w:numId w:val="10"/>
        </w:numPr>
        <w:spacing w:before="0" w:after="0"/>
        <w:ind w:left="0" w:firstLine="426"/>
        <w:contextualSpacing/>
        <w:jc w:val="center"/>
        <w:rPr>
          <w:b/>
        </w:rPr>
      </w:pPr>
      <w:r w:rsidRPr="00A02401">
        <w:rPr>
          <w:b/>
        </w:rPr>
        <w:t>Jautājumi, par kuriem saskaņošanā vienošanās nav panākta</w:t>
      </w:r>
    </w:p>
    <w:tbl>
      <w:tblPr>
        <w:tblpPr w:leftFromText="180" w:rightFromText="180" w:vertAnchor="text" w:tblpY="1"/>
        <w:tblOverlap w:val="never"/>
        <w:tblW w:w="5193"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2"/>
        <w:gridCol w:w="2275"/>
        <w:gridCol w:w="3938"/>
        <w:gridCol w:w="3176"/>
        <w:gridCol w:w="2206"/>
        <w:gridCol w:w="2043"/>
      </w:tblGrid>
      <w:tr w:rsidR="006E7886" w:rsidRPr="00A02401" w14:paraId="43B0C304" w14:textId="77777777" w:rsidTr="003F6927">
        <w:tc>
          <w:tcPr>
            <w:tcW w:w="307" w:type="pct"/>
            <w:tcBorders>
              <w:top w:val="single" w:sz="6" w:space="0" w:color="000000"/>
              <w:left w:val="single" w:sz="6" w:space="0" w:color="000000"/>
              <w:bottom w:val="single" w:sz="6" w:space="0" w:color="000000"/>
              <w:right w:val="single" w:sz="6" w:space="0" w:color="000000"/>
            </w:tcBorders>
            <w:vAlign w:val="center"/>
          </w:tcPr>
          <w:p w14:paraId="5E7DD4CF" w14:textId="77777777" w:rsidR="00562AEB" w:rsidRPr="00A02401" w:rsidRDefault="00562AEB" w:rsidP="006C70E3">
            <w:pPr>
              <w:pStyle w:val="naisc"/>
              <w:spacing w:before="0" w:after="0"/>
              <w:contextualSpacing/>
            </w:pPr>
            <w:r w:rsidRPr="00A02401">
              <w:t>Nr.p.k.</w:t>
            </w:r>
          </w:p>
        </w:tc>
        <w:tc>
          <w:tcPr>
            <w:tcW w:w="783" w:type="pct"/>
            <w:tcBorders>
              <w:top w:val="single" w:sz="6" w:space="0" w:color="000000"/>
              <w:left w:val="single" w:sz="6" w:space="0" w:color="000000"/>
              <w:bottom w:val="single" w:sz="6" w:space="0" w:color="000000"/>
              <w:right w:val="single" w:sz="6" w:space="0" w:color="000000"/>
            </w:tcBorders>
            <w:vAlign w:val="center"/>
          </w:tcPr>
          <w:p w14:paraId="1C59E4D7" w14:textId="77777777" w:rsidR="00562AEB" w:rsidRPr="00A02401" w:rsidRDefault="00562AEB" w:rsidP="006C70E3">
            <w:pPr>
              <w:pStyle w:val="naisc"/>
              <w:spacing w:before="0" w:after="0"/>
              <w:ind w:firstLine="12"/>
              <w:contextualSpacing/>
            </w:pPr>
            <w:r w:rsidRPr="00A02401">
              <w:t>Saskaņošanai nosūtītā projekta redakcija (konkrēta punkta (panta) redakcija)</w:t>
            </w:r>
          </w:p>
        </w:tc>
        <w:tc>
          <w:tcPr>
            <w:tcW w:w="1355" w:type="pct"/>
            <w:tcBorders>
              <w:top w:val="single" w:sz="6" w:space="0" w:color="000000"/>
              <w:left w:val="single" w:sz="6" w:space="0" w:color="000000"/>
              <w:bottom w:val="single" w:sz="6" w:space="0" w:color="000000"/>
              <w:right w:val="single" w:sz="6" w:space="0" w:color="000000"/>
            </w:tcBorders>
            <w:vAlign w:val="center"/>
          </w:tcPr>
          <w:p w14:paraId="3FACC534" w14:textId="77777777" w:rsidR="00562AEB" w:rsidRPr="00A02401" w:rsidRDefault="00562AEB" w:rsidP="006C70E3">
            <w:pPr>
              <w:pStyle w:val="naisc"/>
              <w:spacing w:before="0" w:after="0"/>
              <w:ind w:right="3"/>
              <w:contextualSpacing/>
            </w:pPr>
            <w:r w:rsidRPr="00A02401">
              <w:t>Atzinumā norādītais ministrijas (citas institūcijas) iebildums, kā arī saskaņošanā papildus izteiktais iebildums par projekta konkrēto punktu (pantu)</w:t>
            </w:r>
          </w:p>
        </w:tc>
        <w:tc>
          <w:tcPr>
            <w:tcW w:w="1093" w:type="pct"/>
            <w:tcBorders>
              <w:top w:val="single" w:sz="6" w:space="0" w:color="000000"/>
              <w:left w:val="single" w:sz="6" w:space="0" w:color="000000"/>
              <w:bottom w:val="single" w:sz="6" w:space="0" w:color="000000"/>
              <w:right w:val="single" w:sz="6" w:space="0" w:color="000000"/>
            </w:tcBorders>
            <w:vAlign w:val="center"/>
          </w:tcPr>
          <w:p w14:paraId="62161F19" w14:textId="77777777" w:rsidR="00562AEB" w:rsidRPr="00A02401" w:rsidRDefault="00562AEB" w:rsidP="006C70E3">
            <w:pPr>
              <w:pStyle w:val="naisc"/>
              <w:spacing w:before="0" w:after="0"/>
              <w:contextualSpacing/>
            </w:pPr>
            <w:r w:rsidRPr="00A02401">
              <w:t>Atbildīgās ministrijas pamatojums iebilduma noraidījumam</w:t>
            </w:r>
          </w:p>
        </w:tc>
        <w:tc>
          <w:tcPr>
            <w:tcW w:w="759" w:type="pct"/>
            <w:tcBorders>
              <w:top w:val="single" w:sz="4" w:space="0" w:color="auto"/>
              <w:left w:val="single" w:sz="4" w:space="0" w:color="auto"/>
              <w:bottom w:val="single" w:sz="4" w:space="0" w:color="auto"/>
              <w:right w:val="single" w:sz="4" w:space="0" w:color="auto"/>
            </w:tcBorders>
          </w:tcPr>
          <w:p w14:paraId="05B3FFAA" w14:textId="77777777" w:rsidR="00562AEB" w:rsidRPr="00A02401" w:rsidRDefault="00562AEB" w:rsidP="006C70E3">
            <w:pPr>
              <w:contextualSpacing/>
              <w:jc w:val="center"/>
            </w:pPr>
            <w:r w:rsidRPr="00A02401">
              <w:t>Atzinuma sniedzēja uzturētais iebildums, ja tas atšķiras no atzinumā norādītā iebilduma pamatojuma</w:t>
            </w:r>
          </w:p>
        </w:tc>
        <w:tc>
          <w:tcPr>
            <w:tcW w:w="703" w:type="pct"/>
            <w:tcBorders>
              <w:top w:val="single" w:sz="4" w:space="0" w:color="auto"/>
              <w:left w:val="single" w:sz="4" w:space="0" w:color="auto"/>
              <w:bottom w:val="single" w:sz="4" w:space="0" w:color="auto"/>
            </w:tcBorders>
            <w:vAlign w:val="center"/>
          </w:tcPr>
          <w:p w14:paraId="6563E0B7" w14:textId="77777777" w:rsidR="00562AEB" w:rsidRPr="00A02401" w:rsidRDefault="00562AEB" w:rsidP="006C70E3">
            <w:pPr>
              <w:contextualSpacing/>
              <w:jc w:val="center"/>
            </w:pPr>
            <w:r w:rsidRPr="00A02401">
              <w:t>Projekta attiecīgā punkta (panta) galīgā redakcija</w:t>
            </w:r>
          </w:p>
        </w:tc>
      </w:tr>
      <w:tr w:rsidR="00950A14" w:rsidRPr="00A02401" w14:paraId="0234D5AF" w14:textId="77777777" w:rsidTr="003F6927">
        <w:tc>
          <w:tcPr>
            <w:tcW w:w="307" w:type="pct"/>
            <w:tcBorders>
              <w:top w:val="single" w:sz="6" w:space="0" w:color="000000"/>
              <w:left w:val="single" w:sz="6" w:space="0" w:color="000000"/>
              <w:bottom w:val="single" w:sz="4" w:space="0" w:color="auto"/>
              <w:right w:val="single" w:sz="6" w:space="0" w:color="000000"/>
            </w:tcBorders>
          </w:tcPr>
          <w:p w14:paraId="6F3657ED" w14:textId="77777777" w:rsidR="00562AEB" w:rsidRPr="00A02401" w:rsidRDefault="00562AEB" w:rsidP="006C70E3">
            <w:pPr>
              <w:pStyle w:val="naisc"/>
              <w:spacing w:before="0" w:after="0"/>
              <w:ind w:left="-84"/>
              <w:contextualSpacing/>
            </w:pPr>
            <w:r w:rsidRPr="00A02401">
              <w:t>1</w:t>
            </w:r>
          </w:p>
        </w:tc>
        <w:tc>
          <w:tcPr>
            <w:tcW w:w="783" w:type="pct"/>
            <w:tcBorders>
              <w:top w:val="single" w:sz="6" w:space="0" w:color="000000"/>
              <w:left w:val="single" w:sz="6" w:space="0" w:color="000000"/>
              <w:bottom w:val="single" w:sz="4" w:space="0" w:color="auto"/>
              <w:right w:val="single" w:sz="6" w:space="0" w:color="000000"/>
            </w:tcBorders>
          </w:tcPr>
          <w:p w14:paraId="12D81962" w14:textId="77777777" w:rsidR="00562AEB" w:rsidRPr="00A02401" w:rsidRDefault="00562AEB" w:rsidP="006C70E3">
            <w:pPr>
              <w:pStyle w:val="naisc"/>
              <w:spacing w:before="0" w:after="0"/>
              <w:ind w:firstLine="12"/>
              <w:contextualSpacing/>
              <w:rPr>
                <w:b/>
              </w:rPr>
            </w:pPr>
            <w:r w:rsidRPr="00A02401">
              <w:t>2</w:t>
            </w:r>
          </w:p>
        </w:tc>
        <w:tc>
          <w:tcPr>
            <w:tcW w:w="1355" w:type="pct"/>
            <w:tcBorders>
              <w:top w:val="single" w:sz="6" w:space="0" w:color="000000"/>
              <w:left w:val="single" w:sz="6" w:space="0" w:color="000000"/>
              <w:bottom w:val="single" w:sz="4" w:space="0" w:color="auto"/>
              <w:right w:val="single" w:sz="6" w:space="0" w:color="000000"/>
            </w:tcBorders>
          </w:tcPr>
          <w:p w14:paraId="075288DD" w14:textId="77777777" w:rsidR="00562AEB" w:rsidRPr="00A02401" w:rsidRDefault="00562AEB" w:rsidP="006C70E3">
            <w:pPr>
              <w:pStyle w:val="naisc"/>
              <w:spacing w:before="0" w:after="0"/>
              <w:contextualSpacing/>
              <w:rPr>
                <w:b/>
              </w:rPr>
            </w:pPr>
            <w:r w:rsidRPr="00A02401">
              <w:t>3</w:t>
            </w:r>
          </w:p>
        </w:tc>
        <w:tc>
          <w:tcPr>
            <w:tcW w:w="1093" w:type="pct"/>
            <w:tcBorders>
              <w:top w:val="single" w:sz="6" w:space="0" w:color="000000"/>
              <w:left w:val="single" w:sz="6" w:space="0" w:color="000000"/>
              <w:bottom w:val="single" w:sz="4" w:space="0" w:color="auto"/>
              <w:right w:val="single" w:sz="6" w:space="0" w:color="000000"/>
            </w:tcBorders>
          </w:tcPr>
          <w:p w14:paraId="04594BF9" w14:textId="77777777" w:rsidR="00562AEB" w:rsidRPr="00A02401" w:rsidRDefault="00562AEB" w:rsidP="006C70E3">
            <w:pPr>
              <w:tabs>
                <w:tab w:val="left" w:pos="993"/>
              </w:tabs>
              <w:ind w:right="-2"/>
              <w:contextualSpacing/>
              <w:jc w:val="center"/>
              <w:rPr>
                <w:b/>
              </w:rPr>
            </w:pPr>
            <w:r w:rsidRPr="00A02401">
              <w:t>4</w:t>
            </w:r>
          </w:p>
        </w:tc>
        <w:tc>
          <w:tcPr>
            <w:tcW w:w="759" w:type="pct"/>
            <w:tcBorders>
              <w:top w:val="single" w:sz="4" w:space="0" w:color="auto"/>
              <w:left w:val="single" w:sz="4" w:space="0" w:color="auto"/>
              <w:bottom w:val="single" w:sz="4" w:space="0" w:color="auto"/>
            </w:tcBorders>
          </w:tcPr>
          <w:p w14:paraId="70C44015" w14:textId="77777777" w:rsidR="00562AEB" w:rsidRPr="00A02401" w:rsidRDefault="00562AEB" w:rsidP="006C70E3">
            <w:pPr>
              <w:contextualSpacing/>
              <w:jc w:val="center"/>
            </w:pPr>
            <w:r w:rsidRPr="00A02401">
              <w:t>5</w:t>
            </w:r>
          </w:p>
        </w:tc>
        <w:tc>
          <w:tcPr>
            <w:tcW w:w="703" w:type="pct"/>
            <w:tcBorders>
              <w:top w:val="single" w:sz="4" w:space="0" w:color="auto"/>
              <w:left w:val="single" w:sz="4" w:space="0" w:color="auto"/>
              <w:bottom w:val="single" w:sz="4" w:space="0" w:color="auto"/>
            </w:tcBorders>
          </w:tcPr>
          <w:p w14:paraId="33DB6169" w14:textId="77777777" w:rsidR="00562AEB" w:rsidRPr="00A02401" w:rsidRDefault="00562AEB" w:rsidP="006C70E3">
            <w:pPr>
              <w:pStyle w:val="naisc"/>
              <w:spacing w:before="0" w:after="0"/>
              <w:ind w:firstLine="12"/>
              <w:contextualSpacing/>
            </w:pPr>
            <w:r w:rsidRPr="00A02401">
              <w:t>6</w:t>
            </w:r>
          </w:p>
        </w:tc>
      </w:tr>
      <w:tr w:rsidR="00737D91" w:rsidRPr="00A02401" w14:paraId="4B410FCE" w14:textId="77777777" w:rsidTr="003F6927">
        <w:trPr>
          <w:trHeight w:val="227"/>
        </w:trPr>
        <w:tc>
          <w:tcPr>
            <w:tcW w:w="307" w:type="pct"/>
            <w:tcBorders>
              <w:top w:val="single" w:sz="4" w:space="0" w:color="auto"/>
              <w:left w:val="single" w:sz="4" w:space="0" w:color="auto"/>
              <w:bottom w:val="single" w:sz="4" w:space="0" w:color="auto"/>
              <w:right w:val="single" w:sz="4" w:space="0" w:color="auto"/>
            </w:tcBorders>
          </w:tcPr>
          <w:p w14:paraId="72510F94" w14:textId="77777777" w:rsidR="00737D91" w:rsidRPr="00A02401" w:rsidRDefault="00737D91" w:rsidP="006C70E3">
            <w:pPr>
              <w:pStyle w:val="naisc"/>
              <w:spacing w:before="0" w:after="0"/>
              <w:contextualSpacing/>
            </w:pPr>
          </w:p>
          <w:p w14:paraId="0E67FA16" w14:textId="7D63A22A" w:rsidR="003F6927" w:rsidRPr="00A02401" w:rsidRDefault="003F6927" w:rsidP="006C70E3">
            <w:pPr>
              <w:pStyle w:val="naisc"/>
              <w:spacing w:before="0" w:after="0"/>
              <w:contextualSpacing/>
            </w:pPr>
          </w:p>
        </w:tc>
        <w:tc>
          <w:tcPr>
            <w:tcW w:w="783" w:type="pct"/>
            <w:tcBorders>
              <w:left w:val="single" w:sz="4" w:space="0" w:color="auto"/>
              <w:bottom w:val="single" w:sz="4" w:space="0" w:color="auto"/>
              <w:right w:val="single" w:sz="4" w:space="0" w:color="auto"/>
            </w:tcBorders>
          </w:tcPr>
          <w:p w14:paraId="45F1CCE6" w14:textId="77777777" w:rsidR="00737D91" w:rsidRPr="00A02401" w:rsidRDefault="00737D91" w:rsidP="006C70E3">
            <w:pPr>
              <w:contextualSpacing/>
              <w:rPr>
                <w:b/>
              </w:rPr>
            </w:pPr>
          </w:p>
        </w:tc>
        <w:tc>
          <w:tcPr>
            <w:tcW w:w="1355" w:type="pct"/>
            <w:tcBorders>
              <w:top w:val="single" w:sz="4" w:space="0" w:color="auto"/>
              <w:left w:val="single" w:sz="4" w:space="0" w:color="auto"/>
              <w:bottom w:val="single" w:sz="4" w:space="0" w:color="auto"/>
              <w:right w:val="single" w:sz="4" w:space="0" w:color="auto"/>
            </w:tcBorders>
          </w:tcPr>
          <w:p w14:paraId="684E6227" w14:textId="0D5FC787" w:rsidR="00737D91" w:rsidRPr="00A02401" w:rsidRDefault="00737D91" w:rsidP="006C70E3">
            <w:pPr>
              <w:pStyle w:val="naisc"/>
              <w:spacing w:before="0" w:after="0"/>
              <w:contextualSpacing/>
              <w:jc w:val="both"/>
            </w:pPr>
          </w:p>
        </w:tc>
        <w:tc>
          <w:tcPr>
            <w:tcW w:w="1093" w:type="pct"/>
            <w:tcBorders>
              <w:left w:val="single" w:sz="4" w:space="0" w:color="auto"/>
              <w:bottom w:val="single" w:sz="4" w:space="0" w:color="auto"/>
              <w:right w:val="single" w:sz="4" w:space="0" w:color="auto"/>
            </w:tcBorders>
          </w:tcPr>
          <w:p w14:paraId="221860C4" w14:textId="77777777" w:rsidR="00737D91" w:rsidRPr="00A02401" w:rsidRDefault="00737D91" w:rsidP="006C70E3">
            <w:pPr>
              <w:tabs>
                <w:tab w:val="left" w:pos="993"/>
              </w:tabs>
              <w:ind w:right="-2"/>
              <w:contextualSpacing/>
              <w:jc w:val="both"/>
            </w:pPr>
          </w:p>
        </w:tc>
        <w:tc>
          <w:tcPr>
            <w:tcW w:w="759" w:type="pct"/>
            <w:tcBorders>
              <w:top w:val="single" w:sz="4" w:space="0" w:color="auto"/>
              <w:left w:val="single" w:sz="4" w:space="0" w:color="auto"/>
              <w:bottom w:val="single" w:sz="4" w:space="0" w:color="auto"/>
              <w:right w:val="single" w:sz="4" w:space="0" w:color="auto"/>
            </w:tcBorders>
          </w:tcPr>
          <w:p w14:paraId="1C44F694" w14:textId="77777777" w:rsidR="00737D91" w:rsidRPr="00A02401" w:rsidRDefault="00737D91" w:rsidP="006C70E3">
            <w:pPr>
              <w:contextualSpacing/>
              <w:jc w:val="both"/>
            </w:pPr>
          </w:p>
        </w:tc>
        <w:tc>
          <w:tcPr>
            <w:tcW w:w="703" w:type="pct"/>
            <w:tcBorders>
              <w:left w:val="single" w:sz="4" w:space="0" w:color="auto"/>
              <w:bottom w:val="single" w:sz="4" w:space="0" w:color="auto"/>
            </w:tcBorders>
          </w:tcPr>
          <w:p w14:paraId="1CB44829" w14:textId="77777777" w:rsidR="00737D91" w:rsidRPr="00A02401" w:rsidRDefault="00737D91" w:rsidP="006C70E3">
            <w:pPr>
              <w:pStyle w:val="naisc"/>
              <w:spacing w:before="0" w:after="0"/>
              <w:ind w:firstLine="12"/>
              <w:contextualSpacing/>
              <w:jc w:val="both"/>
            </w:pPr>
          </w:p>
        </w:tc>
      </w:tr>
    </w:tbl>
    <w:p w14:paraId="54A59025" w14:textId="6E97B248" w:rsidR="00562AEB" w:rsidRPr="00A02401" w:rsidRDefault="00562AEB" w:rsidP="006C70E3">
      <w:pPr>
        <w:pStyle w:val="naisf"/>
        <w:spacing w:before="0" w:after="0"/>
        <w:ind w:firstLine="0"/>
        <w:contextualSpacing/>
      </w:pPr>
    </w:p>
    <w:p w14:paraId="05BC4C87" w14:textId="77777777" w:rsidR="005D67F7" w:rsidRPr="00A02401" w:rsidRDefault="005D67F7" w:rsidP="006C70E3">
      <w:pPr>
        <w:pStyle w:val="naisf"/>
        <w:spacing w:before="0" w:after="0"/>
        <w:ind w:firstLine="0"/>
        <w:contextualSpacing/>
        <w:rPr>
          <w:b/>
        </w:rPr>
      </w:pPr>
      <w:bookmarkStart w:id="0" w:name="_Hlk19616846"/>
      <w:r w:rsidRPr="00A02401">
        <w:rPr>
          <w:b/>
        </w:rPr>
        <w:t>Informācija par starpministriju (starpinstitūciju) sanāksmi vai elektronisko saskaņošanu</w:t>
      </w:r>
    </w:p>
    <w:p w14:paraId="23D084D4" w14:textId="77777777" w:rsidR="005D67F7" w:rsidRPr="00A02401" w:rsidRDefault="005D67F7" w:rsidP="006C70E3">
      <w:pPr>
        <w:pStyle w:val="naisf"/>
        <w:spacing w:before="0" w:after="0"/>
        <w:ind w:firstLine="0"/>
        <w:contextualSpacing/>
        <w:rPr>
          <w:b/>
        </w:rPr>
      </w:pPr>
    </w:p>
    <w:tbl>
      <w:tblPr>
        <w:tblW w:w="12582" w:type="dxa"/>
        <w:tblLook w:val="00A0" w:firstRow="1" w:lastRow="0" w:firstColumn="1" w:lastColumn="0" w:noHBand="0" w:noVBand="0"/>
      </w:tblPr>
      <w:tblGrid>
        <w:gridCol w:w="6096"/>
        <w:gridCol w:w="6486"/>
      </w:tblGrid>
      <w:tr w:rsidR="001D7AE5" w:rsidRPr="00A02401" w14:paraId="626F08C9" w14:textId="77777777" w:rsidTr="008D5396">
        <w:tc>
          <w:tcPr>
            <w:tcW w:w="6096" w:type="dxa"/>
          </w:tcPr>
          <w:p w14:paraId="6B8D4DD2" w14:textId="77777777" w:rsidR="007B4C0F" w:rsidRPr="00A02401" w:rsidRDefault="005D67F7" w:rsidP="006C70E3">
            <w:pPr>
              <w:pStyle w:val="naisf"/>
              <w:spacing w:before="0" w:after="0"/>
              <w:ind w:firstLine="0"/>
              <w:contextualSpacing/>
            </w:pPr>
            <w:r w:rsidRPr="00A02401">
              <w:t>D</w:t>
            </w:r>
            <w:r w:rsidR="007B4C0F" w:rsidRPr="00A02401">
              <w:t>atums</w:t>
            </w:r>
            <w:r w:rsidR="0047357B" w:rsidRPr="00A02401">
              <w:t xml:space="preserve"> </w:t>
            </w:r>
          </w:p>
          <w:p w14:paraId="46B190D5" w14:textId="77777777" w:rsidR="00444F1A" w:rsidRPr="00A02401" w:rsidRDefault="00444F1A" w:rsidP="006C70E3"/>
          <w:p w14:paraId="2ABADB36" w14:textId="77777777" w:rsidR="00444F1A" w:rsidRPr="00A02401" w:rsidRDefault="00444F1A" w:rsidP="006C70E3"/>
          <w:p w14:paraId="7246C149" w14:textId="77777777" w:rsidR="00444F1A" w:rsidRPr="00A02401" w:rsidRDefault="00444F1A" w:rsidP="006C70E3"/>
          <w:p w14:paraId="74ECEAE1" w14:textId="77777777" w:rsidR="00444F1A" w:rsidRPr="00A02401" w:rsidRDefault="00444F1A" w:rsidP="006C70E3"/>
          <w:p w14:paraId="375B4166" w14:textId="77777777" w:rsidR="00444F1A" w:rsidRPr="00A02401" w:rsidRDefault="00444F1A" w:rsidP="006C70E3"/>
          <w:p w14:paraId="75672DC0" w14:textId="77777777" w:rsidR="00444F1A" w:rsidRPr="00A02401" w:rsidRDefault="00444F1A" w:rsidP="006C70E3"/>
          <w:p w14:paraId="1733C6B5" w14:textId="77777777" w:rsidR="00444F1A" w:rsidRPr="00A02401" w:rsidRDefault="00444F1A" w:rsidP="006C70E3"/>
          <w:p w14:paraId="0E09D6B8" w14:textId="77777777" w:rsidR="00444F1A" w:rsidRPr="00A02401" w:rsidRDefault="00444F1A" w:rsidP="006C70E3"/>
          <w:p w14:paraId="670361E1" w14:textId="77777777" w:rsidR="00444F1A" w:rsidRPr="00A02401" w:rsidRDefault="00444F1A" w:rsidP="006C70E3"/>
          <w:p w14:paraId="27EB467E" w14:textId="77777777" w:rsidR="00444F1A" w:rsidRPr="00A02401" w:rsidRDefault="00444F1A" w:rsidP="006C70E3"/>
          <w:p w14:paraId="6FCC9E18" w14:textId="77777777" w:rsidR="00444F1A" w:rsidRPr="00A02401" w:rsidRDefault="00444F1A" w:rsidP="006C70E3"/>
          <w:p w14:paraId="1D1EC336" w14:textId="77777777" w:rsidR="00444F1A" w:rsidRPr="00A02401" w:rsidRDefault="00444F1A" w:rsidP="006C70E3"/>
          <w:p w14:paraId="196DD26B" w14:textId="77777777" w:rsidR="00444F1A" w:rsidRPr="00A02401" w:rsidRDefault="00444F1A" w:rsidP="006C70E3"/>
          <w:p w14:paraId="11846BD2" w14:textId="252E0886" w:rsidR="00444F1A" w:rsidRPr="00A02401" w:rsidRDefault="00444F1A" w:rsidP="006C70E3">
            <w:pPr>
              <w:tabs>
                <w:tab w:val="left" w:pos="1182"/>
              </w:tabs>
            </w:pPr>
            <w:r w:rsidRPr="00A02401">
              <w:tab/>
            </w:r>
          </w:p>
        </w:tc>
        <w:tc>
          <w:tcPr>
            <w:tcW w:w="6486" w:type="dxa"/>
          </w:tcPr>
          <w:p w14:paraId="2CC0DE50" w14:textId="0E068E3C" w:rsidR="007B4C0F" w:rsidRPr="00A02401" w:rsidRDefault="003F6927" w:rsidP="006C70E3">
            <w:pPr>
              <w:pStyle w:val="NormalWeb"/>
              <w:spacing w:before="0" w:beforeAutospacing="0" w:after="0" w:afterAutospacing="0"/>
              <w:contextualSpacing/>
              <w:jc w:val="both"/>
            </w:pPr>
            <w:r w:rsidRPr="00A02401">
              <w:rPr>
                <w:b/>
                <w:bCs/>
              </w:rPr>
              <w:t>18.06</w:t>
            </w:r>
            <w:r w:rsidR="00562AEB" w:rsidRPr="00A02401">
              <w:rPr>
                <w:b/>
                <w:bCs/>
              </w:rPr>
              <w:t>.2020.</w:t>
            </w:r>
            <w:r w:rsidR="00562AEB" w:rsidRPr="00A02401">
              <w:t xml:space="preserve"> </w:t>
            </w:r>
            <w:r w:rsidRPr="00A02401">
              <w:t xml:space="preserve">Noteikumu projekts “Grozījumi Ministru kabineta 2017.gada 7.februāra noteikumos Nr.78 “Dabasgāzes tirdzniecības un lietošanas noteikumi”” </w:t>
            </w:r>
            <w:r w:rsidR="00562AEB" w:rsidRPr="00A02401">
              <w:t>izsludināts Valsts sekretāru sanāksmē (VSS-</w:t>
            </w:r>
            <w:r w:rsidRPr="00A02401">
              <w:t>510</w:t>
            </w:r>
            <w:r w:rsidR="00562AEB" w:rsidRPr="00A02401">
              <w:t>)</w:t>
            </w:r>
          </w:p>
          <w:p w14:paraId="1985197C" w14:textId="768F2278" w:rsidR="00D57AE8" w:rsidRPr="00A02401" w:rsidRDefault="003F6927" w:rsidP="006C70E3">
            <w:pPr>
              <w:pStyle w:val="NormalWeb"/>
              <w:contextualSpacing/>
              <w:jc w:val="both"/>
            </w:pPr>
            <w:r w:rsidRPr="00A02401">
              <w:rPr>
                <w:b/>
                <w:bCs/>
              </w:rPr>
              <w:t>15</w:t>
            </w:r>
            <w:r w:rsidR="00D57AE8" w:rsidRPr="00A02401">
              <w:rPr>
                <w:b/>
                <w:bCs/>
              </w:rPr>
              <w:t>.0</w:t>
            </w:r>
            <w:r w:rsidRPr="00A02401">
              <w:rPr>
                <w:b/>
                <w:bCs/>
              </w:rPr>
              <w:t>7</w:t>
            </w:r>
            <w:r w:rsidR="00D57AE8" w:rsidRPr="00A02401">
              <w:rPr>
                <w:b/>
                <w:bCs/>
              </w:rPr>
              <w:t>.2020.</w:t>
            </w:r>
            <w:r w:rsidR="00D57AE8" w:rsidRPr="00A02401">
              <w:t xml:space="preserve"> tika saņemti visu 2020.gada </w:t>
            </w:r>
            <w:r w:rsidRPr="00A02401">
              <w:t>18</w:t>
            </w:r>
            <w:r w:rsidR="00D57AE8" w:rsidRPr="00A02401">
              <w:t>.</w:t>
            </w:r>
            <w:r w:rsidRPr="00A02401">
              <w:t>jūnija</w:t>
            </w:r>
            <w:r w:rsidR="00D57AE8" w:rsidRPr="00A02401">
              <w:t xml:space="preserve"> Valsts sekretāru sanāksmes protokola Nr.</w:t>
            </w:r>
            <w:r w:rsidRPr="00A02401">
              <w:t>25</w:t>
            </w:r>
            <w:r w:rsidR="00D57AE8" w:rsidRPr="00A02401">
              <w:t xml:space="preserve"> 1.§ noteikto institūciju atzinumi</w:t>
            </w:r>
            <w:r w:rsidR="00ED3DB8" w:rsidRPr="00A02401">
              <w:t xml:space="preserve">. </w:t>
            </w:r>
          </w:p>
          <w:p w14:paraId="78EF2C64" w14:textId="609DD59C" w:rsidR="006319D3" w:rsidRPr="00A02401" w:rsidRDefault="003F6927" w:rsidP="006C70E3">
            <w:pPr>
              <w:pStyle w:val="NormalWeb"/>
              <w:contextualSpacing/>
              <w:jc w:val="both"/>
              <w:rPr>
                <w:b/>
                <w:bCs/>
              </w:rPr>
            </w:pPr>
            <w:r w:rsidRPr="00A02401">
              <w:rPr>
                <w:b/>
                <w:bCs/>
              </w:rPr>
              <w:t>17.07.2020</w:t>
            </w:r>
            <w:r w:rsidR="0053504D" w:rsidRPr="00A02401">
              <w:rPr>
                <w:b/>
                <w:bCs/>
              </w:rPr>
              <w:t>.</w:t>
            </w:r>
            <w:r w:rsidR="0053504D" w:rsidRPr="00A02401">
              <w:t xml:space="preserve"> precizēts un papildināts </w:t>
            </w:r>
            <w:r w:rsidR="00CF3C2D" w:rsidRPr="00A02401">
              <w:t xml:space="preserve">noteikumu </w:t>
            </w:r>
            <w:r w:rsidRPr="00A02401">
              <w:t>projekts “Grozījumi Ministru kabineta 2017.gada 7.februāra noteikumos Nr.78 “Dabasgāzes tirdzniecības un lietošanas noteikumi””</w:t>
            </w:r>
            <w:r w:rsidR="0053504D" w:rsidRPr="00A02401">
              <w:t xml:space="preserve">, </w:t>
            </w:r>
            <w:r w:rsidR="00CF3C2D" w:rsidRPr="00A02401">
              <w:t>sākotnējās ietekmes novērtējuma ziņojums (turpmāk – A</w:t>
            </w:r>
            <w:r w:rsidR="0053504D" w:rsidRPr="00A02401">
              <w:t>notācija</w:t>
            </w:r>
            <w:r w:rsidR="00CF3C2D" w:rsidRPr="00A02401">
              <w:t>)</w:t>
            </w:r>
            <w:r w:rsidR="0053504D" w:rsidRPr="00A02401">
              <w:t xml:space="preserve"> un izziņa par atzinumos sniegtajiem iebildumiem nosūtīta saskaņošanas dalībniekiem 5 darba dienu saskaņošanai. </w:t>
            </w:r>
            <w:r w:rsidR="006319D3" w:rsidRPr="00A02401">
              <w:rPr>
                <w:b/>
                <w:bCs/>
              </w:rPr>
              <w:t xml:space="preserve"> </w:t>
            </w:r>
          </w:p>
          <w:p w14:paraId="2B96AF46" w14:textId="77777777" w:rsidR="003F6927" w:rsidRPr="00A02401" w:rsidRDefault="0018025F" w:rsidP="006C70E3">
            <w:pPr>
              <w:pStyle w:val="NormalWeb"/>
              <w:contextualSpacing/>
              <w:jc w:val="both"/>
            </w:pPr>
            <w:r w:rsidRPr="00A02401">
              <w:rPr>
                <w:b/>
                <w:bCs/>
              </w:rPr>
              <w:t>19</w:t>
            </w:r>
            <w:r w:rsidR="0012410A" w:rsidRPr="00A02401">
              <w:rPr>
                <w:b/>
                <w:bCs/>
              </w:rPr>
              <w:t>.</w:t>
            </w:r>
            <w:r w:rsidR="008F681A" w:rsidRPr="00A02401">
              <w:rPr>
                <w:b/>
                <w:bCs/>
              </w:rPr>
              <w:t>10</w:t>
            </w:r>
            <w:r w:rsidR="0012410A" w:rsidRPr="00A02401">
              <w:rPr>
                <w:b/>
                <w:bCs/>
              </w:rPr>
              <w:t>.2020.</w:t>
            </w:r>
            <w:r w:rsidR="0012410A" w:rsidRPr="00A02401">
              <w:t xml:space="preserve"> precizēts un papildināts Noteikumu projekts “Grozījumi Ministru kabineta 2017.gada 7.februāra noteikumos </w:t>
            </w:r>
            <w:r w:rsidR="0012410A" w:rsidRPr="00A02401">
              <w:lastRenderedPageBreak/>
              <w:t>Nr.78 “Dabasgāzes tirdzniecības un lietošanas noteikumi””, anotācija un izziņa par atzinumos sniegtajiem iebildumiem nosūtīta atkārtotai saskaņošanas dalībniekiem 5 darba dienu saskaņošanai.</w:t>
            </w:r>
          </w:p>
          <w:p w14:paraId="62BFE398" w14:textId="0C6C8122" w:rsidR="00761F6D" w:rsidRPr="00A02401" w:rsidRDefault="00761F6D" w:rsidP="006C70E3">
            <w:pPr>
              <w:pStyle w:val="NormalWeb"/>
              <w:contextualSpacing/>
              <w:jc w:val="both"/>
            </w:pPr>
            <w:r w:rsidRPr="00A02401">
              <w:rPr>
                <w:b/>
                <w:bCs/>
              </w:rPr>
              <w:t>04.11.2020.</w:t>
            </w:r>
            <w:r w:rsidRPr="00A02401">
              <w:t xml:space="preserve"> precizēts un papildināts Noteikumu projekts “Grozījumi Ministru kabineta 2017.gada 7.februāra noteikumos Nr.78 “Dabasgāzes tirdzniecības un lietošanas noteikumi””, anotācija un izziņa par atzinumos sniegtajiem iebildumiem nosūtīta atkārtotai saskaņošanas dalībniekiem 5 darba dienu saskaņošanai.</w:t>
            </w:r>
          </w:p>
          <w:p w14:paraId="768B18F4" w14:textId="47E98E87" w:rsidR="00761F6D" w:rsidRPr="00A02401" w:rsidRDefault="00761F6D" w:rsidP="006C70E3">
            <w:pPr>
              <w:pStyle w:val="NormalWeb"/>
              <w:contextualSpacing/>
              <w:jc w:val="both"/>
            </w:pPr>
            <w:r w:rsidRPr="00A02401">
              <w:rPr>
                <w:b/>
                <w:bCs/>
              </w:rPr>
              <w:t>11.11.2020</w:t>
            </w:r>
            <w:r w:rsidRPr="00A02401">
              <w:t>. notika saskaņošanas sanāksme.</w:t>
            </w:r>
          </w:p>
          <w:p w14:paraId="3308ACCE" w14:textId="066F8DDC" w:rsidR="00EB7A1B" w:rsidRPr="00A02401" w:rsidRDefault="00EB7A1B" w:rsidP="006C70E3">
            <w:pPr>
              <w:pStyle w:val="NormalWeb"/>
              <w:contextualSpacing/>
              <w:jc w:val="both"/>
            </w:pPr>
            <w:r w:rsidRPr="00A02401">
              <w:rPr>
                <w:b/>
                <w:bCs/>
              </w:rPr>
              <w:t>1</w:t>
            </w:r>
            <w:r w:rsidR="00643A1B" w:rsidRPr="00A02401">
              <w:rPr>
                <w:b/>
                <w:bCs/>
              </w:rPr>
              <w:t>6</w:t>
            </w:r>
            <w:r w:rsidRPr="00A02401">
              <w:rPr>
                <w:b/>
                <w:bCs/>
              </w:rPr>
              <w:t>.02.2021.</w:t>
            </w:r>
            <w:r w:rsidRPr="00A02401">
              <w:t xml:space="preserve"> precizēts un papildināts Noteikumu projekts “Grozījumi Ministru kabineta 2017.gada 7.februāra noteikumos Nr.78 “Dabasgāzes tirdzniecības un lietošanas noteikumi””, anotācija un izziņa par atzinumos sniegtajiem iebildumiem nosūtīta atkārtotai saskaņošanas dalībniekiem 5 darba dienu saskaņošanai.</w:t>
            </w:r>
          </w:p>
          <w:p w14:paraId="660D9B38" w14:textId="6C085CEA" w:rsidR="00EB7A1B" w:rsidRDefault="008E4331" w:rsidP="006C70E3">
            <w:pPr>
              <w:pStyle w:val="NormalWeb"/>
              <w:contextualSpacing/>
              <w:jc w:val="both"/>
            </w:pPr>
            <w:r w:rsidRPr="00A02401">
              <w:rPr>
                <w:b/>
                <w:bCs/>
              </w:rPr>
              <w:t>25.02.2021.</w:t>
            </w:r>
            <w:r w:rsidRPr="00A02401">
              <w:t xml:space="preserve"> notika saskaņošanas sanāksme.</w:t>
            </w:r>
          </w:p>
          <w:p w14:paraId="658AA51D" w14:textId="3827A15F" w:rsidR="00EA34D2" w:rsidRPr="00A02401" w:rsidRDefault="00EA34D2" w:rsidP="006C70E3">
            <w:pPr>
              <w:pStyle w:val="NormalWeb"/>
              <w:contextualSpacing/>
              <w:jc w:val="both"/>
            </w:pPr>
            <w:r w:rsidRPr="00A02401">
              <w:rPr>
                <w:b/>
                <w:bCs/>
              </w:rPr>
              <w:t>1</w:t>
            </w:r>
            <w:r>
              <w:rPr>
                <w:b/>
                <w:bCs/>
              </w:rPr>
              <w:t>3</w:t>
            </w:r>
            <w:r w:rsidRPr="00A02401">
              <w:rPr>
                <w:b/>
                <w:bCs/>
              </w:rPr>
              <w:t>.0</w:t>
            </w:r>
            <w:r>
              <w:rPr>
                <w:b/>
                <w:bCs/>
              </w:rPr>
              <w:t>4</w:t>
            </w:r>
            <w:r w:rsidRPr="00A02401">
              <w:rPr>
                <w:b/>
                <w:bCs/>
              </w:rPr>
              <w:t>.2021.</w:t>
            </w:r>
            <w:r w:rsidRPr="00A02401">
              <w:t xml:space="preserve"> precizēts un papildināts Noteikumu projekts “Grozījumi Ministru kabineta 2017.gada 7.februāra noteikumos Nr.78 “Dabasgāzes tirdzniecības un lietošanas noteikumi””, anotācija un izziņa par atzinumos sniegtajiem iebildumiem nosūtīta atkārtotai saskaņošanas dalībniekiem 5 darba dienu saskaņošanai.</w:t>
            </w:r>
          </w:p>
          <w:p w14:paraId="12ED3A4E" w14:textId="7EBAC675" w:rsidR="00EA34D2" w:rsidRDefault="00EA34D2" w:rsidP="006C70E3">
            <w:pPr>
              <w:pStyle w:val="NormalWeb"/>
              <w:contextualSpacing/>
              <w:jc w:val="both"/>
            </w:pPr>
            <w:r>
              <w:rPr>
                <w:b/>
                <w:bCs/>
              </w:rPr>
              <w:t>23</w:t>
            </w:r>
            <w:r w:rsidRPr="00A02401">
              <w:rPr>
                <w:b/>
                <w:bCs/>
              </w:rPr>
              <w:t>.0</w:t>
            </w:r>
            <w:r>
              <w:rPr>
                <w:b/>
                <w:bCs/>
              </w:rPr>
              <w:t>4</w:t>
            </w:r>
            <w:r w:rsidRPr="00A02401">
              <w:rPr>
                <w:b/>
                <w:bCs/>
              </w:rPr>
              <w:t>.2021.</w:t>
            </w:r>
            <w:r w:rsidRPr="00A02401">
              <w:t xml:space="preserve"> precizēts un papildināts Noteikumu projekts “Grozījumi Ministru kabineta 2017.gada 7.februāra noteikumos Nr.78 “Dabasgāzes tirdzniecības un lietošanas noteikumi””, anotācija un izziņa par atzinumos sniegtajiem iebildumiem nosūtīta atkārtotai saskaņošanas dalībniekiem saskaņošanai.</w:t>
            </w:r>
          </w:p>
          <w:p w14:paraId="5E5C74FB" w14:textId="2DABDADE" w:rsidR="00083565" w:rsidRPr="00083565" w:rsidRDefault="00083565" w:rsidP="006C70E3">
            <w:pPr>
              <w:pStyle w:val="NormalWeb"/>
              <w:contextualSpacing/>
              <w:jc w:val="both"/>
              <w:rPr>
                <w:b/>
                <w:bCs/>
              </w:rPr>
            </w:pPr>
            <w:r>
              <w:rPr>
                <w:b/>
                <w:bCs/>
              </w:rPr>
              <w:t xml:space="preserve">XX.06.2021. </w:t>
            </w:r>
            <w:r w:rsidRPr="00A02401">
              <w:t xml:space="preserve">precizēts un papildināts Noteikumu projekts “Grozījumi Ministru kabineta 2017.gada 7.februāra noteikumos Nr.78 “Dabasgāzes tirdzniecības un lietošanas noteikumi””, </w:t>
            </w:r>
            <w:r w:rsidRPr="00A02401">
              <w:lastRenderedPageBreak/>
              <w:t>anotācija un izziņa par atzinumos sniegtajiem iebildumiem nosūtīta atkārtotai saskaņošanas dalībniekiem saskaņošanai.</w:t>
            </w:r>
          </w:p>
          <w:p w14:paraId="17E16EC0" w14:textId="77777777" w:rsidR="00EA34D2" w:rsidRPr="00A02401" w:rsidRDefault="00EA34D2" w:rsidP="006C70E3">
            <w:pPr>
              <w:pStyle w:val="NormalWeb"/>
              <w:contextualSpacing/>
              <w:jc w:val="both"/>
            </w:pPr>
          </w:p>
          <w:p w14:paraId="2029109D" w14:textId="6346BB92" w:rsidR="00761F6D" w:rsidRPr="00A02401" w:rsidRDefault="00761F6D" w:rsidP="006C70E3">
            <w:pPr>
              <w:pStyle w:val="NormalWeb"/>
              <w:contextualSpacing/>
              <w:jc w:val="both"/>
            </w:pPr>
          </w:p>
        </w:tc>
      </w:tr>
      <w:tr w:rsidR="001D7AE5" w:rsidRPr="00A02401" w14:paraId="04AC9380" w14:textId="77777777" w:rsidTr="008D5396">
        <w:tc>
          <w:tcPr>
            <w:tcW w:w="6096" w:type="dxa"/>
          </w:tcPr>
          <w:p w14:paraId="28F09B1B" w14:textId="77777777" w:rsidR="008D5396" w:rsidRPr="00A02401" w:rsidRDefault="008D5396" w:rsidP="006C70E3">
            <w:pPr>
              <w:pStyle w:val="naisf"/>
              <w:spacing w:before="0" w:after="0"/>
              <w:ind w:firstLine="0"/>
              <w:contextualSpacing/>
            </w:pPr>
          </w:p>
          <w:p w14:paraId="58B0F83C" w14:textId="77777777" w:rsidR="003C27A2" w:rsidRPr="00A02401" w:rsidRDefault="00D93CB3" w:rsidP="006C70E3">
            <w:pPr>
              <w:pStyle w:val="naisf"/>
              <w:spacing w:before="0" w:after="0"/>
              <w:ind w:firstLine="0"/>
              <w:contextualSpacing/>
            </w:pPr>
            <w:r w:rsidRPr="00A02401">
              <w:t>Saskaņošanas dalībnieki</w:t>
            </w:r>
          </w:p>
        </w:tc>
        <w:tc>
          <w:tcPr>
            <w:tcW w:w="6486" w:type="dxa"/>
            <w:tcBorders>
              <w:bottom w:val="single" w:sz="4" w:space="0" w:color="auto"/>
            </w:tcBorders>
          </w:tcPr>
          <w:p w14:paraId="4F257AAD" w14:textId="317B25AA" w:rsidR="008D02F4" w:rsidRPr="00A02401" w:rsidRDefault="008D02F4" w:rsidP="006C70E3">
            <w:pPr>
              <w:pStyle w:val="NormalWeb"/>
              <w:spacing w:before="0" w:beforeAutospacing="0" w:after="0" w:afterAutospacing="0"/>
              <w:ind w:firstLine="720"/>
              <w:contextualSpacing/>
              <w:jc w:val="both"/>
            </w:pPr>
          </w:p>
          <w:p w14:paraId="1830013F" w14:textId="0F1573E9" w:rsidR="003C27A2" w:rsidRPr="00A02401" w:rsidRDefault="00911A8D" w:rsidP="006C70E3">
            <w:pPr>
              <w:pStyle w:val="NormalWeb"/>
              <w:spacing w:before="0" w:beforeAutospacing="0" w:after="0" w:afterAutospacing="0"/>
              <w:contextualSpacing/>
              <w:jc w:val="both"/>
            </w:pPr>
            <w:r w:rsidRPr="00A02401">
              <w:t>Tieslietu ministrija, Finanšu ministrija, Vides aizsardzības un reģionālās attīstības ministrija, Sabiedrisko pakalpojumu regulēšanas komisija, Latvijas Brīvo arodbiedrību savienība, Latvijas Darba devēju konfederācija</w:t>
            </w:r>
            <w:r w:rsidR="00FE297E" w:rsidRPr="00A02401">
              <w:t>, AS “</w:t>
            </w:r>
            <w:r w:rsidR="003F6927" w:rsidRPr="00A02401">
              <w:t>Latvijas Gāze</w:t>
            </w:r>
            <w:r w:rsidR="00FE297E" w:rsidRPr="00A02401">
              <w:t>”, AS “</w:t>
            </w:r>
            <w:r w:rsidR="003F6927" w:rsidRPr="00A02401">
              <w:t>GASO</w:t>
            </w:r>
            <w:r w:rsidR="00FE297E" w:rsidRPr="00A02401">
              <w:t>”</w:t>
            </w:r>
            <w:r w:rsidR="0012410A" w:rsidRPr="00A02401">
              <w:t>, Patērētāju tiesību aizsardzības centrs</w:t>
            </w:r>
            <w:r w:rsidR="0018025F" w:rsidRPr="00A02401">
              <w:t>, AS “Conexus Baltic Grid”</w:t>
            </w:r>
          </w:p>
        </w:tc>
      </w:tr>
    </w:tbl>
    <w:p w14:paraId="5F7D4E08" w14:textId="288272DA" w:rsidR="008A36C9" w:rsidRPr="00A02401" w:rsidRDefault="008A36C9" w:rsidP="006C70E3">
      <w:pPr>
        <w:contextualSpacing/>
        <w:jc w:val="both"/>
      </w:pPr>
    </w:p>
    <w:tbl>
      <w:tblPr>
        <w:tblW w:w="12582" w:type="dxa"/>
        <w:tblLook w:val="00A0" w:firstRow="1" w:lastRow="0" w:firstColumn="1" w:lastColumn="0" w:noHBand="0" w:noVBand="0"/>
      </w:tblPr>
      <w:tblGrid>
        <w:gridCol w:w="6090"/>
        <w:gridCol w:w="6492"/>
      </w:tblGrid>
      <w:tr w:rsidR="00D93CB3" w:rsidRPr="00A02401" w14:paraId="6700F813" w14:textId="77777777" w:rsidTr="001F2BEC">
        <w:trPr>
          <w:trHeight w:val="285"/>
        </w:trPr>
        <w:tc>
          <w:tcPr>
            <w:tcW w:w="6090" w:type="dxa"/>
          </w:tcPr>
          <w:p w14:paraId="652776F9" w14:textId="6A3D0B53" w:rsidR="00D93CB3" w:rsidRPr="00A02401" w:rsidRDefault="00D93CB3" w:rsidP="006C70E3">
            <w:pPr>
              <w:pStyle w:val="naiskr"/>
              <w:spacing w:before="0" w:after="0"/>
              <w:contextualSpacing/>
              <w:jc w:val="both"/>
            </w:pPr>
            <w:r w:rsidRPr="00A02401">
              <w:t>Saskaņošanas dalībnieki izskatīja šādu ministriju (citu institūciju) iebildumus</w:t>
            </w:r>
            <w:r w:rsidR="00BF1013" w:rsidRPr="00A02401">
              <w:t xml:space="preserve"> un priekšlikumus</w:t>
            </w:r>
          </w:p>
        </w:tc>
        <w:tc>
          <w:tcPr>
            <w:tcW w:w="6492" w:type="dxa"/>
            <w:tcBorders>
              <w:bottom w:val="single" w:sz="4" w:space="0" w:color="auto"/>
            </w:tcBorders>
          </w:tcPr>
          <w:p w14:paraId="36383410" w14:textId="77777777" w:rsidR="00D93CB3" w:rsidRPr="00A02401" w:rsidRDefault="003F6927" w:rsidP="006C70E3">
            <w:pPr>
              <w:pStyle w:val="naiskr"/>
              <w:spacing w:before="0" w:after="0"/>
              <w:ind w:firstLine="12"/>
              <w:contextualSpacing/>
              <w:jc w:val="both"/>
            </w:pPr>
            <w:r w:rsidRPr="00A02401">
              <w:t>Tieslietu ministrija, Vides aizsardzības un reģionālās attīstības ministrija, Sabiedrisko pakalpojumu regulēšanas komisija, Latvijas Darba devēju konfederācija, AS “Latvijas Gāze”, AS “GASO”</w:t>
            </w:r>
            <w:r w:rsidR="0012410A" w:rsidRPr="00A02401">
              <w:t>, Patērētāju tiesību aizsardzības centrs</w:t>
            </w:r>
            <w:r w:rsidR="0018025F" w:rsidRPr="00A02401">
              <w:t>, AS “Conexus Baltic Grid”</w:t>
            </w:r>
          </w:p>
          <w:p w14:paraId="0B6CC652" w14:textId="00AE351C" w:rsidR="0018025F" w:rsidRPr="00A02401" w:rsidRDefault="0018025F" w:rsidP="006C70E3">
            <w:pPr>
              <w:pStyle w:val="naiskr"/>
              <w:spacing w:before="0" w:after="0"/>
              <w:contextualSpacing/>
              <w:jc w:val="both"/>
            </w:pPr>
          </w:p>
        </w:tc>
      </w:tr>
      <w:tr w:rsidR="001D7AE5" w:rsidRPr="00A02401" w14:paraId="6E8263F5" w14:textId="77777777">
        <w:trPr>
          <w:trHeight w:val="465"/>
        </w:trPr>
        <w:tc>
          <w:tcPr>
            <w:tcW w:w="12582" w:type="dxa"/>
            <w:gridSpan w:val="2"/>
          </w:tcPr>
          <w:p w14:paraId="6EAC994F" w14:textId="77777777" w:rsidR="007B4C0F" w:rsidRPr="00A02401" w:rsidRDefault="007B4C0F" w:rsidP="006C70E3">
            <w:pPr>
              <w:pStyle w:val="naisc"/>
              <w:spacing w:before="0" w:after="0"/>
              <w:ind w:left="4820" w:firstLine="720"/>
              <w:contextualSpacing/>
              <w:jc w:val="both"/>
            </w:pPr>
          </w:p>
        </w:tc>
      </w:tr>
      <w:tr w:rsidR="001D7AE5" w:rsidRPr="00A02401" w14:paraId="371AE361" w14:textId="77777777" w:rsidTr="001F2BEC">
        <w:tc>
          <w:tcPr>
            <w:tcW w:w="6090" w:type="dxa"/>
          </w:tcPr>
          <w:p w14:paraId="1B419C60" w14:textId="77777777" w:rsidR="007B4C0F" w:rsidRPr="00A02401" w:rsidRDefault="007B4C0F" w:rsidP="006C70E3">
            <w:pPr>
              <w:pStyle w:val="naiskr"/>
              <w:spacing w:before="0" w:after="0"/>
              <w:contextualSpacing/>
              <w:jc w:val="both"/>
            </w:pPr>
            <w:r w:rsidRPr="00A02401">
              <w:t>Ministrijas (citas institūcijas), kuras nav ieradušās uz sanāksmi vai kuras nav atbildējušas uz uzaicinājumu piedalīties elektroniskajā saskaņošanā</w:t>
            </w:r>
          </w:p>
        </w:tc>
        <w:tc>
          <w:tcPr>
            <w:tcW w:w="6492" w:type="dxa"/>
            <w:tcBorders>
              <w:bottom w:val="single" w:sz="4" w:space="0" w:color="auto"/>
            </w:tcBorders>
          </w:tcPr>
          <w:p w14:paraId="3F18D7C8" w14:textId="31ADE6BD" w:rsidR="007B4C0F" w:rsidRPr="00A02401" w:rsidRDefault="007B4C0F" w:rsidP="006C70E3">
            <w:pPr>
              <w:pStyle w:val="naiskr"/>
              <w:spacing w:before="0" w:after="0"/>
              <w:contextualSpacing/>
              <w:jc w:val="both"/>
            </w:pPr>
          </w:p>
        </w:tc>
      </w:tr>
      <w:bookmarkEnd w:id="0"/>
      <w:tr w:rsidR="001F2BEC" w:rsidRPr="00A02401" w14:paraId="69ADCBB4" w14:textId="77777777" w:rsidTr="00D93CB3">
        <w:trPr>
          <w:gridAfter w:val="1"/>
          <w:wAfter w:w="6492" w:type="dxa"/>
        </w:trPr>
        <w:tc>
          <w:tcPr>
            <w:tcW w:w="6090" w:type="dxa"/>
          </w:tcPr>
          <w:p w14:paraId="1D91E445" w14:textId="2FD502FE" w:rsidR="001F2BEC" w:rsidRPr="00A02401" w:rsidRDefault="001F2BEC" w:rsidP="006C70E3">
            <w:pPr>
              <w:pStyle w:val="naiskr"/>
              <w:spacing w:before="0" w:after="0"/>
              <w:ind w:firstLine="720"/>
              <w:contextualSpacing/>
              <w:jc w:val="both"/>
            </w:pPr>
            <w:r w:rsidRPr="00A02401">
              <w:t xml:space="preserve"> </w:t>
            </w:r>
          </w:p>
        </w:tc>
      </w:tr>
      <w:tr w:rsidR="001F2BEC" w:rsidRPr="00A02401" w14:paraId="1F2CE103" w14:textId="77777777" w:rsidTr="00D93CB3">
        <w:trPr>
          <w:gridAfter w:val="1"/>
          <w:wAfter w:w="6492" w:type="dxa"/>
        </w:trPr>
        <w:tc>
          <w:tcPr>
            <w:tcW w:w="6090" w:type="dxa"/>
          </w:tcPr>
          <w:p w14:paraId="4B6CB991" w14:textId="58EDEAC0" w:rsidR="001F2BEC" w:rsidRPr="00A02401" w:rsidRDefault="001F2BEC" w:rsidP="006C70E3">
            <w:pPr>
              <w:pStyle w:val="naiskr"/>
              <w:spacing w:before="0" w:after="0"/>
              <w:ind w:firstLine="720"/>
              <w:contextualSpacing/>
              <w:jc w:val="both"/>
            </w:pPr>
            <w:r w:rsidRPr="00A02401">
              <w:t xml:space="preserve"> </w:t>
            </w:r>
          </w:p>
        </w:tc>
      </w:tr>
    </w:tbl>
    <w:p w14:paraId="6023099C" w14:textId="77777777" w:rsidR="007B4C0F" w:rsidRPr="00A02401" w:rsidRDefault="007B4C0F" w:rsidP="006C70E3">
      <w:pPr>
        <w:pStyle w:val="naisf"/>
        <w:spacing w:before="0" w:after="0"/>
        <w:ind w:firstLine="0"/>
        <w:contextualSpacing/>
        <w:jc w:val="center"/>
        <w:rPr>
          <w:b/>
        </w:rPr>
      </w:pPr>
      <w:r w:rsidRPr="00A02401">
        <w:rPr>
          <w:b/>
        </w:rPr>
        <w:t>II. </w:t>
      </w:r>
      <w:r w:rsidR="00134188" w:rsidRPr="00A02401">
        <w:rPr>
          <w:b/>
        </w:rPr>
        <w:t>Jautājumi, par kuriem saskaņošanā vienošan</w:t>
      </w:r>
      <w:r w:rsidR="00144622" w:rsidRPr="00A02401">
        <w:rPr>
          <w:b/>
        </w:rPr>
        <w:t>ā</w:t>
      </w:r>
      <w:r w:rsidR="00134188" w:rsidRPr="00A02401">
        <w:rPr>
          <w:b/>
        </w:rPr>
        <w:t>s ir panākta</w:t>
      </w:r>
    </w:p>
    <w:p w14:paraId="3B3496F7" w14:textId="77777777" w:rsidR="007B4C0F" w:rsidRPr="00A02401" w:rsidRDefault="007B4C0F" w:rsidP="006C70E3">
      <w:pPr>
        <w:pStyle w:val="naisf"/>
        <w:spacing w:before="0" w:after="0"/>
        <w:ind w:firstLine="720"/>
        <w:contextualSpacing/>
      </w:pPr>
    </w:p>
    <w:tbl>
      <w:tblPr>
        <w:tblW w:w="14283"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A0" w:firstRow="1" w:lastRow="0" w:firstColumn="1" w:lastColumn="0" w:noHBand="0" w:noVBand="0"/>
      </w:tblPr>
      <w:tblGrid>
        <w:gridCol w:w="675"/>
        <w:gridCol w:w="2433"/>
        <w:gridCol w:w="686"/>
        <w:gridCol w:w="4278"/>
        <w:gridCol w:w="1215"/>
        <w:gridCol w:w="2045"/>
        <w:gridCol w:w="2951"/>
      </w:tblGrid>
      <w:tr w:rsidR="001D7AE5" w:rsidRPr="00A02401" w14:paraId="41947CCA" w14:textId="77777777" w:rsidTr="007D72ED">
        <w:tc>
          <w:tcPr>
            <w:tcW w:w="675" w:type="dxa"/>
            <w:tcBorders>
              <w:top w:val="single" w:sz="6" w:space="0" w:color="000000"/>
              <w:left w:val="single" w:sz="6" w:space="0" w:color="000000"/>
              <w:bottom w:val="single" w:sz="6" w:space="0" w:color="000000"/>
              <w:right w:val="single" w:sz="6" w:space="0" w:color="000000"/>
            </w:tcBorders>
            <w:vAlign w:val="center"/>
          </w:tcPr>
          <w:p w14:paraId="6B904DC8" w14:textId="77777777" w:rsidR="00134188" w:rsidRPr="00A02401" w:rsidRDefault="00134188" w:rsidP="006C70E3">
            <w:pPr>
              <w:pStyle w:val="naisc"/>
              <w:spacing w:before="60" w:after="60"/>
              <w:jc w:val="both"/>
            </w:pPr>
            <w:r w:rsidRPr="00A02401">
              <w:t>Nr. p.</w:t>
            </w:r>
            <w:r w:rsidR="00D64FB0" w:rsidRPr="00A02401">
              <w:t> </w:t>
            </w:r>
            <w:r w:rsidRPr="00A02401">
              <w:t>k.</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1A04D982" w14:textId="77777777" w:rsidR="00134188" w:rsidRPr="00A02401" w:rsidRDefault="00134188" w:rsidP="006C70E3">
            <w:pPr>
              <w:pStyle w:val="naisc"/>
              <w:spacing w:before="60" w:after="60"/>
              <w:ind w:firstLine="33"/>
              <w:jc w:val="both"/>
            </w:pPr>
            <w:r w:rsidRPr="00A02401">
              <w:t>Saskaņošanai nosūtītā projekta redakcija (konkrēta punkta (panta) redakcija)</w:t>
            </w:r>
          </w:p>
        </w:tc>
        <w:tc>
          <w:tcPr>
            <w:tcW w:w="4278" w:type="dxa"/>
            <w:tcBorders>
              <w:top w:val="single" w:sz="6" w:space="0" w:color="000000"/>
              <w:left w:val="single" w:sz="6" w:space="0" w:color="000000"/>
              <w:bottom w:val="single" w:sz="6" w:space="0" w:color="000000"/>
              <w:right w:val="single" w:sz="6" w:space="0" w:color="000000"/>
            </w:tcBorders>
            <w:vAlign w:val="center"/>
          </w:tcPr>
          <w:p w14:paraId="471920C6" w14:textId="77777777" w:rsidR="00134188" w:rsidRPr="00A02401" w:rsidRDefault="00134188" w:rsidP="006C70E3">
            <w:pPr>
              <w:pStyle w:val="naisc"/>
              <w:spacing w:before="60" w:after="60"/>
              <w:ind w:right="3"/>
              <w:jc w:val="both"/>
            </w:pPr>
            <w:r w:rsidRPr="00A02401">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2A0B2FE3" w14:textId="77777777" w:rsidR="00134188" w:rsidRPr="00A02401" w:rsidRDefault="00134188" w:rsidP="006C70E3">
            <w:pPr>
              <w:pStyle w:val="naisc"/>
              <w:spacing w:before="60" w:after="60"/>
              <w:ind w:firstLine="5"/>
              <w:jc w:val="both"/>
            </w:pPr>
            <w:r w:rsidRPr="00A02401">
              <w:t>Atbildīgās ministrijas norāde</w:t>
            </w:r>
            <w:r w:rsidR="006C1C48" w:rsidRPr="00A02401">
              <w:t xml:space="preserve"> par to, ka </w:t>
            </w:r>
            <w:r w:rsidRPr="00A02401">
              <w:t>iebildums ir ņemts vērā</w:t>
            </w:r>
            <w:r w:rsidR="006455E7" w:rsidRPr="00A02401">
              <w:t>,</w:t>
            </w:r>
            <w:r w:rsidRPr="00A02401">
              <w:t xml:space="preserve"> vai </w:t>
            </w:r>
            <w:r w:rsidR="006C1C48" w:rsidRPr="00A02401">
              <w:t xml:space="preserve">informācija par saskaņošanā </w:t>
            </w:r>
            <w:r w:rsidR="00022B0F" w:rsidRPr="00A02401">
              <w:t>panākto alternatīvo risinājumu</w:t>
            </w:r>
          </w:p>
        </w:tc>
        <w:tc>
          <w:tcPr>
            <w:tcW w:w="2951" w:type="dxa"/>
            <w:tcBorders>
              <w:top w:val="single" w:sz="4" w:space="0" w:color="auto"/>
              <w:left w:val="single" w:sz="4" w:space="0" w:color="auto"/>
              <w:bottom w:val="single" w:sz="4" w:space="0" w:color="auto"/>
            </w:tcBorders>
            <w:vAlign w:val="center"/>
          </w:tcPr>
          <w:p w14:paraId="0A38D6C8" w14:textId="77777777" w:rsidR="00134188" w:rsidRPr="00A02401" w:rsidRDefault="00134188" w:rsidP="006C70E3">
            <w:pPr>
              <w:spacing w:before="60" w:after="60"/>
              <w:ind w:firstLine="5"/>
              <w:jc w:val="both"/>
            </w:pPr>
            <w:r w:rsidRPr="00A02401">
              <w:t>Projekta attiecīgā punkta (panta) galīgā redakcija</w:t>
            </w:r>
          </w:p>
        </w:tc>
      </w:tr>
      <w:tr w:rsidR="001D7AE5" w:rsidRPr="00A02401" w14:paraId="24B658A5" w14:textId="77777777" w:rsidTr="007D72ED">
        <w:tc>
          <w:tcPr>
            <w:tcW w:w="6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842BD1" w14:textId="77777777" w:rsidR="00134188" w:rsidRPr="00A02401" w:rsidRDefault="003B71E0" w:rsidP="006C70E3">
            <w:pPr>
              <w:pStyle w:val="naisc"/>
              <w:spacing w:before="60" w:after="60"/>
              <w:jc w:val="both"/>
            </w:pPr>
            <w:r w:rsidRPr="00A02401">
              <w:lastRenderedPageBreak/>
              <w:t>1</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191FA59" w14:textId="77777777" w:rsidR="00134188" w:rsidRPr="00A02401" w:rsidRDefault="00F34AAB" w:rsidP="006C70E3">
            <w:pPr>
              <w:pStyle w:val="naisc"/>
              <w:spacing w:before="60" w:after="60"/>
              <w:ind w:firstLine="33"/>
              <w:jc w:val="both"/>
            </w:pPr>
            <w:r w:rsidRPr="00A02401">
              <w:t>2</w:t>
            </w:r>
          </w:p>
        </w:tc>
        <w:tc>
          <w:tcPr>
            <w:tcW w:w="427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3DE0E7" w14:textId="77777777" w:rsidR="00134188" w:rsidRPr="00A02401" w:rsidRDefault="003B71E0" w:rsidP="006C70E3">
            <w:pPr>
              <w:pStyle w:val="naisc"/>
              <w:spacing w:before="60" w:after="60"/>
              <w:ind w:firstLine="720"/>
              <w:jc w:val="both"/>
            </w:pPr>
            <w:r w:rsidRPr="00A02401">
              <w:t>3</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8E9DD14" w14:textId="77777777" w:rsidR="00134188" w:rsidRPr="00A02401" w:rsidRDefault="003B71E0" w:rsidP="006C70E3">
            <w:pPr>
              <w:pStyle w:val="naisc"/>
              <w:spacing w:before="60" w:after="60"/>
              <w:ind w:firstLine="5"/>
              <w:jc w:val="both"/>
            </w:pPr>
            <w:r w:rsidRPr="00A02401">
              <w:t>4</w:t>
            </w:r>
          </w:p>
        </w:tc>
        <w:tc>
          <w:tcPr>
            <w:tcW w:w="2951" w:type="dxa"/>
            <w:tcBorders>
              <w:top w:val="single" w:sz="4" w:space="0" w:color="auto"/>
              <w:left w:val="single" w:sz="4" w:space="0" w:color="auto"/>
              <w:bottom w:val="single" w:sz="4" w:space="0" w:color="auto"/>
            </w:tcBorders>
            <w:shd w:val="clear" w:color="auto" w:fill="FFFFFF" w:themeFill="background1"/>
          </w:tcPr>
          <w:p w14:paraId="1ED3216F" w14:textId="77777777" w:rsidR="00134188" w:rsidRPr="00A02401" w:rsidRDefault="003B71E0" w:rsidP="006C70E3">
            <w:pPr>
              <w:spacing w:before="60" w:after="60"/>
              <w:ind w:firstLine="5"/>
              <w:jc w:val="both"/>
            </w:pPr>
            <w:r w:rsidRPr="00A02401">
              <w:t>5</w:t>
            </w:r>
          </w:p>
        </w:tc>
      </w:tr>
      <w:tr w:rsidR="00D05C58" w:rsidRPr="00A02401" w14:paraId="50821682" w14:textId="77777777" w:rsidTr="007D72ED">
        <w:tc>
          <w:tcPr>
            <w:tcW w:w="67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20598B" w14:textId="217470F5" w:rsidR="00D05C58" w:rsidRPr="00A02401" w:rsidRDefault="00CF3C2D" w:rsidP="006C70E3">
            <w:pPr>
              <w:pStyle w:val="naisc"/>
              <w:spacing w:before="60" w:after="60"/>
              <w:jc w:val="both"/>
            </w:pPr>
            <w:r w:rsidRPr="00A02401">
              <w:t>1.</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A6DF38E" w14:textId="77777777" w:rsidR="003F6927" w:rsidRPr="00A02401" w:rsidRDefault="003F6927" w:rsidP="006C70E3">
            <w:pPr>
              <w:pStyle w:val="naisc"/>
              <w:spacing w:before="60" w:after="60"/>
              <w:jc w:val="both"/>
            </w:pPr>
            <w:r w:rsidRPr="00A02401">
              <w:t>1.</w:t>
            </w:r>
            <w:r w:rsidRPr="00A02401">
              <w:tab/>
              <w:t>Papildināt Noteikumu 1. punktu ar 1.6. apakšpunktu šādā redakcijā:</w:t>
            </w:r>
          </w:p>
          <w:p w14:paraId="572567F9" w14:textId="77777777" w:rsidR="003F6927" w:rsidRPr="00A02401" w:rsidRDefault="003F6927" w:rsidP="006C70E3">
            <w:pPr>
              <w:pStyle w:val="naisc"/>
              <w:spacing w:before="60" w:after="60"/>
              <w:ind w:firstLine="33"/>
              <w:jc w:val="both"/>
            </w:pPr>
          </w:p>
          <w:p w14:paraId="2E17E212" w14:textId="5112B00B" w:rsidR="00A62E1C" w:rsidRPr="00A02401" w:rsidRDefault="003F6927" w:rsidP="006C70E3">
            <w:pPr>
              <w:pStyle w:val="naisc"/>
              <w:spacing w:before="60" w:after="60"/>
              <w:ind w:firstLine="33"/>
              <w:jc w:val="both"/>
            </w:pPr>
            <w:r w:rsidRPr="00A02401">
              <w:t>“1.6. sašķidrinātās dabasgāzes pakalpojuma sniegšanas un saņemšanas kārtību.”</w:t>
            </w:r>
          </w:p>
        </w:tc>
        <w:tc>
          <w:tcPr>
            <w:tcW w:w="427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95713C" w14:textId="46B5A197" w:rsidR="003F6927" w:rsidRPr="00A02401" w:rsidRDefault="003F6927" w:rsidP="00DD75BA">
            <w:pPr>
              <w:pStyle w:val="NormalWeb"/>
              <w:spacing w:before="0" w:beforeAutospacing="0" w:after="0" w:afterAutospacing="0"/>
              <w:ind w:right="13"/>
              <w:jc w:val="both"/>
            </w:pPr>
            <w:r w:rsidRPr="00A02401">
              <w:rPr>
                <w:b/>
                <w:bCs/>
              </w:rPr>
              <w:t xml:space="preserve">Tieslietu ministrija </w:t>
            </w:r>
            <w:r w:rsidRPr="00A02401">
              <w:t>(turpmāk – TM)</w:t>
            </w:r>
          </w:p>
          <w:p w14:paraId="65488556" w14:textId="3265736A" w:rsidR="00A62E1C" w:rsidRPr="00A02401" w:rsidRDefault="003F6927" w:rsidP="00DD75BA">
            <w:pPr>
              <w:pStyle w:val="NormalWeb"/>
              <w:spacing w:before="0" w:beforeAutospacing="0" w:after="0" w:afterAutospacing="0"/>
              <w:ind w:right="13"/>
              <w:jc w:val="both"/>
            </w:pPr>
            <w:r w:rsidRPr="00A02401">
              <w:t xml:space="preserve">Ministru kabineta 2009. gada 3. februāra noteikumu Nr. 108 </w:t>
            </w:r>
            <w:r w:rsidR="00DD75BA">
              <w:t>“</w:t>
            </w:r>
            <w:r w:rsidRPr="00A02401">
              <w:t xml:space="preserve">Normatīvo aktu projektu sagatavošanas noteikumi" 100. punkts noteic, ka Ministru kabineta noteikumu projekta pirmajā punktā secīgi raksta vārdus </w:t>
            </w:r>
            <w:r w:rsidR="00DD75BA">
              <w:t>“</w:t>
            </w:r>
            <w:r w:rsidRPr="00A02401">
              <w:t>noteikumi nosaka</w:t>
            </w:r>
            <w:r w:rsidR="00DD75BA">
              <w:t>”</w:t>
            </w:r>
            <w:r w:rsidRPr="00A02401">
              <w:t xml:space="preserve"> un likumā noteikto pilnvarojumu Ministru kabinetam. Ievērojot minēto, lūdzam precizēt projekta 1. punktā paredzēto Ministru kabineta 2017. gada 7. februāra noteikumu Nr. 78 </w:t>
            </w:r>
            <w:r w:rsidR="00DD75BA">
              <w:t>“</w:t>
            </w:r>
            <w:r w:rsidRPr="00A02401">
              <w:t>Dabasgāzes tirdzniecības un lietošanas noteikumi</w:t>
            </w:r>
            <w:r w:rsidR="00DD75BA">
              <w:t>”</w:t>
            </w:r>
            <w:r w:rsidRPr="00A02401">
              <w:t xml:space="preserve"> 1.6. apakšpunktu atbilstoši Enerģētikas likuma 107. panta septītajā daļā ietvertajam pilnvarojumam Ministru kabinetam, proti, svītrot vārdus </w:t>
            </w:r>
            <w:r w:rsidR="00DD75BA">
              <w:t>“</w:t>
            </w:r>
            <w:r w:rsidRPr="00A02401">
              <w:t>un saņemšanas</w:t>
            </w:r>
            <w:r w:rsidR="00DD75BA">
              <w:t>”</w:t>
            </w:r>
            <w:r w:rsidRPr="00A02401">
              <w:t>.</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49CAE3E" w14:textId="77777777" w:rsidR="00D05C58" w:rsidRPr="00A02401" w:rsidRDefault="003F6927" w:rsidP="006C70E3">
            <w:pPr>
              <w:pStyle w:val="naisc"/>
              <w:spacing w:before="60" w:after="60"/>
              <w:ind w:firstLine="5"/>
              <w:jc w:val="both"/>
              <w:rPr>
                <w:b/>
              </w:rPr>
            </w:pPr>
            <w:r w:rsidRPr="00A02401">
              <w:rPr>
                <w:b/>
              </w:rPr>
              <w:t>Ņemts vērā.</w:t>
            </w:r>
          </w:p>
          <w:p w14:paraId="2A3018F3" w14:textId="74220941" w:rsidR="003F6927" w:rsidRPr="00A02401" w:rsidRDefault="00CF3C2D" w:rsidP="006C70E3">
            <w:pPr>
              <w:pStyle w:val="naisc"/>
              <w:spacing w:before="60" w:after="60"/>
              <w:ind w:firstLine="5"/>
              <w:jc w:val="both"/>
              <w:rPr>
                <w:bCs/>
              </w:rPr>
            </w:pPr>
            <w:r w:rsidRPr="00A02401">
              <w:rPr>
                <w:bCs/>
              </w:rPr>
              <w:t>Ministru</w:t>
            </w:r>
            <w:r w:rsidR="00EB613F" w:rsidRPr="00A02401">
              <w:rPr>
                <w:bCs/>
              </w:rPr>
              <w:t xml:space="preserve"> kabineta noteikumu projekts “Grozījumi Ministru kabineta 2017.gada 7.februāra noteikumos Nr.78 </w:t>
            </w:r>
            <w:r w:rsidR="00DD75BA">
              <w:rPr>
                <w:bCs/>
              </w:rPr>
              <w:t>“</w:t>
            </w:r>
            <w:r w:rsidR="00EB613F" w:rsidRPr="00A02401">
              <w:rPr>
                <w:bCs/>
              </w:rPr>
              <w:t xml:space="preserve">Dabasgāzes tirdzniecības un lietošanas noteikumi”” (turpmāk </w:t>
            </w:r>
            <w:r w:rsidR="00DD75BA">
              <w:rPr>
                <w:bCs/>
              </w:rPr>
              <w:t>–</w:t>
            </w:r>
            <w:r w:rsidR="00EB613F" w:rsidRPr="00A02401">
              <w:rPr>
                <w:bCs/>
              </w:rPr>
              <w:t xml:space="preserve"> </w:t>
            </w:r>
            <w:r w:rsidR="003F6927" w:rsidRPr="00A02401">
              <w:rPr>
                <w:bCs/>
              </w:rPr>
              <w:t>Noteikumu projekts</w:t>
            </w:r>
            <w:r w:rsidR="00EB613F" w:rsidRPr="00A02401">
              <w:rPr>
                <w:bCs/>
              </w:rPr>
              <w:t>)</w:t>
            </w:r>
            <w:r w:rsidR="003F6927" w:rsidRPr="00A02401">
              <w:rPr>
                <w:bCs/>
              </w:rPr>
              <w:t xml:space="preserve"> precizēts atbilstoši Enerģētikas likuma 107.panta deleģējumam.</w:t>
            </w:r>
          </w:p>
        </w:tc>
        <w:tc>
          <w:tcPr>
            <w:tcW w:w="2951" w:type="dxa"/>
            <w:tcBorders>
              <w:top w:val="single" w:sz="4" w:space="0" w:color="auto"/>
              <w:left w:val="single" w:sz="4" w:space="0" w:color="auto"/>
              <w:bottom w:val="single" w:sz="4" w:space="0" w:color="auto"/>
            </w:tcBorders>
            <w:shd w:val="clear" w:color="auto" w:fill="FFFFFF" w:themeFill="background1"/>
          </w:tcPr>
          <w:p w14:paraId="6B59E9BE" w14:textId="77777777" w:rsidR="003F6927" w:rsidRPr="00A02401" w:rsidRDefault="003F6927" w:rsidP="006C70E3">
            <w:pPr>
              <w:pStyle w:val="ListParagraph"/>
              <w:numPr>
                <w:ilvl w:val="0"/>
                <w:numId w:val="21"/>
              </w:numPr>
              <w:tabs>
                <w:tab w:val="left" w:pos="284"/>
                <w:tab w:val="left" w:pos="567"/>
              </w:tabs>
              <w:spacing w:after="0" w:line="240" w:lineRule="auto"/>
              <w:ind w:left="0" w:firstLine="0"/>
              <w:jc w:val="both"/>
              <w:rPr>
                <w:rFonts w:ascii="Times New Roman" w:hAnsi="Times New Roman"/>
                <w:sz w:val="24"/>
                <w:szCs w:val="24"/>
              </w:rPr>
            </w:pPr>
            <w:r w:rsidRPr="00A02401">
              <w:rPr>
                <w:rFonts w:ascii="Times New Roman" w:hAnsi="Times New Roman"/>
                <w:sz w:val="24"/>
                <w:szCs w:val="24"/>
              </w:rPr>
              <w:t>Papildināt 1. punktu ar 1.6. apakšpunktu šādā redakcijā:</w:t>
            </w:r>
          </w:p>
          <w:p w14:paraId="73691588" w14:textId="77777777" w:rsidR="003F6927" w:rsidRPr="00A02401" w:rsidRDefault="003F6927" w:rsidP="006C70E3">
            <w:pPr>
              <w:pStyle w:val="ListParagraph"/>
              <w:ind w:left="1069"/>
              <w:jc w:val="both"/>
              <w:rPr>
                <w:rFonts w:ascii="Times New Roman" w:hAnsi="Times New Roman"/>
                <w:sz w:val="24"/>
                <w:szCs w:val="24"/>
              </w:rPr>
            </w:pPr>
          </w:p>
          <w:p w14:paraId="216BF7D2" w14:textId="77777777" w:rsidR="003F6927" w:rsidRPr="00A02401" w:rsidRDefault="003F6927" w:rsidP="006C70E3">
            <w:pPr>
              <w:jc w:val="both"/>
            </w:pPr>
            <w:r w:rsidRPr="00A02401">
              <w:t>“1.6. sašķidrinātās dabasgāzes pakalpojuma sniegšanas kārtību.”</w:t>
            </w:r>
          </w:p>
          <w:p w14:paraId="1239DA8D" w14:textId="00623DE9" w:rsidR="00D05C58" w:rsidRPr="00A02401" w:rsidRDefault="00D05C58" w:rsidP="006C70E3">
            <w:pPr>
              <w:spacing w:before="60" w:after="60"/>
              <w:ind w:firstLine="5"/>
              <w:jc w:val="both"/>
            </w:pPr>
          </w:p>
        </w:tc>
      </w:tr>
      <w:tr w:rsidR="0057514E" w:rsidRPr="00A02401" w14:paraId="7B80C18D" w14:textId="77777777" w:rsidTr="007D72ED">
        <w:tc>
          <w:tcPr>
            <w:tcW w:w="675" w:type="dxa"/>
            <w:tcBorders>
              <w:top w:val="single" w:sz="4" w:space="0" w:color="auto"/>
              <w:left w:val="single" w:sz="6" w:space="0" w:color="000000"/>
              <w:bottom w:val="single" w:sz="6" w:space="0" w:color="000000"/>
              <w:right w:val="single" w:sz="6" w:space="0" w:color="000000"/>
            </w:tcBorders>
          </w:tcPr>
          <w:p w14:paraId="645E2C8B" w14:textId="21010348" w:rsidR="0057514E" w:rsidRPr="00A02401" w:rsidRDefault="00CF3C2D" w:rsidP="006C70E3">
            <w:pPr>
              <w:pStyle w:val="naisc"/>
              <w:spacing w:before="60" w:after="60"/>
              <w:jc w:val="both"/>
            </w:pPr>
            <w:r w:rsidRPr="00A02401">
              <w:t>2.</w:t>
            </w:r>
          </w:p>
        </w:tc>
        <w:tc>
          <w:tcPr>
            <w:tcW w:w="3119" w:type="dxa"/>
            <w:gridSpan w:val="2"/>
            <w:tcBorders>
              <w:top w:val="single" w:sz="4" w:space="0" w:color="auto"/>
              <w:left w:val="single" w:sz="6" w:space="0" w:color="000000"/>
              <w:bottom w:val="single" w:sz="6" w:space="0" w:color="000000"/>
              <w:right w:val="single" w:sz="6" w:space="0" w:color="000000"/>
            </w:tcBorders>
          </w:tcPr>
          <w:p w14:paraId="0BDFC7B6" w14:textId="3F0F0011" w:rsidR="0057514E" w:rsidRPr="00A02401" w:rsidRDefault="00EB613F" w:rsidP="006C70E3">
            <w:pPr>
              <w:pStyle w:val="naisc"/>
              <w:spacing w:before="60" w:after="60"/>
              <w:ind w:firstLine="33"/>
              <w:jc w:val="both"/>
            </w:pPr>
            <w:r w:rsidRPr="00A02401">
              <w:t>Vairāki Noteikumu projekta punkti.</w:t>
            </w:r>
          </w:p>
        </w:tc>
        <w:tc>
          <w:tcPr>
            <w:tcW w:w="4278" w:type="dxa"/>
            <w:tcBorders>
              <w:top w:val="single" w:sz="4" w:space="0" w:color="auto"/>
              <w:left w:val="single" w:sz="6" w:space="0" w:color="000000"/>
              <w:bottom w:val="single" w:sz="6" w:space="0" w:color="000000"/>
              <w:right w:val="single" w:sz="6" w:space="0" w:color="000000"/>
            </w:tcBorders>
          </w:tcPr>
          <w:p w14:paraId="0868F0B3" w14:textId="77777777" w:rsidR="00EA7471" w:rsidRPr="00A02401" w:rsidRDefault="003F6927" w:rsidP="006C70E3">
            <w:pPr>
              <w:pStyle w:val="naisc"/>
              <w:spacing w:before="60" w:after="60"/>
              <w:ind w:firstLine="5"/>
              <w:jc w:val="both"/>
              <w:rPr>
                <w:b/>
                <w:bCs/>
              </w:rPr>
            </w:pPr>
            <w:r w:rsidRPr="00A02401">
              <w:rPr>
                <w:b/>
                <w:bCs/>
              </w:rPr>
              <w:t>TM</w:t>
            </w:r>
          </w:p>
          <w:p w14:paraId="3CE6C3B1" w14:textId="3D55C6EB" w:rsidR="003F6927" w:rsidRPr="00A02401" w:rsidRDefault="003F6927" w:rsidP="006C70E3">
            <w:pPr>
              <w:pStyle w:val="NoSpacing"/>
              <w:ind w:firstLine="5"/>
              <w:rPr>
                <w:sz w:val="24"/>
                <w:szCs w:val="24"/>
                <w:lang w:eastAsia="lv-LV"/>
              </w:rPr>
            </w:pPr>
            <w:r w:rsidRPr="00A02401">
              <w:rPr>
                <w:sz w:val="24"/>
                <w:szCs w:val="24"/>
                <w:lang w:eastAsia="lv-LV"/>
              </w:rPr>
              <w:t xml:space="preserve">Vēršam uzmanību uz to, ka projekta 2. punktā paredzētajā noteikumu 2.34. apakšpunktā un projekta 4. punktā paredzētajā noteikumu 95. punktā ir minēts lietotājs, projekta 3. punktā paredzētajā noteikumu 70. punktā un projekta 5. punktā paredzētajā noteikumu 95.2 un 95.3 punktā ir minēts sašķidrinātās dabasgāzes sistēmas lietotājs, projekta 3. punktā paredzētajā noteikumu 70.1 punktā ir minēti sistēmas lietotāji, un projekta 5. punktā paredzētajā noteikumu </w:t>
            </w:r>
            <w:r w:rsidRPr="00A02401">
              <w:rPr>
                <w:sz w:val="24"/>
                <w:szCs w:val="24"/>
                <w:lang w:eastAsia="lv-LV"/>
              </w:rPr>
              <w:lastRenderedPageBreak/>
              <w:t>95.1 punktā ir minēts enerģijas lietotājs. Līdz ar to iepriekš minēto terminu lietošana ir neskaidra. Ievērojot minēto, lūdzam izvērtēt projektā paredzētos grozījumus un attiecīgi precizēt tos.</w:t>
            </w:r>
          </w:p>
          <w:p w14:paraId="1EBD0954" w14:textId="77777777" w:rsidR="00AC3724" w:rsidRPr="00A02401" w:rsidRDefault="00AC3724" w:rsidP="006C70E3">
            <w:pPr>
              <w:pStyle w:val="NoSpacing"/>
              <w:ind w:firstLine="0"/>
              <w:rPr>
                <w:sz w:val="24"/>
                <w:szCs w:val="24"/>
                <w:lang w:eastAsia="lv-LV"/>
              </w:rPr>
            </w:pPr>
          </w:p>
          <w:p w14:paraId="22FD4438" w14:textId="660928A3" w:rsidR="003F6927" w:rsidRPr="00A02401" w:rsidRDefault="003F6927" w:rsidP="006C70E3">
            <w:pPr>
              <w:pStyle w:val="naisc"/>
              <w:spacing w:before="60" w:after="60"/>
              <w:ind w:firstLine="5"/>
              <w:jc w:val="both"/>
            </w:pPr>
          </w:p>
        </w:tc>
        <w:tc>
          <w:tcPr>
            <w:tcW w:w="3260" w:type="dxa"/>
            <w:gridSpan w:val="2"/>
            <w:tcBorders>
              <w:top w:val="single" w:sz="4" w:space="0" w:color="auto"/>
              <w:left w:val="single" w:sz="6" w:space="0" w:color="000000"/>
              <w:bottom w:val="single" w:sz="6" w:space="0" w:color="000000"/>
              <w:right w:val="single" w:sz="6" w:space="0" w:color="000000"/>
            </w:tcBorders>
          </w:tcPr>
          <w:p w14:paraId="24E0FB42" w14:textId="72E5E4C4" w:rsidR="00AF05CA" w:rsidRPr="00A02401" w:rsidRDefault="00AF05CA" w:rsidP="006C70E3">
            <w:pPr>
              <w:pStyle w:val="naisc"/>
              <w:spacing w:before="60" w:after="60"/>
              <w:ind w:firstLine="5"/>
              <w:jc w:val="both"/>
              <w:rPr>
                <w:b/>
              </w:rPr>
            </w:pPr>
            <w:r w:rsidRPr="00A02401">
              <w:rPr>
                <w:b/>
              </w:rPr>
              <w:lastRenderedPageBreak/>
              <w:t xml:space="preserve">Ņemts vērā. </w:t>
            </w:r>
          </w:p>
          <w:p w14:paraId="692EED89" w14:textId="21553BDA" w:rsidR="00AF05CA" w:rsidRPr="00A02401" w:rsidRDefault="00DD2DE2" w:rsidP="006C70E3">
            <w:pPr>
              <w:pStyle w:val="naisc"/>
              <w:spacing w:before="60" w:after="60"/>
              <w:ind w:firstLine="5"/>
              <w:jc w:val="both"/>
              <w:rPr>
                <w:b/>
              </w:rPr>
            </w:pPr>
            <w:r w:rsidRPr="00A02401">
              <w:rPr>
                <w:bCs/>
              </w:rPr>
              <w:t xml:space="preserve">Noteikumu projekts atbilstoši precizēts. </w:t>
            </w:r>
            <w:r w:rsidRPr="00A02401">
              <w:t>Ekonomikas ministrija skaidro, ka terminu “sistēmas lietotājs”</w:t>
            </w:r>
            <w:r w:rsidR="00EB613F" w:rsidRPr="00A02401">
              <w:t xml:space="preserve"> un</w:t>
            </w:r>
            <w:r w:rsidRPr="00A02401">
              <w:t xml:space="preserve"> “sašķidrinātās dabasgāzes sistēmas lietotājs” lietošana izriet no Enerģētikas likuma 1.pantā iekļaut</w:t>
            </w:r>
            <w:r w:rsidR="00EB613F" w:rsidRPr="00A02401">
              <w:t>ās</w:t>
            </w:r>
            <w:r w:rsidRPr="00A02401">
              <w:t xml:space="preserve"> definīcija</w:t>
            </w:r>
            <w:r w:rsidR="00EB613F" w:rsidRPr="00A02401">
              <w:t>s</w:t>
            </w:r>
            <w:r w:rsidRPr="00A02401">
              <w:t xml:space="preserve">. Enerģētikas likums nosaka, ka </w:t>
            </w:r>
            <w:r w:rsidR="00AF05CA" w:rsidRPr="00A02401">
              <w:t>sistēmas lietotājs</w:t>
            </w:r>
            <w:r w:rsidRPr="00A02401">
              <w:t xml:space="preserve"> ir</w:t>
            </w:r>
            <w:r w:rsidR="00AF05CA" w:rsidRPr="00A02401">
              <w:t xml:space="preserve"> fiziskā vai juridiskā persona, kas izmanto enerģijas pārvades vai sadales </w:t>
            </w:r>
            <w:r w:rsidR="00AF05CA" w:rsidRPr="00A02401">
              <w:lastRenderedPageBreak/>
              <w:t>sistēmas vai dabasgāzes uzglabāšanas vai sašķidrinātās dabasgāzes pakalpojumus</w:t>
            </w:r>
            <w:r w:rsidRPr="00A02401">
              <w:t>.</w:t>
            </w:r>
            <w:r w:rsidR="00EB613F" w:rsidRPr="00A02401">
              <w:t xml:space="preserve"> Līdz ar to šī termina izmantošana norāda uz attiecīgās sistēmas lietotāju. Savukārt, t</w:t>
            </w:r>
            <w:r w:rsidRPr="00A02401">
              <w:t>ermins “lietotājs” Noteikumu projektā tiek lietots saskaņā ar to lietošanu</w:t>
            </w:r>
            <w:r w:rsidR="00EB613F" w:rsidRPr="00A02401">
              <w:t xml:space="preserve"> Ministru kabineta 2017. gada 7. februāra noteikumos Nr. 78 </w:t>
            </w:r>
            <w:r w:rsidR="00DD75BA">
              <w:t>“</w:t>
            </w:r>
            <w:r w:rsidR="00EB613F" w:rsidRPr="00A02401">
              <w:t>Dabasgāzes tirdzniecības un lietošanas noteikumi” (turpmāk – Noteikumi Nr.78), līdz ar to termins “enerģijas lietotājs” ir aizstāts ar terminu “lietotājs”.</w:t>
            </w:r>
            <w:r w:rsidRPr="00A02401">
              <w:t xml:space="preserve"> </w:t>
            </w:r>
          </w:p>
        </w:tc>
        <w:tc>
          <w:tcPr>
            <w:tcW w:w="2951" w:type="dxa"/>
            <w:tcBorders>
              <w:top w:val="single" w:sz="4" w:space="0" w:color="auto"/>
              <w:left w:val="single" w:sz="4" w:space="0" w:color="auto"/>
              <w:bottom w:val="single" w:sz="4" w:space="0" w:color="auto"/>
            </w:tcBorders>
          </w:tcPr>
          <w:p w14:paraId="485B8EC4" w14:textId="5B8F31B1" w:rsidR="0057514E" w:rsidRPr="00A02401" w:rsidRDefault="00EB613F" w:rsidP="006C70E3">
            <w:pPr>
              <w:spacing w:before="60" w:after="60"/>
              <w:ind w:firstLine="5"/>
              <w:jc w:val="both"/>
            </w:pPr>
            <w:r w:rsidRPr="00A02401">
              <w:lastRenderedPageBreak/>
              <w:t>Veikti precizējumi Noteikumu projekta vairākos punktos.</w:t>
            </w:r>
          </w:p>
        </w:tc>
      </w:tr>
      <w:tr w:rsidR="00460C43" w:rsidRPr="00A02401" w14:paraId="3933BF19" w14:textId="77777777" w:rsidTr="007D72ED">
        <w:tc>
          <w:tcPr>
            <w:tcW w:w="675" w:type="dxa"/>
            <w:tcBorders>
              <w:top w:val="single" w:sz="4" w:space="0" w:color="auto"/>
              <w:left w:val="single" w:sz="6" w:space="0" w:color="000000"/>
              <w:bottom w:val="single" w:sz="6" w:space="0" w:color="000000"/>
              <w:right w:val="single" w:sz="6" w:space="0" w:color="000000"/>
            </w:tcBorders>
          </w:tcPr>
          <w:p w14:paraId="30ACAB9A" w14:textId="431A5AC8" w:rsidR="00460C43" w:rsidRPr="00A02401" w:rsidRDefault="00EB7A1B" w:rsidP="006C70E3">
            <w:pPr>
              <w:pStyle w:val="naisc"/>
              <w:spacing w:before="60" w:after="60"/>
              <w:jc w:val="both"/>
            </w:pPr>
            <w:r w:rsidRPr="00A02401">
              <w:t>3</w:t>
            </w:r>
            <w:r w:rsidR="00460C43"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71E6259D" w14:textId="77777777" w:rsidR="00460C43" w:rsidRPr="00A02401" w:rsidRDefault="00460C43" w:rsidP="006C70E3">
            <w:pPr>
              <w:jc w:val="both"/>
            </w:pPr>
            <w:r w:rsidRPr="00A02401">
              <w:t>3. Papildināt 2.punktu ar 2.34.apakšpunktu šādā redakcijā:</w:t>
            </w:r>
          </w:p>
          <w:p w14:paraId="253DDE8A" w14:textId="77777777" w:rsidR="00460C43" w:rsidRPr="000E00A7" w:rsidRDefault="00460C43" w:rsidP="000E00A7">
            <w:pPr>
              <w:jc w:val="both"/>
            </w:pPr>
          </w:p>
          <w:p w14:paraId="6B4012C7" w14:textId="736BF401" w:rsidR="00460C43" w:rsidRPr="00A02401" w:rsidRDefault="00460C43" w:rsidP="000E00A7">
            <w:pPr>
              <w:jc w:val="both"/>
            </w:pPr>
            <w:bookmarkStart w:id="1" w:name="_Hlk36129025"/>
            <w:r w:rsidRPr="00A02401">
              <w:t>“2.34. sašķidrinātās dabasgāzes sistēmas operators – licencēts energoapgādes komersants, kas sniedz sašķidrinātās dabasgāzes pakalpojumu.”</w:t>
            </w:r>
            <w:bookmarkEnd w:id="1"/>
          </w:p>
        </w:tc>
        <w:tc>
          <w:tcPr>
            <w:tcW w:w="4278" w:type="dxa"/>
            <w:tcBorders>
              <w:top w:val="single" w:sz="4" w:space="0" w:color="auto"/>
              <w:left w:val="single" w:sz="6" w:space="0" w:color="000000"/>
              <w:bottom w:val="single" w:sz="6" w:space="0" w:color="000000"/>
              <w:right w:val="single" w:sz="6" w:space="0" w:color="000000"/>
            </w:tcBorders>
          </w:tcPr>
          <w:p w14:paraId="659CDDA5" w14:textId="6DFB868E" w:rsidR="00460C43" w:rsidRPr="00A02401" w:rsidRDefault="00460C43" w:rsidP="006C70E3">
            <w:pPr>
              <w:pStyle w:val="naisc"/>
              <w:spacing w:before="60" w:after="60"/>
              <w:ind w:firstLine="5"/>
              <w:jc w:val="both"/>
              <w:rPr>
                <w:b/>
                <w:bCs/>
              </w:rPr>
            </w:pPr>
            <w:r w:rsidRPr="00A02401">
              <w:rPr>
                <w:b/>
                <w:bCs/>
              </w:rPr>
              <w:t>A</w:t>
            </w:r>
            <w:r w:rsidR="00823334">
              <w:rPr>
                <w:b/>
                <w:bCs/>
              </w:rPr>
              <w:t>kciju sabiedrība</w:t>
            </w:r>
            <w:r w:rsidRPr="00A02401">
              <w:rPr>
                <w:b/>
                <w:bCs/>
              </w:rPr>
              <w:t xml:space="preserve"> </w:t>
            </w:r>
            <w:r w:rsidR="00823334">
              <w:rPr>
                <w:b/>
                <w:bCs/>
              </w:rPr>
              <w:t>“</w:t>
            </w:r>
            <w:r w:rsidRPr="00A02401">
              <w:rPr>
                <w:b/>
                <w:bCs/>
              </w:rPr>
              <w:t>Conexus Baltic Grid</w:t>
            </w:r>
            <w:r w:rsidR="00823334">
              <w:rPr>
                <w:b/>
                <w:bCs/>
              </w:rPr>
              <w:t>”</w:t>
            </w:r>
          </w:p>
          <w:p w14:paraId="4DEFF788" w14:textId="21004EB0" w:rsidR="00460C43" w:rsidRPr="00A02401" w:rsidRDefault="00460C43" w:rsidP="006C70E3">
            <w:pPr>
              <w:jc w:val="both"/>
              <w:rPr>
                <w:rFonts w:eastAsia="Calibri"/>
              </w:rPr>
            </w:pPr>
            <w:r w:rsidRPr="00A02401">
              <w:rPr>
                <w:rFonts w:eastAsia="Calibri"/>
              </w:rPr>
              <w:t xml:space="preserve">Noteikumu projektu piedāvāts papildināt ar 2.34. apakšpunktu, nosakot, ka par sašķidrinātās dabasgāzes sistēmas operatoru uzskatāms licencēts energoapgādes komersants, kas sniedz sašķidrinātās dabasgāzes pakalpojumu. No minētā izriet, ka sašķidrinātās dabasgāzes sistēmas operatoru nepieciešams licencēt. Šāds licencēšanas pilnvarojums saskaņā ar Enerģētikas likumu un likumu </w:t>
            </w:r>
            <w:r w:rsidR="00DD75BA">
              <w:rPr>
                <w:rFonts w:eastAsia="Calibri"/>
              </w:rPr>
              <w:t>“</w:t>
            </w:r>
            <w:r w:rsidRPr="00A02401">
              <w:rPr>
                <w:rFonts w:eastAsia="Calibri"/>
              </w:rPr>
              <w:t>Par sabiedrisko pakalpojumu regulatoriem</w:t>
            </w:r>
            <w:r w:rsidR="00DD75BA">
              <w:rPr>
                <w:rFonts w:eastAsia="Calibri"/>
              </w:rPr>
              <w:t>”</w:t>
            </w:r>
            <w:r w:rsidRPr="00A02401">
              <w:rPr>
                <w:rFonts w:eastAsia="Calibri"/>
              </w:rPr>
              <w:t xml:space="preserve"> ir uzticēts Sabiedrisko pakalpojumu regulēšanas komisijai (turpmāk – regulators). Piemēram, Enerģētikas likuma </w:t>
            </w:r>
            <w:r w:rsidRPr="00A02401">
              <w:rPr>
                <w:rFonts w:eastAsia="Calibri"/>
              </w:rPr>
              <w:lastRenderedPageBreak/>
              <w:t>7. panta otrā daļa paredz, ka licence sašķidrinātās dabasgāzes pakalpojuma sniegšanai izsniedzama uz 20 gadiem, kuras nosacījumu izpildi un sašķidrinātās dabasgāzes pakalpojuma atbilstību licences nosacījumiem attiecīgi regulators arī uzrauga</w:t>
            </w:r>
            <w:r w:rsidRPr="00A02401">
              <w:rPr>
                <w:rFonts w:eastAsia="Calibri"/>
                <w:vertAlign w:val="superscript"/>
              </w:rPr>
              <w:footnoteReference w:id="1"/>
            </w:r>
            <w:r w:rsidRPr="00A02401">
              <w:rPr>
                <w:rFonts w:eastAsia="Calibri"/>
              </w:rPr>
              <w:t>.</w:t>
            </w:r>
          </w:p>
          <w:p w14:paraId="09F7E82A" w14:textId="1B5AB837" w:rsidR="00460C43" w:rsidRPr="00A02401" w:rsidRDefault="00460C43" w:rsidP="006C70E3">
            <w:pPr>
              <w:jc w:val="both"/>
              <w:rPr>
                <w:rFonts w:eastAsia="Calibri"/>
              </w:rPr>
            </w:pPr>
            <w:r w:rsidRPr="00A02401">
              <w:rPr>
                <w:rFonts w:eastAsia="Calibri"/>
              </w:rPr>
              <w:t xml:space="preserve">Enerģētikas likuma 1. panta 45. punktā noteikts, ka sistēmas operators ir energoapgādes komersants, kas sniedz enerģijas pārvades vai sadales, dabasgāzes uzglabāšanas vai sašķidrinātās dabasgāzes pakalpojumus. Visi no minētajā normā uzskaitītajiem dabasgāzes apgādes pakalpojuma veidiem ir tādi, kurus saskaņā ar 2009. gada 27. oktobra Ministru kabineta noteikumos Nr. 1227 </w:t>
            </w:r>
            <w:r w:rsidR="00DD75BA">
              <w:rPr>
                <w:rFonts w:eastAsia="Calibri"/>
              </w:rPr>
              <w:t>“</w:t>
            </w:r>
            <w:r w:rsidRPr="00A02401">
              <w:rPr>
                <w:rFonts w:eastAsia="Calibri"/>
              </w:rPr>
              <w:t>Noteikumi par regulējamiem sabiedrisko pakalpojumu veidiem</w:t>
            </w:r>
            <w:r w:rsidR="00DD75BA">
              <w:rPr>
                <w:rFonts w:eastAsia="Calibri"/>
              </w:rPr>
              <w:t>”</w:t>
            </w:r>
            <w:r w:rsidRPr="00A02401">
              <w:rPr>
                <w:rFonts w:eastAsia="Calibri"/>
              </w:rPr>
              <w:t xml:space="preserve"> (turpmāk – noteikumi Nr. 1227) paredzēto nepieciešams regulēt dabasgāzes apgādes jomā. Proti, noteikts, ka dabasgāzes šķidrināšanu vai sašķidrinātās dabasgāzes saņemšanu, izkraušanu, uzglabāšanu un pārvēršanu gāzveida stāvoklī turpmākai piegādei uz dabasgāzes pārvades sistēmu nepieciešams regulēt. Noteikumi Nr. 1227 nenosaka, ka būtu nepieciešams regulēt sašķidrinātās dabasgāzes pārvēršanu un nogādāšanu enerģijas lietotājam no sašķidrinātās dabasgāzes iekārtas.</w:t>
            </w:r>
          </w:p>
          <w:p w14:paraId="069238E0" w14:textId="0259CB69" w:rsidR="00460C43" w:rsidRPr="00A02401" w:rsidRDefault="00460C43" w:rsidP="006C70E3">
            <w:pPr>
              <w:jc w:val="both"/>
              <w:rPr>
                <w:rFonts w:eastAsia="Calibri"/>
              </w:rPr>
            </w:pPr>
            <w:r w:rsidRPr="00A02401">
              <w:rPr>
                <w:rFonts w:eastAsia="Calibri"/>
              </w:rPr>
              <w:lastRenderedPageBreak/>
              <w:t>Sabiedrība konstatē, ka regulēts sabiedriskais pakalpojums ir tāds, kuru uzrauga regulators, un pirms attiecīgā sabiedriskā pakalpojuma sniegšanas uzsākšanas, sistēmas operatoram izsniedz sabiedrisko pakalpojumu licenci, lai tas varētu uzņemties līdzīgas saistības pret vairākiem lietotājiem licencē noteiktajā teritorijā (licences darbības zonā). Licence nosaka sabiedrisko pakalpojumu sniedzēja pienākumu nodrošināt šiem lietotājiem sabiedriskos pakalpojumus noteiktā kvalitātē un kvantitātē par noteiktajiem tarifiem</w:t>
            </w:r>
            <w:r w:rsidRPr="00A02401">
              <w:rPr>
                <w:rFonts w:eastAsia="Calibri"/>
                <w:vertAlign w:val="superscript"/>
              </w:rPr>
              <w:footnoteReference w:id="2"/>
            </w:r>
            <w:r w:rsidRPr="00A02401">
              <w:rPr>
                <w:rFonts w:eastAsia="Calibri"/>
              </w:rPr>
              <w:t xml:space="preserve">. </w:t>
            </w:r>
          </w:p>
          <w:p w14:paraId="329CA3E5" w14:textId="49DD1BD0" w:rsidR="00460C43" w:rsidRPr="00A02401" w:rsidRDefault="00460C43" w:rsidP="006C70E3">
            <w:pPr>
              <w:jc w:val="both"/>
              <w:rPr>
                <w:rFonts w:eastAsia="Calibri"/>
              </w:rPr>
            </w:pPr>
            <w:bookmarkStart w:id="2" w:name="_Hlk54268091"/>
            <w:r w:rsidRPr="00A02401">
              <w:rPr>
                <w:rFonts w:eastAsia="Calibri"/>
              </w:rPr>
              <w:t>Ievērojot minēto, un pat, ja paredzēta sašķidrinātās dabasgāzes pārvēršana un nogādāšana no sašķidrinātās dabasgāzes iekārtas līdz tieši pieslēgtam enerģijas lietotājam tā apgādei ar dabasgāzi, Sabiedrība iebilst noteikumu projektā paredzētajam apsvērumam, ka tieši sistēmas operators sniedz iepriekšminēto pakalpojumu, jo šādā gadījumā atbilstoši normatīvajiem aktiem sašķidrinātās dabasgāzes pakalpojuma sniegšana nav nedz licencējama, nedz arī uzskatāma par sabiedrisko pakalpojumu, kuru regulatoram būtu pienākums uzraudzīt, kā arī sašķidrinātās dabasgāzes pakalpojumam noteikt tarifus.</w:t>
            </w:r>
            <w:bookmarkEnd w:id="2"/>
            <w:r w:rsidRPr="00A02401">
              <w:rPr>
                <w:rFonts w:eastAsia="Calibri"/>
              </w:rPr>
              <w:t xml:space="preserve"> Sabiedrība iebilst, ka sašķidrinātās dabasgāzes </w:t>
            </w:r>
            <w:r w:rsidRPr="00A02401">
              <w:rPr>
                <w:rFonts w:eastAsia="Calibri"/>
              </w:rPr>
              <w:lastRenderedPageBreak/>
              <w:t>nogādāšanu no sašķidrinātās dabasgāzes iekārtas līdz tai tieši pieslēgtam enerģijas lietotājam, ar mērķi lietotāju apgādāt ar dabasgāzi, varētu uzņemties sašķidrinātās dabasgāzes sistēmas operators. Piedāvātā definīcija noteikumu projekta 2.34. apakšpunktā ir orientēta tikai uz regulēta sašķidrinātās dabasgāzes pakalpojuma sniedzējiem un noteikumu projekta punktos, kuri attiecas uz neregulēta pakalpojuma sniedzējiem, to nepieciešams skaidri un nepārprotami arī norādīt. Sabiedrība vienlaikus vērš Ekonomikas ministrijas uzmanību, ka sašķidrinātās dabasgāzes sistēmas operatoru pienākumus nosaka arī Eiropas Parlamenta un Padomes Regula (EK) Nr. 715/2009 (2009. gada 13. jūlijs) par nosacījumiem attiecībā uz piekļuvi dabasgāzes pārvades tīkliem un par Regulas (EK) Nr. 1775/2005 atcelšanu un Eiropas Parlamenta un Padomes Direktīvas 2009/73/EK (2009. gada 13. jūlijs) par kopīgiem noteikumiem attiecībā uz dabasgāzes iekšējo tirgu (turpmāk – Direktīva), līdz ar to noteikumu projekts sašķidrinātās dabasgāzes sistēmas operatora pienākumus nedrīkst sašaurināt.</w:t>
            </w:r>
          </w:p>
          <w:p w14:paraId="3E485CB6" w14:textId="59428DE7" w:rsidR="00460C43" w:rsidRPr="00A02401" w:rsidRDefault="00460C43" w:rsidP="006C70E3">
            <w:pPr>
              <w:jc w:val="both"/>
              <w:rPr>
                <w:rFonts w:eastAsia="Calibri"/>
              </w:rPr>
            </w:pPr>
            <w:r w:rsidRPr="00A02401">
              <w:rPr>
                <w:rFonts w:eastAsia="Calibri"/>
              </w:rPr>
              <w:t xml:space="preserve">Licencēšana rada saistību sistēmas operatoram uzņemties līdzīgas saistības pret vairākiem lietotājiem ģeogrāfiski noteiktā teritorijā. Attiecīgi persona var kļūt par sistēmas operatoru tad, ja tai, cita </w:t>
            </w:r>
            <w:r w:rsidRPr="00A02401">
              <w:rPr>
                <w:rFonts w:eastAsia="Calibri"/>
              </w:rPr>
              <w:lastRenderedPageBreak/>
              <w:t>starpā, ir nolūks licences teritorijā uz vienlīdzīgiem un nediskriminējošiem nosacījumiem apkalpot visus potenciālos sistēmas lietotājus. Tomēr, ja nodoms ir apkalpot vienu patērētāju, tad šādu darbību un pakalpojuma sniegšanu nav nepieciešams licencēt.</w:t>
            </w:r>
          </w:p>
          <w:p w14:paraId="791987C2" w14:textId="44CD6558" w:rsidR="00460C43" w:rsidRPr="00A02401" w:rsidRDefault="00460C43" w:rsidP="006C70E3">
            <w:pPr>
              <w:jc w:val="both"/>
              <w:rPr>
                <w:rFonts w:eastAsia="Calibri"/>
              </w:rPr>
            </w:pPr>
            <w:r w:rsidRPr="00A02401">
              <w:rPr>
                <w:rFonts w:eastAsia="Calibri"/>
              </w:rPr>
              <w:t xml:space="preserve">Enerģētikas likuma 6. panta pirmajā daļā noteikts, cita starpā, ka sistēmas operatoram tā licences darbības zonā un licencē noteiktajā termiņā ir pienākums nodrošināt sistēmas lietotājiem trešo pušu piekļuvi. Vienlaikus šīs saistības sistēmas operators pilda atbilstoši tehnisko noteikumu prasībām, ievērojot enerģijas piegādes drošuma un tehniskās drošības prasības. Sabiedrība iebilst apstāklim, ka noteikumu projektā un tā anotācijā nav skaidrots, kā regulators varēs uzraudzīt trešo pušu piekļuves nodrošināšanas sašķidrinātās dabasgāzes iekārtai principa ievērošanu, ja gāzveida stāvoklī pārvērstu sašķidrināto dabasgāzi tieši pieslēgtam enerģijas lietotājam piegādās no sašķidrinātās dabasgāzes iekārtas, ievērojot, ka šāds pakalpojums nav uzskatāms par regulētu gan Enerģētikas likuma, gan arī likuma "Par sabiedrisko pakalpojumu regulatoriem", tā arī noteikumu Nr. 1227 izpratnē. </w:t>
            </w:r>
          </w:p>
          <w:p w14:paraId="637A0EEB" w14:textId="16B5AE5F" w:rsidR="00460C43" w:rsidRPr="00A02401" w:rsidRDefault="00460C43" w:rsidP="006C70E3">
            <w:pPr>
              <w:jc w:val="both"/>
              <w:rPr>
                <w:rFonts w:eastAsia="Calibri"/>
              </w:rPr>
            </w:pPr>
            <w:r w:rsidRPr="00A02401">
              <w:rPr>
                <w:rFonts w:eastAsia="Calibri"/>
              </w:rPr>
              <w:t xml:space="preserve">Sabiedrība iebilst pret apstākli, ka noteikumu projektā un tā anotācijā nav skaidrots, kas būs tā institūcija, pie kuras </w:t>
            </w:r>
            <w:r w:rsidRPr="00A02401">
              <w:rPr>
                <w:rFonts w:eastAsia="Calibri"/>
              </w:rPr>
              <w:lastRenderedPageBreak/>
              <w:t xml:space="preserve">enerģijas lietotājs varēs vērsties gadījumā, kad rodas domstarpības ar sašķidrinātās dabasgāzes iekārtas pārvaldītāju. Piemēram, Direktīvas 41. panta 11. punktā noteikts, ka visas personas, kam ir sūdzības, cita starpā, par sašķidrinātās dabasgāzes sistēmas operatoriem saistībā ar tiem noteiktajiem pienākumiem, var iesniegt sūdzību regulatīvajai iestādei, kas, rīkojoties kā domstarpību izšķiršanas iestāde, pieņem lēmumu divu mēnešu laikā pēc sūdzības saņemšanas. </w:t>
            </w:r>
          </w:p>
          <w:p w14:paraId="5C9B2782" w14:textId="52EF3E57" w:rsidR="00460C43" w:rsidRPr="00A02401" w:rsidRDefault="00460C43" w:rsidP="006C70E3">
            <w:pPr>
              <w:jc w:val="both"/>
              <w:rPr>
                <w:rFonts w:eastAsia="Calibri"/>
              </w:rPr>
            </w:pPr>
            <w:r w:rsidRPr="00A02401">
              <w:rPr>
                <w:rFonts w:eastAsia="Calibri"/>
              </w:rPr>
              <w:t xml:space="preserve">Sabiedrība vienlaikus arī iebilst pret apstākli, ka piedāvātajā noteikumu projektā un tā anotācijā nav skaidrots vai sašķidrinātās dabasgāzes iekārtas pārvaldītājam, ja tas piegādā sašķidrināto dabasgāzi tieši pieslēgtam enerģijas lietotājam, būs pienākums pildīt Enerģētikas likuma 6. panta pirmajā daļā un Enerģētikas likuma 15. panta sestajā daļā noteiktās prasības. </w:t>
            </w:r>
          </w:p>
          <w:p w14:paraId="474793C6" w14:textId="3F37628D" w:rsidR="00460C43" w:rsidRPr="00A02401" w:rsidRDefault="00460C43" w:rsidP="006C70E3">
            <w:pPr>
              <w:jc w:val="both"/>
              <w:rPr>
                <w:rFonts w:eastAsia="Calibri"/>
              </w:rPr>
            </w:pPr>
            <w:r w:rsidRPr="00A02401">
              <w:rPr>
                <w:rFonts w:eastAsia="Calibri"/>
              </w:rPr>
              <w:t xml:space="preserve">Turklāt Direktīvas 2. panta 11. punktā jau skaidrots, ka sašķidrinātās dabasgāzes iekārta ir uzskatāma par termināli, ko izmanto dabasgāzes šķidrināšanai vai sašķidrinātās dabasgāzes importēšanai, izkraušanai un atkārtotai pārvēršanai gāzē, un pie tās pieder palīgpakalpojumi un pagaidu glabātuves, kas vajadzīgas atkārtotai pārvēršanai gāzē un </w:t>
            </w:r>
            <w:r w:rsidRPr="00A02401">
              <w:rPr>
                <w:rFonts w:eastAsia="Calibri"/>
                <w:u w:val="single"/>
              </w:rPr>
              <w:t>turpmākai piegādei uz pārvades sistēmu</w:t>
            </w:r>
            <w:r w:rsidRPr="00A02401">
              <w:rPr>
                <w:rFonts w:eastAsia="Calibri"/>
              </w:rPr>
              <w:t xml:space="preserve">, bet tā neietver tās sašķidrinātās dabasgāzes </w:t>
            </w:r>
            <w:r w:rsidRPr="00A02401">
              <w:rPr>
                <w:rFonts w:eastAsia="Calibri"/>
              </w:rPr>
              <w:lastRenderedPageBreak/>
              <w:t xml:space="preserve">terminālu daļas, ko izmanto uzglabāšanai. Eiropas Savienības regulējuma līmenī jau definēts sašķidrinātās dabasgāzes iekārtas jēdziens. Enerģētikas likumā likumdevējs šo jēdzienu ir paplašinājis, tādējādi konceptā ietverot arī piegādes no sašķidrinātās dabasgāzes iekārtas līdz enerģijas lietotājam. </w:t>
            </w:r>
          </w:p>
          <w:p w14:paraId="141D4259" w14:textId="25EF7371" w:rsidR="00460C43" w:rsidRPr="00DD75BA" w:rsidRDefault="00460C43" w:rsidP="00DD75BA">
            <w:pPr>
              <w:spacing w:after="120"/>
              <w:jc w:val="both"/>
              <w:rPr>
                <w:rFonts w:eastAsia="Calibri"/>
              </w:rPr>
            </w:pPr>
            <w:r w:rsidRPr="00A02401">
              <w:rPr>
                <w:rFonts w:eastAsia="Calibri"/>
              </w:rPr>
              <w:t>Ievērojot minēto, Sabiedrība iebilst pret piedāvātā 2.34. apakšpunkta redakciju un lūdz papildus Ekonomikas ministriju, jo sevišķi ar noteikumu projektu un tā anotāciju pamatot un izskaidrot, kāda veida sašķidrinātās dabasgāzes iekārtas un enerģijas lietotāju grupas noteikumu projekta ietvaros var mijiedarboties, nepārkāpjot citos normatīvajos aktos paredzamos nosacījumus.</w:t>
            </w:r>
          </w:p>
        </w:tc>
        <w:tc>
          <w:tcPr>
            <w:tcW w:w="3260" w:type="dxa"/>
            <w:gridSpan w:val="2"/>
            <w:tcBorders>
              <w:top w:val="single" w:sz="4" w:space="0" w:color="auto"/>
              <w:left w:val="single" w:sz="6" w:space="0" w:color="000000"/>
              <w:bottom w:val="single" w:sz="6" w:space="0" w:color="000000"/>
              <w:right w:val="single" w:sz="6" w:space="0" w:color="000000"/>
            </w:tcBorders>
          </w:tcPr>
          <w:p w14:paraId="0CBF26FE" w14:textId="16A0AC0D" w:rsidR="00460C43" w:rsidRPr="00DD75BA" w:rsidRDefault="00460C43" w:rsidP="00DD75BA">
            <w:pPr>
              <w:pStyle w:val="naisc"/>
              <w:spacing w:before="60" w:after="60"/>
              <w:ind w:firstLine="5"/>
              <w:jc w:val="both"/>
              <w:rPr>
                <w:rFonts w:eastAsia="Calibri"/>
                <w:b/>
                <w:bCs/>
              </w:rPr>
            </w:pPr>
            <w:r w:rsidRPr="00A02401">
              <w:rPr>
                <w:rFonts w:eastAsia="Calibri"/>
                <w:b/>
                <w:bCs/>
              </w:rPr>
              <w:lastRenderedPageBreak/>
              <w:t>Ņemts vērā</w:t>
            </w:r>
            <w:r w:rsidR="00DD75BA">
              <w:rPr>
                <w:rFonts w:eastAsia="Calibri"/>
                <w:b/>
                <w:bCs/>
              </w:rPr>
              <w:t>.</w:t>
            </w:r>
          </w:p>
          <w:p w14:paraId="1C47859D" w14:textId="76DC14E7" w:rsidR="00460C43" w:rsidRPr="00A02401" w:rsidRDefault="00460C43" w:rsidP="006C70E3">
            <w:pPr>
              <w:jc w:val="both"/>
              <w:rPr>
                <w:rFonts w:eastAsia="Calibri"/>
              </w:rPr>
            </w:pPr>
            <w:r w:rsidRPr="00A02401">
              <w:rPr>
                <w:rFonts w:eastAsia="Calibri"/>
              </w:rPr>
              <w:t xml:space="preserve">Ministrija vērš uzmanību, ka skaņā ar spēkā esošo regulējumu sašķidrinātās dabasgāzes pakalpojuma sniegšanai nepieciešama Regulatora izsniegta licence, ja ir paredzēta turpmākā piegāde uz dabasgāzes pārvades sistēmu. Savukārt, ja šāda piegāde ir paredzēta enerģijas lietotājam, tad licence nav nepieciešama.  Saskaņā ar Enerģētikas likuma 1.panta 40.punktu </w:t>
            </w:r>
            <w:bookmarkStart w:id="3" w:name="_Hlk55308802"/>
            <w:r w:rsidRPr="00A02401">
              <w:rPr>
                <w:rFonts w:eastAsia="Calibri"/>
              </w:rPr>
              <w:t xml:space="preserve">sašķidrinātās dabasgāzes pakalpojums ir dabasgāzes šķidrināšana vai </w:t>
            </w:r>
            <w:r w:rsidRPr="00A02401">
              <w:rPr>
                <w:rFonts w:eastAsia="Calibri"/>
              </w:rPr>
              <w:lastRenderedPageBreak/>
              <w:t xml:space="preserve">sašķidrinātās dabasgāzes saņemšana, izkraušana, uzglabāšana un pārvēršana gāzveida stāvoklī </w:t>
            </w:r>
            <w:bookmarkStart w:id="4" w:name="_Hlk55308765"/>
            <w:r w:rsidRPr="00A02401">
              <w:rPr>
                <w:rFonts w:eastAsia="Calibri"/>
              </w:rPr>
              <w:t>turpmākai piegādei uz dabasgāzes pārvades sistēmu vai enerģijas lietotājam</w:t>
            </w:r>
            <w:bookmarkEnd w:id="4"/>
            <w:r w:rsidRPr="00A02401">
              <w:rPr>
                <w:rFonts w:eastAsia="Calibri"/>
              </w:rPr>
              <w:t>.</w:t>
            </w:r>
            <w:bookmarkEnd w:id="3"/>
            <w:r w:rsidRPr="00A02401">
              <w:rPr>
                <w:rFonts w:eastAsia="Calibri"/>
              </w:rPr>
              <w:t xml:space="preserve"> Ministru kabineta 2009.gada 27.oktobra noteikumu Nr.1227 “Noteikumi par regulējamiem sabiedrisko pakalpojumu veidiem” 4.5.apakšpunkts nosaka, ka dabasgāzes apgādē nepieciešams regulēt dabasgāzes šķidrināšanu vai sašķidrinātās dabasgāzes saņemšanu, izkraušanu, uzglabāšanu un pārvēršanu gāzveida stāvoklī turpmākai piegādei uz dabasgāzes pārvades sistēmu.</w:t>
            </w:r>
            <w:r w:rsidR="00B95603" w:rsidRPr="00A02401">
              <w:rPr>
                <w:rFonts w:eastAsia="Calibri"/>
              </w:rPr>
              <w:t xml:space="preserve"> Ministrija piekrīt, ka gadījumos, kad SDG sistēmas lietotāja dabasgāzes apgādes sistēma tiek pieslēgta SDG iekārtai,  gadījumos atbilstoši normatīvajiem aktiem sašķidrinātās dabasgāzes pakalpojuma sniegšana nav nedz licencējama, nedz arī uzskatāma par sabiedrisko pakalpojumu, kuru regulatoram </w:t>
            </w:r>
            <w:r w:rsidR="00B95603" w:rsidRPr="00A02401">
              <w:rPr>
                <w:rFonts w:eastAsia="Calibri"/>
              </w:rPr>
              <w:lastRenderedPageBreak/>
              <w:t xml:space="preserve">būtu pienākums uzraudzīt, kā arī sašķidrinātās dabasgāzes pakalpojumam noteikt tarifus. </w:t>
            </w:r>
          </w:p>
          <w:p w14:paraId="741ADD2C" w14:textId="275068EB" w:rsidR="00B95603" w:rsidRPr="00A02401" w:rsidRDefault="00B95603" w:rsidP="006C70E3">
            <w:pPr>
              <w:jc w:val="both"/>
              <w:rPr>
                <w:rFonts w:eastAsia="Calibri"/>
              </w:rPr>
            </w:pPr>
            <w:r w:rsidRPr="00A02401">
              <w:rPr>
                <w:rFonts w:eastAsia="Calibri"/>
              </w:rPr>
              <w:t>Atbilstošs skaidrojums ir iekļauts anotācijā.</w:t>
            </w:r>
          </w:p>
          <w:p w14:paraId="52D5D2EA" w14:textId="48BE3A3F" w:rsidR="00A02401" w:rsidRPr="00A02401" w:rsidRDefault="00A02401" w:rsidP="006C70E3">
            <w:pPr>
              <w:jc w:val="both"/>
              <w:rPr>
                <w:rFonts w:eastAsia="Calibri"/>
              </w:rPr>
            </w:pPr>
            <w:r w:rsidRPr="00A02401">
              <w:rPr>
                <w:rFonts w:eastAsia="Calibri"/>
              </w:rPr>
              <w:t>SDG jautājums ir iekļauts arī pašlaik gatavotajos Enerģētikas likuma grozījumos</w:t>
            </w:r>
            <w:r w:rsidR="00DD75BA">
              <w:rPr>
                <w:rFonts w:eastAsia="Calibri"/>
              </w:rPr>
              <w:t>.</w:t>
            </w:r>
          </w:p>
          <w:p w14:paraId="41871318" w14:textId="71CAD0F4" w:rsidR="00460C43" w:rsidRPr="00A02401" w:rsidRDefault="00460C43" w:rsidP="006C70E3">
            <w:pPr>
              <w:pStyle w:val="naisc"/>
              <w:spacing w:before="60" w:after="60"/>
              <w:ind w:firstLine="5"/>
              <w:jc w:val="both"/>
              <w:rPr>
                <w:rFonts w:eastAsia="Calibri"/>
              </w:rPr>
            </w:pPr>
          </w:p>
        </w:tc>
        <w:tc>
          <w:tcPr>
            <w:tcW w:w="2951" w:type="dxa"/>
            <w:tcBorders>
              <w:top w:val="single" w:sz="4" w:space="0" w:color="auto"/>
              <w:left w:val="single" w:sz="4" w:space="0" w:color="auto"/>
              <w:bottom w:val="single" w:sz="4" w:space="0" w:color="auto"/>
            </w:tcBorders>
          </w:tcPr>
          <w:p w14:paraId="6C35B476" w14:textId="77777777" w:rsidR="00460C43" w:rsidRPr="00A02401" w:rsidRDefault="00460C43" w:rsidP="006C70E3">
            <w:pPr>
              <w:jc w:val="both"/>
            </w:pPr>
            <w:r w:rsidRPr="00A02401">
              <w:lastRenderedPageBreak/>
              <w:t>3. Papildināt 2.punktu ar 2.34.apakšpunktu šādā redakcijā:</w:t>
            </w:r>
          </w:p>
          <w:p w14:paraId="6358FE3D" w14:textId="77777777" w:rsidR="00460C43" w:rsidRPr="000E00A7" w:rsidRDefault="00460C43" w:rsidP="000E00A7">
            <w:pPr>
              <w:jc w:val="both"/>
            </w:pPr>
          </w:p>
          <w:p w14:paraId="75F4537C" w14:textId="6DD2B245" w:rsidR="00460C43" w:rsidRPr="00A02401" w:rsidRDefault="00460C43" w:rsidP="006C70E3">
            <w:pPr>
              <w:spacing w:before="60" w:after="60"/>
              <w:ind w:firstLine="5"/>
              <w:jc w:val="both"/>
            </w:pPr>
            <w:r w:rsidRPr="00A02401">
              <w:t>“2.34. sašķidrinātās dabasgāzes sistēmas operators –energoapgādes komersants, kas sniedz sašķidrinātās dabasgāzes pakalpojumu.”</w:t>
            </w:r>
          </w:p>
        </w:tc>
      </w:tr>
      <w:tr w:rsidR="00F776F6" w:rsidRPr="00A02401" w14:paraId="3FF8E148" w14:textId="77777777" w:rsidTr="007D72ED">
        <w:tc>
          <w:tcPr>
            <w:tcW w:w="675" w:type="dxa"/>
            <w:tcBorders>
              <w:top w:val="single" w:sz="4" w:space="0" w:color="auto"/>
              <w:left w:val="single" w:sz="6" w:space="0" w:color="000000"/>
              <w:bottom w:val="single" w:sz="6" w:space="0" w:color="000000"/>
              <w:right w:val="single" w:sz="6" w:space="0" w:color="000000"/>
            </w:tcBorders>
          </w:tcPr>
          <w:p w14:paraId="53D06245" w14:textId="61F46444" w:rsidR="00F776F6" w:rsidRPr="00A02401" w:rsidRDefault="00460C43" w:rsidP="006C70E3">
            <w:pPr>
              <w:pStyle w:val="naisc"/>
              <w:spacing w:before="60" w:after="60"/>
              <w:jc w:val="both"/>
            </w:pPr>
            <w:r w:rsidRPr="00A02401">
              <w:lastRenderedPageBreak/>
              <w:t>4</w:t>
            </w:r>
            <w:r w:rsidR="00CF3C2D"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2ADDBEFF" w14:textId="7FED8EBC" w:rsidR="00F776F6" w:rsidRDefault="00F776F6" w:rsidP="000E00A7">
            <w:pPr>
              <w:jc w:val="both"/>
            </w:pPr>
            <w:r w:rsidRPr="00A02401">
              <w:t>2. Papildināt 2. punktu ar 2.34. un 2.35. apakšpunktu šādā redakcijā:</w:t>
            </w:r>
          </w:p>
          <w:p w14:paraId="5789B71C" w14:textId="77777777" w:rsidR="000E00A7" w:rsidRPr="000E00A7" w:rsidRDefault="000E00A7" w:rsidP="000E00A7">
            <w:pPr>
              <w:jc w:val="both"/>
            </w:pPr>
          </w:p>
          <w:p w14:paraId="17F4FA01" w14:textId="77777777" w:rsidR="00F776F6" w:rsidRPr="00A02401" w:rsidRDefault="00F776F6" w:rsidP="006C70E3">
            <w:pPr>
              <w:jc w:val="both"/>
            </w:pPr>
            <w:r w:rsidRPr="00A02401">
              <w:t>“2.34. sašķidrinātās dabasgāzes pakalpojuma līgums – līgums, ko slēdz sašķidrinātās dabasgāzes sistēmas operators ar dabasgāzes tirgotāju vai lietotāju par sašķidrinātās dabasgāzes pakalpojuma un citu pakalpojumu sniegšanu;”</w:t>
            </w:r>
          </w:p>
          <w:p w14:paraId="2C27C923" w14:textId="77777777" w:rsidR="00F776F6" w:rsidRPr="00A02401" w:rsidRDefault="00F776F6" w:rsidP="006C70E3">
            <w:pPr>
              <w:pStyle w:val="naisc"/>
              <w:spacing w:before="60" w:after="60"/>
              <w:ind w:firstLine="33"/>
              <w:jc w:val="both"/>
            </w:pPr>
          </w:p>
        </w:tc>
        <w:tc>
          <w:tcPr>
            <w:tcW w:w="4278" w:type="dxa"/>
            <w:tcBorders>
              <w:top w:val="single" w:sz="4" w:space="0" w:color="auto"/>
              <w:left w:val="single" w:sz="6" w:space="0" w:color="000000"/>
              <w:bottom w:val="single" w:sz="6" w:space="0" w:color="000000"/>
              <w:right w:val="single" w:sz="6" w:space="0" w:color="000000"/>
            </w:tcBorders>
          </w:tcPr>
          <w:p w14:paraId="0D5C1637" w14:textId="77777777" w:rsidR="00F776F6" w:rsidRPr="00A02401" w:rsidRDefault="00F776F6" w:rsidP="006C70E3">
            <w:pPr>
              <w:pStyle w:val="naisc"/>
              <w:spacing w:before="60" w:after="60"/>
              <w:jc w:val="both"/>
              <w:rPr>
                <w:b/>
                <w:bCs/>
              </w:rPr>
            </w:pPr>
            <w:r w:rsidRPr="00A02401">
              <w:rPr>
                <w:b/>
                <w:bCs/>
              </w:rPr>
              <w:t>TM</w:t>
            </w:r>
          </w:p>
          <w:p w14:paraId="20CCEEEF" w14:textId="4CAF4A58" w:rsidR="00F776F6" w:rsidRPr="00A02401" w:rsidRDefault="00F776F6" w:rsidP="006C70E3">
            <w:pPr>
              <w:pStyle w:val="naisc"/>
              <w:spacing w:before="60" w:after="60"/>
              <w:jc w:val="both"/>
            </w:pPr>
            <w:r w:rsidRPr="00A02401">
              <w:t>Vēršam uzmanību uz to, ka nav skaidrs, kas ir projekta 2. punktā paredzētajā noteikumu 2.34. apakšpunktā minētie citi pakalpojumi. Ievērojot minēto, lūdzam izvērtēt projekta 2. punktā paredzētajā noteikumu 2.34. apakšpunktā paredzēto regulējumu un attiecīgi precizēt to vai papildināt projekta sākotnējās (ex-ante) ietekmes novērtējuma ziņojumu ar atbilstošu skaidrojumu.</w:t>
            </w:r>
          </w:p>
        </w:tc>
        <w:tc>
          <w:tcPr>
            <w:tcW w:w="3260" w:type="dxa"/>
            <w:gridSpan w:val="2"/>
            <w:tcBorders>
              <w:top w:val="single" w:sz="4" w:space="0" w:color="auto"/>
              <w:left w:val="single" w:sz="6" w:space="0" w:color="000000"/>
              <w:bottom w:val="single" w:sz="6" w:space="0" w:color="000000"/>
              <w:right w:val="single" w:sz="6" w:space="0" w:color="000000"/>
            </w:tcBorders>
          </w:tcPr>
          <w:p w14:paraId="70F70E14" w14:textId="77777777" w:rsidR="00F776F6" w:rsidRPr="00A02401" w:rsidRDefault="00F776F6" w:rsidP="006C70E3">
            <w:pPr>
              <w:pStyle w:val="naisc"/>
              <w:spacing w:before="60" w:after="60"/>
              <w:ind w:firstLine="5"/>
              <w:jc w:val="both"/>
              <w:rPr>
                <w:b/>
              </w:rPr>
            </w:pPr>
            <w:r w:rsidRPr="00A02401">
              <w:rPr>
                <w:b/>
              </w:rPr>
              <w:t>Ņemts vērā.</w:t>
            </w:r>
          </w:p>
          <w:p w14:paraId="50E40B80" w14:textId="49EF369F" w:rsidR="00F776F6" w:rsidRPr="00A02401" w:rsidRDefault="00F776F6" w:rsidP="006C70E3">
            <w:pPr>
              <w:pStyle w:val="naisc"/>
              <w:spacing w:before="60" w:after="60"/>
              <w:ind w:firstLine="5"/>
              <w:jc w:val="both"/>
              <w:rPr>
                <w:bCs/>
              </w:rPr>
            </w:pPr>
            <w:r w:rsidRPr="00A02401">
              <w:rPr>
                <w:bCs/>
              </w:rPr>
              <w:t xml:space="preserve">Noteikumu projekts atbilstoši precizēts, izslēdzot no </w:t>
            </w:r>
            <w:r w:rsidR="00AC3724" w:rsidRPr="00A02401">
              <w:rPr>
                <w:bCs/>
              </w:rPr>
              <w:t xml:space="preserve">tā </w:t>
            </w:r>
            <w:r w:rsidRPr="00A02401">
              <w:t>sašķidrinātās dabasgāzes pakalpojuma līgum</w:t>
            </w:r>
            <w:r w:rsidR="00AC3724" w:rsidRPr="00A02401">
              <w:t>a</w:t>
            </w:r>
            <w:r w:rsidRPr="00A02401">
              <w:t xml:space="preserve"> definīcij</w:t>
            </w:r>
            <w:r w:rsidR="00AC3724" w:rsidRPr="00A02401">
              <w:t>u, jo Projekta mērķis nav ierobežot SDG sisitēmas operatora un tiešo lietotāja divpusējo līgumu noslēgšanas tiesības, nosakot sašķidrinātās dabasgāzes pakalpojuma līguma noslēgšanas kārtību un līgumā iekļaujamos nosacījumus.</w:t>
            </w:r>
          </w:p>
        </w:tc>
        <w:tc>
          <w:tcPr>
            <w:tcW w:w="2951" w:type="dxa"/>
            <w:tcBorders>
              <w:top w:val="single" w:sz="4" w:space="0" w:color="auto"/>
              <w:left w:val="single" w:sz="4" w:space="0" w:color="auto"/>
              <w:bottom w:val="single" w:sz="4" w:space="0" w:color="auto"/>
            </w:tcBorders>
          </w:tcPr>
          <w:p w14:paraId="2F35D9FF" w14:textId="190C2588" w:rsidR="00F776F6" w:rsidRPr="00A02401" w:rsidRDefault="00AC3724" w:rsidP="006C70E3">
            <w:pPr>
              <w:jc w:val="both"/>
            </w:pPr>
            <w:r w:rsidRPr="00A02401">
              <w:t>Noteikumu projekta piedāvātais 2.34. apakšpunkts svītrots.</w:t>
            </w:r>
          </w:p>
        </w:tc>
      </w:tr>
      <w:tr w:rsidR="00AC3724" w:rsidRPr="00A02401" w14:paraId="182CF9FD" w14:textId="77777777" w:rsidTr="007D72ED">
        <w:tc>
          <w:tcPr>
            <w:tcW w:w="675" w:type="dxa"/>
            <w:tcBorders>
              <w:top w:val="single" w:sz="4" w:space="0" w:color="auto"/>
              <w:left w:val="single" w:sz="6" w:space="0" w:color="000000"/>
              <w:bottom w:val="single" w:sz="6" w:space="0" w:color="000000"/>
              <w:right w:val="single" w:sz="6" w:space="0" w:color="000000"/>
            </w:tcBorders>
          </w:tcPr>
          <w:p w14:paraId="42A3295F" w14:textId="18CB0864" w:rsidR="00AC3724" w:rsidRPr="00A02401" w:rsidRDefault="00761F6D" w:rsidP="006C70E3">
            <w:pPr>
              <w:pStyle w:val="naisc"/>
              <w:spacing w:before="60" w:after="60"/>
              <w:jc w:val="both"/>
            </w:pPr>
            <w:r w:rsidRPr="00A02401">
              <w:lastRenderedPageBreak/>
              <w:t>5</w:t>
            </w:r>
            <w:r w:rsidR="00A84D4F"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45436517" w14:textId="77777777" w:rsidR="00AC3724" w:rsidRPr="00A02401" w:rsidRDefault="00AC3724" w:rsidP="006C70E3">
            <w:pPr>
              <w:jc w:val="both"/>
            </w:pPr>
            <w:r w:rsidRPr="00A02401">
              <w:t>2. Papildināt 2. punktu ar 2.34. un 2.35. apakšpunktu šādā redakcijā:</w:t>
            </w:r>
          </w:p>
          <w:p w14:paraId="458A0AD5" w14:textId="77777777" w:rsidR="00AC3724" w:rsidRPr="000E00A7" w:rsidRDefault="00AC3724" w:rsidP="000E00A7">
            <w:pPr>
              <w:jc w:val="both"/>
            </w:pPr>
          </w:p>
          <w:p w14:paraId="5BCE614C" w14:textId="77777777" w:rsidR="00AC3724" w:rsidRPr="00A02401" w:rsidRDefault="00AC3724" w:rsidP="006C70E3">
            <w:pPr>
              <w:jc w:val="both"/>
            </w:pPr>
            <w:r w:rsidRPr="00A02401">
              <w:t>“2.34. sašķidrinātās dabasgāzes pakalpojuma līgums – līgums, ko slēdz sašķidrinātās dabasgāzes sistēmas operators ar dabasgāzes tirgotāju vai lietotāju par sašķidrinātās dabasgāzes pakalpojuma un citu pakalpojumu sniegšanu;”</w:t>
            </w:r>
          </w:p>
          <w:p w14:paraId="0876F775" w14:textId="77777777" w:rsidR="00AC3724" w:rsidRPr="00A02401" w:rsidRDefault="00AC3724" w:rsidP="006C70E3">
            <w:pPr>
              <w:jc w:val="both"/>
            </w:pPr>
          </w:p>
        </w:tc>
        <w:tc>
          <w:tcPr>
            <w:tcW w:w="4278" w:type="dxa"/>
            <w:tcBorders>
              <w:top w:val="single" w:sz="4" w:space="0" w:color="auto"/>
              <w:left w:val="single" w:sz="6" w:space="0" w:color="000000"/>
              <w:bottom w:val="single" w:sz="6" w:space="0" w:color="000000"/>
              <w:right w:val="single" w:sz="6" w:space="0" w:color="000000"/>
            </w:tcBorders>
          </w:tcPr>
          <w:p w14:paraId="41684969" w14:textId="1E74BED4" w:rsidR="00AC3724" w:rsidRPr="000E00A7" w:rsidRDefault="00AC3724" w:rsidP="006C70E3">
            <w:pPr>
              <w:pStyle w:val="naisc"/>
              <w:spacing w:before="60" w:after="60"/>
              <w:jc w:val="both"/>
              <w:rPr>
                <w:b/>
                <w:bCs/>
              </w:rPr>
            </w:pPr>
            <w:r w:rsidRPr="00A02401">
              <w:rPr>
                <w:b/>
                <w:bCs/>
              </w:rPr>
              <w:t xml:space="preserve">Sabiedrisko pakalpojumu regulēšanas komisija </w:t>
            </w:r>
            <w:r w:rsidRPr="00A02401">
              <w:t>(</w:t>
            </w:r>
            <w:r w:rsidR="00A84D4F" w:rsidRPr="00A02401">
              <w:t xml:space="preserve">turpmāk - </w:t>
            </w:r>
            <w:r w:rsidRPr="00A02401">
              <w:t>SPRK)</w:t>
            </w:r>
          </w:p>
          <w:p w14:paraId="57000417" w14:textId="123CBD2F" w:rsidR="00AC3724" w:rsidRPr="00A02401" w:rsidRDefault="00AC3724" w:rsidP="006C70E3">
            <w:pPr>
              <w:pStyle w:val="naisc"/>
              <w:spacing w:before="60" w:after="60"/>
              <w:jc w:val="both"/>
            </w:pPr>
            <w:r w:rsidRPr="00A02401">
              <w:t>Noteikumu projekta 3.punktā paredzētais Ministru kabineta 2017.gada 7.februāra noteikumu Nr.78 “Dabasgāzes tirdzniecības un lietošanas noteikumi” 2.34.apakšpunkts skaidro terminu “sašķidrinātās dabasgāzes pakalpojuma līgums”. Regulators norāda, ka minētais termins netiek izmantots nedz Noteikumos, nedz Noteikumu projektā. Regulatora ieskatā Noteikumu projekts būtu papildināms ar tiesību normām, kas nosaka sašķidrinātās dabasgāzes pakalpojuma līguma noslēgšanas kārtību un līgumā iekļaujamos nosacījumus. Ja Noteikumu projekts netiek papildināts ar minētajām vai citām ar sašķidrinātās dabasgāzes pakalpojuma līgumu saistītām tiesību normām, Noteikumu projekta 3.punktā paredzētais Noteikumu 2.34.apakšpunkts būtu svītrojams.</w:t>
            </w:r>
          </w:p>
        </w:tc>
        <w:tc>
          <w:tcPr>
            <w:tcW w:w="3260" w:type="dxa"/>
            <w:gridSpan w:val="2"/>
            <w:tcBorders>
              <w:top w:val="single" w:sz="4" w:space="0" w:color="auto"/>
              <w:left w:val="single" w:sz="6" w:space="0" w:color="000000"/>
              <w:bottom w:val="single" w:sz="6" w:space="0" w:color="000000"/>
              <w:right w:val="single" w:sz="6" w:space="0" w:color="000000"/>
            </w:tcBorders>
          </w:tcPr>
          <w:p w14:paraId="5EA4AC46" w14:textId="77777777" w:rsidR="00AC3724" w:rsidRPr="00A02401" w:rsidRDefault="00AC3724" w:rsidP="006C70E3">
            <w:pPr>
              <w:pStyle w:val="naisc"/>
              <w:spacing w:before="60" w:after="60"/>
              <w:ind w:firstLine="5"/>
              <w:jc w:val="both"/>
              <w:rPr>
                <w:b/>
              </w:rPr>
            </w:pPr>
            <w:r w:rsidRPr="00A02401">
              <w:rPr>
                <w:b/>
              </w:rPr>
              <w:t>Ņemts vērā.</w:t>
            </w:r>
          </w:p>
          <w:p w14:paraId="36A9D639" w14:textId="33EF5B87" w:rsidR="00AC3724" w:rsidRPr="00A02401" w:rsidRDefault="00AC3724" w:rsidP="006C70E3">
            <w:pPr>
              <w:pStyle w:val="naisc"/>
              <w:spacing w:before="60" w:after="60"/>
              <w:ind w:firstLine="5"/>
              <w:jc w:val="both"/>
              <w:rPr>
                <w:b/>
              </w:rPr>
            </w:pPr>
            <w:r w:rsidRPr="00A02401">
              <w:rPr>
                <w:bCs/>
              </w:rPr>
              <w:t xml:space="preserve">Noteikumu projekts atbilstoši precizēts, izslēdzot no tā </w:t>
            </w:r>
            <w:r w:rsidRPr="00A02401">
              <w:t>sašķidrinātās dabasgāzes pakalpojuma līguma definīciju, jo</w:t>
            </w:r>
            <w:r w:rsidR="00EB1522" w:rsidRPr="00A02401">
              <w:rPr>
                <w:bCs/>
              </w:rPr>
              <w:t xml:space="preserve"> </w:t>
            </w:r>
            <w:r w:rsidRPr="00A02401">
              <w:t>SDG sisitēmas operatora un tiešo lietotāja divpusējo līgumu noslēgšanas tiesīb</w:t>
            </w:r>
            <w:r w:rsidR="00EB1522" w:rsidRPr="00A02401">
              <w:t>u ierobežošana</w:t>
            </w:r>
            <w:r w:rsidRPr="00A02401">
              <w:t>, nosakot sašķidrinātās dabasgāzes pakalpojuma līguma noslēgšanas kārtību un līgumā iekļaujamos nosacījumus</w:t>
            </w:r>
            <w:r w:rsidR="00EB1522" w:rsidRPr="00A02401">
              <w:t>, ir uzskatāma par nesamērīgu un nepamatotu.</w:t>
            </w:r>
          </w:p>
        </w:tc>
        <w:tc>
          <w:tcPr>
            <w:tcW w:w="2951" w:type="dxa"/>
            <w:tcBorders>
              <w:top w:val="single" w:sz="4" w:space="0" w:color="auto"/>
              <w:left w:val="single" w:sz="4" w:space="0" w:color="auto"/>
              <w:bottom w:val="single" w:sz="4" w:space="0" w:color="auto"/>
            </w:tcBorders>
          </w:tcPr>
          <w:p w14:paraId="2C8C29D1" w14:textId="20865269" w:rsidR="00AC3724" w:rsidRPr="00A02401" w:rsidRDefault="00AC3724" w:rsidP="006C70E3">
            <w:pPr>
              <w:jc w:val="both"/>
            </w:pPr>
            <w:r w:rsidRPr="00A02401">
              <w:t>Noteikumu projekta piedāvātais 2.34. apakšpunkts svītrots.</w:t>
            </w:r>
          </w:p>
        </w:tc>
      </w:tr>
      <w:tr w:rsidR="00AC3724" w:rsidRPr="00A02401" w14:paraId="669AD226" w14:textId="77777777" w:rsidTr="007D72ED">
        <w:tc>
          <w:tcPr>
            <w:tcW w:w="675" w:type="dxa"/>
            <w:tcBorders>
              <w:top w:val="single" w:sz="4" w:space="0" w:color="auto"/>
              <w:left w:val="single" w:sz="6" w:space="0" w:color="000000"/>
              <w:bottom w:val="single" w:sz="6" w:space="0" w:color="000000"/>
              <w:right w:val="single" w:sz="6" w:space="0" w:color="000000"/>
            </w:tcBorders>
          </w:tcPr>
          <w:p w14:paraId="1C22A578" w14:textId="636BD82E" w:rsidR="00AC3724" w:rsidRPr="00A02401" w:rsidRDefault="00761F6D" w:rsidP="006C70E3">
            <w:pPr>
              <w:pStyle w:val="naisc"/>
              <w:spacing w:before="60" w:after="60"/>
              <w:jc w:val="both"/>
            </w:pPr>
            <w:r w:rsidRPr="00A02401">
              <w:t>6</w:t>
            </w:r>
            <w:r w:rsidR="00AC3724"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694E195A" w14:textId="77777777" w:rsidR="00AC3724" w:rsidRPr="00A02401" w:rsidRDefault="00AC3724" w:rsidP="006C70E3">
            <w:pPr>
              <w:jc w:val="both"/>
            </w:pPr>
            <w:r w:rsidRPr="00A02401">
              <w:t>2. Papildināt 2. punktu ar 2.34. un 2.35. apakšpunktu šādā redakcijā:</w:t>
            </w:r>
          </w:p>
          <w:p w14:paraId="742F83BC" w14:textId="61604A68" w:rsidR="00AC3724" w:rsidRPr="00A02401" w:rsidRDefault="00AC3724" w:rsidP="006C70E3">
            <w:pPr>
              <w:jc w:val="both"/>
            </w:pPr>
            <w:r w:rsidRPr="00A02401">
              <w:t>[…]</w:t>
            </w:r>
          </w:p>
          <w:p w14:paraId="5DDDAEAB" w14:textId="4431025D" w:rsidR="00AC3724" w:rsidRPr="00A02401" w:rsidRDefault="00AC3724" w:rsidP="006C70E3">
            <w:pPr>
              <w:jc w:val="both"/>
            </w:pPr>
            <w:r w:rsidRPr="00A02401">
              <w:t>“2.35.</w:t>
            </w:r>
            <w:r w:rsidR="000E00A7">
              <w:t> </w:t>
            </w:r>
            <w:r w:rsidRPr="00A02401">
              <w:t>sašķidrinātās dabasgāzes sistēmas operators — licencēts energoapgādes komersants, kas sniedz sašķidrinātās dabasgāzes pakalpojumu;”</w:t>
            </w:r>
          </w:p>
          <w:p w14:paraId="7832A34A" w14:textId="77777777" w:rsidR="00AC3724" w:rsidRPr="00A02401" w:rsidRDefault="00AC3724" w:rsidP="006C70E3">
            <w:pPr>
              <w:jc w:val="both"/>
            </w:pPr>
          </w:p>
        </w:tc>
        <w:tc>
          <w:tcPr>
            <w:tcW w:w="4278" w:type="dxa"/>
            <w:tcBorders>
              <w:top w:val="single" w:sz="4" w:space="0" w:color="auto"/>
              <w:left w:val="single" w:sz="6" w:space="0" w:color="000000"/>
              <w:bottom w:val="single" w:sz="6" w:space="0" w:color="000000"/>
              <w:right w:val="single" w:sz="6" w:space="0" w:color="000000"/>
            </w:tcBorders>
          </w:tcPr>
          <w:p w14:paraId="17AEFC34" w14:textId="77777777" w:rsidR="00AB4383" w:rsidRPr="00A02401" w:rsidRDefault="00AB4383" w:rsidP="006C70E3">
            <w:pPr>
              <w:pStyle w:val="naisc"/>
              <w:spacing w:before="60" w:after="60"/>
              <w:ind w:firstLine="5"/>
              <w:jc w:val="both"/>
              <w:rPr>
                <w:b/>
                <w:bCs/>
              </w:rPr>
            </w:pPr>
            <w:r w:rsidRPr="00A02401">
              <w:rPr>
                <w:b/>
                <w:bCs/>
              </w:rPr>
              <w:lastRenderedPageBreak/>
              <w:t>A</w:t>
            </w:r>
            <w:r>
              <w:rPr>
                <w:b/>
                <w:bCs/>
              </w:rPr>
              <w:t>kciju sabiedrība</w:t>
            </w:r>
            <w:r w:rsidRPr="00A02401">
              <w:rPr>
                <w:b/>
                <w:bCs/>
              </w:rPr>
              <w:t xml:space="preserve"> </w:t>
            </w:r>
            <w:r>
              <w:rPr>
                <w:b/>
                <w:bCs/>
              </w:rPr>
              <w:t>“</w:t>
            </w:r>
            <w:r w:rsidRPr="00A02401">
              <w:rPr>
                <w:b/>
                <w:bCs/>
              </w:rPr>
              <w:t>Conexus Baltic Grid</w:t>
            </w:r>
            <w:r>
              <w:rPr>
                <w:b/>
                <w:bCs/>
              </w:rPr>
              <w:t>”</w:t>
            </w:r>
          </w:p>
          <w:p w14:paraId="2545F39A" w14:textId="3058CE65" w:rsidR="00AC3724" w:rsidRPr="00A02401" w:rsidRDefault="00AC3724" w:rsidP="006C70E3">
            <w:pPr>
              <w:jc w:val="both"/>
            </w:pPr>
            <w:r w:rsidRPr="00A02401">
              <w:t xml:space="preserve">Noteikumu projekta 2.punkts paredz, ka: </w:t>
            </w:r>
            <w:r w:rsidRPr="00A02401">
              <w:rPr>
                <w:i/>
              </w:rPr>
              <w:t xml:space="preserve">“2.35. sašķidrinātās dabasgāzes sistēmas operators – licencēts energoapgādes komersants, kas sniedz </w:t>
            </w:r>
            <w:r w:rsidRPr="00A02401">
              <w:rPr>
                <w:rFonts w:cs="Arial"/>
              </w:rPr>
              <w:t xml:space="preserve">sašķidrinātās dabasgāzes </w:t>
            </w:r>
            <w:r w:rsidRPr="00A02401">
              <w:rPr>
                <w:i/>
              </w:rPr>
              <w:t>pakalpojumu.”</w:t>
            </w:r>
            <w:r w:rsidRPr="00A02401">
              <w:t xml:space="preserve"> Definīcija, visticamāk, ir aizgūta no analoģijas ar Noteikumos ietverto pārvades un sadales sistēmas operatora definīciju. Taču, </w:t>
            </w:r>
            <w:r w:rsidRPr="00A02401">
              <w:lastRenderedPageBreak/>
              <w:t xml:space="preserve">analizējot to kopsakarā ar Enerģētikas likumā ietverto SDG pakalpojuma definīciju, kas ir būtiska, lai noteiktu jauno normu tvērumu, jāsecina, ka, pretēji likumā paredzētajai pārvades un sadales sistēmas definīcijai, </w:t>
            </w:r>
            <w:r w:rsidRPr="00A02401">
              <w:rPr>
                <w:rFonts w:cs="Arial"/>
              </w:rPr>
              <w:t xml:space="preserve">sašķidrinātās dabasgāzes </w:t>
            </w:r>
            <w:r w:rsidRPr="00A02401">
              <w:t xml:space="preserve">pakalpojuma definīcija likumā ir ļoti plaša, tādejādi, iespējams, attiecinot noteikumu projektā ietvertos pienākumus uz komersantiem, uz kuriem tos attiecināt nav bijis ne nodoma, ne nepieciešamības. </w:t>
            </w:r>
          </w:p>
          <w:p w14:paraId="5A8189B3" w14:textId="68DE5DEF" w:rsidR="00AC3724" w:rsidRPr="00A02401" w:rsidRDefault="00AC3724" w:rsidP="006C70E3">
            <w:pPr>
              <w:jc w:val="both"/>
              <w:rPr>
                <w:rFonts w:cs="Arial"/>
              </w:rPr>
            </w:pPr>
            <w:r w:rsidRPr="00A02401">
              <w:rPr>
                <w:rFonts w:cs="Arial"/>
              </w:rPr>
              <w:t xml:space="preserve">Ņemot vērā to, ka sašķidrinātās dabasgāzes stacijas operators savā darbībā nemijiedarbojas ar dabasgāzes pārvades tīklu un tādejādi šai komercdarbībai nav sabiedriskas bīstamības vai ietekmes uz dabasgāzes apgādes drošību, lūdzam noteikumu projektā </w:t>
            </w:r>
            <w:r w:rsidRPr="00A02401">
              <w:rPr>
                <w:rFonts w:cs="Arial"/>
                <w:i/>
              </w:rPr>
              <w:t>expressis verbis</w:t>
            </w:r>
            <w:r w:rsidRPr="00A02401">
              <w:rPr>
                <w:rFonts w:cs="Arial"/>
              </w:rPr>
              <w:t xml:space="preserve"> paredzēt, ka tas nav attiecināms uz SDG staciju operatoriem, attiecīgi precizējot noteikumu projekta 2. punktu (Noteikumu 2.35. apakšpunkts).</w:t>
            </w:r>
          </w:p>
          <w:p w14:paraId="35C67F5A" w14:textId="1B107E42" w:rsidR="009A0FD3" w:rsidRPr="00A02401" w:rsidRDefault="009A0FD3" w:rsidP="006C70E3">
            <w:pPr>
              <w:jc w:val="both"/>
              <w:rPr>
                <w:rFonts w:cs="Arial"/>
              </w:rPr>
            </w:pPr>
          </w:p>
          <w:p w14:paraId="62C8664B" w14:textId="77777777" w:rsidR="009A0FD3" w:rsidRPr="00A02401" w:rsidRDefault="009A0FD3" w:rsidP="006C70E3">
            <w:pPr>
              <w:jc w:val="both"/>
              <w:rPr>
                <w:rFonts w:cs="Arial"/>
              </w:rPr>
            </w:pPr>
          </w:p>
          <w:p w14:paraId="49AF3EA6" w14:textId="19D9FB11" w:rsidR="00AC3724" w:rsidRPr="00A02401" w:rsidRDefault="00AC3724" w:rsidP="006C70E3">
            <w:pPr>
              <w:jc w:val="both"/>
              <w:rPr>
                <w:rFonts w:cs="Arial"/>
              </w:rPr>
            </w:pPr>
          </w:p>
        </w:tc>
        <w:tc>
          <w:tcPr>
            <w:tcW w:w="3260" w:type="dxa"/>
            <w:gridSpan w:val="2"/>
            <w:tcBorders>
              <w:top w:val="single" w:sz="4" w:space="0" w:color="auto"/>
              <w:left w:val="single" w:sz="6" w:space="0" w:color="000000"/>
              <w:bottom w:val="single" w:sz="6" w:space="0" w:color="000000"/>
              <w:right w:val="single" w:sz="6" w:space="0" w:color="000000"/>
            </w:tcBorders>
          </w:tcPr>
          <w:p w14:paraId="5FE9A9A5" w14:textId="4AA30A11" w:rsidR="00AC3724" w:rsidRPr="00A02401" w:rsidRDefault="00AC3724" w:rsidP="006C70E3">
            <w:pPr>
              <w:pStyle w:val="naisc"/>
              <w:spacing w:before="60" w:after="60"/>
              <w:ind w:firstLine="5"/>
              <w:jc w:val="both"/>
              <w:rPr>
                <w:b/>
              </w:rPr>
            </w:pPr>
            <w:r w:rsidRPr="00A02401">
              <w:rPr>
                <w:b/>
              </w:rPr>
              <w:lastRenderedPageBreak/>
              <w:t>Daļēji ņemts vērā.</w:t>
            </w:r>
          </w:p>
          <w:p w14:paraId="62715B4E" w14:textId="2F0E0499" w:rsidR="00AC3724" w:rsidRPr="00A02401" w:rsidRDefault="00AC3724" w:rsidP="006C70E3">
            <w:pPr>
              <w:pStyle w:val="naisc"/>
              <w:spacing w:before="60" w:after="60"/>
              <w:ind w:firstLine="5"/>
              <w:jc w:val="both"/>
              <w:rPr>
                <w:bCs/>
              </w:rPr>
            </w:pPr>
            <w:r w:rsidRPr="00A02401">
              <w:rPr>
                <w:bCs/>
              </w:rPr>
              <w:t>Ekonomikas ministrija skaidro, ka termina “</w:t>
            </w:r>
            <w:r w:rsidRPr="00A02401">
              <w:rPr>
                <w:i/>
              </w:rPr>
              <w:t>sašķidrinātās dabasgāzes sistēmas operators</w:t>
            </w:r>
            <w:r w:rsidRPr="00A02401">
              <w:rPr>
                <w:bCs/>
              </w:rPr>
              <w:t xml:space="preserve">”  definīcija ir izstrādāta saskaņā ar Enerģētikas likumā ietvertajām definīcijām (“sašķidrinātas dabasgāzes pakalpojums” un “sistēmas operators”. Ekonomikas ministrija neredz </w:t>
            </w:r>
            <w:r w:rsidRPr="00A02401">
              <w:rPr>
                <w:bCs/>
              </w:rPr>
              <w:lastRenderedPageBreak/>
              <w:t xml:space="preserve">pamatojumu būtiski sašaurināt Enerģētikas likumā noteikto, ka sistēmas operators ir energoapgādes komersants, kas sniedz enerģijas pārvades vai sadales, dabasgāzes uzglabāšanas vai sašķidrinātās dabasgāzes pakalpojumus, nosakot Noteikumu projektā izņēmumus kādai noteiktai sašķidrinātas dabasgāzes pakalpojuma sniedzēju grupai. Turklāt, Ekonomikas ministrija skaidro, ka Noteikumu projektā iekļautais regulējums, kas ir attiecināms un </w:t>
            </w:r>
            <w:r w:rsidRPr="00A02401">
              <w:rPr>
                <w:rFonts w:cs="Arial"/>
              </w:rPr>
              <w:t xml:space="preserve">sašķidrinātās dabasgāzes staciju operatoriem, kas nodod dabasgāzi tiešā veidā lietotājam, paredz, ka sašķidrinātās dabasgāzes pakalpojums ir sniedzams un pieslēgšana tiek nodrošināta savstarpēji vienojoties. Papildus Enerģētikas likumā jau noteiktajam, Noteikumu projekts paredz pienākumu jebkuram sašķidrinātās dabasgāzes sistēmas operatoram ievērot konfidencialitātes prasības un nodrošināt lietotājam pakalpojumu atļautās maksimālās slodzes robežās, kā arī veikt attiecīgās no šīs </w:t>
            </w:r>
            <w:r w:rsidRPr="00A02401">
              <w:rPr>
                <w:rFonts w:cs="Arial"/>
              </w:rPr>
              <w:lastRenderedPageBreak/>
              <w:t xml:space="preserve">iekārtas piegādājamo dabasgāzes kvalitātes parametru atbilstības kontroli. </w:t>
            </w:r>
          </w:p>
          <w:p w14:paraId="66B69EF4" w14:textId="64B9010E" w:rsidR="00AC3724" w:rsidRPr="00A02401" w:rsidRDefault="00AC3724" w:rsidP="006C70E3">
            <w:pPr>
              <w:pStyle w:val="naisc"/>
              <w:spacing w:before="60" w:after="60"/>
              <w:ind w:firstLine="5"/>
              <w:jc w:val="both"/>
              <w:rPr>
                <w:bCs/>
              </w:rPr>
            </w:pPr>
            <w:r w:rsidRPr="00A02401">
              <w:rPr>
                <w:rFonts w:cs="Arial"/>
              </w:rPr>
              <w:t>Ekonomikas ministrija skaidro, ka tikai gadījumā, ja sašķidrinātās dabasgāzes operators ir pieslēgts pārvades sistēmai, tad šis gadījums tiks regulēts ar Sabiedrisko pakalpojumu regulēšanas komisijas izdotiem tiesību aktiem.</w:t>
            </w:r>
            <w:r w:rsidR="00EB1522" w:rsidRPr="00A02401">
              <w:rPr>
                <w:rFonts w:cs="Arial"/>
              </w:rPr>
              <w:t xml:space="preserve"> Ministru kabineta 2009.gada 27.oktobra noteikumu Nr.1227 “Noteikumi par regulējamiem sabiedrisko pakalpojumu veidiem” 4.5.apakšpunkts nosaka, ka dabasgāzes apgādē nepieciešams regulēt dabasgāzes šķidrināšanu vai sašķidrinātās dabasgāzes saņemšanu, izkraušanu, uzglabāšanu un pārvēršanu gāzveida stāvoklī turpmākai piegādei uz dabasgāzes pārvades sistēmu. </w:t>
            </w:r>
            <w:r w:rsidRPr="00A02401">
              <w:rPr>
                <w:bCs/>
              </w:rPr>
              <w:t xml:space="preserve"> Saskaņā ar Enerģētikas likuma 15.panta septīto daļu </w:t>
            </w:r>
            <w:r w:rsidRPr="00A02401">
              <w:rPr>
                <w:rFonts w:cs="Arial"/>
              </w:rPr>
              <w:t xml:space="preserve">Sabiedrisko pakalpojumu regulēšanas komisija </w:t>
            </w:r>
            <w:r w:rsidRPr="00A02401">
              <w:rPr>
                <w:bCs/>
              </w:rPr>
              <w:t xml:space="preserve">apstiprina dabasgāzes pārvades un uzglabāšanas, kā arī sašķidrinātās dabasgāzes sistēmas operatora izstrādātos </w:t>
            </w:r>
            <w:r w:rsidRPr="00A02401">
              <w:rPr>
                <w:bCs/>
              </w:rPr>
              <w:lastRenderedPageBreak/>
              <w:t xml:space="preserve">sistēmas lietošanas noteikumus vai dabasgāzes krātuves lietošanas noteikumus. Līdz ar to detalizēti sašķidrinātās dabasgāzes pakalpojuma sniegšanas nosacījumi būtu atrunājumi tieši sistēmas lietošanas noteikumus, kurus būtu jāizstrādā katram sašķidrinātās dabasgāzes sistēmas operatoram un jāapstiprina </w:t>
            </w:r>
            <w:r w:rsidRPr="00A02401">
              <w:rPr>
                <w:rFonts w:cs="Arial"/>
              </w:rPr>
              <w:t>Sabiedrisko pakalpojumu regulēšanas komisijai</w:t>
            </w:r>
            <w:r w:rsidRPr="00A02401">
              <w:rPr>
                <w:bCs/>
              </w:rPr>
              <w:t>.</w:t>
            </w:r>
          </w:p>
          <w:p w14:paraId="63034E61" w14:textId="2FA57571" w:rsidR="00AC3724" w:rsidRPr="00A02401" w:rsidRDefault="00AC3724" w:rsidP="006C70E3">
            <w:pPr>
              <w:pStyle w:val="naisc"/>
              <w:spacing w:before="60" w:after="60"/>
              <w:ind w:firstLine="5"/>
              <w:jc w:val="both"/>
              <w:rPr>
                <w:bCs/>
              </w:rPr>
            </w:pPr>
            <w:r w:rsidRPr="00A02401">
              <w:rPr>
                <w:bCs/>
              </w:rPr>
              <w:t>Ņemot vērā AS “Latvijas Gāze” paustās bažas, tika precizēta Anotācija, lai nodrošinātu skaidrāku Noteikumu projektā iekļauto tiesību normu tvēruma izpratni.</w:t>
            </w:r>
          </w:p>
        </w:tc>
        <w:tc>
          <w:tcPr>
            <w:tcW w:w="2951" w:type="dxa"/>
            <w:tcBorders>
              <w:top w:val="single" w:sz="4" w:space="0" w:color="auto"/>
              <w:left w:val="single" w:sz="4" w:space="0" w:color="auto"/>
              <w:bottom w:val="single" w:sz="4" w:space="0" w:color="auto"/>
            </w:tcBorders>
          </w:tcPr>
          <w:p w14:paraId="1D284D0A" w14:textId="0F207DCB" w:rsidR="00AC3724" w:rsidRPr="00A02401" w:rsidRDefault="00AC3724" w:rsidP="006C70E3">
            <w:pPr>
              <w:jc w:val="both"/>
            </w:pPr>
            <w:r w:rsidRPr="00A02401">
              <w:lastRenderedPageBreak/>
              <w:t>No Noteikumu projekta izslēgts priekšlikums papildināt Noteikumus ar 70.</w:t>
            </w:r>
            <w:r w:rsidRPr="00A02401">
              <w:rPr>
                <w:vertAlign w:val="superscript"/>
              </w:rPr>
              <w:t>1</w:t>
            </w:r>
            <w:r w:rsidRPr="00A02401">
              <w:t xml:space="preserve"> punktu.</w:t>
            </w:r>
          </w:p>
          <w:p w14:paraId="10E2C48B" w14:textId="4E91BE4E" w:rsidR="00AC3724" w:rsidRPr="00A02401" w:rsidRDefault="00AC3724" w:rsidP="006C70E3">
            <w:pPr>
              <w:jc w:val="both"/>
            </w:pPr>
            <w:r w:rsidRPr="00A02401">
              <w:t xml:space="preserve">Tika precizēta </w:t>
            </w:r>
            <w:r w:rsidR="00EB1522" w:rsidRPr="00A02401">
              <w:t>a</w:t>
            </w:r>
            <w:r w:rsidRPr="00A02401">
              <w:t>notācija</w:t>
            </w:r>
            <w:r w:rsidR="00EB1522" w:rsidRPr="00A02401">
              <w:t>, iekļaujot tajā detalizētu skaidrojumu</w:t>
            </w:r>
            <w:r w:rsidR="000657A8" w:rsidRPr="00A02401">
              <w:t xml:space="preserve"> </w:t>
            </w:r>
            <w:r w:rsidR="00EB1522" w:rsidRPr="00A02401">
              <w:t>par iekļautajām normām</w:t>
            </w:r>
            <w:r w:rsidRPr="00A02401">
              <w:t>.</w:t>
            </w:r>
          </w:p>
        </w:tc>
      </w:tr>
      <w:tr w:rsidR="00AC3724" w:rsidRPr="00A02401" w14:paraId="1593E08E" w14:textId="77777777" w:rsidTr="007D72ED">
        <w:tc>
          <w:tcPr>
            <w:tcW w:w="675" w:type="dxa"/>
            <w:tcBorders>
              <w:top w:val="single" w:sz="4" w:space="0" w:color="auto"/>
              <w:left w:val="single" w:sz="6" w:space="0" w:color="000000"/>
              <w:bottom w:val="single" w:sz="6" w:space="0" w:color="000000"/>
              <w:right w:val="single" w:sz="6" w:space="0" w:color="000000"/>
            </w:tcBorders>
          </w:tcPr>
          <w:p w14:paraId="5C5EE562" w14:textId="389D6EC1" w:rsidR="00AC3724" w:rsidRPr="00A02401" w:rsidRDefault="00761F6D" w:rsidP="006C70E3">
            <w:pPr>
              <w:pStyle w:val="naisc"/>
              <w:spacing w:before="60" w:after="60"/>
              <w:jc w:val="both"/>
            </w:pPr>
            <w:r w:rsidRPr="00A02401">
              <w:lastRenderedPageBreak/>
              <w:t>7</w:t>
            </w:r>
            <w:r w:rsidR="00AC3724"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3F92C72E" w14:textId="3ED74DF2" w:rsidR="00AC3724" w:rsidRPr="00A02401" w:rsidRDefault="00AC3724" w:rsidP="006C70E3">
            <w:pPr>
              <w:pStyle w:val="naisc"/>
              <w:spacing w:before="60" w:after="60"/>
              <w:ind w:firstLine="33"/>
              <w:jc w:val="both"/>
            </w:pPr>
            <w:r w:rsidRPr="00A02401">
              <w:t>Vairāki Noteikumu projekta punkti.</w:t>
            </w:r>
          </w:p>
        </w:tc>
        <w:tc>
          <w:tcPr>
            <w:tcW w:w="4278" w:type="dxa"/>
            <w:tcBorders>
              <w:top w:val="single" w:sz="4" w:space="0" w:color="auto"/>
              <w:left w:val="single" w:sz="6" w:space="0" w:color="000000"/>
              <w:bottom w:val="single" w:sz="6" w:space="0" w:color="000000"/>
              <w:right w:val="single" w:sz="6" w:space="0" w:color="000000"/>
            </w:tcBorders>
          </w:tcPr>
          <w:p w14:paraId="07701398" w14:textId="77777777" w:rsidR="00AC3724" w:rsidRPr="00A02401" w:rsidRDefault="00AC3724" w:rsidP="006C70E3">
            <w:pPr>
              <w:pStyle w:val="naisc"/>
              <w:spacing w:before="60" w:after="60"/>
              <w:jc w:val="both"/>
              <w:rPr>
                <w:b/>
                <w:bCs/>
              </w:rPr>
            </w:pPr>
            <w:r w:rsidRPr="00A02401">
              <w:rPr>
                <w:b/>
                <w:bCs/>
              </w:rPr>
              <w:t>TM</w:t>
            </w:r>
          </w:p>
          <w:p w14:paraId="71AC71BA" w14:textId="77777777" w:rsidR="00AC3724" w:rsidRPr="00A02401" w:rsidRDefault="00AC3724" w:rsidP="006C70E3">
            <w:pPr>
              <w:pStyle w:val="NoSpacing"/>
              <w:ind w:firstLine="0"/>
              <w:rPr>
                <w:sz w:val="24"/>
                <w:szCs w:val="24"/>
              </w:rPr>
            </w:pPr>
            <w:r w:rsidRPr="00A02401">
              <w:rPr>
                <w:sz w:val="24"/>
                <w:szCs w:val="24"/>
                <w:shd w:val="clear" w:color="auto" w:fill="FDFCFD"/>
              </w:rPr>
              <w:t>Enerģētikas likuma 1. panta 4</w:t>
            </w:r>
            <w:r w:rsidRPr="00A02401">
              <w:rPr>
                <w:sz w:val="24"/>
                <w:szCs w:val="24"/>
                <w:shd w:val="clear" w:color="auto" w:fill="FFFFFF"/>
              </w:rPr>
              <w:t>5. punkts noteic, ka sistēmas operators ir energoapgādes komersants, kas sniedz enerģijas pārvades vai sadales, dabasgāzes uzglabāšanas vai sašķidrinātās dabasgāzes pakalpojumus</w:t>
            </w:r>
            <w:r w:rsidRPr="00A02401">
              <w:rPr>
                <w:sz w:val="24"/>
                <w:szCs w:val="24"/>
              </w:rPr>
              <w:t xml:space="preserve">. Līdz ar to sistēmas operators ir arī sašķidrinātās dabasgāzes sistēmas operators. Noteikumu VIII nodaļā ir noteiktas sistēmas operatora tiesības un pienākumi, bet projekta 5. punktā paredzētie grozījumi noteic vēl citas </w:t>
            </w:r>
            <w:r w:rsidRPr="00A02401">
              <w:rPr>
                <w:sz w:val="24"/>
                <w:szCs w:val="24"/>
              </w:rPr>
              <w:lastRenderedPageBreak/>
              <w:t>sašķidrinātās dabasgāzes sistēmas operatora tiesības un pienākumus. Tādējādi noteikumu VIII nodaļā paredzētais regulējums ir neskaidrs, jo nav saprotams, kurš regulējums attiecas uz visiem sistēmas operatoriem, bet kurš regulējums attiecas tikai uz sašķidrinātās dabasgāzes sistēmas operatoru.</w:t>
            </w:r>
          </w:p>
          <w:p w14:paraId="1645BD41" w14:textId="77777777" w:rsidR="00AC3724" w:rsidRPr="00A02401" w:rsidRDefault="00AC3724" w:rsidP="006C70E3">
            <w:pPr>
              <w:pStyle w:val="naisc"/>
              <w:spacing w:before="60" w:after="60"/>
              <w:jc w:val="both"/>
              <w:rPr>
                <w:shd w:val="clear" w:color="auto" w:fill="FDFCFD"/>
              </w:rPr>
            </w:pPr>
            <w:r w:rsidRPr="00A02401">
              <w:t>Papildus norādām uz to, ka noteikumu VIII nodaļā ir noteiktas sistēmas operatora tiesības un pienākumi, bet projekta 5. punktā paredzētajā noteikumu 95.</w:t>
            </w:r>
            <w:r w:rsidRPr="00A02401">
              <w:rPr>
                <w:vertAlign w:val="superscript"/>
              </w:rPr>
              <w:t>2</w:t>
            </w:r>
            <w:r w:rsidRPr="00A02401">
              <w:t> punktā ir noteikts, kas nav sašķidrinātās dabasgāzes sistēmas operatora pienākums, un projekta 5. punktā paredzētajā noteikumu 95.</w:t>
            </w:r>
            <w:r w:rsidRPr="00A02401">
              <w:rPr>
                <w:vertAlign w:val="superscript"/>
              </w:rPr>
              <w:t>3</w:t>
            </w:r>
            <w:r w:rsidRPr="00A02401">
              <w:t xml:space="preserve"> punktā ir noteikti sašķidrinātās dabasgāzes sistēmas lietotāja pienākumi. Ievērojot minēto, lūdzam </w:t>
            </w:r>
            <w:r w:rsidRPr="00A02401">
              <w:rPr>
                <w:shd w:val="clear" w:color="auto" w:fill="FDFCFD"/>
              </w:rPr>
              <w:t>izvērtēt projekta 5. punktā paredzētos grozījumus un attiecīgi precizēt tos.</w:t>
            </w:r>
          </w:p>
          <w:p w14:paraId="7CEFFCBC" w14:textId="5BE49836" w:rsidR="000A4B46" w:rsidRPr="00A02401" w:rsidRDefault="000A4B46" w:rsidP="006C70E3">
            <w:pPr>
              <w:pStyle w:val="naisc"/>
              <w:spacing w:before="60" w:after="60"/>
              <w:jc w:val="both"/>
              <w:rPr>
                <w:b/>
                <w:bCs/>
              </w:rPr>
            </w:pPr>
          </w:p>
        </w:tc>
        <w:tc>
          <w:tcPr>
            <w:tcW w:w="3260" w:type="dxa"/>
            <w:gridSpan w:val="2"/>
            <w:tcBorders>
              <w:top w:val="single" w:sz="4" w:space="0" w:color="auto"/>
              <w:left w:val="single" w:sz="6" w:space="0" w:color="000000"/>
              <w:bottom w:val="single" w:sz="6" w:space="0" w:color="000000"/>
              <w:right w:val="single" w:sz="6" w:space="0" w:color="000000"/>
            </w:tcBorders>
          </w:tcPr>
          <w:p w14:paraId="529B8298" w14:textId="77777777" w:rsidR="00AC3724" w:rsidRPr="00A02401" w:rsidRDefault="00AC3724" w:rsidP="006C70E3">
            <w:pPr>
              <w:pStyle w:val="naisc"/>
              <w:spacing w:before="60" w:after="60"/>
              <w:ind w:firstLine="5"/>
              <w:jc w:val="both"/>
              <w:rPr>
                <w:b/>
              </w:rPr>
            </w:pPr>
            <w:r w:rsidRPr="00A02401">
              <w:rPr>
                <w:b/>
              </w:rPr>
              <w:lastRenderedPageBreak/>
              <w:t>Daļēji ņemts vērā.</w:t>
            </w:r>
          </w:p>
          <w:p w14:paraId="3F253081" w14:textId="193F3FEC" w:rsidR="00AC3724" w:rsidRPr="00A02401" w:rsidRDefault="00AC3724" w:rsidP="006C70E3">
            <w:pPr>
              <w:pStyle w:val="NoSpacing"/>
              <w:ind w:firstLine="0"/>
              <w:rPr>
                <w:sz w:val="24"/>
                <w:szCs w:val="24"/>
              </w:rPr>
            </w:pPr>
            <w:r w:rsidRPr="00A02401">
              <w:rPr>
                <w:sz w:val="24"/>
                <w:szCs w:val="24"/>
              </w:rPr>
              <w:t xml:space="preserve">Ekonomikas ministrija skaidro, ka Noteikumu projektā VIII nodaļā paredzētais regulējums attiecas tiem sistēmas operatoriem, kas ir norādīti attiecīgajā punktā. </w:t>
            </w:r>
            <w:r w:rsidRPr="00A02401">
              <w:rPr>
                <w:bCs/>
                <w:sz w:val="24"/>
                <w:szCs w:val="24"/>
              </w:rPr>
              <w:t>Attiecībā uz 95.</w:t>
            </w:r>
            <w:r w:rsidRPr="00A02401">
              <w:rPr>
                <w:bCs/>
                <w:sz w:val="24"/>
                <w:szCs w:val="24"/>
                <w:vertAlign w:val="superscript"/>
              </w:rPr>
              <w:t>3</w:t>
            </w:r>
            <w:r w:rsidRPr="00A02401">
              <w:rPr>
                <w:bCs/>
                <w:sz w:val="24"/>
                <w:szCs w:val="24"/>
              </w:rPr>
              <w:t xml:space="preserve"> punktā noteikto Ekonomikas ministrija skaidro, ka tajā iekļautais sašķidrinātās dabasgāzes sistēmas lietotāja pienākums ir </w:t>
            </w:r>
            <w:r w:rsidRPr="00A02401">
              <w:rPr>
                <w:bCs/>
                <w:sz w:val="24"/>
                <w:szCs w:val="24"/>
              </w:rPr>
              <w:lastRenderedPageBreak/>
              <w:t xml:space="preserve">iekļauts, lai noteiktu ierobežojumus attiecībā uz to sašķidrinātās dabasgāzes sistēmas operatora </w:t>
            </w:r>
            <w:r w:rsidRPr="00A02401">
              <w:rPr>
                <w:bCs/>
                <w:color w:val="000000" w:themeColor="text1"/>
                <w:sz w:val="24"/>
                <w:szCs w:val="24"/>
                <w:lang w:eastAsia="lv-LV"/>
              </w:rPr>
              <w:t>kvalitātes parametru atbilstības kontrol</w:t>
            </w:r>
            <w:r w:rsidRPr="00A02401">
              <w:rPr>
                <w:bCs/>
                <w:color w:val="000000" w:themeColor="text1"/>
                <w:sz w:val="24"/>
                <w:szCs w:val="24"/>
              </w:rPr>
              <w:t xml:space="preserve">i. Punktā iekļauti nosacījumi ir savstarpēji saistīti un būtu lasāmi kopā. </w:t>
            </w:r>
            <w:r w:rsidRPr="00A02401">
              <w:rPr>
                <w:sz w:val="24"/>
                <w:szCs w:val="24"/>
              </w:rPr>
              <w:t>No Noteikumu projektā ir izslēgts 95.</w:t>
            </w:r>
            <w:r w:rsidRPr="00A02401">
              <w:rPr>
                <w:sz w:val="24"/>
                <w:szCs w:val="24"/>
                <w:vertAlign w:val="superscript"/>
              </w:rPr>
              <w:t>2</w:t>
            </w:r>
            <w:r w:rsidRPr="00A02401">
              <w:rPr>
                <w:sz w:val="24"/>
                <w:szCs w:val="24"/>
              </w:rPr>
              <w:t>punkts, kas paredzēja noteikt, kas nav sašķidrinātās dabasgāzes sistēmas operatora pienākums.</w:t>
            </w:r>
          </w:p>
          <w:p w14:paraId="1DBFAE03" w14:textId="13B919F3" w:rsidR="00AC3724" w:rsidRPr="00A02401" w:rsidRDefault="00AC3724" w:rsidP="006C70E3">
            <w:pPr>
              <w:pStyle w:val="naisc"/>
              <w:spacing w:before="60" w:after="60"/>
              <w:ind w:firstLine="5"/>
              <w:jc w:val="both"/>
              <w:rPr>
                <w:b/>
              </w:rPr>
            </w:pPr>
          </w:p>
        </w:tc>
        <w:tc>
          <w:tcPr>
            <w:tcW w:w="2951" w:type="dxa"/>
            <w:tcBorders>
              <w:top w:val="single" w:sz="4" w:space="0" w:color="auto"/>
              <w:left w:val="single" w:sz="4" w:space="0" w:color="auto"/>
              <w:bottom w:val="single" w:sz="4" w:space="0" w:color="auto"/>
            </w:tcBorders>
          </w:tcPr>
          <w:p w14:paraId="65A4A56E" w14:textId="77777777" w:rsidR="00AC3724" w:rsidRPr="00A02401" w:rsidRDefault="00AC3724" w:rsidP="006C70E3">
            <w:pPr>
              <w:spacing w:before="60" w:after="60"/>
              <w:ind w:firstLine="5"/>
              <w:jc w:val="both"/>
            </w:pPr>
            <w:r w:rsidRPr="00A02401">
              <w:lastRenderedPageBreak/>
              <w:t>No Noteikumu projekta ir izslēgts 95.</w:t>
            </w:r>
            <w:r w:rsidRPr="00A02401">
              <w:rPr>
                <w:vertAlign w:val="superscript"/>
              </w:rPr>
              <w:t>2</w:t>
            </w:r>
            <w:r w:rsidRPr="00A02401">
              <w:t xml:space="preserve"> punkts.</w:t>
            </w:r>
          </w:p>
          <w:p w14:paraId="5D836A5A" w14:textId="385746C9" w:rsidR="000A4B46" w:rsidRPr="00A02401" w:rsidRDefault="000A4B46" w:rsidP="006C70E3">
            <w:pPr>
              <w:spacing w:before="60" w:after="60"/>
              <w:ind w:firstLine="5"/>
              <w:jc w:val="both"/>
            </w:pPr>
            <w:r w:rsidRPr="00A02401">
              <w:t>Anotācija ir papildināta ar skaidrojumu.</w:t>
            </w:r>
          </w:p>
        </w:tc>
      </w:tr>
      <w:tr w:rsidR="007D72ED" w:rsidRPr="00A02401" w14:paraId="5D3006AA" w14:textId="77777777" w:rsidTr="007D72ED">
        <w:tc>
          <w:tcPr>
            <w:tcW w:w="675" w:type="dxa"/>
            <w:tcBorders>
              <w:top w:val="single" w:sz="4" w:space="0" w:color="auto"/>
              <w:left w:val="single" w:sz="6" w:space="0" w:color="000000"/>
              <w:bottom w:val="single" w:sz="6" w:space="0" w:color="000000"/>
              <w:right w:val="single" w:sz="6" w:space="0" w:color="000000"/>
            </w:tcBorders>
          </w:tcPr>
          <w:p w14:paraId="69337D01" w14:textId="6092AC39" w:rsidR="007D72ED" w:rsidRPr="00A02401" w:rsidRDefault="007D72ED" w:rsidP="006C70E3">
            <w:pPr>
              <w:pStyle w:val="naisc"/>
              <w:spacing w:before="60" w:after="60"/>
              <w:jc w:val="both"/>
            </w:pPr>
            <w:r w:rsidRPr="00A02401">
              <w:t>8.</w:t>
            </w:r>
          </w:p>
        </w:tc>
        <w:tc>
          <w:tcPr>
            <w:tcW w:w="3119" w:type="dxa"/>
            <w:gridSpan w:val="2"/>
            <w:tcBorders>
              <w:top w:val="single" w:sz="4" w:space="0" w:color="auto"/>
              <w:left w:val="single" w:sz="6" w:space="0" w:color="000000"/>
              <w:bottom w:val="single" w:sz="6" w:space="0" w:color="000000"/>
              <w:right w:val="single" w:sz="6" w:space="0" w:color="000000"/>
            </w:tcBorders>
          </w:tcPr>
          <w:p w14:paraId="64EDC1EC" w14:textId="77777777" w:rsidR="007D72ED" w:rsidRPr="00A02401" w:rsidRDefault="007D72ED" w:rsidP="006C70E3">
            <w:pPr>
              <w:jc w:val="both"/>
            </w:pPr>
            <w:r w:rsidRPr="00A02401">
              <w:t>6. Papildināt noteikumus ar VI.</w:t>
            </w:r>
            <w:r w:rsidRPr="00A02401">
              <w:rPr>
                <w:vertAlign w:val="superscript"/>
              </w:rPr>
              <w:t>1</w:t>
            </w:r>
            <w:r w:rsidRPr="00A02401">
              <w:t>nodaļu šādā redakcijā:</w:t>
            </w:r>
          </w:p>
          <w:p w14:paraId="10356CB4" w14:textId="77777777" w:rsidR="007D72ED" w:rsidRPr="00A02401" w:rsidRDefault="007D72ED" w:rsidP="006C70E3">
            <w:pPr>
              <w:ind w:firstLine="709"/>
              <w:jc w:val="both"/>
            </w:pPr>
          </w:p>
          <w:p w14:paraId="6C97F36E" w14:textId="77777777" w:rsidR="007D72ED" w:rsidRPr="00A02401" w:rsidRDefault="007D72ED" w:rsidP="006C70E3">
            <w:pPr>
              <w:jc w:val="both"/>
              <w:rPr>
                <w:color w:val="000000" w:themeColor="text1"/>
                <w:shd w:val="clear" w:color="auto" w:fill="FFFFFF"/>
              </w:rPr>
            </w:pPr>
            <w:r w:rsidRPr="00A02401">
              <w:rPr>
                <w:b/>
                <w:bCs/>
                <w:color w:val="414142"/>
              </w:rPr>
              <w:t>“VI</w:t>
            </w:r>
            <w:r w:rsidRPr="00A02401">
              <w:rPr>
                <w:b/>
                <w:bCs/>
                <w:color w:val="414142"/>
                <w:vertAlign w:val="superscript"/>
              </w:rPr>
              <w:t>1</w:t>
            </w:r>
            <w:r w:rsidRPr="00A02401">
              <w:rPr>
                <w:b/>
                <w:bCs/>
                <w:color w:val="000000" w:themeColor="text1"/>
                <w:shd w:val="clear" w:color="auto" w:fill="FFFFFF"/>
              </w:rPr>
              <w:t>. Sašķidrinātās dabasgāzes pakalpojuma sniegšana</w:t>
            </w:r>
          </w:p>
          <w:p w14:paraId="1C62AC16" w14:textId="77777777" w:rsidR="007D72ED" w:rsidRPr="00A02401" w:rsidRDefault="007D72ED" w:rsidP="006C70E3">
            <w:pPr>
              <w:ind w:left="1440" w:firstLine="720"/>
              <w:jc w:val="both"/>
              <w:rPr>
                <w:b/>
                <w:bCs/>
                <w:color w:val="000000" w:themeColor="text1"/>
                <w:shd w:val="clear" w:color="auto" w:fill="FFFFFF"/>
              </w:rPr>
            </w:pPr>
          </w:p>
          <w:p w14:paraId="10709BD7" w14:textId="77777777" w:rsidR="007D72ED" w:rsidRPr="00A02401" w:rsidRDefault="007D72ED" w:rsidP="006C70E3">
            <w:pPr>
              <w:jc w:val="both"/>
              <w:rPr>
                <w:color w:val="000000" w:themeColor="text1"/>
              </w:rPr>
            </w:pPr>
            <w:r w:rsidRPr="00A02401">
              <w:t>70</w:t>
            </w:r>
            <w:r w:rsidRPr="00A02401">
              <w:rPr>
                <w:vertAlign w:val="superscript"/>
              </w:rPr>
              <w:t>1</w:t>
            </w:r>
            <w:r w:rsidRPr="00A02401">
              <w:t xml:space="preserve">. Sašķidrinātās dabasgāzes sistēmas lietotāja dabasgāzes apgādes sistēma tiek pieslēgta </w:t>
            </w:r>
            <w:r w:rsidRPr="00A02401">
              <w:lastRenderedPageBreak/>
              <w:t>sašķidrinātās dabasgāzes iekārtai, sašķidrinātās dabasgāzes sistēmas lietotājam un sašķidrinātās dabasgāzes sistēmas operatoram savstarpēji vienojoties.</w:t>
            </w:r>
            <w:r w:rsidRPr="00A02401">
              <w:rPr>
                <w:color w:val="000000" w:themeColor="text1"/>
              </w:rPr>
              <w:t>”</w:t>
            </w:r>
          </w:p>
          <w:p w14:paraId="774F75B6" w14:textId="77777777" w:rsidR="007D72ED" w:rsidRPr="00A02401" w:rsidRDefault="007D72ED" w:rsidP="006C70E3">
            <w:pPr>
              <w:spacing w:line="293" w:lineRule="atLeast"/>
              <w:jc w:val="both"/>
              <w:rPr>
                <w:color w:val="000000" w:themeColor="text1"/>
              </w:rPr>
            </w:pPr>
          </w:p>
        </w:tc>
        <w:tc>
          <w:tcPr>
            <w:tcW w:w="4278" w:type="dxa"/>
            <w:tcBorders>
              <w:top w:val="single" w:sz="4" w:space="0" w:color="auto"/>
              <w:left w:val="single" w:sz="6" w:space="0" w:color="000000"/>
              <w:bottom w:val="single" w:sz="6" w:space="0" w:color="000000"/>
              <w:right w:val="single" w:sz="6" w:space="0" w:color="000000"/>
            </w:tcBorders>
          </w:tcPr>
          <w:p w14:paraId="0D297E35" w14:textId="23EF184C" w:rsidR="007D72ED" w:rsidRPr="00A02401" w:rsidRDefault="007D72ED" w:rsidP="00DD75BA">
            <w:pPr>
              <w:tabs>
                <w:tab w:val="left" w:pos="567"/>
                <w:tab w:val="left" w:pos="993"/>
              </w:tabs>
              <w:jc w:val="both"/>
              <w:rPr>
                <w:b/>
                <w:bCs/>
              </w:rPr>
            </w:pPr>
            <w:r w:rsidRPr="00A02401">
              <w:rPr>
                <w:b/>
                <w:bCs/>
              </w:rPr>
              <w:lastRenderedPageBreak/>
              <w:t>SPRK</w:t>
            </w:r>
          </w:p>
          <w:p w14:paraId="062C278A" w14:textId="391C7098" w:rsidR="007D72ED" w:rsidRPr="00A02401" w:rsidRDefault="007D72ED" w:rsidP="00DD75BA">
            <w:pPr>
              <w:tabs>
                <w:tab w:val="left" w:pos="567"/>
                <w:tab w:val="left" w:pos="993"/>
              </w:tabs>
              <w:jc w:val="both"/>
            </w:pPr>
            <w:r w:rsidRPr="00A02401">
              <w:t>Regulators arī vērš uzmanību uz nepieciešamību pārskatīt Noteikumu projekta 6.punkta struktūru, jo atbilstoši Ministru kabineta 2009.gada 3.februāra noteikumu Nr.108 “Normatīvo aktu projektu sagatavošanas noteikumi” 111.punktam noteikumu projektā neveido nodaļas, kas satur vienu punktu.</w:t>
            </w:r>
          </w:p>
          <w:p w14:paraId="131850C3" w14:textId="26DEFEA4" w:rsidR="007D72ED" w:rsidRPr="00A02401" w:rsidRDefault="007D72ED" w:rsidP="006C70E3">
            <w:pPr>
              <w:tabs>
                <w:tab w:val="left" w:pos="567"/>
                <w:tab w:val="left" w:pos="993"/>
              </w:tabs>
              <w:spacing w:after="120"/>
              <w:jc w:val="both"/>
            </w:pPr>
          </w:p>
          <w:p w14:paraId="53DB9D16" w14:textId="6F0AA398" w:rsidR="007D72ED" w:rsidRPr="00A02401" w:rsidRDefault="007D72ED" w:rsidP="006C70E3">
            <w:pPr>
              <w:tabs>
                <w:tab w:val="left" w:pos="567"/>
                <w:tab w:val="left" w:pos="993"/>
              </w:tabs>
              <w:spacing w:after="120"/>
              <w:jc w:val="both"/>
              <w:rPr>
                <w:b/>
                <w:bCs/>
              </w:rPr>
            </w:pPr>
            <w:r w:rsidRPr="00A02401">
              <w:rPr>
                <w:b/>
                <w:bCs/>
              </w:rPr>
              <w:lastRenderedPageBreak/>
              <w:t>TM</w:t>
            </w:r>
          </w:p>
          <w:p w14:paraId="19397766" w14:textId="4CA6361B" w:rsidR="007D72ED" w:rsidRPr="00A02401" w:rsidRDefault="007D72ED" w:rsidP="006C70E3">
            <w:pPr>
              <w:pStyle w:val="NoSpacing"/>
              <w:ind w:firstLine="0"/>
              <w:rPr>
                <w:color w:val="000000"/>
                <w:sz w:val="24"/>
                <w:szCs w:val="24"/>
              </w:rPr>
            </w:pPr>
            <w:r w:rsidRPr="00A02401">
              <w:rPr>
                <w:rFonts w:cstheme="minorHAnsi"/>
                <w:sz w:val="24"/>
                <w:szCs w:val="24"/>
                <w:bdr w:val="none" w:sz="0" w:space="0" w:color="auto" w:frame="1"/>
                <w:shd w:val="clear" w:color="auto" w:fill="FFFFFF"/>
              </w:rPr>
              <w:t>Ministru kabineta 2009. gada 3. februāra noteikumu Nr. 108 "Normatīvo aktu projektu sagatavošanas noteikumi" 111. punkts noteic, ka Ministru kabineta n</w:t>
            </w:r>
            <w:r w:rsidRPr="00A02401">
              <w:rPr>
                <w:rFonts w:cstheme="minorHAnsi"/>
                <w:sz w:val="24"/>
                <w:szCs w:val="24"/>
                <w:shd w:val="clear" w:color="auto" w:fill="FFFFFF"/>
              </w:rPr>
              <w:t>oteikumu projektā neveido nodaļas, kas satur vienu punktu. Ievērojot minēto, lūdzam precizēt projekta 6. punktā paredzēto grozījumu.</w:t>
            </w:r>
            <w:r w:rsidRPr="00A02401">
              <w:rPr>
                <w:rFonts w:cstheme="minorHAnsi"/>
                <w:color w:val="000000"/>
                <w:sz w:val="24"/>
                <w:szCs w:val="24"/>
              </w:rPr>
              <w:t> </w:t>
            </w:r>
          </w:p>
          <w:p w14:paraId="3E63CBF7" w14:textId="77777777" w:rsidR="007D72ED" w:rsidRPr="00A02401" w:rsidRDefault="007D72ED" w:rsidP="006C70E3">
            <w:pPr>
              <w:pStyle w:val="naisc"/>
              <w:spacing w:before="60" w:after="60"/>
              <w:jc w:val="both"/>
              <w:rPr>
                <w:b/>
                <w:bCs/>
                <w:shd w:val="clear" w:color="auto" w:fill="FDFCFD"/>
              </w:rPr>
            </w:pPr>
          </w:p>
        </w:tc>
        <w:tc>
          <w:tcPr>
            <w:tcW w:w="3260" w:type="dxa"/>
            <w:gridSpan w:val="2"/>
            <w:tcBorders>
              <w:top w:val="single" w:sz="4" w:space="0" w:color="auto"/>
              <w:left w:val="single" w:sz="6" w:space="0" w:color="000000"/>
              <w:bottom w:val="single" w:sz="6" w:space="0" w:color="000000"/>
              <w:right w:val="single" w:sz="6" w:space="0" w:color="000000"/>
            </w:tcBorders>
          </w:tcPr>
          <w:p w14:paraId="1C9718A1" w14:textId="2F8E0B5F" w:rsidR="007D72ED" w:rsidRPr="00A02401" w:rsidRDefault="007D72ED" w:rsidP="00DD75BA">
            <w:pPr>
              <w:pStyle w:val="naisc"/>
              <w:spacing w:before="60" w:after="0"/>
              <w:ind w:firstLine="5"/>
              <w:jc w:val="both"/>
              <w:rPr>
                <w:b/>
              </w:rPr>
            </w:pPr>
            <w:r w:rsidRPr="00A02401">
              <w:rPr>
                <w:b/>
              </w:rPr>
              <w:lastRenderedPageBreak/>
              <w:t>Ņemts vērā</w:t>
            </w:r>
          </w:p>
          <w:p w14:paraId="2961F070" w14:textId="7290D3DB" w:rsidR="007D72ED" w:rsidRPr="00A02401" w:rsidRDefault="007D72ED" w:rsidP="00DD75BA">
            <w:pPr>
              <w:jc w:val="both"/>
            </w:pPr>
            <w:r w:rsidRPr="00A02401">
              <w:rPr>
                <w:bCs/>
              </w:rPr>
              <w:t xml:space="preserve">Izvērtējot Noteikumu loģiku un sadaļu saturu minētais punkts pārcelts uz </w:t>
            </w:r>
            <w:r w:rsidRPr="00A02401">
              <w:t>III.nodaļu, izsakot tās nosaukumu jaunā redakcijā.</w:t>
            </w:r>
          </w:p>
          <w:p w14:paraId="775713A0" w14:textId="41A01449" w:rsidR="007D72ED" w:rsidRPr="00A02401" w:rsidRDefault="007D72ED" w:rsidP="006C70E3">
            <w:pPr>
              <w:pStyle w:val="naisc"/>
              <w:spacing w:before="60" w:after="60"/>
              <w:jc w:val="both"/>
              <w:rPr>
                <w:bCs/>
              </w:rPr>
            </w:pPr>
          </w:p>
          <w:p w14:paraId="15949E85" w14:textId="0D554DD2" w:rsidR="007D72ED" w:rsidRPr="00A02401" w:rsidRDefault="007D72ED" w:rsidP="006C70E3">
            <w:pPr>
              <w:pStyle w:val="naisc"/>
              <w:spacing w:before="60" w:after="60"/>
              <w:ind w:firstLine="5"/>
              <w:jc w:val="both"/>
              <w:rPr>
                <w:b/>
              </w:rPr>
            </w:pPr>
          </w:p>
        </w:tc>
        <w:tc>
          <w:tcPr>
            <w:tcW w:w="2951" w:type="dxa"/>
            <w:tcBorders>
              <w:top w:val="single" w:sz="4" w:space="0" w:color="auto"/>
              <w:left w:val="single" w:sz="4" w:space="0" w:color="auto"/>
              <w:bottom w:val="single" w:sz="4" w:space="0" w:color="auto"/>
            </w:tcBorders>
          </w:tcPr>
          <w:p w14:paraId="1899F205" w14:textId="77777777" w:rsidR="007D72ED" w:rsidRPr="00A02401" w:rsidRDefault="007D72ED" w:rsidP="006C70E3">
            <w:pPr>
              <w:jc w:val="both"/>
            </w:pPr>
            <w:r w:rsidRPr="00A02401">
              <w:t xml:space="preserve">7. Izteikt III.nodaļu jaunā redakcijā: </w:t>
            </w:r>
          </w:p>
          <w:p w14:paraId="64E655CC" w14:textId="77777777" w:rsidR="007D72ED" w:rsidRPr="00A02401" w:rsidRDefault="007D72ED" w:rsidP="006C70E3">
            <w:pPr>
              <w:ind w:firstLine="720"/>
              <w:jc w:val="both"/>
            </w:pPr>
          </w:p>
          <w:p w14:paraId="737664D9" w14:textId="4326652D" w:rsidR="007D72ED" w:rsidRPr="00A02401" w:rsidRDefault="007D72ED" w:rsidP="000E00A7">
            <w:pPr>
              <w:jc w:val="both"/>
            </w:pPr>
            <w:r w:rsidRPr="00A02401">
              <w:t>“III.</w:t>
            </w:r>
            <w:r w:rsidR="000E00A7">
              <w:t> </w:t>
            </w:r>
            <w:r w:rsidRPr="00A02401">
              <w:t>Dabasgāzes tirdzniecība, piegāde un sašķidrinātās dabasgāzes pakalpojuma sniegšana”.</w:t>
            </w:r>
          </w:p>
          <w:p w14:paraId="2007CEB2" w14:textId="77777777" w:rsidR="007D72ED" w:rsidRPr="00A02401" w:rsidRDefault="007D72ED" w:rsidP="006C70E3">
            <w:pPr>
              <w:rPr>
                <w:rFonts w:ascii="Segoe UI" w:hAnsi="Segoe UI" w:cs="Segoe UI"/>
              </w:rPr>
            </w:pPr>
          </w:p>
          <w:p w14:paraId="669151DC" w14:textId="77777777" w:rsidR="007D72ED" w:rsidRPr="00A02401" w:rsidRDefault="007D72ED" w:rsidP="006C70E3">
            <w:pPr>
              <w:jc w:val="both"/>
            </w:pPr>
            <w:r w:rsidRPr="00A02401">
              <w:t>8. Papildināt noteikumus ar 38</w:t>
            </w:r>
            <w:r w:rsidRPr="00A02401">
              <w:rPr>
                <w:vertAlign w:val="superscript"/>
              </w:rPr>
              <w:t>1</w:t>
            </w:r>
            <w:r w:rsidRPr="00A02401">
              <w:t>. punktu šādā redakcijā:</w:t>
            </w:r>
          </w:p>
          <w:p w14:paraId="6FFE64E6" w14:textId="77777777" w:rsidR="007D72ED" w:rsidRPr="00A02401" w:rsidRDefault="007D72ED" w:rsidP="006C70E3">
            <w:pPr>
              <w:ind w:firstLine="720"/>
              <w:jc w:val="both"/>
            </w:pPr>
          </w:p>
          <w:p w14:paraId="0D71AEB0" w14:textId="2C74C93D" w:rsidR="007D72ED" w:rsidRPr="00A02401" w:rsidRDefault="007D72ED" w:rsidP="006C70E3">
            <w:pPr>
              <w:ind w:firstLine="720"/>
              <w:jc w:val="both"/>
              <w:rPr>
                <w:rFonts w:cstheme="minorBidi"/>
                <w:lang w:eastAsia="en-US"/>
              </w:rPr>
            </w:pPr>
            <w:r w:rsidRPr="00A02401">
              <w:t>“38</w:t>
            </w:r>
            <w:r w:rsidRPr="00A02401">
              <w:rPr>
                <w:vertAlign w:val="superscript"/>
              </w:rPr>
              <w:t>1</w:t>
            </w:r>
            <w:r w:rsidRPr="00A02401">
              <w:t>. Ja s</w:t>
            </w:r>
            <w:r w:rsidRPr="00A02401">
              <w:rPr>
                <w:color w:val="000000"/>
                <w:shd w:val="clear" w:color="auto" w:fill="FFFFFF"/>
              </w:rPr>
              <w:t xml:space="preserve">ašķidrinātās dabasgāzes sistēmas lietotāja dabasgāzes apgādes sistēma tiek tieši pieslēgta sašķidrinātās dabasgāzes iekārtai, sašķidrinātās dabasgāzes sistēmas lietotājs un sašķidrinātās dabasgāzes sistēmas operators savstarpēji vienojas par nosacījumiem </w:t>
            </w:r>
            <w:bookmarkStart w:id="5" w:name="_Hlk64547062"/>
            <w:r w:rsidRPr="00A02401">
              <w:rPr>
                <w:color w:val="000000"/>
                <w:shd w:val="clear" w:color="auto" w:fill="FFFFFF"/>
              </w:rPr>
              <w:t xml:space="preserve">minēto sistēmu savienošanai </w:t>
            </w:r>
            <w:bookmarkEnd w:id="5"/>
            <w:r w:rsidRPr="00A02401">
              <w:rPr>
                <w:color w:val="000000"/>
                <w:shd w:val="clear" w:color="auto" w:fill="FFFFFF"/>
              </w:rPr>
              <w:t>un sašķidrinātās dabasgāzes pakalpojuma sniegšanai.”</w:t>
            </w:r>
          </w:p>
          <w:p w14:paraId="01921B5A" w14:textId="77777777" w:rsidR="007D72ED" w:rsidRPr="00A02401" w:rsidRDefault="007D72ED" w:rsidP="006C70E3">
            <w:pPr>
              <w:spacing w:before="60" w:after="60"/>
              <w:ind w:firstLine="5"/>
              <w:jc w:val="both"/>
            </w:pPr>
          </w:p>
        </w:tc>
      </w:tr>
      <w:tr w:rsidR="007D72ED" w:rsidRPr="00A02401" w14:paraId="688A601F" w14:textId="77777777" w:rsidTr="007D72ED">
        <w:tc>
          <w:tcPr>
            <w:tcW w:w="675" w:type="dxa"/>
            <w:tcBorders>
              <w:top w:val="single" w:sz="4" w:space="0" w:color="auto"/>
              <w:left w:val="single" w:sz="6" w:space="0" w:color="000000"/>
              <w:bottom w:val="single" w:sz="6" w:space="0" w:color="000000"/>
              <w:right w:val="single" w:sz="6" w:space="0" w:color="000000"/>
            </w:tcBorders>
          </w:tcPr>
          <w:p w14:paraId="02274518" w14:textId="0B197DC0" w:rsidR="007D72ED" w:rsidRPr="00A02401" w:rsidRDefault="007D72ED" w:rsidP="006C70E3">
            <w:pPr>
              <w:pStyle w:val="naisc"/>
              <w:spacing w:before="60" w:after="60"/>
              <w:jc w:val="both"/>
            </w:pPr>
            <w:r w:rsidRPr="00A02401">
              <w:lastRenderedPageBreak/>
              <w:t>9.</w:t>
            </w:r>
          </w:p>
        </w:tc>
        <w:tc>
          <w:tcPr>
            <w:tcW w:w="3119" w:type="dxa"/>
            <w:gridSpan w:val="2"/>
            <w:tcBorders>
              <w:top w:val="single" w:sz="4" w:space="0" w:color="auto"/>
              <w:left w:val="single" w:sz="6" w:space="0" w:color="000000"/>
              <w:bottom w:val="single" w:sz="6" w:space="0" w:color="000000"/>
              <w:right w:val="single" w:sz="6" w:space="0" w:color="000000"/>
            </w:tcBorders>
          </w:tcPr>
          <w:p w14:paraId="3782A16A" w14:textId="77777777" w:rsidR="007D72ED" w:rsidRPr="00A02401" w:rsidRDefault="007D72ED" w:rsidP="006C70E3">
            <w:pPr>
              <w:jc w:val="both"/>
            </w:pPr>
            <w:r w:rsidRPr="00A02401">
              <w:t>6. Papildināt noteikumus ar VI.</w:t>
            </w:r>
            <w:r w:rsidRPr="00A02401">
              <w:rPr>
                <w:vertAlign w:val="superscript"/>
              </w:rPr>
              <w:t>1</w:t>
            </w:r>
            <w:r w:rsidRPr="00A02401">
              <w:t>nodaļu šādā redakcijā:</w:t>
            </w:r>
          </w:p>
          <w:p w14:paraId="297730CF" w14:textId="77777777" w:rsidR="007D72ED" w:rsidRPr="00A02401" w:rsidRDefault="007D72ED" w:rsidP="006C70E3">
            <w:pPr>
              <w:ind w:firstLine="709"/>
              <w:jc w:val="both"/>
            </w:pPr>
          </w:p>
          <w:p w14:paraId="5C982BBF" w14:textId="77777777" w:rsidR="007D72ED" w:rsidRPr="00A02401" w:rsidRDefault="007D72ED" w:rsidP="006C70E3">
            <w:pPr>
              <w:jc w:val="both"/>
              <w:rPr>
                <w:color w:val="000000" w:themeColor="text1"/>
                <w:shd w:val="clear" w:color="auto" w:fill="FFFFFF"/>
              </w:rPr>
            </w:pPr>
            <w:r w:rsidRPr="00A02401">
              <w:rPr>
                <w:b/>
                <w:bCs/>
                <w:color w:val="414142"/>
              </w:rPr>
              <w:t>“VI</w:t>
            </w:r>
            <w:r w:rsidRPr="00A02401">
              <w:rPr>
                <w:b/>
                <w:bCs/>
                <w:color w:val="414142"/>
                <w:vertAlign w:val="superscript"/>
              </w:rPr>
              <w:t>1</w:t>
            </w:r>
            <w:r w:rsidRPr="00A02401">
              <w:rPr>
                <w:b/>
                <w:bCs/>
                <w:color w:val="000000" w:themeColor="text1"/>
                <w:shd w:val="clear" w:color="auto" w:fill="FFFFFF"/>
              </w:rPr>
              <w:t>. Sašķidrinātās dabasgāzes pakalpojuma sniegšana</w:t>
            </w:r>
          </w:p>
          <w:p w14:paraId="54D32137" w14:textId="77777777" w:rsidR="007D72ED" w:rsidRPr="00A02401" w:rsidRDefault="007D72ED" w:rsidP="006C70E3">
            <w:pPr>
              <w:ind w:left="1440" w:firstLine="720"/>
              <w:jc w:val="both"/>
              <w:rPr>
                <w:b/>
                <w:bCs/>
                <w:color w:val="000000" w:themeColor="text1"/>
                <w:shd w:val="clear" w:color="auto" w:fill="FFFFFF"/>
              </w:rPr>
            </w:pPr>
          </w:p>
          <w:p w14:paraId="42AE2B39" w14:textId="77777777" w:rsidR="007D72ED" w:rsidRPr="00A02401" w:rsidRDefault="007D72ED" w:rsidP="006C70E3">
            <w:pPr>
              <w:jc w:val="both"/>
              <w:rPr>
                <w:color w:val="000000" w:themeColor="text1"/>
              </w:rPr>
            </w:pPr>
            <w:r w:rsidRPr="00A02401">
              <w:t>70</w:t>
            </w:r>
            <w:r w:rsidRPr="00A02401">
              <w:rPr>
                <w:vertAlign w:val="superscript"/>
              </w:rPr>
              <w:t>1</w:t>
            </w:r>
            <w:r w:rsidRPr="00A02401">
              <w:t>. Sašķidrinātās dabasgāzes sistēmas lietotāja dabasgāzes apgādes sistēma tiek pieslēgta sašķidrinātās dabasgāzes iekārtai, sašķidrinātās dabasgāzes sistēmas lietotājam un sašķidrinātās dabasgāzes sistēmas operatoram savstarpēji vienojoties.</w:t>
            </w:r>
            <w:r w:rsidRPr="00A02401">
              <w:rPr>
                <w:color w:val="000000" w:themeColor="text1"/>
              </w:rPr>
              <w:t>”</w:t>
            </w:r>
          </w:p>
          <w:p w14:paraId="379249F0" w14:textId="77777777" w:rsidR="007D72ED" w:rsidRPr="00A02401" w:rsidRDefault="007D72ED" w:rsidP="006C70E3">
            <w:pPr>
              <w:jc w:val="both"/>
            </w:pPr>
          </w:p>
        </w:tc>
        <w:tc>
          <w:tcPr>
            <w:tcW w:w="4278" w:type="dxa"/>
            <w:tcBorders>
              <w:top w:val="single" w:sz="4" w:space="0" w:color="auto"/>
              <w:left w:val="single" w:sz="6" w:space="0" w:color="000000"/>
              <w:bottom w:val="single" w:sz="6" w:space="0" w:color="000000"/>
              <w:right w:val="single" w:sz="6" w:space="0" w:color="000000"/>
            </w:tcBorders>
          </w:tcPr>
          <w:p w14:paraId="5A673D9D" w14:textId="77777777" w:rsidR="00823334" w:rsidRPr="00A02401" w:rsidRDefault="00823334" w:rsidP="006C70E3">
            <w:pPr>
              <w:pStyle w:val="naisc"/>
              <w:spacing w:before="60" w:after="60"/>
              <w:ind w:firstLine="5"/>
              <w:jc w:val="both"/>
              <w:rPr>
                <w:b/>
                <w:bCs/>
              </w:rPr>
            </w:pPr>
            <w:r w:rsidRPr="00A02401">
              <w:rPr>
                <w:b/>
                <w:bCs/>
              </w:rPr>
              <w:t>A</w:t>
            </w:r>
            <w:r>
              <w:rPr>
                <w:b/>
                <w:bCs/>
              </w:rPr>
              <w:t>kciju sabiedrība</w:t>
            </w:r>
            <w:r w:rsidRPr="00A02401">
              <w:rPr>
                <w:b/>
                <w:bCs/>
              </w:rPr>
              <w:t xml:space="preserve"> </w:t>
            </w:r>
            <w:r>
              <w:rPr>
                <w:b/>
                <w:bCs/>
              </w:rPr>
              <w:t>“</w:t>
            </w:r>
            <w:r w:rsidRPr="00A02401">
              <w:rPr>
                <w:b/>
                <w:bCs/>
              </w:rPr>
              <w:t>Conexus Baltic Grid</w:t>
            </w:r>
            <w:r>
              <w:rPr>
                <w:b/>
                <w:bCs/>
              </w:rPr>
              <w:t>”</w:t>
            </w:r>
          </w:p>
          <w:p w14:paraId="1F966FE3" w14:textId="3070A657" w:rsidR="007D72ED" w:rsidRPr="00A02401" w:rsidRDefault="007D72ED" w:rsidP="006C70E3">
            <w:pPr>
              <w:jc w:val="both"/>
              <w:rPr>
                <w:rFonts w:eastAsia="Calibri"/>
              </w:rPr>
            </w:pPr>
            <w:r w:rsidRPr="00A02401">
              <w:rPr>
                <w:rFonts w:eastAsia="Calibri"/>
              </w:rPr>
              <w:t>Noteikumu projektu piedāvāts papildināt ar 38.</w:t>
            </w:r>
            <w:r w:rsidRPr="00A02401">
              <w:rPr>
                <w:rFonts w:eastAsia="Calibri"/>
                <w:vertAlign w:val="superscript"/>
              </w:rPr>
              <w:t>1</w:t>
            </w:r>
            <w:r w:rsidRPr="00A02401">
              <w:rPr>
                <w:rFonts w:eastAsia="Calibri"/>
              </w:rPr>
              <w:t> punktu, paredzot, ka sašķidrinātās dabasgāzes sistēmas lietotāja dabasgāzes apgādes sistēma tiek pieslēgta sašķidrinātās dabasgāzes iekārtai, sašķidrinātās dabasgāzes sistēmas lietotājam un sašķidrinātās dabasgāzes sistēmas operatoram savstarpēji vienojoties.</w:t>
            </w:r>
          </w:p>
          <w:p w14:paraId="694F1D25" w14:textId="6E2C882B" w:rsidR="007D72ED" w:rsidRPr="00A02401" w:rsidRDefault="007D72ED" w:rsidP="006C70E3">
            <w:pPr>
              <w:jc w:val="both"/>
              <w:rPr>
                <w:rFonts w:eastAsia="Calibri"/>
              </w:rPr>
            </w:pPr>
            <w:r w:rsidRPr="00A02401">
              <w:rPr>
                <w:rFonts w:eastAsia="Calibri"/>
              </w:rPr>
              <w:t xml:space="preserve">Enerģētikas likuma 1. panta 44. punktā noteikts, ka sistēmas lietotājs ir fiziskā vai juridiskā persona, kas izmanto enerģijas pārvades vai sadales sistēmas vai dabasgāzes uzglabāšanas vai sašķidrinātās </w:t>
            </w:r>
            <w:r w:rsidRPr="00A02401">
              <w:rPr>
                <w:rFonts w:eastAsia="Calibri"/>
              </w:rPr>
              <w:lastRenderedPageBreak/>
              <w:t>dabasgāzes pakalpojumus. Lasot Enerģētikas likuma 1. panta 44. punktu kopsakarā ar Enerģētikas likuma 6. panta pirmo daļu, situācijā, ja no sašķidrinātās dabasgāzes iekārtas gāzveida stāvoklī pārvērstas sašķidrinātās dabasgāzes piegāde tiek veikta tieši uz lietotāja dabasgāzes apgādes sistēmu dabasgāzes izlietošanai, tad šis enerģijas lietotājs nav uzskatāms par sašķidrinātās dabasgāzes sistēmas lietotāju.</w:t>
            </w:r>
          </w:p>
          <w:p w14:paraId="1B1E11CD" w14:textId="7963E7A0" w:rsidR="007D72ED" w:rsidRPr="00A02401" w:rsidRDefault="007D72ED" w:rsidP="006C70E3">
            <w:pPr>
              <w:jc w:val="both"/>
              <w:rPr>
                <w:rFonts w:eastAsia="Calibri"/>
              </w:rPr>
            </w:pPr>
            <w:r w:rsidRPr="00A02401">
              <w:rPr>
                <w:rFonts w:eastAsia="Calibri"/>
              </w:rPr>
              <w:t>Par sašķidrinātās dabasgāzes sistēmas lietotāju ir uzskatāms tāds enerģijas lietotājs, kurš izmanto sašķidrinātās dabasgāzes pakalpojumu situācijā, ja sašķidrinātā dabasgāze ir pārvērsta gāzveida stāvoklī, ar mērķi to turpmāk piegādāt uz dabasgāzes pārvades sistēmu. Šādā gadījumā sašķidrinātās dabasgāzes sistēmas lietotāja tiesības, pienākumi un atbildība būs noteikti regulatora apstiprinātajos sašķidrinātās dabasgāzes sistēmas lietošanas noteikumos</w:t>
            </w:r>
            <w:r w:rsidRPr="00A02401">
              <w:rPr>
                <w:rFonts w:eastAsia="Calibri"/>
                <w:vertAlign w:val="superscript"/>
              </w:rPr>
              <w:footnoteReference w:id="3"/>
            </w:r>
            <w:r w:rsidRPr="00A02401">
              <w:rPr>
                <w:rFonts w:eastAsia="Calibri"/>
              </w:rPr>
              <w:t xml:space="preserve">, kā tas analoģiski jau ir paredzēts, piemēram, vienotajos pārvades sistēmas lietošanas noteikumos un Inčukalna pazemes gāzes krātuves lietošanas noteikumos. Līdzīgi kā minētajos infrastruktūras izmantošanas noteikumos, arī sašķidrinātās dabasgāzes sistēmas lietošanas noteikumos, kurus izstrādā sašķidrinātās dabasgāzes sistēmas </w:t>
            </w:r>
            <w:r w:rsidRPr="00A02401">
              <w:rPr>
                <w:rFonts w:eastAsia="Calibri"/>
              </w:rPr>
              <w:lastRenderedPageBreak/>
              <w:t>operators, nosakāma kārtība, kādā persona iesniedz pieteikumu sašķidrinātās dabasgāzes pakalpojuma tiesību iegūšanai un kādā tiek noslēgts sašķidrinātās dabasgāzes pakalpojuma līgums. No minētā izriet, ka sašķidrinātās dabasgāzes sistēmas lietotājs un sašķidrinātās dabasgāzes sistēmas operators vienojas par sašķidrinātās dabasgāzes pakalpojuma izmantošanu atbilstoši sašķidrinātās dabasgāzes sistēmas lietošanas noteikumos paredzētajai kārtībai.</w:t>
            </w:r>
          </w:p>
          <w:p w14:paraId="6B9D9486" w14:textId="08B9E974" w:rsidR="007D72ED" w:rsidRPr="00A02401" w:rsidRDefault="007D72ED" w:rsidP="006C70E3">
            <w:pPr>
              <w:spacing w:after="120"/>
              <w:jc w:val="both"/>
              <w:rPr>
                <w:rFonts w:eastAsia="Calibri"/>
              </w:rPr>
            </w:pPr>
            <w:r w:rsidRPr="00A02401">
              <w:rPr>
                <w:rFonts w:eastAsia="Calibri"/>
              </w:rPr>
              <w:t>Sabiedrība iebilst pret piedāvāto 38.</w:t>
            </w:r>
            <w:r w:rsidRPr="00A02401">
              <w:rPr>
                <w:rFonts w:eastAsia="Calibri"/>
                <w:vertAlign w:val="superscript"/>
              </w:rPr>
              <w:t>1</w:t>
            </w:r>
            <w:r w:rsidRPr="00A02401">
              <w:rPr>
                <w:rFonts w:eastAsia="Calibri"/>
              </w:rPr>
              <w:t xml:space="preserve"> punkta redakciju un lūdz noteikt, ka lietotāja dabasgāzes apgādes sistēma var tikt pieslēgta sašķidrinātās dabasgāzes iekārtai uz vienošanās pamata ar sašķidrinātās dabasgāzes iekārtas pārvaldītāju, kas nav sašķidrinātās dabasgāzes sistēmas operators. </w:t>
            </w:r>
          </w:p>
          <w:p w14:paraId="5D7243CB" w14:textId="039F9B9E" w:rsidR="007D72ED" w:rsidRPr="00A02401" w:rsidRDefault="007D72ED" w:rsidP="006C70E3">
            <w:pPr>
              <w:spacing w:after="120"/>
              <w:jc w:val="both"/>
              <w:rPr>
                <w:rFonts w:eastAsia="Calibri"/>
              </w:rPr>
            </w:pPr>
          </w:p>
          <w:p w14:paraId="1D21B0DA" w14:textId="2A25AD2A" w:rsidR="007D72ED" w:rsidRPr="00A02401" w:rsidRDefault="007D72ED" w:rsidP="006C70E3">
            <w:pPr>
              <w:spacing w:after="120"/>
              <w:jc w:val="both"/>
              <w:rPr>
                <w:rFonts w:eastAsia="Calibri"/>
                <w:b/>
                <w:bCs/>
              </w:rPr>
            </w:pPr>
            <w:r w:rsidRPr="00A02401">
              <w:rPr>
                <w:rFonts w:eastAsia="Calibri"/>
                <w:b/>
                <w:bCs/>
              </w:rPr>
              <w:t>SPRK</w:t>
            </w:r>
          </w:p>
          <w:p w14:paraId="025EE9DA" w14:textId="795C8EF8" w:rsidR="007D72ED" w:rsidRPr="00A02401" w:rsidRDefault="007D72ED" w:rsidP="006C70E3">
            <w:pPr>
              <w:spacing w:after="120"/>
              <w:jc w:val="both"/>
              <w:rPr>
                <w:rFonts w:eastAsia="Calibri"/>
              </w:rPr>
            </w:pPr>
            <w:r w:rsidRPr="00A02401">
              <w:rPr>
                <w:rFonts w:eastAsia="Calibri"/>
              </w:rPr>
              <w:t>Noteikumu projekta 5.punktā paredzētā Ministru kabineta 2017.gada 7.februāra noteikumu Nr.78 “Dabasgāzes tirdzniecības un lietošanas noteikumi” (turpmāk – Noteikumi) 38.</w:t>
            </w:r>
            <w:r w:rsidRPr="005A71EA">
              <w:rPr>
                <w:rFonts w:eastAsia="Calibri"/>
                <w:vertAlign w:val="superscript"/>
              </w:rPr>
              <w:t>1</w:t>
            </w:r>
            <w:r w:rsidRPr="00A02401">
              <w:rPr>
                <w:rFonts w:eastAsia="Calibri"/>
              </w:rPr>
              <w:t>punkta redakcija nav pilnīga un līdz ar to nav saprotama. Regulators rosina minēto punktu izteikt šādā redakcijā:</w:t>
            </w:r>
          </w:p>
          <w:p w14:paraId="022B5A14" w14:textId="5F3DB239" w:rsidR="007D72ED" w:rsidRPr="000E00A7" w:rsidRDefault="007D72ED" w:rsidP="000E00A7">
            <w:pPr>
              <w:spacing w:after="120"/>
              <w:jc w:val="both"/>
              <w:rPr>
                <w:rFonts w:eastAsia="Calibri"/>
              </w:rPr>
            </w:pPr>
            <w:r w:rsidRPr="00A02401">
              <w:rPr>
                <w:rFonts w:eastAsia="Calibri"/>
              </w:rPr>
              <w:lastRenderedPageBreak/>
              <w:t>“38.</w:t>
            </w:r>
            <w:r w:rsidRPr="00A02401">
              <w:rPr>
                <w:rFonts w:eastAsia="Calibri"/>
                <w:vertAlign w:val="superscript"/>
              </w:rPr>
              <w:t>1</w:t>
            </w:r>
            <w:r w:rsidRPr="00A02401">
              <w:rPr>
                <w:rFonts w:eastAsia="Calibri"/>
              </w:rPr>
              <w:t xml:space="preserve"> Ja sašķidrinātās dabasgāzes sistēmas lietotāja dabasgāzes apgādes sistēma tiek tieši pieslēgta sašķidrinātās dabasgāzes iekārtai, sašķidrinātās dabasgāzes sistēmas lietotājs un sašķidrinātās dabasgāzes sistēmas operators savstarpēji vienojas par nosacījumiem minēto sistēmu savienošanai un sašķidrinātās dabasgāzes pakalpojuma sniegšanai.”</w:t>
            </w:r>
          </w:p>
        </w:tc>
        <w:tc>
          <w:tcPr>
            <w:tcW w:w="3260" w:type="dxa"/>
            <w:gridSpan w:val="2"/>
            <w:tcBorders>
              <w:top w:val="single" w:sz="4" w:space="0" w:color="auto"/>
              <w:left w:val="single" w:sz="6" w:space="0" w:color="000000"/>
              <w:bottom w:val="single" w:sz="6" w:space="0" w:color="000000"/>
              <w:right w:val="single" w:sz="6" w:space="0" w:color="000000"/>
            </w:tcBorders>
          </w:tcPr>
          <w:p w14:paraId="0BEF577A" w14:textId="6D5D969D" w:rsidR="007D72ED" w:rsidRPr="00A02401" w:rsidRDefault="007D72ED" w:rsidP="006C70E3">
            <w:pPr>
              <w:pStyle w:val="naisc"/>
              <w:spacing w:before="60" w:after="60"/>
              <w:ind w:firstLine="5"/>
              <w:jc w:val="both"/>
              <w:rPr>
                <w:b/>
              </w:rPr>
            </w:pPr>
            <w:r w:rsidRPr="00A02401">
              <w:rPr>
                <w:b/>
              </w:rPr>
              <w:lastRenderedPageBreak/>
              <w:t>Ņemts vērā.</w:t>
            </w:r>
          </w:p>
          <w:p w14:paraId="0A19DEAE" w14:textId="77777777" w:rsidR="007D72ED" w:rsidRPr="00A02401" w:rsidRDefault="007D72ED" w:rsidP="006C70E3">
            <w:pPr>
              <w:pStyle w:val="naisc"/>
              <w:spacing w:before="60" w:after="60"/>
              <w:ind w:firstLine="5"/>
              <w:jc w:val="both"/>
              <w:rPr>
                <w:b/>
              </w:rPr>
            </w:pPr>
          </w:p>
          <w:p w14:paraId="40306605" w14:textId="3A98D54F" w:rsidR="007D72ED" w:rsidRPr="00A02401" w:rsidRDefault="007D72ED" w:rsidP="006C70E3">
            <w:pPr>
              <w:pStyle w:val="naisc"/>
              <w:spacing w:before="60" w:after="60"/>
              <w:ind w:firstLine="5"/>
              <w:jc w:val="both"/>
              <w:rPr>
                <w:bCs/>
              </w:rPr>
            </w:pPr>
            <w:r w:rsidRPr="00A02401">
              <w:rPr>
                <w:bCs/>
              </w:rPr>
              <w:t>Ministrija skaidro, ka šī norma ir attiecināma tikai uz gadījumiem, kad sašķidrinātās dabasgāzes pakalpojums tiek veikts ar turpmākai piegādei enerģijas lietotājam. Jo gadījumos, kad pakalpojums tiks sniegts turpmākai piegādei pārvades tīklā, pakalpojumu regulēs SPRK izdoti noteikumi. Sīkāks skaidrojums ir ietverts anotācijā, kā arī atbilstoši precizēts projekts.</w:t>
            </w:r>
          </w:p>
          <w:p w14:paraId="4DFB4A5E" w14:textId="77777777" w:rsidR="007D72ED" w:rsidRPr="00A02401" w:rsidRDefault="007D72ED" w:rsidP="006C70E3">
            <w:pPr>
              <w:pStyle w:val="NoSpacing"/>
              <w:ind w:firstLine="0"/>
              <w:rPr>
                <w:rFonts w:cstheme="minorHAnsi"/>
                <w:color w:val="000000"/>
                <w:sz w:val="24"/>
                <w:szCs w:val="24"/>
                <w:shd w:val="clear" w:color="auto" w:fill="FDFCFD"/>
              </w:rPr>
            </w:pPr>
            <w:r w:rsidRPr="00A02401">
              <w:rPr>
                <w:rFonts w:cstheme="minorHAnsi"/>
                <w:color w:val="000000"/>
                <w:sz w:val="24"/>
                <w:szCs w:val="24"/>
                <w:shd w:val="clear" w:color="auto" w:fill="FDFCFD"/>
              </w:rPr>
              <w:t xml:space="preserve">Jautājums par sašķidrinātās </w:t>
            </w:r>
            <w:r w:rsidRPr="00A02401">
              <w:rPr>
                <w:rFonts w:cstheme="minorHAnsi"/>
                <w:color w:val="000000"/>
                <w:sz w:val="24"/>
                <w:szCs w:val="24"/>
                <w:shd w:val="clear" w:color="auto" w:fill="FDFCFD"/>
              </w:rPr>
              <w:lastRenderedPageBreak/>
              <w:t>dabasgāzes termināļa definīciju tiks skatīts kontekstā ar Enerģētikas likuma grozījumiem, jo Noteikumu projekts nevar sašaurināt likumā noteikto definīciju un deleģējumu.</w:t>
            </w:r>
          </w:p>
          <w:p w14:paraId="16C63C12" w14:textId="77777777" w:rsidR="007D72ED" w:rsidRPr="00A02401" w:rsidRDefault="007D72ED" w:rsidP="006C70E3">
            <w:pPr>
              <w:pStyle w:val="naisc"/>
              <w:spacing w:before="60" w:after="60"/>
              <w:ind w:firstLine="5"/>
              <w:jc w:val="both"/>
              <w:rPr>
                <w:bCs/>
              </w:rPr>
            </w:pPr>
          </w:p>
          <w:p w14:paraId="542B6C3C" w14:textId="6E6F5583" w:rsidR="007D72ED" w:rsidRPr="00A02401" w:rsidRDefault="007D72ED" w:rsidP="006C70E3">
            <w:pPr>
              <w:pStyle w:val="naisc"/>
              <w:spacing w:before="60" w:after="60"/>
              <w:ind w:firstLine="5"/>
              <w:jc w:val="both"/>
              <w:rPr>
                <w:bCs/>
              </w:rPr>
            </w:pPr>
          </w:p>
        </w:tc>
        <w:tc>
          <w:tcPr>
            <w:tcW w:w="2951" w:type="dxa"/>
            <w:tcBorders>
              <w:top w:val="single" w:sz="4" w:space="0" w:color="auto"/>
              <w:left w:val="single" w:sz="4" w:space="0" w:color="auto"/>
              <w:bottom w:val="single" w:sz="4" w:space="0" w:color="auto"/>
            </w:tcBorders>
          </w:tcPr>
          <w:p w14:paraId="4786403C" w14:textId="77777777" w:rsidR="007D72ED" w:rsidRPr="00A02401" w:rsidRDefault="007D72ED" w:rsidP="006C70E3">
            <w:pPr>
              <w:jc w:val="both"/>
            </w:pPr>
            <w:r w:rsidRPr="00A02401">
              <w:lastRenderedPageBreak/>
              <w:t xml:space="preserve">7. Izteikt III.nodaļu jaunā redakcijā: </w:t>
            </w:r>
          </w:p>
          <w:p w14:paraId="045B1C96" w14:textId="77777777" w:rsidR="007D72ED" w:rsidRPr="00A02401" w:rsidRDefault="007D72ED" w:rsidP="006C70E3">
            <w:pPr>
              <w:ind w:firstLine="720"/>
              <w:jc w:val="both"/>
            </w:pPr>
          </w:p>
          <w:p w14:paraId="3664515A" w14:textId="77777777" w:rsidR="007D72ED" w:rsidRPr="00A02401" w:rsidRDefault="007D72ED" w:rsidP="006C70E3">
            <w:pPr>
              <w:ind w:firstLine="720"/>
              <w:jc w:val="both"/>
            </w:pPr>
            <w:r w:rsidRPr="00A02401">
              <w:t>“III. Dabasgāzes tirdzniecība, piegāde un sašķidrinātās dabasgāzes pakalpojuma sniegšana”.</w:t>
            </w:r>
          </w:p>
          <w:p w14:paraId="4191BFA3" w14:textId="77777777" w:rsidR="007D72ED" w:rsidRPr="00A02401" w:rsidRDefault="007D72ED" w:rsidP="006C70E3">
            <w:pPr>
              <w:rPr>
                <w:rFonts w:ascii="Segoe UI" w:hAnsi="Segoe UI" w:cs="Segoe UI"/>
              </w:rPr>
            </w:pPr>
          </w:p>
          <w:p w14:paraId="0F71B72B" w14:textId="77777777" w:rsidR="007D72ED" w:rsidRPr="00A02401" w:rsidRDefault="007D72ED" w:rsidP="006C70E3">
            <w:pPr>
              <w:jc w:val="both"/>
            </w:pPr>
            <w:r w:rsidRPr="00A02401">
              <w:t>8. Papildināt noteikumus ar 38</w:t>
            </w:r>
            <w:r w:rsidRPr="00A02401">
              <w:rPr>
                <w:vertAlign w:val="superscript"/>
              </w:rPr>
              <w:t>1</w:t>
            </w:r>
            <w:r w:rsidRPr="00A02401">
              <w:t>. punktu šādā redakcijā:</w:t>
            </w:r>
          </w:p>
          <w:p w14:paraId="188CB621" w14:textId="77777777" w:rsidR="007D72ED" w:rsidRPr="00A02401" w:rsidRDefault="007D72ED" w:rsidP="006C70E3">
            <w:pPr>
              <w:ind w:firstLine="720"/>
              <w:jc w:val="both"/>
            </w:pPr>
          </w:p>
          <w:p w14:paraId="6933CABB" w14:textId="77777777" w:rsidR="007D72ED" w:rsidRPr="00A02401" w:rsidRDefault="007D72ED" w:rsidP="006C70E3">
            <w:pPr>
              <w:ind w:firstLine="720"/>
              <w:jc w:val="both"/>
              <w:rPr>
                <w:rFonts w:cstheme="minorBidi"/>
                <w:lang w:eastAsia="en-US"/>
              </w:rPr>
            </w:pPr>
            <w:r w:rsidRPr="00A02401">
              <w:t>“38</w:t>
            </w:r>
            <w:r w:rsidRPr="00A02401">
              <w:rPr>
                <w:vertAlign w:val="superscript"/>
              </w:rPr>
              <w:t>1</w:t>
            </w:r>
            <w:r w:rsidRPr="00A02401">
              <w:t>. Ja s</w:t>
            </w:r>
            <w:r w:rsidRPr="00A02401">
              <w:rPr>
                <w:color w:val="000000"/>
                <w:shd w:val="clear" w:color="auto" w:fill="FFFFFF"/>
              </w:rPr>
              <w:t xml:space="preserve">ašķidrinātās dabasgāzes sistēmas lietotāja dabasgāzes apgādes sistēma tiek tieši pieslēgta sašķidrinātās dabasgāzes iekārtai, sašķidrinātās </w:t>
            </w:r>
            <w:r w:rsidRPr="00A02401">
              <w:rPr>
                <w:color w:val="000000"/>
                <w:shd w:val="clear" w:color="auto" w:fill="FFFFFF"/>
              </w:rPr>
              <w:lastRenderedPageBreak/>
              <w:t>dabasgāzes sistēmas lietotājs un sašķidrinātās dabasgāzes sistēmas operators savstarpēji vienojas par nosacījumiem minēto sistēmu savienošanai un sašķidrinātās dabasgāzes pakalpojuma sniegšanai.”</w:t>
            </w:r>
          </w:p>
          <w:p w14:paraId="20E411C4" w14:textId="35FD85C6" w:rsidR="007D72ED" w:rsidRPr="00A02401" w:rsidRDefault="007D72ED" w:rsidP="006C70E3">
            <w:pPr>
              <w:jc w:val="both"/>
            </w:pPr>
          </w:p>
        </w:tc>
      </w:tr>
      <w:tr w:rsidR="007D72ED" w:rsidRPr="00A02401" w14:paraId="2858F943" w14:textId="77777777" w:rsidTr="007D72ED">
        <w:tc>
          <w:tcPr>
            <w:tcW w:w="675" w:type="dxa"/>
            <w:tcBorders>
              <w:top w:val="single" w:sz="4" w:space="0" w:color="auto"/>
              <w:left w:val="single" w:sz="6" w:space="0" w:color="000000"/>
              <w:bottom w:val="single" w:sz="6" w:space="0" w:color="000000"/>
              <w:right w:val="single" w:sz="6" w:space="0" w:color="000000"/>
            </w:tcBorders>
          </w:tcPr>
          <w:p w14:paraId="68DE3FCB" w14:textId="6D06EFCD" w:rsidR="007D72ED" w:rsidRPr="00A02401" w:rsidRDefault="007D72ED" w:rsidP="006C70E3">
            <w:pPr>
              <w:pStyle w:val="naisc"/>
              <w:spacing w:before="60" w:after="60"/>
              <w:jc w:val="both"/>
            </w:pPr>
            <w:r w:rsidRPr="00A02401">
              <w:lastRenderedPageBreak/>
              <w:t>10.</w:t>
            </w:r>
          </w:p>
        </w:tc>
        <w:tc>
          <w:tcPr>
            <w:tcW w:w="3119" w:type="dxa"/>
            <w:gridSpan w:val="2"/>
            <w:tcBorders>
              <w:top w:val="single" w:sz="4" w:space="0" w:color="auto"/>
              <w:left w:val="single" w:sz="6" w:space="0" w:color="000000"/>
              <w:bottom w:val="single" w:sz="6" w:space="0" w:color="000000"/>
              <w:right w:val="single" w:sz="6" w:space="0" w:color="000000"/>
            </w:tcBorders>
          </w:tcPr>
          <w:p w14:paraId="6B330974" w14:textId="77777777" w:rsidR="007D72ED" w:rsidRPr="00A02401" w:rsidRDefault="007D72ED" w:rsidP="006C70E3">
            <w:pPr>
              <w:jc w:val="both"/>
            </w:pPr>
            <w:r w:rsidRPr="00A02401">
              <w:t>5. Izteikt 64.punktu šādā redakcijā:</w:t>
            </w:r>
          </w:p>
          <w:p w14:paraId="1FFE8C5F" w14:textId="77777777" w:rsidR="007D72ED" w:rsidRPr="00A02401" w:rsidRDefault="007D72ED" w:rsidP="006C70E3">
            <w:pPr>
              <w:jc w:val="both"/>
            </w:pPr>
          </w:p>
          <w:p w14:paraId="035BDB47" w14:textId="77777777" w:rsidR="007D72ED" w:rsidRPr="00A02401" w:rsidRDefault="007D72ED" w:rsidP="000E00A7">
            <w:pPr>
              <w:spacing w:line="293" w:lineRule="atLeast"/>
              <w:jc w:val="both"/>
            </w:pPr>
            <w:r w:rsidRPr="00A02401">
              <w:t>“64. Dabasgāzes piegādi pēdējās garantētās piegādes pakalpojuma ietvaros uz laiku, kas nav ilgāks par trijiem kalendārajiem mēnešiem nodrošina:</w:t>
            </w:r>
          </w:p>
          <w:p w14:paraId="75F7E032" w14:textId="77777777" w:rsidR="007D72ED" w:rsidRPr="00A02401" w:rsidRDefault="007D72ED" w:rsidP="000E00A7">
            <w:pPr>
              <w:spacing w:line="293" w:lineRule="atLeast"/>
              <w:jc w:val="both"/>
            </w:pPr>
            <w:r w:rsidRPr="00A02401">
              <w:t>64.1. lietotājam, ja tam ir viens spēkā esošs dabasgāzes tirdzniecības līgums ar tirgotāju, kurš izbeidzis dabasgāzes tirdzniecību;</w:t>
            </w:r>
          </w:p>
          <w:p w14:paraId="4160E137" w14:textId="77777777" w:rsidR="007D72ED" w:rsidRPr="00A02401" w:rsidRDefault="007D72ED" w:rsidP="000E00A7">
            <w:pPr>
              <w:spacing w:line="293" w:lineRule="atLeast"/>
              <w:jc w:val="both"/>
            </w:pPr>
            <w:r w:rsidRPr="00A02401">
              <w:t xml:space="preserve">64.2. gazificētā objekta īpašniekam gadījumos, kad dabasgāzes tirgotājs ir izbeidzis līgumu ar lietotāju un lietotājs vai gazificētā objekta īpašnieks nav nodrošinājis iespēju sadales sistēmas operatoram pārtraukt </w:t>
            </w:r>
            <w:r w:rsidRPr="00A02401">
              <w:lastRenderedPageBreak/>
              <w:t>dabasgāzes padevi gazificētajā objektā, un par dabasgāzes piegādi attiecīgajā gazificētajā objektā nav noslēgts tirdzniecības līgums ar citu dabasgāzes tirgotāju.”.</w:t>
            </w:r>
          </w:p>
          <w:p w14:paraId="31424369" w14:textId="77777777" w:rsidR="007D72ED" w:rsidRPr="00A02401" w:rsidRDefault="007D72ED" w:rsidP="006C70E3">
            <w:pPr>
              <w:spacing w:line="293" w:lineRule="atLeast"/>
              <w:jc w:val="both"/>
              <w:rPr>
                <w:color w:val="000000" w:themeColor="text1"/>
              </w:rPr>
            </w:pPr>
          </w:p>
        </w:tc>
        <w:tc>
          <w:tcPr>
            <w:tcW w:w="4278" w:type="dxa"/>
            <w:tcBorders>
              <w:top w:val="single" w:sz="4" w:space="0" w:color="auto"/>
              <w:left w:val="single" w:sz="6" w:space="0" w:color="000000"/>
              <w:bottom w:val="single" w:sz="6" w:space="0" w:color="000000"/>
              <w:right w:val="single" w:sz="6" w:space="0" w:color="000000"/>
            </w:tcBorders>
          </w:tcPr>
          <w:p w14:paraId="002DCF95" w14:textId="18863996" w:rsidR="007D72ED" w:rsidRPr="00A02401" w:rsidRDefault="007D72ED" w:rsidP="006C70E3">
            <w:pPr>
              <w:pStyle w:val="naisc"/>
              <w:spacing w:before="60" w:after="60"/>
              <w:jc w:val="both"/>
              <w:rPr>
                <w:b/>
                <w:bCs/>
              </w:rPr>
            </w:pPr>
            <w:r w:rsidRPr="00A02401">
              <w:rPr>
                <w:b/>
                <w:bCs/>
              </w:rPr>
              <w:lastRenderedPageBreak/>
              <w:t>Latvijas Darba devēju konfederācija, A</w:t>
            </w:r>
            <w:r w:rsidR="008E4516">
              <w:rPr>
                <w:b/>
                <w:bCs/>
              </w:rPr>
              <w:t>kciju sabiedrība</w:t>
            </w:r>
            <w:r w:rsidRPr="00A02401">
              <w:rPr>
                <w:b/>
                <w:bCs/>
              </w:rPr>
              <w:t xml:space="preserve"> “Latvijas Gāze”</w:t>
            </w:r>
          </w:p>
          <w:p w14:paraId="79359630" w14:textId="7BE03512" w:rsidR="007D72ED" w:rsidRPr="00A02401" w:rsidRDefault="007D72ED" w:rsidP="006C70E3">
            <w:pPr>
              <w:jc w:val="both"/>
              <w:rPr>
                <w:rFonts w:cstheme="minorHAnsi"/>
                <w:bdr w:val="none" w:sz="0" w:space="0" w:color="auto" w:frame="1"/>
                <w:shd w:val="clear" w:color="auto" w:fill="FFFFFF"/>
                <w:lang w:eastAsia="en-US"/>
              </w:rPr>
            </w:pPr>
            <w:r w:rsidRPr="00A02401">
              <w:rPr>
                <w:rFonts w:cstheme="minorHAnsi"/>
                <w:bdr w:val="none" w:sz="0" w:space="0" w:color="auto" w:frame="1"/>
                <w:shd w:val="clear" w:color="auto" w:fill="FFFFFF"/>
                <w:lang w:eastAsia="en-US"/>
              </w:rPr>
              <w:t>Noteikumu projekts papildināts ar 2. un 5. punktu, kuros sniegta pedējās garantētās piegādes (turpmāk – PGP) pakalpojuma definīcija, noteikts šī pakalpojuma saņēmēju loks un noteikts laika posms, kurā pieļaujams sniegt šo pakalpojumu. Anotācijā norādīts, ka normas izstrādātas ar mērķi sakārtot normatīvo regulējumu, nodrošinātu sadales sistēmas operatora nošķirtību no dabasgāzes tirdzniecības un ražošanas, kā arī tiks tuvināts tā patiesajam mērķim un būtībai, pasargāt gazificēto objektu īpašniekus no nekontrolēta un nepamatota parāda pieauguma, kā arī veicinās dabasgāzes tirgotāju interesi iesaistīties PGP pakalpojuma sniegšanā.</w:t>
            </w:r>
          </w:p>
          <w:p w14:paraId="17CF9E42" w14:textId="77777777" w:rsidR="007D72ED" w:rsidRPr="00A02401" w:rsidRDefault="007D72ED" w:rsidP="006C70E3">
            <w:pPr>
              <w:contextualSpacing/>
              <w:jc w:val="both"/>
              <w:rPr>
                <w:rFonts w:cstheme="minorHAnsi"/>
                <w:bdr w:val="none" w:sz="0" w:space="0" w:color="auto" w:frame="1"/>
                <w:shd w:val="clear" w:color="auto" w:fill="FFFFFF"/>
                <w:lang w:eastAsia="en-US"/>
              </w:rPr>
            </w:pPr>
            <w:r w:rsidRPr="00A02401">
              <w:rPr>
                <w:rFonts w:cstheme="minorHAnsi"/>
                <w:bdr w:val="none" w:sz="0" w:space="0" w:color="auto" w:frame="1"/>
                <w:shd w:val="clear" w:color="auto" w:fill="FFFFFF"/>
                <w:lang w:eastAsia="en-US"/>
              </w:rPr>
              <w:t>AS “Latvijas Gāze” secina, ka ar normām šobrīd esošajā redakcijā nevar sasniegt anotācijā norādītos mērķus. Proti, no šīm normām nav saprotams:</w:t>
            </w:r>
          </w:p>
          <w:p w14:paraId="12F71655" w14:textId="77777777" w:rsidR="007D72ED" w:rsidRPr="00A02401" w:rsidRDefault="007D72ED" w:rsidP="006C70E3">
            <w:pPr>
              <w:pStyle w:val="ListParagraph"/>
              <w:numPr>
                <w:ilvl w:val="0"/>
                <w:numId w:val="23"/>
              </w:numPr>
              <w:spacing w:after="0" w:line="240" w:lineRule="auto"/>
              <w:jc w:val="both"/>
              <w:rPr>
                <w:rFonts w:ascii="Times New Roman" w:hAnsi="Times New Roman" w:cstheme="minorHAnsi"/>
                <w:sz w:val="24"/>
                <w:szCs w:val="24"/>
                <w:bdr w:val="none" w:sz="0" w:space="0" w:color="auto" w:frame="1"/>
                <w:shd w:val="clear" w:color="auto" w:fill="FFFFFF"/>
              </w:rPr>
            </w:pPr>
            <w:r w:rsidRPr="00A02401">
              <w:rPr>
                <w:rFonts w:ascii="Times New Roman" w:hAnsi="Times New Roman" w:cstheme="minorHAnsi"/>
                <w:sz w:val="24"/>
                <w:szCs w:val="24"/>
                <w:bdr w:val="none" w:sz="0" w:space="0" w:color="auto" w:frame="1"/>
                <w:shd w:val="clear" w:color="auto" w:fill="FFFFFF"/>
              </w:rPr>
              <w:lastRenderedPageBreak/>
              <w:t>kā sadales sistēmas operators tiks nošķirts no dabasgāzes tirdzniecības;</w:t>
            </w:r>
          </w:p>
          <w:p w14:paraId="2C2071E1" w14:textId="77777777" w:rsidR="007D72ED" w:rsidRPr="00A02401" w:rsidRDefault="007D72ED" w:rsidP="006C70E3">
            <w:pPr>
              <w:pStyle w:val="ListParagraph"/>
              <w:numPr>
                <w:ilvl w:val="0"/>
                <w:numId w:val="23"/>
              </w:numPr>
              <w:spacing w:after="0" w:line="240" w:lineRule="auto"/>
              <w:jc w:val="both"/>
              <w:rPr>
                <w:rFonts w:ascii="Times New Roman" w:hAnsi="Times New Roman" w:cstheme="minorHAnsi"/>
                <w:sz w:val="24"/>
                <w:szCs w:val="24"/>
                <w:bdr w:val="none" w:sz="0" w:space="0" w:color="auto" w:frame="1"/>
                <w:shd w:val="clear" w:color="auto" w:fill="FFFFFF"/>
              </w:rPr>
            </w:pPr>
            <w:r w:rsidRPr="00A02401">
              <w:rPr>
                <w:rFonts w:ascii="Times New Roman" w:hAnsi="Times New Roman" w:cstheme="minorHAnsi"/>
                <w:sz w:val="24"/>
                <w:szCs w:val="24"/>
                <w:bdr w:val="none" w:sz="0" w:space="0" w:color="auto" w:frame="1"/>
                <w:shd w:val="clear" w:color="auto" w:fill="FFFFFF"/>
              </w:rPr>
              <w:t>kuram, un uz kāda pamata un no kā pēc trīs mēnešiem būs jāatgūst samaksa par lietotāja patērēto dabasgāzi objektā;</w:t>
            </w:r>
          </w:p>
          <w:p w14:paraId="4896D22F" w14:textId="70C6DFD7" w:rsidR="007D72ED" w:rsidRPr="000E00A7" w:rsidRDefault="007D72ED" w:rsidP="006C70E3">
            <w:pPr>
              <w:pStyle w:val="ListParagraph"/>
              <w:numPr>
                <w:ilvl w:val="0"/>
                <w:numId w:val="23"/>
              </w:numPr>
              <w:spacing w:after="0" w:line="240" w:lineRule="auto"/>
              <w:jc w:val="both"/>
              <w:rPr>
                <w:rFonts w:ascii="Times New Roman" w:hAnsi="Times New Roman" w:cstheme="minorHAnsi"/>
                <w:sz w:val="24"/>
                <w:szCs w:val="24"/>
                <w:bdr w:val="none" w:sz="0" w:space="0" w:color="auto" w:frame="1"/>
                <w:shd w:val="clear" w:color="auto" w:fill="FFFFFF"/>
              </w:rPr>
            </w:pPr>
            <w:r w:rsidRPr="00A02401">
              <w:rPr>
                <w:rFonts w:ascii="Times New Roman" w:hAnsi="Times New Roman" w:cstheme="minorHAnsi"/>
                <w:sz w:val="24"/>
                <w:szCs w:val="24"/>
                <w:bdr w:val="none" w:sz="0" w:space="0" w:color="auto" w:frame="1"/>
                <w:shd w:val="clear" w:color="auto" w:fill="FFFFFF"/>
              </w:rPr>
              <w:t>kādā veidā gazificēto objektu īpašnieki tiks pasargāti no nekontrolēta un nepamatota parāda pieauguma.</w:t>
            </w:r>
          </w:p>
          <w:p w14:paraId="6B9C8E55" w14:textId="51E5283D" w:rsidR="007D72ED" w:rsidRPr="00A02401" w:rsidRDefault="007D72ED" w:rsidP="006C70E3">
            <w:pPr>
              <w:jc w:val="both"/>
              <w:rPr>
                <w:rFonts w:cstheme="minorHAnsi"/>
                <w:bdr w:val="none" w:sz="0" w:space="0" w:color="auto" w:frame="1"/>
                <w:shd w:val="clear" w:color="auto" w:fill="FFFFFF"/>
                <w:lang w:eastAsia="en-US"/>
              </w:rPr>
            </w:pPr>
            <w:r w:rsidRPr="00A02401">
              <w:rPr>
                <w:rFonts w:cstheme="minorHAnsi"/>
                <w:bdr w:val="none" w:sz="0" w:space="0" w:color="auto" w:frame="1"/>
                <w:shd w:val="clear" w:color="auto" w:fill="FFFFFF"/>
                <w:lang w:eastAsia="en-US"/>
              </w:rPr>
              <w:t xml:space="preserve">Pretējs loģikai un noteikumu 64.2. apakšpunktam ir anotācijā norādītais, ka “pēc PGP pakalpojuma termiņa beigām […] sadales sistēmas operatoram ir pienākums pārtraukt dabasgāzes piegādi”. Noteikumu projekta 64.2. apakšpunktā, par kuru sniegta anotācija, ir paredzēts pretējais - ka PGP pakalpojums tiks sniegts tādēļ, ka sadales sistēmas operatoram netiek nodrošināta piekļuve, un tas attiecīgi nevar pārtraukt dabasgāzes piegādi. Tiesību normā un anotācijā ir vienlaikus norādītas savstarpēji izslēdzošas sadales sistēmas operatora darbības. AS “Latvijas Gāze” iebilst pret noteikumu projekta 5.punktā ietverto, kamēr noteikumu projekts nerisina tiesiskās attiecības ar lietotājiem pēc noteikumu projektā noteiktā trīs mēnešu notecējuma un nenosaka, kurām no dabasgāzes piegādē un tirdzniecībā iesaistītām personām, kādas </w:t>
            </w:r>
            <w:r w:rsidRPr="00A02401">
              <w:rPr>
                <w:rFonts w:cstheme="minorHAnsi"/>
                <w:bdr w:val="none" w:sz="0" w:space="0" w:color="auto" w:frame="1"/>
                <w:shd w:val="clear" w:color="auto" w:fill="FFFFFF"/>
                <w:lang w:eastAsia="en-US"/>
              </w:rPr>
              <w:lastRenderedPageBreak/>
              <w:t>darbības jāveic, kādi būs to pienākumi, tiesības un atbildība.</w:t>
            </w:r>
          </w:p>
          <w:p w14:paraId="700D3BDA" w14:textId="77777777" w:rsidR="007D72ED" w:rsidRPr="00A02401" w:rsidRDefault="007D72ED" w:rsidP="006C70E3">
            <w:pPr>
              <w:contextualSpacing/>
              <w:jc w:val="both"/>
              <w:rPr>
                <w:rFonts w:cstheme="minorHAnsi"/>
                <w:bdr w:val="none" w:sz="0" w:space="0" w:color="auto" w:frame="1"/>
                <w:shd w:val="clear" w:color="auto" w:fill="FFFFFF"/>
                <w:lang w:eastAsia="en-US"/>
              </w:rPr>
            </w:pPr>
            <w:r w:rsidRPr="00A02401">
              <w:rPr>
                <w:rFonts w:cstheme="minorHAnsi"/>
                <w:bdr w:val="none" w:sz="0" w:space="0" w:color="auto" w:frame="1"/>
                <w:shd w:val="clear" w:color="auto" w:fill="FFFFFF"/>
                <w:lang w:eastAsia="en-US"/>
              </w:rPr>
              <w:t>AS “Latvijas Gāze” iebilst pret noteikumu projekta 64.2. apakšpunktā lietoto formulējumu: “gadījumos, kad dabasgāzes tirgotājs ir izbeidzis līgumu”, jo tas neatbilst noteikumu projekta 2.6. apakšpunktā sniegtajam PGP pakalpojuma skaidrojumam, proti, ka “dabasgāze gazificētajā objektā tiek lietota bez spēkā esoša dabasgāzes tirdzniecības līguma”. Tirdzniecības līguma izbeigšana no tirgotāja puses neaptver visus civiltiesiskos gadījumus, kuros dabasgāzes tirdzniecības līgums var kļūt par spēkā neesošu. AS ‘’Latvijas Gāze” izsaka priekšlikumu izmantot vienveidīgu formulējumu un noteikumu projekta 64.2.apakšpunktu precizēt, izsakot to šādā redakcijā:</w:t>
            </w:r>
          </w:p>
          <w:p w14:paraId="030AEF35" w14:textId="2DE8AA97" w:rsidR="007D72ED" w:rsidRPr="00A02401" w:rsidRDefault="007D72ED" w:rsidP="006C70E3">
            <w:pPr>
              <w:contextualSpacing/>
              <w:jc w:val="both"/>
              <w:rPr>
                <w:rFonts w:cstheme="minorHAnsi"/>
                <w:bdr w:val="none" w:sz="0" w:space="0" w:color="auto" w:frame="1"/>
                <w:shd w:val="clear" w:color="auto" w:fill="FFFFFF"/>
                <w:lang w:eastAsia="en-US"/>
              </w:rPr>
            </w:pPr>
            <w:r w:rsidRPr="00A02401">
              <w:rPr>
                <w:rFonts w:cstheme="minorHAnsi"/>
                <w:bdr w:val="none" w:sz="0" w:space="0" w:color="auto" w:frame="1"/>
                <w:shd w:val="clear" w:color="auto" w:fill="FFFFFF"/>
                <w:lang w:eastAsia="en-US"/>
              </w:rPr>
              <w:t>“62.2. gazificētā objekta īpašniekam, ja dabasgāze gazificētajā objektā tiek lietota bez spēkā esoša dabasgāzes tirdzniecības līguma un lietotājs vai gazificētā objekta īpašnieks nav nodrošinājis iespēju sadales sistēmas operatoram pārtraukt dabasgāzes padevi gazificētajā objektā.”</w:t>
            </w:r>
          </w:p>
          <w:p w14:paraId="4790838D" w14:textId="2984CED3" w:rsidR="007D72ED" w:rsidRPr="00A02401" w:rsidRDefault="007D72ED" w:rsidP="006C70E3">
            <w:pPr>
              <w:contextualSpacing/>
              <w:jc w:val="both"/>
              <w:rPr>
                <w:rFonts w:cstheme="minorHAnsi"/>
                <w:bdr w:val="none" w:sz="0" w:space="0" w:color="auto" w:frame="1"/>
                <w:shd w:val="clear" w:color="auto" w:fill="FFFFFF"/>
                <w:lang w:eastAsia="en-US"/>
              </w:rPr>
            </w:pPr>
            <w:r w:rsidRPr="00A02401">
              <w:rPr>
                <w:rFonts w:cstheme="minorHAnsi"/>
                <w:bdr w:val="none" w:sz="0" w:space="0" w:color="auto" w:frame="1"/>
                <w:shd w:val="clear" w:color="auto" w:fill="FFFFFF"/>
                <w:lang w:eastAsia="en-US"/>
              </w:rPr>
              <w:t xml:space="preserve">AS “Latvijas Gāze” secina, ka PGP pakalpojuma ilglaicīga saņemšana ir saistīta ar to, ka starp lietotājiem, kuri ir noslēguši līgumu, un PGP pakalpojuma saņēmējiem nav piegādātās preces cenas atšķirības. Tādejādi PGP pakalpojuma </w:t>
            </w:r>
            <w:r w:rsidRPr="00A02401">
              <w:rPr>
                <w:rFonts w:cstheme="minorHAnsi"/>
                <w:bdr w:val="none" w:sz="0" w:space="0" w:color="auto" w:frame="1"/>
                <w:shd w:val="clear" w:color="auto" w:fill="FFFFFF"/>
                <w:lang w:eastAsia="en-US"/>
              </w:rPr>
              <w:lastRenderedPageBreak/>
              <w:t xml:space="preserve">saņēmēji nekādi nav ieinteresēti noslēgt dabasgāzes tirdzniecības līgumu, jo atbilstoši Noteikumu 66.1.apakšpunktam arī bez noslēgta līguma dabasgāzi saņem par tādu pašu cenu, kāda ir lietotājiem, kuri dabasgāzes tirdzniecības līgumu ir noslēguši. </w:t>
            </w:r>
          </w:p>
          <w:p w14:paraId="1DE317FD" w14:textId="01762EA9" w:rsidR="007D72ED" w:rsidRPr="00A02401" w:rsidRDefault="007D72ED" w:rsidP="006C70E3">
            <w:pPr>
              <w:contextualSpacing/>
              <w:jc w:val="both"/>
              <w:rPr>
                <w:rFonts w:cstheme="minorHAnsi"/>
                <w:bdr w:val="none" w:sz="0" w:space="0" w:color="auto" w:frame="1"/>
                <w:shd w:val="clear" w:color="auto" w:fill="FFFFFF"/>
                <w:lang w:eastAsia="en-US"/>
              </w:rPr>
            </w:pPr>
            <w:r w:rsidRPr="00A02401">
              <w:rPr>
                <w:rFonts w:cstheme="minorHAnsi"/>
                <w:bdr w:val="none" w:sz="0" w:space="0" w:color="auto" w:frame="1"/>
                <w:shd w:val="clear" w:color="auto" w:fill="FFFFFF"/>
                <w:lang w:eastAsia="en-US"/>
              </w:rPr>
              <w:t>Anotācijā noteiktā mērķa - nodrošināt sadales sistēmas operatora nošķirtību no dabasgāzes tirdzniecības un veicināt dabasgāzes tirgotāju interesi iesaistīties PGP pakalpojuma sniegšanā - sasniegšanai, izsakām priekšlikumu papildināt  Noteikumus ar 66.1 punktu šādā redakcijā:</w:t>
            </w:r>
          </w:p>
          <w:p w14:paraId="4BFD12A2" w14:textId="6E45A920" w:rsidR="007D72ED" w:rsidRPr="00A02401" w:rsidRDefault="007D72ED" w:rsidP="006C70E3">
            <w:pPr>
              <w:contextualSpacing/>
              <w:jc w:val="both"/>
              <w:rPr>
                <w:rFonts w:cstheme="minorHAnsi"/>
                <w:bdr w:val="none" w:sz="0" w:space="0" w:color="auto" w:frame="1"/>
                <w:shd w:val="clear" w:color="auto" w:fill="FFFFFF"/>
                <w:lang w:eastAsia="en-US"/>
              </w:rPr>
            </w:pPr>
            <w:r w:rsidRPr="00A02401">
              <w:rPr>
                <w:rFonts w:cstheme="minorHAnsi"/>
                <w:bdr w:val="none" w:sz="0" w:space="0" w:color="auto" w:frame="1"/>
                <w:shd w:val="clear" w:color="auto" w:fill="FFFFFF"/>
                <w:lang w:eastAsia="en-US"/>
              </w:rPr>
              <w:t xml:space="preserve">“66.1 Pēc trīs kalendāro mēnešu termiņa, dabasgāzi mājsaimniecības lietotājam pēdējās garantētās piegādes pakalpojuma ietvaros nodrošina publiskais tirgotājs par divkārt augstāku cenu, nekā tā saistītajiem lietotājiem noteikta </w:t>
            </w:r>
            <w:hyperlink r:id="rId8" w:tgtFrame="_blank" w:history="1">
              <w:r w:rsidRPr="00A02401">
                <w:rPr>
                  <w:rFonts w:cstheme="minorHAnsi"/>
                  <w:bdr w:val="none" w:sz="0" w:space="0" w:color="auto" w:frame="1"/>
                  <w:shd w:val="clear" w:color="auto" w:fill="FFFFFF"/>
                  <w:lang w:eastAsia="en-US"/>
                </w:rPr>
                <w:t>Enerģētikas likumā</w:t>
              </w:r>
            </w:hyperlink>
            <w:r w:rsidRPr="00A02401">
              <w:rPr>
                <w:rFonts w:cstheme="minorHAnsi"/>
                <w:bdr w:val="none" w:sz="0" w:space="0" w:color="auto" w:frame="1"/>
                <w:shd w:val="clear" w:color="auto" w:fill="FFFFFF"/>
                <w:lang w:eastAsia="en-US"/>
              </w:rPr>
              <w:t xml:space="preserve"> noteiktajā kārtībā”</w:t>
            </w:r>
          </w:p>
          <w:p w14:paraId="661C7418" w14:textId="5B768E80" w:rsidR="007D72ED" w:rsidRPr="00A02401" w:rsidRDefault="007D72ED" w:rsidP="006C70E3">
            <w:pPr>
              <w:contextualSpacing/>
              <w:jc w:val="both"/>
              <w:rPr>
                <w:rFonts w:cstheme="minorHAnsi"/>
                <w:bdr w:val="none" w:sz="0" w:space="0" w:color="auto" w:frame="1"/>
                <w:shd w:val="clear" w:color="auto" w:fill="FFFFFF"/>
                <w:lang w:eastAsia="en-US"/>
              </w:rPr>
            </w:pPr>
            <w:r w:rsidRPr="00A02401">
              <w:rPr>
                <w:rFonts w:cstheme="minorHAnsi"/>
                <w:bdr w:val="none" w:sz="0" w:space="0" w:color="auto" w:frame="1"/>
                <w:shd w:val="clear" w:color="auto" w:fill="FFFFFF"/>
                <w:lang w:eastAsia="en-US"/>
              </w:rPr>
              <w:t>Šādas normas esamība ekonomiski stimulētu lietotājus un īpašniekus izvēlēties slēgt dabasgāzes tirdzniecības līgumu ar dabasgāzes tirgotājiem un risinātu anotācijā norādītās ilglaicīgas PGP pakalpojuma saņemšanas problemātiku, nodrošinātu sadales sistēmas operatora nošķirtību no dabasgāzes tirdzniecības un veicinātu dabasgāzes tirgotāju interesi iesaistīties PGP pakalpojuma sniegšanā.</w:t>
            </w:r>
          </w:p>
          <w:p w14:paraId="6C9EB0EE" w14:textId="41D2466D" w:rsidR="007D72ED" w:rsidRPr="00A02401" w:rsidRDefault="007D72ED" w:rsidP="006C70E3">
            <w:pPr>
              <w:jc w:val="both"/>
              <w:rPr>
                <w:rFonts w:cstheme="minorHAnsi"/>
                <w:bdr w:val="none" w:sz="0" w:space="0" w:color="auto" w:frame="1"/>
                <w:shd w:val="clear" w:color="auto" w:fill="FFFFFF"/>
                <w:lang w:eastAsia="en-US"/>
              </w:rPr>
            </w:pPr>
            <w:r w:rsidRPr="00A02401">
              <w:rPr>
                <w:rFonts w:cstheme="minorHAnsi"/>
                <w:bdr w:val="none" w:sz="0" w:space="0" w:color="auto" w:frame="1"/>
                <w:shd w:val="clear" w:color="auto" w:fill="FFFFFF"/>
                <w:lang w:eastAsia="en-US"/>
              </w:rPr>
              <w:lastRenderedPageBreak/>
              <w:t>Atbilstoši anotācijā norādītajam mērķim - sakārtot normatīvo regulējumu – AS “Latvijas Gāze” izsaka priekšlikumu novērst pretrunas PGP pakalpojuma tiesiskajā regulējumā kopumā. Šobrīd PGP pakalpojums dažādi un - vietām pretrunīgi tiek reglamentēts Noteikumu 2.26. apakšpunktā, 24., 42., 44. punktā, 46.4., 49.2.apakšpunktā un Noteikumu VI nodaļā, kā arī Enerģētikas likuma 45.panta 1.1 daļā, 107. un 109.pantā. Tikai noteikumu projektā norādīto normu precizēšana nenovērš pretrunas, kādas ir atrodamas iepriekš uzskaitītajās tiesību normās.</w:t>
            </w:r>
          </w:p>
          <w:p w14:paraId="3AE4A2E8" w14:textId="704A79EA" w:rsidR="00A02401" w:rsidRPr="00A02401" w:rsidRDefault="00A02401" w:rsidP="006C70E3">
            <w:pPr>
              <w:jc w:val="both"/>
              <w:rPr>
                <w:rFonts w:cstheme="minorHAnsi"/>
                <w:bdr w:val="none" w:sz="0" w:space="0" w:color="auto" w:frame="1"/>
                <w:shd w:val="clear" w:color="auto" w:fill="FFFFFF"/>
                <w:lang w:eastAsia="en-US"/>
              </w:rPr>
            </w:pPr>
          </w:p>
          <w:p w14:paraId="0BB6ADBE" w14:textId="77777777" w:rsidR="00A02401" w:rsidRPr="00A02401" w:rsidRDefault="00A02401" w:rsidP="006C70E3">
            <w:pPr>
              <w:spacing w:line="259" w:lineRule="auto"/>
              <w:jc w:val="both"/>
              <w:rPr>
                <w:b/>
                <w:bCs/>
                <w:color w:val="000000"/>
              </w:rPr>
            </w:pPr>
            <w:r w:rsidRPr="00A02401">
              <w:rPr>
                <w:b/>
                <w:bCs/>
                <w:color w:val="000000"/>
              </w:rPr>
              <w:t>Akciju sabiedrība “Gaso”</w:t>
            </w:r>
          </w:p>
          <w:p w14:paraId="7A3410E3" w14:textId="77777777" w:rsidR="00A02401" w:rsidRPr="00A02401" w:rsidRDefault="00A02401" w:rsidP="006C70E3">
            <w:pPr>
              <w:spacing w:line="259" w:lineRule="auto"/>
              <w:jc w:val="both"/>
              <w:rPr>
                <w:color w:val="000000"/>
              </w:rPr>
            </w:pPr>
            <w:r w:rsidRPr="00A02401">
              <w:rPr>
                <w:color w:val="000000"/>
              </w:rPr>
              <w:t>Var būt gadījumi, kad trīs mēnešu laikā lietotājs nevar paspēt nokārtot formalitātes, lai noslēgtu Dabasgāzes tirdzniecības līgumu (piemēram, mantojuma tiesību nostiprināšana), tādēļ ierosinām noteikt pēdējās garantētās piegādes pakalpojumu saņemšanai sešu mēnešu termiņu un 64.punktu izteikt šādā redakcijā:</w:t>
            </w:r>
          </w:p>
          <w:p w14:paraId="3A78BD84" w14:textId="77777777" w:rsidR="00A02401" w:rsidRPr="00A02401" w:rsidRDefault="00A02401" w:rsidP="00DD75BA">
            <w:pPr>
              <w:spacing w:line="293" w:lineRule="atLeast"/>
              <w:jc w:val="both"/>
              <w:rPr>
                <w:color w:val="000000"/>
              </w:rPr>
            </w:pPr>
            <w:r w:rsidRPr="00A02401">
              <w:rPr>
                <w:color w:val="000000"/>
              </w:rPr>
              <w:t>“64. Dabasgāzes piegādi pēdējās garantētās piegādes pakalpojuma ietvaros uz laiku, kas nav ilgāks par sešiem kalendārajiem mēnešiem nodrošina:</w:t>
            </w:r>
          </w:p>
          <w:p w14:paraId="450B3DE8" w14:textId="77777777" w:rsidR="00A02401" w:rsidRPr="00A02401" w:rsidRDefault="00A02401" w:rsidP="00DD75BA">
            <w:pPr>
              <w:spacing w:line="293" w:lineRule="atLeast"/>
              <w:jc w:val="both"/>
            </w:pPr>
            <w:r w:rsidRPr="00A02401">
              <w:rPr>
                <w:color w:val="000000"/>
              </w:rPr>
              <w:t xml:space="preserve">64.1. lietotājam, ja tam ir viens spēkā esošs dabasgāzes tirdzniecības līgums ar </w:t>
            </w:r>
            <w:r w:rsidRPr="00A02401">
              <w:rPr>
                <w:color w:val="000000"/>
              </w:rPr>
              <w:lastRenderedPageBreak/>
              <w:t xml:space="preserve">tirgotāju, kurš </w:t>
            </w:r>
            <w:r w:rsidRPr="00A02401">
              <w:t>izbeidzis dabasgāzes tirdzniecību;</w:t>
            </w:r>
          </w:p>
          <w:p w14:paraId="5B52B5A9" w14:textId="77777777" w:rsidR="00A02401" w:rsidRPr="00A02401" w:rsidRDefault="00A02401" w:rsidP="00DD75BA">
            <w:pPr>
              <w:spacing w:line="293" w:lineRule="atLeast"/>
              <w:jc w:val="both"/>
            </w:pPr>
            <w:r w:rsidRPr="00A02401">
              <w:t>64.2. gazificētā objekta īpašniekam gadījumos, kad dabasgāzes tirgotājs ir izbeidzis līgumu ar lietotāju un lietotājs vai gazificētā objekta īpašnieks nav nodrošinājis iespēju, sadales sistēmas operatoram pārtraukt dabasgāzes padevi gazificētajā objektā, un par dabasgāzes piegādi attiecīgajā gazificētajā objektā nav noslēgts tirdzniecības līgums ar citu dabasgāzes tirgotāju.”</w:t>
            </w:r>
          </w:p>
          <w:p w14:paraId="0F100012" w14:textId="77777777" w:rsidR="00A02401" w:rsidRPr="00A02401" w:rsidRDefault="00A02401" w:rsidP="006C70E3">
            <w:pPr>
              <w:spacing w:line="259" w:lineRule="auto"/>
              <w:jc w:val="both"/>
            </w:pPr>
            <w:r w:rsidRPr="00A02401">
              <w:t>Noteikumos nav atrunāta situācija, kas notiek ar lietotāju, ja dabasgāzes saņemšanas pēdējās garantētās piegādes ietvaros saņemta sešus mēnešus, taču lietotājs nav noslēdzis jaunu līgumu ar tirgotāju, kā arī pēdējās garantētās piegādes tirgotājs un lietotājs nav lūdzis sadales sistēmas operatoram atslēgt dabasgāzes padevi lietotāja gazificētajam objektam. Akciju sabiedrība “Gaso” ierosina papildināt noteikumus ar 64.</w:t>
            </w:r>
            <w:r w:rsidRPr="00A02401">
              <w:rPr>
                <w:vertAlign w:val="superscript"/>
              </w:rPr>
              <w:t>1</w:t>
            </w:r>
            <w:r w:rsidRPr="00A02401">
              <w:t xml:space="preserve"> 64.</w:t>
            </w:r>
            <w:r w:rsidRPr="00A02401">
              <w:rPr>
                <w:vertAlign w:val="superscript"/>
              </w:rPr>
              <w:t>2</w:t>
            </w:r>
            <w:r w:rsidRPr="00A02401">
              <w:t xml:space="preserve"> punktiem šādā redakcijā:</w:t>
            </w:r>
          </w:p>
          <w:p w14:paraId="73DF66B0" w14:textId="77777777" w:rsidR="00A02401" w:rsidRPr="00A02401" w:rsidRDefault="00A02401" w:rsidP="00DD75BA">
            <w:pPr>
              <w:spacing w:line="293" w:lineRule="atLeast"/>
              <w:jc w:val="both"/>
              <w:rPr>
                <w:color w:val="000000"/>
              </w:rPr>
            </w:pPr>
            <w:r w:rsidRPr="00A02401">
              <w:rPr>
                <w:color w:val="000000"/>
              </w:rPr>
              <w:t>“64.</w:t>
            </w:r>
            <w:r w:rsidRPr="00A02401">
              <w:rPr>
                <w:color w:val="000000"/>
                <w:vertAlign w:val="superscript"/>
              </w:rPr>
              <w:t>1</w:t>
            </w:r>
            <w:r w:rsidRPr="00A02401">
              <w:rPr>
                <w:color w:val="000000"/>
              </w:rPr>
              <w:t xml:space="preserve"> Ja, mājsaimniecības lietotājs, kurš saņem dabasgāzi, pēdējās garantētās piegādes ietvaros sešu mēnešu laikā nav noslēdzis dabasgāzes tirdzniecības līgumu ar kādu tirgotāju, un sadales sistēmas operators no pēdējās garantētās piegādes tirgotāja nav saņēmis pieteikumu </w:t>
            </w:r>
            <w:r w:rsidRPr="00A02401">
              <w:rPr>
                <w:color w:val="000000"/>
              </w:rPr>
              <w:lastRenderedPageBreak/>
              <w:t>dabasgāzes atslēgšanai, tad pēc sešiem mēnešiem šim lietotājam dabasgāzi turpina tirgot publiskais tirgotājs par dabasgāzes cenu saistītiem lietotājiem.”</w:t>
            </w:r>
          </w:p>
          <w:p w14:paraId="5C7357F6" w14:textId="77777777" w:rsidR="00A02401" w:rsidRPr="00A02401" w:rsidRDefault="00A02401" w:rsidP="00DD75BA">
            <w:pPr>
              <w:spacing w:line="293" w:lineRule="atLeast"/>
              <w:jc w:val="both"/>
              <w:rPr>
                <w:color w:val="000000"/>
              </w:rPr>
            </w:pPr>
            <w:r w:rsidRPr="00A02401">
              <w:rPr>
                <w:color w:val="000000"/>
              </w:rPr>
              <w:t>“64.</w:t>
            </w:r>
            <w:r w:rsidRPr="00A02401">
              <w:rPr>
                <w:color w:val="000000"/>
                <w:vertAlign w:val="superscript"/>
              </w:rPr>
              <w:t>2</w:t>
            </w:r>
            <w:r w:rsidRPr="00A02401">
              <w:rPr>
                <w:color w:val="000000"/>
              </w:rPr>
              <w:t xml:space="preserve"> Ja, tirgus lietotājs, kurš nav mājsaimniecības lietotājs un kurš saņem dabasgāzi pēdējās garantētās piegādes ietvaros, sešu mēnešu laikā nav noslēdzis dabasgāzes tirdzniecības līgumu ar kādu tirgotāju un sadales sistēmas operators no Tirgotāja nav saņēmis pieteikumu dabasgāzes atslēgšanai, tad pēc sešiem mēnešiem šim lietotājam dabasgāzi turpina tirgot esošais pēdējās garantētās piegādes tirgotājs par noteikto pēdējās garantētās piegādes cenu.”</w:t>
            </w:r>
          </w:p>
          <w:p w14:paraId="5002531B" w14:textId="77777777" w:rsidR="00A02401" w:rsidRPr="00A02401" w:rsidRDefault="00A02401" w:rsidP="006C70E3">
            <w:pPr>
              <w:spacing w:line="293" w:lineRule="atLeast"/>
              <w:ind w:left="709"/>
              <w:jc w:val="both"/>
              <w:rPr>
                <w:color w:val="000000"/>
              </w:rPr>
            </w:pPr>
          </w:p>
          <w:p w14:paraId="043B0B61" w14:textId="77777777" w:rsidR="00A02401" w:rsidRPr="00A02401" w:rsidRDefault="00A02401" w:rsidP="006C70E3">
            <w:pPr>
              <w:jc w:val="both"/>
              <w:rPr>
                <w:b/>
              </w:rPr>
            </w:pPr>
            <w:r w:rsidRPr="00A02401">
              <w:rPr>
                <w:b/>
              </w:rPr>
              <w:t>TM</w:t>
            </w:r>
          </w:p>
          <w:p w14:paraId="6830302C" w14:textId="44E29A53" w:rsidR="00A02401" w:rsidRPr="00A02401" w:rsidRDefault="00A02401" w:rsidP="006C70E3">
            <w:pPr>
              <w:pStyle w:val="NoSpacing"/>
              <w:ind w:firstLine="0"/>
              <w:rPr>
                <w:color w:val="000000"/>
                <w:sz w:val="24"/>
                <w:szCs w:val="24"/>
              </w:rPr>
            </w:pPr>
            <w:r w:rsidRPr="00A02401">
              <w:rPr>
                <w:color w:val="000000"/>
                <w:sz w:val="24"/>
                <w:szCs w:val="24"/>
              </w:rPr>
              <w:t xml:space="preserve"> Precizētajā projektā būtiski ir grozīts modelis attiecībā uz dabasgāzes saņemšanu pēdējās garantētās piegādes ietvaros. Precizētā projekta 5. punkts paredz Ministru kabineta 2017. gada 7. februāra noteikumu Nr. 78 </w:t>
            </w:r>
            <w:r w:rsidR="00DD75BA">
              <w:rPr>
                <w:color w:val="000000"/>
                <w:sz w:val="24"/>
                <w:szCs w:val="24"/>
              </w:rPr>
              <w:t>“</w:t>
            </w:r>
            <w:r w:rsidRPr="00A02401">
              <w:rPr>
                <w:color w:val="000000"/>
                <w:sz w:val="24"/>
                <w:szCs w:val="24"/>
              </w:rPr>
              <w:t>Dabasgāzes tirdzniecības un lietošanas noteikumi</w:t>
            </w:r>
            <w:r w:rsidR="00DD75BA">
              <w:rPr>
                <w:color w:val="000000"/>
                <w:sz w:val="24"/>
                <w:szCs w:val="24"/>
              </w:rPr>
              <w:t>”</w:t>
            </w:r>
            <w:r w:rsidRPr="00A02401">
              <w:rPr>
                <w:color w:val="000000"/>
                <w:sz w:val="24"/>
                <w:szCs w:val="24"/>
              </w:rPr>
              <w:t xml:space="preserve"> (turpmāk – noteikumi) 64.  punktu izteikt jaunā redakcijā, nosakot gadījumus, kuros tiek sniegta pēdējā garantētā piegāde. Lai arī atbilstoši projekta sākotnējās </w:t>
            </w:r>
            <w:r w:rsidRPr="00A02401">
              <w:rPr>
                <w:i/>
                <w:iCs/>
                <w:color w:val="000000"/>
                <w:sz w:val="24"/>
                <w:szCs w:val="24"/>
              </w:rPr>
              <w:t>(ex-ante)</w:t>
            </w:r>
            <w:r w:rsidRPr="00A02401">
              <w:rPr>
                <w:color w:val="000000"/>
                <w:sz w:val="24"/>
                <w:szCs w:val="24"/>
              </w:rPr>
              <w:t xml:space="preserve"> ietekmes novērtējuma ziņojumā (turpmāk – anotācija) ietvertajai informācijai grozījuma doma ir bijusi sašaurināt </w:t>
            </w:r>
            <w:r w:rsidRPr="00A02401">
              <w:rPr>
                <w:color w:val="000000"/>
                <w:sz w:val="24"/>
                <w:szCs w:val="24"/>
              </w:rPr>
              <w:lastRenderedPageBreak/>
              <w:t>gadījumu skaitu, kuros pēdējā garantētā piegāde tiek izmantota (jo esošais regulējums neatbilst tās mērķim), pēc būtības grozījums aptver visus gadījumus, kuros nav noslēgts dabasgāzes tirdzniecības līgums. Piedāvātā noteikumu 64.2. apakšpunkta redakcija vienkārši paredz prezumpciju, ka gadījumos, kuros nav līguma, pamatā ir jāpārtrauc dabasgāzes piegāde (kas pats par sevi ir pareizi), bet, kad tas nenotiek, šajos gadījumos tiek izmantots pēdējās garantētās piegādes risinājums. T.i., garantētā pēdējā piegāde tiek padarīta par instrumentu, kas tiek izmantots visos gadījumos, turklāt, nekādā veidā nerisinot pašu problēmu (līguma neesamību). </w:t>
            </w:r>
          </w:p>
          <w:p w14:paraId="1BB50112" w14:textId="77777777" w:rsidR="00A02401" w:rsidRPr="00A02401" w:rsidRDefault="00A02401" w:rsidP="00DD75BA">
            <w:pPr>
              <w:pStyle w:val="NoSpacing"/>
              <w:ind w:firstLine="0"/>
              <w:rPr>
                <w:color w:val="000000"/>
                <w:sz w:val="24"/>
                <w:szCs w:val="24"/>
              </w:rPr>
            </w:pPr>
            <w:r w:rsidRPr="00A02401">
              <w:rPr>
                <w:color w:val="000000"/>
                <w:sz w:val="24"/>
                <w:szCs w:val="24"/>
              </w:rPr>
              <w:t xml:space="preserve">Vienlaikus pēc būtības pēdējo garantēto piegādi un tās piemērošanas jomu paredz Enerģētikas likuma 109. panta otrā daļa, kas tai paredz ļoti šauru piemērošanas jomu (gadījumos, kuros ir noslēgts līgums, un dabasgāzes tirgotājs izbeidz dabasgāzes tirdzniecību). Nedz esošā, nedz piedāvāta regulējuma atbilstība likumā noteiktajam instrumenta tvērumam šobrīd anotācijā nav vērtēta. Nav arī skaidrs, vai kāda cita tiesību norma paredz Ministru kabinetam tiesības definēt pēdējo garantēto piegādi un likumā neparedzētus gadījumus tās izmantošanai. Līdz ar to nav skaidrs, vai pēdējā garantētā piegāde vispār ir atbilstošs risinājums visiem gadījumiem, kuros nav </w:t>
            </w:r>
            <w:r w:rsidRPr="00A02401">
              <w:rPr>
                <w:color w:val="000000"/>
                <w:sz w:val="24"/>
                <w:szCs w:val="24"/>
              </w:rPr>
              <w:lastRenderedPageBreak/>
              <w:t>noslēgts dabasgāzes tirdzniecības līgums. </w:t>
            </w:r>
          </w:p>
          <w:p w14:paraId="74340BD4" w14:textId="2A7B7350" w:rsidR="00A02401" w:rsidRDefault="00A02401" w:rsidP="006C70E3">
            <w:pPr>
              <w:jc w:val="both"/>
              <w:rPr>
                <w:color w:val="000000"/>
              </w:rPr>
            </w:pPr>
            <w:r w:rsidRPr="00A02401">
              <w:rPr>
                <w:color w:val="000000"/>
              </w:rPr>
              <w:t>Ievērojot minēto, lūdzam izvērtēt projekta 5. punktā paredzētā regulējuma atbilstību Enerģētikas likuma 109. panta otrajai daļai, nepieciešamības gadījumā precizējot projektu. </w:t>
            </w:r>
          </w:p>
          <w:p w14:paraId="5D039FD9" w14:textId="6F18353A" w:rsidR="00055D01" w:rsidRDefault="00055D01" w:rsidP="006C70E3">
            <w:pPr>
              <w:jc w:val="both"/>
              <w:rPr>
                <w:color w:val="000000"/>
              </w:rPr>
            </w:pPr>
          </w:p>
          <w:p w14:paraId="0EBED368" w14:textId="77777777" w:rsidR="00055D01" w:rsidRPr="00A02401" w:rsidRDefault="00055D01" w:rsidP="006C70E3">
            <w:pPr>
              <w:jc w:val="both"/>
              <w:rPr>
                <w:rFonts w:cstheme="minorHAnsi"/>
                <w:bdr w:val="none" w:sz="0" w:space="0" w:color="auto" w:frame="1"/>
                <w:shd w:val="clear" w:color="auto" w:fill="FFFFFF"/>
                <w:lang w:eastAsia="en-US"/>
              </w:rPr>
            </w:pPr>
          </w:p>
          <w:p w14:paraId="5620E5DD" w14:textId="77777777" w:rsidR="007D72ED" w:rsidRPr="00A02401" w:rsidRDefault="007D72ED" w:rsidP="006C70E3">
            <w:pPr>
              <w:pStyle w:val="naisc"/>
              <w:spacing w:before="60" w:after="60"/>
              <w:jc w:val="both"/>
              <w:rPr>
                <w:rFonts w:cstheme="minorHAnsi"/>
                <w:bdr w:val="none" w:sz="0" w:space="0" w:color="auto" w:frame="1"/>
                <w:shd w:val="clear" w:color="auto" w:fill="FFFFFF"/>
                <w:lang w:eastAsia="en-US"/>
              </w:rPr>
            </w:pPr>
          </w:p>
        </w:tc>
        <w:tc>
          <w:tcPr>
            <w:tcW w:w="3260" w:type="dxa"/>
            <w:gridSpan w:val="2"/>
            <w:tcBorders>
              <w:top w:val="single" w:sz="4" w:space="0" w:color="auto"/>
              <w:left w:val="single" w:sz="6" w:space="0" w:color="000000"/>
              <w:bottom w:val="single" w:sz="6" w:space="0" w:color="000000"/>
              <w:right w:val="single" w:sz="6" w:space="0" w:color="000000"/>
            </w:tcBorders>
          </w:tcPr>
          <w:p w14:paraId="6946E8A1" w14:textId="705BFA58" w:rsidR="007D72ED" w:rsidRPr="00A02401" w:rsidRDefault="007D72ED" w:rsidP="000E00A7">
            <w:pPr>
              <w:pStyle w:val="naisc"/>
              <w:spacing w:before="60" w:after="60"/>
              <w:ind w:firstLine="5"/>
              <w:jc w:val="both"/>
              <w:rPr>
                <w:b/>
              </w:rPr>
            </w:pPr>
            <w:r w:rsidRPr="00A02401">
              <w:rPr>
                <w:b/>
              </w:rPr>
              <w:lastRenderedPageBreak/>
              <w:t>Daļēji ņemts vērā</w:t>
            </w:r>
          </w:p>
          <w:p w14:paraId="471F3D81" w14:textId="401BC1A5" w:rsidR="007D72ED" w:rsidRPr="00A02401" w:rsidRDefault="00A02401" w:rsidP="006C70E3">
            <w:pPr>
              <w:pStyle w:val="naisc"/>
              <w:spacing w:before="60" w:after="60"/>
              <w:ind w:firstLine="5"/>
              <w:jc w:val="both"/>
              <w:rPr>
                <w:bCs/>
              </w:rPr>
            </w:pPr>
            <w:r w:rsidRPr="00A02401">
              <w:rPr>
                <w:bCs/>
              </w:rPr>
              <w:t>Ņemot vērā TM, LDDK un AS “Latvijas Gāze” sniegtos iebildumus, Noteikumu projekts un Anotācija ir atbilstoši precizēts.</w:t>
            </w:r>
          </w:p>
        </w:tc>
        <w:tc>
          <w:tcPr>
            <w:tcW w:w="2951" w:type="dxa"/>
            <w:tcBorders>
              <w:top w:val="single" w:sz="4" w:space="0" w:color="auto"/>
              <w:left w:val="single" w:sz="4" w:space="0" w:color="auto"/>
              <w:bottom w:val="single" w:sz="4" w:space="0" w:color="auto"/>
            </w:tcBorders>
          </w:tcPr>
          <w:p w14:paraId="18D9BD92" w14:textId="77777777" w:rsidR="00A02401" w:rsidRPr="00A02401" w:rsidRDefault="00A02401" w:rsidP="006C70E3">
            <w:pPr>
              <w:jc w:val="both"/>
            </w:pPr>
            <w:r w:rsidRPr="00A02401">
              <w:t>10. Izteikt 64. punktu šādā redakcijā:</w:t>
            </w:r>
          </w:p>
          <w:p w14:paraId="744A40E2" w14:textId="77777777" w:rsidR="00A02401" w:rsidRPr="00A02401" w:rsidRDefault="00A02401" w:rsidP="006C70E3">
            <w:pPr>
              <w:jc w:val="both"/>
            </w:pPr>
          </w:p>
          <w:p w14:paraId="5FA81CCE" w14:textId="139FED6B" w:rsidR="00A02401" w:rsidRPr="00A02401" w:rsidRDefault="00A02401" w:rsidP="006C70E3">
            <w:pPr>
              <w:jc w:val="both"/>
            </w:pPr>
            <w:r w:rsidRPr="00A02401">
              <w:t>“64. Dabasgāzes piegādi pēdējās garantētās piegādes pakalpojuma ietvaros uz laiku, kas nav ilgāks par sešiem kalendārajiem mēnešiem nodrošina:</w:t>
            </w:r>
          </w:p>
          <w:p w14:paraId="4F65EAAB" w14:textId="77777777" w:rsidR="00A02401" w:rsidRPr="00A02401" w:rsidRDefault="00A02401" w:rsidP="00DD75BA">
            <w:pPr>
              <w:jc w:val="both"/>
            </w:pPr>
            <w:r w:rsidRPr="00A02401">
              <w:t>64.1. lietotājam, ja tam ir viens spēkā esošs dabasgāzes tirdzniecības līgums ar tirgotāju, kurš izbeidzis dabasgāzes tirdzniecību;</w:t>
            </w:r>
          </w:p>
          <w:p w14:paraId="13E8882D" w14:textId="77777777" w:rsidR="00A02401" w:rsidRPr="00A02401" w:rsidRDefault="00A02401" w:rsidP="00DD75BA">
            <w:pPr>
              <w:jc w:val="both"/>
            </w:pPr>
            <w:r w:rsidRPr="00A02401">
              <w:t xml:space="preserve">64.2. gazificētā objekta īpašniekam, ja dabasgāze gazificētajā objektā tiek lietota bez spēkā esoša dabasgāzes tirdzniecības līguma un lietotājs vai gazificētā objekta īpašnieks nav nodrošinājis iespēju sadales sistēmas operatoram </w:t>
            </w:r>
            <w:r w:rsidRPr="00A02401">
              <w:lastRenderedPageBreak/>
              <w:t>pārtraukt dabasgāzes padevi gazificētajā objektā.”</w:t>
            </w:r>
          </w:p>
          <w:p w14:paraId="14875F20" w14:textId="1A4129D3" w:rsidR="007D72ED" w:rsidRPr="00A02401" w:rsidRDefault="007D72ED" w:rsidP="006C70E3">
            <w:pPr>
              <w:spacing w:line="293" w:lineRule="atLeast"/>
              <w:jc w:val="both"/>
            </w:pPr>
          </w:p>
        </w:tc>
      </w:tr>
      <w:tr w:rsidR="00055D01" w:rsidRPr="00A02401" w14:paraId="72C0228C" w14:textId="77777777" w:rsidTr="00DD75BA">
        <w:tc>
          <w:tcPr>
            <w:tcW w:w="675" w:type="dxa"/>
            <w:tcBorders>
              <w:top w:val="single" w:sz="4" w:space="0" w:color="auto"/>
              <w:left w:val="single" w:sz="6" w:space="0" w:color="000000"/>
              <w:bottom w:val="single" w:sz="6" w:space="0" w:color="000000"/>
              <w:right w:val="single" w:sz="6" w:space="0" w:color="000000"/>
            </w:tcBorders>
            <w:shd w:val="clear" w:color="auto" w:fill="auto"/>
          </w:tcPr>
          <w:p w14:paraId="73EB86F6" w14:textId="25F91998" w:rsidR="00055D01" w:rsidRPr="00A02401" w:rsidRDefault="00F33A5B" w:rsidP="006C70E3">
            <w:pPr>
              <w:pStyle w:val="naisc"/>
              <w:spacing w:before="60" w:after="60"/>
              <w:jc w:val="both"/>
            </w:pPr>
            <w:r>
              <w:lastRenderedPageBreak/>
              <w:t>11.</w:t>
            </w:r>
          </w:p>
        </w:tc>
        <w:tc>
          <w:tcPr>
            <w:tcW w:w="3119" w:type="dxa"/>
            <w:gridSpan w:val="2"/>
            <w:tcBorders>
              <w:top w:val="single" w:sz="4" w:space="0" w:color="auto"/>
              <w:left w:val="single" w:sz="6" w:space="0" w:color="000000"/>
              <w:bottom w:val="single" w:sz="6" w:space="0" w:color="000000"/>
              <w:right w:val="single" w:sz="6" w:space="0" w:color="000000"/>
            </w:tcBorders>
            <w:shd w:val="clear" w:color="auto" w:fill="auto"/>
          </w:tcPr>
          <w:p w14:paraId="759BD141" w14:textId="77777777" w:rsidR="004F76F8" w:rsidRPr="00A83373" w:rsidRDefault="004F76F8" w:rsidP="006C70E3">
            <w:pPr>
              <w:jc w:val="both"/>
              <w:rPr>
                <w:szCs w:val="28"/>
              </w:rPr>
            </w:pPr>
            <w:r w:rsidRPr="00A83373">
              <w:rPr>
                <w:szCs w:val="28"/>
              </w:rPr>
              <w:t>1</w:t>
            </w:r>
            <w:r>
              <w:rPr>
                <w:szCs w:val="28"/>
              </w:rPr>
              <w:t>1</w:t>
            </w:r>
            <w:r w:rsidRPr="00A83373">
              <w:rPr>
                <w:szCs w:val="28"/>
              </w:rPr>
              <w:t>. Izteikt 64. punktu šādā redakcijā:</w:t>
            </w:r>
          </w:p>
          <w:p w14:paraId="75B7B06F" w14:textId="77777777" w:rsidR="004F76F8" w:rsidRPr="00A83373" w:rsidRDefault="004F76F8" w:rsidP="006C70E3">
            <w:pPr>
              <w:jc w:val="both"/>
              <w:rPr>
                <w:szCs w:val="28"/>
              </w:rPr>
            </w:pPr>
          </w:p>
          <w:p w14:paraId="22F892FA" w14:textId="44474DD3" w:rsidR="004F76F8" w:rsidRPr="00A83373" w:rsidRDefault="004F76F8" w:rsidP="006C70E3">
            <w:pPr>
              <w:jc w:val="both"/>
              <w:rPr>
                <w:szCs w:val="28"/>
              </w:rPr>
            </w:pPr>
            <w:r w:rsidRPr="00A83373">
              <w:rPr>
                <w:szCs w:val="28"/>
              </w:rPr>
              <w:t>“64. Dabasgāzes piegādi pēdējās garantētās piegādes pakalpojuma ietvaros uz laiku, kas nav ilgāks par sešiem kalendārajiem mēnešiem nodrošina:</w:t>
            </w:r>
          </w:p>
          <w:p w14:paraId="352B5604" w14:textId="77777777" w:rsidR="004F76F8" w:rsidRPr="00A83373" w:rsidRDefault="004F76F8" w:rsidP="00DD75BA">
            <w:pPr>
              <w:jc w:val="both"/>
              <w:rPr>
                <w:szCs w:val="28"/>
              </w:rPr>
            </w:pPr>
            <w:r w:rsidRPr="00A83373">
              <w:rPr>
                <w:szCs w:val="28"/>
              </w:rPr>
              <w:t>64.1. lietotājam, ja tam ir viens spēkā esošs dabasgāzes tirdzniecības līgums ar tirgotāju, kurš izbeidzis dabasgāzes tirdzniecību;</w:t>
            </w:r>
          </w:p>
          <w:p w14:paraId="5A8F9F15" w14:textId="77777777" w:rsidR="004F76F8" w:rsidRPr="00A83373" w:rsidRDefault="004F76F8" w:rsidP="00DD75BA">
            <w:pPr>
              <w:jc w:val="both"/>
              <w:rPr>
                <w:szCs w:val="28"/>
              </w:rPr>
            </w:pPr>
            <w:r w:rsidRPr="00A83373">
              <w:rPr>
                <w:szCs w:val="28"/>
              </w:rPr>
              <w:t xml:space="preserve">64.2. gazificētā objekta īpašniekam, ja dabasgāze gazificētajā objektā tiek lietota bez spēkā esoša dabasgāzes tirdzniecības līguma un lietotājs vai gazificētā objekta īpašnieks nav nodrošinājis iespēju sadales sistēmas operatoram pārtraukt </w:t>
            </w:r>
            <w:r w:rsidRPr="00A83373">
              <w:rPr>
                <w:szCs w:val="28"/>
              </w:rPr>
              <w:lastRenderedPageBreak/>
              <w:t>dabasgāzes padevi gazificētajā objektā.”</w:t>
            </w:r>
          </w:p>
          <w:p w14:paraId="2DA58D12" w14:textId="77777777" w:rsidR="00055D01" w:rsidRPr="00A02401" w:rsidRDefault="00055D01" w:rsidP="006C70E3">
            <w:pPr>
              <w:spacing w:line="293" w:lineRule="atLeast"/>
              <w:jc w:val="both"/>
            </w:pPr>
          </w:p>
        </w:tc>
        <w:tc>
          <w:tcPr>
            <w:tcW w:w="4278" w:type="dxa"/>
            <w:tcBorders>
              <w:top w:val="single" w:sz="4" w:space="0" w:color="auto"/>
              <w:left w:val="single" w:sz="6" w:space="0" w:color="000000"/>
              <w:bottom w:val="single" w:sz="6" w:space="0" w:color="000000"/>
              <w:right w:val="single" w:sz="6" w:space="0" w:color="000000"/>
            </w:tcBorders>
            <w:shd w:val="clear" w:color="auto" w:fill="auto"/>
          </w:tcPr>
          <w:p w14:paraId="67E77208" w14:textId="77777777" w:rsidR="00055D01" w:rsidRDefault="00055D01" w:rsidP="006C70E3">
            <w:pPr>
              <w:pStyle w:val="naisc"/>
              <w:spacing w:before="60" w:after="60"/>
              <w:ind w:firstLine="5"/>
              <w:jc w:val="both"/>
              <w:rPr>
                <w:b/>
                <w:bCs/>
              </w:rPr>
            </w:pPr>
            <w:r w:rsidRPr="00055D01">
              <w:rPr>
                <w:b/>
                <w:bCs/>
              </w:rPr>
              <w:lastRenderedPageBreak/>
              <w:t>SPRK</w:t>
            </w:r>
          </w:p>
          <w:p w14:paraId="350E89B4" w14:textId="77777777" w:rsidR="00055D01" w:rsidRPr="00055D01" w:rsidRDefault="00055D01" w:rsidP="006C70E3">
            <w:pPr>
              <w:pStyle w:val="naisc"/>
              <w:spacing w:before="60" w:after="60"/>
              <w:ind w:firstLine="5"/>
              <w:jc w:val="both"/>
            </w:pPr>
            <w:r w:rsidRPr="00055D01">
              <w:t xml:space="preserve">Ministru kabineta 2017.gada 7.februāra noteikumu Nr.78 “Dabasgāzes tirdzniecības un lietošanas noteikumi” (turpmāk – Noteikumi) 2.26.apakšpunkts jau skaidro terminu “pēdējās garantētās piegādes pakalpojums”. Ievērojot minēto, Noteikumu projekta 2.punktā jāparedz, ka Noteikumu 2.26.apakšpunkts tiek izteikts jaunā redakcijā, nevis Noteikumi tiek papildināti ar 2.26.apakšpunktu. </w:t>
            </w:r>
          </w:p>
          <w:p w14:paraId="4321AF33" w14:textId="09C58E58" w:rsidR="00055D01" w:rsidRPr="00055D01" w:rsidRDefault="00055D01" w:rsidP="006C70E3">
            <w:pPr>
              <w:jc w:val="both"/>
              <w:rPr>
                <w:b/>
              </w:rPr>
            </w:pPr>
            <w:r w:rsidRPr="00055D01">
              <w:t xml:space="preserve">Regulators vērš uzmanību, ka saskaņā ar Enerģētikas likuma 109.panta otro daļu dabasgāzi pēdējās garantētās piegādes ietvaros ir tiesīgi saņemt galalietotāji, kuri nav saistītie lietotāji, un kuru gazificētie objekti ir pieslēgti dabasgāzes sadales sistēmai, ja dabasgāzes tirgotājs, ar kuru galalietotājam ir spēkā esošs dabasgāzes tirdzniecības līgums, izbeidz dabasgāzes tirdzniecību. Līdz ar to, neizdarot attiecīgus grozījumus Enerģētikas likuma 109.panta otrajā daļā, nav pamata </w:t>
            </w:r>
            <w:r w:rsidRPr="00055D01">
              <w:lastRenderedPageBreak/>
              <w:t>Noteikumos noteikt, ka pēdējās garantētās piegādes pakalpojumu var saņemt dabasgāzes lietotājs, kurš dabasgāzi gazificētajā objektā lietoto bez spēkā esoša dabasgāzes tirdzniecības līguma. Izmaiņas Enerģētikas likumā attiecībā uz pēdējās garantētās piegādes pakalpojuma regulējumu būtu iespējams ietvert 2021.gada 1.aprīļa Valsts sekretāru sanāksmē izsludinātajā likumprojektā “Grozījumi Enerģētikas likumā” (VSS - 307), vienlaikus nosakot, ka pēdējās garantētās piegādes pakalpojumu var saņemt arī dabasgāzes lietotāji, kuru gazificētie objekti ir pieslēgti dabasgāzes pārvades sistēmai.</w:t>
            </w:r>
          </w:p>
        </w:tc>
        <w:tc>
          <w:tcPr>
            <w:tcW w:w="3260" w:type="dxa"/>
            <w:gridSpan w:val="2"/>
            <w:tcBorders>
              <w:top w:val="single" w:sz="4" w:space="0" w:color="auto"/>
              <w:left w:val="single" w:sz="6" w:space="0" w:color="000000"/>
              <w:bottom w:val="single" w:sz="6" w:space="0" w:color="000000"/>
              <w:right w:val="single" w:sz="6" w:space="0" w:color="000000"/>
            </w:tcBorders>
            <w:shd w:val="clear" w:color="auto" w:fill="auto"/>
          </w:tcPr>
          <w:p w14:paraId="5CD92707" w14:textId="77777777" w:rsidR="00055D01" w:rsidRPr="00A02401" w:rsidRDefault="00055D01" w:rsidP="006C70E3">
            <w:pPr>
              <w:pStyle w:val="naisc"/>
              <w:spacing w:before="60" w:after="60"/>
              <w:ind w:firstLine="5"/>
              <w:jc w:val="both"/>
              <w:rPr>
                <w:b/>
              </w:rPr>
            </w:pPr>
            <w:r w:rsidRPr="00A02401">
              <w:rPr>
                <w:b/>
              </w:rPr>
              <w:lastRenderedPageBreak/>
              <w:t>Daļēji ņemts vērā</w:t>
            </w:r>
          </w:p>
          <w:p w14:paraId="47115874" w14:textId="1C74E0BD" w:rsidR="00055D01" w:rsidRDefault="00055D01" w:rsidP="006C70E3">
            <w:pPr>
              <w:pStyle w:val="naisc"/>
              <w:spacing w:before="60" w:after="60"/>
              <w:jc w:val="both"/>
              <w:rPr>
                <w:bCs/>
              </w:rPr>
            </w:pPr>
            <w:r>
              <w:rPr>
                <w:bCs/>
              </w:rPr>
              <w:t xml:space="preserve">Noteikumu projekts attiecībā uz 2.26 apakšpunktu precizēts. </w:t>
            </w:r>
          </w:p>
          <w:p w14:paraId="6FB75B1C" w14:textId="470B5609" w:rsidR="00055D01" w:rsidRPr="00055D01" w:rsidRDefault="00055D01" w:rsidP="006C70E3">
            <w:pPr>
              <w:pStyle w:val="naisc"/>
              <w:spacing w:before="60" w:after="60"/>
              <w:jc w:val="both"/>
              <w:rPr>
                <w:bCs/>
              </w:rPr>
            </w:pPr>
            <w:r>
              <w:rPr>
                <w:bCs/>
              </w:rPr>
              <w:t xml:space="preserve">Ekonomikas ministrija skaidro, ka </w:t>
            </w:r>
            <w:r w:rsidRPr="00055D01">
              <w:rPr>
                <w:bCs/>
              </w:rPr>
              <w:t xml:space="preserve">PGP pakalpojumu sniedz dabasgāzes lietotājiem, kuriem ir zudušas Enerģētikas likuma 106.pantā noteiktās civiltiesiskās (līgumiskās) attiecības ar tirgotāju. </w:t>
            </w:r>
          </w:p>
          <w:p w14:paraId="682F3934" w14:textId="77777777" w:rsidR="00055D01" w:rsidRPr="00055D01" w:rsidRDefault="00055D01" w:rsidP="006C70E3">
            <w:pPr>
              <w:pStyle w:val="naisc"/>
              <w:spacing w:before="60" w:after="60"/>
              <w:jc w:val="both"/>
              <w:rPr>
                <w:bCs/>
              </w:rPr>
            </w:pPr>
            <w:r w:rsidRPr="00055D01">
              <w:rPr>
                <w:bCs/>
              </w:rPr>
              <w:t>Šobrīd PGP pakalpojums ir reglamentēts Enerģētikas likuma 45.panta 1.1 daļā, 107. un 109.pantā, kā arī Noteikumu 2.26. apakšpunktā, 24., 42., 44. punktā, 46.4., 49.2.apakšpunktā, Noteikumu VI nodaļā un 180.punktā.</w:t>
            </w:r>
          </w:p>
          <w:p w14:paraId="76B27FCA" w14:textId="77777777" w:rsidR="00055D01" w:rsidRPr="00055D01" w:rsidRDefault="00055D01" w:rsidP="006C70E3">
            <w:pPr>
              <w:pStyle w:val="naisc"/>
              <w:spacing w:before="60" w:after="60"/>
              <w:jc w:val="both"/>
              <w:rPr>
                <w:bCs/>
              </w:rPr>
            </w:pPr>
            <w:r w:rsidRPr="00055D01">
              <w:rPr>
                <w:bCs/>
              </w:rPr>
              <w:t xml:space="preserve">Enerģētikas likuma 45.panta 1.1 daļa noteic, ka dabasgāzes sadales sistēmas operators var piedalīties dabasgāzes tirdzniecībā, ja tas nodrošina </w:t>
            </w:r>
            <w:r w:rsidRPr="00055D01">
              <w:rPr>
                <w:bCs/>
              </w:rPr>
              <w:lastRenderedPageBreak/>
              <w:t xml:space="preserve">pēdējo garantēto piegādi. 109.panta otrā, trešā un ceturtā daļa noteic, ka dabasgāzes sadales sistēmas operators var uzticēt tirgotājam pēdējās garantētās piegādes veikšanu, galalietotājiem, kuri nav saistītie lietotāji, par Ministru kabineta noteikumos noteiktā kārtībā noteiktu un publicētu cenu, atklātas, nediskriminējošas un uz tirgus principiem balstītas procedūras rezultātā. </w:t>
            </w:r>
          </w:p>
          <w:p w14:paraId="38DD6AE9" w14:textId="77777777" w:rsidR="00055D01" w:rsidRPr="00055D01" w:rsidRDefault="00055D01" w:rsidP="006C70E3">
            <w:pPr>
              <w:pStyle w:val="naisc"/>
              <w:spacing w:before="60" w:after="60"/>
              <w:jc w:val="both"/>
              <w:rPr>
                <w:bCs/>
              </w:rPr>
            </w:pPr>
            <w:r w:rsidRPr="00055D01">
              <w:rPr>
                <w:bCs/>
              </w:rPr>
              <w:t xml:space="preserve">Savukārt 107.panta ceturtās daļas 2.punkts uzliek pienākumu pēdējā garantētā piegādātāja pienākumus pret saistītajiem lietotājiem pildīt publiskajam tirgotājam. Tā paša panta septītajā daļā ietverts deleģējums Ministru kabinetam noteikt prasības, tirgotāja, publiskā tirgotāja, sistēmas operatora, lietotāja un gazificētā objekta īpašnieka tiesības un pienākumus dabasgāzes piegādē un lietošanā, kā arī kārtību, kādā veicami norēķini par saņemtajiem pakalpojumiem.  </w:t>
            </w:r>
          </w:p>
          <w:p w14:paraId="215B304F" w14:textId="77777777" w:rsidR="00055D01" w:rsidRPr="00055D01" w:rsidRDefault="00055D01" w:rsidP="006C70E3">
            <w:pPr>
              <w:pStyle w:val="naisc"/>
              <w:spacing w:before="60" w:after="60"/>
              <w:jc w:val="both"/>
              <w:rPr>
                <w:bCs/>
              </w:rPr>
            </w:pPr>
            <w:r w:rsidRPr="00055D01">
              <w:rPr>
                <w:bCs/>
              </w:rPr>
              <w:t xml:space="preserve">Noteikumi šobrīd, cita starpā noteic PGP pakalpojuma sniegšanas kārtību un kārtību, </w:t>
            </w:r>
            <w:r w:rsidRPr="00055D01">
              <w:rPr>
                <w:bCs/>
              </w:rPr>
              <w:lastRenderedPageBreak/>
              <w:t xml:space="preserve">kādā veicami norēķini par saņemtajiem pakalpojumiem. </w:t>
            </w:r>
          </w:p>
          <w:p w14:paraId="4258FB00" w14:textId="77777777" w:rsidR="00055D01" w:rsidRPr="00055D01" w:rsidRDefault="00055D01" w:rsidP="006C70E3">
            <w:pPr>
              <w:pStyle w:val="naisc"/>
              <w:spacing w:before="60" w:after="60"/>
              <w:jc w:val="both"/>
              <w:rPr>
                <w:bCs/>
              </w:rPr>
            </w:pPr>
            <w:r w:rsidRPr="00055D01">
              <w:rPr>
                <w:bCs/>
              </w:rPr>
              <w:t xml:space="preserve">Analizējot pastāvošo PGP pakalpojuma praksi citās Eiropas Savienības dalībvalstīs, konstatējamas, ka PGP pakalpojums ir instruments, lai nepārtraucot dabasgāzes piegādi, dotu iespēju enerģijas saņēmējam ierobežotā laika posmā sakārtot civiltiesiskās attiecības, noslēdzot līgumu ar kādu no tirgotājiem. Tādejādi, dabasgāzes piegāde noteiktu laika posmu tiek nodrošināta bez līguma, kā PGP pakalpojums. Lietotājam, šajā laikā ir jānoslēdz jauns dabasgāzes tirdzniecības līgums ar citu tirgotāju. Eiropas Savienības dalībvalstīs PGP pakalpojuma saņemšanas laiks svārstās no 3 līdz 6 mēnešiem. Savukārt Noteikumos PGP pakalpojuma saņemšanas ilgums nav noteikts, dēļ kā PGP pakalpojuma saņēmēji nevis samazinās, bet gluži pretēji kļūst vairāk. Turklāt lietotājiem nav nekādas motivējošas intereses tērēt laiku un līdzekļus, lai slēgtu līgumu ar kādu no tirgotājiem, jo ar līguma </w:t>
            </w:r>
            <w:r w:rsidRPr="00055D01">
              <w:rPr>
                <w:bCs/>
              </w:rPr>
              <w:lastRenderedPageBreak/>
              <w:t>noslēgšanu preces un pakalpojumu cena ir tāda pati kā bez līguma PGP pakalpojumam vai nebūtiski lielāka.</w:t>
            </w:r>
          </w:p>
          <w:p w14:paraId="4ADE6696" w14:textId="18F07010" w:rsidR="00055D01" w:rsidRDefault="00055D01" w:rsidP="006C70E3">
            <w:pPr>
              <w:pStyle w:val="naisc"/>
              <w:spacing w:before="60" w:after="60"/>
              <w:jc w:val="both"/>
              <w:rPr>
                <w:bCs/>
              </w:rPr>
            </w:pPr>
            <w:r w:rsidRPr="00055D01">
              <w:rPr>
                <w:bCs/>
              </w:rPr>
              <w:t>Tas, ka PGP pakalpojumu var saņemt neierobežoti ilgu laiku, neatbilst ne PGP pakalpojuma mērķim, ne Eiropas Savienības tiesību aktos noteiktajām prasībām. Projekts paredz, ka PGP pakalpojums tiks tuvināts tā patiesajam mērķim un būtībai, kā arī veicinās dabasgāzes tirgotāju interesi iesaistīties PGP pakalpojuma sniegšanā un uzlabos lietotāju intereses, gadījumos, kad zudušas tiesiskās attiecības starp tirgotāju un lietotāju.</w:t>
            </w:r>
          </w:p>
          <w:p w14:paraId="35D646BA" w14:textId="45821005" w:rsidR="00055D01" w:rsidRDefault="00055D01" w:rsidP="006C70E3">
            <w:pPr>
              <w:pStyle w:val="naisc"/>
              <w:spacing w:before="60" w:after="60"/>
              <w:jc w:val="both"/>
              <w:rPr>
                <w:bCs/>
              </w:rPr>
            </w:pPr>
            <w:r>
              <w:rPr>
                <w:bCs/>
              </w:rPr>
              <w:t>Minētais skaidrojums ir iekļauts Anotācijā.</w:t>
            </w:r>
          </w:p>
          <w:p w14:paraId="7E4B1230" w14:textId="47059F48" w:rsidR="00055D01" w:rsidRPr="00A02401" w:rsidRDefault="00055D01" w:rsidP="006C70E3">
            <w:pPr>
              <w:pStyle w:val="naisc"/>
              <w:spacing w:before="60" w:after="60"/>
              <w:jc w:val="both"/>
              <w:rPr>
                <w:b/>
              </w:rPr>
            </w:pPr>
            <w:r>
              <w:rPr>
                <w:bCs/>
              </w:rPr>
              <w:t xml:space="preserve">Vienlaikus, Ekonomikas ministrija skaidro, ka ir paredzēts iekļaut precizējumus </w:t>
            </w:r>
            <w:r w:rsidRPr="00055D01">
              <w:t xml:space="preserve">Enerģētikas likumā attiecībā uz pēdējās garantētās piegādes pakalpojuma regulējumu </w:t>
            </w:r>
            <w:r>
              <w:t>(</w:t>
            </w:r>
            <w:r w:rsidRPr="00055D01">
              <w:t>2021.gada 1.aprīļa Valsts sekretāru sanāksmē izsludinātajā likumprojektā “Grozījumi Enerģētikas likumā” (VSS-307)</w:t>
            </w:r>
            <w:r>
              <w:t xml:space="preserve">), izvērtējot nepieciešamīnu </w:t>
            </w:r>
            <w:r w:rsidRPr="00055D01">
              <w:t>not</w:t>
            </w:r>
            <w:r>
              <w:t>eikt</w:t>
            </w:r>
            <w:r w:rsidRPr="00055D01">
              <w:t xml:space="preserve">, ka </w:t>
            </w:r>
            <w:r w:rsidRPr="00055D01">
              <w:lastRenderedPageBreak/>
              <w:t>pēdējās garantētās piegādes pakalpojumu var saņemt arī dabasgāzes lietotāji, kuru gazificētie objekti ir pieslēgti dabasgāzes pārvades sistēmai.</w:t>
            </w:r>
          </w:p>
        </w:tc>
        <w:tc>
          <w:tcPr>
            <w:tcW w:w="2951" w:type="dxa"/>
            <w:tcBorders>
              <w:top w:val="single" w:sz="4" w:space="0" w:color="auto"/>
              <w:left w:val="single" w:sz="4" w:space="0" w:color="auto"/>
              <w:bottom w:val="single" w:sz="4" w:space="0" w:color="auto"/>
            </w:tcBorders>
            <w:shd w:val="clear" w:color="auto" w:fill="auto"/>
          </w:tcPr>
          <w:p w14:paraId="2105B366" w14:textId="5727FE70" w:rsidR="00055D01" w:rsidRPr="00A02401" w:rsidRDefault="00055D01" w:rsidP="006C70E3">
            <w:pPr>
              <w:jc w:val="both"/>
              <w:rPr>
                <w:color w:val="000000" w:themeColor="text1"/>
              </w:rPr>
            </w:pPr>
            <w:r>
              <w:rPr>
                <w:bCs/>
              </w:rPr>
              <w:lastRenderedPageBreak/>
              <w:t>Noteikumu projekts precizēts.</w:t>
            </w:r>
          </w:p>
        </w:tc>
      </w:tr>
      <w:tr w:rsidR="000B2778" w:rsidRPr="00A02401" w14:paraId="26B63AD1" w14:textId="77777777" w:rsidTr="007D72ED">
        <w:tc>
          <w:tcPr>
            <w:tcW w:w="675" w:type="dxa"/>
            <w:tcBorders>
              <w:top w:val="single" w:sz="4" w:space="0" w:color="auto"/>
              <w:left w:val="single" w:sz="6" w:space="0" w:color="000000"/>
              <w:bottom w:val="single" w:sz="6" w:space="0" w:color="000000"/>
              <w:right w:val="single" w:sz="6" w:space="0" w:color="000000"/>
            </w:tcBorders>
          </w:tcPr>
          <w:p w14:paraId="25BF494C" w14:textId="77777777" w:rsidR="000B2778" w:rsidRPr="00A02401" w:rsidRDefault="000B2778" w:rsidP="006C70E3">
            <w:pPr>
              <w:pStyle w:val="naisc"/>
              <w:spacing w:before="60" w:after="60"/>
              <w:jc w:val="both"/>
            </w:pPr>
          </w:p>
        </w:tc>
        <w:tc>
          <w:tcPr>
            <w:tcW w:w="3119" w:type="dxa"/>
            <w:gridSpan w:val="2"/>
            <w:tcBorders>
              <w:top w:val="single" w:sz="4" w:space="0" w:color="auto"/>
              <w:left w:val="single" w:sz="6" w:space="0" w:color="000000"/>
              <w:bottom w:val="single" w:sz="6" w:space="0" w:color="000000"/>
              <w:right w:val="single" w:sz="6" w:space="0" w:color="000000"/>
            </w:tcBorders>
          </w:tcPr>
          <w:p w14:paraId="2657B0B4" w14:textId="77777777" w:rsidR="000B2778" w:rsidRPr="00A83373" w:rsidRDefault="000B2778" w:rsidP="000B2778">
            <w:pPr>
              <w:jc w:val="both"/>
              <w:rPr>
                <w:color w:val="000000" w:themeColor="text1"/>
                <w:szCs w:val="28"/>
              </w:rPr>
            </w:pPr>
            <w:r>
              <w:rPr>
                <w:color w:val="000000" w:themeColor="text1"/>
                <w:szCs w:val="28"/>
              </w:rPr>
              <w:t>7</w:t>
            </w:r>
            <w:r w:rsidRPr="00A83373">
              <w:rPr>
                <w:color w:val="000000" w:themeColor="text1"/>
                <w:szCs w:val="28"/>
              </w:rPr>
              <w:t>. Izteikt 42. punktu šādā redakcijā:</w:t>
            </w:r>
          </w:p>
          <w:p w14:paraId="0D22B84B" w14:textId="77777777" w:rsidR="000B2778" w:rsidRPr="00A83373" w:rsidRDefault="000B2778" w:rsidP="000B2778">
            <w:pPr>
              <w:jc w:val="both"/>
              <w:rPr>
                <w:color w:val="000000" w:themeColor="text1"/>
                <w:szCs w:val="28"/>
              </w:rPr>
            </w:pPr>
          </w:p>
          <w:p w14:paraId="0804D2FE" w14:textId="77777777" w:rsidR="000B2778" w:rsidRDefault="000B2778" w:rsidP="00A8700C">
            <w:pPr>
              <w:jc w:val="both"/>
              <w:rPr>
                <w:color w:val="000000" w:themeColor="text1"/>
                <w:szCs w:val="28"/>
              </w:rPr>
            </w:pPr>
            <w:r w:rsidRPr="00A83373">
              <w:rPr>
                <w:color w:val="000000" w:themeColor="text1"/>
                <w:szCs w:val="28"/>
              </w:rPr>
              <w:t>“42. Publiskais tirgotājs atbilstoši dabasgāzes tirdzniecības līgumam vai sešus mēnešus pēdējās garantētās piegādes pakalpojuma ietvaros nodrošina saistītajam lietotājam dabasgāzes tirdzniecības pakalpojumu par cenu, kas saistītajiem lietotājiem noteikta Enerģētikas likumā noteiktajā kārtībā.”</w:t>
            </w:r>
          </w:p>
          <w:p w14:paraId="366BB81C" w14:textId="77777777" w:rsidR="000B2778" w:rsidRDefault="000B2778" w:rsidP="006C70E3">
            <w:pPr>
              <w:spacing w:line="293" w:lineRule="atLeast"/>
              <w:jc w:val="both"/>
            </w:pPr>
          </w:p>
        </w:tc>
        <w:tc>
          <w:tcPr>
            <w:tcW w:w="4278" w:type="dxa"/>
            <w:tcBorders>
              <w:top w:val="single" w:sz="4" w:space="0" w:color="auto"/>
              <w:left w:val="single" w:sz="6" w:space="0" w:color="000000"/>
              <w:bottom w:val="single" w:sz="6" w:space="0" w:color="000000"/>
              <w:right w:val="single" w:sz="6" w:space="0" w:color="000000"/>
            </w:tcBorders>
          </w:tcPr>
          <w:p w14:paraId="642D1CEF" w14:textId="77777777" w:rsidR="000B2778" w:rsidRPr="00DD75BA" w:rsidRDefault="000B2778" w:rsidP="006C70E3">
            <w:pPr>
              <w:tabs>
                <w:tab w:val="left" w:pos="993"/>
              </w:tabs>
              <w:spacing w:after="60"/>
              <w:jc w:val="both"/>
              <w:rPr>
                <w:b/>
                <w:bCs/>
              </w:rPr>
            </w:pPr>
            <w:r w:rsidRPr="00DD75BA">
              <w:rPr>
                <w:b/>
                <w:bCs/>
              </w:rPr>
              <w:t>SPRK</w:t>
            </w:r>
          </w:p>
          <w:p w14:paraId="31BBD744" w14:textId="77777777" w:rsidR="000B2778" w:rsidRPr="00990216" w:rsidRDefault="000B2778" w:rsidP="00DD75BA">
            <w:pPr>
              <w:tabs>
                <w:tab w:val="left" w:pos="993"/>
              </w:tabs>
              <w:spacing w:after="60"/>
              <w:jc w:val="both"/>
            </w:pPr>
            <w:r w:rsidRPr="00990216">
              <w:t>Nodrošinot normu skaidrību un uztveramību, Noteikumu projektā nepieciešams nodalīt regulējumu, kas tieši attiecas uz dabasgāzes tirdzniecību no pēdējās garantētās piegādes pakalpojuma sniegšanas. Ievērojot minēto:</w:t>
            </w:r>
          </w:p>
          <w:p w14:paraId="0E3E0866" w14:textId="77777777" w:rsidR="000B2778" w:rsidRDefault="000B2778" w:rsidP="000B2778">
            <w:pPr>
              <w:numPr>
                <w:ilvl w:val="1"/>
                <w:numId w:val="22"/>
              </w:numPr>
              <w:tabs>
                <w:tab w:val="left" w:pos="993"/>
              </w:tabs>
              <w:spacing w:after="60"/>
              <w:ind w:left="792" w:hanging="432"/>
              <w:jc w:val="both"/>
            </w:pPr>
            <w:r w:rsidRPr="00990216">
              <w:t xml:space="preserve"> Noteikumu projekta 7.punktā paredzēto Ministru kabineta 2017.gada 7.februāra noteikumu Nr.78 “Dabasgāzes tirdzniecības un lietošanas noteikumi” (turpmāk – Noteikumi) 42.punktu jāizsaka šādā redakcijā:</w:t>
            </w:r>
          </w:p>
          <w:p w14:paraId="7CD4E979" w14:textId="77777777" w:rsidR="000B2778" w:rsidRPr="00990216" w:rsidRDefault="000B2778" w:rsidP="000B2778">
            <w:pPr>
              <w:tabs>
                <w:tab w:val="left" w:pos="993"/>
              </w:tabs>
              <w:spacing w:after="60"/>
              <w:ind w:left="792"/>
            </w:pPr>
            <w:r w:rsidRPr="00990216">
              <w:t>“42. Publiskais tirgotājs nodrošina dabasgāzes tirdzniecību saistītajam lietotājam atbilstoši dabasgāzes tirdzniecības līgumam</w:t>
            </w:r>
            <w:r>
              <w:t xml:space="preserve"> un</w:t>
            </w:r>
            <w:r w:rsidRPr="00990216">
              <w:t xml:space="preserve"> sešus mēnešus pēdējās garantētās piegādes pakalpojumu</w:t>
            </w:r>
            <w:r>
              <w:t xml:space="preserve"> mājsaimniecības lietotājam</w:t>
            </w:r>
            <w:r w:rsidRPr="00990216">
              <w:t xml:space="preserve"> par cenu, kas saistītajiem lietotājiem noteikta Enerģētikas likumā noteiktajā kārtībā.”;</w:t>
            </w:r>
          </w:p>
          <w:p w14:paraId="0F0DBE8C" w14:textId="77777777" w:rsidR="000B2778" w:rsidRPr="00990216" w:rsidRDefault="000B2778" w:rsidP="000B2778">
            <w:pPr>
              <w:numPr>
                <w:ilvl w:val="1"/>
                <w:numId w:val="22"/>
              </w:numPr>
              <w:tabs>
                <w:tab w:val="left" w:pos="993"/>
              </w:tabs>
              <w:spacing w:after="60"/>
              <w:ind w:left="792" w:hanging="432"/>
              <w:jc w:val="both"/>
            </w:pPr>
            <w:r w:rsidRPr="00990216">
              <w:t>Noteikumu projekta 8.punktā paredzētajā Noteikumu 42.</w:t>
            </w:r>
            <w:r w:rsidRPr="00DD75BA">
              <w:t>1</w:t>
            </w:r>
            <w:r w:rsidRPr="00990216">
              <w:t xml:space="preserve"> punktā jāaizstāj vārdi </w:t>
            </w:r>
            <w:r w:rsidRPr="00990216">
              <w:lastRenderedPageBreak/>
              <w:t>“dabasgāzes tirdzniecības pakalpojumu” ar vārdiem “pēdējās garantētās piegādes pakalpojumu”;</w:t>
            </w:r>
          </w:p>
          <w:p w14:paraId="1D53B071" w14:textId="77777777" w:rsidR="000B2778" w:rsidRPr="00990216" w:rsidRDefault="000B2778" w:rsidP="000B2778">
            <w:pPr>
              <w:numPr>
                <w:ilvl w:val="1"/>
                <w:numId w:val="22"/>
              </w:numPr>
              <w:tabs>
                <w:tab w:val="left" w:pos="993"/>
              </w:tabs>
              <w:spacing w:after="60"/>
              <w:ind w:left="792" w:hanging="432"/>
              <w:jc w:val="both"/>
            </w:pPr>
            <w:r w:rsidRPr="00990216">
              <w:t>Noteikumu projekta 9.punktā paredzētajā Noteikumu 46.4.apakšpunktā, Noteikumu projekta 11.punktā paredzētajā Noteikumu 49.4</w:t>
            </w:r>
            <w:r>
              <w:t>.</w:t>
            </w:r>
            <w:r w:rsidRPr="00990216">
              <w:t>apakšpunktā un Noteikumu projekta 12.punktā paredzētajā Noteikumu 53.</w:t>
            </w:r>
            <w:r w:rsidRPr="00DD75BA">
              <w:t>1</w:t>
            </w:r>
            <w:r w:rsidRPr="00990216">
              <w:t>punkt</w:t>
            </w:r>
            <w:r>
              <w:t>ā</w:t>
            </w:r>
            <w:r w:rsidRPr="00990216">
              <w:t xml:space="preserve"> jāaizstāj vārdi “dabasgāzes tirdzniecība  pēdējās garantētās piegādes pakalpojuma ietvaros” attiecīgā locījumā ar vārdiem “dabasgāzes piegāde pēdējās garantētās piegādes pakalpojuma ietvaros” attiecīgā locījumā.</w:t>
            </w:r>
          </w:p>
          <w:p w14:paraId="5D82D94B" w14:textId="280F0B31" w:rsidR="000B2778" w:rsidRPr="00DD75BA" w:rsidRDefault="000B2778" w:rsidP="006C70E3">
            <w:pPr>
              <w:tabs>
                <w:tab w:val="left" w:pos="993"/>
              </w:tabs>
              <w:spacing w:after="60"/>
              <w:jc w:val="both"/>
            </w:pPr>
          </w:p>
        </w:tc>
        <w:tc>
          <w:tcPr>
            <w:tcW w:w="3260" w:type="dxa"/>
            <w:gridSpan w:val="2"/>
            <w:tcBorders>
              <w:top w:val="single" w:sz="4" w:space="0" w:color="auto"/>
              <w:left w:val="single" w:sz="6" w:space="0" w:color="000000"/>
              <w:bottom w:val="single" w:sz="6" w:space="0" w:color="000000"/>
              <w:right w:val="single" w:sz="6" w:space="0" w:color="000000"/>
            </w:tcBorders>
          </w:tcPr>
          <w:p w14:paraId="7FD70B40" w14:textId="13B9B877" w:rsidR="000B2778" w:rsidRPr="00EC25A5" w:rsidRDefault="000B2778" w:rsidP="006C70E3">
            <w:pPr>
              <w:pStyle w:val="naisc"/>
              <w:spacing w:before="60" w:after="60"/>
              <w:ind w:firstLine="5"/>
              <w:jc w:val="both"/>
              <w:rPr>
                <w:b/>
              </w:rPr>
            </w:pPr>
            <w:r>
              <w:rPr>
                <w:b/>
              </w:rPr>
              <w:lastRenderedPageBreak/>
              <w:t>Ņemts vērā.</w:t>
            </w:r>
          </w:p>
        </w:tc>
        <w:tc>
          <w:tcPr>
            <w:tcW w:w="2951" w:type="dxa"/>
            <w:tcBorders>
              <w:top w:val="single" w:sz="4" w:space="0" w:color="auto"/>
              <w:left w:val="single" w:sz="4" w:space="0" w:color="auto"/>
              <w:bottom w:val="single" w:sz="4" w:space="0" w:color="auto"/>
            </w:tcBorders>
          </w:tcPr>
          <w:p w14:paraId="77D7A3DD" w14:textId="274207F2" w:rsidR="000B2778" w:rsidRDefault="000B2778" w:rsidP="000B2778">
            <w:pPr>
              <w:jc w:val="both"/>
              <w:rPr>
                <w:color w:val="000000" w:themeColor="text1"/>
              </w:rPr>
            </w:pPr>
          </w:p>
        </w:tc>
      </w:tr>
      <w:tr w:rsidR="000B2778" w:rsidRPr="00A02401" w14:paraId="25B19DDA" w14:textId="77777777" w:rsidTr="007D72ED">
        <w:tc>
          <w:tcPr>
            <w:tcW w:w="675" w:type="dxa"/>
            <w:tcBorders>
              <w:top w:val="single" w:sz="4" w:space="0" w:color="auto"/>
              <w:left w:val="single" w:sz="6" w:space="0" w:color="000000"/>
              <w:bottom w:val="single" w:sz="6" w:space="0" w:color="000000"/>
              <w:right w:val="single" w:sz="6" w:space="0" w:color="000000"/>
            </w:tcBorders>
          </w:tcPr>
          <w:p w14:paraId="29BA5CD6" w14:textId="77777777" w:rsidR="000B2778" w:rsidRPr="00A02401" w:rsidRDefault="000B2778" w:rsidP="006C70E3">
            <w:pPr>
              <w:pStyle w:val="naisc"/>
              <w:spacing w:before="60" w:after="60"/>
              <w:jc w:val="both"/>
            </w:pPr>
          </w:p>
        </w:tc>
        <w:tc>
          <w:tcPr>
            <w:tcW w:w="3119" w:type="dxa"/>
            <w:gridSpan w:val="2"/>
            <w:tcBorders>
              <w:top w:val="single" w:sz="4" w:space="0" w:color="auto"/>
              <w:left w:val="single" w:sz="6" w:space="0" w:color="000000"/>
              <w:bottom w:val="single" w:sz="6" w:space="0" w:color="000000"/>
              <w:right w:val="single" w:sz="6" w:space="0" w:color="000000"/>
            </w:tcBorders>
          </w:tcPr>
          <w:p w14:paraId="6D88563B" w14:textId="3722CBAC" w:rsidR="000B2778" w:rsidRDefault="000B2778" w:rsidP="006C70E3">
            <w:pPr>
              <w:spacing w:line="293" w:lineRule="atLeast"/>
              <w:jc w:val="both"/>
            </w:pPr>
            <w:r>
              <w:t>Jauns punkts.</w:t>
            </w:r>
          </w:p>
        </w:tc>
        <w:tc>
          <w:tcPr>
            <w:tcW w:w="4278" w:type="dxa"/>
            <w:tcBorders>
              <w:top w:val="single" w:sz="4" w:space="0" w:color="auto"/>
              <w:left w:val="single" w:sz="6" w:space="0" w:color="000000"/>
              <w:bottom w:val="single" w:sz="6" w:space="0" w:color="000000"/>
              <w:right w:val="single" w:sz="6" w:space="0" w:color="000000"/>
            </w:tcBorders>
          </w:tcPr>
          <w:p w14:paraId="3A701D2D" w14:textId="66604F94" w:rsidR="000B2778" w:rsidRDefault="000B2778" w:rsidP="000B2778">
            <w:pPr>
              <w:tabs>
                <w:tab w:val="left" w:pos="993"/>
              </w:tabs>
              <w:spacing w:after="60"/>
              <w:jc w:val="both"/>
              <w:rPr>
                <w:b/>
                <w:bCs/>
              </w:rPr>
            </w:pPr>
            <w:r w:rsidRPr="00EC25A5">
              <w:rPr>
                <w:b/>
                <w:bCs/>
              </w:rPr>
              <w:t>SPRK</w:t>
            </w:r>
          </w:p>
          <w:p w14:paraId="189EC98D" w14:textId="29CB10D7" w:rsidR="000B2778" w:rsidRDefault="000B2778" w:rsidP="000E00A7">
            <w:pPr>
              <w:tabs>
                <w:tab w:val="left" w:pos="993"/>
              </w:tabs>
              <w:spacing w:after="60"/>
              <w:jc w:val="both"/>
            </w:pPr>
            <w:r w:rsidRPr="00990216">
              <w:t>Regulator</w:t>
            </w:r>
            <w:r>
              <w:t>a</w:t>
            </w:r>
            <w:r w:rsidRPr="00990216">
              <w:t xml:space="preserve"> ieskatā</w:t>
            </w:r>
            <w:r w:rsidR="000E00A7">
              <w:t xml:space="preserve"> </w:t>
            </w:r>
            <w:r w:rsidRPr="00990216">
              <w:t xml:space="preserve">ne tikai mājsaimniecības lietotājiem, bet visiem </w:t>
            </w:r>
            <w:r>
              <w:t xml:space="preserve">lietotājiem, kuriem tiek sniegts </w:t>
            </w:r>
            <w:r w:rsidRPr="00990216">
              <w:t>pēdējās garantētās piegādes pakalpojum</w:t>
            </w:r>
            <w:r>
              <w:t>s,</w:t>
            </w:r>
            <w:r w:rsidRPr="00990216">
              <w:t xml:space="preserve"> būtu jāsaņem informācija no pēdējās garantētās piegādes pakalpojuma sniedzēja par dabasgāzes piegādi pēdējās garantētās piegādes pakalpojuma ietvaros un lietotāja pienākumu sešu mēnešu laikā noslēgt dabasgāzes tirdzniecības līgumu. Ievērojot minēto</w:t>
            </w:r>
            <w:r>
              <w:t>,</w:t>
            </w:r>
            <w:r w:rsidRPr="00990216">
              <w:t xml:space="preserve"> Noteikumu projekts papildināms </w:t>
            </w:r>
            <w:r w:rsidRPr="00990216">
              <w:lastRenderedPageBreak/>
              <w:t xml:space="preserve">ar jaunu </w:t>
            </w:r>
            <w:r>
              <w:t>normu</w:t>
            </w:r>
            <w:r w:rsidRPr="00990216">
              <w:t>, ar kuru Noteikumi tiek papildināti ar 69.4.apakšpunktu šādā redakcijā:</w:t>
            </w:r>
          </w:p>
          <w:p w14:paraId="22610321" w14:textId="4320050A" w:rsidR="000B2778" w:rsidRPr="00A8700C" w:rsidRDefault="000B2778" w:rsidP="000E00A7">
            <w:pPr>
              <w:tabs>
                <w:tab w:val="left" w:pos="993"/>
              </w:tabs>
              <w:spacing w:after="60"/>
              <w:jc w:val="both"/>
            </w:pPr>
            <w:r w:rsidRPr="00990216">
              <w:t>“69.4</w:t>
            </w:r>
            <w:r>
              <w:t>.</w:t>
            </w:r>
            <w:r w:rsidRPr="00990216">
              <w:t xml:space="preserve"> pienākums pēc informācijas no sadales sistēmas operatora saņemšanas informēt pēdējās garantētās piegādes pakalpojuma saņēmēju par dabasgāzes piegādi pēdējās garantētās piegādes pakalpojuma ietvaros un tā pienākumu sešu mēnešu laikā noslēgt dabasgāzes tirdzniecības līgumu.”</w:t>
            </w:r>
          </w:p>
        </w:tc>
        <w:tc>
          <w:tcPr>
            <w:tcW w:w="3260" w:type="dxa"/>
            <w:gridSpan w:val="2"/>
            <w:tcBorders>
              <w:top w:val="single" w:sz="4" w:space="0" w:color="auto"/>
              <w:left w:val="single" w:sz="6" w:space="0" w:color="000000"/>
              <w:bottom w:val="single" w:sz="6" w:space="0" w:color="000000"/>
              <w:right w:val="single" w:sz="6" w:space="0" w:color="000000"/>
            </w:tcBorders>
          </w:tcPr>
          <w:p w14:paraId="5D0F6CCC" w14:textId="77777777" w:rsidR="000B2778" w:rsidRDefault="000B2778" w:rsidP="000B2778">
            <w:pPr>
              <w:pStyle w:val="naisc"/>
              <w:spacing w:before="60" w:after="60"/>
              <w:ind w:firstLine="5"/>
              <w:jc w:val="both"/>
              <w:rPr>
                <w:b/>
              </w:rPr>
            </w:pPr>
            <w:r w:rsidRPr="00EC25A5">
              <w:rPr>
                <w:b/>
              </w:rPr>
              <w:lastRenderedPageBreak/>
              <w:t>Ņemts vērā.</w:t>
            </w:r>
          </w:p>
          <w:p w14:paraId="7EC1DFD4" w14:textId="77777777" w:rsidR="000B2778" w:rsidRPr="00EC25A5" w:rsidRDefault="000B2778" w:rsidP="006C70E3">
            <w:pPr>
              <w:pStyle w:val="naisc"/>
              <w:spacing w:before="60" w:after="60"/>
              <w:ind w:firstLine="5"/>
              <w:jc w:val="both"/>
              <w:rPr>
                <w:b/>
              </w:rPr>
            </w:pPr>
          </w:p>
        </w:tc>
        <w:tc>
          <w:tcPr>
            <w:tcW w:w="2951" w:type="dxa"/>
            <w:tcBorders>
              <w:top w:val="single" w:sz="4" w:space="0" w:color="auto"/>
              <w:left w:val="single" w:sz="4" w:space="0" w:color="auto"/>
              <w:bottom w:val="single" w:sz="4" w:space="0" w:color="auto"/>
            </w:tcBorders>
          </w:tcPr>
          <w:p w14:paraId="6EB4B5DC" w14:textId="76A7C92E" w:rsidR="000B2778" w:rsidRDefault="000B2778" w:rsidP="006C70E3">
            <w:pPr>
              <w:jc w:val="both"/>
              <w:rPr>
                <w:color w:val="000000" w:themeColor="text1"/>
              </w:rPr>
            </w:pPr>
            <w:r>
              <w:rPr>
                <w:color w:val="000000" w:themeColor="text1"/>
              </w:rPr>
              <w:t>Noteikumu projekts atbilstoši papildināts;</w:t>
            </w:r>
          </w:p>
        </w:tc>
      </w:tr>
      <w:tr w:rsidR="00EC25A5" w:rsidRPr="00A02401" w14:paraId="67321678" w14:textId="77777777" w:rsidTr="007D72ED">
        <w:tc>
          <w:tcPr>
            <w:tcW w:w="675" w:type="dxa"/>
            <w:tcBorders>
              <w:top w:val="single" w:sz="4" w:space="0" w:color="auto"/>
              <w:left w:val="single" w:sz="6" w:space="0" w:color="000000"/>
              <w:bottom w:val="single" w:sz="6" w:space="0" w:color="000000"/>
              <w:right w:val="single" w:sz="6" w:space="0" w:color="000000"/>
            </w:tcBorders>
          </w:tcPr>
          <w:p w14:paraId="712DAFFE" w14:textId="77777777" w:rsidR="00EC25A5" w:rsidRPr="00A02401" w:rsidRDefault="00EC25A5" w:rsidP="006C70E3">
            <w:pPr>
              <w:pStyle w:val="naisc"/>
              <w:spacing w:before="60" w:after="60"/>
              <w:jc w:val="both"/>
            </w:pPr>
          </w:p>
        </w:tc>
        <w:tc>
          <w:tcPr>
            <w:tcW w:w="3119" w:type="dxa"/>
            <w:gridSpan w:val="2"/>
            <w:tcBorders>
              <w:top w:val="single" w:sz="4" w:space="0" w:color="auto"/>
              <w:left w:val="single" w:sz="6" w:space="0" w:color="000000"/>
              <w:bottom w:val="single" w:sz="6" w:space="0" w:color="000000"/>
              <w:right w:val="single" w:sz="6" w:space="0" w:color="000000"/>
            </w:tcBorders>
          </w:tcPr>
          <w:p w14:paraId="00C59385" w14:textId="2B964A75" w:rsidR="00EC25A5" w:rsidRPr="00A02401" w:rsidRDefault="00EC25A5" w:rsidP="006C70E3">
            <w:pPr>
              <w:spacing w:line="293" w:lineRule="atLeast"/>
              <w:jc w:val="both"/>
            </w:pPr>
            <w:r>
              <w:t>Vairāki Noteikumu projekta punkti.</w:t>
            </w:r>
          </w:p>
        </w:tc>
        <w:tc>
          <w:tcPr>
            <w:tcW w:w="4278" w:type="dxa"/>
            <w:tcBorders>
              <w:top w:val="single" w:sz="4" w:space="0" w:color="auto"/>
              <w:left w:val="single" w:sz="6" w:space="0" w:color="000000"/>
              <w:bottom w:val="single" w:sz="6" w:space="0" w:color="000000"/>
              <w:right w:val="single" w:sz="6" w:space="0" w:color="000000"/>
            </w:tcBorders>
          </w:tcPr>
          <w:sdt>
            <w:sdtPr>
              <w:rPr>
                <w:rFonts w:ascii="Calibri" w:eastAsia="Calibri" w:hAnsi="Calibri"/>
                <w:b/>
                <w:bCs/>
                <w:sz w:val="22"/>
                <w:szCs w:val="22"/>
                <w:lang w:eastAsia="ja-JP"/>
              </w:rPr>
              <w:id w:val="-1277478208"/>
              <w:placeholder>
                <w:docPart w:val="B61AB21751A4470A85001578819ED647"/>
              </w:placeholder>
            </w:sdtPr>
            <w:sdtEndPr>
              <w:rPr>
                <w:rFonts w:eastAsia="Times New Roman"/>
                <w:b w:val="0"/>
                <w:bCs w:val="0"/>
                <w:lang w:eastAsia="en-US"/>
              </w:rPr>
            </w:sdtEndPr>
            <w:sdtContent>
              <w:sdt>
                <w:sdtPr>
                  <w:rPr>
                    <w:rFonts w:ascii="Calibri" w:eastAsia="Calibri" w:hAnsi="Calibri"/>
                    <w:b/>
                    <w:bCs/>
                    <w:sz w:val="22"/>
                    <w:szCs w:val="22"/>
                    <w:lang w:eastAsia="ja-JP"/>
                  </w:rPr>
                  <w:id w:val="-820198371"/>
                  <w:placeholder>
                    <w:docPart w:val="E8993EA3295C460EB5B1DFD4C231E950"/>
                  </w:placeholder>
                </w:sdtPr>
                <w:sdtEndPr>
                  <w:rPr>
                    <w:rFonts w:eastAsia="Times New Roman"/>
                    <w:b w:val="0"/>
                    <w:bCs w:val="0"/>
                    <w:lang w:eastAsia="en-US"/>
                  </w:rPr>
                </w:sdtEndPr>
                <w:sdtContent>
                  <w:p w14:paraId="6070640D" w14:textId="52929C36" w:rsidR="00EC25A5" w:rsidRPr="000E00A7" w:rsidRDefault="00EC25A5" w:rsidP="006C70E3">
                    <w:pPr>
                      <w:tabs>
                        <w:tab w:val="left" w:pos="993"/>
                      </w:tabs>
                      <w:spacing w:after="60"/>
                      <w:jc w:val="both"/>
                      <w:rPr>
                        <w:b/>
                        <w:bCs/>
                      </w:rPr>
                    </w:pPr>
                    <w:r w:rsidRPr="000E00A7">
                      <w:rPr>
                        <w:b/>
                        <w:bCs/>
                      </w:rPr>
                      <w:t>SPRK</w:t>
                    </w:r>
                  </w:p>
                  <w:p w14:paraId="56A1A69D" w14:textId="77777777" w:rsidR="00EC25A5" w:rsidRPr="000E00A7" w:rsidRDefault="00EC25A5" w:rsidP="006C70E3">
                    <w:pPr>
                      <w:spacing w:after="60"/>
                      <w:jc w:val="both"/>
                    </w:pPr>
                    <w:r w:rsidRPr="000E00A7">
                      <w:t>Ja iebildums attiecībā uz pēdējās garantētās piegādes pakalpojuma regulējuma tvērumu netiek ņemts vērā, Regulators norāda, ka Noteikumu projekta 8., 9. un 10.punktā noteiktās normas ir attiecināmas uz visiem pēdējās garantētās piegādes pakalpojuma saņēmējiem, ne tikai saistītajiem lietotājiem. Līdz ar to Noteikumu projektā jāparedz grozījumi Noteikumu VI.nodaļā “Pēdējās garantētās piegādes pakalpojums”, nosakot:</w:t>
                    </w:r>
                  </w:p>
                  <w:p w14:paraId="1281C9DA" w14:textId="77777777" w:rsidR="00EC25A5" w:rsidRPr="000E00A7" w:rsidRDefault="00EC25A5" w:rsidP="006C70E3">
                    <w:pPr>
                      <w:pStyle w:val="ListParagraph"/>
                      <w:numPr>
                        <w:ilvl w:val="2"/>
                        <w:numId w:val="27"/>
                      </w:numPr>
                      <w:spacing w:after="60" w:line="240" w:lineRule="auto"/>
                      <w:ind w:left="1224" w:hanging="504"/>
                      <w:jc w:val="both"/>
                      <w:rPr>
                        <w:rFonts w:ascii="Times New Roman" w:hAnsi="Times New Roman"/>
                        <w:sz w:val="24"/>
                        <w:szCs w:val="24"/>
                      </w:rPr>
                    </w:pPr>
                    <w:r w:rsidRPr="000E00A7">
                      <w:rPr>
                        <w:rFonts w:ascii="Times New Roman" w:hAnsi="Times New Roman"/>
                        <w:sz w:val="24"/>
                        <w:szCs w:val="24"/>
                      </w:rPr>
                      <w:t xml:space="preserve">dabasgāzes sadales sistēmas operatora pienākumu (ja dabasgāzes sadales sistēmas operators nav pēdējās garantētās piegādes pakalpojuma sniedzējs) informēt pēdējās garantētās piegādes pakalpojuma sniedzēju par lietotāju, kurš </w:t>
                    </w:r>
                    <w:r w:rsidRPr="000E00A7">
                      <w:rPr>
                        <w:rFonts w:ascii="Times New Roman" w:hAnsi="Times New Roman"/>
                        <w:sz w:val="24"/>
                        <w:szCs w:val="24"/>
                      </w:rPr>
                      <w:lastRenderedPageBreak/>
                      <w:t>nav saistītais lietotājs, kuram nav spēkā esoša dabasgāzes tirdzniecības līguma un kurš līdz tā noslēgšanai turpina patērēt dabasgāzi, vai kuram ir spēkā esošs dabasgāzes tirdzniecības līgums ar dabasgāzes tirgotāju, kurš izbeidz vai izbeidzis dabasgāzes tirdzniecību, un reģistrēt dabasgāzes tirdzniecību pēdējās garantētās piegādes pakalpojuma ietvaros minētajam lietotājam;</w:t>
                    </w:r>
                  </w:p>
                  <w:p w14:paraId="18296A7E" w14:textId="1E084436" w:rsidR="00EC25A5" w:rsidRPr="000E00A7" w:rsidRDefault="00EC25A5" w:rsidP="006C70E3">
                    <w:pPr>
                      <w:pStyle w:val="ListParagraph"/>
                      <w:numPr>
                        <w:ilvl w:val="2"/>
                        <w:numId w:val="27"/>
                      </w:numPr>
                      <w:spacing w:after="60" w:line="240" w:lineRule="auto"/>
                      <w:ind w:left="1224" w:hanging="504"/>
                      <w:jc w:val="both"/>
                      <w:rPr>
                        <w:rFonts w:ascii="Times New Roman" w:hAnsi="Times New Roman"/>
                        <w:sz w:val="24"/>
                        <w:szCs w:val="24"/>
                      </w:rPr>
                    </w:pPr>
                    <w:r w:rsidRPr="000E00A7">
                      <w:rPr>
                        <w:rFonts w:ascii="Times New Roman" w:hAnsi="Times New Roman"/>
                        <w:sz w:val="24"/>
                        <w:szCs w:val="24"/>
                      </w:rPr>
                      <w:t xml:space="preserve">pēdējās garantētās piegādes pakalpojuma sniedzēja pienākumu pēc informācijas no dabasgāzes sadales sistēmas operatora saņemšanas informēt pēdējās garantētās piegādes pakalpojuma saņēmēju par dabasgāzes tirdzniecību pēdējās garantētās piegādes pakalpojuma ietvaros un pienākumu sešu mēnešu laikā noslēgt dabasgāzes tirdzniecības līgumu, kā arī par pēdējās garantētās piegādes pakalpojuma ietvaros saņemamās dabasgāzes cenas izmaiņām, </w:t>
                    </w:r>
                    <w:r w:rsidRPr="000E00A7">
                      <w:rPr>
                        <w:rFonts w:ascii="Times New Roman" w:hAnsi="Times New Roman"/>
                        <w:sz w:val="24"/>
                        <w:szCs w:val="24"/>
                      </w:rPr>
                      <w:lastRenderedPageBreak/>
                      <w:t>ja sešu mēnešu laikā, saņemot pēdējās garantētās piegādes pakalpojumu, nav noslēgts dabasgāzes tirdzniecības līgums.</w:t>
                    </w:r>
                  </w:p>
                </w:sdtContent>
              </w:sdt>
            </w:sdtContent>
          </w:sdt>
          <w:p w14:paraId="7831AF60" w14:textId="77777777" w:rsidR="00EC25A5" w:rsidRDefault="00C14A90" w:rsidP="006C70E3">
            <w:pPr>
              <w:jc w:val="both"/>
              <w:rPr>
                <w:b/>
              </w:rPr>
            </w:pPr>
            <w:r>
              <w:rPr>
                <w:b/>
              </w:rPr>
              <w:t>SPRK</w:t>
            </w:r>
          </w:p>
          <w:p w14:paraId="216EC016" w14:textId="77777777" w:rsidR="00C14A90" w:rsidRDefault="00C14A90" w:rsidP="006C70E3">
            <w:pPr>
              <w:jc w:val="both"/>
              <w:rPr>
                <w:b/>
              </w:rPr>
            </w:pPr>
          </w:p>
          <w:p w14:paraId="36B90CB0" w14:textId="18EEC665" w:rsidR="00C14A90" w:rsidRPr="00C14A90" w:rsidRDefault="00C14A90" w:rsidP="006C70E3">
            <w:pPr>
              <w:jc w:val="both"/>
              <w:rPr>
                <w:b/>
              </w:rPr>
            </w:pPr>
            <w:r>
              <w:rPr>
                <w:lang w:eastAsia="en-US"/>
              </w:rPr>
              <w:t>L</w:t>
            </w:r>
            <w:r>
              <w:rPr>
                <w:lang w:eastAsia="en-US"/>
              </w:rPr>
              <w:t>ietotājiem, kas nav mājsaimniecības lietotāji, pēdējās garantētās piegādes pakalpojuma ietvaros saņemamās dabasgāzes cenas noteikšana kartība nemainās, ja sešu mēnešu laikā, saņemot pēdējās garantētās piegādes pakalpojumu, lietotājs nav noslēdzis dabasgāzes tirdzniecības līgumu. Gadījumā, ja minētajiem lietotājiem, nenoslēdzot dabasgāzes tirdzniecības līgumu, pēdējās garantētās piegādes pakalpojuma ietvaros saņemamās dabasgāzes cenas izmaiņas pēc sešiem mēnešiem nav plānotas, no Noteikumu projekta 12.punktā paredzētā Ministru kabineta 2017.gada 7.februāra noteikumu Nr.78 “Dabasgāzes tirdzniecības un lietošanas noteikumi” (turpmāk – Noteikumi)  53.1punkta svītrojami vārdi “kā arī par pēdējās garantētās piegādes pakalpojuma ietvaros saņemamās dabasgāzes cenas izmaiņām, ja sešu mēnešu laikā, saņemot pēdējās garantētās piegādes pakalpojumu, nav noslēgts dabasgāzes tirdzniecības līgums</w:t>
            </w:r>
          </w:p>
        </w:tc>
        <w:tc>
          <w:tcPr>
            <w:tcW w:w="3260" w:type="dxa"/>
            <w:gridSpan w:val="2"/>
            <w:tcBorders>
              <w:top w:val="single" w:sz="4" w:space="0" w:color="auto"/>
              <w:left w:val="single" w:sz="6" w:space="0" w:color="000000"/>
              <w:bottom w:val="single" w:sz="6" w:space="0" w:color="000000"/>
              <w:right w:val="single" w:sz="6" w:space="0" w:color="000000"/>
            </w:tcBorders>
          </w:tcPr>
          <w:p w14:paraId="519DBB56" w14:textId="77777777" w:rsidR="00EC25A5" w:rsidRDefault="00EC25A5" w:rsidP="006C70E3">
            <w:pPr>
              <w:pStyle w:val="naisc"/>
              <w:spacing w:before="60" w:after="60"/>
              <w:ind w:firstLine="5"/>
              <w:jc w:val="both"/>
              <w:rPr>
                <w:b/>
              </w:rPr>
            </w:pPr>
            <w:r w:rsidRPr="00EC25A5">
              <w:rPr>
                <w:b/>
              </w:rPr>
              <w:lastRenderedPageBreak/>
              <w:t>Ņemts vērā.</w:t>
            </w:r>
          </w:p>
          <w:p w14:paraId="74289EB1" w14:textId="1272DD62" w:rsidR="00EC25A5" w:rsidRPr="00EC25A5" w:rsidRDefault="00EC25A5" w:rsidP="006C70E3">
            <w:pPr>
              <w:pStyle w:val="naisc"/>
              <w:spacing w:before="60" w:after="60"/>
              <w:ind w:firstLine="5"/>
              <w:jc w:val="both"/>
              <w:rPr>
                <w:bCs/>
              </w:rPr>
            </w:pPr>
            <w:r>
              <w:rPr>
                <w:bCs/>
              </w:rPr>
              <w:t>Noteikumu projekts un anotācija ir papildināti ar SPRK atzinumā minētiem pienākumiem.</w:t>
            </w:r>
          </w:p>
        </w:tc>
        <w:tc>
          <w:tcPr>
            <w:tcW w:w="2951" w:type="dxa"/>
            <w:tcBorders>
              <w:top w:val="single" w:sz="4" w:space="0" w:color="auto"/>
              <w:left w:val="single" w:sz="4" w:space="0" w:color="auto"/>
              <w:bottom w:val="single" w:sz="4" w:space="0" w:color="auto"/>
            </w:tcBorders>
          </w:tcPr>
          <w:p w14:paraId="25801857" w14:textId="77777777" w:rsidR="00EC25A5" w:rsidRDefault="00EC25A5" w:rsidP="006C70E3">
            <w:pPr>
              <w:jc w:val="both"/>
              <w:rPr>
                <w:color w:val="000000" w:themeColor="text1"/>
              </w:rPr>
            </w:pPr>
            <w:r>
              <w:rPr>
                <w:color w:val="000000" w:themeColor="text1"/>
              </w:rPr>
              <w:t>Noteikumu projekts atbilstoši papildināts:</w:t>
            </w:r>
          </w:p>
          <w:p w14:paraId="486B468E" w14:textId="77777777" w:rsidR="006C70E3" w:rsidRPr="00A8700C" w:rsidRDefault="006C70E3" w:rsidP="006C70E3">
            <w:pPr>
              <w:jc w:val="both"/>
              <w:rPr>
                <w:color w:val="000000" w:themeColor="text1"/>
              </w:rPr>
            </w:pPr>
            <w:r w:rsidRPr="00A8700C">
              <w:t xml:space="preserve">11. Papildināt 49.punktu ar </w:t>
            </w:r>
            <w:r w:rsidRPr="00A8700C">
              <w:rPr>
                <w:color w:val="000000" w:themeColor="text1"/>
              </w:rPr>
              <w:t>49.4 apakšpunktu šādā redakcijā:</w:t>
            </w:r>
          </w:p>
          <w:p w14:paraId="567E9EEF" w14:textId="77777777" w:rsidR="006C70E3" w:rsidRPr="00A8700C" w:rsidRDefault="006C70E3" w:rsidP="006C70E3">
            <w:pPr>
              <w:jc w:val="both"/>
              <w:rPr>
                <w:color w:val="000000" w:themeColor="text1"/>
              </w:rPr>
            </w:pPr>
          </w:p>
          <w:p w14:paraId="52A41F80" w14:textId="77777777" w:rsidR="006C70E3" w:rsidRPr="00A8700C" w:rsidRDefault="006C70E3" w:rsidP="00A8700C">
            <w:pPr>
              <w:jc w:val="both"/>
            </w:pPr>
            <w:r w:rsidRPr="00A8700C">
              <w:rPr>
                <w:rFonts w:cstheme="minorBidi"/>
              </w:rPr>
              <w:t xml:space="preserve">“49.4. ja sadales sistēmas operators nav pēdējās garantētās piegādes pakalpojuma sniedzējs, informēt pēdējās garantētās piegādes pakalpojuma sniedzēju par lietotāju, kurš nav saistītais lietotājs, kuram nav spēkā esoša dabasgāzes tirdzniecības līguma un kurš līdz tā noslēgšanai turpina patērēt dabasgāzi, vai kuram ir spēkā esošs dabasgāzes tirdzniecības līgums ar dabasgāzes tirgotāju, kurš izbeidz vai izbeidzis </w:t>
            </w:r>
            <w:r w:rsidRPr="00A8700C">
              <w:rPr>
                <w:rFonts w:cstheme="minorBidi"/>
              </w:rPr>
              <w:lastRenderedPageBreak/>
              <w:t>dabasgāzes tirdzniecību, un reģistrēt dabasgāzes tirdzniecību pēdējās garantētās piegādes pakalpojuma ietvaros minētajam lietotājam</w:t>
            </w:r>
            <w:r w:rsidRPr="00A8700C">
              <w:t>”.</w:t>
            </w:r>
          </w:p>
          <w:p w14:paraId="7D5941D2" w14:textId="77777777" w:rsidR="006C70E3" w:rsidRPr="00A8700C" w:rsidRDefault="006C70E3" w:rsidP="006C70E3">
            <w:r w:rsidRPr="00A8700C">
              <w:t>.</w:t>
            </w:r>
          </w:p>
          <w:p w14:paraId="643F0AB3" w14:textId="208056BD" w:rsidR="006C70E3" w:rsidRPr="00A8700C" w:rsidRDefault="006C70E3" w:rsidP="006C70E3">
            <w:pPr>
              <w:jc w:val="both"/>
              <w:rPr>
                <w:color w:val="000000" w:themeColor="text1"/>
              </w:rPr>
            </w:pPr>
            <w:r w:rsidRPr="00A8700C">
              <w:t xml:space="preserve">12. </w:t>
            </w:r>
            <w:r w:rsidRPr="00A8700C">
              <w:rPr>
                <w:color w:val="000000" w:themeColor="text1"/>
              </w:rPr>
              <w:t>Papildināt IV nodaļu ar 53.</w:t>
            </w:r>
            <w:r w:rsidRPr="00A8700C">
              <w:rPr>
                <w:color w:val="000000" w:themeColor="text1"/>
                <w:vertAlign w:val="superscript"/>
              </w:rPr>
              <w:t>1</w:t>
            </w:r>
            <w:r w:rsidRPr="00A8700C">
              <w:rPr>
                <w:color w:val="000000" w:themeColor="text1"/>
              </w:rPr>
              <w:t> punktu šādā redakcijā:</w:t>
            </w:r>
          </w:p>
          <w:p w14:paraId="618A6724" w14:textId="77777777" w:rsidR="006C70E3" w:rsidRPr="00A8700C" w:rsidRDefault="006C70E3" w:rsidP="006C70E3">
            <w:pPr>
              <w:ind w:firstLine="720"/>
              <w:jc w:val="both"/>
              <w:rPr>
                <w:color w:val="000000" w:themeColor="text1"/>
              </w:rPr>
            </w:pPr>
          </w:p>
          <w:p w14:paraId="15A3C26C" w14:textId="232EDE2F" w:rsidR="006C70E3" w:rsidRPr="00A8700C" w:rsidRDefault="006C70E3" w:rsidP="00A8700C">
            <w:pPr>
              <w:jc w:val="both"/>
            </w:pPr>
            <w:r w:rsidRPr="00A8700C">
              <w:rPr>
                <w:color w:val="000000" w:themeColor="text1"/>
              </w:rPr>
              <w:t>“53.</w:t>
            </w:r>
            <w:r w:rsidRPr="00A8700C">
              <w:rPr>
                <w:color w:val="000000" w:themeColor="text1"/>
                <w:vertAlign w:val="superscript"/>
              </w:rPr>
              <w:t>1</w:t>
            </w:r>
            <w:r w:rsidRPr="00A8700C">
              <w:rPr>
                <w:color w:val="000000" w:themeColor="text1"/>
              </w:rPr>
              <w:t> </w:t>
            </w:r>
            <w:r w:rsidRPr="00A8700C">
              <w:t>Pēdējās garantētās piegādes pakalpojuma sniedzējs pēc informācijas no sadales sistēmas operatora saņemšanas informē pēdējās garantētās piegādes pakalpojuma saņēmēju par dabasgāzes tirdzniecību pēdējās garantētās piegādes pakalpojuma ietvaros un pienākumu sešu mēnešu laikā noslēgt dabasgāzes tirdzniecības līgumu.”</w:t>
            </w:r>
          </w:p>
          <w:p w14:paraId="555CE10A" w14:textId="6FFF056D" w:rsidR="00EC25A5" w:rsidRPr="00A02401" w:rsidRDefault="00EC25A5" w:rsidP="006C70E3">
            <w:pPr>
              <w:jc w:val="both"/>
              <w:rPr>
                <w:color w:val="000000" w:themeColor="text1"/>
              </w:rPr>
            </w:pPr>
          </w:p>
        </w:tc>
      </w:tr>
      <w:tr w:rsidR="00055D01" w:rsidRPr="00A02401" w14:paraId="509D1E7C" w14:textId="77777777" w:rsidTr="007D72ED">
        <w:tc>
          <w:tcPr>
            <w:tcW w:w="675" w:type="dxa"/>
            <w:tcBorders>
              <w:top w:val="single" w:sz="4" w:space="0" w:color="auto"/>
              <w:left w:val="single" w:sz="6" w:space="0" w:color="000000"/>
              <w:bottom w:val="single" w:sz="6" w:space="0" w:color="000000"/>
              <w:right w:val="single" w:sz="6" w:space="0" w:color="000000"/>
            </w:tcBorders>
          </w:tcPr>
          <w:p w14:paraId="6CBC0185" w14:textId="7ADE99E3" w:rsidR="00055D01" w:rsidRPr="00A02401" w:rsidRDefault="00055D01" w:rsidP="006C70E3">
            <w:pPr>
              <w:pStyle w:val="naisc"/>
              <w:spacing w:before="60" w:after="60"/>
              <w:jc w:val="both"/>
            </w:pPr>
            <w:r w:rsidRPr="00A02401">
              <w:lastRenderedPageBreak/>
              <w:t>12.</w:t>
            </w:r>
          </w:p>
        </w:tc>
        <w:tc>
          <w:tcPr>
            <w:tcW w:w="3119" w:type="dxa"/>
            <w:gridSpan w:val="2"/>
            <w:tcBorders>
              <w:top w:val="single" w:sz="4" w:space="0" w:color="auto"/>
              <w:left w:val="single" w:sz="6" w:space="0" w:color="000000"/>
              <w:bottom w:val="single" w:sz="6" w:space="0" w:color="000000"/>
              <w:right w:val="single" w:sz="6" w:space="0" w:color="000000"/>
            </w:tcBorders>
          </w:tcPr>
          <w:p w14:paraId="1FBB0C6E" w14:textId="77777777" w:rsidR="00055D01" w:rsidRPr="00A02401" w:rsidRDefault="00055D01" w:rsidP="006C70E3">
            <w:pPr>
              <w:spacing w:line="293" w:lineRule="atLeast"/>
              <w:jc w:val="both"/>
            </w:pPr>
            <w:r w:rsidRPr="00A02401">
              <w:t>6. Papildināt noteikumus ar 64.</w:t>
            </w:r>
            <w:r w:rsidRPr="00A02401">
              <w:rPr>
                <w:vertAlign w:val="superscript"/>
              </w:rPr>
              <w:t>1</w:t>
            </w:r>
            <w:r w:rsidRPr="00A02401">
              <w:t xml:space="preserve"> un 64.</w:t>
            </w:r>
            <w:r w:rsidRPr="00A02401">
              <w:rPr>
                <w:vertAlign w:val="superscript"/>
              </w:rPr>
              <w:t>2</w:t>
            </w:r>
            <w:r w:rsidRPr="00A02401">
              <w:t xml:space="preserve">  punktiem šādā redakcijā:</w:t>
            </w:r>
          </w:p>
          <w:p w14:paraId="65D8897D" w14:textId="77777777" w:rsidR="00055D01" w:rsidRPr="00A02401" w:rsidRDefault="00055D01" w:rsidP="006C70E3">
            <w:pPr>
              <w:spacing w:line="293" w:lineRule="atLeast"/>
              <w:ind w:firstLine="709"/>
              <w:jc w:val="both"/>
            </w:pPr>
          </w:p>
          <w:p w14:paraId="3F1F5CB9" w14:textId="77777777" w:rsidR="00055D01" w:rsidRPr="00A02401" w:rsidRDefault="00055D01" w:rsidP="00A8700C">
            <w:pPr>
              <w:spacing w:line="293" w:lineRule="atLeast"/>
              <w:jc w:val="both"/>
            </w:pPr>
            <w:r w:rsidRPr="00A02401">
              <w:t>“64.</w:t>
            </w:r>
            <w:r w:rsidRPr="00A02401">
              <w:rPr>
                <w:vertAlign w:val="superscript"/>
              </w:rPr>
              <w:t>1</w:t>
            </w:r>
            <w:r w:rsidRPr="00A02401">
              <w:t xml:space="preserve"> Ja mājsaimniecības lietotājs, kurš saņem dabasgāzi pēdējās garantētās piegādes ietvaros sešu mēnešu laikā nav noslēdzis dabasgāzes tirdzniecības līgumu ar kādu tirgotāju, tad sadales sistēmas operatoram ir tiesības šim lietotājam pārtraukt dabasgāzes piegādi. Ja lietotājs vai gazificētā objekta īpašnieks nav nodrošinājis iespēju sadales sistēmas operatoram pārtraukt dabasgāzes padevi gazificētajā objektā, šim lietotājam dabasgāzi turpina tirgot publiskais tirgotājs par dabasgāzes cenu saistītiem lietotājiem divkāršā apmērā.</w:t>
            </w:r>
          </w:p>
          <w:p w14:paraId="0393453B" w14:textId="3134F6A8" w:rsidR="00055D01" w:rsidRPr="00A02401" w:rsidRDefault="00055D01" w:rsidP="006C70E3">
            <w:pPr>
              <w:spacing w:line="293" w:lineRule="atLeast"/>
              <w:jc w:val="both"/>
              <w:rPr>
                <w:color w:val="000000" w:themeColor="text1"/>
              </w:rPr>
            </w:pPr>
            <w:r w:rsidRPr="00A02401">
              <w:t>64.</w:t>
            </w:r>
            <w:r w:rsidRPr="00A02401">
              <w:rPr>
                <w:vertAlign w:val="superscript"/>
              </w:rPr>
              <w:t xml:space="preserve">2 </w:t>
            </w:r>
            <w:r w:rsidRPr="00A02401">
              <w:t xml:space="preserve">Ja tirgus lietotājs, kurš nav mājsaimniecības lietotājs un kurš saņem dabasgāzi pēdējās garantētās piegādes ietvaros, sešu mēnešu laikā nav noslēdzis dabasgāzes tirdzniecības līgumu ar kādu </w:t>
            </w:r>
            <w:r w:rsidRPr="00A02401">
              <w:lastRenderedPageBreak/>
              <w:t>tirgotāju, tad sadales sistēmas operatoram ir tiesības šim lietotājam pārtraukt dabasgāzes piegādi. Ja lietotājs vai gazificētā objekta īpašnieks nav nodrošinājis iespēju sadales sistēmas operatoram pārtraukt dabasgāzes padevi gazificētajā objektā, šim lietotājam dabasgāzi turpina tirgot esošais pēdējās garantētās piegādes tirgotājs par noteikto pēdējās garantētās piegādes cenu divkāršā apmērā.”</w:t>
            </w:r>
          </w:p>
        </w:tc>
        <w:tc>
          <w:tcPr>
            <w:tcW w:w="4278" w:type="dxa"/>
            <w:tcBorders>
              <w:top w:val="single" w:sz="4" w:space="0" w:color="auto"/>
              <w:left w:val="single" w:sz="6" w:space="0" w:color="000000"/>
              <w:bottom w:val="single" w:sz="6" w:space="0" w:color="000000"/>
              <w:right w:val="single" w:sz="6" w:space="0" w:color="000000"/>
            </w:tcBorders>
          </w:tcPr>
          <w:p w14:paraId="6DFF4970" w14:textId="00ED640F" w:rsidR="00055D01" w:rsidRPr="00A02401" w:rsidRDefault="00055D01" w:rsidP="006C70E3">
            <w:pPr>
              <w:jc w:val="both"/>
              <w:rPr>
                <w:b/>
              </w:rPr>
            </w:pPr>
            <w:r w:rsidRPr="00A02401">
              <w:rPr>
                <w:b/>
              </w:rPr>
              <w:lastRenderedPageBreak/>
              <w:t>SPRK</w:t>
            </w:r>
          </w:p>
          <w:p w14:paraId="5FE2558A" w14:textId="77777777" w:rsidR="00055D01" w:rsidRPr="00A02401" w:rsidRDefault="00055D01" w:rsidP="006C70E3">
            <w:pPr>
              <w:jc w:val="both"/>
              <w:rPr>
                <w:bCs/>
              </w:rPr>
            </w:pPr>
            <w:r w:rsidRPr="00A02401">
              <w:rPr>
                <w:bCs/>
              </w:rPr>
              <w:t>Noteikumu projekta 6.punktā paredzētajā Ministru kabineta 2017.gada 7.februāra noteikumu Nr.78 “Dabasgāzes tirdzniecības un lietošanas noteikumi” (turpmāk – Noteikumi) 64.</w:t>
            </w:r>
            <w:r w:rsidRPr="00A02401">
              <w:rPr>
                <w:bCs/>
                <w:vertAlign w:val="superscript"/>
              </w:rPr>
              <w:t>2</w:t>
            </w:r>
            <w:r w:rsidRPr="00A02401">
              <w:rPr>
                <w:bCs/>
              </w:rPr>
              <w:t>punktā nepieciešams svītrot vārdu “tirgus” un aizstāt vārdus “esošais pēdējās garantētās piegādes tirgotājs” ar vārdiem “pēdējās garantētās piegādes pakalpojuma sniedzējs”. Vienlaikus minētajā Noteikumu punktā jānosaka brīdis, no kura tiek uzskatīts, ka dabasgāzes lietotājam dabasgāzi turpina tirgot esošais pēdējās garantētās piegādes pakalpojuma sniedzējs par noteikto pēdējās garantētās piegādes cenu divkāršā apmērā.</w:t>
            </w:r>
          </w:p>
          <w:p w14:paraId="4058222B" w14:textId="77777777" w:rsidR="00055D01" w:rsidRPr="00A02401" w:rsidRDefault="00055D01" w:rsidP="006C70E3">
            <w:pPr>
              <w:jc w:val="both"/>
              <w:rPr>
                <w:bCs/>
              </w:rPr>
            </w:pPr>
          </w:p>
          <w:p w14:paraId="41619F1E" w14:textId="7739B5A0" w:rsidR="00055D01" w:rsidRPr="00A02401" w:rsidRDefault="00055D01" w:rsidP="006C70E3">
            <w:pPr>
              <w:jc w:val="both"/>
              <w:rPr>
                <w:b/>
              </w:rPr>
            </w:pPr>
            <w:r w:rsidRPr="00A02401">
              <w:rPr>
                <w:b/>
              </w:rPr>
              <w:t>TM</w:t>
            </w:r>
          </w:p>
          <w:p w14:paraId="6CFE425D" w14:textId="77777777" w:rsidR="00055D01" w:rsidRPr="00A02401" w:rsidRDefault="00055D01" w:rsidP="006C70E3">
            <w:pPr>
              <w:jc w:val="both"/>
              <w:rPr>
                <w:bCs/>
              </w:rPr>
            </w:pPr>
          </w:p>
          <w:p w14:paraId="52D1C057" w14:textId="77777777" w:rsidR="00055D01" w:rsidRPr="00A02401" w:rsidRDefault="00055D01" w:rsidP="006C70E3">
            <w:pPr>
              <w:pStyle w:val="NoSpacing"/>
              <w:ind w:firstLine="0"/>
              <w:rPr>
                <w:color w:val="000000"/>
                <w:sz w:val="24"/>
                <w:szCs w:val="24"/>
              </w:rPr>
            </w:pPr>
            <w:r w:rsidRPr="00A02401">
              <w:rPr>
                <w:color w:val="000000"/>
                <w:sz w:val="24"/>
                <w:szCs w:val="24"/>
              </w:rPr>
              <w:t>Projekta 6. punkts paredz papildināt noteikumus ar diviem jauniem punktiem, kas pēc būtības nosaka, ka gadījumos, kuros pēdējās garantētās piegādes termiņa laikā netiek noslēgts dabasgāzes tirdzniecības līgums un netiek nodrošināta piekļuve dabasgāzes padeves pārtraukšanai, dabasgāzi turpina tirgot lietotājam par noteikto pēdējās garantētās piegādes cenu divkāršā apmērā. </w:t>
            </w:r>
          </w:p>
          <w:p w14:paraId="53CC9BA7" w14:textId="77777777" w:rsidR="00055D01" w:rsidRPr="00A02401" w:rsidRDefault="00055D01" w:rsidP="00A8700C">
            <w:pPr>
              <w:pStyle w:val="NoSpacing"/>
              <w:ind w:firstLine="0"/>
              <w:rPr>
                <w:color w:val="000000"/>
                <w:sz w:val="24"/>
                <w:szCs w:val="24"/>
              </w:rPr>
            </w:pPr>
            <w:r w:rsidRPr="00A02401">
              <w:rPr>
                <w:color w:val="000000"/>
                <w:sz w:val="24"/>
                <w:szCs w:val="24"/>
              </w:rPr>
              <w:t xml:space="preserve">Šāds risinājums paredz ieviest modeli, kas, no vienas puses nerisina jautājumu par dabasgāzes piegādes pārtraukšanu, no otras </w:t>
            </w:r>
            <w:r w:rsidRPr="00A02401">
              <w:rPr>
                <w:color w:val="000000"/>
                <w:sz w:val="24"/>
                <w:szCs w:val="24"/>
              </w:rPr>
              <w:lastRenderedPageBreak/>
              <w:t>puses, leģitimizē stāvokli, kurā dabasgāze tiek piegādāta bez dabasgāzes tirdzniecības līguma. Bez minētā šī modeļa ietvaros Ministru kabinets nosaka dabasgāzes piegādes cenu. T.i., Ministru kabineta noteikumu līmenī tiktu ieviests pagaidu/pastāvīgs režīms, nevis piedāvāts risinājums, kā noprotams, aktuālai problēmai. Turklāt par piedāvāto regulējumu anotācijā nav ietverta informācija nedz par aktuālo problemātiku, ko ir paredzēts risināt, nedz par izvēlēto risinājumu pieļaujamību šī projekta ietvaros, nedz par to, vai piedāvātais regulējums ir lietderīgs un optimāls risinājums konkrētai problemātikai. </w:t>
            </w:r>
          </w:p>
          <w:p w14:paraId="6B7C2B89" w14:textId="77777777" w:rsidR="00055D01" w:rsidRPr="00A02401" w:rsidRDefault="00055D01" w:rsidP="00A8700C">
            <w:pPr>
              <w:pStyle w:val="NoSpacing"/>
              <w:ind w:firstLine="0"/>
              <w:rPr>
                <w:color w:val="000000"/>
                <w:sz w:val="24"/>
                <w:szCs w:val="24"/>
              </w:rPr>
            </w:pPr>
            <w:r w:rsidRPr="00A02401">
              <w:rPr>
                <w:color w:val="000000"/>
                <w:sz w:val="24"/>
                <w:szCs w:val="24"/>
              </w:rPr>
              <w:t>Vēršam uzmanību uz to, ka saskaņā ar Enerģētikas likuma 107. panta trešo daļu Ministru kabinets nevar noteikt dabasgāzes tirdzniecības cenu, jo to nosaka regulators. Tādējādi projekta 6. punktā paredzētais regulējums attiecībā uz dabasgāzes cenu (garantētās piegādes cena divkāršā apmērā) ir ārpus deleģējuma tvēruma. Vienlaikus nav skaidrs, vai, ņemot vērā Enerģētikas likuma 106. panta pirmo daļu (kas prasa dabasgāzes tirgus dalībniekiem slēgt rakstveida līgumus) ir pieļaujams, ka Ministru kabinets regulē stāvokli, kurā dabasgāze tiek piegādāta bez līguma. </w:t>
            </w:r>
          </w:p>
          <w:p w14:paraId="43D389ED" w14:textId="4EF0A70D" w:rsidR="00055D01" w:rsidRPr="00A02401" w:rsidRDefault="00055D01" w:rsidP="00A8700C">
            <w:pPr>
              <w:pStyle w:val="NoSpacing"/>
              <w:ind w:firstLine="0"/>
              <w:rPr>
                <w:b/>
                <w:sz w:val="24"/>
                <w:szCs w:val="24"/>
              </w:rPr>
            </w:pPr>
            <w:r w:rsidRPr="00A02401">
              <w:rPr>
                <w:color w:val="000000"/>
                <w:sz w:val="24"/>
                <w:szCs w:val="24"/>
              </w:rPr>
              <w:t xml:space="preserve">Ievērojot minēto, </w:t>
            </w:r>
            <w:r w:rsidRPr="00A02401">
              <w:rPr>
                <w:color w:val="000000"/>
                <w:sz w:val="24"/>
                <w:szCs w:val="24"/>
                <w:u w:val="single"/>
              </w:rPr>
              <w:t xml:space="preserve">lūdzam izvērtēt projekta 6. punktā paredzētā regulējuma atbilstību deleģējumam un Enerģētikas likumā </w:t>
            </w:r>
            <w:r w:rsidRPr="00A02401">
              <w:rPr>
                <w:color w:val="000000"/>
                <w:sz w:val="24"/>
                <w:szCs w:val="24"/>
                <w:u w:val="single"/>
              </w:rPr>
              <w:lastRenderedPageBreak/>
              <w:t>ietvertajam modelim, nepieciešamības gadījumā precizējot projektu. Vienlaikus lūdzam izvērtēt, vai jautājumi, kas ir saistīti ar dabasgāzes piegādes pārtraukšanu vai tās lietošanu bez līguma, nebūtu konceptuāli risināmi cita projekta ietvaros, vispirms izvērtējot nepieciešamību grozīt Enerģētikas likumu.</w:t>
            </w:r>
            <w:r w:rsidRPr="00A02401">
              <w:rPr>
                <w:color w:val="000000"/>
                <w:sz w:val="24"/>
                <w:szCs w:val="24"/>
              </w:rPr>
              <w:t> </w:t>
            </w:r>
          </w:p>
        </w:tc>
        <w:tc>
          <w:tcPr>
            <w:tcW w:w="3260" w:type="dxa"/>
            <w:gridSpan w:val="2"/>
            <w:tcBorders>
              <w:top w:val="single" w:sz="4" w:space="0" w:color="auto"/>
              <w:left w:val="single" w:sz="6" w:space="0" w:color="000000"/>
              <w:bottom w:val="single" w:sz="6" w:space="0" w:color="000000"/>
              <w:right w:val="single" w:sz="6" w:space="0" w:color="000000"/>
            </w:tcBorders>
          </w:tcPr>
          <w:p w14:paraId="2CD73428" w14:textId="2E244C06" w:rsidR="00055D01" w:rsidRPr="00A02401" w:rsidRDefault="00055D01" w:rsidP="00A8700C">
            <w:pPr>
              <w:pStyle w:val="naisc"/>
              <w:spacing w:before="60" w:after="60"/>
              <w:ind w:firstLine="5"/>
              <w:jc w:val="both"/>
              <w:rPr>
                <w:b/>
              </w:rPr>
            </w:pPr>
            <w:r w:rsidRPr="00A02401">
              <w:rPr>
                <w:b/>
              </w:rPr>
              <w:lastRenderedPageBreak/>
              <w:t>Daļēji ņemts vērā</w:t>
            </w:r>
          </w:p>
          <w:p w14:paraId="6F0ED787" w14:textId="77777777" w:rsidR="00055D01" w:rsidRPr="00A02401" w:rsidRDefault="00055D01" w:rsidP="006C70E3">
            <w:pPr>
              <w:pStyle w:val="NoSpacing"/>
              <w:ind w:firstLine="0"/>
              <w:rPr>
                <w:bCs/>
                <w:sz w:val="24"/>
                <w:szCs w:val="24"/>
              </w:rPr>
            </w:pPr>
            <w:r w:rsidRPr="00A02401">
              <w:rPr>
                <w:bCs/>
                <w:sz w:val="24"/>
                <w:szCs w:val="24"/>
              </w:rPr>
              <w:t>Izvērtējot iebildumus, tika veikti labojumi Noteikumu projekta punktos, kas attiecās uz PGP pakalpojuma sniegšanu.</w:t>
            </w:r>
          </w:p>
          <w:p w14:paraId="7B616009" w14:textId="77777777" w:rsidR="00055D01" w:rsidRPr="00A02401" w:rsidRDefault="00055D01" w:rsidP="006C70E3">
            <w:pPr>
              <w:pStyle w:val="NoSpacing"/>
              <w:ind w:firstLine="0"/>
              <w:rPr>
                <w:sz w:val="24"/>
                <w:szCs w:val="24"/>
              </w:rPr>
            </w:pPr>
            <w:r w:rsidRPr="00A02401">
              <w:rPr>
                <w:sz w:val="24"/>
                <w:szCs w:val="24"/>
              </w:rPr>
              <w:t xml:space="preserve">Piedāvātā redakcija nodrošinātu tādu Enerģētikas likumā noteiktās cenas piemērošanas kārtību, kurā dabasgāze, tiem, kuri būtu izvēlējušies nepildīt Noteikumos noteikto pienākumu noslēgt līgumu, netiktu piegādāta ar tādiem pašiem nosacījumiem, kā tiem, kuri šo pienākumu ir izpildījuši un līgumu ir noslēguši. Šādai piegādei tiktu piemērota divkārša cena, nekā tā ir noteikta saistītajiem lietotājiem Enerģētikas likumā noteiktajā kārtībā. Šāda cenas piemērošanas kārtība veicinātu lietotājus slēgt līgumus, tādejādi nākotnē visiem lietotājiem samazinot sadales sistēmas pakalpojumu tarifus uz izdevumu par Noteikumu 105.7.apakšpunktā norādīto pienākumu izpildes rēķina, kā arī veicinātu dabasgāzes tirgotāju interesi iesaistīties PGP pakalpojuma sniegšanā. Atzīmējams, ka šāds regulējums </w:t>
            </w:r>
            <w:r w:rsidRPr="00A02401">
              <w:rPr>
                <w:sz w:val="24"/>
                <w:szCs w:val="24"/>
              </w:rPr>
              <w:lastRenderedPageBreak/>
              <w:t>attiecībā pret lietotāju ir saudzējošāks, nekā šobrīd esošais, jo neparedz uzreiz piemērot Noteikumu 180.punktā noteikto 1,2 koeficienta piecenojamu, bet sekas paredz tikai pēc sešiem mēnešiem. Turklāt lietotājs jebkurā mirklī var pārtraukt nelabvēlīgās sekas, noslēdzot dabasgāzes tirdzniecības līgumu ar kādu no tirgotājiem.</w:t>
            </w:r>
          </w:p>
          <w:p w14:paraId="6484B3F9" w14:textId="77777777" w:rsidR="00055D01" w:rsidRDefault="00055D01" w:rsidP="006C70E3">
            <w:pPr>
              <w:pStyle w:val="NoSpacing"/>
              <w:ind w:firstLine="0"/>
              <w:rPr>
                <w:sz w:val="24"/>
                <w:szCs w:val="24"/>
              </w:rPr>
            </w:pPr>
            <w:r w:rsidRPr="00A02401">
              <w:rPr>
                <w:sz w:val="24"/>
                <w:szCs w:val="24"/>
              </w:rPr>
              <w:t xml:space="preserve">Vienlaikus tiktu arī novērsta pretruna starp Noteikumu 42. punktu, 66.1.apakšpunktu un 180.punktu. Šobrīd Noteikumu 42. punkts, 66.1.apakšpunkts un 180.punkts viens otram pretēji noteic, ka identiskos PGP pakalpojuma apstākļos ir piemērojamas savstarpēji izslēdzošas cenas. Vienas normas (42.punkts, 66.1.apakšpunkts) noteic piemērot cenu, kas saistītajiem lietotājiem noteikta Enerģētikas likumā noteiktajā kārtībā, bet otra (180.punkts) Enerģētikas likumā noteiktajā kārtībā noteikto vidējo dabasgāzes cenu saistītajiem lietotājiem, reizinot to ar koeficientu 1,2. Vienlaikus, lai novērstu minētās </w:t>
            </w:r>
            <w:r w:rsidRPr="00A02401">
              <w:rPr>
                <w:sz w:val="24"/>
                <w:szCs w:val="24"/>
              </w:rPr>
              <w:lastRenderedPageBreak/>
              <w:t>pretrunas, Projekta 11.punktā ir paredzēts precizēt Noteikumu 66.1. apakšpunktu.</w:t>
            </w:r>
          </w:p>
          <w:p w14:paraId="255F2A5B" w14:textId="57F9E77B" w:rsidR="00055D01" w:rsidRPr="00A02401" w:rsidRDefault="00055D01" w:rsidP="006C70E3">
            <w:pPr>
              <w:pStyle w:val="NoSpacing"/>
              <w:ind w:firstLine="0"/>
              <w:rPr>
                <w:sz w:val="24"/>
                <w:szCs w:val="24"/>
              </w:rPr>
            </w:pPr>
            <w:r>
              <w:rPr>
                <w:sz w:val="24"/>
                <w:szCs w:val="24"/>
              </w:rPr>
              <w:t>Atbilstošs skaidrojums ir iekļauts anotācijā.</w:t>
            </w:r>
          </w:p>
        </w:tc>
        <w:tc>
          <w:tcPr>
            <w:tcW w:w="2951" w:type="dxa"/>
            <w:tcBorders>
              <w:top w:val="single" w:sz="4" w:space="0" w:color="auto"/>
              <w:left w:val="single" w:sz="4" w:space="0" w:color="auto"/>
              <w:bottom w:val="single" w:sz="4" w:space="0" w:color="auto"/>
            </w:tcBorders>
          </w:tcPr>
          <w:p w14:paraId="11DEF2F4" w14:textId="77777777" w:rsidR="00055D01" w:rsidRPr="00A02401" w:rsidRDefault="00055D01" w:rsidP="006C70E3">
            <w:pPr>
              <w:jc w:val="both"/>
              <w:rPr>
                <w:color w:val="000000" w:themeColor="text1"/>
              </w:rPr>
            </w:pPr>
            <w:r w:rsidRPr="00A02401">
              <w:rPr>
                <w:color w:val="000000" w:themeColor="text1"/>
              </w:rPr>
              <w:lastRenderedPageBreak/>
              <w:t>7. Papildināt IV nodaļu ar 42.</w:t>
            </w:r>
            <w:r w:rsidRPr="00A02401">
              <w:rPr>
                <w:color w:val="000000" w:themeColor="text1"/>
                <w:vertAlign w:val="superscript"/>
              </w:rPr>
              <w:t>1</w:t>
            </w:r>
            <w:r w:rsidRPr="00A02401">
              <w:rPr>
                <w:color w:val="000000" w:themeColor="text1"/>
              </w:rPr>
              <w:t> punktu šādā redakcijā:</w:t>
            </w:r>
          </w:p>
          <w:p w14:paraId="311B2EF1" w14:textId="77777777" w:rsidR="00055D01" w:rsidRPr="00A02401" w:rsidRDefault="00055D01" w:rsidP="006C70E3">
            <w:pPr>
              <w:jc w:val="both"/>
              <w:rPr>
                <w:color w:val="000000" w:themeColor="text1"/>
              </w:rPr>
            </w:pPr>
          </w:p>
          <w:p w14:paraId="7AE4A525" w14:textId="768C56DD" w:rsidR="00055D01" w:rsidRPr="00A02401" w:rsidRDefault="00055D01" w:rsidP="006C70E3">
            <w:pPr>
              <w:jc w:val="both"/>
              <w:rPr>
                <w:color w:val="000000" w:themeColor="text1"/>
              </w:rPr>
            </w:pPr>
            <w:r w:rsidRPr="00A02401">
              <w:rPr>
                <w:color w:val="000000" w:themeColor="text1"/>
              </w:rPr>
              <w:t>“42.</w:t>
            </w:r>
            <w:r w:rsidRPr="00A02401">
              <w:rPr>
                <w:color w:val="000000" w:themeColor="text1"/>
                <w:vertAlign w:val="superscript"/>
              </w:rPr>
              <w:t>1</w:t>
            </w:r>
            <w:r w:rsidRPr="00A02401">
              <w:rPr>
                <w:color w:val="000000" w:themeColor="text1"/>
              </w:rPr>
              <w:t xml:space="preserve"> Ja pēdējās garantētās piegādes pakalpojuma saņēmējs sešu mēnešu laikā no 46.4.apakšpunktā norādītā informatīvā paziņojuma nosūtīšanas dienas nav izpildījis pienākumu noslēgt dabasgāzes tirdzniecības līgumu, pēdējās garantētās piegādes pakalpojuma sniedzējs nodrošina dabasgāzes tirdzniecības pakalpojumu par divkāršu cenu, nekā tā ir noteikta saistītajiem lietotājiem Enerģētikas likumā noteiktajā kārtībā.”</w:t>
            </w:r>
          </w:p>
          <w:p w14:paraId="4EE8B60E" w14:textId="380423D2" w:rsidR="00055D01" w:rsidRPr="00A02401" w:rsidRDefault="00055D01" w:rsidP="006C70E3">
            <w:pPr>
              <w:jc w:val="both"/>
              <w:rPr>
                <w:color w:val="000000" w:themeColor="text1"/>
              </w:rPr>
            </w:pPr>
            <w:r w:rsidRPr="00A02401">
              <w:t>.</w:t>
            </w:r>
          </w:p>
        </w:tc>
      </w:tr>
      <w:tr w:rsidR="00055D01" w:rsidRPr="00A02401" w14:paraId="2427A691" w14:textId="77777777" w:rsidTr="007D72ED">
        <w:tc>
          <w:tcPr>
            <w:tcW w:w="675" w:type="dxa"/>
            <w:tcBorders>
              <w:top w:val="single" w:sz="4" w:space="0" w:color="auto"/>
              <w:left w:val="single" w:sz="6" w:space="0" w:color="000000"/>
              <w:bottom w:val="single" w:sz="6" w:space="0" w:color="000000"/>
              <w:right w:val="single" w:sz="6" w:space="0" w:color="000000"/>
            </w:tcBorders>
          </w:tcPr>
          <w:p w14:paraId="65DC414C" w14:textId="6B1297F0" w:rsidR="00055D01" w:rsidRPr="00A02401" w:rsidRDefault="00055D01" w:rsidP="006C70E3">
            <w:pPr>
              <w:pStyle w:val="naisc"/>
              <w:spacing w:before="60" w:after="60"/>
              <w:jc w:val="both"/>
            </w:pPr>
            <w:r w:rsidRPr="00A02401">
              <w:lastRenderedPageBreak/>
              <w:t>13.</w:t>
            </w:r>
          </w:p>
        </w:tc>
        <w:tc>
          <w:tcPr>
            <w:tcW w:w="3119" w:type="dxa"/>
            <w:gridSpan w:val="2"/>
            <w:tcBorders>
              <w:top w:val="single" w:sz="4" w:space="0" w:color="auto"/>
              <w:left w:val="single" w:sz="6" w:space="0" w:color="000000"/>
              <w:bottom w:val="single" w:sz="6" w:space="0" w:color="000000"/>
              <w:right w:val="single" w:sz="6" w:space="0" w:color="000000"/>
            </w:tcBorders>
          </w:tcPr>
          <w:p w14:paraId="4DC1F3A0" w14:textId="77777777" w:rsidR="00055D01" w:rsidRPr="00A02401" w:rsidRDefault="00055D01" w:rsidP="006C70E3">
            <w:pPr>
              <w:spacing w:line="293" w:lineRule="atLeast"/>
              <w:jc w:val="both"/>
              <w:rPr>
                <w:color w:val="000000" w:themeColor="text1"/>
              </w:rPr>
            </w:pPr>
            <w:r w:rsidRPr="00A02401">
              <w:rPr>
                <w:color w:val="000000" w:themeColor="text1"/>
              </w:rPr>
              <w:t>Jauns punkts.</w:t>
            </w:r>
          </w:p>
        </w:tc>
        <w:tc>
          <w:tcPr>
            <w:tcW w:w="4278" w:type="dxa"/>
            <w:tcBorders>
              <w:top w:val="single" w:sz="4" w:space="0" w:color="auto"/>
              <w:left w:val="single" w:sz="6" w:space="0" w:color="000000"/>
              <w:bottom w:val="single" w:sz="6" w:space="0" w:color="000000"/>
              <w:right w:val="single" w:sz="6" w:space="0" w:color="000000"/>
            </w:tcBorders>
          </w:tcPr>
          <w:p w14:paraId="24AC13FF" w14:textId="77777777" w:rsidR="00055D01" w:rsidRPr="00A02401" w:rsidRDefault="00055D01" w:rsidP="006C70E3">
            <w:pPr>
              <w:jc w:val="both"/>
              <w:rPr>
                <w:rFonts w:ascii="Montserrat" w:hAnsi="Montserrat"/>
                <w:b/>
                <w:bCs/>
              </w:rPr>
            </w:pPr>
            <w:r w:rsidRPr="00A02401">
              <w:rPr>
                <w:b/>
              </w:rPr>
              <w:t>Akciju sabiedrība “Latvijas Gāze”</w:t>
            </w:r>
          </w:p>
          <w:p w14:paraId="7887F36D" w14:textId="77777777" w:rsidR="00055D01" w:rsidRPr="00A02401" w:rsidRDefault="00055D01" w:rsidP="006C70E3">
            <w:pPr>
              <w:spacing w:line="293" w:lineRule="atLeast"/>
              <w:jc w:val="both"/>
              <w:rPr>
                <w:color w:val="000000" w:themeColor="text1"/>
              </w:rPr>
            </w:pPr>
            <w:r w:rsidRPr="00A02401">
              <w:rPr>
                <w:color w:val="000000" w:themeColor="text1"/>
              </w:rPr>
              <w:t>Lai uzlabotu PGP regulējumu kopumā, lūdzam papildināt projektu ar grozījumu noteikumu 69.1.punktā, aizstājot vārdu “mēnesi” ar “21 dienu pirms attiecīgā norēķinu perioda sākuma”.</w:t>
            </w:r>
          </w:p>
          <w:p w14:paraId="12929BFB" w14:textId="77777777" w:rsidR="00055D01" w:rsidRPr="00A02401" w:rsidRDefault="00055D01" w:rsidP="006C70E3">
            <w:pPr>
              <w:jc w:val="both"/>
              <w:rPr>
                <w:rFonts w:ascii="Montserrat" w:hAnsi="Montserrat"/>
                <w:b/>
              </w:rPr>
            </w:pPr>
          </w:p>
        </w:tc>
        <w:tc>
          <w:tcPr>
            <w:tcW w:w="3260" w:type="dxa"/>
            <w:gridSpan w:val="2"/>
            <w:tcBorders>
              <w:top w:val="single" w:sz="4" w:space="0" w:color="auto"/>
              <w:left w:val="single" w:sz="6" w:space="0" w:color="000000"/>
              <w:bottom w:val="single" w:sz="6" w:space="0" w:color="000000"/>
              <w:right w:val="single" w:sz="6" w:space="0" w:color="000000"/>
            </w:tcBorders>
          </w:tcPr>
          <w:p w14:paraId="45ABB560" w14:textId="77777777" w:rsidR="00055D01" w:rsidRPr="00A02401" w:rsidRDefault="00055D01" w:rsidP="00A8700C">
            <w:pPr>
              <w:pStyle w:val="naisc"/>
              <w:spacing w:before="0" w:after="0"/>
              <w:ind w:firstLine="5"/>
              <w:jc w:val="both"/>
              <w:rPr>
                <w:b/>
              </w:rPr>
            </w:pPr>
            <w:r w:rsidRPr="00A02401">
              <w:rPr>
                <w:b/>
              </w:rPr>
              <w:t>Ņemts vērā.</w:t>
            </w:r>
          </w:p>
          <w:p w14:paraId="42044F08" w14:textId="5DBB1E36" w:rsidR="00055D01" w:rsidRPr="00A02401" w:rsidRDefault="00055D01" w:rsidP="00A8700C">
            <w:pPr>
              <w:spacing w:line="293" w:lineRule="atLeast"/>
              <w:jc w:val="both"/>
              <w:rPr>
                <w:color w:val="000000" w:themeColor="text1"/>
              </w:rPr>
            </w:pPr>
            <w:r w:rsidRPr="00A02401">
              <w:rPr>
                <w:color w:val="000000" w:themeColor="text1"/>
              </w:rPr>
              <w:t>Lai uzlabotu PGP regulējumu kopumā, Ekonomikas ministrija atbalsta priekšlikumu papildināt projektu ar grozījumu noteikumu 69.1.punktā, aizstājot vārdu “mēnesi” ar “21 dienu pirms attiecīgā norēķinu perioda sākuma”.</w:t>
            </w:r>
          </w:p>
          <w:p w14:paraId="1D769792" w14:textId="3C81411C" w:rsidR="00055D01" w:rsidRPr="00A02401" w:rsidRDefault="00055D01" w:rsidP="006C70E3">
            <w:pPr>
              <w:pStyle w:val="naisc"/>
              <w:spacing w:before="60" w:after="60"/>
              <w:ind w:firstLine="5"/>
              <w:jc w:val="both"/>
              <w:rPr>
                <w:bCs/>
              </w:rPr>
            </w:pPr>
          </w:p>
        </w:tc>
        <w:tc>
          <w:tcPr>
            <w:tcW w:w="2951" w:type="dxa"/>
            <w:tcBorders>
              <w:top w:val="single" w:sz="4" w:space="0" w:color="auto"/>
              <w:left w:val="single" w:sz="4" w:space="0" w:color="auto"/>
              <w:bottom w:val="single" w:sz="4" w:space="0" w:color="auto"/>
            </w:tcBorders>
          </w:tcPr>
          <w:p w14:paraId="69A17608" w14:textId="77777777" w:rsidR="00055D01" w:rsidRPr="00A02401" w:rsidRDefault="00055D01" w:rsidP="006C70E3">
            <w:pPr>
              <w:jc w:val="both"/>
            </w:pPr>
            <w:bookmarkStart w:id="6" w:name="_Hlk52204716"/>
            <w:r w:rsidRPr="00A02401">
              <w:rPr>
                <w:color w:val="000000" w:themeColor="text1"/>
              </w:rPr>
              <w:t xml:space="preserve">9. </w:t>
            </w:r>
            <w:r w:rsidRPr="00A02401">
              <w:t xml:space="preserve">Izteikt 69.1. apakšpunktu šādā redakcijā: </w:t>
            </w:r>
          </w:p>
          <w:p w14:paraId="723A015F" w14:textId="77777777" w:rsidR="00055D01" w:rsidRPr="00A02401" w:rsidRDefault="00055D01" w:rsidP="00A8700C">
            <w:pPr>
              <w:jc w:val="both"/>
            </w:pPr>
          </w:p>
          <w:p w14:paraId="36538C01" w14:textId="77777777" w:rsidR="00055D01" w:rsidRPr="00A02401" w:rsidRDefault="00055D01" w:rsidP="00A8700C">
            <w:pPr>
              <w:jc w:val="both"/>
            </w:pPr>
            <w:r w:rsidRPr="00A02401">
              <w:t>“69.1. pienākums publicēt savā tīmekļvietnē norēķinu periodā piemērojamo pēdējās garantētās piegādes pakalpojuma cenu 21 dienu pirms attiecīgā norēķinu perioda sākuma;”.</w:t>
            </w:r>
          </w:p>
          <w:bookmarkEnd w:id="6"/>
          <w:p w14:paraId="3E2ECAD2" w14:textId="77777777" w:rsidR="00055D01" w:rsidRPr="00A02401" w:rsidRDefault="00055D01" w:rsidP="006C70E3">
            <w:pPr>
              <w:spacing w:before="60" w:after="60"/>
              <w:ind w:firstLine="5"/>
              <w:jc w:val="both"/>
            </w:pPr>
          </w:p>
        </w:tc>
      </w:tr>
      <w:tr w:rsidR="00055D01" w:rsidRPr="00A02401" w14:paraId="29AB60B3" w14:textId="77777777" w:rsidTr="007D72ED">
        <w:tc>
          <w:tcPr>
            <w:tcW w:w="675" w:type="dxa"/>
            <w:tcBorders>
              <w:top w:val="single" w:sz="4" w:space="0" w:color="auto"/>
              <w:left w:val="single" w:sz="6" w:space="0" w:color="000000"/>
              <w:bottom w:val="single" w:sz="6" w:space="0" w:color="000000"/>
              <w:right w:val="single" w:sz="6" w:space="0" w:color="000000"/>
            </w:tcBorders>
          </w:tcPr>
          <w:p w14:paraId="7C3A9FCA" w14:textId="30E5E337" w:rsidR="00055D01" w:rsidRPr="00A02401" w:rsidRDefault="00055D01" w:rsidP="006C70E3">
            <w:pPr>
              <w:pStyle w:val="naisc"/>
              <w:spacing w:before="60" w:after="60"/>
              <w:jc w:val="both"/>
            </w:pPr>
            <w:r w:rsidRPr="00A02401">
              <w:t>14.</w:t>
            </w:r>
          </w:p>
        </w:tc>
        <w:tc>
          <w:tcPr>
            <w:tcW w:w="3119" w:type="dxa"/>
            <w:gridSpan w:val="2"/>
            <w:tcBorders>
              <w:top w:val="single" w:sz="4" w:space="0" w:color="auto"/>
              <w:left w:val="single" w:sz="6" w:space="0" w:color="000000"/>
              <w:bottom w:val="single" w:sz="6" w:space="0" w:color="000000"/>
              <w:right w:val="single" w:sz="6" w:space="0" w:color="000000"/>
            </w:tcBorders>
          </w:tcPr>
          <w:p w14:paraId="6C71EADA" w14:textId="77777777" w:rsidR="00055D01" w:rsidRPr="00A02401" w:rsidRDefault="00055D01" w:rsidP="006C70E3">
            <w:pPr>
              <w:spacing w:line="293" w:lineRule="atLeast"/>
              <w:jc w:val="both"/>
            </w:pPr>
            <w:r w:rsidRPr="00A02401">
              <w:t>8. Papildināt ar 82.5 apakšpunktu šādā redakcijā:</w:t>
            </w:r>
          </w:p>
          <w:p w14:paraId="694B99EA" w14:textId="77777777" w:rsidR="00055D01" w:rsidRPr="00A02401" w:rsidRDefault="00055D01" w:rsidP="006C70E3">
            <w:pPr>
              <w:spacing w:line="293" w:lineRule="atLeast"/>
              <w:jc w:val="both"/>
            </w:pPr>
          </w:p>
          <w:p w14:paraId="26406FCE" w14:textId="6D45E575" w:rsidR="00055D01" w:rsidRPr="00A02401" w:rsidRDefault="00055D01" w:rsidP="00A8700C">
            <w:pPr>
              <w:jc w:val="both"/>
            </w:pPr>
            <w:r w:rsidRPr="00A02401">
              <w:t>“82.5. pēc lietotāja pieprasījuma sniegt rīcībā esošo informāciju par dabasgāzes patēriņu lietotāja gazificētajā objekta par pēdējiem trim gadiem”.</w:t>
            </w:r>
          </w:p>
          <w:p w14:paraId="3EDD5442" w14:textId="77777777" w:rsidR="00055D01" w:rsidRPr="00A02401" w:rsidRDefault="00055D01" w:rsidP="006C70E3">
            <w:pPr>
              <w:jc w:val="both"/>
            </w:pPr>
          </w:p>
          <w:p w14:paraId="70111399" w14:textId="77777777" w:rsidR="00055D01" w:rsidRPr="00A02401" w:rsidRDefault="00055D01" w:rsidP="006C70E3">
            <w:pPr>
              <w:spacing w:line="293" w:lineRule="atLeast"/>
              <w:jc w:val="both"/>
              <w:rPr>
                <w:color w:val="000000" w:themeColor="text1"/>
              </w:rPr>
            </w:pPr>
          </w:p>
        </w:tc>
        <w:tc>
          <w:tcPr>
            <w:tcW w:w="4278" w:type="dxa"/>
            <w:tcBorders>
              <w:top w:val="single" w:sz="4" w:space="0" w:color="auto"/>
              <w:left w:val="single" w:sz="6" w:space="0" w:color="000000"/>
              <w:bottom w:val="single" w:sz="6" w:space="0" w:color="000000"/>
              <w:right w:val="single" w:sz="6" w:space="0" w:color="000000"/>
            </w:tcBorders>
          </w:tcPr>
          <w:p w14:paraId="00D3187B" w14:textId="4C1B3A3F" w:rsidR="00055D01" w:rsidRPr="00A02401" w:rsidRDefault="00055D01" w:rsidP="006C70E3">
            <w:pPr>
              <w:spacing w:line="259" w:lineRule="auto"/>
              <w:jc w:val="both"/>
              <w:rPr>
                <w:b/>
                <w:bCs/>
              </w:rPr>
            </w:pPr>
            <w:r w:rsidRPr="00A02401">
              <w:rPr>
                <w:b/>
                <w:bCs/>
              </w:rPr>
              <w:t>Akciju sabiedrība “Gaso”</w:t>
            </w:r>
          </w:p>
          <w:p w14:paraId="4B9651DC" w14:textId="77777777" w:rsidR="00055D01" w:rsidRPr="00A02401" w:rsidRDefault="00055D01" w:rsidP="006C70E3">
            <w:pPr>
              <w:spacing w:line="259" w:lineRule="auto"/>
              <w:jc w:val="both"/>
              <w:rPr>
                <w:b/>
                <w:bCs/>
              </w:rPr>
            </w:pPr>
          </w:p>
          <w:p w14:paraId="2EA97A10" w14:textId="3A5F9B3C" w:rsidR="00055D01" w:rsidRPr="00A02401" w:rsidRDefault="00055D01" w:rsidP="006C70E3">
            <w:pPr>
              <w:spacing w:line="259" w:lineRule="auto"/>
              <w:jc w:val="both"/>
            </w:pPr>
            <w:r w:rsidRPr="00A02401">
              <w:t>Akciju sabiedrībai “Gaso” nav pienākums sniegt informāciju lietotājam par gazificēto objektu, ja lietotājs attiecīgajā objektā nav īpašnieks vai dabasgāzes lietotājs. Lai akciju sabiedrībai “Gaso” nebūtu jāsniedz informācija, kas neattiecas uz attiecīgo lietotāju, ierosinām 82.5.apakšpunktu izteikt šādā redakcijā:</w:t>
            </w:r>
          </w:p>
          <w:p w14:paraId="3F48D273" w14:textId="6AE8184B" w:rsidR="00055D01" w:rsidRPr="000E00A7" w:rsidRDefault="00055D01" w:rsidP="000E00A7">
            <w:pPr>
              <w:spacing w:line="256" w:lineRule="auto"/>
              <w:jc w:val="both"/>
            </w:pPr>
            <w:r w:rsidRPr="000E00A7">
              <w:t xml:space="preserve">“82.5. </w:t>
            </w:r>
            <w:bookmarkStart w:id="7" w:name="_Hlk52194281"/>
            <w:r w:rsidRPr="000E00A7">
              <w:t xml:space="preserve">pēc lietotāja pieprasījuma radīt iespēju saņemt sadales sistēmas operatora </w:t>
            </w:r>
            <w:r w:rsidRPr="000E00A7">
              <w:lastRenderedPageBreak/>
              <w:t>rīcībā esošo informāciju par lietotāja dabasgāzes patēriņu gazificētajā objektā par pēdējiem trim gadiem</w:t>
            </w:r>
            <w:bookmarkEnd w:id="7"/>
            <w:r w:rsidRPr="000E00A7">
              <w:t>.”</w:t>
            </w:r>
          </w:p>
          <w:p w14:paraId="64F8D813" w14:textId="77777777" w:rsidR="00055D01" w:rsidRPr="00A02401" w:rsidRDefault="00055D01" w:rsidP="006C70E3">
            <w:pPr>
              <w:pStyle w:val="ListParagraph"/>
              <w:spacing w:after="0" w:line="256" w:lineRule="auto"/>
              <w:jc w:val="both"/>
              <w:rPr>
                <w:rFonts w:ascii="Times New Roman" w:hAnsi="Times New Roman"/>
                <w:sz w:val="24"/>
                <w:szCs w:val="24"/>
              </w:rPr>
            </w:pPr>
          </w:p>
          <w:p w14:paraId="58174263" w14:textId="3D78DFC8" w:rsidR="00055D01" w:rsidRPr="00A02401" w:rsidRDefault="00055D01" w:rsidP="006C70E3">
            <w:pPr>
              <w:pStyle w:val="naisc"/>
              <w:spacing w:before="60" w:after="60"/>
              <w:jc w:val="both"/>
              <w:rPr>
                <w:b/>
                <w:bCs/>
              </w:rPr>
            </w:pPr>
            <w:r w:rsidRPr="00A02401">
              <w:rPr>
                <w:b/>
                <w:bCs/>
              </w:rPr>
              <w:t>Akciju sabiedrība “Latvijas Gāze”</w:t>
            </w:r>
          </w:p>
          <w:p w14:paraId="0F5AA769" w14:textId="6F403E13" w:rsidR="00055D01" w:rsidRPr="00A02401" w:rsidRDefault="00055D01" w:rsidP="006C70E3">
            <w:pPr>
              <w:pStyle w:val="naisc"/>
              <w:spacing w:before="60" w:after="60"/>
              <w:jc w:val="both"/>
              <w:rPr>
                <w:shd w:val="clear" w:color="auto" w:fill="FDFCFD"/>
              </w:rPr>
            </w:pPr>
            <w:r w:rsidRPr="00A02401">
              <w:rPr>
                <w:shd w:val="clear" w:color="auto" w:fill="FDFCFD"/>
              </w:rPr>
              <w:t>Noteikumu projekts papildināts ar 8. punktu, kurā Noteikumu 82. punkts - sadales sistēmas operatora pienākumi - papildināts ar 82.5. apakšpunktu šādā redakcijā “82.5. pēc lietotāja pieprasījuma sniegt tā rīcībā esošo informāciju par dabasgāzes patēriņu lietotāja gazificētajā objektā par pēdējiem trim gadiem.”.</w:t>
            </w:r>
          </w:p>
          <w:p w14:paraId="4EC19449" w14:textId="77777777" w:rsidR="00055D01" w:rsidRPr="00A02401" w:rsidRDefault="00055D01" w:rsidP="006C70E3">
            <w:pPr>
              <w:pStyle w:val="naisc"/>
              <w:spacing w:before="60" w:after="60"/>
              <w:jc w:val="both"/>
              <w:rPr>
                <w:shd w:val="clear" w:color="auto" w:fill="FDFCFD"/>
              </w:rPr>
            </w:pPr>
            <w:r w:rsidRPr="00A02401">
              <w:rPr>
                <w:shd w:val="clear" w:color="auto" w:fill="FDFCFD"/>
              </w:rPr>
              <w:t>Anotācijā norādīts, ka noteikumu projekta 8. punkts uzliek par pienākumu sadales sistēmas operatoram pēc pieprasījuma sniegt lietotājam informāciju par patērēto dabasgāzi pēdējo trīs gadu laikā. Tas radīs iespēju dabasgāzes lietotājam kontrolēt dabasgāzes pašpatēriņu un operatīvi reaģēt uz komerciālās uzskaites mēraparāta iespējamo neprecizitāti.</w:t>
            </w:r>
          </w:p>
          <w:p w14:paraId="27C847EA" w14:textId="77777777" w:rsidR="00055D01" w:rsidRPr="00A02401" w:rsidRDefault="00055D01" w:rsidP="006C70E3">
            <w:pPr>
              <w:pStyle w:val="naisc"/>
              <w:spacing w:before="60" w:after="60"/>
              <w:jc w:val="both"/>
              <w:rPr>
                <w:shd w:val="clear" w:color="auto" w:fill="FDFCFD"/>
              </w:rPr>
            </w:pPr>
            <w:r w:rsidRPr="00A02401">
              <w:rPr>
                <w:shd w:val="clear" w:color="auto" w:fill="FDFCFD"/>
              </w:rPr>
              <w:t>Vēršam uzmanību, ka minētā norma šobrīd esošajā redakcijā ir pārprotama. Nav saprotams, kā dabasgāzes lietotājam informācija par dabasgāzes patēriņu lietotāja gazificētajā objektā par pēdējiem trim gadiem palīdzēs kontrolēt dabasgāzes pašpatēriņu un operatīvi reaģēt uz komerciālās uzskaites mēraparāta iespējamo neprecizitāti, ja lietotājs šo objektu nebūs lietojis trīs gadus.</w:t>
            </w:r>
          </w:p>
          <w:p w14:paraId="265301AA" w14:textId="7E457B92" w:rsidR="00055D01" w:rsidRPr="00A02401" w:rsidRDefault="00055D01" w:rsidP="006C70E3">
            <w:pPr>
              <w:pStyle w:val="naisc"/>
              <w:spacing w:before="60" w:after="60"/>
              <w:jc w:val="both"/>
              <w:rPr>
                <w:shd w:val="clear" w:color="auto" w:fill="FDFCFD"/>
              </w:rPr>
            </w:pPr>
            <w:r w:rsidRPr="00A02401">
              <w:rPr>
                <w:shd w:val="clear" w:color="auto" w:fill="FDFCFD"/>
              </w:rPr>
              <w:lastRenderedPageBreak/>
              <w:t xml:space="preserve"> AS “Latvijas Gāze” izsaka priekšlikumu 82.5. apakšpunktu izteikt šādā redakcijā: </w:t>
            </w:r>
          </w:p>
          <w:p w14:paraId="5973B0E5" w14:textId="77777777" w:rsidR="00055D01" w:rsidRPr="00A02401" w:rsidRDefault="00055D01" w:rsidP="006C70E3">
            <w:pPr>
              <w:pStyle w:val="naisc"/>
              <w:spacing w:before="60" w:after="60"/>
              <w:jc w:val="both"/>
              <w:rPr>
                <w:shd w:val="clear" w:color="auto" w:fill="FDFCFD"/>
              </w:rPr>
            </w:pPr>
            <w:r w:rsidRPr="00A02401">
              <w:rPr>
                <w:shd w:val="clear" w:color="auto" w:fill="FDFCFD"/>
              </w:rPr>
              <w:t xml:space="preserve">“82.5. pēc lietotāja pieprasījuma sniegt tā rīcībā esošo informāciju par lietotāja dabasgāzes patēriņu gazificētajā objektā par pēdējiem trim gadiem.” </w:t>
            </w:r>
          </w:p>
          <w:p w14:paraId="39AE8EC9" w14:textId="77777777" w:rsidR="00055D01" w:rsidRPr="00A02401" w:rsidRDefault="00055D01" w:rsidP="006C70E3">
            <w:pPr>
              <w:pStyle w:val="naisc"/>
              <w:spacing w:before="60" w:after="60"/>
              <w:jc w:val="both"/>
              <w:rPr>
                <w:shd w:val="clear" w:color="auto" w:fill="FDFCFD"/>
              </w:rPr>
            </w:pPr>
            <w:r w:rsidRPr="00A02401">
              <w:rPr>
                <w:shd w:val="clear" w:color="auto" w:fill="FDFCFD"/>
              </w:rPr>
              <w:t>Šādā redakcijā izteikta norma nodrošinās, ka lietotājs nesaņems informāciju par cita lietotāja patēriņu, kas ir bijis lietotāja gazificētajā objektā pēdējo triju gadu laikā. Cita lietotāja patēriņš tajā pašā objektā var būtiski atšķirties no šobrīd esošā lietotāja patēriņa, līdz ar ko nevar kalpot par konkrētā lietotāja pašpatēriņa mērauklu. Precizējot noteikumu projektu, norma tiks precizēta atbilstoši anotācijai.</w:t>
            </w:r>
          </w:p>
          <w:p w14:paraId="72C5BEE3" w14:textId="77777777" w:rsidR="00055D01" w:rsidRPr="00A02401" w:rsidRDefault="00055D01" w:rsidP="006C70E3">
            <w:pPr>
              <w:pStyle w:val="naisc"/>
              <w:spacing w:before="60" w:after="60"/>
              <w:jc w:val="both"/>
              <w:rPr>
                <w:shd w:val="clear" w:color="auto" w:fill="FDFCFD"/>
              </w:rPr>
            </w:pPr>
          </w:p>
          <w:p w14:paraId="07002B5B" w14:textId="77777777" w:rsidR="00055D01" w:rsidRPr="00A02401" w:rsidRDefault="00055D01" w:rsidP="006C70E3">
            <w:pPr>
              <w:pStyle w:val="naisc"/>
              <w:spacing w:before="60" w:after="60"/>
              <w:jc w:val="both"/>
              <w:rPr>
                <w:b/>
                <w:bCs/>
                <w:shd w:val="clear" w:color="auto" w:fill="FDFCFD"/>
              </w:rPr>
            </w:pPr>
            <w:r w:rsidRPr="00A02401">
              <w:rPr>
                <w:b/>
                <w:bCs/>
                <w:shd w:val="clear" w:color="auto" w:fill="FDFCFD"/>
              </w:rPr>
              <w:t>SPRK</w:t>
            </w:r>
          </w:p>
          <w:p w14:paraId="4A247567" w14:textId="0643F9D8" w:rsidR="00055D01" w:rsidRPr="00A02401" w:rsidRDefault="00055D01" w:rsidP="006C70E3">
            <w:pPr>
              <w:pStyle w:val="naisc"/>
              <w:spacing w:before="60" w:after="60"/>
              <w:jc w:val="both"/>
              <w:rPr>
                <w:shd w:val="clear" w:color="auto" w:fill="FDFCFD"/>
              </w:rPr>
            </w:pPr>
            <w:r w:rsidRPr="00A02401">
              <w:rPr>
                <w:shd w:val="clear" w:color="auto" w:fill="FDFCFD"/>
              </w:rPr>
              <w:t>Ievērojot, ka dabasgāzes sadales sistēmas operators apkopo informāciju par dabasgāzes lietotāja dabasgāzes patēriņu gazificētajā objektā, Regulatora ieskatā Noteikumu projekta 11.punktā pārredzētais Noteikumu 82.5.apakšpunkts izsakāms šādā redakcijā:</w:t>
            </w:r>
          </w:p>
          <w:p w14:paraId="09E57AE2" w14:textId="77777777" w:rsidR="00055D01" w:rsidRPr="00A02401" w:rsidRDefault="00055D01" w:rsidP="006C70E3">
            <w:pPr>
              <w:pStyle w:val="naisc"/>
              <w:spacing w:before="60" w:after="60"/>
              <w:jc w:val="both"/>
              <w:rPr>
                <w:shd w:val="clear" w:color="auto" w:fill="FDFCFD"/>
              </w:rPr>
            </w:pPr>
            <w:r w:rsidRPr="00A02401">
              <w:rPr>
                <w:shd w:val="clear" w:color="auto" w:fill="FDFCFD"/>
              </w:rPr>
              <w:t>“82.5. pēc lietotāja pieprasījuma bez maksas nodrošināt sadales sistēmas operatora rīcībā esošo informāciju par lietotāja dabasgāzes patēriņu gazificētajā objektā par pēdējiem trim gadiem.”</w:t>
            </w:r>
          </w:p>
          <w:p w14:paraId="1C28870D" w14:textId="77777777" w:rsidR="00055D01" w:rsidRPr="00A02401" w:rsidRDefault="00055D01" w:rsidP="006C70E3">
            <w:pPr>
              <w:pStyle w:val="naisc"/>
              <w:spacing w:before="60" w:after="60"/>
              <w:jc w:val="both"/>
              <w:rPr>
                <w:shd w:val="clear" w:color="auto" w:fill="FDFCFD"/>
              </w:rPr>
            </w:pPr>
          </w:p>
          <w:p w14:paraId="350B6EE3" w14:textId="77777777" w:rsidR="00055D01" w:rsidRPr="00A02401" w:rsidRDefault="00055D01" w:rsidP="006C70E3">
            <w:pPr>
              <w:pStyle w:val="naisc"/>
              <w:spacing w:before="60" w:after="60"/>
              <w:jc w:val="both"/>
              <w:rPr>
                <w:b/>
                <w:bCs/>
                <w:shd w:val="clear" w:color="auto" w:fill="FDFCFD"/>
              </w:rPr>
            </w:pPr>
            <w:r w:rsidRPr="00A02401">
              <w:rPr>
                <w:b/>
                <w:bCs/>
                <w:shd w:val="clear" w:color="auto" w:fill="FDFCFD"/>
              </w:rPr>
              <w:lastRenderedPageBreak/>
              <w:t>TM</w:t>
            </w:r>
          </w:p>
          <w:p w14:paraId="1E500EE3" w14:textId="5DFD88B2" w:rsidR="00055D01" w:rsidRPr="00A02401" w:rsidRDefault="00055D01" w:rsidP="006C70E3">
            <w:pPr>
              <w:pStyle w:val="NoSpacing"/>
              <w:ind w:firstLine="0"/>
              <w:rPr>
                <w:color w:val="000000"/>
                <w:sz w:val="24"/>
                <w:szCs w:val="24"/>
              </w:rPr>
            </w:pPr>
            <w:r w:rsidRPr="00A02401">
              <w:rPr>
                <w:color w:val="000000"/>
                <w:sz w:val="24"/>
                <w:szCs w:val="24"/>
              </w:rPr>
              <w:t>Vēršam uzmanību uz to, ka projekta 11. punktā paredzētajā noteikumu 82.5. apakšpunktā minētie vārdi "</w:t>
            </w:r>
            <w:r w:rsidRPr="00A02401">
              <w:rPr>
                <w:color w:val="000000"/>
                <w:sz w:val="24"/>
                <w:szCs w:val="24"/>
                <w:u w:val="single"/>
              </w:rPr>
              <w:t>radīt iespēju</w:t>
            </w:r>
            <w:r w:rsidRPr="00A02401">
              <w:rPr>
                <w:color w:val="000000"/>
                <w:sz w:val="24"/>
                <w:szCs w:val="24"/>
              </w:rPr>
              <w:t xml:space="preserve">" ir neskaidri. Turklāt anotācijas I sadaļas 2. punktā ir norādīts </w:t>
            </w:r>
            <w:r w:rsidRPr="00A02401">
              <w:rPr>
                <w:color w:val="000000"/>
                <w:sz w:val="24"/>
                <w:szCs w:val="24"/>
                <w:u w:val="single"/>
              </w:rPr>
              <w:t>projekts uzliek par pienākumu sadales sistēmas operatoram pēc pieprasījuma sniegt lietotājam informāciju par patērēto dabasgāzi pēdējo trīs gadu laikā</w:t>
            </w:r>
            <w:r w:rsidRPr="00A02401">
              <w:rPr>
                <w:color w:val="000000"/>
                <w:sz w:val="24"/>
                <w:szCs w:val="24"/>
              </w:rPr>
              <w:t xml:space="preserve">. Ievērojot minēto, lūdzam izvērtēt projekta 11. punktā paredzētajā noteikumu </w:t>
            </w:r>
            <w:r>
              <w:rPr>
                <w:color w:val="000000"/>
                <w:sz w:val="24"/>
                <w:szCs w:val="24"/>
              </w:rPr>
              <w:t>f</w:t>
            </w:r>
            <w:r w:rsidRPr="00A02401">
              <w:rPr>
                <w:color w:val="000000"/>
                <w:sz w:val="24"/>
                <w:szCs w:val="24"/>
              </w:rPr>
              <w:t>.5. apakšpunktā ietverto regulējumu un precizēt to, vienlaikus saskaņojot projekta 11. punktā un anotācijas I sadaļas 2. punktā noteikto. </w:t>
            </w:r>
          </w:p>
          <w:p w14:paraId="05EB32D0" w14:textId="77777777" w:rsidR="00055D01" w:rsidRPr="00A02401" w:rsidRDefault="00055D01" w:rsidP="006C70E3">
            <w:pPr>
              <w:pStyle w:val="naisc"/>
              <w:spacing w:before="60" w:after="60"/>
              <w:jc w:val="both"/>
              <w:rPr>
                <w:b/>
                <w:bCs/>
                <w:shd w:val="clear" w:color="auto" w:fill="FDFCFD"/>
              </w:rPr>
            </w:pPr>
          </w:p>
          <w:p w14:paraId="3E8EE50B" w14:textId="77777777" w:rsidR="00055D01" w:rsidRPr="00A02401" w:rsidRDefault="00055D01" w:rsidP="006C70E3">
            <w:pPr>
              <w:pStyle w:val="naisc"/>
              <w:spacing w:before="60" w:after="60"/>
              <w:jc w:val="both"/>
              <w:rPr>
                <w:b/>
                <w:bCs/>
                <w:shd w:val="clear" w:color="auto" w:fill="FDFCFD"/>
              </w:rPr>
            </w:pPr>
            <w:r w:rsidRPr="00A02401">
              <w:rPr>
                <w:b/>
                <w:bCs/>
                <w:shd w:val="clear" w:color="auto" w:fill="FDFCFD"/>
              </w:rPr>
              <w:t>PTAC</w:t>
            </w:r>
          </w:p>
          <w:p w14:paraId="0E65A39D" w14:textId="77777777" w:rsidR="00055D01" w:rsidRPr="00A02401" w:rsidRDefault="00055D01" w:rsidP="00A8700C">
            <w:pPr>
              <w:jc w:val="both"/>
            </w:pPr>
            <w:r w:rsidRPr="00A02401">
              <w:t xml:space="preserve">PTAC norāda, ka Noteikumu 82.5.apakšpunktā ietverto frāzi – </w:t>
            </w:r>
            <w:r w:rsidRPr="00A02401">
              <w:rPr>
                <w:i/>
                <w:iCs/>
              </w:rPr>
              <w:t>“radīt iespēju”</w:t>
            </w:r>
            <w:r w:rsidRPr="00A02401">
              <w:t xml:space="preserve"> nepieciešams precizēt, piemēram, izmantojot formulējumu, ka sistēmas operatoram ir pienākums pēc lietotāja pieprasījuma izsniegt bez maksas sadales sistēmas operatora rīcībā esošo informāciju par lietotāja dabasgāzes patēriņu gazificētajā objektā par pēdējiem trim gadiem. </w:t>
            </w:r>
          </w:p>
          <w:p w14:paraId="5A29C14D" w14:textId="00650574" w:rsidR="00055D01" w:rsidRPr="00A02401" w:rsidRDefault="00055D01" w:rsidP="006C70E3">
            <w:pPr>
              <w:pStyle w:val="naisc"/>
              <w:spacing w:before="60" w:after="60"/>
              <w:jc w:val="both"/>
              <w:rPr>
                <w:b/>
                <w:bCs/>
                <w:shd w:val="clear" w:color="auto" w:fill="FDFCFD"/>
              </w:rPr>
            </w:pPr>
          </w:p>
        </w:tc>
        <w:tc>
          <w:tcPr>
            <w:tcW w:w="3260" w:type="dxa"/>
            <w:gridSpan w:val="2"/>
            <w:tcBorders>
              <w:top w:val="single" w:sz="4" w:space="0" w:color="auto"/>
              <w:left w:val="single" w:sz="6" w:space="0" w:color="000000"/>
              <w:bottom w:val="single" w:sz="6" w:space="0" w:color="000000"/>
              <w:right w:val="single" w:sz="6" w:space="0" w:color="000000"/>
            </w:tcBorders>
          </w:tcPr>
          <w:p w14:paraId="56288F1A" w14:textId="41A44624" w:rsidR="00055D01" w:rsidRPr="00A02401" w:rsidRDefault="00055D01" w:rsidP="00A8700C">
            <w:pPr>
              <w:pStyle w:val="naisc"/>
              <w:spacing w:before="60" w:after="60"/>
              <w:ind w:firstLine="5"/>
              <w:jc w:val="both"/>
              <w:rPr>
                <w:b/>
              </w:rPr>
            </w:pPr>
            <w:r w:rsidRPr="00A02401">
              <w:rPr>
                <w:b/>
              </w:rPr>
              <w:lastRenderedPageBreak/>
              <w:t>Ņemts vērā.</w:t>
            </w:r>
          </w:p>
          <w:p w14:paraId="0EE99665" w14:textId="6E6890D0" w:rsidR="00055D01" w:rsidRPr="00A02401" w:rsidRDefault="00055D01" w:rsidP="006C70E3">
            <w:pPr>
              <w:pStyle w:val="naisc"/>
              <w:spacing w:before="60" w:after="60"/>
              <w:ind w:firstLine="5"/>
              <w:jc w:val="both"/>
              <w:rPr>
                <w:bCs/>
              </w:rPr>
            </w:pPr>
            <w:r w:rsidRPr="00A02401">
              <w:rPr>
                <w:bCs/>
              </w:rPr>
              <w:t>Punkts atbilstoši precizēts.</w:t>
            </w:r>
          </w:p>
        </w:tc>
        <w:tc>
          <w:tcPr>
            <w:tcW w:w="2951" w:type="dxa"/>
            <w:tcBorders>
              <w:top w:val="single" w:sz="4" w:space="0" w:color="auto"/>
              <w:left w:val="single" w:sz="4" w:space="0" w:color="auto"/>
              <w:bottom w:val="single" w:sz="4" w:space="0" w:color="auto"/>
            </w:tcBorders>
          </w:tcPr>
          <w:p w14:paraId="5A7E5416" w14:textId="77777777" w:rsidR="00055D01" w:rsidRPr="00A02401" w:rsidRDefault="00055D01" w:rsidP="006C70E3">
            <w:pPr>
              <w:spacing w:line="293" w:lineRule="atLeast"/>
              <w:jc w:val="both"/>
            </w:pPr>
            <w:r w:rsidRPr="00A02401">
              <w:t>11. Papildināt ar 82.5.apakšpunktu šādā redakcijā:</w:t>
            </w:r>
          </w:p>
          <w:p w14:paraId="3B6CB6B8" w14:textId="77777777" w:rsidR="00055D01" w:rsidRPr="00A02401" w:rsidRDefault="00055D01" w:rsidP="006C70E3">
            <w:pPr>
              <w:spacing w:line="293" w:lineRule="atLeast"/>
              <w:jc w:val="both"/>
            </w:pPr>
          </w:p>
          <w:p w14:paraId="27882BE5" w14:textId="77777777" w:rsidR="00055D01" w:rsidRPr="00A02401" w:rsidRDefault="00055D01" w:rsidP="00A8700C">
            <w:pPr>
              <w:jc w:val="both"/>
            </w:pPr>
            <w:r w:rsidRPr="00A02401">
              <w:t xml:space="preserve">“82.5. pēc lietotāja pieprasījuma </w:t>
            </w:r>
            <w:r w:rsidRPr="00A02401">
              <w:rPr>
                <w:u w:val="single"/>
              </w:rPr>
              <w:t>bez maksas nodrošināt</w:t>
            </w:r>
            <w:r w:rsidRPr="00A02401">
              <w:t xml:space="preserve"> sadales sistēmas operatora rīcībā esošo informāciju par lietotāja dabasgāzes patēriņu gazificētajā objektā par pēdējiem trim gadiem.”.</w:t>
            </w:r>
          </w:p>
          <w:p w14:paraId="323B57FD" w14:textId="77777777" w:rsidR="00055D01" w:rsidRPr="00A02401" w:rsidRDefault="00055D01" w:rsidP="006C70E3">
            <w:pPr>
              <w:spacing w:before="60" w:after="60"/>
              <w:ind w:firstLine="5"/>
              <w:jc w:val="both"/>
            </w:pPr>
          </w:p>
        </w:tc>
      </w:tr>
      <w:tr w:rsidR="00055D01" w:rsidRPr="00A02401" w14:paraId="4056286F" w14:textId="77777777" w:rsidTr="007D72ED">
        <w:tc>
          <w:tcPr>
            <w:tcW w:w="675" w:type="dxa"/>
            <w:tcBorders>
              <w:top w:val="single" w:sz="4" w:space="0" w:color="auto"/>
              <w:left w:val="single" w:sz="6" w:space="0" w:color="000000"/>
              <w:bottom w:val="single" w:sz="6" w:space="0" w:color="000000"/>
              <w:right w:val="single" w:sz="6" w:space="0" w:color="000000"/>
            </w:tcBorders>
          </w:tcPr>
          <w:p w14:paraId="3AB5B0D5" w14:textId="77777777" w:rsidR="00055D01" w:rsidRDefault="00055D01" w:rsidP="006C70E3">
            <w:pPr>
              <w:pStyle w:val="naisc"/>
              <w:spacing w:before="60" w:after="60"/>
              <w:jc w:val="both"/>
            </w:pPr>
            <w:r>
              <w:lastRenderedPageBreak/>
              <w:t>15.</w:t>
            </w:r>
          </w:p>
          <w:p w14:paraId="55BEE7B7" w14:textId="48748F99" w:rsidR="00055D01" w:rsidRPr="00A02401" w:rsidRDefault="00055D01" w:rsidP="006C70E3">
            <w:pPr>
              <w:pStyle w:val="naisc"/>
              <w:spacing w:before="60" w:after="60"/>
              <w:jc w:val="both"/>
            </w:pPr>
          </w:p>
        </w:tc>
        <w:tc>
          <w:tcPr>
            <w:tcW w:w="3119" w:type="dxa"/>
            <w:gridSpan w:val="2"/>
            <w:tcBorders>
              <w:top w:val="single" w:sz="4" w:space="0" w:color="auto"/>
              <w:left w:val="single" w:sz="6" w:space="0" w:color="000000"/>
              <w:bottom w:val="single" w:sz="6" w:space="0" w:color="000000"/>
              <w:right w:val="single" w:sz="6" w:space="0" w:color="000000"/>
            </w:tcBorders>
          </w:tcPr>
          <w:p w14:paraId="33BA186A" w14:textId="77777777" w:rsidR="00055D01" w:rsidRPr="00A02401" w:rsidRDefault="00055D01" w:rsidP="006C70E3">
            <w:pPr>
              <w:jc w:val="both"/>
            </w:pPr>
            <w:r w:rsidRPr="00A02401">
              <w:t>10. Izteikt 88.1. un 88.2. apakšpunktus šādā redakcijā:</w:t>
            </w:r>
          </w:p>
          <w:p w14:paraId="054764C4" w14:textId="77777777" w:rsidR="00055D01" w:rsidRPr="00A02401" w:rsidRDefault="00055D01" w:rsidP="006C70E3">
            <w:pPr>
              <w:jc w:val="both"/>
            </w:pPr>
            <w:r w:rsidRPr="00A02401">
              <w:tab/>
            </w:r>
          </w:p>
          <w:p w14:paraId="1EF166E8" w14:textId="77777777" w:rsidR="00055D01" w:rsidRPr="00A02401" w:rsidRDefault="00055D01" w:rsidP="00A8700C">
            <w:pPr>
              <w:jc w:val="both"/>
            </w:pPr>
            <w:r w:rsidRPr="00A02401">
              <w:lastRenderedPageBreak/>
              <w:t>“88.1. lietotājam, kas nav mājsaimniecības lietotājs, – pamatojoties uz faktiski patērētās dabasgāzes daudzumu līdzīgos apstākļos līdzīgā laikposmā;</w:t>
            </w:r>
          </w:p>
          <w:p w14:paraId="2E05927F" w14:textId="734C475C" w:rsidR="00055D01" w:rsidRPr="00A02401" w:rsidRDefault="00055D01" w:rsidP="006C70E3">
            <w:pPr>
              <w:ind w:firstLine="720"/>
              <w:jc w:val="both"/>
            </w:pPr>
            <w:r w:rsidRPr="00A02401">
              <w:t>88.2. mājsaimniecības lietotājam gazificētajos objektos ar gāzes plīti un centralizētu karstā ūdens apgādi</w:t>
            </w:r>
            <w:r w:rsidRPr="00A02401">
              <w:tab/>
              <w:t xml:space="preserve"> vai mājsaimniecības lietotājam gazificētajos objektos ar gāzes plīti un bez ūdens sildītājiem un centralizētas karstā ūdens apgādes, – ņemot vērā šo noteikumu 2.pielikumā noteiktās diferencētās dabasgāzes patēriņa mēneša un gada normas, , veicot patērētas dabasgāzes pārrēķinu.”</w:t>
            </w:r>
          </w:p>
          <w:p w14:paraId="17CC4CE5" w14:textId="77777777" w:rsidR="00055D01" w:rsidRPr="00A02401" w:rsidRDefault="00055D01" w:rsidP="006C70E3">
            <w:pPr>
              <w:jc w:val="both"/>
            </w:pPr>
          </w:p>
        </w:tc>
        <w:tc>
          <w:tcPr>
            <w:tcW w:w="4278" w:type="dxa"/>
            <w:tcBorders>
              <w:top w:val="single" w:sz="4" w:space="0" w:color="auto"/>
              <w:left w:val="single" w:sz="6" w:space="0" w:color="000000"/>
              <w:bottom w:val="single" w:sz="6" w:space="0" w:color="000000"/>
              <w:right w:val="single" w:sz="6" w:space="0" w:color="000000"/>
            </w:tcBorders>
          </w:tcPr>
          <w:p w14:paraId="12F9AC6E" w14:textId="77777777" w:rsidR="00055D01" w:rsidRPr="00A02401" w:rsidRDefault="00055D01" w:rsidP="006C70E3">
            <w:pPr>
              <w:pStyle w:val="naisc"/>
              <w:spacing w:before="60" w:after="60"/>
              <w:jc w:val="both"/>
              <w:rPr>
                <w:b/>
                <w:bCs/>
              </w:rPr>
            </w:pPr>
            <w:r w:rsidRPr="00A02401">
              <w:rPr>
                <w:b/>
                <w:bCs/>
              </w:rPr>
              <w:lastRenderedPageBreak/>
              <w:t>SPRK</w:t>
            </w:r>
          </w:p>
          <w:p w14:paraId="13AEB8DF" w14:textId="054BAD25" w:rsidR="00055D01" w:rsidRPr="00A02401" w:rsidRDefault="00055D01" w:rsidP="006C70E3">
            <w:pPr>
              <w:pStyle w:val="naisc"/>
              <w:spacing w:before="60" w:after="60"/>
              <w:jc w:val="both"/>
            </w:pPr>
            <w:r w:rsidRPr="00A02401">
              <w:lastRenderedPageBreak/>
              <w:t>Regulators vērš uzmanību, ka Noteikumu 88.punkta ievads – “Šo noteikumu 87. punktā minētā pārkāpuma dēļ sistēmas operators patērētās dabasgāzes daudzumu aprēķina šādi” – jau norāda, ka mājsaimniecības lietotāja patērētās dabasgāzes daudzums tiek pārrēķināts, ja, pārbaudot lietotāja dabasgāzes sistēmu, sadales sistēmas operators konstatē, ka patvaļīgi ierīkots pieslēgums pirms komercuzskaites mēraparāta vai lietotājs dabasgāzi lieto bez komercuzskaites mēraparāta, vai komercuzskaites mēraparāts vai plomba ir bojāta un kādas minētās darbības dēļ ir samazināts dabasgāzes patēriņa rādījuma lielums vai radīta iespēja dabasgāzi lietot bez maksas. Līdz ar to Noteikumu projekta 9.punktā paredzētā Noteikumu 88.2.apakšpunktā nepieciešams svītrot vārdus “veicot patērētās dabasgāzes pārrēķinu”.</w:t>
            </w:r>
          </w:p>
        </w:tc>
        <w:tc>
          <w:tcPr>
            <w:tcW w:w="3260" w:type="dxa"/>
            <w:gridSpan w:val="2"/>
            <w:tcBorders>
              <w:top w:val="single" w:sz="4" w:space="0" w:color="auto"/>
              <w:left w:val="single" w:sz="6" w:space="0" w:color="000000"/>
              <w:bottom w:val="single" w:sz="6" w:space="0" w:color="000000"/>
              <w:right w:val="single" w:sz="6" w:space="0" w:color="000000"/>
            </w:tcBorders>
          </w:tcPr>
          <w:p w14:paraId="30F70806" w14:textId="3E9AB77F" w:rsidR="00055D01" w:rsidRPr="00A02401" w:rsidRDefault="00055D01" w:rsidP="006C70E3">
            <w:pPr>
              <w:pStyle w:val="naisc"/>
              <w:spacing w:before="60" w:after="60"/>
              <w:ind w:firstLine="5"/>
              <w:jc w:val="both"/>
              <w:rPr>
                <w:b/>
              </w:rPr>
            </w:pPr>
            <w:r w:rsidRPr="00A02401">
              <w:rPr>
                <w:b/>
              </w:rPr>
              <w:lastRenderedPageBreak/>
              <w:t>Ņemts vērā.</w:t>
            </w:r>
          </w:p>
        </w:tc>
        <w:tc>
          <w:tcPr>
            <w:tcW w:w="2951" w:type="dxa"/>
            <w:tcBorders>
              <w:top w:val="single" w:sz="4" w:space="0" w:color="auto"/>
              <w:left w:val="single" w:sz="4" w:space="0" w:color="auto"/>
              <w:bottom w:val="single" w:sz="4" w:space="0" w:color="auto"/>
            </w:tcBorders>
          </w:tcPr>
          <w:p w14:paraId="507E4B84" w14:textId="77777777" w:rsidR="00055D01" w:rsidRPr="00A02401" w:rsidRDefault="00055D01" w:rsidP="006C70E3">
            <w:pPr>
              <w:jc w:val="both"/>
            </w:pPr>
            <w:r w:rsidRPr="00A02401">
              <w:t>10. Izteikt 88.1. un 88.2. apakšpunktus šādā redakcijā:</w:t>
            </w:r>
          </w:p>
          <w:p w14:paraId="1823F2A1" w14:textId="77777777" w:rsidR="00055D01" w:rsidRPr="00A02401" w:rsidRDefault="00055D01" w:rsidP="006C70E3">
            <w:pPr>
              <w:jc w:val="both"/>
            </w:pPr>
            <w:r w:rsidRPr="00A02401">
              <w:tab/>
            </w:r>
          </w:p>
          <w:p w14:paraId="361FBEA4" w14:textId="77777777" w:rsidR="00055D01" w:rsidRPr="00A02401" w:rsidRDefault="00055D01" w:rsidP="00A8700C">
            <w:pPr>
              <w:jc w:val="both"/>
            </w:pPr>
            <w:r w:rsidRPr="00A02401">
              <w:lastRenderedPageBreak/>
              <w:t>“88.1. lietotājam, kas nav mājsaimniecības lietotājs, – pamatojoties uz faktiski patērētās dabasgāzes daudzumu līdzīgos apstākļos līdzīgā laikposmā;</w:t>
            </w:r>
          </w:p>
          <w:p w14:paraId="7AE15D3C" w14:textId="630CF692" w:rsidR="00055D01" w:rsidRPr="00A02401" w:rsidRDefault="00055D01" w:rsidP="00A8700C">
            <w:pPr>
              <w:jc w:val="both"/>
            </w:pPr>
            <w:r w:rsidRPr="00A02401">
              <w:t>88.2.</w:t>
            </w:r>
            <w:r w:rsidR="00A8700C">
              <w:t> </w:t>
            </w:r>
            <w:r w:rsidRPr="00A02401">
              <w:t>mājsaimniecības lietotājam gazificētajos objektos ar gāzes plīti un centralizētu karstā ūdens apgādi</w:t>
            </w:r>
            <w:r w:rsidRPr="00A02401">
              <w:tab/>
              <w:t xml:space="preserve"> vai mājsaimniecības lietotājam gazificētajos objektos ar gāzes plīti un bez ūdens sildītājiem un centralizētas karstā ūdens apgādes, – ņemot vērā šo noteikumu 2.pielikumā noteiktās diferencētās dabasgāzes patēriņa mēneša un gada normas.”</w:t>
            </w:r>
          </w:p>
          <w:p w14:paraId="0FFB8CD3" w14:textId="77777777" w:rsidR="00055D01" w:rsidRPr="00A02401" w:rsidRDefault="00055D01" w:rsidP="006C70E3">
            <w:pPr>
              <w:jc w:val="both"/>
            </w:pPr>
          </w:p>
        </w:tc>
      </w:tr>
      <w:tr w:rsidR="00055D01" w:rsidRPr="00A02401" w14:paraId="1CA988AC" w14:textId="77777777" w:rsidTr="007D72ED">
        <w:tc>
          <w:tcPr>
            <w:tcW w:w="675" w:type="dxa"/>
            <w:tcBorders>
              <w:top w:val="single" w:sz="4" w:space="0" w:color="auto"/>
              <w:left w:val="single" w:sz="6" w:space="0" w:color="000000"/>
              <w:bottom w:val="single" w:sz="6" w:space="0" w:color="000000"/>
              <w:right w:val="single" w:sz="6" w:space="0" w:color="000000"/>
            </w:tcBorders>
          </w:tcPr>
          <w:p w14:paraId="4A90DBCB" w14:textId="2884B5AB" w:rsidR="00055D01" w:rsidRPr="00A02401" w:rsidRDefault="00055D01" w:rsidP="006C70E3">
            <w:pPr>
              <w:pStyle w:val="naisc"/>
              <w:spacing w:before="60" w:after="60"/>
              <w:jc w:val="both"/>
            </w:pPr>
            <w:r w:rsidRPr="00A02401">
              <w:lastRenderedPageBreak/>
              <w:t>1</w:t>
            </w:r>
            <w:r>
              <w:t>6</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45A5D1A4" w14:textId="4CAE3295" w:rsidR="00055D01" w:rsidRDefault="00055D01" w:rsidP="006C70E3">
            <w:pPr>
              <w:jc w:val="both"/>
            </w:pPr>
            <w:r w:rsidRPr="00A02401">
              <w:t>9. Izteikt 88.2. apakšpunktu šādā redakcijā:</w:t>
            </w:r>
          </w:p>
          <w:p w14:paraId="51D768E7" w14:textId="77777777" w:rsidR="00A8700C" w:rsidRPr="00A02401" w:rsidRDefault="00A8700C" w:rsidP="006C70E3">
            <w:pPr>
              <w:jc w:val="both"/>
            </w:pPr>
          </w:p>
          <w:p w14:paraId="0568569A" w14:textId="02B41911" w:rsidR="00055D01" w:rsidRPr="00A02401" w:rsidRDefault="00055D01" w:rsidP="006C70E3">
            <w:pPr>
              <w:jc w:val="both"/>
            </w:pPr>
            <w:r w:rsidRPr="00A02401">
              <w:t>“88.2.mājsaimniecības lietotājam gazificētajos objektos ar gāzes plīti ņemot vērā šo noteikumu 2.pielikumā noteiktās dabasgāzes diferencētās patēriņa normas.”</w:t>
            </w:r>
          </w:p>
          <w:p w14:paraId="324CD928" w14:textId="77777777" w:rsidR="00055D01" w:rsidRPr="00A02401" w:rsidRDefault="00055D01" w:rsidP="006C70E3">
            <w:pPr>
              <w:spacing w:line="293" w:lineRule="atLeast"/>
              <w:jc w:val="both"/>
              <w:rPr>
                <w:color w:val="000000" w:themeColor="text1"/>
              </w:rPr>
            </w:pPr>
          </w:p>
        </w:tc>
        <w:tc>
          <w:tcPr>
            <w:tcW w:w="4278" w:type="dxa"/>
            <w:tcBorders>
              <w:top w:val="single" w:sz="4" w:space="0" w:color="auto"/>
              <w:left w:val="single" w:sz="6" w:space="0" w:color="000000"/>
              <w:bottom w:val="single" w:sz="6" w:space="0" w:color="000000"/>
              <w:right w:val="single" w:sz="6" w:space="0" w:color="000000"/>
            </w:tcBorders>
          </w:tcPr>
          <w:p w14:paraId="2ADAA315" w14:textId="4FE0398A" w:rsidR="00055D01" w:rsidRPr="00A8700C" w:rsidRDefault="00055D01" w:rsidP="00A8700C">
            <w:pPr>
              <w:pStyle w:val="naisc"/>
              <w:spacing w:before="60" w:after="60"/>
              <w:jc w:val="both"/>
              <w:rPr>
                <w:b/>
                <w:bCs/>
              </w:rPr>
            </w:pPr>
            <w:r w:rsidRPr="00A02401">
              <w:rPr>
                <w:b/>
                <w:bCs/>
              </w:rPr>
              <w:t>Akciju sabiedrība “Latvijas Gāze”</w:t>
            </w:r>
          </w:p>
          <w:p w14:paraId="2EECDD2B" w14:textId="44812E51" w:rsidR="00055D01" w:rsidRPr="00A02401" w:rsidRDefault="00055D01" w:rsidP="006C70E3">
            <w:pPr>
              <w:jc w:val="both"/>
              <w:rPr>
                <w:rFonts w:eastAsia="Calibri"/>
              </w:rPr>
            </w:pPr>
            <w:r w:rsidRPr="00A02401">
              <w:rPr>
                <w:rFonts w:eastAsia="Calibri"/>
              </w:rPr>
              <w:t>Noteikumu projekts papildināts ar 9. punktu, kurā Noteikumu 88.2. apakšpunkts izteikts šādā redakcijā: “</w:t>
            </w:r>
            <w:r w:rsidRPr="00A02401">
              <w:rPr>
                <w:rFonts w:eastAsia="Calibri"/>
                <w:i/>
              </w:rPr>
              <w:t>88.2. mājsaimniecības lietotājam gazificētajos objektos ar gāzes plīti ņemot vērā šo noteikumu 2.pielikumā noteiktās dabasgāzes diferencētās patēriņa normas.”</w:t>
            </w:r>
            <w:r w:rsidRPr="00A02401">
              <w:rPr>
                <w:rFonts w:eastAsia="Calibri"/>
              </w:rPr>
              <w:t>. Savukārt 2. pielikumā norādītas dabasgāzes patēriņa normas m</w:t>
            </w:r>
            <w:r w:rsidRPr="00A02401">
              <w:rPr>
                <w:rFonts w:eastAsia="Calibri"/>
                <w:vertAlign w:val="superscript"/>
              </w:rPr>
              <w:t>3</w:t>
            </w:r>
            <w:r w:rsidRPr="00A02401">
              <w:rPr>
                <w:rFonts w:eastAsia="Calibri"/>
              </w:rPr>
              <w:t xml:space="preserve"> tikai mājsaimniecības lietotāju gazificētajos </w:t>
            </w:r>
            <w:r w:rsidRPr="00A02401">
              <w:rPr>
                <w:rFonts w:eastAsia="Calibri"/>
              </w:rPr>
              <w:lastRenderedPageBreak/>
              <w:t>objektos ar gāzes plīti un centralizētu karstā ūdens apgādi. Nav skaidrs, kādas ir mājsaimniecības lietotājam gazificētajos objektos ar gāzes plīti dabasgāzes diferencētās patēriņa normas, ja tam nav centralizētas karstā ūdens apgādes.</w:t>
            </w:r>
          </w:p>
          <w:p w14:paraId="4FED7451" w14:textId="77777777" w:rsidR="00055D01" w:rsidRPr="00A02401" w:rsidRDefault="00055D01" w:rsidP="006C70E3">
            <w:pPr>
              <w:jc w:val="both"/>
              <w:rPr>
                <w:rFonts w:eastAsia="Calibri"/>
              </w:rPr>
            </w:pPr>
          </w:p>
          <w:p w14:paraId="4397311C" w14:textId="77777777" w:rsidR="00055D01" w:rsidRPr="00A02401" w:rsidRDefault="00055D01" w:rsidP="006C70E3">
            <w:pPr>
              <w:jc w:val="both"/>
              <w:rPr>
                <w:rFonts w:eastAsia="Calibri"/>
              </w:rPr>
            </w:pPr>
            <w:r w:rsidRPr="00A02401">
              <w:rPr>
                <w:rFonts w:eastAsia="Calibri"/>
              </w:rPr>
              <w:t>AS “Latvijas Gāze” izsaka priekšlikumu noteikumu projekta 2. pielikumu papildināt ar diferencētām patēriņa normām, kādas tās ir, ja mājsaimniecības lietotāja gazificētajā objektā ar gāzes plīti nav centralizētas karstā ūdens apgādes.</w:t>
            </w:r>
          </w:p>
          <w:p w14:paraId="39534978" w14:textId="77777777" w:rsidR="00055D01" w:rsidRPr="00A02401" w:rsidRDefault="00055D01" w:rsidP="006C70E3">
            <w:pPr>
              <w:jc w:val="both"/>
              <w:rPr>
                <w:rFonts w:eastAsia="Calibri"/>
              </w:rPr>
            </w:pPr>
          </w:p>
          <w:p w14:paraId="4DF66DDA" w14:textId="77777777" w:rsidR="00055D01" w:rsidRPr="00A02401" w:rsidRDefault="00055D01" w:rsidP="006C70E3">
            <w:pPr>
              <w:jc w:val="both"/>
              <w:rPr>
                <w:rFonts w:eastAsia="Calibri"/>
                <w:b/>
                <w:bCs/>
              </w:rPr>
            </w:pPr>
            <w:r w:rsidRPr="00A02401">
              <w:rPr>
                <w:rFonts w:eastAsia="Calibri"/>
                <w:b/>
                <w:bCs/>
              </w:rPr>
              <w:t>PTAC</w:t>
            </w:r>
          </w:p>
          <w:p w14:paraId="01E1320B" w14:textId="77777777" w:rsidR="00055D01" w:rsidRPr="00A02401" w:rsidRDefault="00055D01" w:rsidP="00A8700C">
            <w:pPr>
              <w:jc w:val="both"/>
            </w:pPr>
            <w:r w:rsidRPr="00A02401">
              <w:t xml:space="preserve">PTAC norāda, ka nav saprotams, kā mājsaimniecības lietotājam tiek aprēķināta gala summa gadījumā, kad tiek piemērotas dabasgāzes diferencētās patēriņa normas, proti, vai un kādi papildu maksājumi tiek aprēķināti klāt/papildus, piemēram, nodokļi, maksa par sadales sistēmas pakalpojumiem u.c., ja tādas ir paredzētas aprēķināt (t.i., kā veidojas konkrētais aprēķins, kas balstīts uz dabasgāzes diferencētajām patēriņa normām). Ņemot vērā minēto, PTAC ieskatā Noteikumu projektu nepieciešams precizēt. </w:t>
            </w:r>
          </w:p>
          <w:p w14:paraId="4933A846" w14:textId="138E1CE0" w:rsidR="00055D01" w:rsidRPr="00A02401" w:rsidRDefault="00055D01" w:rsidP="006C70E3">
            <w:pPr>
              <w:jc w:val="both"/>
              <w:rPr>
                <w:b/>
                <w:bCs/>
                <w:shd w:val="clear" w:color="auto" w:fill="FDFCFD"/>
              </w:rPr>
            </w:pPr>
          </w:p>
        </w:tc>
        <w:tc>
          <w:tcPr>
            <w:tcW w:w="3260" w:type="dxa"/>
            <w:gridSpan w:val="2"/>
            <w:tcBorders>
              <w:top w:val="single" w:sz="4" w:space="0" w:color="auto"/>
              <w:left w:val="single" w:sz="6" w:space="0" w:color="000000"/>
              <w:bottom w:val="single" w:sz="6" w:space="0" w:color="000000"/>
              <w:right w:val="single" w:sz="6" w:space="0" w:color="000000"/>
            </w:tcBorders>
          </w:tcPr>
          <w:p w14:paraId="73F50A6D" w14:textId="035C3042" w:rsidR="00055D01" w:rsidRPr="00A02401" w:rsidRDefault="00055D01" w:rsidP="00A8700C">
            <w:pPr>
              <w:pStyle w:val="naisc"/>
              <w:spacing w:before="60" w:after="60"/>
              <w:ind w:firstLine="5"/>
              <w:jc w:val="both"/>
              <w:rPr>
                <w:b/>
              </w:rPr>
            </w:pPr>
            <w:r w:rsidRPr="00A02401">
              <w:rPr>
                <w:b/>
              </w:rPr>
              <w:lastRenderedPageBreak/>
              <w:t>Ņemts vērā.</w:t>
            </w:r>
          </w:p>
          <w:p w14:paraId="2565CEB6" w14:textId="77777777" w:rsidR="00055D01" w:rsidRPr="00A02401" w:rsidRDefault="00055D01" w:rsidP="006C70E3">
            <w:pPr>
              <w:pStyle w:val="naisc"/>
              <w:spacing w:before="60" w:after="60"/>
              <w:ind w:firstLine="5"/>
              <w:jc w:val="both"/>
              <w:rPr>
                <w:bCs/>
              </w:rPr>
            </w:pPr>
            <w:r w:rsidRPr="00A02401">
              <w:rPr>
                <w:bCs/>
              </w:rPr>
              <w:t>Noteikumu projekts un tā pielikums papildināts atbilstoši atnotācijā norādītajam, skaidri izdalot lietotāju kategorijas, kurām ir piemērojamās diferencētas patēriņa normas.</w:t>
            </w:r>
          </w:p>
          <w:p w14:paraId="21055BFC" w14:textId="77777777" w:rsidR="00055D01" w:rsidRPr="00A02401" w:rsidRDefault="00055D01" w:rsidP="006C70E3">
            <w:pPr>
              <w:pStyle w:val="naisc"/>
              <w:spacing w:before="60" w:after="60"/>
              <w:ind w:firstLine="5"/>
              <w:jc w:val="both"/>
              <w:rPr>
                <w:bCs/>
              </w:rPr>
            </w:pPr>
          </w:p>
          <w:p w14:paraId="6D7954EC" w14:textId="77777777" w:rsidR="00055D01" w:rsidRPr="00A02401" w:rsidRDefault="00055D01" w:rsidP="006C70E3">
            <w:pPr>
              <w:pStyle w:val="naisc"/>
              <w:spacing w:before="60" w:after="60"/>
              <w:ind w:firstLine="5"/>
              <w:jc w:val="both"/>
              <w:rPr>
                <w:bCs/>
              </w:rPr>
            </w:pPr>
            <w:r w:rsidRPr="00A02401">
              <w:rPr>
                <w:bCs/>
              </w:rPr>
              <w:t xml:space="preserve">Ir papildināta anotācija, norādot, ka minētajos gadījumos sadales </w:t>
            </w:r>
            <w:r w:rsidRPr="00A02401">
              <w:rPr>
                <w:bCs/>
              </w:rPr>
              <w:lastRenderedPageBreak/>
              <w:t xml:space="preserve">sistēmas operators veic pārrēķinu par noteikto periodu, izmantojot konkrētu formulu. </w:t>
            </w:r>
          </w:p>
          <w:p w14:paraId="5DCB6FFA" w14:textId="3E7A8499" w:rsidR="00055D01" w:rsidRPr="00A02401" w:rsidRDefault="00055D01" w:rsidP="006C70E3">
            <w:pPr>
              <w:pStyle w:val="naisc"/>
              <w:spacing w:before="60" w:after="60"/>
              <w:ind w:firstLine="5"/>
              <w:jc w:val="both"/>
              <w:rPr>
                <w:bCs/>
              </w:rPr>
            </w:pPr>
            <w:r w:rsidRPr="00A02401">
              <w:rPr>
                <w:bCs/>
              </w:rPr>
              <w:t>Ir papildināts Noteikumu projekts, norādot, ka diferencētas patēriņa normas tiek izmantotas patērētās dabasgāzes patēriņa pārrēķinam.</w:t>
            </w:r>
          </w:p>
        </w:tc>
        <w:tc>
          <w:tcPr>
            <w:tcW w:w="2951" w:type="dxa"/>
            <w:tcBorders>
              <w:top w:val="single" w:sz="4" w:space="0" w:color="auto"/>
              <w:left w:val="single" w:sz="4" w:space="0" w:color="auto"/>
              <w:bottom w:val="single" w:sz="4" w:space="0" w:color="auto"/>
            </w:tcBorders>
          </w:tcPr>
          <w:p w14:paraId="28D146AD" w14:textId="252DB785" w:rsidR="00055D01" w:rsidRDefault="00055D01" w:rsidP="006C70E3">
            <w:pPr>
              <w:jc w:val="both"/>
            </w:pPr>
            <w:r w:rsidRPr="00A02401">
              <w:lastRenderedPageBreak/>
              <w:t>12. Izteikt 88.1. un 88.2.apakšpunktus šādā redakcijā:</w:t>
            </w:r>
          </w:p>
          <w:p w14:paraId="65E63C8F" w14:textId="77777777" w:rsidR="00A8700C" w:rsidRPr="00A02401" w:rsidRDefault="00A8700C" w:rsidP="006C70E3">
            <w:pPr>
              <w:jc w:val="both"/>
            </w:pPr>
          </w:p>
          <w:p w14:paraId="7F913668" w14:textId="77777777" w:rsidR="00055D01" w:rsidRPr="00A02401" w:rsidRDefault="00055D01" w:rsidP="00A8700C">
            <w:pPr>
              <w:jc w:val="both"/>
            </w:pPr>
            <w:r w:rsidRPr="00A02401">
              <w:t>“88.1. lietotājam, kas nav mājsaimniecības lietotājs, – pamatojoties uz faktiski patērētās dabasgāzes daudzumu līdzīgos apstākļos līdzīgā laikposmā;</w:t>
            </w:r>
          </w:p>
          <w:p w14:paraId="70B5FD1E" w14:textId="3E318281" w:rsidR="00055D01" w:rsidRPr="00A02401" w:rsidRDefault="00055D01" w:rsidP="006C70E3">
            <w:pPr>
              <w:ind w:firstLine="720"/>
              <w:jc w:val="both"/>
            </w:pPr>
            <w:r w:rsidRPr="00A02401">
              <w:lastRenderedPageBreak/>
              <w:t>88.2. mājsaimniecības lietotājam gazificētajos objektos ar gāzes plīti un centralizētu karstā ūdens apgādi</w:t>
            </w:r>
            <w:r w:rsidRPr="00A02401">
              <w:tab/>
              <w:t xml:space="preserve"> vai mājsaimniecības lietotājam gazificētajos objektos ar gāzes plīti un bez ūdens sildītājiem un centralizētas karstā ūdens apgādes, – ņemot vērā šo noteikumu 2.pielikumā noteiktās dabasgāzes diferencētās patēriņa normas.”</w:t>
            </w:r>
          </w:p>
          <w:p w14:paraId="00E132A4" w14:textId="7677C06E" w:rsidR="00055D01" w:rsidRPr="00A02401" w:rsidRDefault="00055D01" w:rsidP="006C70E3">
            <w:pPr>
              <w:jc w:val="both"/>
            </w:pPr>
          </w:p>
          <w:p w14:paraId="5A605E9F" w14:textId="77777777" w:rsidR="00055D01" w:rsidRPr="00A02401" w:rsidRDefault="00055D01" w:rsidP="006C70E3">
            <w:pPr>
              <w:jc w:val="both"/>
            </w:pPr>
          </w:p>
          <w:p w14:paraId="6093AEE6" w14:textId="77777777" w:rsidR="00055D01" w:rsidRPr="00A02401" w:rsidRDefault="00055D01" w:rsidP="006C70E3">
            <w:pPr>
              <w:spacing w:before="60" w:after="60"/>
              <w:ind w:firstLine="5"/>
              <w:jc w:val="both"/>
            </w:pPr>
          </w:p>
        </w:tc>
      </w:tr>
      <w:tr w:rsidR="00055D01" w:rsidRPr="00A02401" w14:paraId="17AD26DE" w14:textId="77777777" w:rsidTr="007D72ED">
        <w:tc>
          <w:tcPr>
            <w:tcW w:w="675" w:type="dxa"/>
            <w:tcBorders>
              <w:top w:val="single" w:sz="4" w:space="0" w:color="auto"/>
              <w:left w:val="single" w:sz="6" w:space="0" w:color="000000"/>
              <w:bottom w:val="single" w:sz="6" w:space="0" w:color="000000"/>
              <w:right w:val="single" w:sz="6" w:space="0" w:color="000000"/>
            </w:tcBorders>
          </w:tcPr>
          <w:p w14:paraId="2D823A58" w14:textId="7FC745A2" w:rsidR="00055D01" w:rsidRPr="00A02401" w:rsidRDefault="00055D01" w:rsidP="006C70E3">
            <w:pPr>
              <w:pStyle w:val="naisc"/>
              <w:spacing w:before="60" w:after="60"/>
              <w:jc w:val="both"/>
            </w:pPr>
            <w:r w:rsidRPr="00A02401">
              <w:lastRenderedPageBreak/>
              <w:t>1</w:t>
            </w:r>
            <w:r>
              <w:t>7</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6B484233" w14:textId="77777777" w:rsidR="00055D01" w:rsidRPr="00A02401" w:rsidRDefault="00055D01" w:rsidP="006C70E3">
            <w:pPr>
              <w:jc w:val="both"/>
            </w:pPr>
            <w:r w:rsidRPr="00A02401">
              <w:t>10. Papildināt ar 88.3. apakšpunktu šādā redakcijā:</w:t>
            </w:r>
          </w:p>
          <w:p w14:paraId="4E208EC5" w14:textId="2A860990" w:rsidR="00055D01" w:rsidRPr="00A02401" w:rsidRDefault="00055D01" w:rsidP="006C70E3">
            <w:pPr>
              <w:jc w:val="both"/>
            </w:pPr>
            <w:r w:rsidRPr="00A02401">
              <w:t>“88.3.</w:t>
            </w:r>
            <w:r w:rsidR="00A8700C">
              <w:t> </w:t>
            </w:r>
            <w:r w:rsidRPr="00A02401">
              <w:t xml:space="preserve">mājsaimniecības lietotājiem, kuriem dabasgāzes </w:t>
            </w:r>
            <w:r w:rsidRPr="00A02401">
              <w:lastRenderedPageBreak/>
              <w:t>iekārtas un aparāti ir izmantojami apkurei dzīvojamās un saimniecības ēkās, pamatojoties uz lietotāja dabasgāzes iekārtu un aparātu maksimālo iespējamo slodzi.”</w:t>
            </w:r>
          </w:p>
          <w:p w14:paraId="78050999" w14:textId="77777777" w:rsidR="00055D01" w:rsidRPr="00A02401" w:rsidRDefault="00055D01" w:rsidP="006C70E3">
            <w:pPr>
              <w:spacing w:line="293" w:lineRule="atLeast"/>
              <w:jc w:val="both"/>
              <w:rPr>
                <w:color w:val="000000" w:themeColor="text1"/>
              </w:rPr>
            </w:pPr>
          </w:p>
        </w:tc>
        <w:tc>
          <w:tcPr>
            <w:tcW w:w="4278" w:type="dxa"/>
            <w:tcBorders>
              <w:top w:val="single" w:sz="4" w:space="0" w:color="auto"/>
              <w:left w:val="single" w:sz="6" w:space="0" w:color="000000"/>
              <w:bottom w:val="single" w:sz="6" w:space="0" w:color="000000"/>
              <w:right w:val="single" w:sz="6" w:space="0" w:color="000000"/>
            </w:tcBorders>
          </w:tcPr>
          <w:p w14:paraId="63BB2DAB" w14:textId="7C969571" w:rsidR="00055D01" w:rsidRPr="00A8700C" w:rsidRDefault="00055D01" w:rsidP="00A8700C">
            <w:pPr>
              <w:pStyle w:val="naisc"/>
              <w:spacing w:before="60" w:after="60"/>
              <w:jc w:val="both"/>
              <w:rPr>
                <w:b/>
                <w:bCs/>
              </w:rPr>
            </w:pPr>
            <w:r w:rsidRPr="00A02401">
              <w:rPr>
                <w:b/>
                <w:bCs/>
              </w:rPr>
              <w:lastRenderedPageBreak/>
              <w:t>Akciju sabiedrība “Latvijas Gāze”</w:t>
            </w:r>
          </w:p>
          <w:p w14:paraId="7F41A0FA" w14:textId="1218FD54" w:rsidR="00055D01" w:rsidRPr="00A02401" w:rsidRDefault="00055D01" w:rsidP="006C70E3">
            <w:pPr>
              <w:jc w:val="both"/>
              <w:rPr>
                <w:rFonts w:eastAsia="Calibri"/>
              </w:rPr>
            </w:pPr>
            <w:r w:rsidRPr="00A02401">
              <w:rPr>
                <w:rFonts w:eastAsia="Calibri"/>
              </w:rPr>
              <w:t xml:space="preserve">Noteikumu projekts papildināts ar 10. punktu, kurā Noteikumu 88.3. apakšpunkts izteikts šādā redakcijā: </w:t>
            </w:r>
            <w:r w:rsidRPr="00A02401">
              <w:rPr>
                <w:rFonts w:eastAsia="Calibri"/>
              </w:rPr>
              <w:lastRenderedPageBreak/>
              <w:t>“</w:t>
            </w:r>
            <w:r w:rsidRPr="00A02401">
              <w:rPr>
                <w:rFonts w:eastAsia="Calibri"/>
                <w:i/>
              </w:rPr>
              <w:t>88.3. mājsaimniecības lietotājiem, kuriem dabasgāzes iekārtas un aparāti ir izmantojami apkurei dzīvojamās un saimniecības ēkās, pamatojoties uz lietotāja dabasgāzes iekārtu un aparātu maksimālo iespējamo slodzi.</w:t>
            </w:r>
            <w:r w:rsidRPr="00A02401">
              <w:rPr>
                <w:rFonts w:eastAsia="Calibri"/>
              </w:rPr>
              <w:t xml:space="preserve">”. </w:t>
            </w:r>
          </w:p>
          <w:p w14:paraId="13C98917" w14:textId="77777777" w:rsidR="00055D01" w:rsidRPr="00A02401" w:rsidRDefault="00055D01" w:rsidP="006C70E3">
            <w:pPr>
              <w:contextualSpacing/>
              <w:jc w:val="both"/>
              <w:rPr>
                <w:rFonts w:eastAsia="Calibri"/>
              </w:rPr>
            </w:pPr>
          </w:p>
          <w:p w14:paraId="359CEAFB" w14:textId="77777777" w:rsidR="00055D01" w:rsidRPr="00A02401" w:rsidRDefault="00055D01" w:rsidP="006C70E3">
            <w:pPr>
              <w:contextualSpacing/>
              <w:jc w:val="both"/>
              <w:rPr>
                <w:rFonts w:eastAsia="Calibri"/>
              </w:rPr>
            </w:pPr>
            <w:r w:rsidRPr="00A02401">
              <w:rPr>
                <w:rFonts w:eastAsia="Calibri"/>
              </w:rPr>
              <w:t xml:space="preserve">AS “Latvijas Gāze” secina, ka anotācijā nav norādīts, kādēļ noteikumu projektā ir regulētas tikai iekārtas un aparāti, kas paredzēti izmantošanai apkurei tieši dzīvojamās un saimniecības ēkās. Mūsuprāt, nav nozīmes, kur mājsaimniecības lietotāji izmanto dabasgāzes iekārtas un aparātus apkurei. Nav pamatotu iemeslu izslēgt no normas tvēruma iekārtas un aparātus, kas tiek izmantoti apkurei, bet neapkurina dzīvojamās un saimniecības ēkas. Izsakām priekšlikumu papildināt anotāciju ar atbilstošu pamatojumu vai izslēgt no normas vārdus “dzīvojamās un saimniecības ēkās”. </w:t>
            </w:r>
          </w:p>
          <w:p w14:paraId="5FEF7ECA" w14:textId="77777777" w:rsidR="00055D01" w:rsidRPr="00A02401" w:rsidRDefault="00055D01" w:rsidP="006C70E3">
            <w:pPr>
              <w:contextualSpacing/>
              <w:jc w:val="both"/>
              <w:rPr>
                <w:rFonts w:eastAsia="Calibri"/>
              </w:rPr>
            </w:pPr>
          </w:p>
          <w:p w14:paraId="01E002E6" w14:textId="77777777" w:rsidR="00055D01" w:rsidRPr="00A02401" w:rsidRDefault="00055D01" w:rsidP="006C70E3">
            <w:pPr>
              <w:contextualSpacing/>
              <w:jc w:val="both"/>
              <w:rPr>
                <w:rFonts w:eastAsia="Calibri"/>
              </w:rPr>
            </w:pPr>
            <w:r w:rsidRPr="00A02401">
              <w:rPr>
                <w:rFonts w:eastAsia="Calibri"/>
              </w:rPr>
              <w:t xml:space="preserve">Ņemot vērā, ka šo normu plānots piemērot Noteikumu 87. punktā minētā pārkāpuma dēļ, kas var būt ilgstošs pārkāpums, Sabiedrība izsaka priekšlikumu precizēt - uz kuras iekārtas vai aparāta maksimālo slodzi norma ir vērsta. Proti, uz to iekārtu vai aparātu, kuram jābūt objektā atbilstoši būvniecības prasības reglamentējošajiem normatīvajiem aktiem vai uz to, kas </w:t>
            </w:r>
            <w:r w:rsidRPr="00A02401">
              <w:rPr>
                <w:rFonts w:eastAsia="Calibri"/>
              </w:rPr>
              <w:lastRenderedPageBreak/>
              <w:t>objektā atrodas pārkāpuma konstatācijas brīdī.</w:t>
            </w:r>
          </w:p>
          <w:p w14:paraId="09DBDA2B" w14:textId="77777777" w:rsidR="00055D01" w:rsidRPr="00A02401" w:rsidRDefault="00055D01" w:rsidP="006C70E3">
            <w:pPr>
              <w:jc w:val="both"/>
              <w:rPr>
                <w:rFonts w:eastAsia="Calibri"/>
              </w:rPr>
            </w:pPr>
          </w:p>
          <w:p w14:paraId="524D6855" w14:textId="77777777" w:rsidR="00055D01" w:rsidRPr="00A02401" w:rsidRDefault="00055D01" w:rsidP="006C70E3">
            <w:pPr>
              <w:jc w:val="both"/>
              <w:rPr>
                <w:rFonts w:eastAsia="Calibri"/>
              </w:rPr>
            </w:pPr>
            <w:r w:rsidRPr="00A02401">
              <w:rPr>
                <w:rFonts w:eastAsia="Calibri"/>
              </w:rPr>
              <w:t>Vēršam uzmanību, ka sadzīvē tiek izmantotas arī pašizgatavotas iekārtas un aparāti, kuriem nav iespējams noteikt to maksimālo iespējamo slodzi. Tā dēļ nepieciešams papildināt noteikumu projektu ar tiesisko regulējumu, gadījumiem, kad nav iespējams noteikt iekārtu vai aparātu maksimālo iespējamo slodzi. AS “Latvijas Gāze” izsaka priekšlikumu izteikt 88.4. apakšpunktu šādā redakcijā:</w:t>
            </w:r>
          </w:p>
          <w:p w14:paraId="7EA86500" w14:textId="77777777" w:rsidR="00055D01" w:rsidRPr="00A02401" w:rsidRDefault="00055D01" w:rsidP="006C70E3">
            <w:pPr>
              <w:jc w:val="both"/>
              <w:rPr>
                <w:rFonts w:eastAsia="Calibri"/>
              </w:rPr>
            </w:pPr>
          </w:p>
          <w:p w14:paraId="1D37A3A5" w14:textId="4851632A" w:rsidR="00055D01" w:rsidRPr="00A02401" w:rsidRDefault="00055D01" w:rsidP="006C70E3">
            <w:pPr>
              <w:jc w:val="both"/>
              <w:rPr>
                <w:i/>
              </w:rPr>
            </w:pPr>
            <w:r w:rsidRPr="00A02401">
              <w:rPr>
                <w:i/>
              </w:rPr>
              <w:t>“88.4. mājsaimniecības lietotājiem, kuriem dabasgāzes iekārtas un aparāti ir izmantojami ūdens sildīšanai un apkurei, bet tiem nav nosakāma maksimālā iespējamā slodze, pamatojoties uz gazificētā objekta dabasgāzes ievada caurules maksimālo iespējamo caurplūdi.”</w:t>
            </w:r>
          </w:p>
          <w:p w14:paraId="75562F80" w14:textId="06693B43" w:rsidR="00055D01" w:rsidRPr="00A02401" w:rsidRDefault="00055D01" w:rsidP="006C70E3">
            <w:pPr>
              <w:jc w:val="both"/>
              <w:rPr>
                <w:i/>
              </w:rPr>
            </w:pPr>
          </w:p>
          <w:p w14:paraId="206B8BC4" w14:textId="10787642" w:rsidR="00055D01" w:rsidRPr="00A8700C" w:rsidRDefault="00055D01" w:rsidP="006C70E3">
            <w:pPr>
              <w:jc w:val="both"/>
              <w:rPr>
                <w:rFonts w:ascii="Montserrat" w:hAnsi="Montserrat" w:cs="Arial"/>
                <w:b/>
                <w:bCs/>
                <w:iCs/>
              </w:rPr>
            </w:pPr>
            <w:r w:rsidRPr="00A02401">
              <w:rPr>
                <w:b/>
                <w:bCs/>
                <w:iCs/>
              </w:rPr>
              <w:t>Akciju sabiedrība “Gaso”</w:t>
            </w:r>
          </w:p>
          <w:p w14:paraId="58DD9AAB" w14:textId="77777777" w:rsidR="00055D01" w:rsidRPr="00A02401" w:rsidRDefault="00055D01" w:rsidP="006C70E3">
            <w:pPr>
              <w:spacing w:before="120" w:line="259" w:lineRule="auto"/>
              <w:jc w:val="both"/>
            </w:pPr>
            <w:r w:rsidRPr="00A02401">
              <w:t xml:space="preserve">Saskaņā ar piedāvāto 88.3.apakšpunkta redakciju akciju sabiedrībai “Gaso” nebūs iespējams aprēķināt patērēto dabasgāzes daudzumu, ja gazificētajā objektā nav dabasgāzes iekārta vai aparāts, vai dabasgāzes iekārtai vai aparātam, nav iespējams noteikt maksimālo iespējamo slodzi. Lai akciju sabiedrībai “Gaso” būtu </w:t>
            </w:r>
            <w:r w:rsidRPr="00A02401">
              <w:lastRenderedPageBreak/>
              <w:t>iespēja veikt aprēķinus visos gadījumos, ierosinām piedāvāto 88.3.apakšpunktu izteikt šādā redakcijā:</w:t>
            </w:r>
          </w:p>
          <w:p w14:paraId="4883825D" w14:textId="77777777" w:rsidR="00055D01" w:rsidRPr="00A8700C" w:rsidRDefault="00055D01" w:rsidP="00A8700C">
            <w:pPr>
              <w:jc w:val="both"/>
            </w:pPr>
            <w:r w:rsidRPr="00A8700C">
              <w:t>“88.3. mājsaimniecības lietotājiem, kuriem dabasgāzes iekārtas un aparāti ir izmantojami ūdens sildīšanai vai apkurei vai ūdens sildīšanai un apkurei dzīvojamās un saimniecības ēkās, pamatojoties uz lietotāja dabasgāzes iekārtu un aparātu maksimālo iespējamo slodzi, bet, ja lietotāja dabasgāzes iekārtu un aparātu maksimālā iespējamā slodze nav nosakāma, pamatojoties uz gazificētā objekta dabasgāzes ievada caurules maksimālo iespējamo caurplūdi.”</w:t>
            </w:r>
          </w:p>
          <w:p w14:paraId="744E254B" w14:textId="75D5A6C3" w:rsidR="00055D01" w:rsidRPr="00A02401" w:rsidRDefault="00055D01" w:rsidP="006C70E3">
            <w:pPr>
              <w:jc w:val="both"/>
              <w:rPr>
                <w:rFonts w:ascii="Montserrat" w:eastAsia="Calibri" w:hAnsi="Montserrat" w:cs="Calibri"/>
              </w:rPr>
            </w:pPr>
          </w:p>
        </w:tc>
        <w:tc>
          <w:tcPr>
            <w:tcW w:w="3260" w:type="dxa"/>
            <w:gridSpan w:val="2"/>
            <w:tcBorders>
              <w:top w:val="single" w:sz="4" w:space="0" w:color="auto"/>
              <w:left w:val="single" w:sz="6" w:space="0" w:color="000000"/>
              <w:bottom w:val="single" w:sz="6" w:space="0" w:color="000000"/>
              <w:right w:val="single" w:sz="6" w:space="0" w:color="000000"/>
            </w:tcBorders>
          </w:tcPr>
          <w:p w14:paraId="124154F3" w14:textId="37F01593" w:rsidR="00055D01" w:rsidRPr="00A02401" w:rsidRDefault="00055D01" w:rsidP="00A8700C">
            <w:pPr>
              <w:pStyle w:val="naisc"/>
              <w:spacing w:before="60" w:after="60"/>
              <w:ind w:firstLine="5"/>
              <w:jc w:val="both"/>
              <w:rPr>
                <w:b/>
              </w:rPr>
            </w:pPr>
            <w:r w:rsidRPr="00A02401">
              <w:rPr>
                <w:b/>
              </w:rPr>
              <w:lastRenderedPageBreak/>
              <w:t>Daļēji ņemts vērā.</w:t>
            </w:r>
          </w:p>
          <w:p w14:paraId="4E7805A0" w14:textId="46DC6A76" w:rsidR="00055D01" w:rsidRPr="00A02401" w:rsidRDefault="00055D01" w:rsidP="006C70E3">
            <w:pPr>
              <w:pStyle w:val="naisc"/>
              <w:spacing w:before="60" w:after="60"/>
              <w:ind w:firstLine="5"/>
              <w:jc w:val="both"/>
              <w:rPr>
                <w:bCs/>
              </w:rPr>
            </w:pPr>
            <w:r w:rsidRPr="00A02401">
              <w:rPr>
                <w:bCs/>
              </w:rPr>
              <w:t>Noteikumu projekta normas, kas attiecās uz “</w:t>
            </w:r>
            <w:r w:rsidRPr="00A02401">
              <w:rPr>
                <w:rFonts w:eastAsia="Calibri"/>
                <w:i/>
              </w:rPr>
              <w:t xml:space="preserve">lietotāja dabasgāzes iekārtu un aparātu </w:t>
            </w:r>
            <w:r w:rsidRPr="00A02401">
              <w:rPr>
                <w:rFonts w:eastAsia="Calibri"/>
                <w:i/>
              </w:rPr>
              <w:lastRenderedPageBreak/>
              <w:t>maksimālo iespējamo slodzi</w:t>
            </w:r>
            <w:r w:rsidRPr="00A02401">
              <w:rPr>
                <w:bCs/>
              </w:rPr>
              <w:t>”  precizēts ņemot vērā Satversmes tiesas 2020.gada 28.septembra spriedumu lietā Nr. 2019-37-0103 “Par Enerģētikas likuma 42.</w:t>
            </w:r>
            <w:r w:rsidRPr="00A02401">
              <w:rPr>
                <w:bCs/>
                <w:vertAlign w:val="superscript"/>
              </w:rPr>
              <w:t>3</w:t>
            </w:r>
            <w:r w:rsidRPr="00A02401">
              <w:rPr>
                <w:bCs/>
              </w:rPr>
              <w:t xml:space="preserve"> panta pirmās daļas (redakcijā, kas bija spēkā līdz 2016.gada 7.martam) atbilstību Latvijas Republikas Satversmes 64. un 105.pantam un Ministru kabineta 2008.gada 16.decembra noteikumu Nr.1048 “Dabasgāzes piegādes un lietošanas noteikumi” 56., 58. un 87.punkta atbilstību Latvijas Republikas Satversmes 64. un 105.pantam un Enerģētikas likuma 42.</w:t>
            </w:r>
            <w:r w:rsidRPr="00A02401">
              <w:rPr>
                <w:bCs/>
                <w:vertAlign w:val="superscript"/>
              </w:rPr>
              <w:t>3</w:t>
            </w:r>
            <w:r w:rsidRPr="00A02401">
              <w:rPr>
                <w:bCs/>
              </w:rPr>
              <w:t>panta pirmajai daļai (redakcijā, kas bija spēkā līdz 2016.gada 7.martam)” (turpmāk – 28.septembra Spriedums). 28.septembra Spriedumā konstatēts un nostiprināts tiesas atziņas, ka:</w:t>
            </w:r>
          </w:p>
          <w:p w14:paraId="6D7CB8F8" w14:textId="77777777" w:rsidR="00055D01" w:rsidRPr="00A02401" w:rsidRDefault="00055D01" w:rsidP="006C70E3">
            <w:pPr>
              <w:pStyle w:val="naisc"/>
              <w:numPr>
                <w:ilvl w:val="0"/>
                <w:numId w:val="25"/>
              </w:numPr>
              <w:spacing w:before="60" w:after="60"/>
              <w:jc w:val="both"/>
              <w:rPr>
                <w:bCs/>
              </w:rPr>
            </w:pPr>
            <w:r w:rsidRPr="00A02401">
              <w:rPr>
                <w:bCs/>
              </w:rPr>
              <w:t xml:space="preserve">metode, kad patērētās dabasgāzes daudzums nosakāms, pamatojoties uz faktiski patērētās dabasgāzes daudzumu līdzīgos apstākļos līdzīgā laikposmā tiek atzīts par atbilstošu Latvijas </w:t>
            </w:r>
            <w:r w:rsidRPr="00A02401">
              <w:rPr>
                <w:bCs/>
              </w:rPr>
              <w:lastRenderedPageBreak/>
              <w:t>Republikas Satversmes 64. un 105. pantam un Enerģētikas likuma 42.3 panta pirmajai daļai (redakcijā, kas bija spēkā no 2008. gada 4. jūlija līdz 2016. gada 7. martam);</w:t>
            </w:r>
          </w:p>
          <w:p w14:paraId="64D0E6DF" w14:textId="77777777" w:rsidR="00055D01" w:rsidRPr="00A02401" w:rsidRDefault="00055D01" w:rsidP="006C70E3">
            <w:pPr>
              <w:pStyle w:val="naisc"/>
              <w:numPr>
                <w:ilvl w:val="0"/>
                <w:numId w:val="25"/>
              </w:numPr>
              <w:spacing w:before="60" w:after="60"/>
              <w:jc w:val="both"/>
              <w:rPr>
                <w:bCs/>
              </w:rPr>
            </w:pPr>
            <w:r w:rsidRPr="00A02401">
              <w:rPr>
                <w:bCs/>
              </w:rPr>
              <w:t>metode, kas paredz, ka patērētās dabasgāzes daudzums nosakāms, pamatojoties uz enerģijas lietotājam atļauto maksimālo dabasgāzes patēriņu stundā vai enerģijas lietotāja dabasgāzes iekārtu maksimālo iespējamo patēriņu stundā tiek atzīta par neatbilstošu Latvijas Republikas Satversmes 64. un 105. pantam un Enerģētikas likuma 42.3 panta pirmajai daļai (redakcijā, kas bija spēkā no 2008. gada 4. jūlija līdz 2016. gada 7. martam).</w:t>
            </w:r>
          </w:p>
          <w:p w14:paraId="3D35DEB1" w14:textId="77777777" w:rsidR="00055D01" w:rsidRPr="00A02401" w:rsidRDefault="00055D01" w:rsidP="006C70E3">
            <w:pPr>
              <w:pStyle w:val="naisc"/>
              <w:numPr>
                <w:ilvl w:val="0"/>
                <w:numId w:val="25"/>
              </w:numPr>
              <w:spacing w:before="60" w:after="60"/>
              <w:jc w:val="both"/>
              <w:rPr>
                <w:bCs/>
              </w:rPr>
            </w:pPr>
            <w:r w:rsidRPr="00A02401">
              <w:rPr>
                <w:bCs/>
              </w:rPr>
              <w:t xml:space="preserve">kompensācijas apmērs, kas nosakāms, reizinot tajos paredzētajā kārtībā noteikto patērētās dabasgāzes daudzumu ar dabasgāzes tirdzniecības tarifu divkāršā apmērā, </w:t>
            </w:r>
            <w:r w:rsidRPr="00A02401">
              <w:rPr>
                <w:bCs/>
              </w:rPr>
              <w:lastRenderedPageBreak/>
              <w:t>tiek atzīta par neatbilstošu Latvijas Republikas Satversmes 64. un 105. pantam un Enerģētikas likuma 42.3 panta pirmajai daļai (redakcijā, kas bija spēkā no 2008. gada 4. jūlija līdz 2016. gada 7. martam).</w:t>
            </w:r>
          </w:p>
          <w:p w14:paraId="024ADE8A" w14:textId="56ACF26F" w:rsidR="00055D01" w:rsidRPr="00A02401" w:rsidRDefault="00055D01" w:rsidP="006C70E3">
            <w:pPr>
              <w:pStyle w:val="naisc"/>
              <w:spacing w:before="60" w:after="60"/>
              <w:ind w:firstLine="5"/>
              <w:jc w:val="both"/>
              <w:rPr>
                <w:bCs/>
              </w:rPr>
            </w:pPr>
            <w:r w:rsidRPr="00A02401">
              <w:rPr>
                <w:bCs/>
              </w:rPr>
              <w:t>28.septembra Spriedumā minētās normas daļēji nav mainītas, līdz ar to Ekonomikas ministrija secina, ka šobrīd spēkā esošajos Noteikumos ietvertā atsauce būtu jāmaina, lai tiktu nodrošināts Satversmei atbilstošs tiesiskais regulējums.</w:t>
            </w:r>
          </w:p>
          <w:p w14:paraId="74F9B20B" w14:textId="7EFFC9B3" w:rsidR="00055D01" w:rsidRPr="00A02401" w:rsidRDefault="00055D01" w:rsidP="006C70E3">
            <w:pPr>
              <w:pStyle w:val="naisc"/>
              <w:spacing w:before="60" w:after="60"/>
              <w:ind w:firstLine="5"/>
              <w:jc w:val="both"/>
              <w:rPr>
                <w:b/>
              </w:rPr>
            </w:pPr>
          </w:p>
        </w:tc>
        <w:tc>
          <w:tcPr>
            <w:tcW w:w="2951" w:type="dxa"/>
            <w:tcBorders>
              <w:top w:val="single" w:sz="4" w:space="0" w:color="auto"/>
              <w:left w:val="single" w:sz="4" w:space="0" w:color="auto"/>
              <w:bottom w:val="single" w:sz="4" w:space="0" w:color="auto"/>
            </w:tcBorders>
          </w:tcPr>
          <w:p w14:paraId="71AA1D6B" w14:textId="77777777" w:rsidR="00055D01" w:rsidRPr="00A02401" w:rsidRDefault="00055D01" w:rsidP="006C70E3">
            <w:pPr>
              <w:jc w:val="both"/>
            </w:pPr>
            <w:r w:rsidRPr="00A02401">
              <w:lastRenderedPageBreak/>
              <w:t>13. Papildināt ar 88.3. apakšpunktu šādā redakcijā:</w:t>
            </w:r>
          </w:p>
          <w:p w14:paraId="2637876F" w14:textId="77777777" w:rsidR="00055D01" w:rsidRPr="00A02401" w:rsidRDefault="00055D01" w:rsidP="006C70E3">
            <w:pPr>
              <w:jc w:val="both"/>
            </w:pPr>
            <w:r w:rsidRPr="00A02401">
              <w:tab/>
            </w:r>
          </w:p>
          <w:p w14:paraId="3B538704" w14:textId="1D7DC260" w:rsidR="00055D01" w:rsidRPr="00A02401" w:rsidRDefault="00055D01" w:rsidP="00A8700C">
            <w:pPr>
              <w:jc w:val="both"/>
            </w:pPr>
            <w:r w:rsidRPr="00A02401">
              <w:lastRenderedPageBreak/>
              <w:t>“88.3.</w:t>
            </w:r>
            <w:r w:rsidR="00A8700C">
              <w:t> </w:t>
            </w:r>
            <w:r w:rsidRPr="00A02401">
              <w:t>mājsaimniecības lietotājiem, kuriem dabasgāzes iekārtas un aparāti ir izmantojami apkurei, un mājsaimniecības lietotājiem ar uzstādītiem gāzes ūdens sildītājiem, – pamatojoties uz faktiski patērētās dabasgāzes daudzumu līdzīgos apstākļos līdzīgā laikposmā.”</w:t>
            </w:r>
          </w:p>
          <w:p w14:paraId="2A303D51" w14:textId="77777777" w:rsidR="00055D01" w:rsidRPr="00A02401" w:rsidRDefault="00055D01" w:rsidP="006C70E3">
            <w:pPr>
              <w:spacing w:before="60" w:after="60"/>
              <w:ind w:firstLine="5"/>
              <w:jc w:val="both"/>
            </w:pPr>
          </w:p>
        </w:tc>
      </w:tr>
      <w:tr w:rsidR="00055D01" w:rsidRPr="00A02401" w14:paraId="0CECE599" w14:textId="77777777" w:rsidTr="007D72ED">
        <w:tc>
          <w:tcPr>
            <w:tcW w:w="675" w:type="dxa"/>
            <w:tcBorders>
              <w:top w:val="single" w:sz="4" w:space="0" w:color="auto"/>
              <w:left w:val="single" w:sz="6" w:space="0" w:color="000000"/>
              <w:bottom w:val="single" w:sz="6" w:space="0" w:color="000000"/>
              <w:right w:val="single" w:sz="6" w:space="0" w:color="000000"/>
            </w:tcBorders>
          </w:tcPr>
          <w:p w14:paraId="54B22F28" w14:textId="6EC5E92B" w:rsidR="00055D01" w:rsidRPr="00A02401" w:rsidRDefault="00055D01" w:rsidP="006C70E3">
            <w:pPr>
              <w:pStyle w:val="naisc"/>
              <w:spacing w:before="60" w:after="60"/>
              <w:jc w:val="both"/>
            </w:pPr>
            <w:r w:rsidRPr="00A02401">
              <w:lastRenderedPageBreak/>
              <w:t>1</w:t>
            </w:r>
            <w:r>
              <w:t>8</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1C0321D5" w14:textId="77777777" w:rsidR="00055D01" w:rsidRPr="00A02401" w:rsidRDefault="00055D01" w:rsidP="006C70E3">
            <w:pPr>
              <w:jc w:val="both"/>
            </w:pPr>
            <w:r w:rsidRPr="00A02401">
              <w:t>12. Izteikt 88.1. un 88.2.apakšpunktus šādā redakcijā:</w:t>
            </w:r>
          </w:p>
          <w:p w14:paraId="3F359B2E" w14:textId="77777777" w:rsidR="00055D01" w:rsidRPr="00A02401" w:rsidRDefault="00055D01" w:rsidP="006C70E3">
            <w:pPr>
              <w:jc w:val="both"/>
            </w:pPr>
            <w:r w:rsidRPr="00A02401">
              <w:tab/>
            </w:r>
          </w:p>
          <w:p w14:paraId="068F1366" w14:textId="77777777" w:rsidR="00055D01" w:rsidRPr="00A02401" w:rsidRDefault="00055D01" w:rsidP="00A8700C">
            <w:pPr>
              <w:jc w:val="both"/>
            </w:pPr>
            <w:r w:rsidRPr="00A02401">
              <w:t>“88.1. lietotājam, kas nav mājsaimniecības lietotājs, – pamatojoties uz faktiski patērētās dabasgāzes daudzumu līdzīgos apstākļos līdzīgā laikposmā;</w:t>
            </w:r>
          </w:p>
          <w:p w14:paraId="39E7E1CF" w14:textId="77777777" w:rsidR="00055D01" w:rsidRPr="00A02401" w:rsidRDefault="00055D01" w:rsidP="00A8700C">
            <w:pPr>
              <w:jc w:val="both"/>
            </w:pPr>
            <w:r w:rsidRPr="00A02401">
              <w:t xml:space="preserve">88.2. mājsaimniecības lietotājam gazificētajos objektos ar gāzes plīti un centralizētu karstā ūdens </w:t>
            </w:r>
            <w:r w:rsidRPr="00A02401">
              <w:lastRenderedPageBreak/>
              <w:t>apgādi</w:t>
            </w:r>
            <w:r w:rsidRPr="00A02401">
              <w:tab/>
              <w:t xml:space="preserve"> vai mājsaimniecības lietotājam gazificētajos objektos ar gāzes plīti un bez ūdens sildītājiem un centralizētas karstā ūdens apgādes, – ņemot vērā šo noteikumu 2.pielikumā noteiktās dabasgāzes diferencētās patēriņa normas.”</w:t>
            </w:r>
          </w:p>
          <w:p w14:paraId="0FCE8D0E" w14:textId="77777777" w:rsidR="00055D01" w:rsidRPr="00A02401" w:rsidRDefault="00055D01" w:rsidP="006C70E3">
            <w:pPr>
              <w:jc w:val="both"/>
            </w:pPr>
          </w:p>
          <w:p w14:paraId="0206172D" w14:textId="77777777" w:rsidR="00055D01" w:rsidRPr="00A02401" w:rsidRDefault="00055D01" w:rsidP="006C70E3">
            <w:pPr>
              <w:jc w:val="both"/>
            </w:pPr>
            <w:r w:rsidRPr="00A02401">
              <w:t>13. Papildināt ar 88.3. apakšpunktu šādā redakcijā:</w:t>
            </w:r>
          </w:p>
          <w:p w14:paraId="3EB3B898" w14:textId="77777777" w:rsidR="00055D01" w:rsidRPr="00A02401" w:rsidRDefault="00055D01" w:rsidP="006C70E3">
            <w:pPr>
              <w:jc w:val="both"/>
            </w:pPr>
            <w:r w:rsidRPr="00A02401">
              <w:tab/>
            </w:r>
          </w:p>
          <w:p w14:paraId="0FBD6F3F" w14:textId="6D29B109" w:rsidR="00055D01" w:rsidRPr="00A02401" w:rsidRDefault="00055D01" w:rsidP="00A8700C">
            <w:pPr>
              <w:jc w:val="both"/>
            </w:pPr>
            <w:r w:rsidRPr="00A02401">
              <w:t>“88.3.</w:t>
            </w:r>
            <w:r w:rsidR="00A8700C">
              <w:t> </w:t>
            </w:r>
            <w:r w:rsidRPr="00A02401">
              <w:t>mājsaimniecības lietotājiem, kuriem dabasgāzes iekārtas un aparāti ir izmantojami apkurei, un mājsaimniecības lietotājiem ar uzstādītiem gāzes ūdens sildītājiem, – pamatojoties uz faktiski patērētās dabasgāzes daudzumu līdzīgos apstākļos līdzīgā laikposmā.”</w:t>
            </w:r>
          </w:p>
          <w:p w14:paraId="52C7F52F" w14:textId="77777777" w:rsidR="00055D01" w:rsidRPr="00A02401" w:rsidRDefault="00055D01" w:rsidP="006C70E3">
            <w:pPr>
              <w:jc w:val="both"/>
            </w:pPr>
          </w:p>
        </w:tc>
        <w:tc>
          <w:tcPr>
            <w:tcW w:w="4278" w:type="dxa"/>
            <w:tcBorders>
              <w:top w:val="single" w:sz="4" w:space="0" w:color="auto"/>
              <w:left w:val="single" w:sz="6" w:space="0" w:color="000000"/>
              <w:bottom w:val="single" w:sz="6" w:space="0" w:color="000000"/>
              <w:right w:val="single" w:sz="6" w:space="0" w:color="000000"/>
            </w:tcBorders>
          </w:tcPr>
          <w:p w14:paraId="74E91895" w14:textId="59F457CA" w:rsidR="00055D01" w:rsidRPr="00A02401" w:rsidRDefault="00055D01" w:rsidP="006C70E3">
            <w:pPr>
              <w:jc w:val="both"/>
              <w:rPr>
                <w:b/>
              </w:rPr>
            </w:pPr>
            <w:r>
              <w:rPr>
                <w:b/>
              </w:rPr>
              <w:lastRenderedPageBreak/>
              <w:t>Akciju sabiedrība</w:t>
            </w:r>
            <w:r w:rsidRPr="00A02401">
              <w:rPr>
                <w:b/>
              </w:rPr>
              <w:t xml:space="preserve"> </w:t>
            </w:r>
            <w:r>
              <w:rPr>
                <w:b/>
              </w:rPr>
              <w:t>“</w:t>
            </w:r>
            <w:r w:rsidRPr="00A02401">
              <w:rPr>
                <w:b/>
              </w:rPr>
              <w:t>Latvijas Gāze</w:t>
            </w:r>
            <w:r>
              <w:rPr>
                <w:b/>
              </w:rPr>
              <w:t>”</w:t>
            </w:r>
          </w:p>
          <w:p w14:paraId="6F61BE16" w14:textId="7CFF6AF1" w:rsidR="00055D01" w:rsidRPr="00A02401" w:rsidRDefault="00055D01" w:rsidP="006C70E3">
            <w:pPr>
              <w:jc w:val="both"/>
              <w:rPr>
                <w:bCs/>
              </w:rPr>
            </w:pPr>
            <w:r w:rsidRPr="00A02401">
              <w:rPr>
                <w:bCs/>
              </w:rPr>
              <w:t xml:space="preserve">Sabiedrība uztur iebildumus attiecībā uz noteikumu projekta 11. līdz 15., 20.punktu un 2.pielikumu ciktāl tas rada lietotājiem, kuri iejaukušies dabasgāzes apgādes sistēmā ekonomiski izdevīgākus samaksas apstākļus (samaksu sadales sistēmas operatoram par gadā aprēķināto dabasgāzes daudzumu), nekā tie ir lietotājiem, kuri vairāku gadu garumā, bez iejaukšanās sadales sistēmā uzskaita patērēto dabasgāzi un maksā par to. </w:t>
            </w:r>
          </w:p>
          <w:p w14:paraId="6DB695EF" w14:textId="77777777" w:rsidR="00055D01" w:rsidRPr="00A02401" w:rsidRDefault="00055D01" w:rsidP="006C70E3">
            <w:pPr>
              <w:jc w:val="both"/>
              <w:rPr>
                <w:bCs/>
              </w:rPr>
            </w:pPr>
          </w:p>
          <w:p w14:paraId="1ECB1D23" w14:textId="77777777" w:rsidR="00055D01" w:rsidRPr="00A02401" w:rsidRDefault="00055D01" w:rsidP="006C70E3">
            <w:pPr>
              <w:spacing w:line="259" w:lineRule="auto"/>
              <w:jc w:val="both"/>
              <w:rPr>
                <w:b/>
                <w:bCs/>
              </w:rPr>
            </w:pPr>
            <w:r w:rsidRPr="00A02401">
              <w:rPr>
                <w:b/>
                <w:bCs/>
              </w:rPr>
              <w:t>Akciju sabiedrība “Gaso”</w:t>
            </w:r>
          </w:p>
          <w:p w14:paraId="16782924" w14:textId="77777777" w:rsidR="00055D01" w:rsidRPr="00A02401" w:rsidRDefault="00055D01" w:rsidP="00A8700C">
            <w:pPr>
              <w:jc w:val="both"/>
            </w:pPr>
            <w:r w:rsidRPr="00A02401">
              <w:lastRenderedPageBreak/>
              <w:t>Gaso iebilst par Noteikumu grozījumiem, kas ietverti 12. līdz 15.punktam un 20.punktā. Noteikumu grozījumi 12. un 13.punktā paredz izteikt 88.1. un 88.2.apakšpunktus šādā redakcijā:</w:t>
            </w:r>
          </w:p>
          <w:p w14:paraId="1ACEFAA2" w14:textId="77777777" w:rsidR="00055D01" w:rsidRPr="00A02401" w:rsidRDefault="00055D01" w:rsidP="006C70E3">
            <w:pPr>
              <w:jc w:val="both"/>
              <w:rPr>
                <w:i/>
              </w:rPr>
            </w:pPr>
            <w:r w:rsidRPr="00A02401">
              <w:t>“</w:t>
            </w:r>
            <w:r w:rsidRPr="00A02401">
              <w:rPr>
                <w:i/>
              </w:rPr>
              <w:t xml:space="preserve">88.1. lietotājam, kas nav mājsaimniecības lietotājs, – pamatojoties uz </w:t>
            </w:r>
            <w:r w:rsidRPr="00A02401">
              <w:rPr>
                <w:i/>
                <w:u w:val="single"/>
              </w:rPr>
              <w:t>faktiski patērētās dabasgāzes daudzumu līdzīgos apstākļos līdzīgā laikposmā</w:t>
            </w:r>
            <w:r w:rsidRPr="00A02401">
              <w:rPr>
                <w:i/>
              </w:rPr>
              <w:t>;</w:t>
            </w:r>
          </w:p>
          <w:p w14:paraId="1171E74E" w14:textId="77777777" w:rsidR="00055D01" w:rsidRPr="00A02401" w:rsidRDefault="00055D01" w:rsidP="006C70E3">
            <w:pPr>
              <w:jc w:val="both"/>
            </w:pPr>
            <w:r w:rsidRPr="00A02401">
              <w:rPr>
                <w:i/>
              </w:rPr>
              <w:t xml:space="preserve">88.2. mājsaimniecības lietotājam gazificētajos objektos ar gāzes plīti un centralizētu karstā ūdens apgādi vai mājsaimniecības lietotājam gazificētajos objektos ar gāzes plīti un bez ūdens sildītājiem un centralizētas karstā ūdens apgādes, – ņemot vērā šo noteikumu 2.pielikumā noteiktās </w:t>
            </w:r>
            <w:r w:rsidRPr="00A02401">
              <w:rPr>
                <w:i/>
                <w:u w:val="single"/>
              </w:rPr>
              <w:t>dabasgāzes diferencētās patēriņa normas</w:t>
            </w:r>
            <w:r w:rsidRPr="00A02401">
              <w:rPr>
                <w:i/>
              </w:rPr>
              <w:t>.</w:t>
            </w:r>
            <w:r w:rsidRPr="00A02401">
              <w:t>”</w:t>
            </w:r>
          </w:p>
          <w:p w14:paraId="59C355A1" w14:textId="77777777" w:rsidR="00055D01" w:rsidRPr="00A02401" w:rsidRDefault="00055D01" w:rsidP="006C70E3">
            <w:pPr>
              <w:jc w:val="both"/>
            </w:pPr>
            <w:r w:rsidRPr="00A02401">
              <w:t>un papildināt noteikumus ar 88.3. apakšpunktu šādā redakcijā:</w:t>
            </w:r>
          </w:p>
          <w:p w14:paraId="35B8E777" w14:textId="77777777" w:rsidR="00055D01" w:rsidRPr="00A02401" w:rsidRDefault="00055D01" w:rsidP="006C70E3">
            <w:pPr>
              <w:jc w:val="both"/>
            </w:pPr>
            <w:r w:rsidRPr="00A02401">
              <w:t>“</w:t>
            </w:r>
            <w:r w:rsidRPr="00A02401">
              <w:rPr>
                <w:i/>
              </w:rPr>
              <w:t xml:space="preserve">88.3. mājsaimniecības lietotājiem, kuriem dabasgāzes iekārtas un aparāti ir izmantojami apkurei, un mājsaimniecības lietotājiem ar uzstādītiem gāzes ūdens sildītājiem, – pamatojoties uz </w:t>
            </w:r>
            <w:r w:rsidRPr="00A02401">
              <w:rPr>
                <w:i/>
                <w:u w:val="single"/>
              </w:rPr>
              <w:t>faktiski patērētās dabasgāzes daudzumu līdzīgos apstākļos līdzīgā laikposmā</w:t>
            </w:r>
            <w:r w:rsidRPr="00A02401">
              <w:rPr>
                <w:i/>
              </w:rPr>
              <w:t>.</w:t>
            </w:r>
            <w:r w:rsidRPr="00A02401">
              <w:t>”</w:t>
            </w:r>
          </w:p>
          <w:p w14:paraId="3ABFAE24" w14:textId="77777777" w:rsidR="00055D01" w:rsidRPr="00A02401" w:rsidRDefault="00055D01" w:rsidP="00A8700C">
            <w:pPr>
              <w:jc w:val="both"/>
            </w:pPr>
            <w:r w:rsidRPr="00A02401">
              <w:t>Kā pamatojums šādu normu saturam anotācijā norādīts, ka tās izstrādātas ņemot vērā Satversmes tiesas 2020. gada 28. septembra spriedumu lietā Nr. 2019-37-0103 (turpmāk – Spriedums).</w:t>
            </w:r>
          </w:p>
          <w:p w14:paraId="66887D88" w14:textId="77777777" w:rsidR="00055D01" w:rsidRPr="00A02401" w:rsidRDefault="00055D01" w:rsidP="00A8700C">
            <w:pPr>
              <w:jc w:val="both"/>
            </w:pPr>
            <w:r w:rsidRPr="00A02401">
              <w:lastRenderedPageBreak/>
              <w:t xml:space="preserve">Gaso vērš uzmanību uz to, ka piedāvātais regulējums </w:t>
            </w:r>
            <w:r w:rsidRPr="00A02401">
              <w:rPr>
                <w:u w:val="single"/>
              </w:rPr>
              <w:t>veicinās dabasgāzes negodprātīgu lietošanu, jo tā kļūs ekonomiski izdevīgāka par dabasgāzes lietošanu noslēgtā dabasgāzes tirdzniecības līguma ietvaros.</w:t>
            </w:r>
            <w:r w:rsidRPr="00A02401">
              <w:t xml:space="preserve"> Tam pamatā ir faktiskā pašreizējā situācija, kad Gaso pārstāvji atsevišķajos gadījumos dabasgāzes lietotāja negodprātīgas rīcības dēļ vairāku gadu laikā nevar iekļūt gazificētajā objektā, līdz ar to tiek liegta iespēja pārliecināties par Skaitītāja stāvokli un iesniegto radījumu precizitāti. Līdz ar to, ja negodprātīgi izlietotas dabasgāzes apjoms tiek rēķināts par laika periodu, kas nav garāks par vienu gadu (Noteikumu Nr.78 90.punkts), negodprātīgs lietotājs nonāk finansiāli izdevīgā situācijā, tas ir, negodprātīgi lietojot dabasgāzi vairāku gadu garumā, pārkāpuma konstatēšanas gadījumā būs spiests samaksāt par faktiski patērēto dabasgāzi tikai viņa gada laika periodā. Normatīvajos aktos paredzētā administratīvā atbildība neatturēs negodprātīgu lietotāju no iepriekš aprakstītas darbībās, jo paredzētais naudas sods tiks pilnībā kompensēts ar dabasgāzes negodprātīgu lietošanu 2-3 mēnešu laikā.</w:t>
            </w:r>
          </w:p>
          <w:p w14:paraId="1D44BE2C" w14:textId="77777777" w:rsidR="00055D01" w:rsidRPr="00A02401" w:rsidRDefault="00055D01" w:rsidP="00A8700C">
            <w:pPr>
              <w:jc w:val="both"/>
              <w:rPr>
                <w:bCs/>
              </w:rPr>
            </w:pPr>
            <w:r w:rsidRPr="00A02401">
              <w:t xml:space="preserve">Gaso atzīmē, ka attiecībā uz </w:t>
            </w:r>
            <w:r w:rsidRPr="00A02401">
              <w:rPr>
                <w:bCs/>
              </w:rPr>
              <w:t xml:space="preserve">diferencētajām patēriņa normām Satversmes tiesa nenorāda, ka tās ir nepareizas dabasgāzes patēriņa apmēra noteikšanai mājsaimniecības lietotājiem. </w:t>
            </w:r>
            <w:r w:rsidRPr="00A02401">
              <w:rPr>
                <w:bCs/>
              </w:rPr>
              <w:lastRenderedPageBreak/>
              <w:t xml:space="preserve">Spriedumā, līdz ar ko, arī anotācijā nav atrodams, kā dēļ tās būtu attiecināmas tikai pret mājsaimniecības lietotāju objektiem ar gāzes plīti. Satversmes tiesa sprieduma 26.4.punktā norāda, ka apstrīdētā norma nerada tādas jaunas tiesiskas attiecības, kuras neizrietētu no Enerģētikas likuma. Nepareizs ir bijis Ministru kabineta pilnvarojums energoapgādes komersantam noteikt un apstiprināt diferencētās patēriņa normas, tādējādi konkretizēt daļu no tādām likumdevēja noregulētām tiesiskajām attiecībām, kuras ietver mājsaimniecības lietotāja pamattiesību ierobežojumu, bez atbilstošas leģitimitātes, līdz ar ko, tās ir izdotas </w:t>
            </w:r>
            <w:r w:rsidRPr="00A02401">
              <w:rPr>
                <w:bCs/>
                <w:i/>
                <w:iCs/>
              </w:rPr>
              <w:t>ultra vires,</w:t>
            </w:r>
            <w:r w:rsidRPr="00A02401">
              <w:rPr>
                <w:bCs/>
              </w:rPr>
              <w:t xml:space="preserve"> un tādēļ neatbilst Satversmes 64. pantam. </w:t>
            </w:r>
          </w:p>
          <w:p w14:paraId="714069CF" w14:textId="77777777" w:rsidR="00055D01" w:rsidRPr="00A02401" w:rsidRDefault="00055D01" w:rsidP="00A8700C">
            <w:pPr>
              <w:jc w:val="both"/>
              <w:rPr>
                <w:bCs/>
              </w:rPr>
            </w:pPr>
            <w:r w:rsidRPr="00A02401">
              <w:rPr>
                <w:bCs/>
              </w:rPr>
              <w:t xml:space="preserve">Ja Ministru kabinets noteikumos būtu noteicis identiskas diferencētās patēriņa normas attiecībā uz mājsaimniecības lietotājiem, tai skaitā apkures un ūdens sildītāju lietotājiem, tad tās būtu gan piemērotas dabasgāzes patēriņa daudzuma noteikšanai, gan izdotas atbilstoši Satversmes un Enerģētikas likuma prasībām. Turklāt no sprieduma 6.punkta izriet, ka Ministru kabineta nolūks, neesot bijis ietvert deleģējumu energoapgādes komersantam noteikt izlietotās dabasgāzes daudzumu, bet gan izlietotās dabasgāzes daudzuma noteikšanā izmantot energoapgādes komersanta norēķinu kārtības pielikumā norādītos </w:t>
            </w:r>
            <w:r w:rsidRPr="00A02401">
              <w:rPr>
                <w:bCs/>
              </w:rPr>
              <w:lastRenderedPageBreak/>
              <w:t>raksturlielumus (vērtības). Tātad arī Ministru kabinetam nav šaubu par raksturlielumu pareizību.</w:t>
            </w:r>
          </w:p>
          <w:p w14:paraId="4F282382" w14:textId="77777777" w:rsidR="00055D01" w:rsidRPr="00A02401" w:rsidRDefault="00055D01" w:rsidP="006C70E3">
            <w:pPr>
              <w:jc w:val="both"/>
              <w:rPr>
                <w:bCs/>
              </w:rPr>
            </w:pPr>
            <w:r w:rsidRPr="00A02401">
              <w:rPr>
                <w:bCs/>
              </w:rPr>
              <w:t xml:space="preserve">Ņemot vērā norādīto Gaso iebilst, ka Noteikumu grozījumu 12. un 13. punktā diferencētās patēriņa normas mājsaimniecības lietotājiem tiek ietvertas un piemērotas atšķirīgi, proti, tikai mājsaimniecības lietotājiem, kuru objektos ir gāzes plītis, bet netiek piemērotas attiecībā uz mājsaimniecības lietotājiem, kuru objektos ir apkure vai ūdens sildītāji. Šāda atšķirīgas attieksmes piemērošana neizriet no Satversmes tiesas sprieduma un arī atšķirīgas attieksmes pamatojums nav atrodams Noteikumu grozījumu anotācijā. </w:t>
            </w:r>
          </w:p>
          <w:p w14:paraId="71440C15" w14:textId="77777777" w:rsidR="00055D01" w:rsidRPr="00A02401" w:rsidRDefault="00055D01" w:rsidP="006C70E3">
            <w:pPr>
              <w:jc w:val="both"/>
              <w:rPr>
                <w:bCs/>
              </w:rPr>
            </w:pPr>
            <w:r w:rsidRPr="00A02401">
              <w:rPr>
                <w:bCs/>
              </w:rPr>
              <w:t xml:space="preserve">Gaso izsaka priekšlikumu 88.2.apakšpunktu izteikt tādā redakcijā, kas pieļauj diferencētās patēriņa normas vai </w:t>
            </w:r>
            <w:r w:rsidRPr="00A02401">
              <w:t xml:space="preserve">līdzīgos apstākļus līdzīgā laikposmā </w:t>
            </w:r>
            <w:r w:rsidRPr="00A02401">
              <w:rPr>
                <w:bCs/>
              </w:rPr>
              <w:t>piemērot uz mājsaimniecības lietotājiem, nesadalot tos atšķirīgās kategorijās</w:t>
            </w:r>
          </w:p>
          <w:p w14:paraId="5A906EB9" w14:textId="73799C34" w:rsidR="00055D01" w:rsidRPr="00A02401" w:rsidRDefault="00055D01" w:rsidP="00A8700C">
            <w:pPr>
              <w:jc w:val="both"/>
              <w:rPr>
                <w:bCs/>
              </w:rPr>
            </w:pPr>
            <w:r w:rsidRPr="00A02401">
              <w:rPr>
                <w:bCs/>
              </w:rPr>
              <w:t xml:space="preserve">Ja Gaso priekšlikums netiek ņemts vērā, Gaso aicina papildināt Noteikumu grozījumu anotāciju ar pamatojumu, kādēļ diferencētās patēriņa normas mājsaimniecības lietotājiem tiek paredzēts piemērot, sadalot mājsaimniecības lietotājus dažādās kategorijās. Jāatzīmē, ka ne Ministru kabinetam, ne zinātniekiem, ne Sabiedrisko pakalpojumu regulēšanas komisijai, ne visu līmeņu tiesām nav bijušas šaubas par dabasgāzes daudzumu, </w:t>
            </w:r>
            <w:r w:rsidRPr="00A02401">
              <w:rPr>
                <w:bCs/>
              </w:rPr>
              <w:lastRenderedPageBreak/>
              <w:t xml:space="preserve">kas noteikts atbilstoši diferencētajām patēriņa normām, pareizību. Šādu vidusmēra enerģijas lietotāja patērētā dabasgāzes daudzuma noteikšanu atbilstoši diferencēto patēriņa normām pareizību nav apšaubījusi arī Satversmes tiesa, norādot vienīgi uz to, ka tās nav bijušas pareizi apstiprinātas un izdotas. Papildus iepriekš norādītajam, jāatzīmē, ka arī Latvijas Republikas Augstākās tiesas Senāts (lietā SKC 199/2019) vērsies Satversmes tiesā, tikai attiecībā uz kompensācijas noteikšanas atbilstību Satversmei. Līdz ar to Gaso nesaskata pamatojumu tam, lai diferencēto normu piemērošanā mājsaimniecības lietotājus dalītu plīts lietotājos, apkures lietotājos un ūdens uzsildīšanas lietotājos. </w:t>
            </w:r>
          </w:p>
          <w:p w14:paraId="7446AA43" w14:textId="55FEC3C6" w:rsidR="00055D01" w:rsidRPr="00A02401" w:rsidRDefault="00055D01" w:rsidP="006C70E3">
            <w:pPr>
              <w:ind w:firstLine="720"/>
              <w:jc w:val="both"/>
              <w:rPr>
                <w:bCs/>
              </w:rPr>
            </w:pPr>
          </w:p>
          <w:p w14:paraId="29A97173" w14:textId="195B75F9" w:rsidR="00055D01" w:rsidRPr="00A02401" w:rsidRDefault="00055D01" w:rsidP="006C70E3">
            <w:pPr>
              <w:jc w:val="both"/>
              <w:rPr>
                <w:b/>
              </w:rPr>
            </w:pPr>
            <w:r w:rsidRPr="00A02401">
              <w:rPr>
                <w:b/>
              </w:rPr>
              <w:t>SPRK</w:t>
            </w:r>
          </w:p>
          <w:p w14:paraId="64C99C89" w14:textId="59CA30FA" w:rsidR="00055D01" w:rsidRPr="00A02401" w:rsidRDefault="00055D01" w:rsidP="006C70E3">
            <w:pPr>
              <w:jc w:val="both"/>
              <w:rPr>
                <w:bCs/>
              </w:rPr>
            </w:pPr>
            <w:r w:rsidRPr="00A02401">
              <w:rPr>
                <w:bCs/>
              </w:rPr>
              <w:t xml:space="preserve">Saskaņā ar Noteikumu projekta 9.punktā paredzēto Noteikumu 88.1.apakšpunktu un Noteikumu projekta 10.punktā paredzēto Noteikumu 88.3.apakšpunktu lietotājam, kas nav mājsaimniecības lietotājs, mājsaimniecības lietotājiem, kuriem dabasgāzes iekārtas un aparāti ir izmantojami apkurei, un mājsaimniecības lietotājiem ar uzstādītiem gāzes ūdens sildītājiem patērētās dabasgāzes daudzumu, ja dabasgāzes lietotājs ir pārkāpis noteiktas Noteikumu prasības, nosaka, pamatojoties uz faktiski patērētās </w:t>
            </w:r>
            <w:r w:rsidRPr="00A02401">
              <w:rPr>
                <w:bCs/>
              </w:rPr>
              <w:lastRenderedPageBreak/>
              <w:t>dabasgāzes daudzumu līdzīgos apstākļos līdzīgā laikposmā. Veidi, kādā dabasgāzes sadales sistēmas operators varētu noteikt faktiski patērētās dabasgāzes daudzumu līdzīgos apstākļos līdzīgā laikposmā, ir noteikti anotācijā. Nodrošinot minēto Noteikumu punktu viennozīmīgu interpretāciju, Regulatora ieskatā veids, kādā aprēķināms faktiski patērētās dabasgāzes daudzums līdzīgos apstākļos līdzīgā laikposmā, ir nosakāms Noteikumos, un attiecīgi Noteikumu projekts papildināms ar jaunu punktu.</w:t>
            </w:r>
          </w:p>
          <w:p w14:paraId="5C15FC3E" w14:textId="31A71100" w:rsidR="00055D01" w:rsidRPr="00A02401" w:rsidRDefault="00055D01" w:rsidP="006C70E3">
            <w:pPr>
              <w:jc w:val="both"/>
              <w:rPr>
                <w:b/>
              </w:rPr>
            </w:pPr>
          </w:p>
        </w:tc>
        <w:tc>
          <w:tcPr>
            <w:tcW w:w="3260" w:type="dxa"/>
            <w:gridSpan w:val="2"/>
            <w:tcBorders>
              <w:top w:val="single" w:sz="4" w:space="0" w:color="auto"/>
              <w:left w:val="single" w:sz="6" w:space="0" w:color="000000"/>
              <w:bottom w:val="single" w:sz="6" w:space="0" w:color="000000"/>
              <w:right w:val="single" w:sz="6" w:space="0" w:color="000000"/>
            </w:tcBorders>
          </w:tcPr>
          <w:p w14:paraId="2F1674EE" w14:textId="0DD8C22B" w:rsidR="00055D01" w:rsidRPr="00A02401" w:rsidRDefault="00055D01" w:rsidP="00A8700C">
            <w:pPr>
              <w:pStyle w:val="naisc"/>
              <w:spacing w:before="60" w:after="60"/>
              <w:ind w:firstLine="5"/>
              <w:jc w:val="both"/>
              <w:rPr>
                <w:b/>
              </w:rPr>
            </w:pPr>
            <w:r w:rsidRPr="00A02401">
              <w:rPr>
                <w:b/>
              </w:rPr>
              <w:lastRenderedPageBreak/>
              <w:t>Daļēji ņemts vērā.</w:t>
            </w:r>
          </w:p>
          <w:p w14:paraId="6F0ABA45" w14:textId="77777777" w:rsidR="00055D01" w:rsidRPr="00A02401" w:rsidRDefault="00055D01" w:rsidP="006C70E3">
            <w:pPr>
              <w:pStyle w:val="naisc"/>
              <w:spacing w:before="60" w:after="60"/>
              <w:ind w:firstLine="5"/>
              <w:jc w:val="both"/>
            </w:pPr>
            <w:r w:rsidRPr="00A02401">
              <w:rPr>
                <w:bCs/>
              </w:rPr>
              <w:t xml:space="preserve">Ekonomikas ministrija skaidro, ka normas ir izstrādātas saskaņā ar </w:t>
            </w:r>
            <w:r w:rsidRPr="00A02401">
              <w:t>Satversmes tiesas 2020. gada 28. septembra spriedumu lietā Nr. 2019-37-0103.</w:t>
            </w:r>
          </w:p>
          <w:p w14:paraId="527AAD24" w14:textId="1E86B1A6" w:rsidR="00055D01" w:rsidRPr="00A02401" w:rsidRDefault="00055D01" w:rsidP="006C70E3">
            <w:pPr>
              <w:pStyle w:val="naisc"/>
              <w:spacing w:before="60" w:after="60"/>
              <w:ind w:firstLine="5"/>
              <w:jc w:val="both"/>
              <w:rPr>
                <w:bCs/>
              </w:rPr>
            </w:pPr>
            <w:r w:rsidRPr="00A02401">
              <w:t>Anotācija papildināta ar skaidrojumu par “</w:t>
            </w:r>
            <w:r w:rsidRPr="00A02401">
              <w:rPr>
                <w:i/>
                <w:u w:val="single"/>
              </w:rPr>
              <w:t>faktiski patērētās dabasgāzes daudzumu līdzīgos apstākļos līdzīgā laikposmā</w:t>
            </w:r>
            <w:r w:rsidRPr="00A02401">
              <w:rPr>
                <w:i/>
              </w:rPr>
              <w:t>.</w:t>
            </w:r>
            <w:r w:rsidRPr="00A02401">
              <w:t>”</w:t>
            </w:r>
          </w:p>
        </w:tc>
        <w:tc>
          <w:tcPr>
            <w:tcW w:w="2951" w:type="dxa"/>
            <w:tcBorders>
              <w:top w:val="single" w:sz="4" w:space="0" w:color="auto"/>
              <w:left w:val="single" w:sz="4" w:space="0" w:color="auto"/>
              <w:bottom w:val="single" w:sz="4" w:space="0" w:color="auto"/>
            </w:tcBorders>
          </w:tcPr>
          <w:p w14:paraId="47511705" w14:textId="53378144" w:rsidR="00055D01" w:rsidRPr="00A02401" w:rsidRDefault="00055D01" w:rsidP="006C70E3">
            <w:pPr>
              <w:spacing w:before="60" w:after="60"/>
              <w:ind w:firstLine="5"/>
              <w:jc w:val="both"/>
            </w:pPr>
            <w:r w:rsidRPr="00A02401">
              <w:t>Anotācija papildināta.</w:t>
            </w:r>
          </w:p>
        </w:tc>
      </w:tr>
      <w:tr w:rsidR="00055D01" w:rsidRPr="00A02401" w14:paraId="6997EF05" w14:textId="77777777" w:rsidTr="007D72ED">
        <w:tc>
          <w:tcPr>
            <w:tcW w:w="675" w:type="dxa"/>
            <w:tcBorders>
              <w:top w:val="single" w:sz="4" w:space="0" w:color="auto"/>
              <w:left w:val="single" w:sz="6" w:space="0" w:color="000000"/>
              <w:bottom w:val="single" w:sz="6" w:space="0" w:color="000000"/>
              <w:right w:val="single" w:sz="6" w:space="0" w:color="000000"/>
            </w:tcBorders>
          </w:tcPr>
          <w:p w14:paraId="20A2615A" w14:textId="41461028" w:rsidR="00055D01" w:rsidRPr="00A02401" w:rsidRDefault="00055D01" w:rsidP="006C70E3">
            <w:pPr>
              <w:pStyle w:val="naisc"/>
              <w:spacing w:before="60" w:after="60"/>
              <w:jc w:val="both"/>
            </w:pPr>
            <w:r w:rsidRPr="00A02401">
              <w:lastRenderedPageBreak/>
              <w:t>1</w:t>
            </w:r>
            <w:r>
              <w:t>9</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107D7185" w14:textId="0D4955F7" w:rsidR="00055D01" w:rsidRPr="00A02401" w:rsidRDefault="00055D01" w:rsidP="006C70E3">
            <w:pPr>
              <w:jc w:val="both"/>
            </w:pPr>
            <w:r w:rsidRPr="00A02401">
              <w:t>14. Papildināt 87.punktu aiz vārdiem “komercuzskaites mēraparāts vai plomba ir bojāta” ar vādiem “lielotāja vainas dēļ”.</w:t>
            </w:r>
          </w:p>
        </w:tc>
        <w:tc>
          <w:tcPr>
            <w:tcW w:w="4278" w:type="dxa"/>
            <w:tcBorders>
              <w:top w:val="single" w:sz="4" w:space="0" w:color="auto"/>
              <w:left w:val="single" w:sz="6" w:space="0" w:color="000000"/>
              <w:bottom w:val="single" w:sz="6" w:space="0" w:color="000000"/>
              <w:right w:val="single" w:sz="6" w:space="0" w:color="000000"/>
            </w:tcBorders>
          </w:tcPr>
          <w:p w14:paraId="16357DDE" w14:textId="1B6A7380" w:rsidR="00055D01" w:rsidRPr="00A8700C" w:rsidRDefault="00055D01" w:rsidP="00A8700C">
            <w:pPr>
              <w:spacing w:line="259" w:lineRule="auto"/>
              <w:jc w:val="both"/>
              <w:rPr>
                <w:b/>
                <w:bCs/>
              </w:rPr>
            </w:pPr>
            <w:r w:rsidRPr="00A02401">
              <w:rPr>
                <w:b/>
                <w:bCs/>
              </w:rPr>
              <w:t>Akciju sabiedrība “Gaso”</w:t>
            </w:r>
          </w:p>
          <w:p w14:paraId="043982C4" w14:textId="77777777" w:rsidR="00055D01" w:rsidRPr="00A02401" w:rsidRDefault="00055D01" w:rsidP="006C70E3">
            <w:pPr>
              <w:jc w:val="both"/>
              <w:rPr>
                <w:bCs/>
              </w:rPr>
            </w:pPr>
            <w:r w:rsidRPr="00A02401">
              <w:rPr>
                <w:bCs/>
              </w:rPr>
              <w:t>Gaso iebilst Noteikumu grozījumu 14.punktam, kurā paredzēts papildināt 87.punktu aiz vārdiem “</w:t>
            </w:r>
            <w:r w:rsidRPr="00A02401">
              <w:rPr>
                <w:bCs/>
                <w:i/>
              </w:rPr>
              <w:t>komercuzskaites mēraparāts vai plomba ir bojāta</w:t>
            </w:r>
            <w:r w:rsidRPr="00A02401">
              <w:rPr>
                <w:bCs/>
              </w:rPr>
              <w:t>” ar vārdiem “</w:t>
            </w:r>
            <w:r w:rsidRPr="00A02401">
              <w:rPr>
                <w:bCs/>
                <w:i/>
              </w:rPr>
              <w:t>lietotāja vainas dēļ</w:t>
            </w:r>
            <w:r w:rsidRPr="00A02401">
              <w:rPr>
                <w:bCs/>
              </w:rPr>
              <w:t xml:space="preserve">”. Lietotājs var nebūt tā persona, kura pati iejauksies komercuzskaitē, plombā vai izbūvējusi gāzes pieslēgumu savam objektam. Tas, tikpat labi, varētu būt jebkurš meistars, būvnieks, vai cita persona, kurai piemīt spējas lietotāja labā veikt komercuzskaites mēraparāta vai plombas bojājumus, vai izbūvēt pieslēgumu lietotāja objektam. Šādās situācijās komercuzskaites mēraparāts vai plomba būs bojāta meistara, būvnieka vai citas trešās personas vainas dēļ, nevis paša lietotāja vainas dēļ. Tomēr </w:t>
            </w:r>
            <w:r w:rsidRPr="00A02401">
              <w:rPr>
                <w:bCs/>
              </w:rPr>
              <w:lastRenderedPageBreak/>
              <w:t xml:space="preserve">no šādas rīcības labumu gūs tieši lietotājs, nevis meistars vai būvnieks. </w:t>
            </w:r>
          </w:p>
          <w:p w14:paraId="2D5A4E8E" w14:textId="77777777" w:rsidR="00055D01" w:rsidRPr="00A02401" w:rsidRDefault="00055D01" w:rsidP="00A8700C">
            <w:pPr>
              <w:jc w:val="both"/>
              <w:rPr>
                <w:bCs/>
              </w:rPr>
            </w:pPr>
            <w:r w:rsidRPr="00A02401">
              <w:rPr>
                <w:bCs/>
              </w:rPr>
              <w:t xml:space="preserve">Anotācijā nav norādīti iemesli un nolūks tam, kādēļ ir nepieciešams sašaurināt 87.punkta tvērumu, no tā izslēdzot lietotājus, kuri komercuzskaites mēraparātus vai plombas nav bojājuši paši, bet to priekš lietotāja ir darījusi kāda cita persona. </w:t>
            </w:r>
          </w:p>
          <w:p w14:paraId="7C845DA5" w14:textId="77777777" w:rsidR="00055D01" w:rsidRPr="00A02401" w:rsidRDefault="00055D01" w:rsidP="006C70E3">
            <w:pPr>
              <w:jc w:val="both"/>
              <w:rPr>
                <w:bCs/>
              </w:rPr>
            </w:pPr>
            <w:r w:rsidRPr="00A02401">
              <w:rPr>
                <w:bCs/>
              </w:rPr>
              <w:t>Ja nodoms ir normu konkretizēt, nosakot lietotāja atbildību un izslēdzot nejaušus bojājumus, tad Gaso izsaka priekšlikumu 87.punktu precizēt šādi:</w:t>
            </w:r>
          </w:p>
          <w:p w14:paraId="7D098EC1" w14:textId="77777777" w:rsidR="00055D01" w:rsidRPr="00A02401" w:rsidRDefault="00055D01" w:rsidP="00A8700C">
            <w:pPr>
              <w:jc w:val="both"/>
              <w:rPr>
                <w:bCs/>
              </w:rPr>
            </w:pPr>
            <w:r w:rsidRPr="00A02401">
              <w:rPr>
                <w:bCs/>
              </w:rPr>
              <w:t>“</w:t>
            </w:r>
            <w:bookmarkStart w:id="8" w:name="_Hlk55377202"/>
            <w:r w:rsidRPr="00A02401">
              <w:rPr>
                <w:bCs/>
              </w:rPr>
              <w:t>Aizstāt 87.punktā vārdus “</w:t>
            </w:r>
            <w:r w:rsidRPr="00A02401">
              <w:rPr>
                <w:bCs/>
                <w:i/>
              </w:rPr>
              <w:t>komercuzskaites mēraparāts vai plomba ir bojāta</w:t>
            </w:r>
            <w:r w:rsidRPr="00A02401">
              <w:rPr>
                <w:bCs/>
              </w:rPr>
              <w:t>” ar vārdiem “</w:t>
            </w:r>
            <w:r w:rsidRPr="00A02401">
              <w:rPr>
                <w:bCs/>
                <w:i/>
              </w:rPr>
              <w:t>lietotājs nav nodrošinājis komercuzskaites mēraparāta vai plombas bojājumu neesamību</w:t>
            </w:r>
            <w:bookmarkEnd w:id="8"/>
            <w:r w:rsidRPr="00A02401">
              <w:rPr>
                <w:bCs/>
              </w:rPr>
              <w:t>”.”</w:t>
            </w:r>
          </w:p>
          <w:p w14:paraId="392E39AE" w14:textId="77777777" w:rsidR="00055D01" w:rsidRPr="00A02401" w:rsidRDefault="00055D01" w:rsidP="006C70E3">
            <w:pPr>
              <w:jc w:val="both"/>
              <w:rPr>
                <w:b/>
              </w:rPr>
            </w:pPr>
          </w:p>
          <w:p w14:paraId="49F4B316" w14:textId="77777777" w:rsidR="00055D01" w:rsidRPr="00A02401" w:rsidRDefault="00055D01" w:rsidP="006C70E3">
            <w:pPr>
              <w:jc w:val="both"/>
              <w:rPr>
                <w:b/>
              </w:rPr>
            </w:pPr>
          </w:p>
          <w:p w14:paraId="38483F2F" w14:textId="0DF66516" w:rsidR="00055D01" w:rsidRPr="00A02401" w:rsidRDefault="00055D01" w:rsidP="006C70E3">
            <w:pPr>
              <w:jc w:val="both"/>
              <w:rPr>
                <w:b/>
              </w:rPr>
            </w:pPr>
            <w:r w:rsidRPr="00A02401">
              <w:rPr>
                <w:b/>
              </w:rPr>
              <w:t>PTAC</w:t>
            </w:r>
          </w:p>
          <w:p w14:paraId="1A4EDE83" w14:textId="77777777" w:rsidR="00055D01" w:rsidRPr="00A02401" w:rsidRDefault="00055D01" w:rsidP="006C70E3">
            <w:pPr>
              <w:jc w:val="both"/>
            </w:pPr>
            <w:r w:rsidRPr="00A02401">
              <w:t xml:space="preserve">Saistībā ar Noteikumu projekta 18.punktu un tā piemērošanu atsevišķs skaidrojums ir iekļauts arī Noteikumu projekta sākotnējās ietekmes novērtējuma ziņojumā (anotācijā). Saskaņā ar anotācijā minēto Noteikumu projekta 18.punkst paredz skaidrot procedūru, kas būtu piemērojama, ja ir aizdomas par iejaukšanos komercuzskaites mēraparāta mehānismā. Noteikumu 148.punktā ir noteiktas arī darbības, kad sadales sistēmas operatoram ir šaubas par komercuzskaites mēraparāta </w:t>
            </w:r>
            <w:r w:rsidRPr="00A02401">
              <w:lastRenderedPageBreak/>
              <w:t>darbību, kad nav notikusi iejaukšanās tā mehānismā un kad ir notikusi iejaukšanās tā darbības mehānismā. Papildus tam anotācijā cita starpā norādīts, ka praksē var būt arī gadījumi, kad bojājumus skaitītājiem var radīt arī prettiesiska trešo personu rīcība vai paša sistēmas operatora darbība/bezdarbība. Līdz ar to Noteikumu projekta 14.punkts paredz labojumus Noteikumu 87.punktā, kas noteiks, ka Noteikumu 88.3.apakšpunkts būtu piemērojams tikai tādos gadījumos, ja gāzes patēriņa skaitītāja neatkarīgas ekspertīzes (piemēram, Valsts tiesu ekspertīžu biroja) slēdzienā būtu pierādīts fakts (cēloņsakarība), ka lietotājs samazinājis uzskaitīto dabasgāzes patēriņa apjomu vai patērējis dabasgāzi bez maksas.</w:t>
            </w:r>
          </w:p>
          <w:p w14:paraId="5EBB11EB" w14:textId="77777777" w:rsidR="00055D01" w:rsidRPr="00A02401" w:rsidRDefault="00055D01" w:rsidP="00A8700C">
            <w:pPr>
              <w:jc w:val="both"/>
            </w:pPr>
            <w:r w:rsidRPr="00A02401">
              <w:t xml:space="preserve">PTAC jau iepriekš vērsa uzmanību, ka, lai pasargātu lietotājus no operatora darbības/bezdarbības vai trešo personu prettiesiskas darbības/bezdarbības, PTAC ieskatā, jau pie gāzes patēriņa skaitītāja demontāžas vai pārbaudes pie lietotāja, būtu jākonstatē iejaukšanās pazīmes un jāveic fotofiksācija, ņemot vērā apstākli, ka mēraparāta demontāžu veic sistēmas operators. </w:t>
            </w:r>
          </w:p>
          <w:p w14:paraId="49AB4567" w14:textId="77777777" w:rsidR="00055D01" w:rsidRPr="00A02401" w:rsidRDefault="00055D01" w:rsidP="00A8700C">
            <w:pPr>
              <w:jc w:val="both"/>
              <w:rPr>
                <w:bCs/>
              </w:rPr>
            </w:pPr>
            <w:r w:rsidRPr="00A02401">
              <w:rPr>
                <w:bCs/>
              </w:rPr>
              <w:t xml:space="preserve">Papildus PTAC secina, ka šobrīd nav pilnībā sakārtots regulējums attiecībā uz dabasgāzes patēriņa skaitītāju ekspertīzes veikšanu. Atzīmējams, ka arī mājsaimniecības lietotājam (patērētājam), </w:t>
            </w:r>
            <w:r w:rsidRPr="00A02401">
              <w:rPr>
                <w:bCs/>
              </w:rPr>
              <w:lastRenderedPageBreak/>
              <w:t xml:space="preserve">kas ir iesaistītā puse un kuras intereses un tiesības tiek/var tikt skartas, nav pieejama informācija par ekspertīzes veikšanas kārtību, termiņiem u.c. būtiskiem procesuāliem aspektiem, līdz ar to secināms, ka ekspertīzes veikšanas kārtība patlaban nav vērtējama kā “caurspīdīga”. </w:t>
            </w:r>
          </w:p>
          <w:p w14:paraId="3778BB28" w14:textId="4090AE5F" w:rsidR="00055D01" w:rsidRPr="00A8700C" w:rsidRDefault="00055D01" w:rsidP="006C70E3">
            <w:pPr>
              <w:jc w:val="both"/>
              <w:rPr>
                <w:bCs/>
              </w:rPr>
            </w:pPr>
            <w:r w:rsidRPr="00A02401">
              <w:rPr>
                <w:bCs/>
              </w:rPr>
              <w:t xml:space="preserve">PTAC atkārtoti uzver, ka tā ieskatā vērā būtu ņemami tikai neatkarīgi ekspertīzes veicēji, kuri ir kompetenti veikt trasoloģiskās ekspertīzes, kā arī būtu jāņem vērā ražotāja viedoklis gadījumos, ja metroloģiskās aizsargplombas marķējums ir atšķirīgs no salīdzināmajiem gāzes patēriņa skaitītājiem vai atšķiras aizsargplombas uzlikšanas gads no skaitītāja ražošanas gada. Tāpat PTAC uzskata, ka jābūt skaidrai un vienotai ekspertīzes metodikai, kā arī aprakstītam skaidram procesam, kā fiksēt un konstatēt bojājumus. Papildus tam PTAC uzsver, ka nepieciešams noteikt arī konkrētu ekspertīzes veikšanas termiņu, jo praksē konstatējams, ka atsevišķās situācijās gāzes patēriņa skaitītājiem ekspertīze tiek veikta salīdzinoši nesamērīgi ilgi pēc gāzes skaitītāja demontāžas. PTAC ieskatā regulējums sakārtojams arī attiecībā uz demontētā gāzes patēriņa skaitītāja uzglabāšanu līdz ekspertīzes veikšanai, jo praksē patlaban skaitītājs tiek uzglabāts pie sistēmas operatora, kā arī patērētājam (lietotājam) nav zināms, kad konkrēti </w:t>
            </w:r>
            <w:r w:rsidRPr="00A02401">
              <w:rPr>
                <w:bCs/>
              </w:rPr>
              <w:lastRenderedPageBreak/>
              <w:t xml:space="preserve">skaitītāja ekspertīze tiks veikta, tostarp, patērētājs (lietotājs) nevar uzņemties atbildību par demontētā skaitītāja stāvokli līdz ekspertīzes veikšanai (piemēram, par iespējamiem skaitītāja bojājumiem transportēšanas/uzglabāšanas laikā u.tml.). </w:t>
            </w:r>
          </w:p>
        </w:tc>
        <w:tc>
          <w:tcPr>
            <w:tcW w:w="3260" w:type="dxa"/>
            <w:gridSpan w:val="2"/>
            <w:tcBorders>
              <w:top w:val="single" w:sz="4" w:space="0" w:color="auto"/>
              <w:left w:val="single" w:sz="6" w:space="0" w:color="000000"/>
              <w:bottom w:val="single" w:sz="6" w:space="0" w:color="000000"/>
              <w:right w:val="single" w:sz="6" w:space="0" w:color="000000"/>
            </w:tcBorders>
          </w:tcPr>
          <w:p w14:paraId="4D6CB57B" w14:textId="5DDDABAC" w:rsidR="00055D01" w:rsidRPr="00A8700C" w:rsidRDefault="00055D01" w:rsidP="00A8700C">
            <w:pPr>
              <w:pStyle w:val="naisc"/>
              <w:spacing w:before="60" w:after="60"/>
              <w:ind w:firstLine="5"/>
              <w:jc w:val="both"/>
              <w:rPr>
                <w:b/>
              </w:rPr>
            </w:pPr>
            <w:r w:rsidRPr="00A02401">
              <w:rPr>
                <w:b/>
              </w:rPr>
              <w:lastRenderedPageBreak/>
              <w:t>Daļēji ņemts vērā.</w:t>
            </w:r>
          </w:p>
          <w:p w14:paraId="361B94F7" w14:textId="72EB3D01" w:rsidR="00055D01" w:rsidRPr="00A02401" w:rsidRDefault="00055D01" w:rsidP="006C70E3">
            <w:pPr>
              <w:pStyle w:val="naisc"/>
              <w:spacing w:before="60" w:after="60"/>
              <w:ind w:firstLine="5"/>
              <w:jc w:val="both"/>
              <w:rPr>
                <w:bCs/>
              </w:rPr>
            </w:pPr>
            <w:r>
              <w:rPr>
                <w:bCs/>
              </w:rPr>
              <w:t>Ņemot vērā iebildumus, punkts svītrots no Noteikumu projekta</w:t>
            </w:r>
            <w:r w:rsidRPr="00A02401">
              <w:rPr>
                <w:bCs/>
              </w:rPr>
              <w:t>.</w:t>
            </w:r>
          </w:p>
          <w:p w14:paraId="5ACFC4B4" w14:textId="27FCDA5E" w:rsidR="00055D01" w:rsidRPr="00A02401" w:rsidRDefault="00055D01" w:rsidP="006C70E3">
            <w:pPr>
              <w:ind w:right="171"/>
              <w:jc w:val="both"/>
              <w:rPr>
                <w:bCs/>
              </w:rPr>
            </w:pPr>
            <w:r w:rsidRPr="00A02401">
              <w:rPr>
                <w:bCs/>
              </w:rPr>
              <w:t>Ekonomikas minsitrija piekrīt, ka ekspertīzes jautājumā regulējums būtu pilnveidojams, bet šī jautājuma risināšana iziet ārpus šo grozījumu tvēruma.</w:t>
            </w:r>
          </w:p>
          <w:p w14:paraId="2DB0BE15" w14:textId="7A6BEDEA" w:rsidR="00055D01" w:rsidRPr="00A02401" w:rsidRDefault="00055D01" w:rsidP="006C70E3">
            <w:pPr>
              <w:jc w:val="both"/>
              <w:rPr>
                <w:bCs/>
              </w:rPr>
            </w:pPr>
          </w:p>
        </w:tc>
        <w:tc>
          <w:tcPr>
            <w:tcW w:w="2951" w:type="dxa"/>
            <w:tcBorders>
              <w:top w:val="single" w:sz="4" w:space="0" w:color="auto"/>
              <w:left w:val="single" w:sz="4" w:space="0" w:color="auto"/>
              <w:bottom w:val="single" w:sz="4" w:space="0" w:color="auto"/>
            </w:tcBorders>
          </w:tcPr>
          <w:p w14:paraId="7078E938" w14:textId="434624C1" w:rsidR="00055D01" w:rsidRPr="00A02401" w:rsidRDefault="00055D01" w:rsidP="006C70E3">
            <w:pPr>
              <w:spacing w:before="60" w:after="60"/>
              <w:ind w:firstLine="5"/>
              <w:jc w:val="both"/>
            </w:pPr>
            <w:r>
              <w:t>Punkts svītrots.</w:t>
            </w:r>
          </w:p>
        </w:tc>
      </w:tr>
      <w:tr w:rsidR="00055D01" w:rsidRPr="00A02401" w14:paraId="6D5401D6" w14:textId="77777777" w:rsidTr="007D72ED">
        <w:tc>
          <w:tcPr>
            <w:tcW w:w="675" w:type="dxa"/>
            <w:tcBorders>
              <w:top w:val="single" w:sz="4" w:space="0" w:color="auto"/>
              <w:left w:val="single" w:sz="6" w:space="0" w:color="000000"/>
              <w:bottom w:val="single" w:sz="6" w:space="0" w:color="000000"/>
              <w:right w:val="single" w:sz="6" w:space="0" w:color="000000"/>
            </w:tcBorders>
          </w:tcPr>
          <w:p w14:paraId="4FBF9528" w14:textId="6CA28691" w:rsidR="00055D01" w:rsidRPr="00A02401" w:rsidRDefault="00055D01" w:rsidP="006C70E3">
            <w:pPr>
              <w:pStyle w:val="naisc"/>
              <w:spacing w:before="60" w:after="60"/>
              <w:jc w:val="both"/>
            </w:pPr>
            <w:r>
              <w:lastRenderedPageBreak/>
              <w:t>20</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39177254" w14:textId="77777777" w:rsidR="00055D01" w:rsidRPr="00A02401" w:rsidRDefault="00055D01" w:rsidP="006C70E3">
            <w:pPr>
              <w:jc w:val="both"/>
            </w:pPr>
            <w:r w:rsidRPr="00A02401">
              <w:t>11. Svītrot 89. un 89.</w:t>
            </w:r>
            <w:r w:rsidRPr="00A02401">
              <w:rPr>
                <w:vertAlign w:val="superscript"/>
              </w:rPr>
              <w:t>1</w:t>
            </w:r>
            <w:r w:rsidRPr="00A02401">
              <w:t xml:space="preserve"> punktus. </w:t>
            </w:r>
          </w:p>
          <w:p w14:paraId="4F7AE7B2" w14:textId="77777777" w:rsidR="00055D01" w:rsidRPr="00A02401" w:rsidRDefault="00055D01" w:rsidP="006C70E3">
            <w:pPr>
              <w:jc w:val="both"/>
            </w:pPr>
          </w:p>
          <w:p w14:paraId="44AE538B" w14:textId="596D419C" w:rsidR="00055D01" w:rsidRPr="00A02401" w:rsidRDefault="00055D01" w:rsidP="006C70E3">
            <w:pPr>
              <w:jc w:val="both"/>
            </w:pPr>
            <w:r w:rsidRPr="00A02401">
              <w:t>12. Aizstāt 90.2. apakšpunktā vārdu “gadu” ar vārdu “pusgadu”.</w:t>
            </w:r>
          </w:p>
          <w:p w14:paraId="03C9F9E6" w14:textId="77777777" w:rsidR="00055D01" w:rsidRPr="00A02401" w:rsidRDefault="00055D01" w:rsidP="006C70E3">
            <w:pPr>
              <w:spacing w:line="293" w:lineRule="atLeast"/>
              <w:jc w:val="both"/>
              <w:rPr>
                <w:color w:val="000000" w:themeColor="text1"/>
              </w:rPr>
            </w:pPr>
          </w:p>
        </w:tc>
        <w:tc>
          <w:tcPr>
            <w:tcW w:w="4278" w:type="dxa"/>
            <w:tcBorders>
              <w:top w:val="single" w:sz="4" w:space="0" w:color="auto"/>
              <w:left w:val="single" w:sz="6" w:space="0" w:color="000000"/>
              <w:bottom w:val="single" w:sz="6" w:space="0" w:color="000000"/>
              <w:right w:val="single" w:sz="6" w:space="0" w:color="000000"/>
            </w:tcBorders>
          </w:tcPr>
          <w:p w14:paraId="5F75FBA5" w14:textId="4B8C1E27" w:rsidR="00055D01" w:rsidRPr="00A02401" w:rsidRDefault="00055D01" w:rsidP="006C70E3">
            <w:pPr>
              <w:jc w:val="both"/>
              <w:rPr>
                <w:b/>
              </w:rPr>
            </w:pPr>
            <w:r w:rsidRPr="00A02401">
              <w:rPr>
                <w:b/>
              </w:rPr>
              <w:t>Akciju sabiedrība “Latvijas Gāze”, Latvijas darba devēju konfederācija</w:t>
            </w:r>
          </w:p>
          <w:p w14:paraId="4AD76A4C" w14:textId="7BAAF7EF" w:rsidR="00055D01" w:rsidRPr="00A02401" w:rsidRDefault="00055D01" w:rsidP="006C70E3">
            <w:pPr>
              <w:jc w:val="both"/>
              <w:rPr>
                <w:rFonts w:eastAsia="Calibri"/>
              </w:rPr>
            </w:pPr>
            <w:r w:rsidRPr="00A02401">
              <w:rPr>
                <w:rFonts w:eastAsia="Calibri"/>
              </w:rPr>
              <w:t>Noteikumu projekta 11. un 12. punkts paredz svītrot Noteikumu 89. un 89.</w:t>
            </w:r>
            <w:r w:rsidRPr="00A02401">
              <w:rPr>
                <w:rFonts w:eastAsia="Calibri"/>
                <w:vertAlign w:val="superscript"/>
              </w:rPr>
              <w:t>1</w:t>
            </w:r>
            <w:r w:rsidRPr="00A02401">
              <w:rPr>
                <w:rFonts w:eastAsia="Calibri"/>
              </w:rPr>
              <w:t xml:space="preserve"> punktu, kā arī aizstāt 90.2.apakšpunktā vārdu “gadu” ar vārdu “pusgadu”. </w:t>
            </w:r>
          </w:p>
          <w:p w14:paraId="71668D87" w14:textId="77777777" w:rsidR="00055D01" w:rsidRPr="00A02401" w:rsidRDefault="00055D01" w:rsidP="006C70E3">
            <w:pPr>
              <w:contextualSpacing/>
              <w:jc w:val="both"/>
              <w:rPr>
                <w:rFonts w:eastAsia="Calibri"/>
              </w:rPr>
            </w:pPr>
            <w:r w:rsidRPr="00A02401">
              <w:rPr>
                <w:rFonts w:eastAsia="Calibri"/>
              </w:rPr>
              <w:t xml:space="preserve">Noteikumu 89. punkts paredzēja, ka no aprēķinātā dabasgāzes apjoma ir atskaitāms komercuzskaites mēraparāta uzskaitītais dabasgāzes daudzums pārkāpuma periodā. Tas tika darīts, jo ar mēraparātu uzskaitīto dabasgāzes apjomu lietotājam ir piegādājis attiecīgais tirgotājs, kuram ir tiesības saņemt maksu par to. </w:t>
            </w:r>
          </w:p>
          <w:p w14:paraId="065073A6" w14:textId="77777777" w:rsidR="00055D01" w:rsidRPr="00A02401" w:rsidRDefault="00055D01" w:rsidP="006C70E3">
            <w:pPr>
              <w:contextualSpacing/>
              <w:jc w:val="both"/>
              <w:rPr>
                <w:rFonts w:eastAsia="Calibri"/>
              </w:rPr>
            </w:pPr>
          </w:p>
          <w:p w14:paraId="577167AB" w14:textId="77777777" w:rsidR="00055D01" w:rsidRPr="00A02401" w:rsidRDefault="00055D01" w:rsidP="006C70E3">
            <w:pPr>
              <w:contextualSpacing/>
              <w:jc w:val="both"/>
              <w:rPr>
                <w:rFonts w:eastAsia="Calibri"/>
              </w:rPr>
            </w:pPr>
            <w:r w:rsidRPr="00A02401">
              <w:rPr>
                <w:rFonts w:eastAsia="Calibri"/>
              </w:rPr>
              <w:t xml:space="preserve">Ņemot vērā, ka Noteikumu 89. punkts tiek svītrots, Sabiedrība izsaka priekšlikumu noteikumu projektu papildināt ar regulējumu, no kura būtu pietiekami skaidrs, ka par komercuzskaites mēraparātā uzskaitīto dabasgāzes daudzumu jānorēķinās ar attiecīgo tirgotāju Noteikumu 131. un 154. punktā paredzētajā kārtībā. Pretējā gadījumā aicinām papildināt anotāciju ar to, kam ir ticis piegādāts dabasgāzes daudzums, kas </w:t>
            </w:r>
            <w:r w:rsidRPr="00A02401">
              <w:rPr>
                <w:rFonts w:eastAsia="Calibri"/>
              </w:rPr>
              <w:lastRenderedPageBreak/>
              <w:t>uzskaitīts ar komercuzskaites mēraparātu Noteikumu 87. punktā minētā pārkāpuma gadījumā un kurš ir atbildīgs par tā samaksu dabasgāzes tirgotājam.</w:t>
            </w:r>
          </w:p>
          <w:p w14:paraId="34A2E616" w14:textId="77777777" w:rsidR="00055D01" w:rsidRPr="00A02401" w:rsidRDefault="00055D01" w:rsidP="006C70E3">
            <w:pPr>
              <w:contextualSpacing/>
              <w:jc w:val="both"/>
              <w:rPr>
                <w:rFonts w:eastAsia="Calibri"/>
              </w:rPr>
            </w:pPr>
          </w:p>
          <w:p w14:paraId="6861A119" w14:textId="77777777" w:rsidR="00055D01" w:rsidRPr="00A02401" w:rsidRDefault="00055D01" w:rsidP="006C70E3">
            <w:pPr>
              <w:contextualSpacing/>
              <w:jc w:val="both"/>
              <w:rPr>
                <w:rFonts w:eastAsia="Calibri"/>
              </w:rPr>
            </w:pPr>
            <w:r w:rsidRPr="00A02401">
              <w:rPr>
                <w:rFonts w:eastAsia="Calibri"/>
              </w:rPr>
              <w:t>Ņemot vērā, ka Noteikumu 89.</w:t>
            </w:r>
            <w:r w:rsidRPr="00A02401">
              <w:rPr>
                <w:rFonts w:eastAsia="Calibri"/>
                <w:vertAlign w:val="superscript"/>
              </w:rPr>
              <w:t>1</w:t>
            </w:r>
            <w:r w:rsidRPr="00A02401">
              <w:rPr>
                <w:rFonts w:eastAsia="Calibri"/>
              </w:rPr>
              <w:t> punkts tiek svītrots, un tajā noteikts Lietotāja pienākums noteiktajā termiņā pilnā apmērā norēķināties ar sadales sistēmas operatoru, par 88.punktā noteiktā kārtībā aprēķināto dabasgāzes daudzumu, AS “Latvijas Gāze” izsaka priekšlikumu atbilstoši precizēt Noteikumu 97.punktā noteiktos lietotāja pienākumus.</w:t>
            </w:r>
          </w:p>
          <w:p w14:paraId="046E2463" w14:textId="77777777" w:rsidR="00055D01" w:rsidRPr="00A02401" w:rsidRDefault="00055D01" w:rsidP="006C70E3">
            <w:pPr>
              <w:contextualSpacing/>
              <w:jc w:val="both"/>
              <w:rPr>
                <w:rFonts w:eastAsia="Calibri"/>
              </w:rPr>
            </w:pPr>
          </w:p>
          <w:p w14:paraId="10769773" w14:textId="77777777" w:rsidR="00055D01" w:rsidRPr="00A02401" w:rsidRDefault="00055D01" w:rsidP="006C70E3">
            <w:pPr>
              <w:contextualSpacing/>
              <w:jc w:val="both"/>
              <w:rPr>
                <w:rFonts w:eastAsia="Calibri"/>
              </w:rPr>
            </w:pPr>
            <w:r w:rsidRPr="00A02401">
              <w:rPr>
                <w:rFonts w:eastAsia="Calibri"/>
              </w:rPr>
              <w:t>Vienlaikus vēršam uzmanību, ka anotācijā iztrūkst ziņas par noteikumu projekta 12. punkta, kurā noteikts aizstāt 90.2.apakšpunktā vārdu “gadu” ar vārdu “pusgadu” nepieciešamību un samērīgumu, ja to aplūko kontekstā ar anotācijā norādīto Satversmes tiesas 2020. gada 20. marta spriedumu lietā Nr.2019-10-0103.</w:t>
            </w:r>
          </w:p>
          <w:p w14:paraId="309CD412" w14:textId="77777777" w:rsidR="00055D01" w:rsidRPr="00A02401" w:rsidRDefault="00055D01" w:rsidP="006C70E3">
            <w:pPr>
              <w:contextualSpacing/>
              <w:jc w:val="both"/>
              <w:rPr>
                <w:rFonts w:eastAsia="Calibri"/>
              </w:rPr>
            </w:pPr>
          </w:p>
          <w:p w14:paraId="0B808059" w14:textId="77777777" w:rsidR="00055D01" w:rsidRPr="00A02401" w:rsidRDefault="00055D01" w:rsidP="006C70E3">
            <w:pPr>
              <w:contextualSpacing/>
              <w:jc w:val="both"/>
              <w:rPr>
                <w:rFonts w:eastAsia="Calibri"/>
              </w:rPr>
            </w:pPr>
            <w:r w:rsidRPr="00A02401">
              <w:rPr>
                <w:rFonts w:eastAsia="Calibri"/>
                <w:bCs/>
              </w:rPr>
              <w:t xml:space="preserve">Satversmes tiesa šajā spriedumā secina, ka sabiedrības ieguvums no apstrīdētajā Enerģētikas likuma normā ietvertā ierobežojuma ir lielāks nekā nelabvēlīgās sekas, kas dabasgāzes lietošanas noteikumus pārkāpušajiem mājsaimniecības lietotājiem rodas to pamattiesību ierobežojuma dēļ. Līdz ar to </w:t>
            </w:r>
            <w:r w:rsidRPr="00A02401">
              <w:rPr>
                <w:rFonts w:eastAsia="Calibri"/>
                <w:bCs/>
              </w:rPr>
              <w:lastRenderedPageBreak/>
              <w:t>apstrīdētajā likuma normā ietvertais pamattiesību ierobežojums atbilst samērīguma principam un apstrīdētā likuma norma atbilst Satversmes 105. pantam. (</w:t>
            </w:r>
            <w:r w:rsidRPr="00A02401">
              <w:rPr>
                <w:rFonts w:eastAsia="Calibri"/>
                <w:bCs/>
                <w:i/>
              </w:rPr>
              <w:t>sk. Sprieduma 30., 30.2.pkt., 40., 44.lp</w:t>
            </w:r>
            <w:r w:rsidRPr="00A02401">
              <w:rPr>
                <w:rFonts w:eastAsia="Calibri"/>
                <w:bCs/>
              </w:rPr>
              <w:t>.)</w:t>
            </w:r>
          </w:p>
          <w:p w14:paraId="5BC88696" w14:textId="77777777" w:rsidR="00055D01" w:rsidRPr="00A02401" w:rsidRDefault="00055D01" w:rsidP="006C70E3">
            <w:pPr>
              <w:contextualSpacing/>
              <w:jc w:val="both"/>
              <w:rPr>
                <w:rFonts w:eastAsia="Calibri"/>
              </w:rPr>
            </w:pPr>
          </w:p>
          <w:p w14:paraId="36E0016F" w14:textId="77777777" w:rsidR="00055D01" w:rsidRPr="00A02401" w:rsidRDefault="00055D01" w:rsidP="006C70E3">
            <w:pPr>
              <w:contextualSpacing/>
              <w:jc w:val="both"/>
              <w:rPr>
                <w:rFonts w:eastAsia="Calibri"/>
              </w:rPr>
            </w:pPr>
            <w:r w:rsidRPr="00A02401">
              <w:rPr>
                <w:rFonts w:eastAsia="Calibri"/>
              </w:rPr>
              <w:t xml:space="preserve">Tātad arī Satversmes tiesas ieskatā, nav šaubu, ka lietotāja īpašuma tiesības ir ierobežojamas ar aprēķinātu samaksu par dabasgāzi un kompensāciju, ja notikusi neattaisnota iejaukšanās sadales sistēmas uzskaitē, kas lietotājam radīja iespēju dabasgāzi patērēt bez atbilstošas uzskaites vai nemaksājot par to. </w:t>
            </w:r>
          </w:p>
          <w:p w14:paraId="4AA3CA1A" w14:textId="77777777" w:rsidR="00055D01" w:rsidRPr="00A02401" w:rsidRDefault="00055D01" w:rsidP="006C70E3">
            <w:pPr>
              <w:contextualSpacing/>
              <w:jc w:val="both"/>
              <w:rPr>
                <w:rFonts w:eastAsia="Calibri"/>
              </w:rPr>
            </w:pPr>
          </w:p>
          <w:p w14:paraId="088D2BEE" w14:textId="77777777" w:rsidR="00055D01" w:rsidRPr="00A02401" w:rsidRDefault="00055D01" w:rsidP="006C70E3">
            <w:pPr>
              <w:contextualSpacing/>
              <w:jc w:val="both"/>
              <w:rPr>
                <w:rFonts w:eastAsia="Calibri"/>
              </w:rPr>
            </w:pPr>
            <w:r w:rsidRPr="00A02401">
              <w:rPr>
                <w:rFonts w:eastAsia="Calibri"/>
              </w:rPr>
              <w:t>No iepriekš minētā izrietot, ka apstrīdētās Enerģētikas likuma normas būtība un mērķis ir noteikt speciālu samaksas par izlietoto dabasgāzi un sistēmas operatoram nodarīto zaudējumu atlīdzināšanas tiesisko regulējumu gadījumiem, kad faktiski izlietotās dabasgāzes daudzums nav nosakāms. (</w:t>
            </w:r>
            <w:r w:rsidRPr="00A02401">
              <w:rPr>
                <w:rFonts w:eastAsia="Calibri"/>
                <w:i/>
              </w:rPr>
              <w:t>sk. Sprieduma 31.lp</w:t>
            </w:r>
            <w:r w:rsidRPr="00A02401">
              <w:rPr>
                <w:rFonts w:eastAsia="Calibri"/>
              </w:rPr>
              <w:t>).</w:t>
            </w:r>
          </w:p>
          <w:p w14:paraId="2ADAECD4" w14:textId="77777777" w:rsidR="00055D01" w:rsidRPr="00A02401" w:rsidRDefault="00055D01" w:rsidP="006C70E3">
            <w:pPr>
              <w:contextualSpacing/>
              <w:jc w:val="both"/>
              <w:rPr>
                <w:rFonts w:eastAsia="Calibri"/>
              </w:rPr>
            </w:pPr>
          </w:p>
          <w:p w14:paraId="2BBC50AA" w14:textId="77777777" w:rsidR="00055D01" w:rsidRPr="00A02401" w:rsidRDefault="00055D01" w:rsidP="006C70E3">
            <w:pPr>
              <w:contextualSpacing/>
              <w:jc w:val="both"/>
              <w:rPr>
                <w:rFonts w:eastAsia="Calibri"/>
              </w:rPr>
            </w:pPr>
            <w:r w:rsidRPr="00A02401">
              <w:rPr>
                <w:rFonts w:eastAsia="Calibri"/>
              </w:rPr>
              <w:t xml:space="preserve">Īsa tēze anotācijā, par to, ka tādejādi tiks ievērots vienlīdzības princips, kā arī aprēķinātais patērētais dabasgāzes daudzums vistuvāk atbildīs iespējamajam lietotāja patērētajam dabasgāzes daudzumam pārkāpuma izdarīšanas laikā, nerada priekšstatu par noteikumu projekta </w:t>
            </w:r>
            <w:r w:rsidRPr="00A02401">
              <w:rPr>
                <w:rFonts w:eastAsia="Calibri"/>
              </w:rPr>
              <w:lastRenderedPageBreak/>
              <w:t>12. punkta nepieciešamību un samērīgumu.</w:t>
            </w:r>
          </w:p>
          <w:p w14:paraId="726F66D1" w14:textId="77777777" w:rsidR="00055D01" w:rsidRPr="00A02401" w:rsidRDefault="00055D01" w:rsidP="006C70E3">
            <w:pPr>
              <w:jc w:val="both"/>
              <w:rPr>
                <w:rFonts w:eastAsia="Calibri"/>
              </w:rPr>
            </w:pPr>
          </w:p>
          <w:p w14:paraId="36C850B2" w14:textId="42AC8FF9" w:rsidR="00055D01" w:rsidRPr="00A02401" w:rsidRDefault="00055D01" w:rsidP="006C70E3">
            <w:pPr>
              <w:jc w:val="both"/>
              <w:rPr>
                <w:rFonts w:eastAsia="Calibri"/>
                <w:bCs/>
              </w:rPr>
            </w:pPr>
            <w:r w:rsidRPr="00A02401">
              <w:rPr>
                <w:rFonts w:eastAsia="Calibri"/>
              </w:rPr>
              <w:t xml:space="preserve">Atbilstoši anotācijā norādītajam spriedumam ir nosakāms gan samaksas par izlietoto dabasgāzi, gan pienācīgs sistēmas operatoram nodarīto zaudējumu atlīdzināšanas tiesiskais regulējums, kas atbilstoši Enerģētikas likuma 107. panta septītajai daļai nosaka </w:t>
            </w:r>
            <w:r w:rsidRPr="00A02401">
              <w:rPr>
                <w:rFonts w:eastAsia="Calibri"/>
                <w:bCs/>
              </w:rPr>
              <w:t>kārtību, kādā veicami norēķini par saņemtajiem pakalpojumiem. Turklāt samaksu par saņemtajiem pakalpojumiem ir jāveic arī tiem lietotājiem, kuri neattaisnoti iejaucas sadales sistēmas uzskaitē un rada iespēju dabasgāzi patērēt bez atbilstošas uzskaites vai pat vispār nemaksājot par to. AS “Latvijas Gāze” ieskatā lietotājiem būs ekonomiski izdevīgāk samaksāt sadales sistēmas operatoram par pusgadā aprēķināto dabasgāzes daudzumu, nevis regulāri iegādāties dabasgāzi no dabasgāzes tirgotājiem. Konceptuāli neatbalstām šādu risinājumu.</w:t>
            </w:r>
          </w:p>
          <w:p w14:paraId="711C0C96" w14:textId="5C1BBB1F" w:rsidR="00055D01" w:rsidRPr="00A02401" w:rsidRDefault="00055D01" w:rsidP="006C70E3">
            <w:pPr>
              <w:jc w:val="both"/>
              <w:rPr>
                <w:rFonts w:eastAsia="Calibri"/>
                <w:bCs/>
              </w:rPr>
            </w:pPr>
          </w:p>
          <w:p w14:paraId="2EE66C01" w14:textId="0607A9B3" w:rsidR="00055D01" w:rsidRPr="00A02401" w:rsidRDefault="00055D01" w:rsidP="006C70E3">
            <w:pPr>
              <w:jc w:val="both"/>
              <w:rPr>
                <w:rFonts w:eastAsia="Calibri"/>
                <w:b/>
              </w:rPr>
            </w:pPr>
            <w:r w:rsidRPr="00A02401">
              <w:rPr>
                <w:rFonts w:eastAsia="Calibri"/>
                <w:b/>
              </w:rPr>
              <w:t>SPRK</w:t>
            </w:r>
          </w:p>
          <w:p w14:paraId="6F05E475" w14:textId="7F7B6553" w:rsidR="00055D01" w:rsidRPr="00A02401" w:rsidRDefault="00055D01" w:rsidP="006C70E3">
            <w:pPr>
              <w:jc w:val="both"/>
              <w:rPr>
                <w:b/>
              </w:rPr>
            </w:pPr>
            <w:r w:rsidRPr="00A02401">
              <w:t>Nnepieciešams precizēt Noteikumu projekta 12.punktu, paredzot, ka Noteikumu 89.punkts tiek precizēts, iekļaujot tajā anotācijā minēto formulu.</w:t>
            </w:r>
          </w:p>
          <w:p w14:paraId="7684A246" w14:textId="77777777" w:rsidR="00055D01" w:rsidRPr="00A02401" w:rsidRDefault="00055D01" w:rsidP="006C70E3">
            <w:pPr>
              <w:jc w:val="both"/>
              <w:rPr>
                <w:rFonts w:ascii="Montserrat" w:eastAsia="Calibri" w:hAnsi="Montserrat" w:cs="Calibri"/>
              </w:rPr>
            </w:pPr>
          </w:p>
        </w:tc>
        <w:tc>
          <w:tcPr>
            <w:tcW w:w="3260" w:type="dxa"/>
            <w:gridSpan w:val="2"/>
            <w:tcBorders>
              <w:top w:val="single" w:sz="4" w:space="0" w:color="auto"/>
              <w:left w:val="single" w:sz="6" w:space="0" w:color="000000"/>
              <w:bottom w:val="single" w:sz="6" w:space="0" w:color="000000"/>
              <w:right w:val="single" w:sz="6" w:space="0" w:color="000000"/>
            </w:tcBorders>
          </w:tcPr>
          <w:p w14:paraId="514A68B4" w14:textId="097E40E4" w:rsidR="00055D01" w:rsidRPr="00A02401" w:rsidRDefault="00055D01" w:rsidP="00A8700C">
            <w:pPr>
              <w:pStyle w:val="naisc"/>
              <w:spacing w:before="60" w:after="60"/>
              <w:ind w:firstLine="5"/>
              <w:jc w:val="both"/>
              <w:rPr>
                <w:b/>
              </w:rPr>
            </w:pPr>
            <w:r w:rsidRPr="00A02401">
              <w:rPr>
                <w:b/>
              </w:rPr>
              <w:lastRenderedPageBreak/>
              <w:t>Daļēji ņemts vērā.</w:t>
            </w:r>
          </w:p>
          <w:p w14:paraId="1D0B6DDE" w14:textId="77777777" w:rsidR="00055D01" w:rsidRPr="00A02401" w:rsidRDefault="00055D01" w:rsidP="006C70E3">
            <w:pPr>
              <w:pStyle w:val="naisc"/>
              <w:spacing w:before="60" w:after="60"/>
              <w:jc w:val="both"/>
              <w:rPr>
                <w:bCs/>
              </w:rPr>
            </w:pPr>
            <w:r w:rsidRPr="00A02401">
              <w:rPr>
                <w:bCs/>
              </w:rPr>
              <w:t>Ekonomikas ministrija izvērtējot akciju sabiedrības “Latvijas Gāze” komentārus un nonākusi pie secinājuma, ka vārda “gadu” aizstāšana ar “pusgadu” nebūtu samērīga.</w:t>
            </w:r>
          </w:p>
          <w:p w14:paraId="6EB85F03" w14:textId="6FCEF38F" w:rsidR="00055D01" w:rsidRPr="00A02401" w:rsidRDefault="00055D01" w:rsidP="006C70E3">
            <w:pPr>
              <w:pStyle w:val="naisc"/>
              <w:spacing w:before="60" w:after="60"/>
              <w:jc w:val="both"/>
              <w:rPr>
                <w:bCs/>
              </w:rPr>
            </w:pPr>
            <w:r w:rsidRPr="00A02401">
              <w:rPr>
                <w:bCs/>
              </w:rPr>
              <w:t xml:space="preserve">28.septembra Spriedumā minēts, ka kompensācijas apmērs, kas nosakāms, reizinot tajos paredzētajā kārtībā noteikto patērētās dabasgāzes daudzumu ar dabasgāzes tirdzniecības tarifu divkāršā apmērā, tiek atzīta par neatbilstošu Latvijas Republikas Satversmes 64. un 105. pantam un Enerģētikas likuma 42.3 panta pirmajai daļai (redakcijā, kas bija spēkā no 2008. gada 4. jūlija līdz 2016. gada 7. martam). 28.septembra Spriedumā minētās normas daļēji nav mainītas, līdz ar to Ekonomikas ministrija secina, ka šobrīd spēkā esošajos </w:t>
            </w:r>
            <w:r w:rsidRPr="00A02401">
              <w:rPr>
                <w:bCs/>
              </w:rPr>
              <w:lastRenderedPageBreak/>
              <w:t>Noteikumos ietvertā atsauce būtu jāmaina, lai tiktu nodrošināts Satversmei atbilstošs tiesiskais regulējums, līdz ar to būtu svarīgi izslēgt no Noteikumiem</w:t>
            </w:r>
            <w:r w:rsidRPr="00A02401">
              <w:t xml:space="preserve"> 89.</w:t>
            </w:r>
            <w:r w:rsidRPr="00A02401">
              <w:rPr>
                <w:vertAlign w:val="superscript"/>
              </w:rPr>
              <w:t>1</w:t>
            </w:r>
            <w:r w:rsidRPr="00A02401">
              <w:t xml:space="preserve"> punktu. </w:t>
            </w:r>
          </w:p>
          <w:p w14:paraId="595260B2" w14:textId="0F07105D" w:rsidR="00055D01" w:rsidRPr="00A02401" w:rsidRDefault="00055D01" w:rsidP="006C70E3">
            <w:pPr>
              <w:pStyle w:val="naisc"/>
              <w:spacing w:before="60" w:after="60"/>
              <w:jc w:val="both"/>
              <w:rPr>
                <w:bCs/>
              </w:rPr>
            </w:pPr>
          </w:p>
        </w:tc>
        <w:tc>
          <w:tcPr>
            <w:tcW w:w="2951" w:type="dxa"/>
            <w:tcBorders>
              <w:top w:val="single" w:sz="4" w:space="0" w:color="auto"/>
              <w:left w:val="single" w:sz="4" w:space="0" w:color="auto"/>
              <w:bottom w:val="single" w:sz="4" w:space="0" w:color="auto"/>
            </w:tcBorders>
          </w:tcPr>
          <w:p w14:paraId="265E5162" w14:textId="77777777" w:rsidR="00055D01" w:rsidRPr="00A02401" w:rsidRDefault="00055D01" w:rsidP="006C70E3">
            <w:pPr>
              <w:spacing w:before="60" w:after="60"/>
              <w:ind w:firstLine="5"/>
              <w:jc w:val="both"/>
            </w:pPr>
            <w:r w:rsidRPr="00A02401">
              <w:lastRenderedPageBreak/>
              <w:t>Noteikumu projekts precizēts:</w:t>
            </w:r>
          </w:p>
          <w:p w14:paraId="43067136" w14:textId="77777777" w:rsidR="00055D01" w:rsidRPr="00A02401" w:rsidRDefault="00055D01" w:rsidP="006C70E3">
            <w:pPr>
              <w:spacing w:before="60" w:after="60"/>
              <w:ind w:firstLine="5"/>
              <w:jc w:val="both"/>
            </w:pPr>
            <w:r w:rsidRPr="00A02401">
              <w:t xml:space="preserve">12. Izteikt 89. punktu šādā redakcijā: </w:t>
            </w:r>
          </w:p>
          <w:p w14:paraId="69320C8A" w14:textId="6168BFA3" w:rsidR="00055D01" w:rsidRPr="00A02401" w:rsidRDefault="00055D01" w:rsidP="006C70E3">
            <w:pPr>
              <w:spacing w:before="60" w:after="60"/>
              <w:ind w:firstLine="5"/>
              <w:jc w:val="both"/>
            </w:pPr>
            <w:r w:rsidRPr="00A02401">
              <w:t>“89. Ja konstatēts šo noteikumu </w:t>
            </w:r>
            <w:r w:rsidR="00A8700C">
              <w:t>87.</w:t>
            </w:r>
            <w:r w:rsidRPr="00A02401">
              <w:t> punktā minētais pārkāpums, sadales sistēmas operators veic pārrēķinu par izlietoto dabasgāzi un sadales sistēmas pakalpojumiem, izmantojot šādu formulu:</w:t>
            </w:r>
          </w:p>
          <w:p w14:paraId="401807DD" w14:textId="77777777" w:rsidR="00055D01" w:rsidRPr="00A02401" w:rsidRDefault="00055D01" w:rsidP="006C70E3">
            <w:pPr>
              <w:spacing w:before="60" w:after="60"/>
              <w:ind w:firstLine="5"/>
              <w:jc w:val="both"/>
            </w:pPr>
            <w:r w:rsidRPr="00A02401">
              <w:rPr>
                <w:i/>
                <w:iCs/>
              </w:rPr>
              <w:t>K = (P</w:t>
            </w:r>
            <w:r w:rsidRPr="00A02401">
              <w:rPr>
                <w:i/>
                <w:iCs/>
                <w:vertAlign w:val="subscript"/>
              </w:rPr>
              <w:t>DG </w:t>
            </w:r>
            <w:r w:rsidRPr="00A02401">
              <w:rPr>
                <w:i/>
                <w:iCs/>
              </w:rPr>
              <w:t>– U</w:t>
            </w:r>
            <w:r w:rsidRPr="00A02401">
              <w:rPr>
                <w:i/>
                <w:iCs/>
                <w:vertAlign w:val="subscript"/>
              </w:rPr>
              <w:t>DG</w:t>
            </w:r>
            <w:r w:rsidRPr="00A02401">
              <w:rPr>
                <w:i/>
                <w:iCs/>
              </w:rPr>
              <w:t>) </w:t>
            </w:r>
            <w:r w:rsidRPr="00A02401">
              <w:t>x</w:t>
            </w:r>
            <w:r w:rsidRPr="00A02401">
              <w:rPr>
                <w:i/>
                <w:iCs/>
              </w:rPr>
              <w:t> (T</w:t>
            </w:r>
            <w:r w:rsidRPr="00A02401">
              <w:rPr>
                <w:i/>
                <w:iCs/>
                <w:vertAlign w:val="subscript"/>
              </w:rPr>
              <w:t>m </w:t>
            </w:r>
            <w:r w:rsidRPr="00A02401">
              <w:rPr>
                <w:i/>
                <w:iCs/>
              </w:rPr>
              <w:t>+ C</w:t>
            </w:r>
            <w:r w:rsidRPr="00A02401">
              <w:rPr>
                <w:i/>
                <w:iCs/>
                <w:vertAlign w:val="subscript"/>
              </w:rPr>
              <w:t>DG </w:t>
            </w:r>
            <w:r w:rsidRPr="00A02401">
              <w:rPr>
                <w:i/>
                <w:iCs/>
              </w:rPr>
              <w:t>),</w:t>
            </w:r>
            <w:r w:rsidRPr="00A02401">
              <w:t xml:space="preserve"> kur:</w:t>
            </w:r>
          </w:p>
          <w:p w14:paraId="74F27B2E" w14:textId="77777777" w:rsidR="00055D01" w:rsidRPr="00A02401" w:rsidRDefault="00055D01" w:rsidP="006C70E3">
            <w:pPr>
              <w:spacing w:before="60" w:after="60"/>
              <w:ind w:firstLine="5"/>
              <w:jc w:val="both"/>
            </w:pPr>
            <w:r w:rsidRPr="00A02401">
              <w:rPr>
                <w:i/>
                <w:iCs/>
              </w:rPr>
              <w:t>K – </w:t>
            </w:r>
            <w:r w:rsidRPr="00A02401">
              <w:t>pārrēķins par izlietoto dabasgāzi un sadales sistēmas pakalpojumiem;</w:t>
            </w:r>
          </w:p>
          <w:p w14:paraId="156C8202" w14:textId="751FD7E1" w:rsidR="00055D01" w:rsidRPr="00A02401" w:rsidRDefault="00055D01" w:rsidP="006C70E3">
            <w:pPr>
              <w:spacing w:before="60" w:after="60"/>
              <w:ind w:firstLine="5"/>
              <w:jc w:val="both"/>
            </w:pPr>
            <w:r w:rsidRPr="00A02401">
              <w:rPr>
                <w:i/>
                <w:iCs/>
              </w:rPr>
              <w:t>P</w:t>
            </w:r>
            <w:r w:rsidRPr="00A02401">
              <w:rPr>
                <w:i/>
                <w:iCs/>
                <w:vertAlign w:val="subscript"/>
              </w:rPr>
              <w:t>DG</w:t>
            </w:r>
            <w:r w:rsidRPr="00A02401">
              <w:t> – patērētās dabasgāzes daudzums, kas aprēķināts atbilstoši šo noteikumu </w:t>
            </w:r>
            <w:r w:rsidR="00A8700C">
              <w:t>88.</w:t>
            </w:r>
            <w:r w:rsidRPr="00A02401">
              <w:t> punktam;</w:t>
            </w:r>
          </w:p>
          <w:p w14:paraId="7EC44896" w14:textId="6A4DFF7C" w:rsidR="00055D01" w:rsidRPr="00A02401" w:rsidRDefault="00055D01" w:rsidP="006C70E3">
            <w:pPr>
              <w:spacing w:before="60" w:after="60"/>
              <w:ind w:firstLine="5"/>
              <w:jc w:val="both"/>
            </w:pPr>
            <w:r w:rsidRPr="00A02401">
              <w:rPr>
                <w:i/>
                <w:iCs/>
              </w:rPr>
              <w:t>U</w:t>
            </w:r>
            <w:r w:rsidRPr="00A02401">
              <w:rPr>
                <w:i/>
                <w:iCs/>
                <w:vertAlign w:val="subscript"/>
              </w:rPr>
              <w:t>DG</w:t>
            </w:r>
            <w:r w:rsidRPr="00A02401">
              <w:t xml:space="preserve"> – komercuzskaites mēraparāta uzskaitītais dabasgāzes daudzums periodā, kurā noticis šo </w:t>
            </w:r>
            <w:r w:rsidRPr="00A02401">
              <w:lastRenderedPageBreak/>
              <w:t>noteikumu </w:t>
            </w:r>
            <w:r w:rsidR="00A8700C">
              <w:t>87.</w:t>
            </w:r>
            <w:r w:rsidRPr="00A02401">
              <w:t> punktā minētais pārkāpums;</w:t>
            </w:r>
          </w:p>
          <w:p w14:paraId="4B2195BB" w14:textId="77777777" w:rsidR="00055D01" w:rsidRPr="00A02401" w:rsidRDefault="00055D01" w:rsidP="006C70E3">
            <w:pPr>
              <w:spacing w:before="60" w:after="60"/>
              <w:ind w:firstLine="5"/>
              <w:jc w:val="both"/>
            </w:pPr>
            <w:r w:rsidRPr="00A02401">
              <w:rPr>
                <w:i/>
                <w:iCs/>
              </w:rPr>
              <w:t>T</w:t>
            </w:r>
            <w:r w:rsidRPr="00A02401">
              <w:rPr>
                <w:i/>
                <w:iCs/>
                <w:vertAlign w:val="subscript"/>
              </w:rPr>
              <w:t>m</w:t>
            </w:r>
            <w:r w:rsidRPr="00A02401">
              <w:rPr>
                <w:i/>
                <w:iCs/>
              </w:rPr>
              <w:t> </w:t>
            </w:r>
            <w:r w:rsidRPr="00A02401">
              <w:t>– sadales sistēmas pakalpojuma tarifu mainīgā daļa (pēc patēriņa grupas);</w:t>
            </w:r>
          </w:p>
          <w:p w14:paraId="627A0EDB" w14:textId="77777777" w:rsidR="00055D01" w:rsidRPr="00A02401" w:rsidRDefault="00055D01" w:rsidP="006C70E3">
            <w:pPr>
              <w:spacing w:before="60" w:after="60"/>
              <w:ind w:firstLine="5"/>
              <w:jc w:val="both"/>
            </w:pPr>
            <w:r w:rsidRPr="00A02401">
              <w:rPr>
                <w:i/>
                <w:iCs/>
              </w:rPr>
              <w:t>C</w:t>
            </w:r>
            <w:r w:rsidRPr="00A02401">
              <w:rPr>
                <w:i/>
                <w:iCs/>
                <w:vertAlign w:val="subscript"/>
              </w:rPr>
              <w:t>DG</w:t>
            </w:r>
            <w:r w:rsidRPr="00A02401">
              <w:rPr>
                <w:i/>
                <w:iCs/>
              </w:rPr>
              <w:t> </w:t>
            </w:r>
            <w:r w:rsidRPr="00A02401">
              <w:t>– dabasgāzes cena pēdējās garantētās piegādes cenas apmērā mēnesī, kad konstatēts pārkāpums.”</w:t>
            </w:r>
          </w:p>
          <w:p w14:paraId="485483E0" w14:textId="2842D125" w:rsidR="00055D01" w:rsidRPr="00A02401" w:rsidRDefault="00055D01" w:rsidP="006C70E3">
            <w:pPr>
              <w:spacing w:before="60" w:after="60"/>
              <w:ind w:firstLine="5"/>
              <w:jc w:val="both"/>
            </w:pPr>
          </w:p>
        </w:tc>
      </w:tr>
      <w:tr w:rsidR="00055D01" w:rsidRPr="00A02401" w14:paraId="32AFC855" w14:textId="77777777" w:rsidTr="007D72ED">
        <w:tc>
          <w:tcPr>
            <w:tcW w:w="675" w:type="dxa"/>
            <w:tcBorders>
              <w:top w:val="single" w:sz="4" w:space="0" w:color="auto"/>
              <w:left w:val="single" w:sz="6" w:space="0" w:color="000000"/>
              <w:bottom w:val="single" w:sz="6" w:space="0" w:color="000000"/>
              <w:right w:val="single" w:sz="6" w:space="0" w:color="000000"/>
            </w:tcBorders>
          </w:tcPr>
          <w:p w14:paraId="5F6F4E6A" w14:textId="5DB576BB" w:rsidR="00055D01" w:rsidRPr="00A02401" w:rsidRDefault="00055D01" w:rsidP="006C70E3">
            <w:pPr>
              <w:pStyle w:val="naisc"/>
              <w:spacing w:before="60" w:after="60"/>
              <w:jc w:val="both"/>
            </w:pPr>
            <w:r w:rsidRPr="00A02401">
              <w:lastRenderedPageBreak/>
              <w:t>2</w:t>
            </w:r>
            <w:r>
              <w:t>1</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7E56676C" w14:textId="77777777" w:rsidR="00055D01" w:rsidRPr="00A02401" w:rsidRDefault="00055D01" w:rsidP="006C70E3">
            <w:pPr>
              <w:spacing w:line="293" w:lineRule="atLeast"/>
              <w:jc w:val="both"/>
              <w:rPr>
                <w:color w:val="000000" w:themeColor="text1"/>
              </w:rPr>
            </w:pPr>
            <w:r w:rsidRPr="00A02401">
              <w:rPr>
                <w:color w:val="000000" w:themeColor="text1"/>
              </w:rPr>
              <w:t>14. Papildināt noteikums ar 95.</w:t>
            </w:r>
            <w:r w:rsidRPr="00A02401">
              <w:rPr>
                <w:color w:val="000000" w:themeColor="text1"/>
                <w:vertAlign w:val="superscript"/>
              </w:rPr>
              <w:t>1</w:t>
            </w:r>
            <w:r w:rsidRPr="00A02401">
              <w:rPr>
                <w:color w:val="000000" w:themeColor="text1"/>
              </w:rPr>
              <w:t xml:space="preserve"> , 95.</w:t>
            </w:r>
            <w:r w:rsidRPr="00A02401">
              <w:rPr>
                <w:color w:val="000000" w:themeColor="text1"/>
                <w:vertAlign w:val="superscript"/>
              </w:rPr>
              <w:t xml:space="preserve">2 </w:t>
            </w:r>
            <w:r w:rsidRPr="00A02401">
              <w:rPr>
                <w:color w:val="000000" w:themeColor="text1"/>
              </w:rPr>
              <w:t>, 95.</w:t>
            </w:r>
            <w:r w:rsidRPr="00A02401">
              <w:rPr>
                <w:color w:val="000000" w:themeColor="text1"/>
                <w:vertAlign w:val="superscript"/>
              </w:rPr>
              <w:t>3</w:t>
            </w:r>
            <w:r w:rsidRPr="00A02401">
              <w:rPr>
                <w:color w:val="000000" w:themeColor="text1"/>
              </w:rPr>
              <w:t xml:space="preserve">  un 95.</w:t>
            </w:r>
            <w:r w:rsidRPr="00A02401">
              <w:rPr>
                <w:color w:val="000000" w:themeColor="text1"/>
                <w:vertAlign w:val="superscript"/>
              </w:rPr>
              <w:t>4 </w:t>
            </w:r>
            <w:r w:rsidRPr="00A02401">
              <w:rPr>
                <w:color w:val="000000" w:themeColor="text1"/>
              </w:rPr>
              <w:t xml:space="preserve">punktu šādā redakcijā: </w:t>
            </w:r>
          </w:p>
          <w:p w14:paraId="53CA8AED" w14:textId="77777777" w:rsidR="00055D01" w:rsidRPr="00A02401" w:rsidRDefault="00055D01" w:rsidP="006C70E3">
            <w:pPr>
              <w:spacing w:line="293" w:lineRule="atLeast"/>
              <w:jc w:val="both"/>
              <w:rPr>
                <w:color w:val="000000" w:themeColor="text1"/>
              </w:rPr>
            </w:pPr>
          </w:p>
          <w:p w14:paraId="1C408722" w14:textId="77777777" w:rsidR="00055D01" w:rsidRPr="00A02401" w:rsidRDefault="00055D01" w:rsidP="006C70E3">
            <w:pPr>
              <w:spacing w:line="293" w:lineRule="atLeast"/>
              <w:jc w:val="both"/>
              <w:rPr>
                <w:color w:val="000000" w:themeColor="text1"/>
              </w:rPr>
            </w:pPr>
            <w:r w:rsidRPr="00A02401">
              <w:rPr>
                <w:color w:val="000000" w:themeColor="text1"/>
              </w:rPr>
              <w:t>“95.</w:t>
            </w:r>
            <w:r w:rsidRPr="00A02401">
              <w:rPr>
                <w:color w:val="000000" w:themeColor="text1"/>
                <w:vertAlign w:val="superscript"/>
              </w:rPr>
              <w:t>1</w:t>
            </w:r>
            <w:r w:rsidRPr="00A02401">
              <w:rPr>
                <w:color w:val="000000" w:themeColor="text1"/>
              </w:rPr>
              <w:t> Sašķidrinātās dabasgāzes sistēmas operators nodrošina sašķidrinātās dabasgāzes pakalpojuma sniegšanu, veicot dabasgāzes šķidrināšanu vai sašķidrinātās dabasgāzes saņemšanu, izkraušanu, uzglabāšanu un pārvēršanu gāzveida stāvoklī turpmākai piegādei uz dabasgāzes pārvades sistēmu vai lietotājam atļautās maksimālās slodzes robežās.</w:t>
            </w:r>
          </w:p>
          <w:p w14:paraId="728CDF71" w14:textId="77777777" w:rsidR="00055D01" w:rsidRPr="00A02401" w:rsidRDefault="00055D01" w:rsidP="006C70E3">
            <w:pPr>
              <w:spacing w:line="293" w:lineRule="atLeast"/>
              <w:jc w:val="both"/>
              <w:rPr>
                <w:color w:val="000000" w:themeColor="text1"/>
              </w:rPr>
            </w:pPr>
            <w:r w:rsidRPr="00A02401">
              <w:rPr>
                <w:color w:val="000000" w:themeColor="text1"/>
              </w:rPr>
              <w:t>95.</w:t>
            </w:r>
            <w:r w:rsidRPr="00A02401">
              <w:rPr>
                <w:color w:val="000000" w:themeColor="text1"/>
                <w:vertAlign w:val="superscript"/>
              </w:rPr>
              <w:t>2</w:t>
            </w:r>
            <w:r w:rsidRPr="00A02401">
              <w:rPr>
                <w:color w:val="000000" w:themeColor="text1"/>
              </w:rPr>
              <w:t xml:space="preserve"> Sašķidrinātās dabasgāzes sistēmas operators ir atbildīgs par sašķidrinātās dabasgāzes iekārtā vai no šīs iekārtas piegādājamo dabasgāzes kvalitātes parametru atbilstības kontroli. Sašķidrinātās dabasgāzes sistēmas lietotājs ir atbildīgs par sašķidrinātās dabasgāzes kvalitāti, to piegādājot attiecīgajai sašķidrinātās dabasgāzes iekārtai un pārvadot caur sašķidrinātās </w:t>
            </w:r>
            <w:r w:rsidRPr="00A02401">
              <w:rPr>
                <w:color w:val="000000" w:themeColor="text1"/>
              </w:rPr>
              <w:lastRenderedPageBreak/>
              <w:t>dabasgāzes iekārtu, jo sevišķi gadījumos, kad sašķidrināto dabasgāzi pēc pārvēršanas gāzveida stāvoklī paredzēts ievadīt pārvades sistēmā.</w:t>
            </w:r>
          </w:p>
          <w:p w14:paraId="2164E5D1" w14:textId="77777777" w:rsidR="00055D01" w:rsidRPr="00A02401" w:rsidRDefault="00055D01" w:rsidP="006C70E3">
            <w:pPr>
              <w:spacing w:line="293" w:lineRule="atLeast"/>
              <w:jc w:val="both"/>
              <w:rPr>
                <w:color w:val="000000" w:themeColor="text1"/>
              </w:rPr>
            </w:pPr>
            <w:r w:rsidRPr="00A02401">
              <w:rPr>
                <w:color w:val="000000" w:themeColor="text1"/>
              </w:rPr>
              <w:t>95.</w:t>
            </w:r>
            <w:r w:rsidRPr="00A02401">
              <w:rPr>
                <w:color w:val="000000" w:themeColor="text1"/>
                <w:vertAlign w:val="superscript"/>
              </w:rPr>
              <w:t>4</w:t>
            </w:r>
            <w:r w:rsidRPr="00A02401">
              <w:rPr>
                <w:color w:val="000000" w:themeColor="text1"/>
              </w:rPr>
              <w:t> Sašķidrinātās dabasgāzes sistēmas operatoram ir pienākums līdz katra gada 1.martam savā tīmekļvietnē publicēt informāciju par plānotajiem sašķidrinātās dabasgāzes sistēmas apkopes darbiem, iekļaujot informāciju par to raksturojumu un iespējamo ilgumu, un atjaunot publicēto informāciju atkarībā no apkopes darbu izpildes gaitas.”</w:t>
            </w:r>
          </w:p>
          <w:p w14:paraId="4C202A19" w14:textId="77777777" w:rsidR="00055D01" w:rsidRPr="00A02401" w:rsidRDefault="00055D01" w:rsidP="006C70E3">
            <w:pPr>
              <w:spacing w:line="293" w:lineRule="atLeast"/>
              <w:jc w:val="both"/>
              <w:rPr>
                <w:color w:val="000000" w:themeColor="text1"/>
              </w:rPr>
            </w:pPr>
          </w:p>
        </w:tc>
        <w:tc>
          <w:tcPr>
            <w:tcW w:w="4278" w:type="dxa"/>
            <w:tcBorders>
              <w:top w:val="single" w:sz="4" w:space="0" w:color="auto"/>
              <w:left w:val="single" w:sz="6" w:space="0" w:color="000000"/>
              <w:bottom w:val="single" w:sz="6" w:space="0" w:color="000000"/>
              <w:right w:val="single" w:sz="6" w:space="0" w:color="000000"/>
            </w:tcBorders>
          </w:tcPr>
          <w:p w14:paraId="074E40CF" w14:textId="714516E8" w:rsidR="00055D01" w:rsidRPr="00A02401" w:rsidRDefault="00055D01" w:rsidP="006C70E3">
            <w:pPr>
              <w:pStyle w:val="NoSpacing"/>
              <w:ind w:firstLine="0"/>
              <w:rPr>
                <w:rFonts w:cstheme="minorHAnsi"/>
                <w:b/>
                <w:bCs/>
                <w:color w:val="000000"/>
                <w:sz w:val="24"/>
                <w:szCs w:val="24"/>
              </w:rPr>
            </w:pPr>
            <w:r w:rsidRPr="00A02401">
              <w:rPr>
                <w:rFonts w:cstheme="minorHAnsi"/>
                <w:b/>
                <w:bCs/>
                <w:color w:val="000000"/>
                <w:sz w:val="24"/>
                <w:szCs w:val="24"/>
              </w:rPr>
              <w:lastRenderedPageBreak/>
              <w:t>TM</w:t>
            </w:r>
          </w:p>
          <w:p w14:paraId="067263A8" w14:textId="561AFA35" w:rsidR="00055D01" w:rsidRPr="00A02401" w:rsidRDefault="00055D01" w:rsidP="006C70E3">
            <w:pPr>
              <w:pStyle w:val="NoSpacing"/>
              <w:ind w:firstLine="0"/>
              <w:rPr>
                <w:color w:val="000000"/>
                <w:sz w:val="24"/>
                <w:szCs w:val="24"/>
              </w:rPr>
            </w:pPr>
            <w:r w:rsidRPr="00A02401">
              <w:rPr>
                <w:rFonts w:cstheme="minorHAnsi"/>
                <w:color w:val="000000"/>
                <w:sz w:val="24"/>
                <w:szCs w:val="24"/>
              </w:rPr>
              <w:t>Papildus norādām uz to, ka noteikumu VIII nodaļā ir noteiktas sistēmas operatora tiesības un pienākumi, bet projekta pirmajā 14. punktā paredzētajā noteikumu 95.</w:t>
            </w:r>
            <w:r w:rsidRPr="00A02401">
              <w:rPr>
                <w:rFonts w:cstheme="minorHAnsi"/>
                <w:color w:val="000000"/>
                <w:sz w:val="24"/>
                <w:szCs w:val="24"/>
                <w:vertAlign w:val="superscript"/>
              </w:rPr>
              <w:t>2</w:t>
            </w:r>
            <w:r w:rsidRPr="00A02401">
              <w:rPr>
                <w:rFonts w:cstheme="minorHAnsi"/>
                <w:color w:val="000000"/>
                <w:sz w:val="24"/>
                <w:szCs w:val="24"/>
              </w:rPr>
              <w:t xml:space="preserve"> punktā ir noteikta sašķidrinātās dabasgāzes sistēmas operatora un sašķidrinātās dabasgāzes sistēmas lietotāja atbildība. Līdz ar to noteikumu VIII nodaļas saturs neatbilst noteikumu VIII nodaļas nosaukumam. Ievērojot minēto, lūdzam </w:t>
            </w:r>
            <w:r w:rsidRPr="00A02401">
              <w:rPr>
                <w:rFonts w:cstheme="minorHAnsi"/>
                <w:color w:val="000000"/>
                <w:sz w:val="24"/>
                <w:szCs w:val="24"/>
                <w:shd w:val="clear" w:color="auto" w:fill="FDFCFD"/>
              </w:rPr>
              <w:t xml:space="preserve">izvērtēt projekta pirmajā 14. punktā </w:t>
            </w:r>
            <w:r w:rsidRPr="00A02401">
              <w:rPr>
                <w:rFonts w:cstheme="minorHAnsi"/>
                <w:color w:val="000000"/>
                <w:sz w:val="24"/>
                <w:szCs w:val="24"/>
              </w:rPr>
              <w:t>paredzētajā noteikumu 95.</w:t>
            </w:r>
            <w:r w:rsidRPr="00A02401">
              <w:rPr>
                <w:rFonts w:cstheme="minorHAnsi"/>
                <w:color w:val="000000"/>
                <w:sz w:val="24"/>
                <w:szCs w:val="24"/>
                <w:vertAlign w:val="superscript"/>
              </w:rPr>
              <w:t>2</w:t>
            </w:r>
            <w:r w:rsidRPr="00A02401">
              <w:rPr>
                <w:rFonts w:cstheme="minorHAnsi"/>
                <w:color w:val="000000"/>
                <w:sz w:val="24"/>
                <w:szCs w:val="24"/>
              </w:rPr>
              <w:t> punktā ietverto regulējumu</w:t>
            </w:r>
            <w:r w:rsidRPr="00A02401">
              <w:rPr>
                <w:rFonts w:cstheme="minorHAnsi"/>
                <w:color w:val="000000"/>
                <w:sz w:val="24"/>
                <w:szCs w:val="24"/>
                <w:shd w:val="clear" w:color="auto" w:fill="FDFCFD"/>
              </w:rPr>
              <w:t xml:space="preserve"> un attiecīgi precizēt to, kā arī papildināt </w:t>
            </w:r>
            <w:r w:rsidRPr="00A02401">
              <w:rPr>
                <w:rFonts w:cstheme="minorHAnsi"/>
                <w:color w:val="000000"/>
                <w:sz w:val="24"/>
                <w:szCs w:val="24"/>
              </w:rPr>
              <w:t>anotāciju ar atbilstošu skaidrojumu</w:t>
            </w:r>
            <w:r w:rsidRPr="00A02401">
              <w:rPr>
                <w:rFonts w:cstheme="minorHAnsi"/>
                <w:color w:val="000000"/>
                <w:sz w:val="24"/>
                <w:szCs w:val="24"/>
                <w:shd w:val="clear" w:color="auto" w:fill="FDFCFD"/>
              </w:rPr>
              <w:t>. </w:t>
            </w:r>
          </w:p>
          <w:p w14:paraId="6D65DAE0" w14:textId="52D0EB7D" w:rsidR="00055D01" w:rsidRPr="00A02401" w:rsidRDefault="00055D01" w:rsidP="000E00A7">
            <w:pPr>
              <w:pStyle w:val="NoSpacing"/>
              <w:ind w:firstLine="0"/>
              <w:rPr>
                <w:rFonts w:cstheme="minorHAnsi"/>
                <w:color w:val="000000"/>
                <w:sz w:val="24"/>
                <w:szCs w:val="24"/>
              </w:rPr>
            </w:pPr>
            <w:r w:rsidRPr="00A02401">
              <w:rPr>
                <w:rFonts w:cstheme="minorHAnsi"/>
                <w:sz w:val="24"/>
                <w:szCs w:val="24"/>
                <w:shd w:val="clear" w:color="auto" w:fill="FDFCFD"/>
              </w:rPr>
              <w:t>Vienlaikus atkārtoti</w:t>
            </w:r>
            <w:r w:rsidRPr="00A02401">
              <w:rPr>
                <w:rFonts w:cstheme="minorHAnsi"/>
                <w:color w:val="000000"/>
                <w:sz w:val="24"/>
                <w:szCs w:val="24"/>
              </w:rPr>
              <w:t xml:space="preserve"> vēršam uzmanību uz to, ka anotācijas I sadaļas 2. punktu aizpilda </w:t>
            </w:r>
            <w:r w:rsidRPr="00A02401">
              <w:rPr>
                <w:rFonts w:cstheme="minorHAnsi"/>
                <w:color w:val="000000"/>
                <w:sz w:val="24"/>
                <w:szCs w:val="24"/>
                <w:bdr w:val="none" w:sz="0" w:space="0" w:color="auto" w:frame="1"/>
                <w:shd w:val="clear" w:color="auto" w:fill="FFFFFF"/>
              </w:rPr>
              <w:t>atbilstoši Ministru kabineta 2009. gada 15. decembra instrukcijas Nr. 19 "Tiesību akta projekta sākotnējās ietekmes izvērtēšanas kārtība" (turpmāk – instrukcija) 14. punktā noteiktajām prasībām.</w:t>
            </w:r>
            <w:r w:rsidRPr="00A02401">
              <w:rPr>
                <w:rFonts w:cstheme="minorHAnsi"/>
                <w:color w:val="000000"/>
                <w:sz w:val="24"/>
                <w:szCs w:val="24"/>
              </w:rPr>
              <w:t xml:space="preserve"> Ievērojot minēto, lūdzam precizēt anotācijā ietverto informāciju. </w:t>
            </w:r>
          </w:p>
          <w:p w14:paraId="33E6F620" w14:textId="3E7CE9B0" w:rsidR="00055D01" w:rsidRPr="00A02401" w:rsidRDefault="00055D01" w:rsidP="006C70E3">
            <w:pPr>
              <w:pStyle w:val="NoSpacing"/>
              <w:rPr>
                <w:rFonts w:cstheme="minorHAnsi"/>
                <w:color w:val="000000"/>
                <w:sz w:val="24"/>
                <w:szCs w:val="24"/>
              </w:rPr>
            </w:pPr>
          </w:p>
          <w:p w14:paraId="336509DC" w14:textId="028CA5B7" w:rsidR="00055D01" w:rsidRPr="00A8700C" w:rsidRDefault="00055D01" w:rsidP="00A8700C">
            <w:pPr>
              <w:pStyle w:val="naisc"/>
              <w:spacing w:before="60" w:after="60"/>
              <w:ind w:firstLine="5"/>
              <w:jc w:val="both"/>
              <w:rPr>
                <w:b/>
                <w:bCs/>
              </w:rPr>
            </w:pPr>
            <w:r w:rsidRPr="00A02401">
              <w:rPr>
                <w:b/>
                <w:bCs/>
              </w:rPr>
              <w:t>A</w:t>
            </w:r>
            <w:r>
              <w:rPr>
                <w:b/>
                <w:bCs/>
              </w:rPr>
              <w:t>kciju sabiedrība</w:t>
            </w:r>
            <w:r w:rsidRPr="00A02401">
              <w:rPr>
                <w:b/>
                <w:bCs/>
              </w:rPr>
              <w:t xml:space="preserve"> </w:t>
            </w:r>
            <w:r>
              <w:rPr>
                <w:b/>
                <w:bCs/>
              </w:rPr>
              <w:t>“</w:t>
            </w:r>
            <w:r w:rsidRPr="00A02401">
              <w:rPr>
                <w:b/>
                <w:bCs/>
              </w:rPr>
              <w:t>Conexus Baltic Grid</w:t>
            </w:r>
            <w:r>
              <w:rPr>
                <w:b/>
                <w:bCs/>
              </w:rPr>
              <w:t>”</w:t>
            </w:r>
          </w:p>
          <w:p w14:paraId="36F09D8C" w14:textId="77777777" w:rsidR="00055D01" w:rsidRPr="00A02401" w:rsidRDefault="00055D01" w:rsidP="006C70E3">
            <w:pPr>
              <w:jc w:val="both"/>
              <w:rPr>
                <w:rFonts w:eastAsia="Calibri"/>
              </w:rPr>
            </w:pPr>
            <w:r w:rsidRPr="00A02401">
              <w:rPr>
                <w:rFonts w:eastAsia="Calibri"/>
              </w:rPr>
              <w:t>4. Noteikumu projektu piedāvāts papildināt ar jaunu 95.</w:t>
            </w:r>
            <w:r w:rsidRPr="00A02401">
              <w:rPr>
                <w:rFonts w:eastAsia="Calibri"/>
                <w:vertAlign w:val="superscript"/>
              </w:rPr>
              <w:t>1</w:t>
            </w:r>
            <w:r w:rsidRPr="00A02401">
              <w:rPr>
                <w:rFonts w:eastAsia="Calibri"/>
              </w:rPr>
              <w:t>, 95.</w:t>
            </w:r>
            <w:r w:rsidRPr="00A02401">
              <w:rPr>
                <w:rFonts w:eastAsia="Calibri"/>
                <w:vertAlign w:val="superscript"/>
              </w:rPr>
              <w:t>2</w:t>
            </w:r>
            <w:r w:rsidRPr="00A02401">
              <w:rPr>
                <w:rFonts w:eastAsia="Calibri"/>
              </w:rPr>
              <w:t xml:space="preserve"> un 95.</w:t>
            </w:r>
            <w:r w:rsidRPr="00A02401">
              <w:rPr>
                <w:rFonts w:eastAsia="Calibri"/>
                <w:vertAlign w:val="superscript"/>
              </w:rPr>
              <w:t>3</w:t>
            </w:r>
            <w:r w:rsidRPr="00A02401">
              <w:rPr>
                <w:rFonts w:eastAsia="Calibri"/>
              </w:rPr>
              <w:t> punktu. Sabiedrība iebilst pret piedāvāto 95.</w:t>
            </w:r>
            <w:r w:rsidRPr="00A02401">
              <w:rPr>
                <w:rFonts w:eastAsia="Calibri"/>
                <w:vertAlign w:val="superscript"/>
              </w:rPr>
              <w:t>1</w:t>
            </w:r>
            <w:r w:rsidRPr="00A02401">
              <w:rPr>
                <w:rFonts w:eastAsia="Calibri"/>
              </w:rPr>
              <w:t xml:space="preserve"> punkta redakciju un lūdz noteikt, ka sašķidrinātās dabasgāzes iekārtas </w:t>
            </w:r>
            <w:r w:rsidRPr="00A02401">
              <w:rPr>
                <w:rFonts w:eastAsia="Calibri"/>
              </w:rPr>
              <w:lastRenderedPageBreak/>
              <w:t>pārvaldītājs, kas nav sašķidrinātās dabasgāzes sistēmas operators, nodrošina sašķidrinātās dabasgāzes šķidrināšanu vai sašķidrinātās dabasgāzes saņemšanu, izkraušanu, uzglabāšanu un pārvēršanu gāzveida stāvoklī turpmākai piegādei lietotājam apgādei ar dabasgāzi, tā atļautās maksimālās slodzes robežās. Sabiedrības ieskatā no piedāvātā 95.</w:t>
            </w:r>
            <w:r w:rsidRPr="00A02401">
              <w:rPr>
                <w:rFonts w:eastAsia="Calibri"/>
                <w:vertAlign w:val="superscript"/>
              </w:rPr>
              <w:t xml:space="preserve">1 </w:t>
            </w:r>
            <w:r w:rsidRPr="00A02401">
              <w:rPr>
                <w:rFonts w:eastAsia="Calibri"/>
              </w:rPr>
              <w:t>punkta svītrojama atsauce uz sašķidrinātās dabasgāzes sistēmas operatoru, jo regulējums sabiedriskajam pakalpojumam, proti, dabasgāzes piegādei no sašķidrinātās dabasgāzes iekārtas uz savstarpēji savienotu dabasgāzes pārvades sistēmu jau nostiprināts Enerģētikas likumā.</w:t>
            </w:r>
          </w:p>
          <w:p w14:paraId="47D8DB13" w14:textId="68BE1274" w:rsidR="00055D01" w:rsidRPr="00A02401" w:rsidRDefault="00055D01" w:rsidP="006C70E3">
            <w:pPr>
              <w:jc w:val="both"/>
              <w:rPr>
                <w:rFonts w:eastAsia="Calibri"/>
              </w:rPr>
            </w:pPr>
            <w:r w:rsidRPr="00A02401">
              <w:rPr>
                <w:rFonts w:eastAsia="Calibri"/>
              </w:rPr>
              <w:t>Sabiedrība iebilst pret piedāvātā 95.</w:t>
            </w:r>
            <w:r w:rsidRPr="00A02401">
              <w:rPr>
                <w:rFonts w:eastAsia="Calibri"/>
                <w:vertAlign w:val="superscript"/>
              </w:rPr>
              <w:t>2 </w:t>
            </w:r>
            <w:r w:rsidRPr="00A02401">
              <w:rPr>
                <w:rFonts w:eastAsia="Calibri"/>
              </w:rPr>
              <w:t xml:space="preserve">punkta redakciju un lūdz to precizēt, nosakot, ka sašķidrinātās dabasgāzes iekārtas pārvaldītājam, kas nav sašķidrinātās dabasgāzes sistēmas operators, ir pienākums nodrošināt sašķidrinātās dabasgāzes iekārtā vai no šīs iekārtas piegādājamo dabasgāzes kvalitātes parametru atbilstības kontroli. Sašķidrinātās dabasgāzes kvalitāti nodrošina lietotājs, to piegādājot attiecīgajai sašķidrinātās dabasgāzes iekārtai un pārvadot caur sašķidrinātās dabasgāzes iekārtu. </w:t>
            </w:r>
          </w:p>
          <w:p w14:paraId="65595239" w14:textId="5ED6D617" w:rsidR="00055D01" w:rsidRPr="00A02401" w:rsidRDefault="00055D01" w:rsidP="006C70E3">
            <w:pPr>
              <w:jc w:val="both"/>
              <w:rPr>
                <w:rFonts w:eastAsia="Calibri"/>
              </w:rPr>
            </w:pPr>
            <w:r w:rsidRPr="00A02401">
              <w:rPr>
                <w:rFonts w:eastAsia="Calibri"/>
              </w:rPr>
              <w:t xml:space="preserve">Ja sašķidrinātās dabasgāzes sistēmas operatora iekārta ir tieši pieslēgta pārvades sistēmai, atbildības apmērs (piemēram, </w:t>
            </w:r>
            <w:r w:rsidRPr="00A02401">
              <w:rPr>
                <w:rFonts w:eastAsia="Calibri"/>
              </w:rPr>
              <w:lastRenderedPageBreak/>
              <w:t>pārvades sistēmas operatora atteikums prasībām neatbilstošas kvalitātes dabasgāzes ievadei un transportēšanai pārvades sistēmā) par sašķidrinātās dabasgāzes pēc pārvēršanas gāzveida stāvoklī ievadīšanu pārvades sistēmā atrunājams starp sistēmas lietotāju un sašķidrinātās dabasgāzes sistēmas operatoru atbilstoši sašķidrinātās dabasgāzes sistēmas lietošanas nosacījumiem, kas nav noteikumu projekta tvērums.</w:t>
            </w:r>
          </w:p>
          <w:p w14:paraId="2EB44B3F" w14:textId="11F62067" w:rsidR="00055D01" w:rsidRPr="00A02401" w:rsidRDefault="00055D01" w:rsidP="006C70E3">
            <w:pPr>
              <w:jc w:val="both"/>
              <w:rPr>
                <w:rFonts w:eastAsia="Calibri"/>
              </w:rPr>
            </w:pPr>
            <w:r w:rsidRPr="00A02401">
              <w:rPr>
                <w:rFonts w:eastAsia="Calibri"/>
              </w:rPr>
              <w:t>Sabiedrība iebilst arī pret piedāvāto noteikumu projekta 95.</w:t>
            </w:r>
            <w:r w:rsidRPr="00A02401">
              <w:rPr>
                <w:rFonts w:eastAsia="Calibri"/>
                <w:vertAlign w:val="superscript"/>
              </w:rPr>
              <w:t>3</w:t>
            </w:r>
            <w:r w:rsidRPr="00A02401">
              <w:rPr>
                <w:rFonts w:eastAsia="Calibri"/>
              </w:rPr>
              <w:t xml:space="preserve"> punkta redakciju, jo ar noteikumu projektu piedāvāts regulēt plānoto sašķidrinātās dabasgāzes sistēmas apkopes darbu plāna izpaušanas nosacījumus, kas ir sašķidrinātās dabasgāzes sistēmas lietošanas noteikumu tvērums un pakārtots regulatora kontrolei. Piemēram, Komisijas Īstenošanas Regulas (ES) Nr. 1348/2014 (2014. gada 17. decembris) par datu ziņošanu, īstenojot 8. panta 2. punktu un 8. panta 6. punktu Eiropas Parlamenta un Padomes Regulas (ES) Nr. 1227/2011 par enerģijas vairumtirgus integritāti un pārredzamību 9. panta 3. punkta </w:t>
            </w:r>
            <w:r w:rsidR="00A8700C">
              <w:rPr>
                <w:rFonts w:eastAsia="Calibri"/>
              </w:rPr>
              <w:t>“</w:t>
            </w:r>
            <w:r w:rsidRPr="00A02401">
              <w:rPr>
                <w:rFonts w:eastAsia="Calibri"/>
              </w:rPr>
              <w:t>c</w:t>
            </w:r>
            <w:r w:rsidR="00A8700C">
              <w:rPr>
                <w:rFonts w:eastAsia="Calibri"/>
              </w:rPr>
              <w:t>”</w:t>
            </w:r>
            <w:r w:rsidRPr="00A02401">
              <w:rPr>
                <w:rFonts w:eastAsia="Calibri"/>
              </w:rPr>
              <w:t xml:space="preserve"> apakšpunktā sašķidrinātās dabasgāzes sistēmas operatoriem jau noteikts pienākums Energoregulatoru sadarbības aģentūrai (ACER) un pēc to pieprasījuma valsts regulatīvajām iestādēm sniegt informāciju </w:t>
            </w:r>
            <w:r w:rsidRPr="00A02401">
              <w:rPr>
                <w:rFonts w:eastAsia="Calibri"/>
              </w:rPr>
              <w:lastRenderedPageBreak/>
              <w:t>par sašķidrinātās dabasgāzes iekārtu plānotu un neplānotu nepieejamību, tostarp informāciju par paziņojuma laiku un attiecīgajām ietekmētajām jaudām.</w:t>
            </w:r>
          </w:p>
          <w:p w14:paraId="55B77100" w14:textId="62D603AA" w:rsidR="00055D01" w:rsidRPr="00A02401" w:rsidRDefault="00055D01" w:rsidP="006C70E3">
            <w:pPr>
              <w:spacing w:after="120"/>
              <w:jc w:val="both"/>
              <w:rPr>
                <w:rFonts w:eastAsia="Calibri"/>
              </w:rPr>
            </w:pPr>
            <w:r w:rsidRPr="00A02401">
              <w:rPr>
                <w:rFonts w:eastAsia="Calibri"/>
              </w:rPr>
              <w:tab/>
              <w:t>Sabiedrība piekristu, ja noteikumu projekta 95.</w:t>
            </w:r>
            <w:r w:rsidRPr="00A02401">
              <w:rPr>
                <w:rFonts w:eastAsia="Calibri"/>
                <w:vertAlign w:val="superscript"/>
              </w:rPr>
              <w:t>3</w:t>
            </w:r>
            <w:r w:rsidRPr="00A02401">
              <w:rPr>
                <w:rFonts w:eastAsia="Calibri"/>
              </w:rPr>
              <w:t xml:space="preserve"> punkts tiktu precizēts tādējādi, ka sašķidrinātās dabasgāzes iekārtas pārvaldītājam, kas nav sašķidrinātās dabasgāzes sistēmas operators, kura iekārta ir pieslēgta lietotāja apgādes sistēmai, ir pienākums noteiktā termiņā savā tīmekļvietnē publicēt informāciju par plānotajiem sašķidrinātās dabasgāzes iekārtas apkopes darbiem. </w:t>
            </w:r>
          </w:p>
          <w:p w14:paraId="47577B88" w14:textId="022AE408" w:rsidR="00055D01" w:rsidRPr="00A02401" w:rsidRDefault="00055D01" w:rsidP="006C70E3">
            <w:pPr>
              <w:spacing w:after="120"/>
              <w:jc w:val="both"/>
              <w:rPr>
                <w:rFonts w:eastAsia="Calibri"/>
              </w:rPr>
            </w:pPr>
          </w:p>
          <w:p w14:paraId="427AAF4B" w14:textId="33DBF9D4" w:rsidR="00055D01" w:rsidRPr="00A02401" w:rsidRDefault="00055D01" w:rsidP="006C70E3">
            <w:pPr>
              <w:spacing w:after="120"/>
              <w:jc w:val="both"/>
              <w:rPr>
                <w:rFonts w:eastAsia="Calibri"/>
                <w:b/>
                <w:bCs/>
              </w:rPr>
            </w:pPr>
            <w:r w:rsidRPr="00A02401">
              <w:rPr>
                <w:rFonts w:eastAsia="Calibri"/>
                <w:b/>
                <w:bCs/>
              </w:rPr>
              <w:t>SPRK</w:t>
            </w:r>
          </w:p>
          <w:p w14:paraId="3F967AD2" w14:textId="77777777" w:rsidR="00055D01" w:rsidRPr="00A02401" w:rsidRDefault="00055D01" w:rsidP="006C70E3">
            <w:pPr>
              <w:spacing w:after="120"/>
              <w:jc w:val="both"/>
              <w:rPr>
                <w:rFonts w:eastAsia="Calibri"/>
              </w:rPr>
            </w:pPr>
            <w:r w:rsidRPr="00A02401">
              <w:rPr>
                <w:rFonts w:eastAsia="Calibri"/>
              </w:rPr>
              <w:t>Regulatora ieskatā, Noteikumu projektā būtu jānosaka sašķidrinātās dabasgāzes sistēmas operatora pienākums veikt tikai tās dabasgāzes kvalitātes parametru atbilstības kontroli, kura tiek ievadīta dabasgāzes pārvades vai sadales sistēmās, nevis kontrolēt sašķidrinātās dabasgāzes iekārtā esošas dabasgāzes kvalitātes parametru atbilstību. Līdz ar to Noteikumu projekta 17.punktā paredzētā Noteikumu 95.</w:t>
            </w:r>
            <w:r w:rsidRPr="00A02401">
              <w:rPr>
                <w:rFonts w:eastAsia="Calibri"/>
                <w:vertAlign w:val="superscript"/>
              </w:rPr>
              <w:t>2</w:t>
            </w:r>
            <w:r w:rsidRPr="00A02401">
              <w:rPr>
                <w:rFonts w:eastAsia="Calibri"/>
              </w:rPr>
              <w:t>punkta pirmais teikums būtu izsakāms šādā redakcijā:</w:t>
            </w:r>
          </w:p>
          <w:p w14:paraId="08FBE903" w14:textId="79AAC402" w:rsidR="00055D01" w:rsidRPr="00A02401" w:rsidRDefault="00055D01" w:rsidP="006C70E3">
            <w:pPr>
              <w:spacing w:after="120"/>
              <w:jc w:val="both"/>
              <w:rPr>
                <w:rFonts w:ascii="Montserrat" w:hAnsi="Montserrat"/>
                <w:b/>
              </w:rPr>
            </w:pPr>
            <w:r w:rsidRPr="00A02401">
              <w:rPr>
                <w:rFonts w:eastAsia="Calibri"/>
              </w:rPr>
              <w:t>“95.</w:t>
            </w:r>
            <w:r w:rsidRPr="00A02401">
              <w:rPr>
                <w:rFonts w:eastAsia="Calibri"/>
                <w:vertAlign w:val="superscript"/>
              </w:rPr>
              <w:t>2</w:t>
            </w:r>
            <w:r w:rsidRPr="00A02401">
              <w:rPr>
                <w:rFonts w:eastAsia="Calibri"/>
              </w:rPr>
              <w:t xml:space="preserve"> Sašķidrinātās dabasgāzes sistēmas operatoram ir pienākums nodrošināt </w:t>
            </w:r>
            <w:bookmarkStart w:id="9" w:name="_Hlk53076242"/>
            <w:r w:rsidRPr="00A02401">
              <w:rPr>
                <w:rFonts w:eastAsia="Calibri"/>
              </w:rPr>
              <w:t xml:space="preserve"> no sašķidrinātās dabasgāzes iekārt</w:t>
            </w:r>
            <w:bookmarkEnd w:id="9"/>
            <w:r w:rsidRPr="00A02401">
              <w:rPr>
                <w:rFonts w:eastAsia="Calibri"/>
              </w:rPr>
              <w:t xml:space="preserve">as </w:t>
            </w:r>
            <w:r w:rsidRPr="00A02401">
              <w:rPr>
                <w:rFonts w:eastAsia="Calibri"/>
              </w:rPr>
              <w:lastRenderedPageBreak/>
              <w:t>piegādājamās dabasgāzes kvalitātes parametru atbilstības kontroli.”</w:t>
            </w:r>
          </w:p>
        </w:tc>
        <w:tc>
          <w:tcPr>
            <w:tcW w:w="3260" w:type="dxa"/>
            <w:gridSpan w:val="2"/>
            <w:tcBorders>
              <w:top w:val="single" w:sz="4" w:space="0" w:color="auto"/>
              <w:left w:val="single" w:sz="6" w:space="0" w:color="000000"/>
              <w:bottom w:val="single" w:sz="6" w:space="0" w:color="000000"/>
              <w:right w:val="single" w:sz="6" w:space="0" w:color="000000"/>
            </w:tcBorders>
          </w:tcPr>
          <w:p w14:paraId="72DAFAAD" w14:textId="77777777" w:rsidR="00055D01" w:rsidRPr="00A02401" w:rsidRDefault="00055D01" w:rsidP="006C70E3">
            <w:pPr>
              <w:pStyle w:val="naisc"/>
              <w:spacing w:before="60" w:after="60"/>
              <w:ind w:firstLine="5"/>
              <w:jc w:val="both"/>
              <w:rPr>
                <w:b/>
              </w:rPr>
            </w:pPr>
            <w:r w:rsidRPr="00A02401">
              <w:rPr>
                <w:b/>
              </w:rPr>
              <w:lastRenderedPageBreak/>
              <w:t>Ņemts vērā</w:t>
            </w:r>
          </w:p>
          <w:p w14:paraId="55CFC498" w14:textId="624AD965" w:rsidR="00055D01" w:rsidRPr="00A02401" w:rsidRDefault="00055D01" w:rsidP="006C70E3">
            <w:pPr>
              <w:pStyle w:val="NoSpacing"/>
              <w:ind w:firstLine="0"/>
              <w:rPr>
                <w:rFonts w:cstheme="minorHAnsi"/>
                <w:color w:val="000000"/>
                <w:sz w:val="24"/>
                <w:szCs w:val="24"/>
                <w:shd w:val="clear" w:color="auto" w:fill="FDFCFD"/>
              </w:rPr>
            </w:pPr>
            <w:r w:rsidRPr="00A02401">
              <w:rPr>
                <w:rFonts w:cstheme="minorHAnsi"/>
                <w:color w:val="000000"/>
                <w:sz w:val="24"/>
                <w:szCs w:val="24"/>
                <w:shd w:val="clear" w:color="auto" w:fill="FDFCFD"/>
              </w:rPr>
              <w:t xml:space="preserve">Punkts attiecīgi precizēts, kā arī papildināta </w:t>
            </w:r>
            <w:r w:rsidRPr="00A02401">
              <w:rPr>
                <w:rFonts w:cstheme="minorHAnsi"/>
                <w:color w:val="000000"/>
                <w:sz w:val="24"/>
                <w:szCs w:val="24"/>
              </w:rPr>
              <w:t>anotācija ar atbilstošu skaidrojumu</w:t>
            </w:r>
            <w:r w:rsidRPr="00A02401">
              <w:rPr>
                <w:rFonts w:cstheme="minorHAnsi"/>
                <w:color w:val="000000"/>
                <w:sz w:val="24"/>
                <w:szCs w:val="24"/>
                <w:shd w:val="clear" w:color="auto" w:fill="FDFCFD"/>
              </w:rPr>
              <w:t>. </w:t>
            </w:r>
          </w:p>
          <w:p w14:paraId="6C82D5A6" w14:textId="2C7CCC17" w:rsidR="00055D01" w:rsidRPr="00A02401" w:rsidRDefault="00055D01" w:rsidP="006C70E3">
            <w:pPr>
              <w:pStyle w:val="NoSpacing"/>
              <w:ind w:firstLine="0"/>
              <w:rPr>
                <w:rFonts w:cstheme="minorHAnsi"/>
                <w:color w:val="000000"/>
                <w:sz w:val="24"/>
                <w:szCs w:val="24"/>
                <w:shd w:val="clear" w:color="auto" w:fill="FDFCFD"/>
              </w:rPr>
            </w:pPr>
            <w:r w:rsidRPr="00A02401">
              <w:rPr>
                <w:rFonts w:cstheme="minorHAnsi"/>
                <w:color w:val="000000"/>
                <w:sz w:val="24"/>
                <w:szCs w:val="24"/>
                <w:shd w:val="clear" w:color="auto" w:fill="FDFCFD"/>
              </w:rPr>
              <w:t>Jautājums par sašķidrinātās dabasgāzes termināļa definīciju tiks skatīts kontekstā ar Enerģētikas likuma grozījumiem, jo Noteikumu projekts nevar sašaurināt likumā noteikto definīciju un deleģējumu.</w:t>
            </w:r>
          </w:p>
          <w:p w14:paraId="4AD538B7" w14:textId="369F04D4" w:rsidR="00055D01" w:rsidRPr="00A02401" w:rsidRDefault="00055D01" w:rsidP="006C70E3">
            <w:pPr>
              <w:pStyle w:val="NoSpacing"/>
              <w:ind w:firstLine="0"/>
              <w:rPr>
                <w:color w:val="000000"/>
                <w:sz w:val="24"/>
                <w:szCs w:val="24"/>
              </w:rPr>
            </w:pPr>
          </w:p>
          <w:p w14:paraId="4326C918" w14:textId="2F914398" w:rsidR="00055D01" w:rsidRPr="00A02401" w:rsidRDefault="00055D01" w:rsidP="006C70E3">
            <w:pPr>
              <w:pStyle w:val="naisc"/>
              <w:spacing w:before="60" w:after="60"/>
              <w:ind w:firstLine="5"/>
              <w:jc w:val="both"/>
              <w:rPr>
                <w:b/>
              </w:rPr>
            </w:pPr>
          </w:p>
        </w:tc>
        <w:tc>
          <w:tcPr>
            <w:tcW w:w="2951" w:type="dxa"/>
            <w:tcBorders>
              <w:top w:val="single" w:sz="4" w:space="0" w:color="auto"/>
              <w:left w:val="single" w:sz="4" w:space="0" w:color="auto"/>
              <w:bottom w:val="single" w:sz="4" w:space="0" w:color="auto"/>
            </w:tcBorders>
          </w:tcPr>
          <w:p w14:paraId="7CCB1943" w14:textId="4D4F2B83" w:rsidR="00055D01" w:rsidRPr="00A8700C" w:rsidRDefault="00055D01" w:rsidP="00A8700C">
            <w:pPr>
              <w:pStyle w:val="ListParagraph"/>
              <w:ind w:left="0"/>
              <w:contextualSpacing w:val="0"/>
              <w:jc w:val="both"/>
              <w:rPr>
                <w:color w:val="000000" w:themeColor="text1"/>
                <w:sz w:val="24"/>
                <w:szCs w:val="24"/>
              </w:rPr>
            </w:pPr>
            <w:r w:rsidRPr="00A02401">
              <w:rPr>
                <w:rFonts w:ascii="Times New Roman" w:hAnsi="Times New Roman"/>
                <w:sz w:val="24"/>
                <w:szCs w:val="24"/>
              </w:rPr>
              <w:t xml:space="preserve">17. Papildināt noteikums ar </w:t>
            </w:r>
            <w:r w:rsidRPr="00A02401">
              <w:rPr>
                <w:rFonts w:ascii="Times New Roman" w:hAnsi="Times New Roman"/>
                <w:color w:val="000000" w:themeColor="text1"/>
                <w:sz w:val="24"/>
                <w:szCs w:val="24"/>
                <w:lang w:eastAsia="lv-LV"/>
              </w:rPr>
              <w:t>95.</w:t>
            </w:r>
            <w:r w:rsidRPr="00A02401">
              <w:rPr>
                <w:rFonts w:ascii="Times New Roman" w:hAnsi="Times New Roman"/>
                <w:color w:val="000000" w:themeColor="text1"/>
                <w:sz w:val="24"/>
                <w:szCs w:val="24"/>
                <w:vertAlign w:val="superscript"/>
                <w:lang w:eastAsia="lv-LV"/>
              </w:rPr>
              <w:t>1</w:t>
            </w:r>
            <w:r w:rsidRPr="00A02401">
              <w:rPr>
                <w:rFonts w:ascii="Times New Roman" w:hAnsi="Times New Roman"/>
                <w:color w:val="000000" w:themeColor="text1"/>
                <w:sz w:val="24"/>
                <w:szCs w:val="24"/>
                <w:lang w:eastAsia="lv-LV"/>
              </w:rPr>
              <w:t xml:space="preserve"> </w:t>
            </w:r>
            <w:r w:rsidRPr="00A02401">
              <w:rPr>
                <w:rFonts w:ascii="Times New Roman" w:hAnsi="Times New Roman"/>
                <w:sz w:val="24"/>
                <w:szCs w:val="24"/>
              </w:rPr>
              <w:t>punktu</w:t>
            </w:r>
            <w:r w:rsidRPr="00A02401">
              <w:rPr>
                <w:sz w:val="24"/>
                <w:szCs w:val="24"/>
              </w:rPr>
              <w:t xml:space="preserve"> šādā redakcijā:</w:t>
            </w:r>
            <w:r w:rsidRPr="00A02401">
              <w:rPr>
                <w:color w:val="000000" w:themeColor="text1"/>
                <w:sz w:val="24"/>
                <w:szCs w:val="24"/>
              </w:rPr>
              <w:t xml:space="preserve"> </w:t>
            </w:r>
          </w:p>
          <w:p w14:paraId="72B6DFEE" w14:textId="3F20F68D" w:rsidR="00055D01" w:rsidRPr="00A02401" w:rsidRDefault="00055D01" w:rsidP="00A8700C">
            <w:pPr>
              <w:pStyle w:val="tv213"/>
              <w:spacing w:before="0" w:beforeAutospacing="0" w:after="0" w:afterAutospacing="0" w:line="293" w:lineRule="atLeast"/>
              <w:jc w:val="both"/>
              <w:rPr>
                <w:color w:val="000000" w:themeColor="text1"/>
              </w:rPr>
            </w:pPr>
            <w:r w:rsidRPr="00A02401">
              <w:rPr>
                <w:color w:val="000000" w:themeColor="text1"/>
              </w:rPr>
              <w:t>“95.</w:t>
            </w:r>
            <w:r w:rsidRPr="00A02401">
              <w:rPr>
                <w:color w:val="000000" w:themeColor="text1"/>
                <w:vertAlign w:val="superscript"/>
              </w:rPr>
              <w:t>1</w:t>
            </w:r>
            <w:r w:rsidRPr="00A02401">
              <w:rPr>
                <w:color w:val="000000" w:themeColor="text1"/>
              </w:rPr>
              <w:t> Sašķidrinātās dabasgāzes sistēmas operators nodrošina sašķidrinātās dabasgāzes pakalpojuma sniegšanu, veicot dabasgāzes šķidrināšanu vai sašķidrinātās dabasgāzes saņemšanu, izkraušanu, uzglabāšanu un pārvēršanu gāzveida stāvoklī turpmākai piegādei uz dabasgāzes pārvades sistēmu vai lietotājam atļautās maksimālās slodzes robežās.</w:t>
            </w:r>
          </w:p>
          <w:p w14:paraId="4698B3DE" w14:textId="77777777" w:rsidR="00055D01" w:rsidRPr="00A02401" w:rsidRDefault="00055D01" w:rsidP="006C70E3">
            <w:pPr>
              <w:spacing w:before="60" w:after="60"/>
              <w:ind w:firstLine="5"/>
              <w:jc w:val="both"/>
            </w:pPr>
          </w:p>
          <w:p w14:paraId="41FD6F9E" w14:textId="21369F62" w:rsidR="00055D01" w:rsidRPr="00A02401" w:rsidRDefault="00055D01" w:rsidP="006C70E3">
            <w:pPr>
              <w:spacing w:before="60" w:after="60"/>
              <w:ind w:firstLine="5"/>
              <w:jc w:val="both"/>
            </w:pPr>
            <w:r w:rsidRPr="00A02401">
              <w:rPr>
                <w:rFonts w:cstheme="minorHAnsi"/>
                <w:color w:val="000000"/>
                <w:shd w:val="clear" w:color="auto" w:fill="FDFCFD"/>
              </w:rPr>
              <w:t xml:space="preserve">Papildināta </w:t>
            </w:r>
            <w:r w:rsidRPr="00A02401">
              <w:rPr>
                <w:rFonts w:cstheme="minorHAnsi"/>
                <w:color w:val="000000"/>
              </w:rPr>
              <w:t>anotācija ar atbilstošu skaidrojumu</w:t>
            </w:r>
          </w:p>
        </w:tc>
      </w:tr>
      <w:tr w:rsidR="00203D4D" w:rsidRPr="00A02401" w14:paraId="3D1B260C" w14:textId="77777777" w:rsidTr="00A8700C">
        <w:tc>
          <w:tcPr>
            <w:tcW w:w="675" w:type="dxa"/>
            <w:tcBorders>
              <w:top w:val="single" w:sz="4" w:space="0" w:color="auto"/>
              <w:left w:val="single" w:sz="6" w:space="0" w:color="000000"/>
              <w:bottom w:val="single" w:sz="6" w:space="0" w:color="000000"/>
              <w:right w:val="single" w:sz="6" w:space="0" w:color="000000"/>
            </w:tcBorders>
            <w:shd w:val="clear" w:color="auto" w:fill="auto"/>
          </w:tcPr>
          <w:p w14:paraId="32BD95B6" w14:textId="2C97E407" w:rsidR="00203D4D" w:rsidRPr="00A02401" w:rsidRDefault="00F33A5B" w:rsidP="006C70E3">
            <w:pPr>
              <w:pStyle w:val="naisc"/>
              <w:spacing w:before="60" w:after="60"/>
              <w:jc w:val="both"/>
            </w:pPr>
            <w:r>
              <w:lastRenderedPageBreak/>
              <w:t>22.</w:t>
            </w:r>
          </w:p>
        </w:tc>
        <w:tc>
          <w:tcPr>
            <w:tcW w:w="3119" w:type="dxa"/>
            <w:gridSpan w:val="2"/>
            <w:tcBorders>
              <w:top w:val="single" w:sz="4" w:space="0" w:color="auto"/>
              <w:left w:val="single" w:sz="6" w:space="0" w:color="000000"/>
              <w:bottom w:val="single" w:sz="6" w:space="0" w:color="000000"/>
              <w:right w:val="single" w:sz="6" w:space="0" w:color="000000"/>
            </w:tcBorders>
            <w:shd w:val="clear" w:color="auto" w:fill="auto"/>
          </w:tcPr>
          <w:p w14:paraId="15A18DE3" w14:textId="77777777" w:rsidR="00203D4D" w:rsidRDefault="00203D4D" w:rsidP="006C70E3">
            <w:pPr>
              <w:jc w:val="both"/>
            </w:pPr>
            <w:r>
              <w:t>20. Izteikt 90.2. apakšpunktu šādā redakcijā:</w:t>
            </w:r>
          </w:p>
          <w:p w14:paraId="71CD04A5" w14:textId="77777777" w:rsidR="00203D4D" w:rsidRDefault="00203D4D" w:rsidP="006C70E3">
            <w:pPr>
              <w:jc w:val="both"/>
            </w:pPr>
          </w:p>
          <w:p w14:paraId="2E25350B" w14:textId="61381D35" w:rsidR="00203D4D" w:rsidRPr="00A02401" w:rsidRDefault="00203D4D" w:rsidP="006C70E3">
            <w:pPr>
              <w:jc w:val="both"/>
            </w:pPr>
            <w:r>
              <w:t>“90.2. laika periodu līdz 10 gadiem, pirms tika konstatēts šo noteikumu 87. punktā minētais pārkāpums, kura dēļ lietotājam ir radīta iespēja dabasgāzi patērēt bez maksas, ja komercuzskaites mēraparāts nav bijis uzstādīts vai komercuzskaites mēraparāta uzstādīšanas laiks ir ilgāks par 10 gadiem.”</w:t>
            </w:r>
          </w:p>
        </w:tc>
        <w:tc>
          <w:tcPr>
            <w:tcW w:w="4278" w:type="dxa"/>
            <w:tcBorders>
              <w:top w:val="single" w:sz="4" w:space="0" w:color="auto"/>
              <w:left w:val="single" w:sz="6" w:space="0" w:color="000000"/>
              <w:bottom w:val="single" w:sz="6" w:space="0" w:color="000000"/>
              <w:right w:val="single" w:sz="6" w:space="0" w:color="000000"/>
            </w:tcBorders>
            <w:shd w:val="clear" w:color="auto" w:fill="auto"/>
          </w:tcPr>
          <w:p w14:paraId="4DA4089B" w14:textId="77777777" w:rsidR="00203D4D" w:rsidRPr="002F4C03" w:rsidRDefault="00203D4D" w:rsidP="006C70E3">
            <w:pPr>
              <w:pStyle w:val="naisc"/>
              <w:spacing w:before="60" w:after="60"/>
              <w:jc w:val="both"/>
              <w:rPr>
                <w:b/>
                <w:bCs/>
                <w:iCs/>
              </w:rPr>
            </w:pPr>
            <w:r w:rsidRPr="002F4C03">
              <w:rPr>
                <w:b/>
                <w:bCs/>
                <w:iCs/>
              </w:rPr>
              <w:t>SPRK</w:t>
            </w:r>
          </w:p>
          <w:p w14:paraId="70D71FC9" w14:textId="08729E6E" w:rsidR="00203D4D" w:rsidRPr="002F4C03" w:rsidRDefault="00203D4D" w:rsidP="006C70E3">
            <w:pPr>
              <w:pStyle w:val="naisc"/>
              <w:spacing w:before="60" w:after="60"/>
              <w:jc w:val="both"/>
              <w:rPr>
                <w:iCs/>
              </w:rPr>
            </w:pPr>
            <w:r w:rsidRPr="002F4C03">
              <w:rPr>
                <w:iCs/>
              </w:rPr>
              <w:t xml:space="preserve">Saskaņā ar Noteikumu 90.punktu tiek noteikts periods, kura laikā ir bijis samazināts patērētās dabasgāzes uzskaitītais daudzums vai radīta iespēja dabasgāzi patērēt bez maksas, ja to nav iespējams precīzi noteikt. Regulators iebilst pret Noteikumu projekta 20.punktā  paredzētajiem grozījumiem Noteikumu 92.2.apakšpunktā, pagarinot minēto periodu no viena gada līdz 10 gadiem, un aicina neveikt grozījumus Noteikumu 90.punktā.  </w:t>
            </w:r>
          </w:p>
          <w:p w14:paraId="07EB4E12" w14:textId="77777777" w:rsidR="00203D4D" w:rsidRPr="002F4C03" w:rsidRDefault="00203D4D" w:rsidP="006C70E3">
            <w:pPr>
              <w:pStyle w:val="naisc"/>
              <w:spacing w:before="60" w:after="60"/>
              <w:jc w:val="both"/>
              <w:rPr>
                <w:iCs/>
              </w:rPr>
            </w:pPr>
            <w:r w:rsidRPr="002F4C03">
              <w:rPr>
                <w:iCs/>
              </w:rPr>
              <w:t xml:space="preserve">Ievērojot Enerģētikas likuma 15.panta sestajā daļā noteikto dabasgāzes sadales sistēmas operatora atbildību par dabasgāzes sadales sistēmas apkalpošanu un drošumu, dabasgāzes sadales sistēmas operatoram regulāri jāveic dabasgāzes sadales sistēmas, tajā skaitā operatoram piederošo dabasgāzes komercuzskaites mēraparātu un telemetrijas sistēmu komercuzskaites mēraparātu operatīvo datu automatizētai attālinātai nolasīšanai, tehniskā uzraudzība. Dabasgāzes sadales sistēmas tehniskā uzraudzība ir jāveic biežāk nekā reizi desmit gados, jo avārijas tajā var radīt būtisku kaitējumu cilvēku veselībai, dzīvībai, mantai un videi. Optimālais risinājums būtu, ja dabasgāzes </w:t>
            </w:r>
            <w:r w:rsidRPr="002F4C03">
              <w:rPr>
                <w:iCs/>
              </w:rPr>
              <w:lastRenderedPageBreak/>
              <w:t xml:space="preserve">sadales sistēmas tehniskā uzraudzība tiktu veikta reizi divos – trijos gados. Piemēram, atbilstoši Noteikumu 15.punktam gazificētajā objektā, kas ir rūpnieciska vai publiska būve, kā arī citos gazificētajos objektos, ja tajos ir uzstādīts dabasgāzes aparāts ar nominālo siltuma jaudu virs 130 kW vai dabasgāzes aparāti ar kopējo nominālo siltuma jaudu virs 130 kW, par gāzes saimniecību atbildīgā persona ne retāk kā reizi gadā pārbauda lietotāja dabasgāzes apgādes sistēmu. </w:t>
            </w:r>
          </w:p>
          <w:p w14:paraId="6AF04B68" w14:textId="77777777" w:rsidR="00203D4D" w:rsidRPr="002F4C03" w:rsidRDefault="00203D4D" w:rsidP="006C70E3">
            <w:pPr>
              <w:pStyle w:val="naisc"/>
              <w:spacing w:before="60" w:after="60"/>
              <w:jc w:val="both"/>
              <w:rPr>
                <w:iCs/>
              </w:rPr>
            </w:pPr>
            <w:r w:rsidRPr="002F4C03">
              <w:rPr>
                <w:iCs/>
              </w:rPr>
              <w:t>Noteikumu projektā paredzētās izmaiņas Noteikumu 90.punktā neveicina dabasgāzes sadales sistēmas pakalpojuma kvalitatīvu un efektīvu sniegšanu. Paredzot iespēju dabasgāzes sadales sistēmas operatoram piemērot garāku periodu samazināta patērētās dabasgāzes daudzuma noteikšanai, tiek mazināta sistēmas operatora motivācija tūlītējai šādu apstākļu identificēšanai un novēršanai, tostarp dabasgāzes sadales sistēmas viedizācijas attīstīšanai, nodrošinot iespējami lielāka skaita komercuzskaites mēraparātu rādījumu attālinātu nolasīšanu. Turklāt dabasgāzes sadales sistēmas operators saņems papildu maksu par dabasgāzi, kas bez maksas patērēta 10 gadu garumā, kaut arī šāda veida dabasgāzes zudumu izmaksas tiek iekļautas dabasgāzes sadales sistēmas pakalpojuma tarifos.</w:t>
            </w:r>
          </w:p>
          <w:p w14:paraId="02474121" w14:textId="6CCC9098" w:rsidR="002F4C03" w:rsidRPr="002F4C03" w:rsidRDefault="002F4C03" w:rsidP="006C70E3">
            <w:pPr>
              <w:pStyle w:val="naisc"/>
              <w:spacing w:before="60" w:after="60"/>
              <w:jc w:val="both"/>
              <w:rPr>
                <w:iCs/>
              </w:rPr>
            </w:pPr>
          </w:p>
          <w:p w14:paraId="7ED403DC" w14:textId="37F286A9" w:rsidR="002F4C03" w:rsidRPr="002F4C03" w:rsidRDefault="002F4C03" w:rsidP="006C70E3">
            <w:pPr>
              <w:pStyle w:val="naisc"/>
              <w:spacing w:before="60" w:after="60"/>
              <w:jc w:val="both"/>
              <w:rPr>
                <w:b/>
                <w:bCs/>
                <w:iCs/>
              </w:rPr>
            </w:pPr>
            <w:r w:rsidRPr="002F4C03">
              <w:rPr>
                <w:b/>
                <w:bCs/>
                <w:iCs/>
              </w:rPr>
              <w:t>PTAC</w:t>
            </w:r>
          </w:p>
          <w:p w14:paraId="029A4C49" w14:textId="3CE0A11E" w:rsidR="002F4C03" w:rsidRPr="00776513" w:rsidRDefault="002F4C03" w:rsidP="006C70E3">
            <w:pPr>
              <w:jc w:val="both"/>
              <w:rPr>
                <w:iCs/>
              </w:rPr>
            </w:pPr>
            <w:r>
              <w:rPr>
                <w:iCs/>
              </w:rPr>
              <w:t xml:space="preserve"> </w:t>
            </w:r>
            <w:r w:rsidRPr="00776513">
              <w:rPr>
                <w:iCs/>
              </w:rPr>
              <w:t xml:space="preserve">Noteikumu projekta </w:t>
            </w:r>
            <w:bookmarkStart w:id="10" w:name="_Hlk69386503"/>
            <w:r w:rsidRPr="00776513">
              <w:rPr>
                <w:iCs/>
              </w:rPr>
              <w:t xml:space="preserve">20.punkts paredz izteikt 90.2.apakšpunktu </w:t>
            </w:r>
            <w:bookmarkEnd w:id="10"/>
            <w:r w:rsidRPr="00776513">
              <w:rPr>
                <w:iCs/>
              </w:rPr>
              <w:t>šādā redakcijā:</w:t>
            </w:r>
            <w:r w:rsidRPr="002F4C03">
              <w:rPr>
                <w:iCs/>
              </w:rPr>
              <w:t xml:space="preserve"> “90.2</w:t>
            </w:r>
            <w:bookmarkStart w:id="11" w:name="_Hlk69386564"/>
            <w:r w:rsidRPr="002F4C03">
              <w:rPr>
                <w:iCs/>
              </w:rPr>
              <w:t>. laika periodu līdz 10 gadiem</w:t>
            </w:r>
            <w:bookmarkEnd w:id="11"/>
            <w:r w:rsidRPr="002F4C03">
              <w:rPr>
                <w:iCs/>
              </w:rPr>
              <w:t>, pirms tika konstatēts šo noteikumu 87. punktā minētais pārkāpums, kura dēļ lietotājam ir radīta iespēja dabasgāzi patērēt bez maksas, ja komercuzskaites mēraparāts nav bijis uzstādīts vai komercuzskaites mēraparāta uzstādīšanas laiks ir ilgāks par 10 gadiem”.</w:t>
            </w:r>
          </w:p>
          <w:p w14:paraId="746D2FF6" w14:textId="77777777" w:rsidR="002F4C03" w:rsidRPr="00776513" w:rsidRDefault="002F4C03" w:rsidP="00A8700C">
            <w:pPr>
              <w:jc w:val="both"/>
              <w:rPr>
                <w:iCs/>
              </w:rPr>
            </w:pPr>
            <w:r w:rsidRPr="00776513">
              <w:rPr>
                <w:iCs/>
              </w:rPr>
              <w:t>Noteikumu projekta sākotnējās ietekmes novērtējuma ziņojumā (anotācijā) attiecībā uz Noteikumu projekta 20.punktu norādīts, ka sadales sistēmas operators līdzīgu laika posmu, par kuru veicams 88.punktā paredzētais aprēķins, var noteikt šādi: [..] par pēdējiem 10 gadiem, ja lietotāja objektā dabasgāzes piegāde ir ierīkota patvaļīgi, atjaunota pēc tās pārtraukšanas vai citu iemeslu dēļ nav tikusi uzskaitīta ar komercuzskaites mēriekārtu (skat., 16.lpp.).</w:t>
            </w:r>
          </w:p>
          <w:p w14:paraId="1BD5DDFC" w14:textId="77777777" w:rsidR="002F4C03" w:rsidRPr="00776513" w:rsidRDefault="002F4C03" w:rsidP="00A8700C">
            <w:pPr>
              <w:jc w:val="both"/>
              <w:rPr>
                <w:iCs/>
              </w:rPr>
            </w:pPr>
            <w:r w:rsidRPr="00776513">
              <w:rPr>
                <w:iCs/>
              </w:rPr>
              <w:t xml:space="preserve">Atzīmējams, ka spēkā esošo Ministru kabineta 2017.gada 7.februāra noteikumu Nr.78 </w:t>
            </w:r>
            <w:r w:rsidRPr="002F4C03">
              <w:rPr>
                <w:iCs/>
              </w:rPr>
              <w:t>“Dabasgāzes tirdzniecības un lietošanas noteikumi”</w:t>
            </w:r>
            <w:r w:rsidRPr="00776513">
              <w:rPr>
                <w:iCs/>
              </w:rPr>
              <w:t xml:space="preserve"> 90.punkts patlaban paredz, ka: </w:t>
            </w:r>
            <w:r w:rsidRPr="002F4C03">
              <w:rPr>
                <w:iCs/>
              </w:rPr>
              <w:t xml:space="preserve">“Ja nav iespējams precīzi noteikt, no kura laika samazināts patērētās dabasgāzes uzskaitītais daudzums vai radīta iespēja dabasgāzi patērēt bez maksas, par perioda sākumu uzskata: 90.1. </w:t>
            </w:r>
            <w:r w:rsidRPr="002F4C03">
              <w:rPr>
                <w:iCs/>
              </w:rPr>
              <w:lastRenderedPageBreak/>
              <w:t>komercuzskaites mēraparāta uzstādīšanas laiku; 90.2. gadu, pirms tika konstatēts šo noteikumu 87.punktā minētais pārkāpums, kura dēļ lietotājam ir radīta iespēja dabasgāzi patērēt bez maksas, ja komercuzskaites mēraparāts nav bijis uzstādīts vai komercuzskaites mēraparāta uzstādīšanas laiks ir ilgāks par gadu”</w:t>
            </w:r>
            <w:r w:rsidRPr="00776513">
              <w:rPr>
                <w:iCs/>
              </w:rPr>
              <w:t>.</w:t>
            </w:r>
          </w:p>
          <w:p w14:paraId="76B1D4DA" w14:textId="2A45C24C" w:rsidR="002F4C03" w:rsidRPr="00776513" w:rsidRDefault="002F4C03" w:rsidP="00A8700C">
            <w:pPr>
              <w:jc w:val="both"/>
              <w:rPr>
                <w:iCs/>
              </w:rPr>
            </w:pPr>
            <w:r w:rsidRPr="00776513">
              <w:rPr>
                <w:iCs/>
              </w:rPr>
              <w:t xml:space="preserve">Tādējādi spēkā esošajā regulējumā iekļautais termiņš – 1 (viens) gads Noteikumu projektā ir grozīts un aizstāts ar ievērojami garāku termiņu – t.i., līdz 10 (desmit) gadiem. </w:t>
            </w:r>
          </w:p>
          <w:p w14:paraId="1F3F93E7" w14:textId="77777777" w:rsidR="002F4C03" w:rsidRPr="00776513" w:rsidRDefault="002F4C03" w:rsidP="00A8700C">
            <w:pPr>
              <w:jc w:val="both"/>
              <w:rPr>
                <w:iCs/>
              </w:rPr>
            </w:pPr>
            <w:r w:rsidRPr="00776513">
              <w:rPr>
                <w:iCs/>
              </w:rPr>
              <w:t xml:space="preserve">Noteikumu projekta 20.punkta (90.2.apakšpunkta) laika periods līdz 10 (desmit) gadiem tiek ņemts vērā, veicot aprēķinu, tostarp, pēc Noteikumu projekta 18.punktā (89.punktā) iekļautās  formulas (skat., formulas elementu </w:t>
            </w:r>
            <w:r w:rsidRPr="002F4C03">
              <w:rPr>
                <w:iCs/>
              </w:rPr>
              <w:t>UDG – komercuzskaites mēraparāta uzskaitītais dabasgāzes daudzums periodā, kurā noticis šo noteikumu 87. punktā minētais pārkāpums</w:t>
            </w:r>
            <w:r w:rsidRPr="00776513">
              <w:rPr>
                <w:iCs/>
              </w:rPr>
              <w:t xml:space="preserve">). </w:t>
            </w:r>
          </w:p>
          <w:p w14:paraId="6519BD30" w14:textId="77777777" w:rsidR="002F4C03" w:rsidRPr="002F4C03" w:rsidRDefault="002F4C03" w:rsidP="00A8700C">
            <w:pPr>
              <w:jc w:val="both"/>
              <w:rPr>
                <w:iCs/>
              </w:rPr>
            </w:pPr>
            <w:r w:rsidRPr="00776513">
              <w:rPr>
                <w:iCs/>
              </w:rPr>
              <w:t xml:space="preserve">Saistībā ar iepriekš minēto PTAC vērš uzmanību uz </w:t>
            </w:r>
            <w:bookmarkStart w:id="12" w:name="_Hlk69386850"/>
            <w:r w:rsidRPr="002F4C03">
              <w:rPr>
                <w:iCs/>
              </w:rPr>
              <w:t xml:space="preserve">Komerclikuma 406.pantā </w:t>
            </w:r>
            <w:bookmarkEnd w:id="12"/>
            <w:r w:rsidRPr="002F4C03">
              <w:rPr>
                <w:iCs/>
              </w:rPr>
              <w:t xml:space="preserve">noteikto, ka no komercdarījuma izrietošie prasījumi noilgst triju gadu laikā, ja likumā nav noteikts cits noilguma termiņš. Komerclikuma pārejas noteikumu 16.pants paredz, ja šā likuma D daļas spēkā stāšanās dienā Civillikumā vai citā likumā noteiktais noilguma termiņš nav notecējis, bet šā likuma D daļa nosaka īsāku </w:t>
            </w:r>
            <w:r w:rsidRPr="002F4C03">
              <w:rPr>
                <w:iCs/>
              </w:rPr>
              <w:lastRenderedPageBreak/>
              <w:t xml:space="preserve">noilguma termiņu, piemērojams šā likuma D daļā noteiktais noilguma termiņš, kurš skaitāms no 2010.gada 1.janvāra. Ja pēc šāda aprēķina noilguma termiņš iznāk garāks par līdzšinējo noilguma termiņu, noilguma termiņā izbeidzas tajā dienā, kad tas būtu notecējis saskaņā ar Civillikumu vai citu normatīvo aktu. </w:t>
            </w:r>
          </w:p>
          <w:p w14:paraId="277BC417" w14:textId="77777777" w:rsidR="002F4C03" w:rsidRPr="00776513" w:rsidRDefault="002F4C03" w:rsidP="00A8700C">
            <w:pPr>
              <w:jc w:val="both"/>
              <w:rPr>
                <w:iCs/>
              </w:rPr>
            </w:pPr>
            <w:r w:rsidRPr="002F4C03">
              <w:rPr>
                <w:iCs/>
              </w:rPr>
              <w:t xml:space="preserve">PTAC atzīmē, ka, lai arī Noteikumu projekta </w:t>
            </w:r>
            <w:r w:rsidRPr="00776513">
              <w:rPr>
                <w:iCs/>
              </w:rPr>
              <w:t>20.punkts (90.2.apakšpunkts) paredz</w:t>
            </w:r>
            <w:r w:rsidRPr="002F4C03">
              <w:rPr>
                <w:iCs/>
              </w:rPr>
              <w:t xml:space="preserve"> “laika periodu līdz 10 gadiem”</w:t>
            </w:r>
            <w:r w:rsidRPr="00776513">
              <w:rPr>
                <w:iCs/>
              </w:rPr>
              <w:t xml:space="preserve">, taču faktiski minētā norma pieļauj aprēķinam piemērot arī laika periodu, kas, piemēram, ir garāks par 3 (trīs) gadiem vai pat deviņu (9) un desmit (10) gadu periodu. PTAC norāda, ka tā ieskatā Noteikumu projekta 20.punkta (90.2.apakšpunkta) frāze – </w:t>
            </w:r>
            <w:r w:rsidRPr="002F4C03">
              <w:rPr>
                <w:iCs/>
              </w:rPr>
              <w:t xml:space="preserve">“laika periodu līdz 10 gadiem” </w:t>
            </w:r>
            <w:r w:rsidRPr="00776513">
              <w:rPr>
                <w:iCs/>
              </w:rPr>
              <w:t>– ir</w:t>
            </w:r>
            <w:r>
              <w:rPr>
                <w:iCs/>
              </w:rPr>
              <w:t>/var būt</w:t>
            </w:r>
            <w:r w:rsidRPr="00776513">
              <w:rPr>
                <w:iCs/>
              </w:rPr>
              <w:t xml:space="preserve"> pretrunā ar </w:t>
            </w:r>
            <w:r w:rsidRPr="002F4C03">
              <w:rPr>
                <w:iCs/>
              </w:rPr>
              <w:t>Komerclikuma</w:t>
            </w:r>
            <w:r w:rsidRPr="00776513">
              <w:rPr>
                <w:iCs/>
              </w:rPr>
              <w:t xml:space="preserve"> 406.pantā</w:t>
            </w:r>
            <w:r w:rsidRPr="002F4C03">
              <w:rPr>
                <w:iCs/>
              </w:rPr>
              <w:t xml:space="preserve"> </w:t>
            </w:r>
            <w:r w:rsidRPr="00776513">
              <w:rPr>
                <w:iCs/>
              </w:rPr>
              <w:t xml:space="preserve">noteikto saīsināto noilgumu, kā arī šajā frāzē iekļautais laika periods (līdz 10 (desmit) gadiem) nav vērtējams kā samērīgs un taisnīgs nosacījums pret patērētājiem (mājsaimniecības lietotājiem), jo pēc būtības pieļauj piemērot visos gadījumos tādu laika perioda garumu, kas ir tuvu maksimālajam un/vai maksimālo 10 (desmit) gadu periodu. PTAC uzsver, ka </w:t>
            </w:r>
            <w:r w:rsidRPr="002F4C03">
              <w:rPr>
                <w:iCs/>
              </w:rPr>
              <w:t xml:space="preserve">Noteikumu projekta </w:t>
            </w:r>
            <w:r w:rsidRPr="00776513">
              <w:rPr>
                <w:iCs/>
              </w:rPr>
              <w:t xml:space="preserve">20.punkts (90.2.apakšpunkts) ietekmē patērētāja (mājsaimniecības lietotāja) tiesiskās intereses, līdz ar to tam jāatbilst un jābūt saskaņotam arī ar citiem </w:t>
            </w:r>
            <w:r w:rsidRPr="00776513">
              <w:rPr>
                <w:iCs/>
              </w:rPr>
              <w:lastRenderedPageBreak/>
              <w:t xml:space="preserve">normatīvajiem aktiem, kas attiecas uz patērētāju tiesību aizsardzību. </w:t>
            </w:r>
          </w:p>
          <w:p w14:paraId="521E5E2D" w14:textId="77777777" w:rsidR="002F4C03" w:rsidRPr="002F4C03" w:rsidRDefault="002F4C03" w:rsidP="00A8700C">
            <w:pPr>
              <w:jc w:val="both"/>
              <w:rPr>
                <w:iCs/>
              </w:rPr>
            </w:pPr>
            <w:r w:rsidRPr="00776513">
              <w:rPr>
                <w:iCs/>
              </w:rPr>
              <w:t xml:space="preserve">Ņemot vērā iepriekš minēto, PTAC norāda, ka tā ieskatā </w:t>
            </w:r>
            <w:r w:rsidRPr="002F4C03">
              <w:rPr>
                <w:iCs/>
              </w:rPr>
              <w:t xml:space="preserve">Noteikumu projekta </w:t>
            </w:r>
            <w:r w:rsidRPr="00776513">
              <w:rPr>
                <w:iCs/>
              </w:rPr>
              <w:t>20.punkta (90.2.apakšpunkta) frāzi –</w:t>
            </w:r>
            <w:r w:rsidRPr="002F4C03">
              <w:rPr>
                <w:iCs/>
              </w:rPr>
              <w:t>“laika periodu līdz 10 gadiem”</w:t>
            </w:r>
            <w:r w:rsidRPr="00776513">
              <w:rPr>
                <w:iCs/>
              </w:rPr>
              <w:t xml:space="preserve"> – nepieciešams grozīt, ievērojot iepriekš paustos apsvērumus. </w:t>
            </w:r>
          </w:p>
          <w:p w14:paraId="5FD88DE2" w14:textId="77777777" w:rsidR="002F4C03" w:rsidRDefault="002F4C03" w:rsidP="006C70E3">
            <w:pPr>
              <w:pStyle w:val="naisc"/>
              <w:spacing w:before="60" w:after="60"/>
              <w:jc w:val="both"/>
              <w:rPr>
                <w:iCs/>
              </w:rPr>
            </w:pPr>
          </w:p>
          <w:p w14:paraId="56E6C891" w14:textId="77777777" w:rsidR="002F4C03" w:rsidRDefault="002F4C03" w:rsidP="006C70E3">
            <w:pPr>
              <w:pStyle w:val="naisc"/>
              <w:spacing w:before="60" w:after="60"/>
              <w:jc w:val="both"/>
              <w:rPr>
                <w:b/>
                <w:bCs/>
                <w:iCs/>
              </w:rPr>
            </w:pPr>
            <w:r>
              <w:rPr>
                <w:b/>
                <w:bCs/>
                <w:iCs/>
              </w:rPr>
              <w:t>TM</w:t>
            </w:r>
          </w:p>
          <w:p w14:paraId="18E06B46" w14:textId="6A8804B9" w:rsidR="002F4C03" w:rsidRDefault="002F4C03" w:rsidP="00A8700C">
            <w:pPr>
              <w:pStyle w:val="NoSpacing"/>
              <w:ind w:firstLine="0"/>
              <w:rPr>
                <w:sz w:val="22"/>
                <w:szCs w:val="22"/>
              </w:rPr>
            </w:pPr>
            <w:r>
              <w:rPr>
                <w:rFonts w:cstheme="minorHAnsi"/>
                <w:sz w:val="24"/>
                <w:szCs w:val="24"/>
              </w:rPr>
              <w:t xml:space="preserve">Projekta 20. punkts paredz izteikt Ministru kabineta 2017. gada 7. februāra noteikumu Nr. 78 </w:t>
            </w:r>
            <w:r w:rsidR="00A8700C">
              <w:rPr>
                <w:rFonts w:cstheme="minorHAnsi"/>
                <w:sz w:val="24"/>
                <w:szCs w:val="24"/>
              </w:rPr>
              <w:t>“</w:t>
            </w:r>
            <w:r>
              <w:rPr>
                <w:rFonts w:cstheme="minorHAnsi"/>
                <w:sz w:val="24"/>
                <w:szCs w:val="24"/>
              </w:rPr>
              <w:t>Dabasgāzes tirdzniecības un lietošanas noteikumi</w:t>
            </w:r>
            <w:r w:rsidR="00A8700C">
              <w:rPr>
                <w:rFonts w:cstheme="minorHAnsi"/>
                <w:sz w:val="24"/>
                <w:szCs w:val="24"/>
              </w:rPr>
              <w:t>”</w:t>
            </w:r>
            <w:r>
              <w:rPr>
                <w:rFonts w:cstheme="minorHAnsi"/>
                <w:sz w:val="24"/>
                <w:szCs w:val="24"/>
              </w:rPr>
              <w:t xml:space="preserve"> (turpmāk – noteikumi) 90.2. apakšpunktu jaunā redakcijā, paredzot prezumpciju par dabasgāzes prettiesisku lietošanu periodā līdz 10 gadiem, līdzšinējā viena gada vietā. Projekta sākotnējās </w:t>
            </w:r>
            <w:r>
              <w:rPr>
                <w:rFonts w:cstheme="minorHAnsi"/>
                <w:i/>
                <w:iCs/>
                <w:sz w:val="24"/>
                <w:szCs w:val="24"/>
              </w:rPr>
              <w:t>(ex-ante)</w:t>
            </w:r>
            <w:r>
              <w:rPr>
                <w:rFonts w:cstheme="minorHAnsi"/>
                <w:sz w:val="24"/>
                <w:szCs w:val="24"/>
              </w:rPr>
              <w:t xml:space="preserve"> ietekmes novērtējuma ziņojumā (turpmāk – anotācija) attiecībā uz konkrēto grozījumu ir norādīts, ka sadales sistēmas operators periodu, par kuru veicams pārrēķins (konstatēta pārkāpuma gadījumā), varēs noteikt par pēdējiem 10 gadiem, ja lietotāja objektā dabasgāzes piegāde ir ierīkota patvaļīgi, atjaunota pēc tās pārtraukšanas vai citu iemeslu dēļ nav tikusi uzskaitīta ar komercuzskaites mēriekārtu. Citas informācijas, paredzētā modeļa apraksts vai pamatojums anotācijā nav iekļauts. </w:t>
            </w:r>
          </w:p>
          <w:p w14:paraId="74801380" w14:textId="77777777" w:rsidR="002F4C03" w:rsidRDefault="002F4C03" w:rsidP="00A8700C">
            <w:pPr>
              <w:pStyle w:val="NoSpacing"/>
              <w:ind w:firstLine="0"/>
            </w:pPr>
            <w:r>
              <w:rPr>
                <w:rFonts w:cstheme="minorHAnsi"/>
                <w:sz w:val="24"/>
                <w:szCs w:val="24"/>
              </w:rPr>
              <w:t xml:space="preserve">Vēršam uzmanību uz to, ka noteikumu 90.2. apakšpunkts konstituē prezumpciju </w:t>
            </w:r>
            <w:r>
              <w:rPr>
                <w:rFonts w:cstheme="minorHAnsi"/>
                <w:sz w:val="24"/>
                <w:szCs w:val="24"/>
              </w:rPr>
              <w:lastRenderedPageBreak/>
              <w:t>par pārkāpuma perioda sākumu gadījumos, kuros nav iespējams precīzi to noteikt. Piedāvātā redakcija šādos gadījumos paredzētu prezumēt, ka pārkāpums ir noticis 10 gadus. Attiecīgi arī par šādu periodu tiktu veikts pārrēķins, nodibinot saistības personai, kas prettiesiski patērē dabasgāzi. Vienlaikus nav skaidrs šādas prezumpcijas pamats. Turklāt jāuzsver, ka esošā skaidrojuma ietvaros prezumpciju par 10 gadiem būs iespējams piemērot, piemēram, gadījumos, kur pēc dabasgāzes piegādes slēgšanas, tā prettiesiski ir atjaunota, pat ja slēgšana ir notikusi mazāk kā pirms 10 gadiem. </w:t>
            </w:r>
          </w:p>
          <w:p w14:paraId="707902BE" w14:textId="77777777" w:rsidR="002F4C03" w:rsidRDefault="002F4C03" w:rsidP="00A8700C">
            <w:pPr>
              <w:pStyle w:val="NoSpacing"/>
              <w:ind w:firstLine="0"/>
            </w:pPr>
            <w:r>
              <w:rPr>
                <w:rFonts w:cstheme="minorHAnsi"/>
                <w:sz w:val="24"/>
                <w:szCs w:val="24"/>
              </w:rPr>
              <w:t xml:space="preserve">Var piekrist līdzšinējās diskusijās izteiktajiem argumentiem, ka sistēmai ir jānodrošina efektīva tiesību aizsardzība un sistēmai nevajadzētu veidot situācijas, kurās būtībā zagt dabasgāzi ir izdevīgāk nekā to patērēt tiesiskā ceļā. Esošais modelis, kurā atskaites periods ir viens gads, var veidot šādas situācijas, piemēram, ja sadales sistēmas pārbaudes tiek veiktas retāk kā reizi gadā, vai kādu apstākļu dēļ tiek novilcināta to veikšana. Vienlaikus, Tieslietu ministrijas ieskatā, risinājumiem būtu jābalstās objektīvos apsvērumos, nevis patvaļīgi nosakot atskaites punktus, kuriem nav sasaistes ar praksē notiekošajiem procesiem. T.i., ja normatīvajā aktā tiek paredzēta prezumpcija, ir jābūt skaidram </w:t>
            </w:r>
            <w:r>
              <w:rPr>
                <w:rFonts w:cstheme="minorHAnsi"/>
                <w:sz w:val="24"/>
                <w:szCs w:val="24"/>
              </w:rPr>
              <w:lastRenderedPageBreak/>
              <w:t>pamatojumam, uz kā šāda prezumpcija balstās. Minētais savukārt izriet no tā, kā tiek organizēta visa dabasgāzes apgādes sistēmas darbība. Piemēram, kādos periodos ir paredzēts veikt sistēmas pārbaudes. Ja tās ir jāveic, piemēram, reizi piecos gados, tad atskaites punkts nevarētu būt noteikts pirms brīža, kad bija jāveic iepriekšējā pārbaude un jākonstatē pārkāpums. Savukārt jautājums par uzraudzības regularitāti ir risināms, meklējot balansu starp efektīvu sistēmas uzraudzību un izmaksām (kas tiek iekļautas tarifā), lai to nodrošinātu. Ja šāds balanss netiek meklēts, un regulējums vienkārši paredz pārrēķinus veikt par 10 gadiem, tad loģiski, ka operators nebūs ieinteresēts jebkādu darbību veikšanā biežāk kā reizi 10 gados. Savukārt sistēma, kas ir organizēta vienas puses ērtībai ar ievērojama apmēra riskiem otrai pusei, galu galā nespēj efektīvi strādāt un nodrošināt iesaistīto personu tiesību līdzsvaru. </w:t>
            </w:r>
          </w:p>
          <w:p w14:paraId="6D6B2CEE" w14:textId="4A0703E1" w:rsidR="002F4C03" w:rsidRDefault="002F4C03" w:rsidP="00A8700C">
            <w:pPr>
              <w:pStyle w:val="NoSpacing"/>
              <w:ind w:firstLine="0"/>
              <w:rPr>
                <w:rFonts w:cstheme="minorHAnsi"/>
                <w:sz w:val="24"/>
                <w:szCs w:val="24"/>
              </w:rPr>
            </w:pPr>
            <w:r>
              <w:rPr>
                <w:rFonts w:cstheme="minorHAnsi"/>
                <w:sz w:val="24"/>
                <w:szCs w:val="24"/>
              </w:rPr>
              <w:t xml:space="preserve">Ievērojot minēto, </w:t>
            </w:r>
            <w:r>
              <w:rPr>
                <w:rFonts w:cstheme="minorHAnsi"/>
                <w:sz w:val="24"/>
                <w:szCs w:val="24"/>
                <w:u w:val="single"/>
              </w:rPr>
              <w:t xml:space="preserve">ja Ekonomikas ministrija vēlas šajā projektā virzīt izmaiņas attiecībā uz prezumpciju par pārkāpuma sākuma brīdi, lūdzam izstrādāt regulējumu, balstoties objektīvos apsvērumos par to, kā strādā sistēma, kā un kad ir jāveic pārbaudes, kā arī izvērtējot visu iesaistīto personu tiesības un pienākumus. T.i., kāda regulējuma sistēma radītu zināmu </w:t>
            </w:r>
            <w:r>
              <w:rPr>
                <w:rFonts w:cstheme="minorHAnsi"/>
                <w:sz w:val="24"/>
                <w:szCs w:val="24"/>
                <w:u w:val="single"/>
              </w:rPr>
              <w:lastRenderedPageBreak/>
              <w:t>līdzsvaru starp iesaistīto personu tiesībām, pienākumiem un atbildību. Tad, balstoties objektīvos apsvērumos par sistēmas darbību un periodiem, kuros dažādas darbības tiek veiktas, būtu iespējams noteikt periodus, par kuriem pastāv atbildība pārkāpuma gadījumā.</w:t>
            </w:r>
            <w:r>
              <w:rPr>
                <w:rFonts w:cstheme="minorHAnsi"/>
                <w:sz w:val="24"/>
                <w:szCs w:val="24"/>
              </w:rPr>
              <w:t> </w:t>
            </w:r>
          </w:p>
          <w:p w14:paraId="0A2CBE3C" w14:textId="718AC20F" w:rsidR="006C70E3" w:rsidRDefault="006C70E3" w:rsidP="006C70E3">
            <w:pPr>
              <w:pStyle w:val="NoSpacing"/>
              <w:ind w:firstLine="0"/>
              <w:rPr>
                <w:rFonts w:cstheme="minorHAnsi"/>
                <w:sz w:val="24"/>
                <w:szCs w:val="24"/>
              </w:rPr>
            </w:pPr>
          </w:p>
          <w:p w14:paraId="7343B77A" w14:textId="780F5EE6" w:rsidR="006C70E3" w:rsidRDefault="006C70E3" w:rsidP="006C70E3">
            <w:pPr>
              <w:pStyle w:val="NoSpacing"/>
              <w:ind w:firstLine="0"/>
              <w:rPr>
                <w:rFonts w:cstheme="minorHAnsi"/>
                <w:b/>
                <w:bCs/>
                <w:sz w:val="24"/>
                <w:szCs w:val="24"/>
              </w:rPr>
            </w:pPr>
            <w:r>
              <w:rPr>
                <w:rFonts w:cstheme="minorHAnsi"/>
                <w:b/>
                <w:bCs/>
                <w:sz w:val="24"/>
                <w:szCs w:val="24"/>
              </w:rPr>
              <w:t>AS Gaso</w:t>
            </w:r>
          </w:p>
          <w:p w14:paraId="095CC478" w14:textId="77777777" w:rsidR="006C70E3" w:rsidRPr="00A8700C" w:rsidRDefault="006C70E3" w:rsidP="00A8700C">
            <w:pPr>
              <w:pStyle w:val="NoSpacing"/>
              <w:ind w:firstLine="0"/>
              <w:rPr>
                <w:sz w:val="24"/>
                <w:szCs w:val="24"/>
              </w:rPr>
            </w:pPr>
            <w:r w:rsidRPr="00A8700C">
              <w:rPr>
                <w:sz w:val="24"/>
                <w:szCs w:val="24"/>
              </w:rPr>
              <w:t>Ņemot vērā Satversmes tiesas spriedumā paustās atziņas, Gaso nevar piekrist Noteikumu 90.punkta atstāšanai bez izmaiņām. Noteikumu 90.punkts pašreizējā redakcijā ierobežo līdz vienam gadam laika periodu, kurā var būt identificēts dabasgāzes prettiesikās lietošanas fakts. Pie nosacījuma, ka prettiesiki patērētā dabasgāze tiek aprēķināta pēc principa “analogā situācijā līdzīgā laikposmā” pārkāpuma identificēšanas perioda ierobežošana līdz vienam gadam nenoliedzami būs kvalificējams, kā civiltiesisko attiecību regulējuma ekvivalences pamatprincipa pārkāpums. Vēršam uzmanību uz to, ka igadējs visu gazificēto objektu apmeklējums nav ekonomiski samērīgs un fiziski nav izpildams. Šis apstāklis radīs situāciju, kad dabasgāzes zagšana (neuzskaitītas dabasgāzes lietošana) kļūs finansiāli izdevīgāka par dabasgāzes legālo lietošanu.</w:t>
            </w:r>
          </w:p>
          <w:p w14:paraId="46E9E910" w14:textId="77777777" w:rsidR="006C70E3" w:rsidRPr="00A8700C" w:rsidRDefault="006C70E3" w:rsidP="00A8700C">
            <w:pPr>
              <w:pStyle w:val="NoSpacing"/>
              <w:ind w:firstLine="0"/>
              <w:rPr>
                <w:sz w:val="24"/>
                <w:szCs w:val="24"/>
              </w:rPr>
            </w:pPr>
            <w:r w:rsidRPr="00A8700C">
              <w:rPr>
                <w:sz w:val="24"/>
                <w:szCs w:val="24"/>
              </w:rPr>
              <w:t xml:space="preserve">Papildus norādam, ka atbilstoši </w:t>
            </w:r>
            <w:r w:rsidRPr="00A8700C">
              <w:rPr>
                <w:sz w:val="24"/>
                <w:szCs w:val="24"/>
              </w:rPr>
              <w:lastRenderedPageBreak/>
              <w:t>Civilprocesa likuma 10.pantam civilprocesa tiek ievērots sacīkšu princips. Tas nozīmē, ka precīzs laiks (datums), no kura dabasgāze tika patērēta prettiesiski, nevar būt noteikts ar normatīvo regulējumu, procesa dalībniekam tas ir japierāda, piestādot attiecīgus pierādījumus.</w:t>
            </w:r>
          </w:p>
          <w:p w14:paraId="169EF0DE" w14:textId="77777777" w:rsidR="006C70E3" w:rsidRPr="00A8700C" w:rsidRDefault="006C70E3" w:rsidP="00A8700C">
            <w:pPr>
              <w:pStyle w:val="NoSpacing"/>
              <w:ind w:firstLine="0"/>
              <w:rPr>
                <w:sz w:val="24"/>
                <w:szCs w:val="24"/>
              </w:rPr>
            </w:pPr>
            <w:r w:rsidRPr="00A8700C">
              <w:rPr>
                <w:sz w:val="24"/>
                <w:szCs w:val="24"/>
              </w:rPr>
              <w:t>Ievērojot minēto Gaso ierosina svītrot Noteikumu 90.punktu vai izteikt to šādā redakcijā:</w:t>
            </w:r>
          </w:p>
          <w:p w14:paraId="6A8B3742" w14:textId="77777777" w:rsidR="006C70E3" w:rsidRPr="00A8700C" w:rsidRDefault="006C70E3" w:rsidP="006C70E3">
            <w:pPr>
              <w:pStyle w:val="NoSpacing"/>
              <w:rPr>
                <w:sz w:val="24"/>
                <w:szCs w:val="24"/>
              </w:rPr>
            </w:pPr>
          </w:p>
          <w:p w14:paraId="6470BD3D" w14:textId="7F2A2251" w:rsidR="002F4C03" w:rsidRPr="00A8700C" w:rsidRDefault="006C70E3" w:rsidP="00A8700C">
            <w:pPr>
              <w:pStyle w:val="NoSpacing"/>
              <w:ind w:firstLine="0"/>
              <w:rPr>
                <w:sz w:val="24"/>
                <w:szCs w:val="24"/>
              </w:rPr>
            </w:pPr>
            <w:r w:rsidRPr="00A8700C">
              <w:rPr>
                <w:sz w:val="24"/>
                <w:szCs w:val="24"/>
              </w:rPr>
              <w:t>“90. Konstatētais laiks kurā samazināts patērētās dabasgāzes uzskaitītais daudzums vai radīta iespēja dabasgāzi patērēt bez maksas, nevar būt ilgāks par Civillikumā noteikto saistību tiesību vispārējā noilguma laiku.”.</w:t>
            </w:r>
          </w:p>
        </w:tc>
        <w:tc>
          <w:tcPr>
            <w:tcW w:w="3260" w:type="dxa"/>
            <w:gridSpan w:val="2"/>
            <w:tcBorders>
              <w:top w:val="single" w:sz="4" w:space="0" w:color="auto"/>
              <w:left w:val="single" w:sz="6" w:space="0" w:color="000000"/>
              <w:bottom w:val="single" w:sz="6" w:space="0" w:color="000000"/>
              <w:right w:val="single" w:sz="6" w:space="0" w:color="000000"/>
            </w:tcBorders>
            <w:shd w:val="clear" w:color="auto" w:fill="auto"/>
          </w:tcPr>
          <w:p w14:paraId="4E7702D1" w14:textId="3ABB83F8" w:rsidR="00203D4D" w:rsidRDefault="00203D4D" w:rsidP="006C70E3">
            <w:pPr>
              <w:pStyle w:val="naisc"/>
              <w:spacing w:before="60" w:after="60"/>
              <w:ind w:firstLine="5"/>
              <w:jc w:val="both"/>
              <w:rPr>
                <w:b/>
              </w:rPr>
            </w:pPr>
            <w:r>
              <w:rPr>
                <w:b/>
              </w:rPr>
              <w:lastRenderedPageBreak/>
              <w:t>Ņemts vērā.</w:t>
            </w:r>
          </w:p>
          <w:p w14:paraId="46C28B93" w14:textId="2564C5A4" w:rsidR="00203D4D" w:rsidRDefault="00203D4D" w:rsidP="006C70E3">
            <w:pPr>
              <w:pStyle w:val="naisc"/>
              <w:spacing w:before="60" w:after="60"/>
              <w:ind w:firstLine="5"/>
              <w:jc w:val="both"/>
              <w:rPr>
                <w:bCs/>
              </w:rPr>
            </w:pPr>
            <w:r>
              <w:rPr>
                <w:bCs/>
              </w:rPr>
              <w:t>Ņemto vērā SPRK, TM, PTAC iebildumus punkts svītrots.</w:t>
            </w:r>
          </w:p>
          <w:p w14:paraId="25FED8BB" w14:textId="65540F04" w:rsidR="00203D4D" w:rsidRDefault="00203D4D" w:rsidP="006C70E3">
            <w:pPr>
              <w:pStyle w:val="naisc"/>
              <w:spacing w:before="60" w:after="60"/>
              <w:ind w:firstLine="5"/>
              <w:jc w:val="both"/>
              <w:rPr>
                <w:bCs/>
              </w:rPr>
            </w:pPr>
            <w:r>
              <w:rPr>
                <w:bCs/>
              </w:rPr>
              <w:t>Jautājums būtu skatāms kontekstā ar Civillikuma</w:t>
            </w:r>
            <w:r w:rsidR="002F4C03">
              <w:rPr>
                <w:bCs/>
              </w:rPr>
              <w:t xml:space="preserve"> vai cita likuma (piemērām, </w:t>
            </w:r>
            <w:r w:rsidR="002F4C03" w:rsidRPr="002F4C03">
              <w:rPr>
                <w:iCs/>
              </w:rPr>
              <w:t>Komerclikuma 406.pantā noteikto, ka no komercdarījuma izrietošie prasījumi noilgst triju gadu laikā, ja likumā nav noteikts cits noilguma termiņš</w:t>
            </w:r>
            <w:r w:rsidR="002F4C03">
              <w:rPr>
                <w:iCs/>
              </w:rPr>
              <w:t>) noilguma termiņu, kā arī ar mēraparātu pārbaužu regularītāti.</w:t>
            </w:r>
            <w:r>
              <w:rPr>
                <w:bCs/>
              </w:rPr>
              <w:t xml:space="preserve"> </w:t>
            </w:r>
          </w:p>
          <w:p w14:paraId="64D10622" w14:textId="05DA7C76" w:rsidR="002F4C03" w:rsidRPr="00203D4D" w:rsidRDefault="002F4C03" w:rsidP="006C70E3">
            <w:pPr>
              <w:pStyle w:val="naisc"/>
              <w:spacing w:before="60" w:after="60"/>
              <w:ind w:firstLine="5"/>
              <w:jc w:val="both"/>
              <w:rPr>
                <w:bCs/>
              </w:rPr>
            </w:pPr>
            <w:r>
              <w:rPr>
                <w:bCs/>
              </w:rPr>
              <w:t xml:space="preserve">Līdz ar to jautājums būtu skatāms kontekstā ar </w:t>
            </w:r>
            <w:r w:rsidRPr="002F4C03">
              <w:rPr>
                <w:iCs/>
              </w:rPr>
              <w:t>Enerģētikas likuma 15.panta sestajā daļā noteikto</w:t>
            </w:r>
            <w:r>
              <w:rPr>
                <w:iCs/>
              </w:rPr>
              <w:t>. Ekonomikas ministrija skaidro, ka pārbaužu un attiecīgi noilguma jautājums tiks risināts pēc grozījumu ietveršanas Enerģētikas likumā.</w:t>
            </w:r>
          </w:p>
          <w:p w14:paraId="01BB5CC3" w14:textId="77777777" w:rsidR="00203D4D" w:rsidRDefault="00203D4D" w:rsidP="006C70E3">
            <w:pPr>
              <w:pStyle w:val="naisc"/>
              <w:spacing w:before="60" w:after="60"/>
              <w:ind w:firstLine="5"/>
              <w:jc w:val="both"/>
              <w:rPr>
                <w:b/>
              </w:rPr>
            </w:pPr>
          </w:p>
          <w:p w14:paraId="5418A99F" w14:textId="46B3FB45" w:rsidR="00203D4D" w:rsidRPr="00203D4D" w:rsidRDefault="00203D4D" w:rsidP="006C70E3">
            <w:pPr>
              <w:pStyle w:val="naisc"/>
              <w:spacing w:before="60" w:after="60"/>
              <w:ind w:firstLine="5"/>
              <w:jc w:val="both"/>
              <w:rPr>
                <w:b/>
              </w:rPr>
            </w:pPr>
          </w:p>
        </w:tc>
        <w:tc>
          <w:tcPr>
            <w:tcW w:w="2951" w:type="dxa"/>
            <w:tcBorders>
              <w:top w:val="single" w:sz="4" w:space="0" w:color="auto"/>
              <w:left w:val="single" w:sz="4" w:space="0" w:color="auto"/>
              <w:bottom w:val="single" w:sz="4" w:space="0" w:color="auto"/>
            </w:tcBorders>
            <w:shd w:val="clear" w:color="auto" w:fill="auto"/>
          </w:tcPr>
          <w:p w14:paraId="51301825" w14:textId="254DF4F8" w:rsidR="00203D4D" w:rsidRPr="00A02401" w:rsidRDefault="00203D4D" w:rsidP="006C70E3">
            <w:pPr>
              <w:spacing w:before="60" w:after="60"/>
              <w:ind w:firstLine="5"/>
              <w:jc w:val="both"/>
            </w:pPr>
            <w:r>
              <w:t>Punkts svītrots.</w:t>
            </w:r>
          </w:p>
        </w:tc>
      </w:tr>
      <w:tr w:rsidR="00055D01" w:rsidRPr="00A02401" w14:paraId="4006B859" w14:textId="77777777" w:rsidTr="007D72ED">
        <w:tc>
          <w:tcPr>
            <w:tcW w:w="675" w:type="dxa"/>
            <w:tcBorders>
              <w:top w:val="single" w:sz="4" w:space="0" w:color="auto"/>
              <w:left w:val="single" w:sz="6" w:space="0" w:color="000000"/>
              <w:bottom w:val="single" w:sz="6" w:space="0" w:color="000000"/>
              <w:right w:val="single" w:sz="6" w:space="0" w:color="000000"/>
            </w:tcBorders>
          </w:tcPr>
          <w:p w14:paraId="184366A3" w14:textId="20533F7E" w:rsidR="00055D01" w:rsidRPr="00A02401" w:rsidRDefault="00055D01" w:rsidP="006C70E3">
            <w:pPr>
              <w:pStyle w:val="naisc"/>
              <w:spacing w:before="60" w:after="60"/>
              <w:jc w:val="both"/>
            </w:pPr>
            <w:r w:rsidRPr="00A02401">
              <w:lastRenderedPageBreak/>
              <w:t>2</w:t>
            </w:r>
            <w:r>
              <w:t>2</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2348E57D" w14:textId="3C6FCE23" w:rsidR="00055D01" w:rsidRPr="00A02401" w:rsidRDefault="00055D01" w:rsidP="006C70E3">
            <w:pPr>
              <w:jc w:val="both"/>
            </w:pPr>
            <w:r w:rsidRPr="00A02401">
              <w:t>5. […]</w:t>
            </w:r>
          </w:p>
          <w:p w14:paraId="6CC526D2" w14:textId="08A58C0A" w:rsidR="00055D01" w:rsidRPr="00A02401" w:rsidRDefault="00055D01" w:rsidP="00A8700C">
            <w:pPr>
              <w:spacing w:line="293" w:lineRule="atLeast"/>
              <w:rPr>
                <w:color w:val="000000" w:themeColor="text1"/>
              </w:rPr>
            </w:pPr>
            <w:r w:rsidRPr="00A02401">
              <w:rPr>
                <w:color w:val="000000" w:themeColor="text1"/>
              </w:rPr>
              <w:t>“95.</w:t>
            </w:r>
            <w:r w:rsidRPr="00A02401">
              <w:rPr>
                <w:color w:val="000000" w:themeColor="text1"/>
                <w:vertAlign w:val="superscript"/>
              </w:rPr>
              <w:t>2</w:t>
            </w:r>
            <w:r w:rsidRPr="00A02401">
              <w:rPr>
                <w:color w:val="000000" w:themeColor="text1"/>
              </w:rPr>
              <w:t> Sašķidrinātās dabasgāzes sistēmas operatoram nav pienākuma nodrošināt sašķidrinātās dabasgāzes pakalpojumu sašķidrinātās dabasgāzes sistēmas lietotājam, ja sašķidrinātās dabasgāzes sistēmas lietotājs neievēro sašķidrinātās dabasgāzes pakalpojuma līguma nosacījumus;”</w:t>
            </w:r>
          </w:p>
        </w:tc>
        <w:tc>
          <w:tcPr>
            <w:tcW w:w="4278" w:type="dxa"/>
            <w:tcBorders>
              <w:top w:val="single" w:sz="4" w:space="0" w:color="auto"/>
              <w:left w:val="single" w:sz="6" w:space="0" w:color="000000"/>
              <w:bottom w:val="single" w:sz="6" w:space="0" w:color="000000"/>
              <w:right w:val="single" w:sz="6" w:space="0" w:color="000000"/>
            </w:tcBorders>
          </w:tcPr>
          <w:p w14:paraId="3ECA1423" w14:textId="0E7379F6" w:rsidR="00055D01" w:rsidRPr="00A02401" w:rsidRDefault="00055D01" w:rsidP="006C70E3">
            <w:pPr>
              <w:pStyle w:val="naisc"/>
              <w:spacing w:before="60" w:after="60"/>
              <w:jc w:val="both"/>
              <w:rPr>
                <w:b/>
                <w:bCs/>
                <w:shd w:val="clear" w:color="auto" w:fill="FDFCFD"/>
              </w:rPr>
            </w:pPr>
            <w:r w:rsidRPr="00A02401">
              <w:rPr>
                <w:b/>
                <w:bCs/>
                <w:shd w:val="clear" w:color="auto" w:fill="FDFCFD"/>
              </w:rPr>
              <w:t>TM</w:t>
            </w:r>
          </w:p>
          <w:p w14:paraId="626F3B8D" w14:textId="496BC786" w:rsidR="00055D01" w:rsidRPr="00A02401" w:rsidRDefault="00055D01" w:rsidP="006C70E3">
            <w:pPr>
              <w:pStyle w:val="naisc"/>
              <w:spacing w:before="60" w:after="60"/>
              <w:jc w:val="both"/>
              <w:rPr>
                <w:b/>
                <w:bCs/>
              </w:rPr>
            </w:pPr>
            <w:r w:rsidRPr="00A02401">
              <w:rPr>
                <w:shd w:val="clear" w:color="auto" w:fill="FDFCFD"/>
              </w:rPr>
              <w:t>P</w:t>
            </w:r>
            <w:r w:rsidRPr="00A02401">
              <w:t>rojekta 5. punkts cita starpā paredz papildināt noteikumus ar 95.</w:t>
            </w:r>
            <w:r w:rsidRPr="00A02401">
              <w:rPr>
                <w:vertAlign w:val="superscript"/>
              </w:rPr>
              <w:t>2</w:t>
            </w:r>
            <w:r w:rsidRPr="00A02401">
              <w:t> punktu, kas noteic, ka sašķidrinātās dabasgāzes sistēmas operatoram nav pienākuma nodrošināt sašķidrinātās dabasgāzes pakalpojumu sašķidrinātās dabasgāzes sistēmas lietotājam, ja sašķidrinātās dabasgāzes sistēmas lietotājs neievēro sašķidrinātās dabasgāzes pakalpojuma līguma nosacījumus. Anotācijā nav ietverta nekāda skaidrojoša informācija par minēto tiesību normu. Lūdzam izvērtēt projekta 5. punktā paredzētā noteikumu 95.</w:t>
            </w:r>
            <w:r w:rsidRPr="00A02401">
              <w:rPr>
                <w:vertAlign w:val="superscript"/>
              </w:rPr>
              <w:t>2</w:t>
            </w:r>
            <w:r w:rsidRPr="00A02401">
              <w:t xml:space="preserve"> punkta mērķi, tvērumu un saturu, kā arī atbilstoši </w:t>
            </w:r>
            <w:r w:rsidRPr="00A02401">
              <w:lastRenderedPageBreak/>
              <w:t>papildināt Anotāciju vai nepieciešamības gadījumā precizēt projektu.</w:t>
            </w:r>
          </w:p>
        </w:tc>
        <w:tc>
          <w:tcPr>
            <w:tcW w:w="3260" w:type="dxa"/>
            <w:gridSpan w:val="2"/>
            <w:tcBorders>
              <w:top w:val="single" w:sz="4" w:space="0" w:color="auto"/>
              <w:left w:val="single" w:sz="6" w:space="0" w:color="000000"/>
              <w:bottom w:val="single" w:sz="6" w:space="0" w:color="000000"/>
              <w:right w:val="single" w:sz="6" w:space="0" w:color="000000"/>
            </w:tcBorders>
          </w:tcPr>
          <w:p w14:paraId="4FA5B671" w14:textId="77777777" w:rsidR="00055D01" w:rsidRPr="00A02401" w:rsidRDefault="00055D01" w:rsidP="006C70E3">
            <w:pPr>
              <w:pStyle w:val="naisc"/>
              <w:spacing w:before="60" w:after="60"/>
              <w:ind w:firstLine="5"/>
              <w:jc w:val="both"/>
              <w:rPr>
                <w:b/>
              </w:rPr>
            </w:pPr>
            <w:r w:rsidRPr="00A02401">
              <w:rPr>
                <w:b/>
              </w:rPr>
              <w:lastRenderedPageBreak/>
              <w:t>Ņemts vērā.</w:t>
            </w:r>
          </w:p>
          <w:p w14:paraId="604C7466" w14:textId="46D233E6" w:rsidR="00055D01" w:rsidRPr="00A02401" w:rsidRDefault="00055D01" w:rsidP="006C70E3">
            <w:pPr>
              <w:pStyle w:val="naisc"/>
              <w:spacing w:before="60" w:after="60"/>
              <w:ind w:firstLine="5"/>
              <w:jc w:val="both"/>
              <w:rPr>
                <w:b/>
              </w:rPr>
            </w:pPr>
            <w:r w:rsidRPr="00A02401">
              <w:t>Pēc tvēruma un satura izvērtēšanas atbilstoši TM ieteikumam no Noteikumu projekta ir izslēgts 95.</w:t>
            </w:r>
            <w:r w:rsidRPr="00A02401">
              <w:rPr>
                <w:vertAlign w:val="superscript"/>
              </w:rPr>
              <w:t>2</w:t>
            </w:r>
            <w:r w:rsidRPr="00A02401">
              <w:t xml:space="preserve"> punkts.</w:t>
            </w:r>
          </w:p>
        </w:tc>
        <w:tc>
          <w:tcPr>
            <w:tcW w:w="2951" w:type="dxa"/>
            <w:tcBorders>
              <w:top w:val="single" w:sz="4" w:space="0" w:color="auto"/>
              <w:left w:val="single" w:sz="4" w:space="0" w:color="auto"/>
              <w:bottom w:val="single" w:sz="4" w:space="0" w:color="auto"/>
            </w:tcBorders>
          </w:tcPr>
          <w:p w14:paraId="701A67A2" w14:textId="59F4E180" w:rsidR="00055D01" w:rsidRPr="00A02401" w:rsidRDefault="00055D01" w:rsidP="006C70E3">
            <w:pPr>
              <w:spacing w:before="60" w:after="60"/>
              <w:ind w:firstLine="5"/>
              <w:jc w:val="both"/>
            </w:pPr>
            <w:r w:rsidRPr="00A02401">
              <w:t>No Noteikumu projekta ir izslēgts 95.</w:t>
            </w:r>
            <w:r w:rsidRPr="00A02401">
              <w:rPr>
                <w:vertAlign w:val="superscript"/>
              </w:rPr>
              <w:t>2</w:t>
            </w:r>
            <w:r w:rsidRPr="00A02401">
              <w:t xml:space="preserve"> punkts.</w:t>
            </w:r>
          </w:p>
        </w:tc>
      </w:tr>
      <w:tr w:rsidR="00055D01" w:rsidRPr="00A02401" w14:paraId="2051AC8E" w14:textId="77777777" w:rsidTr="007D72ED">
        <w:tc>
          <w:tcPr>
            <w:tcW w:w="675" w:type="dxa"/>
            <w:tcBorders>
              <w:top w:val="single" w:sz="4" w:space="0" w:color="auto"/>
              <w:left w:val="single" w:sz="6" w:space="0" w:color="000000"/>
              <w:bottom w:val="single" w:sz="6" w:space="0" w:color="000000"/>
              <w:right w:val="single" w:sz="6" w:space="0" w:color="000000"/>
            </w:tcBorders>
          </w:tcPr>
          <w:p w14:paraId="5626FACC" w14:textId="7E02DB9E" w:rsidR="00055D01" w:rsidRPr="00A02401" w:rsidRDefault="00055D01" w:rsidP="006C70E3">
            <w:pPr>
              <w:pStyle w:val="naisc"/>
              <w:spacing w:before="60" w:after="60"/>
              <w:jc w:val="both"/>
            </w:pPr>
            <w:r w:rsidRPr="00A02401">
              <w:t>2</w:t>
            </w:r>
            <w:r>
              <w:t>3</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468CEF05" w14:textId="7F1A81A5" w:rsidR="00055D01" w:rsidRPr="00A02401" w:rsidRDefault="00055D01" w:rsidP="00A8700C">
            <w:pPr>
              <w:pStyle w:val="naisc"/>
              <w:spacing w:before="60" w:after="60"/>
              <w:ind w:firstLine="33"/>
              <w:jc w:val="both"/>
            </w:pPr>
            <w:r w:rsidRPr="00A02401">
              <w:t>14. Papildināt noteikums ar 95.</w:t>
            </w:r>
            <w:r w:rsidRPr="00A02401">
              <w:rPr>
                <w:vertAlign w:val="superscript"/>
              </w:rPr>
              <w:t>1</w:t>
            </w:r>
            <w:r w:rsidRPr="00A02401">
              <w:t xml:space="preserve"> , 95.</w:t>
            </w:r>
            <w:r w:rsidRPr="00A02401">
              <w:rPr>
                <w:vertAlign w:val="superscript"/>
              </w:rPr>
              <w:t xml:space="preserve">2 </w:t>
            </w:r>
            <w:r w:rsidRPr="00A02401">
              <w:t>, 95.</w:t>
            </w:r>
            <w:r w:rsidRPr="00A02401">
              <w:rPr>
                <w:vertAlign w:val="superscript"/>
              </w:rPr>
              <w:t>3</w:t>
            </w:r>
            <w:r w:rsidRPr="00A02401">
              <w:t xml:space="preserve">  un 95.</w:t>
            </w:r>
            <w:r w:rsidRPr="00A02401">
              <w:rPr>
                <w:vertAlign w:val="superscript"/>
              </w:rPr>
              <w:t>4 </w:t>
            </w:r>
            <w:r w:rsidRPr="00A02401">
              <w:t xml:space="preserve">punktu šādā redakcijā: </w:t>
            </w:r>
          </w:p>
          <w:p w14:paraId="3859DE83" w14:textId="57CB79AD" w:rsidR="00055D01" w:rsidRPr="00A02401" w:rsidRDefault="00055D01" w:rsidP="006C70E3">
            <w:pPr>
              <w:pStyle w:val="naisc"/>
              <w:spacing w:before="60" w:after="60"/>
              <w:ind w:firstLine="33"/>
              <w:jc w:val="both"/>
            </w:pPr>
            <w:r w:rsidRPr="00A02401">
              <w:t>[…]</w:t>
            </w:r>
          </w:p>
          <w:p w14:paraId="6ABA10F1" w14:textId="77777777" w:rsidR="00055D01" w:rsidRPr="00A02401" w:rsidRDefault="00055D01" w:rsidP="006C70E3">
            <w:pPr>
              <w:pStyle w:val="naisc"/>
              <w:spacing w:before="60" w:after="60"/>
              <w:ind w:firstLine="33"/>
              <w:jc w:val="both"/>
            </w:pPr>
            <w:r w:rsidRPr="00A02401">
              <w:t>95.</w:t>
            </w:r>
            <w:r w:rsidRPr="00A02401">
              <w:rPr>
                <w:vertAlign w:val="superscript"/>
              </w:rPr>
              <w:t>4</w:t>
            </w:r>
            <w:r w:rsidRPr="00A02401">
              <w:t> Sašķidrinātās dabasgāzes sistēmas operatoram ir pienākums līdz katra gada 1.martam savā tīmekļvietnē publicēt informāciju par plānotajiem sašķidrinātās dabasgāzes sistēmas apkopes darbiem, iekļaujot informāciju par to raksturojumu un iespējamo ilgumu, un atjaunot publicēto informāciju atkarībā no apkopes darbu izpildes gaitas.”</w:t>
            </w:r>
          </w:p>
          <w:p w14:paraId="307058D9" w14:textId="77777777" w:rsidR="00055D01" w:rsidRPr="00A02401" w:rsidRDefault="00055D01" w:rsidP="006C70E3">
            <w:pPr>
              <w:pStyle w:val="naisc"/>
              <w:spacing w:before="60" w:after="60"/>
              <w:ind w:firstLine="33"/>
              <w:jc w:val="both"/>
            </w:pPr>
          </w:p>
        </w:tc>
        <w:tc>
          <w:tcPr>
            <w:tcW w:w="4278" w:type="dxa"/>
            <w:tcBorders>
              <w:top w:val="single" w:sz="4" w:space="0" w:color="auto"/>
              <w:left w:val="single" w:sz="6" w:space="0" w:color="000000"/>
              <w:bottom w:val="single" w:sz="6" w:space="0" w:color="000000"/>
              <w:right w:val="single" w:sz="6" w:space="0" w:color="000000"/>
            </w:tcBorders>
          </w:tcPr>
          <w:p w14:paraId="63FC7F48" w14:textId="2B38F1BE" w:rsidR="00055D01" w:rsidRPr="00A02401" w:rsidRDefault="00055D01" w:rsidP="006C70E3">
            <w:pPr>
              <w:contextualSpacing/>
              <w:jc w:val="both"/>
              <w:rPr>
                <w:b/>
                <w:bCs/>
              </w:rPr>
            </w:pPr>
            <w:r w:rsidRPr="00A02401">
              <w:rPr>
                <w:b/>
                <w:bCs/>
              </w:rPr>
              <w:t>Akciju sabiedrība “Latvijas Gāze”</w:t>
            </w:r>
          </w:p>
          <w:p w14:paraId="3C83FA65" w14:textId="77777777" w:rsidR="00055D01" w:rsidRPr="00A02401" w:rsidRDefault="00055D01" w:rsidP="006C70E3">
            <w:pPr>
              <w:pStyle w:val="radio"/>
              <w:spacing w:before="0" w:beforeAutospacing="0" w:after="0" w:afterAutospacing="0"/>
              <w:jc w:val="both"/>
            </w:pPr>
            <w:r w:rsidRPr="00A02401">
              <w:t>Noteikumu projekta 14. punkts paredz papildināt noteikumus ar 95.</w:t>
            </w:r>
            <w:r w:rsidRPr="00A02401">
              <w:rPr>
                <w:vertAlign w:val="superscript"/>
              </w:rPr>
              <w:t>3</w:t>
            </w:r>
            <w:r w:rsidRPr="00A02401">
              <w:t xml:space="preserve"> punktu, nosakot, ka </w:t>
            </w:r>
            <w:r w:rsidRPr="00A02401">
              <w:rPr>
                <w:i/>
              </w:rPr>
              <w:t>“95.</w:t>
            </w:r>
            <w:r w:rsidRPr="00A02401">
              <w:rPr>
                <w:i/>
                <w:vertAlign w:val="superscript"/>
              </w:rPr>
              <w:t>3</w:t>
            </w:r>
            <w:r w:rsidRPr="00A02401">
              <w:rPr>
                <w:i/>
              </w:rPr>
              <w:t xml:space="preserve"> Sašķidrinātās dabasgāzes sistēmas operatoram ir pienākums reizi gadā savā tīmekļvietnē publicēt informāciju par plānotajiem sašķidrinātās dabasgāzes sistēmas apkopes darbiem, iekļaujot informāciju par to raksturojumu un iespējamo ilgumu, un atjaunot publicēto informāciju atkarībā no apkopes darbu izpildes gaitas.”</w:t>
            </w:r>
          </w:p>
          <w:p w14:paraId="2E29C6BD" w14:textId="77777777" w:rsidR="00055D01" w:rsidRPr="00A02401" w:rsidRDefault="00055D01" w:rsidP="006C70E3">
            <w:pPr>
              <w:pStyle w:val="radio"/>
              <w:spacing w:before="0" w:beforeAutospacing="0" w:after="0" w:afterAutospacing="0"/>
              <w:jc w:val="both"/>
            </w:pPr>
          </w:p>
          <w:p w14:paraId="610D5685" w14:textId="429ECD35" w:rsidR="00055D01" w:rsidRPr="00A02401" w:rsidRDefault="00055D01" w:rsidP="00A8700C">
            <w:pPr>
              <w:pStyle w:val="radio"/>
              <w:spacing w:before="0" w:beforeAutospacing="0" w:after="0" w:afterAutospacing="0"/>
              <w:jc w:val="both"/>
            </w:pPr>
            <w:r w:rsidRPr="00A02401">
              <w:t xml:space="preserve">SDG stacijas operatoram šādas tīmekļa vietnes var nemaz nebūt. Turklāt stacijas apkope, visticamāk, tiktu plānota tad, kad stacijas klients (piemēram, konkrēts zivju pārstrādes vai piena pārstrādes uzņēmums) plāno samazināt savas darbības apjomu (spēj iztikt bez stacijas darbības). Prasība SDG stacijas operatoram publicēt šādu informāciju ir ne tikai nepamatota, jo nesniedz ieguvumu nevienai no sabiedrisko pakalpojumu lietotāju grupām, bet arī nesamērīga, jo faktiski kaitē stacijas klientam, tā kā no šādas informācijas viņa konkurenti iegūtu ziņas par šī dabasgāzes lietotāja plānoto komercdarbību (tās pārrāvumiem vai apjomu samazinājumiem). Lūdzam šajā punktā </w:t>
            </w:r>
            <w:r w:rsidRPr="00A02401">
              <w:lastRenderedPageBreak/>
              <w:t>ietverto neattiecināt uz SDG staciju operatoriem.</w:t>
            </w:r>
          </w:p>
        </w:tc>
        <w:tc>
          <w:tcPr>
            <w:tcW w:w="3260" w:type="dxa"/>
            <w:gridSpan w:val="2"/>
            <w:tcBorders>
              <w:top w:val="single" w:sz="4" w:space="0" w:color="auto"/>
              <w:left w:val="single" w:sz="6" w:space="0" w:color="000000"/>
              <w:bottom w:val="single" w:sz="6" w:space="0" w:color="000000"/>
              <w:right w:val="single" w:sz="6" w:space="0" w:color="000000"/>
            </w:tcBorders>
          </w:tcPr>
          <w:p w14:paraId="79BB4A9C" w14:textId="36EC8862" w:rsidR="00055D01" w:rsidRPr="00A02401" w:rsidRDefault="00055D01" w:rsidP="00A8700C">
            <w:pPr>
              <w:pStyle w:val="naisc"/>
              <w:tabs>
                <w:tab w:val="left" w:pos="1020"/>
              </w:tabs>
              <w:spacing w:before="60" w:after="60"/>
              <w:ind w:firstLine="5"/>
              <w:jc w:val="both"/>
              <w:rPr>
                <w:b/>
              </w:rPr>
            </w:pPr>
            <w:r w:rsidRPr="00A02401">
              <w:rPr>
                <w:b/>
              </w:rPr>
              <w:lastRenderedPageBreak/>
              <w:t>Ņemts vērā.</w:t>
            </w:r>
          </w:p>
          <w:p w14:paraId="57BD166A" w14:textId="428FD1DD" w:rsidR="00055D01" w:rsidRPr="00A02401" w:rsidRDefault="00CB55C3" w:rsidP="006C70E3">
            <w:pPr>
              <w:pStyle w:val="naisc"/>
              <w:tabs>
                <w:tab w:val="left" w:pos="1020"/>
              </w:tabs>
              <w:spacing w:before="60" w:after="60"/>
              <w:ind w:firstLine="5"/>
              <w:jc w:val="both"/>
              <w:rPr>
                <w:bCs/>
              </w:rPr>
            </w:pPr>
            <w:r>
              <w:rPr>
                <w:bCs/>
              </w:rPr>
              <w:t>Punkts svītrots.</w:t>
            </w:r>
          </w:p>
        </w:tc>
        <w:tc>
          <w:tcPr>
            <w:tcW w:w="2951" w:type="dxa"/>
            <w:tcBorders>
              <w:top w:val="single" w:sz="4" w:space="0" w:color="auto"/>
              <w:left w:val="single" w:sz="4" w:space="0" w:color="auto"/>
              <w:bottom w:val="single" w:sz="4" w:space="0" w:color="auto"/>
            </w:tcBorders>
          </w:tcPr>
          <w:p w14:paraId="4EDF3174" w14:textId="48DD35D1" w:rsidR="00055D01" w:rsidRPr="00A02401" w:rsidRDefault="00CB55C3" w:rsidP="006C70E3">
            <w:pPr>
              <w:spacing w:before="60" w:after="60"/>
              <w:ind w:firstLine="5"/>
              <w:jc w:val="both"/>
            </w:pPr>
            <w:r>
              <w:t>Punkts svītrots.</w:t>
            </w:r>
          </w:p>
          <w:p w14:paraId="0C11C225" w14:textId="77777777" w:rsidR="00055D01" w:rsidRPr="00A02401" w:rsidRDefault="00055D01" w:rsidP="006C70E3">
            <w:pPr>
              <w:spacing w:before="60" w:after="60"/>
              <w:ind w:firstLine="5"/>
              <w:jc w:val="both"/>
            </w:pPr>
          </w:p>
        </w:tc>
      </w:tr>
      <w:tr w:rsidR="00055D01" w:rsidRPr="00A02401" w14:paraId="2E762960" w14:textId="77777777" w:rsidTr="007D72ED">
        <w:tc>
          <w:tcPr>
            <w:tcW w:w="675" w:type="dxa"/>
            <w:tcBorders>
              <w:top w:val="single" w:sz="4" w:space="0" w:color="auto"/>
              <w:left w:val="single" w:sz="6" w:space="0" w:color="000000"/>
              <w:bottom w:val="single" w:sz="6" w:space="0" w:color="000000"/>
              <w:right w:val="single" w:sz="6" w:space="0" w:color="000000"/>
            </w:tcBorders>
          </w:tcPr>
          <w:p w14:paraId="0A639131" w14:textId="57AD6D50" w:rsidR="00055D01" w:rsidRPr="00A02401" w:rsidRDefault="00055D01" w:rsidP="006C70E3">
            <w:pPr>
              <w:pStyle w:val="naisc"/>
              <w:spacing w:before="60" w:after="60"/>
              <w:jc w:val="both"/>
            </w:pPr>
            <w:r w:rsidRPr="00A02401">
              <w:t>2</w:t>
            </w:r>
            <w:r>
              <w:t>4</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2A351515" w14:textId="77777777" w:rsidR="00055D01" w:rsidRPr="00A02401" w:rsidRDefault="00055D01" w:rsidP="006C70E3">
            <w:pPr>
              <w:pStyle w:val="naisc"/>
              <w:spacing w:before="60" w:after="60"/>
              <w:ind w:firstLine="33"/>
              <w:jc w:val="both"/>
            </w:pPr>
            <w:r w:rsidRPr="00A02401">
              <w:t>14. Papildināt noteikums ar 95.</w:t>
            </w:r>
            <w:r w:rsidRPr="00A02401">
              <w:rPr>
                <w:vertAlign w:val="superscript"/>
              </w:rPr>
              <w:t>1</w:t>
            </w:r>
            <w:r w:rsidRPr="00A02401">
              <w:t xml:space="preserve"> , 95.</w:t>
            </w:r>
            <w:r w:rsidRPr="00A02401">
              <w:rPr>
                <w:vertAlign w:val="superscript"/>
              </w:rPr>
              <w:t xml:space="preserve">2 </w:t>
            </w:r>
            <w:r w:rsidRPr="00A02401">
              <w:t>, 95.</w:t>
            </w:r>
            <w:r w:rsidRPr="00A02401">
              <w:rPr>
                <w:vertAlign w:val="superscript"/>
              </w:rPr>
              <w:t>3</w:t>
            </w:r>
            <w:r w:rsidRPr="00A02401">
              <w:t xml:space="preserve">  un 95.</w:t>
            </w:r>
            <w:r w:rsidRPr="00A02401">
              <w:rPr>
                <w:vertAlign w:val="superscript"/>
              </w:rPr>
              <w:t>4 </w:t>
            </w:r>
            <w:r w:rsidRPr="00A02401">
              <w:t xml:space="preserve">punktu šādā redakcijā: </w:t>
            </w:r>
          </w:p>
          <w:p w14:paraId="21CF5679" w14:textId="77777777" w:rsidR="00055D01" w:rsidRPr="00A02401" w:rsidRDefault="00055D01" w:rsidP="006C70E3">
            <w:pPr>
              <w:pStyle w:val="naisc"/>
              <w:spacing w:before="60" w:after="60"/>
              <w:ind w:firstLine="33"/>
              <w:jc w:val="both"/>
            </w:pPr>
          </w:p>
          <w:p w14:paraId="28C5CA30" w14:textId="18AF8D60" w:rsidR="00055D01" w:rsidRPr="00A02401" w:rsidRDefault="00055D01" w:rsidP="006C70E3">
            <w:pPr>
              <w:pStyle w:val="naisc"/>
              <w:spacing w:before="60" w:after="60"/>
              <w:ind w:firstLine="33"/>
              <w:jc w:val="both"/>
            </w:pPr>
            <w:r w:rsidRPr="00A02401">
              <w:t>95.</w:t>
            </w:r>
            <w:r w:rsidRPr="00A02401">
              <w:rPr>
                <w:vertAlign w:val="superscript"/>
              </w:rPr>
              <w:t xml:space="preserve">4 </w:t>
            </w:r>
            <w:r w:rsidRPr="00A02401">
              <w:t>Sašķidrinātās dabasgāzes sistēmas operatoram ir pienākums katru gadu savā tīmekļvietnē publicēt informāciju par plānotajiem sašķidrinātās dabasgāzes sistēmas apkopes darbiem, iekļaujot informāciju par to raksturojumu un iespējamo ilgumu, un atjaunot publicēto informāciju atkarībā no apkopes darbu izpildes gaitas.”</w:t>
            </w:r>
          </w:p>
        </w:tc>
        <w:tc>
          <w:tcPr>
            <w:tcW w:w="4278" w:type="dxa"/>
            <w:tcBorders>
              <w:top w:val="single" w:sz="4" w:space="0" w:color="auto"/>
              <w:left w:val="single" w:sz="6" w:space="0" w:color="000000"/>
              <w:bottom w:val="single" w:sz="6" w:space="0" w:color="000000"/>
              <w:right w:val="single" w:sz="6" w:space="0" w:color="000000"/>
            </w:tcBorders>
          </w:tcPr>
          <w:p w14:paraId="04981B9E" w14:textId="61333328" w:rsidR="00055D01" w:rsidRPr="00A02401" w:rsidRDefault="00055D01" w:rsidP="006C70E3">
            <w:pPr>
              <w:contextualSpacing/>
              <w:jc w:val="both"/>
              <w:rPr>
                <w:b/>
                <w:bCs/>
              </w:rPr>
            </w:pPr>
            <w:r>
              <w:rPr>
                <w:b/>
                <w:bCs/>
              </w:rPr>
              <w:t>SPRK</w:t>
            </w:r>
          </w:p>
          <w:p w14:paraId="25D4837E" w14:textId="77777777" w:rsidR="00055D01" w:rsidRPr="00A02401" w:rsidRDefault="00055D01" w:rsidP="006C70E3">
            <w:pPr>
              <w:contextualSpacing/>
              <w:jc w:val="both"/>
              <w:rPr>
                <w:b/>
                <w:bCs/>
              </w:rPr>
            </w:pPr>
            <w:r w:rsidRPr="00A02401">
              <w:t xml:space="preserve">Lūdzam izvērtēt nepieciešamību papildināt Noteikumu projekta 5.punktā ietvertā </w:t>
            </w:r>
            <w:r w:rsidRPr="00A02401">
              <w:rPr>
                <w:color w:val="000000" w:themeColor="text1"/>
              </w:rPr>
              <w:t>95.</w:t>
            </w:r>
            <w:r w:rsidRPr="00A02401">
              <w:rPr>
                <w:color w:val="000000" w:themeColor="text1"/>
                <w:vertAlign w:val="superscript"/>
              </w:rPr>
              <w:t>4</w:t>
            </w:r>
            <w:r w:rsidRPr="00A02401">
              <w:rPr>
                <w:color w:val="000000" w:themeColor="text1"/>
              </w:rPr>
              <w:t xml:space="preserve"> punkta redakciju, tajā nosakot konkrētu termiņu, līdz kuram sašķidrinātās dabasgāzes sistēmas operatoram ir pienākums </w:t>
            </w:r>
            <w:r w:rsidRPr="00A02401">
              <w:rPr>
                <w:lang w:eastAsia="x-none"/>
              </w:rPr>
              <w:t>savā tīmekļvietnē katru gadu publicēt minētajā punktā noteikto informāciju. Saskaņā ar pašreizējo redakciju var veidoties situācija, kad informācija tiek publicēta janvāra mēnesī un nākamajā gadā tā var tikt publicēta decembra mēnesī, izpildot šajā punktā minēto prasību, bet  faktiski informācijas publiskošana notiktu reizi gandrīz divos gados</w:t>
            </w:r>
          </w:p>
        </w:tc>
        <w:tc>
          <w:tcPr>
            <w:tcW w:w="3260" w:type="dxa"/>
            <w:gridSpan w:val="2"/>
            <w:tcBorders>
              <w:top w:val="single" w:sz="4" w:space="0" w:color="auto"/>
              <w:left w:val="single" w:sz="6" w:space="0" w:color="000000"/>
              <w:bottom w:val="single" w:sz="6" w:space="0" w:color="000000"/>
              <w:right w:val="single" w:sz="6" w:space="0" w:color="000000"/>
            </w:tcBorders>
          </w:tcPr>
          <w:p w14:paraId="5CB5846D" w14:textId="77777777" w:rsidR="00055D01" w:rsidRPr="00A02401" w:rsidRDefault="00055D01" w:rsidP="006C70E3">
            <w:pPr>
              <w:pStyle w:val="naisc"/>
              <w:tabs>
                <w:tab w:val="left" w:pos="1020"/>
              </w:tabs>
              <w:spacing w:before="60" w:after="60"/>
              <w:ind w:firstLine="5"/>
              <w:jc w:val="both"/>
              <w:rPr>
                <w:b/>
              </w:rPr>
            </w:pPr>
            <w:r w:rsidRPr="00A02401">
              <w:rPr>
                <w:b/>
              </w:rPr>
              <w:t>Ņemts vērā.</w:t>
            </w:r>
          </w:p>
          <w:p w14:paraId="64C52D72" w14:textId="5C509BBB" w:rsidR="00055D01" w:rsidRPr="00A02401" w:rsidRDefault="00CB55C3" w:rsidP="006C70E3">
            <w:pPr>
              <w:pStyle w:val="naisc"/>
              <w:tabs>
                <w:tab w:val="left" w:pos="1020"/>
              </w:tabs>
              <w:spacing w:before="60" w:after="60"/>
              <w:ind w:firstLine="5"/>
              <w:jc w:val="both"/>
              <w:rPr>
                <w:bCs/>
              </w:rPr>
            </w:pPr>
            <w:r>
              <w:t>Punkts svītrots.</w:t>
            </w:r>
          </w:p>
        </w:tc>
        <w:tc>
          <w:tcPr>
            <w:tcW w:w="2951" w:type="dxa"/>
            <w:tcBorders>
              <w:top w:val="single" w:sz="4" w:space="0" w:color="auto"/>
              <w:left w:val="single" w:sz="4" w:space="0" w:color="auto"/>
              <w:bottom w:val="single" w:sz="4" w:space="0" w:color="auto"/>
            </w:tcBorders>
          </w:tcPr>
          <w:p w14:paraId="7B6D62D9" w14:textId="4D2B700A" w:rsidR="00055D01" w:rsidRPr="00A02401" w:rsidRDefault="00CB55C3" w:rsidP="006C70E3">
            <w:pPr>
              <w:spacing w:before="60" w:after="60"/>
              <w:ind w:firstLine="5"/>
              <w:jc w:val="both"/>
            </w:pPr>
            <w:r>
              <w:t>Punkts svītrots</w:t>
            </w:r>
          </w:p>
        </w:tc>
      </w:tr>
      <w:tr w:rsidR="00055D01" w:rsidRPr="00A02401" w14:paraId="61FC676B" w14:textId="77777777" w:rsidTr="007D72ED">
        <w:tc>
          <w:tcPr>
            <w:tcW w:w="675" w:type="dxa"/>
            <w:tcBorders>
              <w:top w:val="single" w:sz="4" w:space="0" w:color="auto"/>
              <w:left w:val="single" w:sz="6" w:space="0" w:color="000000"/>
              <w:bottom w:val="single" w:sz="6" w:space="0" w:color="000000"/>
              <w:right w:val="single" w:sz="6" w:space="0" w:color="000000"/>
            </w:tcBorders>
          </w:tcPr>
          <w:p w14:paraId="17EF2F08" w14:textId="57F2D333" w:rsidR="00055D01" w:rsidRPr="00A02401" w:rsidRDefault="00055D01" w:rsidP="006C70E3">
            <w:pPr>
              <w:pStyle w:val="naisc"/>
              <w:spacing w:before="60" w:after="60"/>
              <w:jc w:val="both"/>
            </w:pPr>
            <w:r w:rsidRPr="00A02401">
              <w:t>2</w:t>
            </w:r>
            <w:r>
              <w:t>5</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3F25CE81" w14:textId="77777777" w:rsidR="00055D01" w:rsidRPr="00A02401" w:rsidRDefault="00055D01" w:rsidP="006C70E3">
            <w:pPr>
              <w:jc w:val="both"/>
            </w:pPr>
            <w:r w:rsidRPr="00A02401">
              <w:t>18. Izteikt 149.punktu šādā redakcijā:</w:t>
            </w:r>
          </w:p>
          <w:p w14:paraId="286FF08C" w14:textId="77777777" w:rsidR="00055D01" w:rsidRPr="00A02401" w:rsidRDefault="00055D01" w:rsidP="006C70E3">
            <w:pPr>
              <w:autoSpaceDE w:val="0"/>
              <w:autoSpaceDN w:val="0"/>
              <w:spacing w:after="120"/>
              <w:jc w:val="both"/>
              <w:rPr>
                <w:color w:val="000000" w:themeColor="text1"/>
              </w:rPr>
            </w:pPr>
          </w:p>
          <w:p w14:paraId="4DEC0E10" w14:textId="696C01D9" w:rsidR="00055D01" w:rsidRPr="00A02401" w:rsidRDefault="00055D01" w:rsidP="006C70E3">
            <w:pPr>
              <w:spacing w:line="293" w:lineRule="atLeast"/>
              <w:jc w:val="both"/>
            </w:pPr>
            <w:r w:rsidRPr="00A02401">
              <w:rPr>
                <w:color w:val="000000"/>
                <w:shd w:val="clear" w:color="auto" w:fill="FFFFFF"/>
              </w:rPr>
              <w:t xml:space="preserve">“149. Sadales sistēmas operators normatīvajos aktos noteiktajā kārtībā veic komercuzskaites mēraparāta pirmstermiņa verificēšanu akreditētā inspicēšanas institūcijā vai ziņo par iespējamu noziedzīgu nodarījumu tiesību aizsardzības iestādē un </w:t>
            </w:r>
            <w:r w:rsidRPr="00A02401">
              <w:rPr>
                <w:color w:val="000000"/>
                <w:shd w:val="clear" w:color="auto" w:fill="FFFFFF"/>
              </w:rPr>
              <w:lastRenderedPageBreak/>
              <w:t>komercuzskaites mēraparāts tiek nodots neatkarīgās ekspertīzes veikšanai. Lietotājam ir tiesības iepazīties ar sadales sistēmas operatora sastādīto aktu un ekspertīzes atzinumu, ja normatīvie akti nenosaka citādi.”</w:t>
            </w:r>
          </w:p>
        </w:tc>
        <w:tc>
          <w:tcPr>
            <w:tcW w:w="4278" w:type="dxa"/>
            <w:tcBorders>
              <w:top w:val="single" w:sz="4" w:space="0" w:color="auto"/>
              <w:left w:val="single" w:sz="6" w:space="0" w:color="000000"/>
              <w:bottom w:val="single" w:sz="6" w:space="0" w:color="000000"/>
              <w:right w:val="single" w:sz="6" w:space="0" w:color="000000"/>
            </w:tcBorders>
          </w:tcPr>
          <w:p w14:paraId="48F9B008" w14:textId="043E7B9F" w:rsidR="00055D01" w:rsidRPr="00A02401" w:rsidRDefault="00055D01" w:rsidP="006C70E3">
            <w:pPr>
              <w:pStyle w:val="NoSpacing"/>
              <w:ind w:firstLine="0"/>
              <w:rPr>
                <w:b/>
                <w:bCs/>
                <w:sz w:val="24"/>
                <w:szCs w:val="24"/>
              </w:rPr>
            </w:pPr>
            <w:r w:rsidRPr="00A02401">
              <w:rPr>
                <w:b/>
                <w:bCs/>
                <w:sz w:val="24"/>
                <w:szCs w:val="24"/>
              </w:rPr>
              <w:lastRenderedPageBreak/>
              <w:t>SPRK</w:t>
            </w:r>
          </w:p>
          <w:p w14:paraId="22926214" w14:textId="77777777" w:rsidR="00055D01" w:rsidRPr="00A02401" w:rsidRDefault="00055D01" w:rsidP="006C70E3">
            <w:pPr>
              <w:pStyle w:val="NoSpacing"/>
              <w:ind w:firstLine="0"/>
              <w:rPr>
                <w:sz w:val="24"/>
                <w:szCs w:val="24"/>
              </w:rPr>
            </w:pPr>
            <w:r w:rsidRPr="00A02401">
              <w:rPr>
                <w:sz w:val="24"/>
                <w:szCs w:val="24"/>
              </w:rPr>
              <w:t>Lai tiesību norma skaidri noteiktu subjektu, kurš iespējama noziedzīga nodarījuma gadījumā nodod komercuzskaites mēraparātu neatkarīgās ekspertīzes veikšanai, Regulatora ieskatā Noteikumu projekta 18.punktā paredzētais Noteikumu 149.punkts ir izsakāms šādā redakcijā:</w:t>
            </w:r>
          </w:p>
          <w:p w14:paraId="64C96697" w14:textId="77777777" w:rsidR="00055D01" w:rsidRPr="00A02401" w:rsidRDefault="00055D01" w:rsidP="006C70E3">
            <w:pPr>
              <w:pStyle w:val="NoSpacing"/>
              <w:ind w:firstLine="0"/>
              <w:rPr>
                <w:sz w:val="24"/>
                <w:szCs w:val="24"/>
              </w:rPr>
            </w:pPr>
            <w:r w:rsidRPr="00A02401">
              <w:rPr>
                <w:sz w:val="24"/>
                <w:szCs w:val="24"/>
              </w:rPr>
              <w:t xml:space="preserve">“149. Sadales sistēmas operators normatīvajos aktos noteiktajā kārtībā veic komercuzskaites mēraparāta pirmstermiņa verificēšanu akreditētā inspicēšanas institūcijā. Ja rodas aizdomas par </w:t>
            </w:r>
            <w:r w:rsidRPr="00A02401">
              <w:rPr>
                <w:sz w:val="24"/>
                <w:szCs w:val="24"/>
              </w:rPr>
              <w:lastRenderedPageBreak/>
              <w:t xml:space="preserve">noziedzīgu nodarījumu, sadales sistēmas operators ziņo par to tiesību aizsardzības iestādei un komercuzskaites mēraparātu nodod neatkarīgās ekspertīzes veikšanai. Lietotājam ir tiesības iepazīties ar sadales sistēmas operatora sastādīto aktu un ekspertīzes atzinumu, ja normatīvie akti nenosaka citādi.”  </w:t>
            </w:r>
          </w:p>
          <w:p w14:paraId="2DF6F184" w14:textId="77777777" w:rsidR="00055D01" w:rsidRPr="00A02401" w:rsidRDefault="00055D01" w:rsidP="006C70E3">
            <w:pPr>
              <w:pStyle w:val="NoSpacing"/>
              <w:ind w:firstLine="0"/>
              <w:rPr>
                <w:b/>
                <w:bCs/>
                <w:sz w:val="24"/>
                <w:szCs w:val="24"/>
              </w:rPr>
            </w:pPr>
          </w:p>
          <w:p w14:paraId="73E45294" w14:textId="5FEC308D" w:rsidR="00055D01" w:rsidRPr="00A02401" w:rsidRDefault="00055D01" w:rsidP="006C70E3">
            <w:pPr>
              <w:pStyle w:val="NoSpacing"/>
              <w:ind w:firstLine="0"/>
              <w:rPr>
                <w:b/>
                <w:bCs/>
                <w:sz w:val="24"/>
                <w:szCs w:val="24"/>
              </w:rPr>
            </w:pPr>
          </w:p>
        </w:tc>
        <w:tc>
          <w:tcPr>
            <w:tcW w:w="3260" w:type="dxa"/>
            <w:gridSpan w:val="2"/>
            <w:tcBorders>
              <w:top w:val="single" w:sz="4" w:space="0" w:color="auto"/>
              <w:left w:val="single" w:sz="6" w:space="0" w:color="000000"/>
              <w:bottom w:val="single" w:sz="6" w:space="0" w:color="000000"/>
              <w:right w:val="single" w:sz="6" w:space="0" w:color="000000"/>
            </w:tcBorders>
          </w:tcPr>
          <w:p w14:paraId="64A7F912" w14:textId="6C19406D" w:rsidR="00055D01" w:rsidRPr="00A02401" w:rsidRDefault="00055D01" w:rsidP="00A8700C">
            <w:pPr>
              <w:pStyle w:val="naisc"/>
              <w:spacing w:before="60" w:after="60"/>
              <w:ind w:firstLine="5"/>
              <w:jc w:val="both"/>
              <w:rPr>
                <w:b/>
              </w:rPr>
            </w:pPr>
            <w:r w:rsidRPr="00A02401">
              <w:rPr>
                <w:b/>
              </w:rPr>
              <w:lastRenderedPageBreak/>
              <w:t>Ņemts vērā.</w:t>
            </w:r>
          </w:p>
          <w:p w14:paraId="1940DEA5" w14:textId="19EC2A2F" w:rsidR="00055D01" w:rsidRPr="00A02401" w:rsidRDefault="00055D01" w:rsidP="006C70E3">
            <w:pPr>
              <w:pStyle w:val="naisc"/>
              <w:spacing w:before="60" w:after="60"/>
              <w:ind w:firstLine="5"/>
              <w:jc w:val="both"/>
              <w:rPr>
                <w:bCs/>
              </w:rPr>
            </w:pPr>
            <w:r w:rsidRPr="00A02401">
              <w:rPr>
                <w:bCs/>
              </w:rPr>
              <w:t>Punkts redakcionāli precizēts.</w:t>
            </w:r>
          </w:p>
        </w:tc>
        <w:tc>
          <w:tcPr>
            <w:tcW w:w="2951" w:type="dxa"/>
            <w:tcBorders>
              <w:top w:val="single" w:sz="4" w:space="0" w:color="auto"/>
              <w:left w:val="single" w:sz="4" w:space="0" w:color="auto"/>
              <w:bottom w:val="single" w:sz="4" w:space="0" w:color="auto"/>
            </w:tcBorders>
          </w:tcPr>
          <w:p w14:paraId="1B1FF9FE" w14:textId="77777777" w:rsidR="00055D01" w:rsidRPr="00A02401" w:rsidRDefault="00055D01" w:rsidP="006C70E3">
            <w:pPr>
              <w:spacing w:before="60" w:after="60"/>
              <w:ind w:firstLine="5"/>
              <w:jc w:val="both"/>
              <w:rPr>
                <w:bCs/>
              </w:rPr>
            </w:pPr>
            <w:r w:rsidRPr="00A02401">
              <w:rPr>
                <w:bCs/>
              </w:rPr>
              <w:t>18. Izteikt 149.punktu šādā redakcijā:</w:t>
            </w:r>
          </w:p>
          <w:p w14:paraId="34C63873" w14:textId="77777777" w:rsidR="00055D01" w:rsidRPr="00A02401" w:rsidRDefault="00055D01" w:rsidP="006C70E3">
            <w:pPr>
              <w:spacing w:before="60" w:after="60"/>
              <w:ind w:firstLine="5"/>
              <w:jc w:val="both"/>
              <w:rPr>
                <w:bCs/>
              </w:rPr>
            </w:pPr>
          </w:p>
          <w:p w14:paraId="33706FF1" w14:textId="77777777" w:rsidR="00055D01" w:rsidRPr="00A02401" w:rsidRDefault="00055D01" w:rsidP="006C70E3">
            <w:pPr>
              <w:spacing w:before="60" w:after="60"/>
              <w:ind w:firstLine="5"/>
              <w:jc w:val="both"/>
              <w:rPr>
                <w:bCs/>
              </w:rPr>
            </w:pPr>
            <w:r w:rsidRPr="00A02401">
              <w:rPr>
                <w:bCs/>
              </w:rPr>
              <w:t xml:space="preserve">“149. Sadales sistēmas operators normatīvajos aktos noteiktajā kārtībā veic komercuzskaites mēraparāta pirmstermiņa verificēšanu akreditētā inspicēšanas institūcijā.  Ja rodas aizdomas par noziedzīgu nodarījumu, sadales sistēmas operators ziņo par iespējamu noziedzīgu nodarījumu </w:t>
            </w:r>
            <w:r w:rsidRPr="00A02401">
              <w:rPr>
                <w:bCs/>
              </w:rPr>
              <w:lastRenderedPageBreak/>
              <w:t>tiesību aizsardzības iestādē un komercuzskaites mēraparātu nodod neatkarīgās ekspertīzes veikšanai. Lietotājam ir tiesības iepazīties ar sadales sistēmas operatora sastādīto aktu un ekspertīzes atzinumu, ja normatīvie akti nenosaka citādi.”</w:t>
            </w:r>
          </w:p>
          <w:p w14:paraId="68AA228D" w14:textId="77777777" w:rsidR="00055D01" w:rsidRPr="00A02401" w:rsidRDefault="00055D01" w:rsidP="006C70E3">
            <w:pPr>
              <w:spacing w:before="60" w:after="60"/>
              <w:ind w:firstLine="5"/>
              <w:jc w:val="both"/>
              <w:rPr>
                <w:bCs/>
              </w:rPr>
            </w:pPr>
          </w:p>
        </w:tc>
      </w:tr>
      <w:tr w:rsidR="00055D01" w:rsidRPr="00A02401" w14:paraId="33E46EE8" w14:textId="77777777" w:rsidTr="007D72ED">
        <w:tc>
          <w:tcPr>
            <w:tcW w:w="675" w:type="dxa"/>
            <w:tcBorders>
              <w:top w:val="single" w:sz="4" w:space="0" w:color="auto"/>
              <w:left w:val="single" w:sz="6" w:space="0" w:color="000000"/>
              <w:bottom w:val="single" w:sz="6" w:space="0" w:color="000000"/>
              <w:right w:val="single" w:sz="6" w:space="0" w:color="000000"/>
            </w:tcBorders>
          </w:tcPr>
          <w:p w14:paraId="53B608B7" w14:textId="3DDD2B3E" w:rsidR="00055D01" w:rsidRPr="00A02401" w:rsidRDefault="00055D01" w:rsidP="006C70E3">
            <w:pPr>
              <w:pStyle w:val="naisc"/>
              <w:spacing w:before="60" w:after="60"/>
              <w:jc w:val="both"/>
            </w:pPr>
            <w:r w:rsidRPr="00A02401">
              <w:lastRenderedPageBreak/>
              <w:t>2</w:t>
            </w:r>
            <w:r>
              <w:t>6</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67BA22D2" w14:textId="77777777" w:rsidR="00055D01" w:rsidRPr="00A02401" w:rsidRDefault="00055D01" w:rsidP="006C70E3">
            <w:pPr>
              <w:spacing w:line="293" w:lineRule="atLeast"/>
              <w:jc w:val="both"/>
            </w:pPr>
            <w:r w:rsidRPr="00A02401">
              <w:t>19. Papildināt noteikumus ar 153.</w:t>
            </w:r>
            <w:r w:rsidRPr="00A02401">
              <w:rPr>
                <w:color w:val="000000" w:themeColor="text1"/>
                <w:vertAlign w:val="superscript"/>
              </w:rPr>
              <w:t xml:space="preserve"> 1</w:t>
            </w:r>
            <w:r w:rsidRPr="00A02401">
              <w:t>.punktu šādā redakcijā:</w:t>
            </w:r>
          </w:p>
          <w:p w14:paraId="6AD6D14A" w14:textId="77777777" w:rsidR="00055D01" w:rsidRPr="00A02401" w:rsidRDefault="00055D01" w:rsidP="006C70E3">
            <w:pPr>
              <w:ind w:firstLine="709"/>
              <w:jc w:val="both"/>
            </w:pPr>
            <w:r w:rsidRPr="00A02401">
              <w:t xml:space="preserve"> </w:t>
            </w:r>
          </w:p>
          <w:p w14:paraId="4E27FF84" w14:textId="77777777" w:rsidR="00055D01" w:rsidRPr="00A02401" w:rsidRDefault="00055D01" w:rsidP="00A8700C">
            <w:pPr>
              <w:jc w:val="both"/>
              <w:rPr>
                <w:color w:val="000000"/>
                <w:shd w:val="clear" w:color="auto" w:fill="FFFFFF"/>
              </w:rPr>
            </w:pPr>
            <w:r w:rsidRPr="00A02401">
              <w:t>“153.</w:t>
            </w:r>
            <w:r w:rsidRPr="00A02401">
              <w:rPr>
                <w:color w:val="000000" w:themeColor="text1"/>
                <w:vertAlign w:val="superscript"/>
              </w:rPr>
              <w:t xml:space="preserve"> 1</w:t>
            </w:r>
            <w:r w:rsidRPr="00A02401">
              <w:t xml:space="preserve">. </w:t>
            </w:r>
            <w:r w:rsidRPr="00A02401">
              <w:rPr>
                <w:color w:val="000000"/>
                <w:shd w:val="clear" w:color="auto" w:fill="FFFFFF"/>
              </w:rPr>
              <w:t>Sadales sistēmas operators pēc savas iniciatīvas vai pēc mājsaimniecības lietotāja pieprasījuma veic ar Eiropas Kopienas tipa apstiprinājuma zīmi vai simboliem nemarķēta komercuzskaites mēraparāta ar maksimālo plūsmu Q</w:t>
            </w:r>
            <w:r w:rsidRPr="00A02401">
              <w:rPr>
                <w:color w:val="000000"/>
                <w:shd w:val="clear" w:color="auto" w:fill="FFFFFF"/>
                <w:vertAlign w:val="subscript"/>
              </w:rPr>
              <w:t xml:space="preserve">max </w:t>
            </w:r>
            <w:r w:rsidRPr="00A02401">
              <w:rPr>
                <w:color w:val="000000"/>
                <w:shd w:val="clear" w:color="auto" w:fill="FFFFFF"/>
              </w:rPr>
              <w:t>≤ 3 m</w:t>
            </w:r>
            <w:r w:rsidRPr="00A02401">
              <w:rPr>
                <w:color w:val="000000"/>
                <w:shd w:val="clear" w:color="auto" w:fill="FFFFFF"/>
                <w:vertAlign w:val="superscript"/>
              </w:rPr>
              <w:t>3</w:t>
            </w:r>
            <w:r w:rsidRPr="00A02401">
              <w:rPr>
                <w:color w:val="000000"/>
                <w:shd w:val="clear" w:color="auto" w:fill="FFFFFF"/>
              </w:rPr>
              <w:t xml:space="preserve">/h darbības precizitātes pārbaudi, ja mājsaimniecības lietotāja dabasgāzes gada patēriņa rādījums salīdzinājumā ar iepriekšējo gadu ir mainījies vairāk par 30%. Komercuzskaites mēraparāta pārbaudes izmaksas sedz sadales sistēmas operators. Ja komercuzskaites </w:t>
            </w:r>
            <w:r w:rsidRPr="00A02401">
              <w:rPr>
                <w:color w:val="000000"/>
                <w:shd w:val="clear" w:color="auto" w:fill="FFFFFF"/>
              </w:rPr>
              <w:lastRenderedPageBreak/>
              <w:t>mēraparāta ar maksimālo plūsmu Q</w:t>
            </w:r>
            <w:r w:rsidRPr="00A02401">
              <w:rPr>
                <w:color w:val="000000"/>
                <w:shd w:val="clear" w:color="auto" w:fill="FFFFFF"/>
                <w:vertAlign w:val="subscript"/>
              </w:rPr>
              <w:t xml:space="preserve">max </w:t>
            </w:r>
            <w:r w:rsidRPr="00A02401">
              <w:rPr>
                <w:color w:val="000000"/>
                <w:shd w:val="clear" w:color="auto" w:fill="FFFFFF"/>
              </w:rPr>
              <w:t>≤ 3 m</w:t>
            </w:r>
            <w:r w:rsidRPr="00A02401">
              <w:rPr>
                <w:color w:val="000000"/>
                <w:shd w:val="clear" w:color="auto" w:fill="FFFFFF"/>
                <w:vertAlign w:val="superscript"/>
              </w:rPr>
              <w:t>3</w:t>
            </w:r>
            <w:r w:rsidRPr="00A02401">
              <w:rPr>
                <w:color w:val="000000"/>
                <w:shd w:val="clear" w:color="auto" w:fill="FFFFFF"/>
              </w:rPr>
              <w:t>/h pārbaudes laikā konstatētā rādījumu precizitātes kļūda pārsniedz normatīvajos aktos noteikto maksimāli pieļaujamo kļūdu, sadales sistēmas operators nomaina gazificētajā objektā uzstādīto komercuzskaites mēraparātu un sedz ar nomaiņu saistītās izmaksas.</w:t>
            </w:r>
            <w:r w:rsidRPr="00A02401">
              <w:t>”.</w:t>
            </w:r>
          </w:p>
          <w:p w14:paraId="09792E2C" w14:textId="7666FB0D" w:rsidR="00055D01" w:rsidRPr="00A02401" w:rsidRDefault="00055D01" w:rsidP="006C70E3">
            <w:pPr>
              <w:pStyle w:val="naisc"/>
              <w:spacing w:before="60" w:after="60"/>
              <w:ind w:firstLine="33"/>
              <w:jc w:val="both"/>
            </w:pPr>
          </w:p>
        </w:tc>
        <w:tc>
          <w:tcPr>
            <w:tcW w:w="4278" w:type="dxa"/>
            <w:tcBorders>
              <w:top w:val="single" w:sz="4" w:space="0" w:color="auto"/>
              <w:left w:val="single" w:sz="6" w:space="0" w:color="000000"/>
              <w:bottom w:val="single" w:sz="6" w:space="0" w:color="000000"/>
              <w:right w:val="single" w:sz="6" w:space="0" w:color="000000"/>
            </w:tcBorders>
          </w:tcPr>
          <w:p w14:paraId="7B1B2DAC" w14:textId="1FC9823F" w:rsidR="00055D01" w:rsidRPr="00A8700C" w:rsidRDefault="00055D01" w:rsidP="00A8700C">
            <w:pPr>
              <w:spacing w:line="259" w:lineRule="auto"/>
              <w:jc w:val="both"/>
              <w:rPr>
                <w:b/>
                <w:bCs/>
              </w:rPr>
            </w:pPr>
            <w:r w:rsidRPr="00A02401">
              <w:rPr>
                <w:b/>
                <w:bCs/>
              </w:rPr>
              <w:lastRenderedPageBreak/>
              <w:t>Akciju sabiedrība “Gaso”</w:t>
            </w:r>
          </w:p>
          <w:p w14:paraId="3A16AE76" w14:textId="0E58AE16" w:rsidR="00055D01" w:rsidRPr="00A02401" w:rsidRDefault="00055D01" w:rsidP="006C70E3">
            <w:pPr>
              <w:pStyle w:val="NoSpacing"/>
              <w:ind w:firstLine="0"/>
              <w:rPr>
                <w:sz w:val="24"/>
                <w:szCs w:val="24"/>
              </w:rPr>
            </w:pPr>
            <w:r w:rsidRPr="00A02401">
              <w:rPr>
                <w:sz w:val="24"/>
                <w:szCs w:val="24"/>
              </w:rPr>
              <w:t>Gaso lūdz Noteikumu projektā iekļaut grozījumus, kas Ekonomikas ministrijai bija iesniegti ar Gaso 2020.gada 12.jūnija vēstuli Nr.6-6-2/1961. Ņemot vērā, ka Gaso grozījumu priekšlikumi ir tieši saistīti ar dabasgāzes komerciālās uzskaites mēraparātu verificēšanas jautājumiem un, pamatojoties uz Ministru kabineta 2009.gada 7.aprīļa noteikumu Nr.300 “Ministru kabineta kārtības rullis” 26.punktu, lūdzam Noteikumu projektu ar Gaso piedāvātajiem grozījumiem virzīt vienlaicīgi ar grozījumu projektu Ministru kabineta 2007.gada 9.janvāra noteikumos Nr. 40 “Noteikumi par valsts metroloģiskai kontrolei pakļauto mērīšanas līdzekļu sarakstu”, kas pievienots iepriekš minētajai Gaso 2020.gada 12.jūnija vēstulei Nr.6-6-2/1961.</w:t>
            </w:r>
          </w:p>
          <w:p w14:paraId="32C9ACCD" w14:textId="77777777" w:rsidR="00055D01" w:rsidRPr="00A02401" w:rsidRDefault="00055D01" w:rsidP="006C70E3">
            <w:pPr>
              <w:pStyle w:val="naisc"/>
              <w:spacing w:before="60" w:after="60"/>
              <w:jc w:val="both"/>
              <w:rPr>
                <w:b/>
                <w:bCs/>
                <w:shd w:val="clear" w:color="auto" w:fill="FDFCFD"/>
              </w:rPr>
            </w:pPr>
          </w:p>
          <w:p w14:paraId="081B39B0" w14:textId="77777777" w:rsidR="00055D01" w:rsidRPr="00A02401" w:rsidRDefault="00055D01" w:rsidP="006C70E3">
            <w:pPr>
              <w:pStyle w:val="naisc"/>
              <w:spacing w:before="60" w:after="60"/>
              <w:jc w:val="both"/>
              <w:rPr>
                <w:b/>
                <w:bCs/>
                <w:shd w:val="clear" w:color="auto" w:fill="FDFCFD"/>
              </w:rPr>
            </w:pPr>
          </w:p>
          <w:p w14:paraId="7EF16911" w14:textId="46BA50B7" w:rsidR="00055D01" w:rsidRPr="006B0018" w:rsidRDefault="00055D01" w:rsidP="006B0018">
            <w:pPr>
              <w:pStyle w:val="naisc"/>
              <w:spacing w:before="60" w:after="60"/>
              <w:jc w:val="both"/>
              <w:rPr>
                <w:b/>
                <w:bCs/>
                <w:shd w:val="clear" w:color="auto" w:fill="FDFCFD"/>
              </w:rPr>
            </w:pPr>
            <w:r w:rsidRPr="00A02401">
              <w:rPr>
                <w:b/>
                <w:bCs/>
                <w:shd w:val="clear" w:color="auto" w:fill="FDFCFD"/>
              </w:rPr>
              <w:t>PTAC</w:t>
            </w:r>
          </w:p>
          <w:p w14:paraId="6C4792DD" w14:textId="5AE42F24" w:rsidR="00055D01" w:rsidRPr="00A02401" w:rsidRDefault="00055D01" w:rsidP="006C70E3">
            <w:pPr>
              <w:jc w:val="both"/>
            </w:pPr>
            <w:r w:rsidRPr="00A02401">
              <w:t>PTAC jau iepriekš vērsa uzmanību, ka skaitītāji var būt marķēti ne tikai ar EK tipa apstiprinājuma zīmi vai simboliem, bet arī ar CE atbilstības marķējumu. Ņemot vērā iepriekš minēto, PTAC iesaka Noteikumus Nr.78 izteikt šādā redakcijā, ņemot vērā Ministru kabineta 2014.gada 14.oktobra noteikumos Nr. 624 “</w:t>
            </w:r>
            <w:r w:rsidRPr="00A02401">
              <w:rPr>
                <w:i/>
                <w:iCs/>
              </w:rPr>
              <w:t>Noteikumi par mērīšanas līdzekļu metroloģiskās kontroles kārtību un pirmreizējās verificēšanas atzīmēm</w:t>
            </w:r>
            <w:r w:rsidRPr="00A02401">
              <w:t xml:space="preserve">” izmantoto terminoloģiju attiecībā uz EK tipa apstiprinājuma zīmi –  </w:t>
            </w:r>
            <w:r w:rsidRPr="00A02401">
              <w:rPr>
                <w:i/>
                <w:iCs/>
              </w:rPr>
              <w:t>“153.</w:t>
            </w:r>
            <w:r w:rsidRPr="00A02401">
              <w:rPr>
                <w:i/>
                <w:iCs/>
                <w:vertAlign w:val="superscript"/>
              </w:rPr>
              <w:t>1</w:t>
            </w:r>
            <w:r w:rsidRPr="00A02401">
              <w:rPr>
                <w:i/>
                <w:iCs/>
              </w:rPr>
              <w:t xml:space="preserve">. Sadales sistēmas operators pēc savas iniciatīvas vai pēc mājsaimniecības lietotāja pieprasījuma veic ar Eiropas Kopienas tipa apstiprinājuma zīmi vai CE atbilstības marķējuma nemarķēta komercuzskaites mēraparāta ar maksimālo plūsmu Qmax ≤ 3 m3/h darbības precizitātes pārbaudi, ja mājsaimniecības lietotāja dabasgāzes gada patēriņa rādījums salīdzinājumā ar iepriekšējo gadu ir mainījies vairāk par 30%. Komercuzskaites mēraparāta pārbaudes izmaksas sedz sadales sistēmas operators. Ja komercuzskaites mēraparāta ar maksimālo plūsmu Qmax ≤ 3 m3/h pārbaudes laikā konstatētā rādījumu precizitātes kļūda pārsniedz normatīvajos aktos noteikto maksimāli pieļaujamo kļūdu, sadales sistēmas operators nomaina </w:t>
            </w:r>
            <w:r w:rsidRPr="00A02401">
              <w:rPr>
                <w:i/>
                <w:iCs/>
              </w:rPr>
              <w:lastRenderedPageBreak/>
              <w:t>gazificētajā objektā uzstādīto komercuzskaites mēraparātu un sedz ar nomaiņu saistītās izmaksas”</w:t>
            </w:r>
            <w:r w:rsidRPr="00A02401">
              <w:t>.</w:t>
            </w:r>
          </w:p>
          <w:p w14:paraId="334964DE" w14:textId="58BB49E4" w:rsidR="00055D01" w:rsidRPr="00A02401" w:rsidRDefault="00055D01" w:rsidP="006C70E3">
            <w:pPr>
              <w:ind w:firstLine="720"/>
              <w:jc w:val="both"/>
            </w:pPr>
          </w:p>
          <w:p w14:paraId="08ED11B9" w14:textId="5984D97D" w:rsidR="00055D01" w:rsidRPr="00A02401" w:rsidRDefault="00055D01" w:rsidP="006C70E3">
            <w:pPr>
              <w:ind w:firstLine="720"/>
              <w:jc w:val="both"/>
              <w:rPr>
                <w:b/>
                <w:bCs/>
                <w:shd w:val="clear" w:color="auto" w:fill="FDFCFD"/>
              </w:rPr>
            </w:pPr>
          </w:p>
        </w:tc>
        <w:tc>
          <w:tcPr>
            <w:tcW w:w="3260" w:type="dxa"/>
            <w:gridSpan w:val="2"/>
            <w:tcBorders>
              <w:top w:val="single" w:sz="4" w:space="0" w:color="auto"/>
              <w:left w:val="single" w:sz="6" w:space="0" w:color="000000"/>
              <w:bottom w:val="single" w:sz="6" w:space="0" w:color="000000"/>
              <w:right w:val="single" w:sz="6" w:space="0" w:color="000000"/>
            </w:tcBorders>
          </w:tcPr>
          <w:p w14:paraId="751B2E95" w14:textId="77777777" w:rsidR="00055D01" w:rsidRPr="00A02401" w:rsidRDefault="00055D01" w:rsidP="006C70E3">
            <w:pPr>
              <w:pStyle w:val="naisc"/>
              <w:spacing w:before="60" w:after="60"/>
              <w:ind w:firstLine="5"/>
              <w:jc w:val="both"/>
              <w:rPr>
                <w:b/>
              </w:rPr>
            </w:pPr>
            <w:r w:rsidRPr="00A02401">
              <w:rPr>
                <w:b/>
              </w:rPr>
              <w:lastRenderedPageBreak/>
              <w:t>Ņemts vērā.</w:t>
            </w:r>
          </w:p>
          <w:p w14:paraId="09CDA17B" w14:textId="14B04B3D" w:rsidR="00055D01" w:rsidRPr="00A02401" w:rsidRDefault="00055D01" w:rsidP="006C70E3">
            <w:pPr>
              <w:pStyle w:val="naisc"/>
              <w:spacing w:before="60" w:after="60"/>
              <w:ind w:firstLine="5"/>
              <w:jc w:val="both"/>
              <w:rPr>
                <w:bCs/>
              </w:rPr>
            </w:pPr>
            <w:r w:rsidRPr="00A02401">
              <w:rPr>
                <w:bCs/>
              </w:rPr>
              <w:t xml:space="preserve">Ekonomikas ministrija, izvērtējot AS “Gaso” priekšlikumus par </w:t>
            </w:r>
            <w:r w:rsidRPr="00A02401">
              <w:t xml:space="preserve">dabasgāzes komerciālās uzskaites mēraparātu verificēšanu un pēdējās garantētās piegādes pakalpojuma sniegšanu, </w:t>
            </w:r>
            <w:r w:rsidRPr="00A02401">
              <w:rPr>
                <w:bCs/>
              </w:rPr>
              <w:t xml:space="preserve"> ir veikusi atbilstošus papildinājumus Noteikumu projektā un Anotācijā.</w:t>
            </w:r>
          </w:p>
        </w:tc>
        <w:tc>
          <w:tcPr>
            <w:tcW w:w="2951" w:type="dxa"/>
            <w:tcBorders>
              <w:top w:val="single" w:sz="4" w:space="0" w:color="auto"/>
              <w:left w:val="single" w:sz="4" w:space="0" w:color="auto"/>
              <w:bottom w:val="single" w:sz="4" w:space="0" w:color="auto"/>
            </w:tcBorders>
          </w:tcPr>
          <w:p w14:paraId="30B892CC" w14:textId="286F791D" w:rsidR="00055D01" w:rsidRPr="00A02401" w:rsidRDefault="00055D01" w:rsidP="006C70E3">
            <w:pPr>
              <w:spacing w:before="60" w:after="60"/>
              <w:ind w:firstLine="5"/>
              <w:jc w:val="both"/>
            </w:pPr>
            <w:r w:rsidRPr="00A02401">
              <w:rPr>
                <w:bCs/>
              </w:rPr>
              <w:t>Noteikumu projekts un Anotācija papildināta atbilstoši AS “Gaso” priekšlikumiem.</w:t>
            </w:r>
          </w:p>
        </w:tc>
      </w:tr>
      <w:tr w:rsidR="002F4C03" w:rsidRPr="00A02401" w14:paraId="05A71E84" w14:textId="77777777" w:rsidTr="006B0018">
        <w:tc>
          <w:tcPr>
            <w:tcW w:w="675" w:type="dxa"/>
            <w:tcBorders>
              <w:top w:val="single" w:sz="4" w:space="0" w:color="auto"/>
              <w:left w:val="single" w:sz="6" w:space="0" w:color="000000"/>
              <w:bottom w:val="single" w:sz="6" w:space="0" w:color="000000"/>
              <w:right w:val="single" w:sz="6" w:space="0" w:color="000000"/>
            </w:tcBorders>
            <w:shd w:val="clear" w:color="auto" w:fill="auto"/>
          </w:tcPr>
          <w:p w14:paraId="3F0DB941" w14:textId="15D036BE" w:rsidR="002F4C03" w:rsidRPr="00A02401" w:rsidRDefault="00F33A5B" w:rsidP="006C70E3">
            <w:pPr>
              <w:pStyle w:val="naisc"/>
              <w:spacing w:before="60" w:after="60"/>
              <w:jc w:val="both"/>
            </w:pPr>
            <w:r>
              <w:lastRenderedPageBreak/>
              <w:t>27.</w:t>
            </w:r>
          </w:p>
        </w:tc>
        <w:tc>
          <w:tcPr>
            <w:tcW w:w="3119" w:type="dxa"/>
            <w:gridSpan w:val="2"/>
            <w:tcBorders>
              <w:top w:val="single" w:sz="4" w:space="0" w:color="auto"/>
              <w:left w:val="single" w:sz="6" w:space="0" w:color="000000"/>
              <w:bottom w:val="single" w:sz="6" w:space="0" w:color="000000"/>
              <w:right w:val="single" w:sz="6" w:space="0" w:color="000000"/>
            </w:tcBorders>
            <w:shd w:val="clear" w:color="auto" w:fill="auto"/>
          </w:tcPr>
          <w:p w14:paraId="542B46A5" w14:textId="7E7F390A" w:rsidR="002F4C03" w:rsidRPr="00A83373" w:rsidRDefault="002F4C03" w:rsidP="006C70E3">
            <w:pPr>
              <w:spacing w:line="293" w:lineRule="atLeast"/>
              <w:jc w:val="both"/>
              <w:rPr>
                <w:szCs w:val="28"/>
              </w:rPr>
            </w:pPr>
            <w:r w:rsidRPr="00A83373">
              <w:rPr>
                <w:szCs w:val="28"/>
              </w:rPr>
              <w:t>24. Papildināt XII</w:t>
            </w:r>
            <w:r w:rsidRPr="00A83373" w:rsidDel="005C084B">
              <w:rPr>
                <w:szCs w:val="28"/>
              </w:rPr>
              <w:t xml:space="preserve"> </w:t>
            </w:r>
            <w:r w:rsidRPr="00A83373">
              <w:rPr>
                <w:szCs w:val="28"/>
              </w:rPr>
              <w:t xml:space="preserve"> nodaļu ar 1</w:t>
            </w:r>
            <w:r>
              <w:rPr>
                <w:szCs w:val="28"/>
              </w:rPr>
              <w:t>53</w:t>
            </w:r>
            <w:r w:rsidRPr="00A83373">
              <w:rPr>
                <w:szCs w:val="28"/>
              </w:rPr>
              <w:t>.</w:t>
            </w:r>
            <w:r w:rsidRPr="00A83373">
              <w:rPr>
                <w:color w:val="000000" w:themeColor="text1"/>
                <w:szCs w:val="28"/>
                <w:vertAlign w:val="superscript"/>
              </w:rPr>
              <w:t xml:space="preserve"> 1</w:t>
            </w:r>
            <w:r w:rsidRPr="00A83373">
              <w:rPr>
                <w:szCs w:val="28"/>
              </w:rPr>
              <w:t>.punktu šādā redakcijā:</w:t>
            </w:r>
          </w:p>
          <w:p w14:paraId="1B420993" w14:textId="77777777" w:rsidR="002F4C03" w:rsidRPr="00A83373" w:rsidRDefault="002F4C03" w:rsidP="006C70E3">
            <w:pPr>
              <w:ind w:firstLine="709"/>
              <w:jc w:val="both"/>
              <w:rPr>
                <w:szCs w:val="28"/>
              </w:rPr>
            </w:pPr>
            <w:r w:rsidRPr="00A83373">
              <w:rPr>
                <w:szCs w:val="28"/>
              </w:rPr>
              <w:t xml:space="preserve"> </w:t>
            </w:r>
          </w:p>
          <w:p w14:paraId="4F7619E1" w14:textId="456365D9" w:rsidR="002F4C03" w:rsidRPr="00A83373" w:rsidRDefault="002F4C03" w:rsidP="006B0018">
            <w:pPr>
              <w:jc w:val="both"/>
              <w:rPr>
                <w:szCs w:val="28"/>
              </w:rPr>
            </w:pPr>
            <w:r w:rsidRPr="00A83373">
              <w:rPr>
                <w:szCs w:val="28"/>
              </w:rPr>
              <w:t>“</w:t>
            </w:r>
            <w:r>
              <w:rPr>
                <w:szCs w:val="28"/>
              </w:rPr>
              <w:t>153</w:t>
            </w:r>
            <w:r w:rsidRPr="00A83373">
              <w:rPr>
                <w:szCs w:val="28"/>
              </w:rPr>
              <w:t>.</w:t>
            </w:r>
            <w:r w:rsidRPr="00A83373">
              <w:rPr>
                <w:szCs w:val="28"/>
                <w:vertAlign w:val="superscript"/>
              </w:rPr>
              <w:t>1</w:t>
            </w:r>
            <w:r w:rsidRPr="00A83373">
              <w:rPr>
                <w:szCs w:val="28"/>
              </w:rPr>
              <w:t xml:space="preserve">. Sadales sistēmas operators pēc savas iniciatīvas vai pēc mājsaimniecības lietotāja pieprasījuma veic ar Eiropas Kopienas tipa apstiprinājuma zīmi vai CE atbilstības marķējuma nemarķēta komercuzskaites mēraparāta ar maksimālo plūsmu Qmax ≤ 3 m3/h darbības precizitātes pārbaudi, ja mājsaimniecības lietotāja dabasgāzes gada patēriņa rādījums salīdzinājumā ar iepriekšējo gadu ir mainījies vairāk par 30%. Komercuzskaites mēraparāta pārbaudes izmaksas sedz sadales sistēmas operators. Ja komercuzskaites </w:t>
            </w:r>
            <w:r w:rsidRPr="00A83373">
              <w:rPr>
                <w:szCs w:val="28"/>
              </w:rPr>
              <w:softHyphen/>
            </w:r>
            <w:r w:rsidRPr="00A83373">
              <w:rPr>
                <w:szCs w:val="28"/>
              </w:rPr>
              <w:softHyphen/>
            </w:r>
            <w:r w:rsidRPr="00A83373">
              <w:rPr>
                <w:szCs w:val="28"/>
              </w:rPr>
              <w:softHyphen/>
              <w:t xml:space="preserve">rādījumu precizitātes kļūda pārsniedz normatīvajos aktos noteikto maksimāli pieļaujamo kļūdu, sadales sistēmas operators nomaina gazificētajā objektā </w:t>
            </w:r>
            <w:r w:rsidRPr="00A83373">
              <w:rPr>
                <w:szCs w:val="28"/>
              </w:rPr>
              <w:lastRenderedPageBreak/>
              <w:t>uzstādīto komercuzskaites mēraparātu un sedz ar nomaiņu saistītās izmaksas</w:t>
            </w:r>
            <w:r w:rsidRPr="00A83373">
              <w:rPr>
                <w:color w:val="000000"/>
                <w:szCs w:val="28"/>
                <w:shd w:val="clear" w:color="auto" w:fill="FFFFFF"/>
              </w:rPr>
              <w:t>.</w:t>
            </w:r>
            <w:r w:rsidRPr="00A83373">
              <w:rPr>
                <w:szCs w:val="28"/>
              </w:rPr>
              <w:t>”.</w:t>
            </w:r>
          </w:p>
          <w:p w14:paraId="0C88C975" w14:textId="77777777" w:rsidR="002F4C03" w:rsidRPr="00A02401" w:rsidRDefault="002F4C03" w:rsidP="006C70E3">
            <w:pPr>
              <w:spacing w:line="293" w:lineRule="atLeast"/>
              <w:jc w:val="both"/>
            </w:pPr>
          </w:p>
        </w:tc>
        <w:tc>
          <w:tcPr>
            <w:tcW w:w="4278" w:type="dxa"/>
            <w:tcBorders>
              <w:top w:val="single" w:sz="4" w:space="0" w:color="auto"/>
              <w:left w:val="single" w:sz="6" w:space="0" w:color="000000"/>
              <w:bottom w:val="single" w:sz="6" w:space="0" w:color="000000"/>
              <w:right w:val="single" w:sz="6" w:space="0" w:color="000000"/>
            </w:tcBorders>
            <w:shd w:val="clear" w:color="auto" w:fill="auto"/>
          </w:tcPr>
          <w:p w14:paraId="07989511" w14:textId="74B75040" w:rsidR="002F4C03" w:rsidRDefault="002F4C03" w:rsidP="006C70E3">
            <w:pPr>
              <w:pStyle w:val="NoSpacing"/>
              <w:ind w:firstLine="0"/>
              <w:rPr>
                <w:rFonts w:cstheme="minorHAnsi"/>
                <w:b/>
                <w:bCs/>
                <w:sz w:val="24"/>
                <w:szCs w:val="24"/>
                <w:shd w:val="clear" w:color="auto" w:fill="FDFCFD"/>
              </w:rPr>
            </w:pPr>
            <w:r>
              <w:rPr>
                <w:rFonts w:cstheme="minorHAnsi"/>
                <w:b/>
                <w:bCs/>
                <w:sz w:val="24"/>
                <w:szCs w:val="24"/>
                <w:shd w:val="clear" w:color="auto" w:fill="FDFCFD"/>
              </w:rPr>
              <w:lastRenderedPageBreak/>
              <w:t>SPRK</w:t>
            </w:r>
          </w:p>
          <w:p w14:paraId="039B556B" w14:textId="77777777" w:rsidR="002F4C03" w:rsidRPr="0075725F" w:rsidRDefault="002F4C03" w:rsidP="006C70E3">
            <w:pPr>
              <w:spacing w:after="60"/>
              <w:jc w:val="both"/>
            </w:pPr>
            <w:r>
              <w:t>Nodrošinot normu pārskatāmību un secīgumu, Regulators rosina Noteikumu projekta 24.punktā paredzēt, ka Noteikumi tiek papildināti ar 149.</w:t>
            </w:r>
            <w:r w:rsidRPr="002F4C03">
              <w:rPr>
                <w:vertAlign w:val="superscript"/>
              </w:rPr>
              <w:t>1</w:t>
            </w:r>
            <w:r>
              <w:t xml:space="preserve"> punktu Noteikumu projekta 24.punktā noteiktajā redakcijā, nevis 153.</w:t>
            </w:r>
            <w:r w:rsidRPr="002F4C03">
              <w:rPr>
                <w:vertAlign w:val="superscript"/>
              </w:rPr>
              <w:t>1</w:t>
            </w:r>
            <w:r>
              <w:t>punktu.</w:t>
            </w:r>
          </w:p>
          <w:p w14:paraId="76A554FC" w14:textId="68BBCC46" w:rsidR="002F4C03" w:rsidRPr="002F4C03" w:rsidRDefault="002F4C03" w:rsidP="006C70E3">
            <w:pPr>
              <w:pStyle w:val="NoSpacing"/>
              <w:ind w:firstLine="0"/>
              <w:rPr>
                <w:rFonts w:cstheme="minorHAnsi"/>
                <w:b/>
                <w:bCs/>
                <w:sz w:val="24"/>
                <w:szCs w:val="24"/>
                <w:shd w:val="clear" w:color="auto" w:fill="FDFCFD"/>
              </w:rPr>
            </w:pPr>
          </w:p>
        </w:tc>
        <w:tc>
          <w:tcPr>
            <w:tcW w:w="3260" w:type="dxa"/>
            <w:gridSpan w:val="2"/>
            <w:tcBorders>
              <w:top w:val="single" w:sz="4" w:space="0" w:color="auto"/>
              <w:left w:val="single" w:sz="6" w:space="0" w:color="000000"/>
              <w:bottom w:val="single" w:sz="6" w:space="0" w:color="000000"/>
              <w:right w:val="single" w:sz="6" w:space="0" w:color="000000"/>
            </w:tcBorders>
            <w:shd w:val="clear" w:color="auto" w:fill="auto"/>
          </w:tcPr>
          <w:p w14:paraId="489063F6" w14:textId="378E9193" w:rsidR="002F4C03" w:rsidRDefault="002F4C03" w:rsidP="006B0018">
            <w:pPr>
              <w:pStyle w:val="naisc"/>
              <w:spacing w:before="60" w:after="60"/>
              <w:ind w:firstLine="5"/>
              <w:jc w:val="both"/>
              <w:rPr>
                <w:b/>
              </w:rPr>
            </w:pPr>
            <w:r>
              <w:rPr>
                <w:b/>
              </w:rPr>
              <w:t>Ņemts vērā.</w:t>
            </w:r>
          </w:p>
          <w:p w14:paraId="3FBA2C53" w14:textId="3A7C4E20" w:rsidR="002F4C03" w:rsidRPr="002F4C03" w:rsidRDefault="002F4C03" w:rsidP="006C70E3">
            <w:pPr>
              <w:pStyle w:val="naisc"/>
              <w:spacing w:before="60" w:after="60"/>
              <w:ind w:firstLine="5"/>
              <w:jc w:val="both"/>
              <w:rPr>
                <w:bCs/>
              </w:rPr>
            </w:pPr>
            <w:r>
              <w:rPr>
                <w:bCs/>
              </w:rPr>
              <w:t>Apakšpunktu numerācija atbilstoši precizēta.</w:t>
            </w:r>
          </w:p>
        </w:tc>
        <w:tc>
          <w:tcPr>
            <w:tcW w:w="2951" w:type="dxa"/>
            <w:tcBorders>
              <w:top w:val="single" w:sz="4" w:space="0" w:color="auto"/>
              <w:left w:val="single" w:sz="4" w:space="0" w:color="auto"/>
              <w:bottom w:val="single" w:sz="4" w:space="0" w:color="auto"/>
            </w:tcBorders>
            <w:shd w:val="clear" w:color="auto" w:fill="auto"/>
          </w:tcPr>
          <w:p w14:paraId="11471A50" w14:textId="77777777" w:rsidR="002F4C03" w:rsidRPr="00A83373" w:rsidRDefault="002F4C03" w:rsidP="006C70E3">
            <w:pPr>
              <w:spacing w:line="293" w:lineRule="atLeast"/>
              <w:jc w:val="both"/>
              <w:rPr>
                <w:szCs w:val="28"/>
              </w:rPr>
            </w:pPr>
            <w:r w:rsidRPr="00A83373">
              <w:rPr>
                <w:szCs w:val="28"/>
              </w:rPr>
              <w:t>24. Papildināt XII</w:t>
            </w:r>
            <w:r w:rsidRPr="00A83373" w:rsidDel="005C084B">
              <w:rPr>
                <w:szCs w:val="28"/>
              </w:rPr>
              <w:t xml:space="preserve"> </w:t>
            </w:r>
            <w:r w:rsidRPr="00A83373">
              <w:rPr>
                <w:szCs w:val="28"/>
              </w:rPr>
              <w:t xml:space="preserve"> nodaļu ar 1</w:t>
            </w:r>
            <w:r>
              <w:rPr>
                <w:szCs w:val="28"/>
              </w:rPr>
              <w:t>49</w:t>
            </w:r>
            <w:r w:rsidRPr="00A83373">
              <w:rPr>
                <w:szCs w:val="28"/>
              </w:rPr>
              <w:t>.</w:t>
            </w:r>
            <w:r w:rsidRPr="00A83373">
              <w:rPr>
                <w:color w:val="000000" w:themeColor="text1"/>
                <w:szCs w:val="28"/>
                <w:vertAlign w:val="superscript"/>
              </w:rPr>
              <w:t xml:space="preserve"> 1</w:t>
            </w:r>
            <w:r w:rsidRPr="00A83373">
              <w:rPr>
                <w:szCs w:val="28"/>
              </w:rPr>
              <w:t>.punktu šādā redakcijā:</w:t>
            </w:r>
          </w:p>
          <w:p w14:paraId="6FC938CA" w14:textId="77777777" w:rsidR="002F4C03" w:rsidRPr="00A83373" w:rsidRDefault="002F4C03" w:rsidP="006B0018">
            <w:pPr>
              <w:jc w:val="both"/>
              <w:rPr>
                <w:szCs w:val="28"/>
              </w:rPr>
            </w:pPr>
            <w:r w:rsidRPr="00A83373">
              <w:rPr>
                <w:szCs w:val="28"/>
              </w:rPr>
              <w:t xml:space="preserve"> </w:t>
            </w:r>
          </w:p>
          <w:p w14:paraId="644351D4" w14:textId="737384A6" w:rsidR="002F4C03" w:rsidRPr="006B0018" w:rsidRDefault="002F4C03" w:rsidP="006B0018">
            <w:pPr>
              <w:jc w:val="both"/>
              <w:rPr>
                <w:szCs w:val="28"/>
              </w:rPr>
            </w:pPr>
            <w:r w:rsidRPr="00A83373">
              <w:rPr>
                <w:szCs w:val="28"/>
              </w:rPr>
              <w:t>“1</w:t>
            </w:r>
            <w:r>
              <w:rPr>
                <w:szCs w:val="28"/>
              </w:rPr>
              <w:t>49</w:t>
            </w:r>
            <w:r w:rsidRPr="00A83373">
              <w:rPr>
                <w:szCs w:val="28"/>
              </w:rPr>
              <w:t>.</w:t>
            </w:r>
            <w:r w:rsidRPr="00A83373">
              <w:rPr>
                <w:szCs w:val="28"/>
                <w:vertAlign w:val="superscript"/>
              </w:rPr>
              <w:t>1</w:t>
            </w:r>
            <w:r w:rsidRPr="00A83373">
              <w:rPr>
                <w:szCs w:val="28"/>
              </w:rPr>
              <w:t xml:space="preserve">. Sadales sistēmas operators pēc savas iniciatīvas vai pēc mājsaimniecības lietotāja pieprasījuma veic ar Eiropas Kopienas tipa apstiprinājuma zīmi vai CE atbilstības marķējuma nemarķēta komercuzskaites mēraparāta ar maksimālo plūsmu Qmax ≤ 3 m3/h darbības precizitātes pārbaudi, ja mājsaimniecības lietotāja dabasgāzes gada patēriņa rādījums salīdzinājumā ar iepriekšējo gadu ir mainījies vairāk par 30%. Komercuzskaites mēraparāta pārbaudes izmaksas sedz sadales sistēmas operators. Ja komercuzskaites </w:t>
            </w:r>
            <w:r w:rsidRPr="00A83373">
              <w:rPr>
                <w:szCs w:val="28"/>
              </w:rPr>
              <w:softHyphen/>
            </w:r>
            <w:r w:rsidRPr="00A83373">
              <w:rPr>
                <w:szCs w:val="28"/>
              </w:rPr>
              <w:softHyphen/>
            </w:r>
            <w:r w:rsidRPr="00A83373">
              <w:rPr>
                <w:szCs w:val="28"/>
              </w:rPr>
              <w:softHyphen/>
              <w:t xml:space="preserve">rādījumu precizitātes kļūda pārsniedz normatīvajos aktos noteikto maksimāli pieļaujamo kļūdu, </w:t>
            </w:r>
            <w:r w:rsidRPr="00A83373">
              <w:rPr>
                <w:szCs w:val="28"/>
              </w:rPr>
              <w:lastRenderedPageBreak/>
              <w:t>sadales sistēmas operators nomaina gazificētajā objektā uzstādīto komercuzskaites mēraparātu un sedz ar nomaiņu saistītās izmaksas</w:t>
            </w:r>
            <w:r w:rsidRPr="00A83373">
              <w:rPr>
                <w:color w:val="000000"/>
                <w:szCs w:val="28"/>
                <w:shd w:val="clear" w:color="auto" w:fill="FFFFFF"/>
              </w:rPr>
              <w:t>.</w:t>
            </w:r>
            <w:r w:rsidRPr="00A83373">
              <w:rPr>
                <w:szCs w:val="28"/>
              </w:rPr>
              <w:t>”.</w:t>
            </w:r>
          </w:p>
        </w:tc>
      </w:tr>
      <w:tr w:rsidR="00055D01" w:rsidRPr="00A02401" w14:paraId="172C2864" w14:textId="77777777" w:rsidTr="007D72ED">
        <w:tc>
          <w:tcPr>
            <w:tcW w:w="675" w:type="dxa"/>
            <w:tcBorders>
              <w:top w:val="single" w:sz="4" w:space="0" w:color="auto"/>
              <w:left w:val="single" w:sz="6" w:space="0" w:color="000000"/>
              <w:bottom w:val="single" w:sz="6" w:space="0" w:color="000000"/>
              <w:right w:val="single" w:sz="6" w:space="0" w:color="000000"/>
            </w:tcBorders>
          </w:tcPr>
          <w:p w14:paraId="6EF35D85" w14:textId="1053206F" w:rsidR="00055D01" w:rsidRPr="00A02401" w:rsidRDefault="00F33A5B" w:rsidP="006C70E3">
            <w:pPr>
              <w:pStyle w:val="naisc"/>
              <w:spacing w:before="60" w:after="60"/>
              <w:jc w:val="both"/>
            </w:pPr>
            <w:r>
              <w:lastRenderedPageBreak/>
              <w:t>28.</w:t>
            </w:r>
          </w:p>
        </w:tc>
        <w:tc>
          <w:tcPr>
            <w:tcW w:w="3119" w:type="dxa"/>
            <w:gridSpan w:val="2"/>
            <w:tcBorders>
              <w:top w:val="single" w:sz="4" w:space="0" w:color="auto"/>
              <w:left w:val="single" w:sz="6" w:space="0" w:color="000000"/>
              <w:bottom w:val="single" w:sz="6" w:space="0" w:color="000000"/>
              <w:right w:val="single" w:sz="6" w:space="0" w:color="000000"/>
            </w:tcBorders>
          </w:tcPr>
          <w:p w14:paraId="4939DA33" w14:textId="77777777" w:rsidR="00055D01" w:rsidRPr="00A02401" w:rsidRDefault="00055D01" w:rsidP="006C70E3">
            <w:pPr>
              <w:spacing w:line="293" w:lineRule="atLeast"/>
              <w:jc w:val="both"/>
            </w:pPr>
            <w:r w:rsidRPr="00A02401">
              <w:t>14. Papildināt noteikumus ar 183.punktu šādā redakcijā:</w:t>
            </w:r>
          </w:p>
          <w:p w14:paraId="4B74B922" w14:textId="77777777" w:rsidR="00055D01" w:rsidRPr="00A02401" w:rsidRDefault="00055D01" w:rsidP="006C70E3">
            <w:pPr>
              <w:spacing w:line="293" w:lineRule="atLeast"/>
              <w:ind w:firstLine="709"/>
              <w:jc w:val="both"/>
            </w:pPr>
          </w:p>
          <w:p w14:paraId="57EF28B0" w14:textId="31B4C2C0" w:rsidR="00055D01" w:rsidRPr="00A02401" w:rsidRDefault="00055D01" w:rsidP="006B0018">
            <w:pPr>
              <w:jc w:val="both"/>
            </w:pPr>
            <w:r w:rsidRPr="00A02401">
              <w:t>“183. Sadales sistēmas operators par saviem līdzekļiem pēc savas iniciatīvas vai mājsaimniecības lietotāja pamatota pieprasījuma veic ar EK zīmi vai simboliem nemarķēta komerciālās uzskaites mēraparāta ar Q</w:t>
            </w:r>
            <w:r w:rsidRPr="00A02401">
              <w:rPr>
                <w:vertAlign w:val="subscript"/>
              </w:rPr>
              <w:t>max</w:t>
            </w:r>
            <w:r w:rsidRPr="00A02401">
              <w:t>≤ 3 m</w:t>
            </w:r>
            <w:r w:rsidRPr="00A02401">
              <w:rPr>
                <w:vertAlign w:val="superscript"/>
              </w:rPr>
              <w:t>3</w:t>
            </w:r>
            <w:r w:rsidRPr="00A02401">
              <w:t>/h darbības precizitātes pārbaudi, ja uzrādītājs dabasgāzes gada vidējais patēriņš salīdzinājumā ar iepriekšējo gadu ir mainījies vairāk par 30%. Ja komerciālas uzskaites mēraparāta (ar Q</w:t>
            </w:r>
            <w:r w:rsidRPr="00A02401">
              <w:rPr>
                <w:vertAlign w:val="subscript"/>
              </w:rPr>
              <w:t>max</w:t>
            </w:r>
            <w:r w:rsidRPr="00A02401">
              <w:t>≤ 3 m</w:t>
            </w:r>
            <w:r w:rsidRPr="00A02401">
              <w:rPr>
                <w:vertAlign w:val="superscript"/>
              </w:rPr>
              <w:t>3</w:t>
            </w:r>
            <w:r w:rsidRPr="00A02401">
              <w:t>/h) pārbaudes laikā tiek konstatēta rādījumu neprecizitāte, kas pārsniedz normatīvajos aktos noteikto precizitātes pieļaujamo kļūdu tas tiek nomainīts par sadales sistēmas operatora līdzekļiem.”.</w:t>
            </w:r>
          </w:p>
          <w:p w14:paraId="0957AA56" w14:textId="77777777" w:rsidR="00055D01" w:rsidRPr="00A02401" w:rsidRDefault="00055D01" w:rsidP="006C70E3">
            <w:pPr>
              <w:pStyle w:val="naisc"/>
              <w:spacing w:before="60" w:after="60"/>
              <w:ind w:firstLine="33"/>
              <w:jc w:val="both"/>
            </w:pPr>
          </w:p>
        </w:tc>
        <w:tc>
          <w:tcPr>
            <w:tcW w:w="4278" w:type="dxa"/>
            <w:tcBorders>
              <w:top w:val="single" w:sz="4" w:space="0" w:color="auto"/>
              <w:left w:val="single" w:sz="6" w:space="0" w:color="000000"/>
              <w:bottom w:val="single" w:sz="6" w:space="0" w:color="000000"/>
              <w:right w:val="single" w:sz="6" w:space="0" w:color="000000"/>
            </w:tcBorders>
          </w:tcPr>
          <w:p w14:paraId="02EBE041" w14:textId="7EA00FB2" w:rsidR="00055D01" w:rsidRPr="00A02401" w:rsidRDefault="00055D01" w:rsidP="006C70E3">
            <w:pPr>
              <w:pStyle w:val="NoSpacing"/>
              <w:ind w:firstLine="0"/>
              <w:rPr>
                <w:rFonts w:cstheme="minorHAnsi"/>
                <w:b/>
                <w:bCs/>
                <w:sz w:val="24"/>
                <w:szCs w:val="24"/>
                <w:shd w:val="clear" w:color="auto" w:fill="FDFCFD"/>
              </w:rPr>
            </w:pPr>
            <w:r w:rsidRPr="00A02401">
              <w:rPr>
                <w:rFonts w:cstheme="minorHAnsi"/>
                <w:b/>
                <w:bCs/>
                <w:sz w:val="24"/>
                <w:szCs w:val="24"/>
                <w:shd w:val="clear" w:color="auto" w:fill="FDFCFD"/>
              </w:rPr>
              <w:lastRenderedPageBreak/>
              <w:t>TM</w:t>
            </w:r>
          </w:p>
          <w:p w14:paraId="2305E86A" w14:textId="789AED3B" w:rsidR="00055D01" w:rsidRPr="00A02401" w:rsidRDefault="00055D01" w:rsidP="006C70E3">
            <w:pPr>
              <w:pStyle w:val="NoSpacing"/>
              <w:ind w:firstLine="0"/>
              <w:rPr>
                <w:color w:val="000000"/>
                <w:sz w:val="24"/>
                <w:szCs w:val="24"/>
              </w:rPr>
            </w:pPr>
            <w:r w:rsidRPr="00A02401">
              <w:rPr>
                <w:rFonts w:cstheme="minorHAnsi"/>
                <w:sz w:val="24"/>
                <w:szCs w:val="24"/>
                <w:shd w:val="clear" w:color="auto" w:fill="FDFCFD"/>
              </w:rPr>
              <w:t>Vēršam</w:t>
            </w:r>
            <w:r w:rsidRPr="00A02401">
              <w:rPr>
                <w:rFonts w:cstheme="minorHAnsi"/>
                <w:color w:val="000000"/>
                <w:sz w:val="24"/>
                <w:szCs w:val="24"/>
              </w:rPr>
              <w:t xml:space="preserve"> uzmanību uz to, ka atbilstoši </w:t>
            </w:r>
            <w:r w:rsidRPr="00A02401">
              <w:rPr>
                <w:rFonts w:cstheme="minorHAnsi"/>
                <w:color w:val="000000"/>
                <w:sz w:val="24"/>
                <w:szCs w:val="24"/>
                <w:bdr w:val="none" w:sz="0" w:space="0" w:color="auto" w:frame="1"/>
                <w:shd w:val="clear" w:color="auto" w:fill="FFFFFF"/>
              </w:rPr>
              <w:t xml:space="preserve">Ministru kabineta 2009. gada 3. februāra noteikumu Nr. 108 </w:t>
            </w:r>
            <w:r w:rsidR="006B0018">
              <w:rPr>
                <w:rFonts w:cstheme="minorHAnsi"/>
                <w:color w:val="000000"/>
                <w:sz w:val="24"/>
                <w:szCs w:val="24"/>
                <w:bdr w:val="none" w:sz="0" w:space="0" w:color="auto" w:frame="1"/>
                <w:shd w:val="clear" w:color="auto" w:fill="FFFFFF"/>
              </w:rPr>
              <w:t>“</w:t>
            </w:r>
            <w:r w:rsidRPr="00A02401">
              <w:rPr>
                <w:rFonts w:cstheme="minorHAnsi"/>
                <w:color w:val="000000"/>
                <w:sz w:val="24"/>
                <w:szCs w:val="24"/>
                <w:bdr w:val="none" w:sz="0" w:space="0" w:color="auto" w:frame="1"/>
                <w:shd w:val="clear" w:color="auto" w:fill="FFFFFF"/>
              </w:rPr>
              <w:t>Normatīvo aktu projektu sagatavošanas noteikumi</w:t>
            </w:r>
            <w:r w:rsidR="006B0018">
              <w:rPr>
                <w:rFonts w:cstheme="minorHAnsi"/>
                <w:color w:val="000000"/>
                <w:sz w:val="24"/>
                <w:szCs w:val="24"/>
                <w:bdr w:val="none" w:sz="0" w:space="0" w:color="auto" w:frame="1"/>
                <w:shd w:val="clear" w:color="auto" w:fill="FFFFFF"/>
              </w:rPr>
              <w:t>”</w:t>
            </w:r>
            <w:r w:rsidRPr="00A02401">
              <w:rPr>
                <w:rFonts w:cstheme="minorHAnsi"/>
                <w:color w:val="000000"/>
                <w:sz w:val="24"/>
                <w:szCs w:val="24"/>
                <w:bdr w:val="none" w:sz="0" w:space="0" w:color="auto" w:frame="1"/>
                <w:shd w:val="clear" w:color="auto" w:fill="FFFFFF"/>
              </w:rPr>
              <w:t xml:space="preserve"> </w:t>
            </w:r>
            <w:r w:rsidRPr="00A02401">
              <w:rPr>
                <w:rFonts w:cstheme="minorHAnsi"/>
                <w:color w:val="000000"/>
                <w:sz w:val="24"/>
                <w:szCs w:val="24"/>
                <w:shd w:val="clear" w:color="auto" w:fill="FFFFFF"/>
              </w:rPr>
              <w:t xml:space="preserve">115. punktā noteiktajam Ministru kabineta noteikumu projektam, ja nepieciešams, raksta noslēguma jautājumus. Noslēguma jautājumos nosaka pārejas kārtību no pastāvošā tiesiskā regulējuma uz jauno tiesisko regulējumu. Noslēguma jautājumos neietver normas, kas darbojas pastāvīgi. Savukārt no projekta otrajā 14. punktā paredzētā grozījuma neizriet, ka tajā ir ietverts pārejas noteikums. Vienlaikus vēršam uzmanību uz to, ka nav skaidrs, kas projekta otrajā 14. punktā paredzētajā grozījumā tiek saprasts ar vārdiem </w:t>
            </w:r>
            <w:r w:rsidR="006B0018">
              <w:rPr>
                <w:rFonts w:cstheme="minorHAnsi"/>
                <w:color w:val="000000"/>
                <w:sz w:val="24"/>
                <w:szCs w:val="24"/>
                <w:shd w:val="clear" w:color="auto" w:fill="FFFFFF"/>
              </w:rPr>
              <w:t>“</w:t>
            </w:r>
            <w:r w:rsidRPr="00A02401">
              <w:rPr>
                <w:rFonts w:cstheme="minorHAnsi"/>
                <w:color w:val="000000"/>
                <w:sz w:val="24"/>
                <w:szCs w:val="24"/>
                <w:shd w:val="clear" w:color="auto" w:fill="FFFFFF"/>
              </w:rPr>
              <w:t>EK zīmi</w:t>
            </w:r>
            <w:r w:rsidR="006B0018">
              <w:rPr>
                <w:rFonts w:cstheme="minorHAnsi"/>
                <w:color w:val="000000"/>
                <w:sz w:val="24"/>
                <w:szCs w:val="24"/>
                <w:shd w:val="clear" w:color="auto" w:fill="FFFFFF"/>
              </w:rPr>
              <w:t>”</w:t>
            </w:r>
            <w:r w:rsidRPr="00A02401">
              <w:rPr>
                <w:rFonts w:cstheme="minorHAnsi"/>
                <w:color w:val="000000"/>
                <w:sz w:val="24"/>
                <w:szCs w:val="24"/>
                <w:shd w:val="clear" w:color="auto" w:fill="FFFFFF"/>
              </w:rPr>
              <w:t>. Turklāt anotācijas I sadaļas 2. punktā nav izvērsta skaidrojuma par projekta otrajā 14. punktā paredzēto regulējumu. Ievērojot minēto, lūdzam izvērtēt projekta otrajā 14. punktā ietvertu regulējumu un precizēt to, kā arī papildināt anotāciju ar atbilstošu skaidrojumu.</w:t>
            </w:r>
            <w:r w:rsidRPr="00A02401">
              <w:rPr>
                <w:rFonts w:cstheme="minorHAnsi"/>
                <w:color w:val="000000"/>
                <w:sz w:val="24"/>
                <w:szCs w:val="24"/>
                <w:shd w:val="clear" w:color="auto" w:fill="FDFCFD"/>
              </w:rPr>
              <w:t> </w:t>
            </w:r>
          </w:p>
          <w:p w14:paraId="34B1FF68" w14:textId="77777777" w:rsidR="00055D01" w:rsidRPr="00A02401" w:rsidRDefault="00055D01" w:rsidP="006C70E3">
            <w:pPr>
              <w:pStyle w:val="NoSpacing"/>
              <w:ind w:firstLine="0"/>
              <w:rPr>
                <w:sz w:val="24"/>
                <w:szCs w:val="24"/>
              </w:rPr>
            </w:pPr>
          </w:p>
        </w:tc>
        <w:tc>
          <w:tcPr>
            <w:tcW w:w="3260" w:type="dxa"/>
            <w:gridSpan w:val="2"/>
            <w:tcBorders>
              <w:top w:val="single" w:sz="4" w:space="0" w:color="auto"/>
              <w:left w:val="single" w:sz="6" w:space="0" w:color="000000"/>
              <w:bottom w:val="single" w:sz="6" w:space="0" w:color="000000"/>
              <w:right w:val="single" w:sz="6" w:space="0" w:color="000000"/>
            </w:tcBorders>
          </w:tcPr>
          <w:p w14:paraId="61182597" w14:textId="77777777" w:rsidR="00055D01" w:rsidRPr="00A02401" w:rsidRDefault="00055D01" w:rsidP="006C70E3">
            <w:pPr>
              <w:pStyle w:val="naisc"/>
              <w:spacing w:before="60" w:after="60"/>
              <w:ind w:firstLine="5"/>
              <w:jc w:val="both"/>
              <w:rPr>
                <w:b/>
              </w:rPr>
            </w:pPr>
            <w:r w:rsidRPr="00A02401">
              <w:rPr>
                <w:b/>
              </w:rPr>
              <w:t>Ņemts vērā.</w:t>
            </w:r>
          </w:p>
          <w:p w14:paraId="230839CF" w14:textId="3798EE79" w:rsidR="00055D01" w:rsidRPr="00A02401" w:rsidRDefault="00055D01" w:rsidP="006C70E3">
            <w:pPr>
              <w:pStyle w:val="naisc"/>
              <w:spacing w:before="60" w:after="60"/>
              <w:ind w:firstLine="5"/>
              <w:jc w:val="both"/>
              <w:rPr>
                <w:bCs/>
              </w:rPr>
            </w:pPr>
            <w:r w:rsidRPr="00A02401">
              <w:rPr>
                <w:bCs/>
              </w:rPr>
              <w:t>Noteikumu projekts un anotācija atbilstoši precizēti. Ņemot vērā Noteikumu loģiku normu paredzēts iekļaut sadaļā “XI. Dabasgāzes uzskaite norēķiniem par dabasgāzi”.</w:t>
            </w:r>
          </w:p>
          <w:p w14:paraId="2B9FFB8B" w14:textId="2705C2A0" w:rsidR="00055D01" w:rsidRPr="00A02401" w:rsidRDefault="00055D01" w:rsidP="006C70E3">
            <w:pPr>
              <w:pStyle w:val="naisc"/>
              <w:spacing w:before="60" w:after="60"/>
              <w:jc w:val="both"/>
              <w:rPr>
                <w:bCs/>
              </w:rPr>
            </w:pPr>
          </w:p>
        </w:tc>
        <w:tc>
          <w:tcPr>
            <w:tcW w:w="2951" w:type="dxa"/>
            <w:tcBorders>
              <w:top w:val="single" w:sz="4" w:space="0" w:color="auto"/>
              <w:left w:val="single" w:sz="4" w:space="0" w:color="auto"/>
              <w:bottom w:val="single" w:sz="4" w:space="0" w:color="auto"/>
            </w:tcBorders>
          </w:tcPr>
          <w:p w14:paraId="121C7CB4" w14:textId="66A681FD" w:rsidR="00055D01" w:rsidRPr="00A02401" w:rsidRDefault="00055D01" w:rsidP="006C70E3">
            <w:pPr>
              <w:spacing w:line="293" w:lineRule="atLeast"/>
              <w:jc w:val="both"/>
            </w:pPr>
            <w:r w:rsidRPr="00A02401">
              <w:t>19. Papildināt noteikumus ar 153.</w:t>
            </w:r>
            <w:r w:rsidRPr="00A02401">
              <w:rPr>
                <w:color w:val="000000" w:themeColor="text1"/>
                <w:vertAlign w:val="superscript"/>
              </w:rPr>
              <w:t>1</w:t>
            </w:r>
            <w:r w:rsidRPr="00A02401">
              <w:t>.punktu šādā redakcijā:</w:t>
            </w:r>
          </w:p>
          <w:p w14:paraId="69E8D077" w14:textId="77777777" w:rsidR="00055D01" w:rsidRPr="00A02401" w:rsidRDefault="00055D01" w:rsidP="006C70E3">
            <w:pPr>
              <w:spacing w:line="293" w:lineRule="atLeast"/>
              <w:ind w:firstLine="709"/>
              <w:jc w:val="both"/>
            </w:pPr>
          </w:p>
          <w:p w14:paraId="23926596" w14:textId="5D871899" w:rsidR="00055D01" w:rsidRPr="00A02401" w:rsidRDefault="00055D01" w:rsidP="006B0018">
            <w:pPr>
              <w:jc w:val="both"/>
              <w:rPr>
                <w:color w:val="000000"/>
                <w:shd w:val="clear" w:color="auto" w:fill="FFFFFF"/>
              </w:rPr>
            </w:pPr>
            <w:r w:rsidRPr="00A02401">
              <w:t>“153.</w:t>
            </w:r>
            <w:r w:rsidRPr="00A02401">
              <w:rPr>
                <w:color w:val="000000" w:themeColor="text1"/>
                <w:vertAlign w:val="superscript"/>
              </w:rPr>
              <w:t>1</w:t>
            </w:r>
            <w:r w:rsidRPr="00A02401">
              <w:t xml:space="preserve">. </w:t>
            </w:r>
            <w:r w:rsidRPr="00A02401">
              <w:rPr>
                <w:color w:val="000000"/>
                <w:shd w:val="clear" w:color="auto" w:fill="FFFFFF"/>
              </w:rPr>
              <w:t>Sadales sistēmas operators pēc savas iniciatīvas vai pēc mājsaimniecības lietotāja pieprasījuma veic ar Eiropas Kopienas tipa apstiprinājuma zīmi vai simboliem nemarķēta komercuzskaites mēraparāta ar maksimālo plūsmu Q</w:t>
            </w:r>
            <w:r w:rsidRPr="00A02401">
              <w:rPr>
                <w:color w:val="000000"/>
                <w:shd w:val="clear" w:color="auto" w:fill="FFFFFF"/>
                <w:vertAlign w:val="subscript"/>
              </w:rPr>
              <w:t xml:space="preserve">max </w:t>
            </w:r>
            <w:r w:rsidRPr="00A02401">
              <w:rPr>
                <w:color w:val="000000"/>
                <w:shd w:val="clear" w:color="auto" w:fill="FFFFFF"/>
              </w:rPr>
              <w:t>≤ 6 m</w:t>
            </w:r>
            <w:r w:rsidRPr="00A02401">
              <w:rPr>
                <w:color w:val="000000"/>
                <w:shd w:val="clear" w:color="auto" w:fill="FFFFFF"/>
                <w:vertAlign w:val="superscript"/>
              </w:rPr>
              <w:t>3</w:t>
            </w:r>
            <w:r w:rsidRPr="00A02401">
              <w:rPr>
                <w:color w:val="000000"/>
                <w:shd w:val="clear" w:color="auto" w:fill="FFFFFF"/>
              </w:rPr>
              <w:t>/h darbības precizitātes pārbaudi, ja mājsaimniecības lietotāja dabasgāzes gada patēriņa rādījums salīdzinājumā ar iepriekšējo gadu ir mainījies vairāk par 30%. Komercuzskaites mēraparāta pārbaudes izmaksas sedz sadales sistēmas operators. Ja komercuzskaites mēraparāta ar maksimālo plūsmu Q</w:t>
            </w:r>
            <w:r w:rsidRPr="00A02401">
              <w:rPr>
                <w:color w:val="000000"/>
                <w:shd w:val="clear" w:color="auto" w:fill="FFFFFF"/>
                <w:vertAlign w:val="subscript"/>
              </w:rPr>
              <w:t xml:space="preserve">max </w:t>
            </w:r>
            <w:r w:rsidRPr="00A02401">
              <w:rPr>
                <w:color w:val="000000"/>
                <w:shd w:val="clear" w:color="auto" w:fill="FFFFFF"/>
              </w:rPr>
              <w:t xml:space="preserve">≤ </w:t>
            </w:r>
            <w:r>
              <w:rPr>
                <w:color w:val="000000"/>
                <w:shd w:val="clear" w:color="auto" w:fill="FFFFFF"/>
              </w:rPr>
              <w:t>3</w:t>
            </w:r>
            <w:r w:rsidRPr="00A02401">
              <w:rPr>
                <w:color w:val="000000"/>
                <w:shd w:val="clear" w:color="auto" w:fill="FFFFFF"/>
              </w:rPr>
              <w:t xml:space="preserve"> m</w:t>
            </w:r>
            <w:r w:rsidRPr="00A02401">
              <w:rPr>
                <w:color w:val="000000"/>
                <w:shd w:val="clear" w:color="auto" w:fill="FFFFFF"/>
                <w:vertAlign w:val="superscript"/>
              </w:rPr>
              <w:t>3</w:t>
            </w:r>
            <w:r w:rsidRPr="00A02401">
              <w:rPr>
                <w:color w:val="000000"/>
                <w:shd w:val="clear" w:color="auto" w:fill="FFFFFF"/>
              </w:rPr>
              <w:t xml:space="preserve">/h pārbaudes laikā konstatētā rādījumu </w:t>
            </w:r>
            <w:r w:rsidRPr="00A02401">
              <w:rPr>
                <w:color w:val="000000"/>
                <w:shd w:val="clear" w:color="auto" w:fill="FFFFFF"/>
              </w:rPr>
              <w:lastRenderedPageBreak/>
              <w:t>precizitātes kļūda pārsniedz normatīvajos aktos noteikto maksimāli pieļaujamo kļūdu, sadales sistēmas operators nomaina gazificētajā objektā uzstādīto komercuzskaites mēraparātu un sedz ar nomaiņu saistītās izmaksas.</w:t>
            </w:r>
            <w:r w:rsidRPr="00A02401">
              <w:t>”.</w:t>
            </w:r>
          </w:p>
          <w:p w14:paraId="3381D744" w14:textId="77777777" w:rsidR="00055D01" w:rsidRPr="00A02401" w:rsidRDefault="00055D01" w:rsidP="006C70E3">
            <w:pPr>
              <w:spacing w:before="60" w:after="60"/>
              <w:ind w:firstLine="5"/>
              <w:jc w:val="both"/>
              <w:rPr>
                <w:bCs/>
              </w:rPr>
            </w:pPr>
          </w:p>
        </w:tc>
      </w:tr>
      <w:tr w:rsidR="00055D01" w:rsidRPr="00A02401" w14:paraId="31CF13D7" w14:textId="77777777" w:rsidTr="007D72ED">
        <w:tc>
          <w:tcPr>
            <w:tcW w:w="675" w:type="dxa"/>
            <w:tcBorders>
              <w:top w:val="single" w:sz="4" w:space="0" w:color="auto"/>
              <w:left w:val="single" w:sz="6" w:space="0" w:color="000000"/>
              <w:bottom w:val="single" w:sz="6" w:space="0" w:color="000000"/>
              <w:right w:val="single" w:sz="6" w:space="0" w:color="000000"/>
            </w:tcBorders>
          </w:tcPr>
          <w:p w14:paraId="0AC62A35" w14:textId="7CB3798F" w:rsidR="00055D01" w:rsidRPr="00A02401" w:rsidRDefault="00F33A5B" w:rsidP="006C70E3">
            <w:pPr>
              <w:pStyle w:val="naisc"/>
              <w:spacing w:before="60" w:after="60"/>
              <w:jc w:val="both"/>
            </w:pPr>
            <w:r>
              <w:lastRenderedPageBreak/>
              <w:t>29.</w:t>
            </w:r>
          </w:p>
        </w:tc>
        <w:tc>
          <w:tcPr>
            <w:tcW w:w="3119" w:type="dxa"/>
            <w:gridSpan w:val="2"/>
            <w:tcBorders>
              <w:top w:val="single" w:sz="4" w:space="0" w:color="auto"/>
              <w:left w:val="single" w:sz="6" w:space="0" w:color="000000"/>
              <w:bottom w:val="single" w:sz="6" w:space="0" w:color="000000"/>
              <w:right w:val="single" w:sz="6" w:space="0" w:color="000000"/>
            </w:tcBorders>
          </w:tcPr>
          <w:p w14:paraId="6F4DF94F" w14:textId="77777777" w:rsidR="00055D01" w:rsidRPr="00A02401" w:rsidRDefault="00055D01" w:rsidP="006C70E3">
            <w:pPr>
              <w:pStyle w:val="naisc"/>
              <w:spacing w:before="60" w:after="60"/>
              <w:ind w:firstLine="33"/>
              <w:jc w:val="both"/>
            </w:pPr>
            <w:r w:rsidRPr="00A02401">
              <w:t>14. Papildināt noteikumus ar 183.punktu šādā redakcijā:</w:t>
            </w:r>
          </w:p>
          <w:p w14:paraId="1D624589" w14:textId="77777777" w:rsidR="00055D01" w:rsidRPr="00A02401" w:rsidRDefault="00055D01" w:rsidP="006C70E3">
            <w:pPr>
              <w:pStyle w:val="naisc"/>
              <w:spacing w:before="60" w:after="60"/>
              <w:ind w:firstLine="33"/>
              <w:jc w:val="both"/>
            </w:pPr>
          </w:p>
          <w:p w14:paraId="5E1259BB" w14:textId="77777777" w:rsidR="00055D01" w:rsidRPr="00A02401" w:rsidRDefault="00055D01" w:rsidP="006C70E3">
            <w:pPr>
              <w:pStyle w:val="naisc"/>
              <w:spacing w:before="60" w:after="60"/>
              <w:ind w:firstLine="33"/>
              <w:jc w:val="both"/>
            </w:pPr>
            <w:r w:rsidRPr="00A02401">
              <w:t xml:space="preserve"> “183. Sadales sistēmas operators pēc savas iniciatīvas vai pēc</w:t>
            </w:r>
            <w:r w:rsidRPr="00A02401">
              <w:rPr>
                <w:rFonts w:cs="Arial"/>
              </w:rPr>
              <w:t xml:space="preserve"> mājsaimniecības lietotāja pieprasījuma veic ar Eiropas Kopienas tipa apstiprinājuma zīmi vai simboliem nemarķēta komercuzskaites mēraparāta ar maksimālo plūsmu Q</w:t>
            </w:r>
            <w:r w:rsidRPr="00A02401">
              <w:rPr>
                <w:rFonts w:cs="Arial"/>
                <w:vertAlign w:val="subscript"/>
              </w:rPr>
              <w:t xml:space="preserve">max </w:t>
            </w:r>
            <w:r w:rsidRPr="00A02401">
              <w:rPr>
                <w:rFonts w:cs="Arial"/>
              </w:rPr>
              <w:t>≤ 3 m</w:t>
            </w:r>
            <w:r w:rsidRPr="00A02401">
              <w:rPr>
                <w:rFonts w:cs="Arial"/>
                <w:vertAlign w:val="superscript"/>
              </w:rPr>
              <w:t>3</w:t>
            </w:r>
            <w:r w:rsidRPr="00A02401">
              <w:rPr>
                <w:rFonts w:cs="Arial"/>
              </w:rPr>
              <w:t xml:space="preserve">/h darbības precizitātes pārbaudi, ja mājsaimniecības lietotāja dabasgāzes gada patēriņa rādījums salīdzinājumā ar iepriekšējo gadu ir mainījies vairāk par 30%. Komercuzskaites mēraparāta pārbaudes izmaksas sedz sadales sistēmas operators. Ja komercuzskaites </w:t>
            </w:r>
            <w:r w:rsidRPr="00A02401">
              <w:rPr>
                <w:rFonts w:cs="Arial"/>
              </w:rPr>
              <w:lastRenderedPageBreak/>
              <w:t>mēraparāta ar maksimālo plūsmu Q</w:t>
            </w:r>
            <w:r w:rsidRPr="00A02401">
              <w:rPr>
                <w:rFonts w:cs="Arial"/>
                <w:vertAlign w:val="subscript"/>
              </w:rPr>
              <w:t xml:space="preserve">max </w:t>
            </w:r>
            <w:r w:rsidRPr="00A02401">
              <w:rPr>
                <w:rFonts w:cs="Arial"/>
              </w:rPr>
              <w:t>≤ 3 m</w:t>
            </w:r>
            <w:r w:rsidRPr="00A02401">
              <w:rPr>
                <w:rFonts w:cs="Arial"/>
                <w:vertAlign w:val="superscript"/>
              </w:rPr>
              <w:t>3</w:t>
            </w:r>
            <w:r w:rsidRPr="00A02401">
              <w:rPr>
                <w:rFonts w:cs="Arial"/>
              </w:rPr>
              <w:t>/h pārbaudes laikā konstatētā rādījumu precizitātes kļūda pārsniedz normatīvajos aktos noteikto maksimāli pieļaujamo kļūdu, sadales sistēmas operators nomaina gazificētajā objektā uzstādīto komercuzskaites mēraparātu un sedz ar nomaiņu saistītās izmaksas.”.</w:t>
            </w:r>
          </w:p>
        </w:tc>
        <w:tc>
          <w:tcPr>
            <w:tcW w:w="4278" w:type="dxa"/>
            <w:tcBorders>
              <w:top w:val="single" w:sz="4" w:space="0" w:color="auto"/>
              <w:left w:val="single" w:sz="6" w:space="0" w:color="000000"/>
              <w:bottom w:val="single" w:sz="6" w:space="0" w:color="000000"/>
              <w:right w:val="single" w:sz="6" w:space="0" w:color="000000"/>
            </w:tcBorders>
          </w:tcPr>
          <w:p w14:paraId="52693600" w14:textId="6A8BF6B4" w:rsidR="00055D01" w:rsidRPr="00A02401" w:rsidRDefault="00055D01" w:rsidP="006C70E3">
            <w:pPr>
              <w:contextualSpacing/>
              <w:jc w:val="both"/>
              <w:rPr>
                <w:rFonts w:cs="Arial"/>
                <w:b/>
                <w:bCs/>
              </w:rPr>
            </w:pPr>
            <w:r w:rsidRPr="00A02401">
              <w:rPr>
                <w:rFonts w:cs="Arial"/>
                <w:b/>
                <w:bCs/>
              </w:rPr>
              <w:lastRenderedPageBreak/>
              <w:t xml:space="preserve">SPRK </w:t>
            </w:r>
          </w:p>
          <w:p w14:paraId="5C0061A8" w14:textId="77777777" w:rsidR="00055D01" w:rsidRPr="00A02401" w:rsidRDefault="00055D01" w:rsidP="006C70E3">
            <w:pPr>
              <w:contextualSpacing/>
              <w:jc w:val="both"/>
              <w:rPr>
                <w:rFonts w:cs="Arial"/>
              </w:rPr>
            </w:pPr>
            <w:r w:rsidRPr="00A02401">
              <w:rPr>
                <w:rFonts w:cs="Arial"/>
              </w:rPr>
              <w:t>Attiecībā uz Noteikumu projekta 14.punktā paredzēto Noteikumu 183.punktu Regulators norāda, ka komercuzskaites mēraparāts uzskaita lietotāja faktiski patērēto dabasgāzes daudzumu gadā, savukārt vidējais dabasgāzes patēriņš tiek noteikts aprēķinu ceļā. Turklāt minētajā Noteikumu projekta punktā tiek izmantoti no Noteikumiem atšķirīgi termini. Ievērojot minēto, Noteikumu projekta 14.punktā paredzēto Noteikumu 183.punktu izteikt šādā redakcijā:</w:t>
            </w:r>
          </w:p>
          <w:p w14:paraId="15AF5555" w14:textId="0F882E92" w:rsidR="00055D01" w:rsidRPr="00A02401" w:rsidRDefault="00055D01" w:rsidP="006C70E3">
            <w:pPr>
              <w:contextualSpacing/>
              <w:jc w:val="both"/>
              <w:rPr>
                <w:rFonts w:cs="Arial"/>
              </w:rPr>
            </w:pPr>
            <w:r w:rsidRPr="00A02401">
              <w:rPr>
                <w:rFonts w:cs="Arial"/>
              </w:rPr>
              <w:t>“183. Sadales sistēmas operators pēc savas iniciatīvas vai pēc mājsaimniecības lietotāja pieprasījuma veic ar Eiropas Kopienas tipa apstiprinājuma zīmi vai simboliem nemarķēta komercuzskaites mēraparāta ar maksimālo plūsmu Q</w:t>
            </w:r>
            <w:r w:rsidRPr="00A02401">
              <w:rPr>
                <w:rFonts w:cs="Arial"/>
                <w:vertAlign w:val="subscript"/>
              </w:rPr>
              <w:t xml:space="preserve">max </w:t>
            </w:r>
            <w:r w:rsidRPr="00A02401">
              <w:rPr>
                <w:rFonts w:cs="Arial"/>
              </w:rPr>
              <w:t>≤ 3 m</w:t>
            </w:r>
            <w:r w:rsidRPr="00A02401">
              <w:rPr>
                <w:rFonts w:cs="Arial"/>
                <w:vertAlign w:val="superscript"/>
              </w:rPr>
              <w:t>3</w:t>
            </w:r>
            <w:r w:rsidRPr="00A02401">
              <w:rPr>
                <w:rFonts w:cs="Arial"/>
              </w:rPr>
              <w:t xml:space="preserve">/h darbības precizitātes pārbaudi, ja mājsaimniecības lietotāja dabasgāzes gada patēriņa rādījums salīdzinājumā ar iepriekšējo gadu ir mainījies vairāk par </w:t>
            </w:r>
            <w:r w:rsidRPr="00A02401">
              <w:rPr>
                <w:rFonts w:cs="Arial"/>
              </w:rPr>
              <w:lastRenderedPageBreak/>
              <w:t>30%. Komercuzskaites mēraparāta pārbaudes izmaksas sedz sadales sistēmas operators. Ja komercuzskaites mēraparāta ar maksimālo plūsmu Q</w:t>
            </w:r>
            <w:r w:rsidRPr="00A02401">
              <w:rPr>
                <w:rFonts w:cs="Arial"/>
                <w:vertAlign w:val="subscript"/>
              </w:rPr>
              <w:t xml:space="preserve">max </w:t>
            </w:r>
            <w:r w:rsidRPr="00A02401">
              <w:rPr>
                <w:rFonts w:cs="Arial"/>
              </w:rPr>
              <w:t>≤ 3 m</w:t>
            </w:r>
            <w:r w:rsidRPr="00A02401">
              <w:rPr>
                <w:rFonts w:cs="Arial"/>
                <w:vertAlign w:val="superscript"/>
              </w:rPr>
              <w:t>3</w:t>
            </w:r>
            <w:r w:rsidRPr="00A02401">
              <w:rPr>
                <w:rFonts w:cs="Arial"/>
              </w:rPr>
              <w:t>/h pārbaudes laikā konstatētā rādījumu precizitātes kļūda pārsniedz normatīvajos aktos noteikto maksimāli pieļaujamo kļūdu, sadales sistēmas operators nomaina gazificētajā objektā uzstādīto komercuzskaites mēraparātu un sedz ar nomaiņu saistītās izmaksas.”.</w:t>
            </w:r>
          </w:p>
          <w:p w14:paraId="2DD90CC5" w14:textId="3EE7D356" w:rsidR="00055D01" w:rsidRDefault="00055D01" w:rsidP="006C70E3">
            <w:pPr>
              <w:contextualSpacing/>
              <w:jc w:val="both"/>
              <w:rPr>
                <w:rFonts w:cs="Arial"/>
              </w:rPr>
            </w:pPr>
            <w:r w:rsidRPr="00A02401">
              <w:rPr>
                <w:rFonts w:cs="Arial"/>
              </w:rPr>
              <w:t>Ņemot vērā Regulatora 2019.gada 18.decembra lēmumā Nr.197 “Par akciju sabiedrības “Gaso” lietotājiem piemērojamajiem dabasgāzes sadales sistēmas pakalpojuma diferencētajiem tarifiem no 2020.gada 1.janvāra” noteikto dabasgāzes sadales sistēmas pakalpojuma tarifu struktūru, Regulators rosina izvērtēt nepieciešamību paplašināt Noteikumu projekta 14.punktā paredzētā Noteikumu 183.punkta tvērumu, attiecinot to uz komercuzskaites mēraparātiem ar maksimālo plūsmu Q</w:t>
            </w:r>
            <w:r w:rsidRPr="00A02401">
              <w:rPr>
                <w:rFonts w:cs="Arial"/>
                <w:vertAlign w:val="subscript"/>
              </w:rPr>
              <w:t>max</w:t>
            </w:r>
            <w:r w:rsidRPr="00A02401">
              <w:rPr>
                <w:rFonts w:cs="Arial"/>
              </w:rPr>
              <w:t xml:space="preserve"> ≤ 6 m</w:t>
            </w:r>
            <w:r w:rsidRPr="00A02401">
              <w:rPr>
                <w:rFonts w:cs="Arial"/>
                <w:vertAlign w:val="superscript"/>
              </w:rPr>
              <w:t>3</w:t>
            </w:r>
            <w:r w:rsidRPr="00A02401">
              <w:rPr>
                <w:rFonts w:cs="Arial"/>
              </w:rPr>
              <w:t>/h.</w:t>
            </w:r>
          </w:p>
          <w:p w14:paraId="5EA35D69" w14:textId="77777777" w:rsidR="006B0018" w:rsidRPr="006B0018" w:rsidRDefault="006B0018" w:rsidP="006C70E3">
            <w:pPr>
              <w:contextualSpacing/>
              <w:jc w:val="both"/>
              <w:rPr>
                <w:rFonts w:cs="Arial"/>
              </w:rPr>
            </w:pPr>
          </w:p>
          <w:p w14:paraId="52057336" w14:textId="77777777" w:rsidR="00055D01" w:rsidRPr="00A02401" w:rsidRDefault="00055D01" w:rsidP="006C70E3">
            <w:pPr>
              <w:jc w:val="both"/>
              <w:rPr>
                <w:b/>
                <w:bCs/>
              </w:rPr>
            </w:pPr>
            <w:r w:rsidRPr="00A02401">
              <w:rPr>
                <w:rFonts w:cs="Arial"/>
                <w:b/>
                <w:bCs/>
              </w:rPr>
              <w:t>PTAC</w:t>
            </w:r>
            <w:r w:rsidRPr="00A02401">
              <w:rPr>
                <w:rFonts w:cs="Arial"/>
                <w:b/>
                <w:bCs/>
              </w:rPr>
              <w:br/>
            </w:r>
          </w:p>
          <w:p w14:paraId="2D197BC3" w14:textId="3C4376D0" w:rsidR="00055D01" w:rsidRPr="006B0018" w:rsidRDefault="00055D01" w:rsidP="006C70E3">
            <w:pPr>
              <w:jc w:val="both"/>
            </w:pPr>
            <w:r w:rsidRPr="00A02401">
              <w:rPr>
                <w:bCs/>
              </w:rPr>
              <w:t xml:space="preserve">PTAC paskaidro, ka komercuzskaites mēraparāti ar maksimālo plūsmu Qmax ≤ 6 m3/h tiek izmantoti arī patērētās dabasgāzes daudzuma noteikšanai, kas tiek patērēta, lai nodrošinātu apkuri un uzsildītu ūdeni, un šādiem komercuzskaites </w:t>
            </w:r>
            <w:r w:rsidRPr="00A02401">
              <w:rPr>
                <w:bCs/>
              </w:rPr>
              <w:lastRenderedPageBreak/>
              <w:t>mēraparātiem patērētais resurss ir ievērojami lielāks nekā komercuzskaites mēraparātiem, kas uzstādīti gāzes plītīm, turklāt šo komercuzskaites mēraparātu neprecizitāte var atstāt būtisku ietekmi uz patērētājiem, līdz ar to Noteikumu projekta 183.punkta tvēruma paplašināšana nav pieļaujama.</w:t>
            </w:r>
          </w:p>
        </w:tc>
        <w:tc>
          <w:tcPr>
            <w:tcW w:w="3260" w:type="dxa"/>
            <w:gridSpan w:val="2"/>
            <w:tcBorders>
              <w:top w:val="single" w:sz="4" w:space="0" w:color="auto"/>
              <w:left w:val="single" w:sz="6" w:space="0" w:color="000000"/>
              <w:bottom w:val="single" w:sz="6" w:space="0" w:color="000000"/>
              <w:right w:val="single" w:sz="6" w:space="0" w:color="000000"/>
            </w:tcBorders>
          </w:tcPr>
          <w:p w14:paraId="45ADA368" w14:textId="2DC1E8AB" w:rsidR="00055D01" w:rsidRPr="00A02401" w:rsidRDefault="00055D01" w:rsidP="006C70E3">
            <w:pPr>
              <w:pStyle w:val="naisc"/>
              <w:spacing w:before="60" w:after="60"/>
              <w:ind w:firstLine="5"/>
              <w:jc w:val="both"/>
              <w:rPr>
                <w:b/>
              </w:rPr>
            </w:pPr>
            <w:r>
              <w:rPr>
                <w:b/>
              </w:rPr>
              <w:lastRenderedPageBreak/>
              <w:t>Daļēji ņemts vērā</w:t>
            </w:r>
          </w:p>
          <w:p w14:paraId="3162B622" w14:textId="77777777" w:rsidR="00055D01" w:rsidRPr="00A02401" w:rsidRDefault="00055D01" w:rsidP="006C70E3">
            <w:pPr>
              <w:pStyle w:val="naisc"/>
              <w:spacing w:before="60" w:after="60"/>
              <w:ind w:firstLine="5"/>
              <w:jc w:val="both"/>
              <w:rPr>
                <w:bCs/>
              </w:rPr>
            </w:pPr>
            <w:r w:rsidRPr="00A02401">
              <w:rPr>
                <w:bCs/>
              </w:rPr>
              <w:t>Apakšpunkta redakcija precizēta atbilstoši SPRK ieteikumam.</w:t>
            </w:r>
          </w:p>
        </w:tc>
        <w:tc>
          <w:tcPr>
            <w:tcW w:w="2951" w:type="dxa"/>
            <w:tcBorders>
              <w:top w:val="single" w:sz="4" w:space="0" w:color="auto"/>
              <w:left w:val="single" w:sz="4" w:space="0" w:color="auto"/>
              <w:bottom w:val="single" w:sz="4" w:space="0" w:color="auto"/>
            </w:tcBorders>
          </w:tcPr>
          <w:p w14:paraId="32F1F8AA" w14:textId="5C5DC365" w:rsidR="00055D01" w:rsidRPr="00A02401" w:rsidRDefault="00055D01" w:rsidP="006C70E3">
            <w:pPr>
              <w:spacing w:line="293" w:lineRule="atLeast"/>
              <w:jc w:val="both"/>
            </w:pPr>
            <w:r w:rsidRPr="00A02401">
              <w:t>19. Papildināt noteikumus ar 153.</w:t>
            </w:r>
            <w:r w:rsidRPr="00A02401">
              <w:rPr>
                <w:color w:val="000000" w:themeColor="text1"/>
                <w:vertAlign w:val="superscript"/>
              </w:rPr>
              <w:t>1</w:t>
            </w:r>
            <w:r w:rsidRPr="00A02401">
              <w:t>.punktu šādā redakcijā:</w:t>
            </w:r>
          </w:p>
          <w:p w14:paraId="07DD6216" w14:textId="77777777" w:rsidR="00055D01" w:rsidRPr="00A02401" w:rsidRDefault="00055D01" w:rsidP="006C70E3">
            <w:pPr>
              <w:spacing w:line="293" w:lineRule="atLeast"/>
              <w:ind w:firstLine="709"/>
              <w:jc w:val="both"/>
            </w:pPr>
          </w:p>
          <w:p w14:paraId="53088EAD" w14:textId="3BCFF830" w:rsidR="00055D01" w:rsidRPr="00A02401" w:rsidRDefault="00055D01" w:rsidP="006B0018">
            <w:pPr>
              <w:jc w:val="both"/>
              <w:rPr>
                <w:color w:val="000000"/>
                <w:shd w:val="clear" w:color="auto" w:fill="FFFFFF"/>
              </w:rPr>
            </w:pPr>
            <w:r w:rsidRPr="00A02401">
              <w:t xml:space="preserve"> “153.</w:t>
            </w:r>
            <w:r w:rsidRPr="00A02401">
              <w:rPr>
                <w:color w:val="000000" w:themeColor="text1"/>
                <w:vertAlign w:val="superscript"/>
              </w:rPr>
              <w:t>1</w:t>
            </w:r>
            <w:r w:rsidRPr="00A02401">
              <w:t xml:space="preserve">. </w:t>
            </w:r>
            <w:r w:rsidRPr="00A02401">
              <w:rPr>
                <w:color w:val="000000"/>
                <w:shd w:val="clear" w:color="auto" w:fill="FFFFFF"/>
              </w:rPr>
              <w:t>Sadales sistēmas operators pēc savas iniciatīvas vai pēc mājsaimniecības lietotāja pieprasījuma veic ar Eiropas Kopienas tipa apstiprinājuma zīmi vai simboliem nemarķēta komercuzskaites mēraparāta ar maksimālo plūsmu Q</w:t>
            </w:r>
            <w:r w:rsidRPr="00A02401">
              <w:rPr>
                <w:color w:val="000000"/>
                <w:shd w:val="clear" w:color="auto" w:fill="FFFFFF"/>
                <w:vertAlign w:val="subscript"/>
              </w:rPr>
              <w:t xml:space="preserve">max </w:t>
            </w:r>
            <w:r w:rsidRPr="00A02401">
              <w:rPr>
                <w:color w:val="000000"/>
                <w:shd w:val="clear" w:color="auto" w:fill="FFFFFF"/>
              </w:rPr>
              <w:t xml:space="preserve">≤ </w:t>
            </w:r>
            <w:r>
              <w:rPr>
                <w:color w:val="000000"/>
                <w:shd w:val="clear" w:color="auto" w:fill="FFFFFF"/>
              </w:rPr>
              <w:t>3</w:t>
            </w:r>
            <w:r w:rsidRPr="00A02401">
              <w:rPr>
                <w:color w:val="000000"/>
                <w:shd w:val="clear" w:color="auto" w:fill="FFFFFF"/>
              </w:rPr>
              <w:t xml:space="preserve"> m</w:t>
            </w:r>
            <w:r w:rsidRPr="00A02401">
              <w:rPr>
                <w:color w:val="000000"/>
                <w:shd w:val="clear" w:color="auto" w:fill="FFFFFF"/>
                <w:vertAlign w:val="superscript"/>
              </w:rPr>
              <w:t>3</w:t>
            </w:r>
            <w:r w:rsidRPr="00A02401">
              <w:rPr>
                <w:color w:val="000000"/>
                <w:shd w:val="clear" w:color="auto" w:fill="FFFFFF"/>
              </w:rPr>
              <w:t xml:space="preserve">/h darbības precizitātes pārbaudi, ja mājsaimniecības lietotāja dabasgāzes gada patēriņa rādījums salīdzinājumā ar iepriekšējo gadu ir mainījies vairāk par 30%. Komercuzskaites mēraparāta pārbaudes izmaksas sedz sadales sistēmas operators. Ja </w:t>
            </w:r>
            <w:r w:rsidRPr="00A02401">
              <w:rPr>
                <w:color w:val="000000"/>
                <w:shd w:val="clear" w:color="auto" w:fill="FFFFFF"/>
              </w:rPr>
              <w:lastRenderedPageBreak/>
              <w:t>komercuzskaites mēraparāta ar maksimālo plūsmu Q</w:t>
            </w:r>
            <w:r w:rsidRPr="00A02401">
              <w:rPr>
                <w:color w:val="000000"/>
                <w:shd w:val="clear" w:color="auto" w:fill="FFFFFF"/>
                <w:vertAlign w:val="subscript"/>
              </w:rPr>
              <w:t xml:space="preserve">max </w:t>
            </w:r>
            <w:r w:rsidRPr="00A02401">
              <w:rPr>
                <w:color w:val="000000"/>
                <w:shd w:val="clear" w:color="auto" w:fill="FFFFFF"/>
              </w:rPr>
              <w:t xml:space="preserve">≤ </w:t>
            </w:r>
            <w:r>
              <w:rPr>
                <w:color w:val="000000"/>
                <w:shd w:val="clear" w:color="auto" w:fill="FFFFFF"/>
              </w:rPr>
              <w:t>3</w:t>
            </w:r>
            <w:r w:rsidRPr="00A02401">
              <w:rPr>
                <w:color w:val="000000"/>
                <w:shd w:val="clear" w:color="auto" w:fill="FFFFFF"/>
              </w:rPr>
              <w:t xml:space="preserve"> m</w:t>
            </w:r>
            <w:r w:rsidRPr="00A02401">
              <w:rPr>
                <w:color w:val="000000"/>
                <w:shd w:val="clear" w:color="auto" w:fill="FFFFFF"/>
                <w:vertAlign w:val="superscript"/>
              </w:rPr>
              <w:t>3</w:t>
            </w:r>
            <w:r w:rsidRPr="00A02401">
              <w:rPr>
                <w:color w:val="000000"/>
                <w:shd w:val="clear" w:color="auto" w:fill="FFFFFF"/>
              </w:rPr>
              <w:t>/h pārbaudes laikā konstatētā rādījumu precizitātes kļūda pārsniedz normatīvajos aktos noteikto maksimāli pieļaujamo kļūdu, sadales sistēmas operators nomaina gazificētajā objektā uzstādīto komercuzskaites mēraparātu un sedz ar nomaiņu saistītās izmaksas.</w:t>
            </w:r>
            <w:r w:rsidRPr="00A02401">
              <w:t>”.</w:t>
            </w:r>
          </w:p>
          <w:p w14:paraId="0A5674E4" w14:textId="77777777" w:rsidR="00055D01" w:rsidRPr="00A02401" w:rsidRDefault="00055D01" w:rsidP="006C70E3">
            <w:pPr>
              <w:spacing w:before="60" w:after="60"/>
              <w:ind w:firstLine="5"/>
              <w:jc w:val="both"/>
            </w:pPr>
          </w:p>
        </w:tc>
      </w:tr>
      <w:tr w:rsidR="00055D01" w:rsidRPr="00A02401" w14:paraId="16671CD5" w14:textId="77777777" w:rsidTr="007D72ED">
        <w:tc>
          <w:tcPr>
            <w:tcW w:w="675" w:type="dxa"/>
            <w:tcBorders>
              <w:top w:val="single" w:sz="4" w:space="0" w:color="auto"/>
              <w:left w:val="single" w:sz="6" w:space="0" w:color="000000"/>
              <w:bottom w:val="single" w:sz="6" w:space="0" w:color="000000"/>
              <w:right w:val="single" w:sz="6" w:space="0" w:color="000000"/>
            </w:tcBorders>
          </w:tcPr>
          <w:p w14:paraId="5A7AD71C" w14:textId="6099A473" w:rsidR="00055D01" w:rsidRPr="00A02401" w:rsidRDefault="00F33A5B" w:rsidP="006C70E3">
            <w:pPr>
              <w:pStyle w:val="naisc"/>
              <w:spacing w:before="60" w:after="60"/>
              <w:jc w:val="both"/>
            </w:pPr>
            <w:r>
              <w:lastRenderedPageBreak/>
              <w:t>30.</w:t>
            </w:r>
          </w:p>
        </w:tc>
        <w:tc>
          <w:tcPr>
            <w:tcW w:w="3119" w:type="dxa"/>
            <w:gridSpan w:val="2"/>
            <w:tcBorders>
              <w:top w:val="single" w:sz="4" w:space="0" w:color="auto"/>
              <w:left w:val="single" w:sz="6" w:space="0" w:color="000000"/>
              <w:bottom w:val="single" w:sz="6" w:space="0" w:color="000000"/>
              <w:right w:val="single" w:sz="6" w:space="0" w:color="000000"/>
            </w:tcBorders>
          </w:tcPr>
          <w:p w14:paraId="359B3459" w14:textId="1CA117D8" w:rsidR="00055D01" w:rsidRPr="00A02401" w:rsidRDefault="00055D01" w:rsidP="006C70E3">
            <w:pPr>
              <w:pStyle w:val="naisc"/>
              <w:spacing w:before="60" w:after="60"/>
              <w:ind w:firstLine="33"/>
              <w:jc w:val="both"/>
            </w:pPr>
            <w:r>
              <w:t>Jauns punkts</w:t>
            </w:r>
          </w:p>
        </w:tc>
        <w:tc>
          <w:tcPr>
            <w:tcW w:w="4278" w:type="dxa"/>
            <w:tcBorders>
              <w:top w:val="single" w:sz="4" w:space="0" w:color="auto"/>
              <w:left w:val="single" w:sz="6" w:space="0" w:color="000000"/>
              <w:bottom w:val="single" w:sz="6" w:space="0" w:color="000000"/>
              <w:right w:val="single" w:sz="6" w:space="0" w:color="000000"/>
            </w:tcBorders>
          </w:tcPr>
          <w:p w14:paraId="72267CF1" w14:textId="0331D219" w:rsidR="00055D01" w:rsidRPr="00A02401" w:rsidRDefault="00055D01" w:rsidP="006B0018">
            <w:pPr>
              <w:pStyle w:val="naisc"/>
              <w:spacing w:before="60" w:after="60"/>
              <w:ind w:firstLine="5"/>
              <w:jc w:val="both"/>
              <w:rPr>
                <w:b/>
                <w:bCs/>
              </w:rPr>
            </w:pPr>
            <w:r w:rsidRPr="00A02401">
              <w:rPr>
                <w:b/>
                <w:bCs/>
              </w:rPr>
              <w:t>A</w:t>
            </w:r>
            <w:r>
              <w:rPr>
                <w:b/>
                <w:bCs/>
              </w:rPr>
              <w:t>kciju sabiedrība</w:t>
            </w:r>
            <w:r w:rsidRPr="00A02401">
              <w:rPr>
                <w:b/>
                <w:bCs/>
              </w:rPr>
              <w:t xml:space="preserve"> </w:t>
            </w:r>
            <w:r>
              <w:rPr>
                <w:b/>
                <w:bCs/>
              </w:rPr>
              <w:t>“</w:t>
            </w:r>
            <w:r w:rsidRPr="00A02401">
              <w:rPr>
                <w:b/>
                <w:bCs/>
              </w:rPr>
              <w:t>Conexus Baltic Grid</w:t>
            </w:r>
            <w:r>
              <w:rPr>
                <w:b/>
                <w:bCs/>
              </w:rPr>
              <w:t>”</w:t>
            </w:r>
          </w:p>
          <w:p w14:paraId="5E8ED42D" w14:textId="7901CBC0" w:rsidR="00055D01" w:rsidRPr="00A02401" w:rsidRDefault="00055D01" w:rsidP="006C70E3">
            <w:pPr>
              <w:spacing w:line="259" w:lineRule="auto"/>
              <w:jc w:val="both"/>
              <w:rPr>
                <w:rFonts w:eastAsia="Calibri"/>
              </w:rPr>
            </w:pPr>
            <w:r w:rsidRPr="00A02401">
              <w:rPr>
                <w:rFonts w:eastAsia="Calibri"/>
              </w:rPr>
              <w:t>Lai izvairītos no regulējuma dublēšanas vairākos normatīvajos aktos, Sabiedrība papildus ar noteikumu projektu lūdz svītrot MK noteikumu 161. punktu un MK noteikumu 163. punktā svītrot atsauci uz pārvades sistēmas operatoru un pārvades sistēmas pakalpojuma līgumu. Regulas 14. panta 3. punkts nosaka, ka sniedzot trešo personu piekļuves pakalpojumus, attiecīgā gadījumā tīkla lietotājiem var pieprasīt atbilstīgas garantijas saistībā ar to kredītspēju. Šādas garantijas nedrīkst veidot nepamatotus šķēršļus piekļuvei tirgum, un tām jābūt nediskriminējošās, pārredzamām un samērīgām.</w:t>
            </w:r>
          </w:p>
          <w:p w14:paraId="1E3418BE" w14:textId="789FFD81" w:rsidR="00055D01" w:rsidRPr="00A02401" w:rsidRDefault="00055D01" w:rsidP="006C70E3">
            <w:pPr>
              <w:spacing w:after="160" w:line="259" w:lineRule="auto"/>
              <w:jc w:val="both"/>
              <w:rPr>
                <w:b/>
                <w:bCs/>
              </w:rPr>
            </w:pPr>
            <w:r w:rsidRPr="00A02401">
              <w:rPr>
                <w:rFonts w:eastAsia="Calibri"/>
              </w:rPr>
              <w:t xml:space="preserve">Sabiedrības lūgums pamatojams ar apstākli, ka vienotie Latvijas-Igaunijas balansēšanas zonas pārvades sistēmas lietošanas noteikumi, kas saskaņoti ar Sabiedrisko pakalpojumu regulēšanas komisijas 2020. gada 23. aprīļa padomes </w:t>
            </w:r>
            <w:r w:rsidRPr="00A02401">
              <w:rPr>
                <w:rFonts w:eastAsia="Calibri"/>
              </w:rPr>
              <w:lastRenderedPageBreak/>
              <w:t xml:space="preserve">lēmumu Nr. 45 </w:t>
            </w:r>
            <w:r w:rsidR="006B0018">
              <w:rPr>
                <w:rFonts w:eastAsia="Calibri"/>
              </w:rPr>
              <w:t>“</w:t>
            </w:r>
            <w:r w:rsidRPr="00A02401">
              <w:rPr>
                <w:rFonts w:eastAsia="Calibri"/>
              </w:rPr>
              <w:t>Par Vienoto dabasgāzes pārvades sistēmas lietošanas noteikumu saskaņošanu</w:t>
            </w:r>
            <w:r w:rsidR="006B0018">
              <w:rPr>
                <w:rFonts w:eastAsia="Calibri"/>
              </w:rPr>
              <w:t>”</w:t>
            </w:r>
            <w:r w:rsidRPr="00A02401">
              <w:rPr>
                <w:rFonts w:eastAsia="Calibri"/>
              </w:rPr>
              <w:t>, jau ietver pretendentu un sistēmas lietotāju kredītspējas un saistību izpildes nodrošinājuma izvērtēšanas un piemērošanas nosacījumus. Tas nozīmē, ka sistēmas lietotāju un pārvades sistēmas operatora savstarpējos saistību izpildes nodrošinājuma jautājumus, kas arī izriet no trešo pušu piekļuves koncepta, uzrauga un saskaņo Regulators.</w:t>
            </w:r>
          </w:p>
        </w:tc>
        <w:tc>
          <w:tcPr>
            <w:tcW w:w="3260" w:type="dxa"/>
            <w:gridSpan w:val="2"/>
            <w:tcBorders>
              <w:top w:val="single" w:sz="4" w:space="0" w:color="auto"/>
              <w:left w:val="single" w:sz="6" w:space="0" w:color="000000"/>
              <w:bottom w:val="single" w:sz="6" w:space="0" w:color="000000"/>
              <w:right w:val="single" w:sz="6" w:space="0" w:color="000000"/>
            </w:tcBorders>
          </w:tcPr>
          <w:p w14:paraId="417C0BDA" w14:textId="77777777" w:rsidR="00055D01" w:rsidRPr="00A02401" w:rsidRDefault="00055D01" w:rsidP="006C70E3">
            <w:pPr>
              <w:pStyle w:val="naisc"/>
              <w:spacing w:before="60" w:after="60"/>
              <w:ind w:firstLine="5"/>
              <w:jc w:val="both"/>
              <w:rPr>
                <w:b/>
              </w:rPr>
            </w:pPr>
            <w:r w:rsidRPr="00A02401">
              <w:rPr>
                <w:b/>
              </w:rPr>
              <w:lastRenderedPageBreak/>
              <w:t>Ņemts vērā.</w:t>
            </w:r>
          </w:p>
          <w:p w14:paraId="4FA605C4" w14:textId="67CE0121" w:rsidR="00055D01" w:rsidRPr="00A02401" w:rsidRDefault="00055D01" w:rsidP="006C70E3">
            <w:pPr>
              <w:pStyle w:val="naisc"/>
              <w:spacing w:before="60" w:after="60"/>
              <w:ind w:firstLine="5"/>
              <w:jc w:val="both"/>
              <w:rPr>
                <w:bCs/>
              </w:rPr>
            </w:pPr>
            <w:r w:rsidRPr="00A02401">
              <w:rPr>
                <w:bCs/>
              </w:rPr>
              <w:t>Punkts svītrots.</w:t>
            </w:r>
          </w:p>
        </w:tc>
        <w:tc>
          <w:tcPr>
            <w:tcW w:w="2951" w:type="dxa"/>
            <w:tcBorders>
              <w:top w:val="single" w:sz="4" w:space="0" w:color="auto"/>
              <w:left w:val="single" w:sz="4" w:space="0" w:color="auto"/>
              <w:bottom w:val="single" w:sz="4" w:space="0" w:color="auto"/>
            </w:tcBorders>
          </w:tcPr>
          <w:p w14:paraId="07A14885" w14:textId="77777777" w:rsidR="00055D01" w:rsidRPr="00A02401" w:rsidRDefault="00055D01" w:rsidP="006C70E3">
            <w:pPr>
              <w:spacing w:before="60" w:after="60"/>
              <w:ind w:firstLine="5"/>
              <w:jc w:val="both"/>
              <w:rPr>
                <w:bCs/>
              </w:rPr>
            </w:pPr>
            <w:r w:rsidRPr="00A02401">
              <w:rPr>
                <w:bCs/>
              </w:rPr>
              <w:t>16. Svītrot 161.punktu.</w:t>
            </w:r>
          </w:p>
          <w:p w14:paraId="5167C512" w14:textId="77777777" w:rsidR="00055D01" w:rsidRPr="00A02401" w:rsidRDefault="00055D01" w:rsidP="006C70E3">
            <w:pPr>
              <w:spacing w:before="60" w:after="60"/>
              <w:ind w:firstLine="5"/>
              <w:jc w:val="both"/>
              <w:rPr>
                <w:bCs/>
              </w:rPr>
            </w:pPr>
          </w:p>
          <w:p w14:paraId="2F381AC1" w14:textId="15002A92" w:rsidR="00055D01" w:rsidRPr="00A02401" w:rsidRDefault="00055D01" w:rsidP="006C70E3">
            <w:pPr>
              <w:spacing w:before="60" w:after="60"/>
              <w:ind w:firstLine="5"/>
              <w:jc w:val="both"/>
              <w:rPr>
                <w:bCs/>
              </w:rPr>
            </w:pPr>
            <w:r w:rsidRPr="00A02401">
              <w:rPr>
                <w:bCs/>
              </w:rPr>
              <w:t>17. Svītrot 163.punktā skaitli “161.”.</w:t>
            </w:r>
          </w:p>
        </w:tc>
      </w:tr>
      <w:tr w:rsidR="00055D01" w:rsidRPr="00A02401" w14:paraId="36D02133" w14:textId="77777777" w:rsidTr="007D72ED">
        <w:tc>
          <w:tcPr>
            <w:tcW w:w="675" w:type="dxa"/>
            <w:tcBorders>
              <w:top w:val="single" w:sz="4" w:space="0" w:color="auto"/>
              <w:left w:val="single" w:sz="6" w:space="0" w:color="000000"/>
              <w:bottom w:val="single" w:sz="6" w:space="0" w:color="000000"/>
              <w:right w:val="single" w:sz="6" w:space="0" w:color="000000"/>
            </w:tcBorders>
          </w:tcPr>
          <w:p w14:paraId="6081F74F" w14:textId="5326D6AC" w:rsidR="00055D01" w:rsidRPr="00A02401" w:rsidRDefault="00F33A5B" w:rsidP="006C70E3">
            <w:pPr>
              <w:pStyle w:val="naisc"/>
              <w:tabs>
                <w:tab w:val="left" w:pos="220"/>
              </w:tabs>
              <w:spacing w:before="60" w:after="60"/>
              <w:jc w:val="both"/>
            </w:pPr>
            <w:r>
              <w:t>31.</w:t>
            </w:r>
          </w:p>
        </w:tc>
        <w:tc>
          <w:tcPr>
            <w:tcW w:w="3119" w:type="dxa"/>
            <w:gridSpan w:val="2"/>
            <w:tcBorders>
              <w:top w:val="single" w:sz="4" w:space="0" w:color="auto"/>
              <w:left w:val="single" w:sz="6" w:space="0" w:color="000000"/>
              <w:bottom w:val="single" w:sz="6" w:space="0" w:color="000000"/>
              <w:right w:val="single" w:sz="6" w:space="0" w:color="000000"/>
            </w:tcBorders>
          </w:tcPr>
          <w:p w14:paraId="74F96E62" w14:textId="77777777" w:rsidR="00055D01" w:rsidRPr="00A02401" w:rsidRDefault="00055D01" w:rsidP="006C70E3">
            <w:pPr>
              <w:pStyle w:val="naisc"/>
              <w:spacing w:before="60" w:after="60"/>
              <w:ind w:firstLine="33"/>
              <w:jc w:val="both"/>
            </w:pPr>
            <w:r w:rsidRPr="00A02401">
              <w:t>Pielikums</w:t>
            </w:r>
          </w:p>
        </w:tc>
        <w:tc>
          <w:tcPr>
            <w:tcW w:w="4278" w:type="dxa"/>
            <w:tcBorders>
              <w:top w:val="single" w:sz="4" w:space="0" w:color="auto"/>
              <w:left w:val="single" w:sz="6" w:space="0" w:color="000000"/>
              <w:bottom w:val="single" w:sz="6" w:space="0" w:color="000000"/>
              <w:right w:val="single" w:sz="6" w:space="0" w:color="000000"/>
            </w:tcBorders>
          </w:tcPr>
          <w:p w14:paraId="45D0D3D1" w14:textId="2CCD3FDE" w:rsidR="00055D01" w:rsidRPr="00A02401" w:rsidRDefault="00055D01" w:rsidP="006C70E3">
            <w:pPr>
              <w:pStyle w:val="NoSpacing"/>
              <w:ind w:firstLine="0"/>
              <w:rPr>
                <w:b/>
                <w:bCs/>
                <w:sz w:val="24"/>
                <w:szCs w:val="24"/>
              </w:rPr>
            </w:pPr>
            <w:r w:rsidRPr="00A02401">
              <w:rPr>
                <w:b/>
                <w:bCs/>
                <w:sz w:val="24"/>
                <w:szCs w:val="24"/>
              </w:rPr>
              <w:t xml:space="preserve">SPRK </w:t>
            </w:r>
          </w:p>
          <w:p w14:paraId="1E789613" w14:textId="77777777" w:rsidR="00055D01" w:rsidRPr="00A02401" w:rsidRDefault="00055D01" w:rsidP="006C70E3">
            <w:pPr>
              <w:tabs>
                <w:tab w:val="left" w:pos="426"/>
                <w:tab w:val="left" w:pos="993"/>
              </w:tabs>
              <w:contextualSpacing/>
              <w:jc w:val="both"/>
              <w:rPr>
                <w:lang w:eastAsia="ja-JP"/>
              </w:rPr>
            </w:pPr>
            <w:r w:rsidRPr="00A02401">
              <w:rPr>
                <w:rFonts w:eastAsia="Calibri"/>
                <w:lang w:eastAsia="ja-JP"/>
              </w:rPr>
              <w:t>Atbilstoši Eiropas Savienības spēkā esošajam regulējumam</w:t>
            </w:r>
            <w:r w:rsidRPr="00A02401">
              <w:rPr>
                <w:rFonts w:eastAsia="Calibri"/>
                <w:vertAlign w:val="superscript"/>
                <w:lang w:eastAsia="ja-JP"/>
              </w:rPr>
              <w:footnoteReference w:id="4"/>
            </w:r>
            <w:r w:rsidRPr="00A02401">
              <w:rPr>
                <w:rFonts w:eastAsia="Calibri"/>
                <w:vertAlign w:val="superscript"/>
                <w:lang w:eastAsia="ja-JP"/>
              </w:rPr>
              <w:footnoteReference w:id="5"/>
            </w:r>
            <w:r w:rsidRPr="00A02401">
              <w:rPr>
                <w:rFonts w:eastAsia="Calibri"/>
                <w:lang w:eastAsia="ja-JP"/>
              </w:rPr>
              <w:t xml:space="preserve"> dabasgāzes daudzums ir jāizsaka apjoma un enerģijas vienībās, tādēļ Noteikumu projekta 15.punktā paredzētajā Noteikumu 2.pielikumā dabasgāzes patēriņa normas būtu izsakāmas gan apjoma vienībās (m</w:t>
            </w:r>
            <w:r w:rsidRPr="00A02401">
              <w:rPr>
                <w:rFonts w:eastAsia="Calibri"/>
                <w:vertAlign w:val="superscript"/>
                <w:lang w:eastAsia="ja-JP"/>
              </w:rPr>
              <w:t>3</w:t>
            </w:r>
            <w:r w:rsidRPr="00A02401">
              <w:rPr>
                <w:rFonts w:eastAsia="Calibri"/>
                <w:lang w:eastAsia="ja-JP"/>
              </w:rPr>
              <w:t xml:space="preserve">), gan enerģijas vienībās (kWh). Regulators vērš uzmanību, ka </w:t>
            </w:r>
            <w:r w:rsidRPr="00A02401">
              <w:rPr>
                <w:lang w:eastAsia="ja-JP"/>
              </w:rPr>
              <w:t>gadījumā, ja dabasgāzes daudzuma pārrēķins uz enerģijas vienībām tiek veikts, izmantojot faktisko dabasgāzes kaloritāti noteiktā laika periodā, Noteikumu 2.pielikumā būtu jāietver attiecīga atruna.</w:t>
            </w:r>
          </w:p>
          <w:p w14:paraId="1C599863" w14:textId="5917E0D1" w:rsidR="00055D01" w:rsidRPr="006B0018" w:rsidRDefault="00055D01" w:rsidP="006B0018">
            <w:pPr>
              <w:tabs>
                <w:tab w:val="left" w:pos="426"/>
                <w:tab w:val="left" w:pos="993"/>
              </w:tabs>
              <w:contextualSpacing/>
              <w:jc w:val="both"/>
              <w:rPr>
                <w:rFonts w:eastAsia="Calibri"/>
                <w:lang w:eastAsia="ja-JP"/>
              </w:rPr>
            </w:pPr>
            <w:r w:rsidRPr="00A02401">
              <w:rPr>
                <w:rFonts w:eastAsia="Calibri"/>
                <w:lang w:eastAsia="ja-JP"/>
              </w:rPr>
              <w:t xml:space="preserve">Vienlaikus Regulators lūdz precizēt Noteikumu projekta 15.punktā paredzētā Noteikumu 2.pielikuma tabulas virsrakstu, </w:t>
            </w:r>
            <w:r w:rsidRPr="00A02401">
              <w:rPr>
                <w:rFonts w:eastAsia="Calibri"/>
                <w:lang w:eastAsia="ja-JP"/>
              </w:rPr>
              <w:lastRenderedPageBreak/>
              <w:t xml:space="preserve">norādot, ka tās ir dabasgāzes patēriņa mēneša un gada normas. Regulators norāda, ka decimālskaitlī </w:t>
            </w:r>
            <w:r w:rsidRPr="00A02401">
              <w:rPr>
                <w:lang w:eastAsia="ja-JP"/>
              </w:rPr>
              <w:t>veselais skaitlis no decimāldaļas tiek atdalīts ar komatu, nevis punktu.</w:t>
            </w:r>
          </w:p>
        </w:tc>
        <w:tc>
          <w:tcPr>
            <w:tcW w:w="3260" w:type="dxa"/>
            <w:gridSpan w:val="2"/>
            <w:tcBorders>
              <w:top w:val="single" w:sz="4" w:space="0" w:color="auto"/>
              <w:left w:val="single" w:sz="6" w:space="0" w:color="000000"/>
              <w:bottom w:val="single" w:sz="6" w:space="0" w:color="000000"/>
              <w:right w:val="single" w:sz="6" w:space="0" w:color="000000"/>
            </w:tcBorders>
          </w:tcPr>
          <w:p w14:paraId="3437CA35" w14:textId="77777777" w:rsidR="00055D01" w:rsidRPr="00A02401" w:rsidRDefault="00055D01" w:rsidP="006C70E3">
            <w:pPr>
              <w:pStyle w:val="naisc"/>
              <w:spacing w:before="60" w:after="60"/>
              <w:ind w:firstLine="5"/>
              <w:jc w:val="both"/>
              <w:rPr>
                <w:b/>
              </w:rPr>
            </w:pPr>
            <w:r w:rsidRPr="00A02401">
              <w:rPr>
                <w:b/>
              </w:rPr>
              <w:lastRenderedPageBreak/>
              <w:t>Ņemts vērā.</w:t>
            </w:r>
          </w:p>
          <w:p w14:paraId="5B552E97" w14:textId="77777777" w:rsidR="00055D01" w:rsidRPr="00A02401" w:rsidRDefault="00055D01" w:rsidP="006C70E3">
            <w:pPr>
              <w:pStyle w:val="naisc"/>
              <w:spacing w:before="60" w:after="60"/>
              <w:ind w:firstLine="5"/>
              <w:jc w:val="both"/>
              <w:rPr>
                <w:bCs/>
              </w:rPr>
            </w:pPr>
            <w:r w:rsidRPr="00A02401">
              <w:rPr>
                <w:bCs/>
              </w:rPr>
              <w:t>Noteikumu projekts precizēts, papildinot ar informāciju par enerģijas vienībām.</w:t>
            </w:r>
          </w:p>
          <w:p w14:paraId="6DE940CD" w14:textId="77777777" w:rsidR="00055D01" w:rsidRPr="00A02401" w:rsidRDefault="00055D01" w:rsidP="006C70E3">
            <w:pPr>
              <w:pStyle w:val="naisc"/>
              <w:spacing w:before="60" w:after="60"/>
              <w:ind w:firstLine="5"/>
              <w:jc w:val="both"/>
              <w:rPr>
                <w:b/>
              </w:rPr>
            </w:pPr>
          </w:p>
        </w:tc>
        <w:tc>
          <w:tcPr>
            <w:tcW w:w="2951" w:type="dxa"/>
            <w:tcBorders>
              <w:top w:val="single" w:sz="4" w:space="0" w:color="auto"/>
              <w:left w:val="single" w:sz="4" w:space="0" w:color="auto"/>
              <w:bottom w:val="single" w:sz="4" w:space="0" w:color="auto"/>
            </w:tcBorders>
          </w:tcPr>
          <w:p w14:paraId="2867F288" w14:textId="77777777" w:rsidR="00055D01" w:rsidRPr="00A02401" w:rsidRDefault="00055D01" w:rsidP="006C70E3">
            <w:pPr>
              <w:spacing w:before="60" w:after="60"/>
              <w:ind w:firstLine="5"/>
              <w:jc w:val="both"/>
              <w:rPr>
                <w:bCs/>
              </w:rPr>
            </w:pPr>
            <w:r w:rsidRPr="00A02401">
              <w:rPr>
                <w:bCs/>
              </w:rPr>
              <w:t>Pielikums atbilstoši precizēts.</w:t>
            </w:r>
          </w:p>
        </w:tc>
      </w:tr>
      <w:tr w:rsidR="00055D01" w:rsidRPr="00A02401" w14:paraId="7E33132E" w14:textId="77777777" w:rsidTr="007D72ED">
        <w:tc>
          <w:tcPr>
            <w:tcW w:w="675" w:type="dxa"/>
            <w:tcBorders>
              <w:top w:val="single" w:sz="4" w:space="0" w:color="auto"/>
              <w:left w:val="single" w:sz="6" w:space="0" w:color="000000"/>
              <w:bottom w:val="single" w:sz="6" w:space="0" w:color="000000"/>
              <w:right w:val="single" w:sz="6" w:space="0" w:color="000000"/>
            </w:tcBorders>
          </w:tcPr>
          <w:p w14:paraId="163E29A7" w14:textId="538A042B" w:rsidR="00055D01" w:rsidRPr="00A02401" w:rsidRDefault="00055D01" w:rsidP="006C70E3">
            <w:pPr>
              <w:pStyle w:val="naisc"/>
              <w:spacing w:before="60" w:after="60"/>
              <w:jc w:val="both"/>
            </w:pPr>
            <w:r>
              <w:t>3</w:t>
            </w:r>
            <w:r w:rsidR="00F33A5B">
              <w:t>2</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69D0A822" w14:textId="2292296C" w:rsidR="00055D01" w:rsidRPr="00A02401" w:rsidRDefault="00055D01" w:rsidP="006C70E3">
            <w:pPr>
              <w:pStyle w:val="naisc"/>
              <w:spacing w:before="60" w:after="60"/>
              <w:ind w:firstLine="33"/>
              <w:jc w:val="both"/>
            </w:pPr>
            <w:r w:rsidRPr="00A02401">
              <w:t>Anotācija</w:t>
            </w:r>
          </w:p>
        </w:tc>
        <w:tc>
          <w:tcPr>
            <w:tcW w:w="4278" w:type="dxa"/>
            <w:tcBorders>
              <w:top w:val="single" w:sz="4" w:space="0" w:color="auto"/>
              <w:left w:val="single" w:sz="6" w:space="0" w:color="000000"/>
              <w:bottom w:val="single" w:sz="6" w:space="0" w:color="000000"/>
              <w:right w:val="single" w:sz="6" w:space="0" w:color="000000"/>
            </w:tcBorders>
          </w:tcPr>
          <w:p w14:paraId="77F4800E" w14:textId="22FA7A1D" w:rsidR="00055D01" w:rsidRPr="006B0018" w:rsidRDefault="00055D01" w:rsidP="006B0018">
            <w:pPr>
              <w:spacing w:line="259" w:lineRule="auto"/>
              <w:jc w:val="both"/>
              <w:rPr>
                <w:b/>
                <w:bCs/>
              </w:rPr>
            </w:pPr>
            <w:r w:rsidRPr="00A02401">
              <w:rPr>
                <w:b/>
                <w:bCs/>
              </w:rPr>
              <w:t>Akciju sabiedrība “Gaso”</w:t>
            </w:r>
          </w:p>
          <w:p w14:paraId="0873D309" w14:textId="3E2A4DB9" w:rsidR="00055D01" w:rsidRPr="00823334" w:rsidRDefault="00055D01" w:rsidP="006C70E3">
            <w:pPr>
              <w:jc w:val="both"/>
            </w:pPr>
            <w:r w:rsidRPr="00823334">
              <w:t>Ņemot vērā 2016. gada 4. oktobra Ministru kabineta noteikumu Nr.650 “Prasības biometāna un gāzveida stāvoklī pārvērstas sašķidrinātās dabasgāzes ievadīšanai un transportēšanai dabasgāzes pārvades un sadales sistēmā” 2.8.punktu, arī šajos noteikumos būtu jāparedz iespēja, ka sašķidrināto dabasgāzi ir iespējams piegādāt sadales sistēmā.</w:t>
            </w:r>
          </w:p>
          <w:p w14:paraId="5E73B58B" w14:textId="77777777" w:rsidR="00055D01" w:rsidRPr="00823334" w:rsidRDefault="00055D01" w:rsidP="006C70E3">
            <w:pPr>
              <w:jc w:val="both"/>
            </w:pPr>
            <w:r w:rsidRPr="00823334">
              <w:t>Papildināt 95.</w:t>
            </w:r>
            <w:r w:rsidRPr="00823334">
              <w:rPr>
                <w:vertAlign w:val="superscript"/>
              </w:rPr>
              <w:t>1</w:t>
            </w:r>
            <w:r w:rsidRPr="00823334">
              <w:t xml:space="preserve"> un 95.</w:t>
            </w:r>
            <w:r w:rsidRPr="00823334">
              <w:rPr>
                <w:vertAlign w:val="superscript"/>
              </w:rPr>
              <w:t>2</w:t>
            </w:r>
            <w:r w:rsidRPr="00823334">
              <w:t xml:space="preserve"> punktos aiz vārdiem “pārvades sistēmu” un “pārvades sistēmā” ar vārdiem “vai sadales sistēmu” un “vai sadales sistēmā”.</w:t>
            </w:r>
          </w:p>
          <w:p w14:paraId="04CF1099" w14:textId="77777777" w:rsidR="00055D01" w:rsidRPr="00A02401" w:rsidRDefault="00055D01" w:rsidP="006C70E3">
            <w:pPr>
              <w:pStyle w:val="NoSpacing"/>
              <w:ind w:firstLine="0"/>
              <w:rPr>
                <w:b/>
                <w:bCs/>
                <w:sz w:val="24"/>
                <w:szCs w:val="24"/>
              </w:rPr>
            </w:pPr>
          </w:p>
        </w:tc>
        <w:tc>
          <w:tcPr>
            <w:tcW w:w="3260" w:type="dxa"/>
            <w:gridSpan w:val="2"/>
            <w:tcBorders>
              <w:top w:val="single" w:sz="4" w:space="0" w:color="auto"/>
              <w:left w:val="single" w:sz="6" w:space="0" w:color="000000"/>
              <w:bottom w:val="single" w:sz="6" w:space="0" w:color="000000"/>
              <w:right w:val="single" w:sz="6" w:space="0" w:color="000000"/>
            </w:tcBorders>
          </w:tcPr>
          <w:p w14:paraId="1B160B0D" w14:textId="7E2B5D42" w:rsidR="00055D01" w:rsidRPr="00A02401" w:rsidRDefault="00055D01" w:rsidP="006B0018">
            <w:pPr>
              <w:pStyle w:val="naisc"/>
              <w:spacing w:before="60" w:after="60"/>
              <w:ind w:firstLine="5"/>
              <w:jc w:val="both"/>
              <w:rPr>
                <w:b/>
              </w:rPr>
            </w:pPr>
            <w:r w:rsidRPr="00A02401">
              <w:rPr>
                <w:b/>
              </w:rPr>
              <w:t>Daļēji ņemts vērā</w:t>
            </w:r>
          </w:p>
          <w:p w14:paraId="16BC74CF" w14:textId="11F0633C" w:rsidR="00055D01" w:rsidRPr="00A02401" w:rsidRDefault="00055D01" w:rsidP="006C70E3">
            <w:pPr>
              <w:pStyle w:val="naisc"/>
              <w:spacing w:before="60" w:after="60"/>
              <w:ind w:firstLine="5"/>
              <w:jc w:val="both"/>
              <w:rPr>
                <w:bCs/>
              </w:rPr>
            </w:pPr>
            <w:r w:rsidRPr="00A02401">
              <w:rPr>
                <w:bCs/>
              </w:rPr>
              <w:t>Ekonomikas ministrijas ieskatā jautājums par LNG termināļu pieslēgumiem būtu risnāms Enerģētikas likumā. Enerģētikas likuma 1.panta 40.punktā definēts, ka  sašķidrinātās dabasgāzes pakalpojums ir dabasgāzes šķidrināšana vai sašķidrinātās dabasgāzes saņemšana, izkraušana, uzglabāšana un pārvēršana gāzveida stāvoklī turpmākai piegādei uz dabasgāzes pārvades sistēmu vai enerģijas lietotājam. Ņemot vērā minētās normas jēgu un mērķi, secināms, ka Enerģētikas likuma šī brīža redakcijā paredzēts, ka SDG pēc pārvēršanas gāzveida stāvoklī ir ievadāma tikai pārvades sistēmā vai nododama tiešā veidā lietotājam. Anotācijā ir ietverts detalizēts skaidrojums.</w:t>
            </w:r>
          </w:p>
        </w:tc>
        <w:tc>
          <w:tcPr>
            <w:tcW w:w="2951" w:type="dxa"/>
            <w:tcBorders>
              <w:top w:val="single" w:sz="4" w:space="0" w:color="auto"/>
              <w:left w:val="single" w:sz="4" w:space="0" w:color="auto"/>
              <w:bottom w:val="single" w:sz="4" w:space="0" w:color="auto"/>
            </w:tcBorders>
          </w:tcPr>
          <w:p w14:paraId="56D9D7A7" w14:textId="492B831C" w:rsidR="00055D01" w:rsidRPr="00A02401" w:rsidRDefault="00055D01" w:rsidP="006C70E3">
            <w:pPr>
              <w:spacing w:before="60" w:after="60"/>
              <w:ind w:firstLine="5"/>
              <w:jc w:val="both"/>
              <w:rPr>
                <w:bCs/>
              </w:rPr>
            </w:pPr>
            <w:r w:rsidRPr="00A02401">
              <w:rPr>
                <w:bCs/>
              </w:rPr>
              <w:t>Anotācija ir papildināta ar detalizētu s</w:t>
            </w:r>
            <w:r>
              <w:rPr>
                <w:bCs/>
              </w:rPr>
              <w:t>k</w:t>
            </w:r>
            <w:r w:rsidRPr="00A02401">
              <w:rPr>
                <w:bCs/>
              </w:rPr>
              <w:t>aidrojumu.</w:t>
            </w:r>
          </w:p>
        </w:tc>
      </w:tr>
      <w:tr w:rsidR="00055D01" w:rsidRPr="00A02401" w14:paraId="47D9BDBC" w14:textId="77777777" w:rsidTr="007D72ED">
        <w:tc>
          <w:tcPr>
            <w:tcW w:w="675" w:type="dxa"/>
            <w:tcBorders>
              <w:top w:val="single" w:sz="4" w:space="0" w:color="auto"/>
              <w:left w:val="single" w:sz="6" w:space="0" w:color="000000"/>
              <w:bottom w:val="single" w:sz="6" w:space="0" w:color="000000"/>
              <w:right w:val="single" w:sz="6" w:space="0" w:color="000000"/>
            </w:tcBorders>
          </w:tcPr>
          <w:p w14:paraId="75F92276" w14:textId="4731FC6D" w:rsidR="00055D01" w:rsidRPr="00A02401" w:rsidRDefault="00055D01" w:rsidP="006C70E3">
            <w:pPr>
              <w:pStyle w:val="naisc"/>
              <w:spacing w:before="60" w:after="60"/>
              <w:jc w:val="both"/>
            </w:pPr>
            <w:r w:rsidRPr="00A02401">
              <w:t>3</w:t>
            </w:r>
            <w:r w:rsidR="00F33A5B">
              <w:t>3</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71ABEE8B" w14:textId="389241F2" w:rsidR="00055D01" w:rsidRPr="00A02401" w:rsidRDefault="00055D01" w:rsidP="006C70E3">
            <w:pPr>
              <w:pStyle w:val="naisc"/>
              <w:spacing w:before="60" w:after="60"/>
              <w:ind w:firstLine="33"/>
              <w:jc w:val="both"/>
            </w:pPr>
            <w:r w:rsidRPr="00A02401">
              <w:t>Anotācija</w:t>
            </w:r>
          </w:p>
        </w:tc>
        <w:tc>
          <w:tcPr>
            <w:tcW w:w="4278" w:type="dxa"/>
            <w:tcBorders>
              <w:top w:val="single" w:sz="4" w:space="0" w:color="auto"/>
              <w:left w:val="single" w:sz="6" w:space="0" w:color="000000"/>
              <w:bottom w:val="single" w:sz="6" w:space="0" w:color="000000"/>
              <w:right w:val="single" w:sz="6" w:space="0" w:color="000000"/>
            </w:tcBorders>
          </w:tcPr>
          <w:p w14:paraId="2C801828" w14:textId="60A5AC0E" w:rsidR="00055D01" w:rsidRPr="006B0018" w:rsidRDefault="00055D01" w:rsidP="006C70E3">
            <w:pPr>
              <w:pStyle w:val="NoSpacing"/>
              <w:ind w:firstLine="0"/>
              <w:rPr>
                <w:rFonts w:cstheme="minorHAnsi"/>
                <w:b/>
                <w:bCs/>
                <w:sz w:val="24"/>
                <w:szCs w:val="24"/>
                <w:shd w:val="clear" w:color="auto" w:fill="FDFCFD"/>
              </w:rPr>
            </w:pPr>
            <w:r w:rsidRPr="00A02401">
              <w:rPr>
                <w:rFonts w:cstheme="minorHAnsi"/>
                <w:b/>
                <w:bCs/>
                <w:sz w:val="24"/>
                <w:szCs w:val="24"/>
                <w:shd w:val="clear" w:color="auto" w:fill="FDFCFD"/>
              </w:rPr>
              <w:t>TM</w:t>
            </w:r>
          </w:p>
          <w:p w14:paraId="1EB934A0" w14:textId="6123910A" w:rsidR="00055D01" w:rsidRPr="00A02401" w:rsidRDefault="00055D01" w:rsidP="006C70E3">
            <w:pPr>
              <w:pStyle w:val="NoSpacing"/>
              <w:ind w:firstLine="0"/>
              <w:rPr>
                <w:color w:val="000000"/>
                <w:sz w:val="24"/>
                <w:szCs w:val="24"/>
              </w:rPr>
            </w:pPr>
            <w:r w:rsidRPr="00A02401">
              <w:rPr>
                <w:rFonts w:cstheme="minorHAnsi"/>
                <w:color w:val="000000"/>
                <w:sz w:val="24"/>
                <w:szCs w:val="24"/>
              </w:rPr>
              <w:t xml:space="preserve">Lūdzam papildināt anotāciju ar </w:t>
            </w:r>
            <w:r w:rsidRPr="00A02401">
              <w:rPr>
                <w:rFonts w:cstheme="minorHAnsi"/>
                <w:color w:val="000000"/>
                <w:sz w:val="24"/>
                <w:szCs w:val="24"/>
              </w:rPr>
              <w:lastRenderedPageBreak/>
              <w:t>skaidrojumu par projekta 11. un 15. punktā paredzēto grozījumu. </w:t>
            </w:r>
          </w:p>
          <w:p w14:paraId="6BEB3711" w14:textId="415BB04C" w:rsidR="00055D01" w:rsidRPr="00A02401" w:rsidRDefault="00055D01" w:rsidP="006C70E3">
            <w:pPr>
              <w:pStyle w:val="NoSpacing"/>
              <w:ind w:firstLine="0"/>
              <w:rPr>
                <w:rFonts w:cstheme="minorHAnsi"/>
                <w:b/>
                <w:bCs/>
                <w:sz w:val="24"/>
                <w:szCs w:val="24"/>
                <w:shd w:val="clear" w:color="auto" w:fill="FDFCFD"/>
              </w:rPr>
            </w:pPr>
          </w:p>
        </w:tc>
        <w:tc>
          <w:tcPr>
            <w:tcW w:w="3260" w:type="dxa"/>
            <w:gridSpan w:val="2"/>
            <w:tcBorders>
              <w:top w:val="single" w:sz="4" w:space="0" w:color="auto"/>
              <w:left w:val="single" w:sz="6" w:space="0" w:color="000000"/>
              <w:bottom w:val="single" w:sz="6" w:space="0" w:color="000000"/>
              <w:right w:val="single" w:sz="6" w:space="0" w:color="000000"/>
            </w:tcBorders>
          </w:tcPr>
          <w:p w14:paraId="6772D531" w14:textId="77777777" w:rsidR="00055D01" w:rsidRPr="00A02401" w:rsidRDefault="00055D01" w:rsidP="006C70E3">
            <w:pPr>
              <w:pStyle w:val="naisc"/>
              <w:spacing w:before="60" w:after="60"/>
              <w:ind w:firstLine="5"/>
              <w:jc w:val="both"/>
              <w:rPr>
                <w:b/>
              </w:rPr>
            </w:pPr>
            <w:r w:rsidRPr="00A02401">
              <w:rPr>
                <w:b/>
              </w:rPr>
              <w:lastRenderedPageBreak/>
              <w:t>Ņemts vērā.</w:t>
            </w:r>
          </w:p>
          <w:p w14:paraId="39AC68A9" w14:textId="3B69A9CB" w:rsidR="00055D01" w:rsidRPr="00A02401" w:rsidRDefault="00055D01" w:rsidP="006C70E3">
            <w:pPr>
              <w:pStyle w:val="naisc"/>
              <w:spacing w:before="60" w:after="60"/>
              <w:ind w:firstLine="5"/>
              <w:jc w:val="both"/>
              <w:rPr>
                <w:b/>
              </w:rPr>
            </w:pPr>
            <w:r w:rsidRPr="00A02401">
              <w:rPr>
                <w:bCs/>
              </w:rPr>
              <w:t>Anotācija atbilstoši papildināta.</w:t>
            </w:r>
          </w:p>
        </w:tc>
        <w:tc>
          <w:tcPr>
            <w:tcW w:w="2951" w:type="dxa"/>
            <w:tcBorders>
              <w:top w:val="single" w:sz="4" w:space="0" w:color="auto"/>
              <w:left w:val="single" w:sz="4" w:space="0" w:color="auto"/>
              <w:bottom w:val="single" w:sz="4" w:space="0" w:color="auto"/>
            </w:tcBorders>
          </w:tcPr>
          <w:p w14:paraId="2637DB03" w14:textId="21A921E4" w:rsidR="00055D01" w:rsidRPr="00A02401" w:rsidRDefault="00055D01" w:rsidP="006C70E3">
            <w:pPr>
              <w:spacing w:before="60" w:after="60"/>
              <w:ind w:firstLine="5"/>
              <w:jc w:val="both"/>
              <w:rPr>
                <w:bCs/>
              </w:rPr>
            </w:pPr>
            <w:r w:rsidRPr="00A02401">
              <w:rPr>
                <w:bCs/>
              </w:rPr>
              <w:t>Anotācija atbilstoši papildināta.</w:t>
            </w:r>
          </w:p>
        </w:tc>
      </w:tr>
      <w:tr w:rsidR="00055D01" w:rsidRPr="00A02401" w14:paraId="6861BD49" w14:textId="77777777" w:rsidTr="007D72ED">
        <w:tc>
          <w:tcPr>
            <w:tcW w:w="675" w:type="dxa"/>
            <w:tcBorders>
              <w:top w:val="single" w:sz="4" w:space="0" w:color="auto"/>
              <w:left w:val="single" w:sz="6" w:space="0" w:color="000000"/>
              <w:bottom w:val="single" w:sz="6" w:space="0" w:color="000000"/>
              <w:right w:val="single" w:sz="6" w:space="0" w:color="000000"/>
            </w:tcBorders>
          </w:tcPr>
          <w:p w14:paraId="1E9EC885" w14:textId="1B7543EE" w:rsidR="00055D01" w:rsidRPr="00A02401" w:rsidRDefault="00055D01" w:rsidP="006C70E3">
            <w:pPr>
              <w:pStyle w:val="naisc"/>
              <w:spacing w:before="60" w:after="60"/>
              <w:jc w:val="both"/>
            </w:pPr>
            <w:r w:rsidRPr="00A02401">
              <w:t>3</w:t>
            </w:r>
            <w:r w:rsidR="00F33A5B">
              <w:t>4</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4C7F599A" w14:textId="223B1264" w:rsidR="00055D01" w:rsidRPr="00A02401" w:rsidRDefault="00055D01" w:rsidP="006C70E3">
            <w:pPr>
              <w:pStyle w:val="naisc"/>
              <w:spacing w:before="60" w:after="60"/>
              <w:ind w:firstLine="33"/>
              <w:jc w:val="both"/>
            </w:pPr>
            <w:r w:rsidRPr="00A02401">
              <w:t>Anotācija</w:t>
            </w:r>
          </w:p>
        </w:tc>
        <w:tc>
          <w:tcPr>
            <w:tcW w:w="4278" w:type="dxa"/>
            <w:tcBorders>
              <w:top w:val="single" w:sz="4" w:space="0" w:color="auto"/>
              <w:left w:val="single" w:sz="6" w:space="0" w:color="000000"/>
              <w:bottom w:val="single" w:sz="6" w:space="0" w:color="000000"/>
              <w:right w:val="single" w:sz="6" w:space="0" w:color="000000"/>
            </w:tcBorders>
          </w:tcPr>
          <w:p w14:paraId="1C82F242" w14:textId="4EC67152" w:rsidR="00055D01" w:rsidRPr="00A02401" w:rsidRDefault="00055D01" w:rsidP="006C70E3">
            <w:pPr>
              <w:pStyle w:val="naisc"/>
              <w:spacing w:before="60" w:after="60"/>
              <w:jc w:val="both"/>
              <w:rPr>
                <w:b/>
                <w:bCs/>
                <w:shd w:val="clear" w:color="auto" w:fill="FDFCFD"/>
              </w:rPr>
            </w:pPr>
            <w:r w:rsidRPr="00A02401">
              <w:rPr>
                <w:b/>
                <w:bCs/>
                <w:shd w:val="clear" w:color="auto" w:fill="FDFCFD"/>
              </w:rPr>
              <w:t>TM</w:t>
            </w:r>
          </w:p>
          <w:p w14:paraId="4C9D4721" w14:textId="562604D4" w:rsidR="00055D01" w:rsidRPr="00A02401" w:rsidRDefault="00055D01" w:rsidP="006C70E3">
            <w:pPr>
              <w:pStyle w:val="naisc"/>
              <w:spacing w:before="60" w:after="60"/>
              <w:jc w:val="both"/>
              <w:rPr>
                <w:b/>
                <w:bCs/>
                <w:shd w:val="clear" w:color="auto" w:fill="FDFCFD"/>
              </w:rPr>
            </w:pPr>
            <w:r w:rsidRPr="00A02401">
              <w:rPr>
                <w:shd w:val="clear" w:color="auto" w:fill="FDFCFD"/>
              </w:rPr>
              <w:t xml:space="preserve">Vēršam uzmanību uz to, ka </w:t>
            </w:r>
            <w:r w:rsidRPr="00A02401">
              <w:t xml:space="preserve">anotācijā ir norādīts, ko paredz projekts, bet nav skaidrs, kādēļ nepieciešams attiecīgais regulējums, kas paredzēts projekta 2., 3., 4. un 5. punktā. Vienlaikus vēršam uzmanību uz to, ka anotācijas I sadaļas 2. punktu aizpilda </w:t>
            </w:r>
            <w:r w:rsidRPr="00A02401">
              <w:rPr>
                <w:bdr w:val="none" w:sz="0" w:space="0" w:color="auto" w:frame="1"/>
                <w:shd w:val="clear" w:color="auto" w:fill="FFFFFF"/>
              </w:rPr>
              <w:t xml:space="preserve">atbilstoši Ministru kabineta 2009. gada 15. decembra instrukcijas Nr. 19 </w:t>
            </w:r>
            <w:r w:rsidR="006B0018">
              <w:rPr>
                <w:bdr w:val="none" w:sz="0" w:space="0" w:color="auto" w:frame="1"/>
                <w:shd w:val="clear" w:color="auto" w:fill="FFFFFF"/>
              </w:rPr>
              <w:t>“</w:t>
            </w:r>
            <w:r w:rsidRPr="00A02401">
              <w:rPr>
                <w:bdr w:val="none" w:sz="0" w:space="0" w:color="auto" w:frame="1"/>
                <w:shd w:val="clear" w:color="auto" w:fill="FFFFFF"/>
              </w:rPr>
              <w:t>Tiesību akta projekta sākotnējās ietekmes izvērtēšanas kārtība</w:t>
            </w:r>
            <w:r w:rsidR="006B0018">
              <w:rPr>
                <w:bdr w:val="none" w:sz="0" w:space="0" w:color="auto" w:frame="1"/>
                <w:shd w:val="clear" w:color="auto" w:fill="FFFFFF"/>
              </w:rPr>
              <w:t>”</w:t>
            </w:r>
            <w:r w:rsidRPr="00A02401">
              <w:rPr>
                <w:bdr w:val="none" w:sz="0" w:space="0" w:color="auto" w:frame="1"/>
                <w:shd w:val="clear" w:color="auto" w:fill="FFFFFF"/>
              </w:rPr>
              <w:t xml:space="preserve"> (turpmāk – instrukcija) 14. punktā noteiktajām prasībām.</w:t>
            </w:r>
            <w:r w:rsidRPr="00A02401">
              <w:t xml:space="preserve"> Ievērojot minēto, lūdzam precizēt anotācijā ietverto informāciju.</w:t>
            </w:r>
          </w:p>
        </w:tc>
        <w:tc>
          <w:tcPr>
            <w:tcW w:w="3260" w:type="dxa"/>
            <w:gridSpan w:val="2"/>
            <w:tcBorders>
              <w:top w:val="single" w:sz="4" w:space="0" w:color="auto"/>
              <w:left w:val="single" w:sz="6" w:space="0" w:color="000000"/>
              <w:bottom w:val="single" w:sz="6" w:space="0" w:color="000000"/>
              <w:right w:val="single" w:sz="6" w:space="0" w:color="000000"/>
            </w:tcBorders>
          </w:tcPr>
          <w:p w14:paraId="302EC3C2" w14:textId="77777777" w:rsidR="00055D01" w:rsidRPr="00A02401" w:rsidRDefault="00055D01" w:rsidP="006C70E3">
            <w:pPr>
              <w:pStyle w:val="naisc"/>
              <w:spacing w:before="60" w:after="60"/>
              <w:ind w:firstLine="5"/>
              <w:jc w:val="both"/>
              <w:rPr>
                <w:b/>
              </w:rPr>
            </w:pPr>
            <w:r w:rsidRPr="00A02401">
              <w:rPr>
                <w:b/>
              </w:rPr>
              <w:t>Ņemts vērā.</w:t>
            </w:r>
          </w:p>
          <w:p w14:paraId="48BEA331" w14:textId="51898251" w:rsidR="00055D01" w:rsidRPr="00A02401" w:rsidRDefault="00055D01" w:rsidP="006C70E3">
            <w:pPr>
              <w:pStyle w:val="naisc"/>
              <w:spacing w:before="60" w:after="60"/>
              <w:ind w:firstLine="5"/>
              <w:jc w:val="both"/>
              <w:rPr>
                <w:bCs/>
              </w:rPr>
            </w:pPr>
            <w:r w:rsidRPr="00A02401">
              <w:t xml:space="preserve">Projekta sākotnējās </w:t>
            </w:r>
            <w:r w:rsidRPr="00A02401">
              <w:rPr>
                <w:i/>
              </w:rPr>
              <w:t>(ex-ante)</w:t>
            </w:r>
            <w:r w:rsidRPr="00A02401">
              <w:t xml:space="preserve"> ietekmes novērtējuma ziņojums </w:t>
            </w:r>
            <w:r w:rsidRPr="00A02401">
              <w:rPr>
                <w:bCs/>
              </w:rPr>
              <w:t>papildināts ar skaidrojumu par regulējuma nepieciešamību. Ekonomikas ministrija skaidro, ka regulējums, kas paredzēts Noteikumu projekta 2., 3., 4. un 5.punktā ir saistīts ar nepieciešamu regulējumā iestrādāt normas, kas noteiktu SDG pakalpojuma sniegšanas kārtību.</w:t>
            </w:r>
          </w:p>
        </w:tc>
        <w:tc>
          <w:tcPr>
            <w:tcW w:w="2951" w:type="dxa"/>
            <w:tcBorders>
              <w:top w:val="single" w:sz="4" w:space="0" w:color="auto"/>
              <w:left w:val="single" w:sz="4" w:space="0" w:color="auto"/>
              <w:bottom w:val="single" w:sz="4" w:space="0" w:color="auto"/>
            </w:tcBorders>
          </w:tcPr>
          <w:p w14:paraId="54875F59" w14:textId="5D836DEB" w:rsidR="00055D01" w:rsidRPr="00A02401" w:rsidRDefault="00055D01" w:rsidP="006C70E3">
            <w:pPr>
              <w:spacing w:before="60" w:after="60"/>
              <w:ind w:firstLine="5"/>
              <w:jc w:val="both"/>
            </w:pPr>
            <w:r w:rsidRPr="00A02401">
              <w:t>Veikti precizējumi Anotācijā.</w:t>
            </w:r>
          </w:p>
        </w:tc>
      </w:tr>
      <w:tr w:rsidR="00055D01" w:rsidRPr="00A02401" w14:paraId="35FE1E94" w14:textId="77777777" w:rsidTr="007D72ED">
        <w:tc>
          <w:tcPr>
            <w:tcW w:w="675" w:type="dxa"/>
            <w:tcBorders>
              <w:top w:val="single" w:sz="4" w:space="0" w:color="auto"/>
              <w:left w:val="single" w:sz="6" w:space="0" w:color="000000"/>
              <w:bottom w:val="single" w:sz="6" w:space="0" w:color="000000"/>
              <w:right w:val="single" w:sz="6" w:space="0" w:color="000000"/>
            </w:tcBorders>
          </w:tcPr>
          <w:p w14:paraId="13713647" w14:textId="4AD68D4E" w:rsidR="00055D01" w:rsidRPr="00A02401" w:rsidRDefault="00055D01" w:rsidP="006C70E3">
            <w:pPr>
              <w:pStyle w:val="naisc"/>
              <w:spacing w:before="60" w:after="60"/>
              <w:jc w:val="both"/>
            </w:pPr>
            <w:r w:rsidRPr="00A02401">
              <w:t>3</w:t>
            </w:r>
            <w:r w:rsidR="00F33A5B">
              <w:t>5</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793BF1F8" w14:textId="5C9462A2" w:rsidR="00055D01" w:rsidRPr="00A02401" w:rsidRDefault="00055D01" w:rsidP="006C70E3">
            <w:pPr>
              <w:pStyle w:val="naisc"/>
              <w:spacing w:before="60" w:after="60"/>
              <w:ind w:firstLine="33"/>
              <w:jc w:val="both"/>
            </w:pPr>
            <w:r w:rsidRPr="00A02401">
              <w:t>Anotācija</w:t>
            </w:r>
          </w:p>
        </w:tc>
        <w:tc>
          <w:tcPr>
            <w:tcW w:w="4278" w:type="dxa"/>
            <w:tcBorders>
              <w:top w:val="single" w:sz="4" w:space="0" w:color="auto"/>
              <w:left w:val="single" w:sz="6" w:space="0" w:color="000000"/>
              <w:bottom w:val="single" w:sz="6" w:space="0" w:color="000000"/>
              <w:right w:val="single" w:sz="6" w:space="0" w:color="000000"/>
            </w:tcBorders>
          </w:tcPr>
          <w:p w14:paraId="49840447" w14:textId="0B942FDB" w:rsidR="00055D01" w:rsidRPr="00A02401" w:rsidRDefault="00055D01" w:rsidP="006C70E3">
            <w:pPr>
              <w:pStyle w:val="NoSpacing"/>
              <w:ind w:firstLine="0"/>
              <w:rPr>
                <w:rFonts w:cstheme="minorHAnsi"/>
                <w:b/>
                <w:bCs/>
                <w:sz w:val="24"/>
                <w:szCs w:val="24"/>
                <w:shd w:val="clear" w:color="auto" w:fill="FDFCFD"/>
              </w:rPr>
            </w:pPr>
            <w:r w:rsidRPr="00A02401">
              <w:rPr>
                <w:rFonts w:cstheme="minorHAnsi"/>
                <w:b/>
                <w:bCs/>
                <w:sz w:val="24"/>
                <w:szCs w:val="24"/>
                <w:shd w:val="clear" w:color="auto" w:fill="FDFCFD"/>
              </w:rPr>
              <w:t>TM</w:t>
            </w:r>
          </w:p>
          <w:p w14:paraId="0BBEAF6F" w14:textId="71B8ACA0" w:rsidR="00055D01" w:rsidRPr="00A02401" w:rsidRDefault="00055D01" w:rsidP="006C70E3">
            <w:pPr>
              <w:pStyle w:val="NoSpacing"/>
              <w:ind w:firstLine="0"/>
              <w:rPr>
                <w:rFonts w:cstheme="minorHAnsi"/>
                <w:sz w:val="24"/>
                <w:szCs w:val="24"/>
                <w:shd w:val="clear" w:color="auto" w:fill="FDFCFD"/>
              </w:rPr>
            </w:pPr>
            <w:r w:rsidRPr="00A02401">
              <w:rPr>
                <w:rFonts w:cstheme="minorHAnsi"/>
                <w:color w:val="000000"/>
                <w:sz w:val="24"/>
                <w:szCs w:val="24"/>
              </w:rPr>
              <w:t xml:space="preserve">Anotācijas I sadaļas 2. punktā ir norādīts, ka, lai nodrošinātu korektu sašķidrinātās dabasgāzes pakalpojuma veikšanu, projekta 12. un 13. punkts papildina esošo noteikumu redakciju, paredzot iekļaut normas, kas attiecas uz sašķidrinātās dabasgāzes sistēmas operatora tiesībām un pienākumiem, sniedzot sašķidrinātās dabasgāzes pakalpojumu. Projekts paredz sašķidrinātās dabasgāzes sistēmas operatoram pienākumu nodrošināt informācijas konfidencialitāti saskaņā ar normatīvajiem aktiem, nodrošināt nepārtrauktu sašķidrinātās dabasgāzes </w:t>
            </w:r>
            <w:r w:rsidRPr="00A02401">
              <w:rPr>
                <w:rFonts w:cstheme="minorHAnsi"/>
                <w:color w:val="000000"/>
                <w:sz w:val="24"/>
                <w:szCs w:val="24"/>
              </w:rPr>
              <w:lastRenderedPageBreak/>
              <w:t>pakalpojuma sniegšanu, kā arī par katru gadu savā tīmekļvietnē publicēt informāciju par plānotajiem sašķidrinātās dabasgāzes sistēmas apkopes darbiem. Projekts nosaka, sašķidrinātās dabasgāzes sistēmas operatora atbildību par sašķidrinātās dabasgāzes iekārtā vai no šīs iekārtas piegādājamo dabasgāzes kvalitātes parametru atbilstības kontroli. Vēršam uzmanību uz to, ka iepriekš minētais nav uzskatāms par pamatojumu projekta 12. un 13. punktā paredzētajam grozījumam. Turklāt projekta 12. un 13. punktā nav grozījumi, kas saistīti ar sašķidrinātās dabasgāzes sistēmas operatora atbildību, proti, tie ir projekta pirmajā 14. punktā. Turklāt šie precizētie grozījumi neatbilst anotācijas I sadaļas 2. punktā minētajam. Savukārt par projekta 12. punktā paredzēto grozījumu nekas nav minēts. Ievērojot minēto, lūdzam precizēt anotācijas I sadaļas 2. punktā ietverto informāciju. </w:t>
            </w:r>
          </w:p>
        </w:tc>
        <w:tc>
          <w:tcPr>
            <w:tcW w:w="3260" w:type="dxa"/>
            <w:gridSpan w:val="2"/>
            <w:tcBorders>
              <w:top w:val="single" w:sz="4" w:space="0" w:color="auto"/>
              <w:left w:val="single" w:sz="6" w:space="0" w:color="000000"/>
              <w:bottom w:val="single" w:sz="6" w:space="0" w:color="000000"/>
              <w:right w:val="single" w:sz="6" w:space="0" w:color="000000"/>
            </w:tcBorders>
          </w:tcPr>
          <w:p w14:paraId="08504E09" w14:textId="77777777" w:rsidR="00055D01" w:rsidRPr="00A02401" w:rsidRDefault="00055D01" w:rsidP="006C70E3">
            <w:pPr>
              <w:pStyle w:val="naisc"/>
              <w:spacing w:before="60" w:after="60"/>
              <w:ind w:firstLine="5"/>
              <w:jc w:val="both"/>
              <w:rPr>
                <w:b/>
              </w:rPr>
            </w:pPr>
            <w:r w:rsidRPr="00A02401">
              <w:rPr>
                <w:b/>
              </w:rPr>
              <w:lastRenderedPageBreak/>
              <w:t>Ņemts vērā.</w:t>
            </w:r>
          </w:p>
          <w:p w14:paraId="2D5CDE03" w14:textId="48387AB4" w:rsidR="00055D01" w:rsidRPr="00A02401" w:rsidRDefault="00055D01" w:rsidP="006C70E3">
            <w:pPr>
              <w:pStyle w:val="naisc"/>
              <w:spacing w:before="60" w:after="60"/>
              <w:ind w:firstLine="5"/>
              <w:jc w:val="both"/>
              <w:rPr>
                <w:bCs/>
              </w:rPr>
            </w:pPr>
            <w:r w:rsidRPr="00A02401">
              <w:rPr>
                <w:bCs/>
              </w:rPr>
              <w:t>Anotācija atbilstoši precizēta.</w:t>
            </w:r>
          </w:p>
        </w:tc>
        <w:tc>
          <w:tcPr>
            <w:tcW w:w="2951" w:type="dxa"/>
            <w:tcBorders>
              <w:top w:val="single" w:sz="4" w:space="0" w:color="auto"/>
              <w:left w:val="single" w:sz="4" w:space="0" w:color="auto"/>
              <w:bottom w:val="single" w:sz="4" w:space="0" w:color="auto"/>
            </w:tcBorders>
          </w:tcPr>
          <w:p w14:paraId="5EBDE4C4" w14:textId="07DB36DB" w:rsidR="00055D01" w:rsidRPr="00A02401" w:rsidRDefault="00055D01" w:rsidP="006C70E3">
            <w:pPr>
              <w:spacing w:before="60" w:after="60"/>
              <w:ind w:firstLine="5"/>
              <w:jc w:val="both"/>
            </w:pPr>
            <w:r w:rsidRPr="00A02401">
              <w:rPr>
                <w:bCs/>
              </w:rPr>
              <w:t>Anotācija atbilstoši precizēta.</w:t>
            </w:r>
          </w:p>
        </w:tc>
      </w:tr>
      <w:tr w:rsidR="00055D01" w:rsidRPr="00A02401" w14:paraId="21161098" w14:textId="77777777" w:rsidTr="007D72ED">
        <w:tc>
          <w:tcPr>
            <w:tcW w:w="675" w:type="dxa"/>
            <w:tcBorders>
              <w:top w:val="single" w:sz="4" w:space="0" w:color="auto"/>
              <w:left w:val="single" w:sz="6" w:space="0" w:color="000000"/>
              <w:bottom w:val="single" w:sz="6" w:space="0" w:color="000000"/>
              <w:right w:val="single" w:sz="6" w:space="0" w:color="000000"/>
            </w:tcBorders>
          </w:tcPr>
          <w:p w14:paraId="5C8ABFEE" w14:textId="71C57580" w:rsidR="00055D01" w:rsidRPr="00A02401" w:rsidRDefault="00055D01" w:rsidP="006C70E3">
            <w:pPr>
              <w:pStyle w:val="naisc"/>
              <w:spacing w:before="60" w:after="60"/>
              <w:jc w:val="both"/>
            </w:pPr>
            <w:r w:rsidRPr="00A02401">
              <w:t>3</w:t>
            </w:r>
            <w:r w:rsidR="00F33A5B">
              <w:t>6</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51F1FFE0" w14:textId="3DCD9FCB" w:rsidR="00055D01" w:rsidRPr="00A02401" w:rsidRDefault="00055D01" w:rsidP="006C70E3">
            <w:pPr>
              <w:pStyle w:val="naisc"/>
              <w:spacing w:before="60" w:after="60"/>
              <w:ind w:firstLine="33"/>
              <w:jc w:val="both"/>
            </w:pPr>
            <w:r w:rsidRPr="00A02401">
              <w:t>Anotācija</w:t>
            </w:r>
          </w:p>
        </w:tc>
        <w:tc>
          <w:tcPr>
            <w:tcW w:w="4278" w:type="dxa"/>
            <w:tcBorders>
              <w:top w:val="single" w:sz="4" w:space="0" w:color="auto"/>
              <w:left w:val="single" w:sz="6" w:space="0" w:color="000000"/>
              <w:bottom w:val="single" w:sz="6" w:space="0" w:color="000000"/>
              <w:right w:val="single" w:sz="6" w:space="0" w:color="000000"/>
            </w:tcBorders>
          </w:tcPr>
          <w:p w14:paraId="74866F27" w14:textId="4EFC9B2E" w:rsidR="00055D01" w:rsidRPr="00A02401" w:rsidRDefault="00055D01" w:rsidP="006C70E3">
            <w:pPr>
              <w:pStyle w:val="NoSpacing"/>
              <w:ind w:firstLine="0"/>
              <w:rPr>
                <w:rFonts w:cstheme="minorHAnsi"/>
                <w:b/>
                <w:bCs/>
                <w:sz w:val="24"/>
                <w:szCs w:val="24"/>
                <w:shd w:val="clear" w:color="auto" w:fill="FDFCFD"/>
              </w:rPr>
            </w:pPr>
            <w:r w:rsidRPr="00A02401">
              <w:rPr>
                <w:rFonts w:cstheme="minorHAnsi"/>
                <w:b/>
                <w:bCs/>
                <w:sz w:val="24"/>
                <w:szCs w:val="24"/>
                <w:shd w:val="clear" w:color="auto" w:fill="FDFCFD"/>
              </w:rPr>
              <w:t>TM</w:t>
            </w:r>
          </w:p>
          <w:p w14:paraId="4BF21C3A" w14:textId="4BF8DE9F" w:rsidR="00055D01" w:rsidRPr="00A02401" w:rsidRDefault="00055D01" w:rsidP="006C70E3">
            <w:pPr>
              <w:pStyle w:val="NoSpacing"/>
              <w:ind w:firstLine="0"/>
              <w:rPr>
                <w:rFonts w:cstheme="minorHAnsi"/>
                <w:b/>
                <w:bCs/>
                <w:sz w:val="24"/>
                <w:szCs w:val="24"/>
                <w:shd w:val="clear" w:color="auto" w:fill="FDFCFD"/>
              </w:rPr>
            </w:pPr>
            <w:r w:rsidRPr="00A02401">
              <w:rPr>
                <w:rFonts w:cstheme="minorHAnsi"/>
                <w:color w:val="000000"/>
                <w:sz w:val="24"/>
                <w:szCs w:val="24"/>
              </w:rPr>
              <w:t>Anotācijas I sadaļas 2. punktā ir norādīts, ka pašreizējais regulējums būtiski paplašina Enerģētikas likumā dotu deleģējumu attiecībā uz pēdējās garantētās piegādes pakalpojuma noregulējumu. Lūdzam papildināt iepriekš minēto informāciju, norādot, kuras Enerģētikas likuma un noteikumu normas ir neatbilstošas</w:t>
            </w:r>
          </w:p>
        </w:tc>
        <w:tc>
          <w:tcPr>
            <w:tcW w:w="3260" w:type="dxa"/>
            <w:gridSpan w:val="2"/>
            <w:tcBorders>
              <w:top w:val="single" w:sz="4" w:space="0" w:color="auto"/>
              <w:left w:val="single" w:sz="6" w:space="0" w:color="000000"/>
              <w:bottom w:val="single" w:sz="6" w:space="0" w:color="000000"/>
              <w:right w:val="single" w:sz="6" w:space="0" w:color="000000"/>
            </w:tcBorders>
          </w:tcPr>
          <w:p w14:paraId="4FCAC758" w14:textId="77777777" w:rsidR="00055D01" w:rsidRPr="00A02401" w:rsidRDefault="00055D01" w:rsidP="006C70E3">
            <w:pPr>
              <w:pStyle w:val="naisc"/>
              <w:spacing w:before="60" w:after="60"/>
              <w:ind w:firstLine="5"/>
              <w:jc w:val="both"/>
              <w:rPr>
                <w:b/>
              </w:rPr>
            </w:pPr>
            <w:r w:rsidRPr="00A02401">
              <w:rPr>
                <w:b/>
              </w:rPr>
              <w:t>Ņemts vērā.</w:t>
            </w:r>
          </w:p>
          <w:p w14:paraId="2231AD78" w14:textId="340F5C19" w:rsidR="00055D01" w:rsidRPr="00A02401" w:rsidRDefault="00055D01" w:rsidP="006C70E3">
            <w:pPr>
              <w:pStyle w:val="naisc"/>
              <w:spacing w:before="60" w:after="60"/>
              <w:ind w:firstLine="5"/>
              <w:jc w:val="both"/>
              <w:rPr>
                <w:b/>
              </w:rPr>
            </w:pPr>
            <w:r w:rsidRPr="00A02401">
              <w:rPr>
                <w:bCs/>
              </w:rPr>
              <w:t>Ekonomikas ministrija norāda, ka anotācijā bija ietverts nekorekts formulējums. Anotācija atbilstoši precizēta un šāds neatbilstošs apgalvojums no tās ir izslēgts.</w:t>
            </w:r>
          </w:p>
        </w:tc>
        <w:tc>
          <w:tcPr>
            <w:tcW w:w="2951" w:type="dxa"/>
            <w:tcBorders>
              <w:top w:val="single" w:sz="4" w:space="0" w:color="auto"/>
              <w:left w:val="single" w:sz="4" w:space="0" w:color="auto"/>
              <w:bottom w:val="single" w:sz="4" w:space="0" w:color="auto"/>
            </w:tcBorders>
          </w:tcPr>
          <w:p w14:paraId="66D8AA9C" w14:textId="1477F375" w:rsidR="00055D01" w:rsidRPr="00A02401" w:rsidRDefault="00055D01" w:rsidP="006C70E3">
            <w:pPr>
              <w:spacing w:before="60" w:after="60"/>
              <w:ind w:firstLine="5"/>
              <w:jc w:val="both"/>
            </w:pPr>
            <w:r w:rsidRPr="00A02401">
              <w:rPr>
                <w:bCs/>
              </w:rPr>
              <w:t>Anotācija atbilstoši precizēta.</w:t>
            </w:r>
          </w:p>
        </w:tc>
      </w:tr>
      <w:tr w:rsidR="00055D01" w:rsidRPr="00A02401" w14:paraId="0EEFFCB1" w14:textId="77777777" w:rsidTr="007D72ED">
        <w:tc>
          <w:tcPr>
            <w:tcW w:w="675" w:type="dxa"/>
            <w:tcBorders>
              <w:top w:val="single" w:sz="4" w:space="0" w:color="auto"/>
              <w:left w:val="single" w:sz="6" w:space="0" w:color="000000"/>
              <w:bottom w:val="single" w:sz="6" w:space="0" w:color="000000"/>
              <w:right w:val="single" w:sz="6" w:space="0" w:color="000000"/>
            </w:tcBorders>
          </w:tcPr>
          <w:p w14:paraId="0E6C76CD" w14:textId="23331CD9" w:rsidR="00055D01" w:rsidRPr="00A02401" w:rsidRDefault="00055D01" w:rsidP="006C70E3">
            <w:pPr>
              <w:pStyle w:val="naisc"/>
              <w:spacing w:before="60" w:after="60"/>
              <w:jc w:val="both"/>
            </w:pPr>
            <w:r w:rsidRPr="00A02401">
              <w:lastRenderedPageBreak/>
              <w:t>3</w:t>
            </w:r>
            <w:r w:rsidR="00F33A5B">
              <w:t>7</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72163F4E" w14:textId="687FA290" w:rsidR="00055D01" w:rsidRPr="00A02401" w:rsidRDefault="00055D01" w:rsidP="006C70E3">
            <w:pPr>
              <w:pStyle w:val="naisc"/>
              <w:spacing w:before="60" w:after="60"/>
              <w:ind w:firstLine="33"/>
              <w:jc w:val="both"/>
            </w:pPr>
            <w:r w:rsidRPr="00A02401">
              <w:t>Anotācija</w:t>
            </w:r>
          </w:p>
        </w:tc>
        <w:tc>
          <w:tcPr>
            <w:tcW w:w="4278" w:type="dxa"/>
            <w:tcBorders>
              <w:top w:val="single" w:sz="4" w:space="0" w:color="auto"/>
              <w:left w:val="single" w:sz="6" w:space="0" w:color="000000"/>
              <w:bottom w:val="single" w:sz="6" w:space="0" w:color="000000"/>
              <w:right w:val="single" w:sz="6" w:space="0" w:color="000000"/>
            </w:tcBorders>
          </w:tcPr>
          <w:p w14:paraId="28A910F3" w14:textId="4BDA1D82" w:rsidR="00055D01" w:rsidRPr="00A02401" w:rsidRDefault="00055D01" w:rsidP="006C70E3">
            <w:pPr>
              <w:pStyle w:val="NoSpacing"/>
              <w:ind w:firstLine="0"/>
              <w:rPr>
                <w:rFonts w:cstheme="minorHAnsi"/>
                <w:b/>
                <w:bCs/>
                <w:color w:val="000000"/>
                <w:sz w:val="24"/>
                <w:szCs w:val="24"/>
              </w:rPr>
            </w:pPr>
            <w:r w:rsidRPr="00A02401">
              <w:rPr>
                <w:rFonts w:cstheme="minorHAnsi"/>
                <w:b/>
                <w:bCs/>
                <w:color w:val="000000"/>
                <w:sz w:val="24"/>
                <w:szCs w:val="24"/>
              </w:rPr>
              <w:t>TM</w:t>
            </w:r>
          </w:p>
          <w:p w14:paraId="07EC8AFF" w14:textId="05C43262" w:rsidR="00055D01" w:rsidRPr="00A02401" w:rsidRDefault="00055D01" w:rsidP="006C70E3">
            <w:pPr>
              <w:pStyle w:val="NoSpacing"/>
              <w:ind w:firstLine="0"/>
              <w:rPr>
                <w:color w:val="000000"/>
                <w:sz w:val="24"/>
                <w:szCs w:val="24"/>
              </w:rPr>
            </w:pPr>
            <w:r w:rsidRPr="00A02401">
              <w:rPr>
                <w:rFonts w:cstheme="minorHAnsi"/>
                <w:color w:val="000000"/>
                <w:sz w:val="24"/>
                <w:szCs w:val="24"/>
              </w:rPr>
              <w:t>Anotācijas I sadaļas 2. punktā ir norādīts, ka, ņemot vērā to, ka projektā paredzētie grozījumi noteikumos ir tieši saistīti ar dabasgāzes komerciālās uzskaites mēraparātu verificēšanas jautājumiem, būtu nepieciešams izdarīt grozījumus arī Ministru kabineta 2007. gada 9. janvāra noteikumos Nr. 40 "Noteikumi par valsts metroloģiskai kontrolei pakļauto mērīšanas līdzekļu sarakstu". Ievērojot minēto, lūdzam aizpildīt anotācijas IV sadaļu atbilstoši instrukcijas 54.2. apakšpunktā noteiktajām prasībām. </w:t>
            </w:r>
          </w:p>
          <w:p w14:paraId="189D05D2" w14:textId="77777777" w:rsidR="00055D01" w:rsidRPr="00A02401" w:rsidRDefault="00055D01" w:rsidP="006C70E3">
            <w:pPr>
              <w:pStyle w:val="NoSpacing"/>
              <w:ind w:firstLine="0"/>
              <w:rPr>
                <w:color w:val="000000"/>
                <w:sz w:val="24"/>
                <w:szCs w:val="24"/>
              </w:rPr>
            </w:pPr>
            <w:r w:rsidRPr="00A02401">
              <w:rPr>
                <w:rFonts w:cstheme="minorHAnsi"/>
                <w:color w:val="000000"/>
                <w:sz w:val="24"/>
                <w:szCs w:val="24"/>
              </w:rPr>
              <w:t>Vienlaikus lūdzam papildināt anotāciju ar skaidrojumu, kā tiks nodrošināts, ka noteikumu un Ministru kabineta 2007. gada 9. janvāra noteikumu Nr. 40 "Noteikumi par valsts metroloģiskai kontrolei pakļauto mērīšanas līdzekļu sarakstu" attiecīgie grozījumi stāsies spēkā vienlaikus. </w:t>
            </w:r>
          </w:p>
          <w:p w14:paraId="5A879350" w14:textId="77777777" w:rsidR="00055D01" w:rsidRPr="00A02401" w:rsidRDefault="00055D01" w:rsidP="006C70E3">
            <w:pPr>
              <w:pStyle w:val="NoSpacing"/>
              <w:rPr>
                <w:rFonts w:cstheme="minorHAnsi"/>
                <w:sz w:val="24"/>
                <w:szCs w:val="24"/>
                <w:shd w:val="clear" w:color="auto" w:fill="FDFCFD"/>
              </w:rPr>
            </w:pPr>
          </w:p>
        </w:tc>
        <w:tc>
          <w:tcPr>
            <w:tcW w:w="3260" w:type="dxa"/>
            <w:gridSpan w:val="2"/>
            <w:tcBorders>
              <w:top w:val="single" w:sz="4" w:space="0" w:color="auto"/>
              <w:left w:val="single" w:sz="6" w:space="0" w:color="000000"/>
              <w:bottom w:val="single" w:sz="6" w:space="0" w:color="000000"/>
              <w:right w:val="single" w:sz="6" w:space="0" w:color="000000"/>
            </w:tcBorders>
          </w:tcPr>
          <w:p w14:paraId="50CFA3B7" w14:textId="77777777" w:rsidR="00055D01" w:rsidRPr="00A02401" w:rsidRDefault="00055D01" w:rsidP="006C70E3">
            <w:pPr>
              <w:pStyle w:val="naisc"/>
              <w:spacing w:before="60" w:after="60"/>
              <w:ind w:firstLine="5"/>
              <w:jc w:val="both"/>
              <w:rPr>
                <w:b/>
              </w:rPr>
            </w:pPr>
            <w:r w:rsidRPr="00A02401">
              <w:rPr>
                <w:b/>
              </w:rPr>
              <w:t>Ņemts vērā.</w:t>
            </w:r>
          </w:p>
          <w:p w14:paraId="1E2B4732" w14:textId="6269CFA6" w:rsidR="00055D01" w:rsidRPr="00A02401" w:rsidRDefault="00055D01" w:rsidP="006C70E3">
            <w:pPr>
              <w:pStyle w:val="naisc"/>
              <w:spacing w:before="60" w:after="60"/>
              <w:ind w:firstLine="5"/>
              <w:jc w:val="both"/>
              <w:rPr>
                <w:b/>
              </w:rPr>
            </w:pPr>
            <w:r w:rsidRPr="00A02401">
              <w:rPr>
                <w:bCs/>
              </w:rPr>
              <w:t xml:space="preserve">Ekonomikas ministrija norāda, ka anotācijā bija ietverts nekorekts formulējums. Anotācija atbilstoši precizēta un tiek norādīts, ka būtu nepieciešams apsvērt iespēju nākotnē veikt arī grozījumus </w:t>
            </w:r>
            <w:r w:rsidRPr="00A02401">
              <w:rPr>
                <w:rFonts w:cstheme="minorHAnsi"/>
                <w:color w:val="000000"/>
              </w:rPr>
              <w:t>Ministru kabineta 2007. gada 9. janvāra noteikumos Nr. 40 "Noteikumi par valsts metroloģiskai kontrolei pakļauto mērīšanas līdzekļu sarakstu".</w:t>
            </w:r>
            <w:r w:rsidRPr="00A02401">
              <w:rPr>
                <w:bCs/>
              </w:rPr>
              <w:t>.</w:t>
            </w:r>
          </w:p>
        </w:tc>
        <w:tc>
          <w:tcPr>
            <w:tcW w:w="2951" w:type="dxa"/>
            <w:tcBorders>
              <w:top w:val="single" w:sz="4" w:space="0" w:color="auto"/>
              <w:left w:val="single" w:sz="4" w:space="0" w:color="auto"/>
              <w:bottom w:val="single" w:sz="4" w:space="0" w:color="auto"/>
            </w:tcBorders>
          </w:tcPr>
          <w:p w14:paraId="7D57088D" w14:textId="634FF9BB" w:rsidR="00055D01" w:rsidRPr="00A02401" w:rsidRDefault="00055D01" w:rsidP="006C70E3">
            <w:pPr>
              <w:spacing w:before="60" w:after="60"/>
              <w:ind w:firstLine="5"/>
              <w:jc w:val="both"/>
            </w:pPr>
            <w:r w:rsidRPr="00A02401">
              <w:rPr>
                <w:bCs/>
              </w:rPr>
              <w:t>Anotācija atbilstoši precizēta.</w:t>
            </w:r>
          </w:p>
        </w:tc>
      </w:tr>
      <w:tr w:rsidR="00055D01" w:rsidRPr="00A02401" w14:paraId="02CFD1EB" w14:textId="77777777" w:rsidTr="007D72ED">
        <w:tc>
          <w:tcPr>
            <w:tcW w:w="675" w:type="dxa"/>
            <w:tcBorders>
              <w:top w:val="single" w:sz="4" w:space="0" w:color="auto"/>
              <w:left w:val="single" w:sz="6" w:space="0" w:color="000000"/>
              <w:bottom w:val="single" w:sz="6" w:space="0" w:color="000000"/>
              <w:right w:val="single" w:sz="6" w:space="0" w:color="000000"/>
            </w:tcBorders>
          </w:tcPr>
          <w:p w14:paraId="53F33D5A" w14:textId="742FD608" w:rsidR="00055D01" w:rsidRPr="00A02401" w:rsidRDefault="00055D01" w:rsidP="006C70E3">
            <w:pPr>
              <w:pStyle w:val="naisc"/>
              <w:spacing w:before="60" w:after="60"/>
              <w:jc w:val="both"/>
            </w:pPr>
            <w:r w:rsidRPr="00A02401">
              <w:t>3</w:t>
            </w:r>
            <w:r w:rsidR="00F33A5B">
              <w:t>8</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358583A8" w14:textId="1E387461" w:rsidR="00055D01" w:rsidRPr="00A02401" w:rsidRDefault="00055D01" w:rsidP="006C70E3">
            <w:pPr>
              <w:pStyle w:val="naisc"/>
              <w:spacing w:before="60" w:after="60"/>
              <w:ind w:firstLine="33"/>
              <w:jc w:val="both"/>
            </w:pPr>
            <w:r w:rsidRPr="00A02401">
              <w:t>Anotācija</w:t>
            </w:r>
          </w:p>
        </w:tc>
        <w:tc>
          <w:tcPr>
            <w:tcW w:w="4278" w:type="dxa"/>
            <w:tcBorders>
              <w:top w:val="single" w:sz="4" w:space="0" w:color="auto"/>
              <w:left w:val="single" w:sz="6" w:space="0" w:color="000000"/>
              <w:bottom w:val="single" w:sz="6" w:space="0" w:color="000000"/>
              <w:right w:val="single" w:sz="6" w:space="0" w:color="000000"/>
            </w:tcBorders>
          </w:tcPr>
          <w:p w14:paraId="5B3F4558" w14:textId="09AAF05A" w:rsidR="00055D01" w:rsidRPr="00A02401" w:rsidRDefault="00055D01" w:rsidP="006C70E3">
            <w:pPr>
              <w:pStyle w:val="NoSpacing"/>
              <w:ind w:firstLine="0"/>
              <w:rPr>
                <w:rFonts w:cstheme="minorHAnsi"/>
                <w:b/>
                <w:bCs/>
                <w:sz w:val="24"/>
                <w:szCs w:val="24"/>
                <w:shd w:val="clear" w:color="auto" w:fill="FDFCFD"/>
              </w:rPr>
            </w:pPr>
            <w:r w:rsidRPr="00A02401">
              <w:rPr>
                <w:rFonts w:cstheme="minorHAnsi"/>
                <w:b/>
                <w:bCs/>
                <w:sz w:val="24"/>
                <w:szCs w:val="24"/>
                <w:shd w:val="clear" w:color="auto" w:fill="FDFCFD"/>
              </w:rPr>
              <w:t>TM</w:t>
            </w:r>
          </w:p>
          <w:p w14:paraId="5E189554" w14:textId="76D57EAF" w:rsidR="00055D01" w:rsidRPr="00A02401" w:rsidRDefault="00055D01" w:rsidP="006C70E3">
            <w:pPr>
              <w:pStyle w:val="NoSpacing"/>
              <w:ind w:firstLine="0"/>
              <w:rPr>
                <w:color w:val="000000"/>
                <w:sz w:val="24"/>
                <w:szCs w:val="24"/>
              </w:rPr>
            </w:pPr>
            <w:r w:rsidRPr="00A02401">
              <w:rPr>
                <w:rFonts w:cstheme="minorHAnsi"/>
                <w:sz w:val="24"/>
                <w:szCs w:val="24"/>
                <w:shd w:val="clear" w:color="auto" w:fill="FDFCFD"/>
              </w:rPr>
              <w:t xml:space="preserve">Vēršam uzmanību uz to, ka </w:t>
            </w:r>
            <w:r w:rsidRPr="00A02401">
              <w:rPr>
                <w:rFonts w:cstheme="minorHAnsi"/>
                <w:color w:val="000000"/>
                <w:sz w:val="24"/>
                <w:szCs w:val="24"/>
              </w:rPr>
              <w:t xml:space="preserve">anotācijā vairākkārtīgi tiek uzsvērts, ka nepieciešams noteikt sašķidrinātās dabasgāzes pakalpojuma sniegšanas kārtību, bet projekta 6. punkts paredz papildināt Noteikumus ar tikai vienu normu par to, ka sašķidrinātās dabasgāzes sistēmas lietotāja dabasgāzes apgādes sistēma tiek pieslēgta sašķidrinātās </w:t>
            </w:r>
            <w:r w:rsidRPr="00A02401">
              <w:rPr>
                <w:rFonts w:cstheme="minorHAnsi"/>
                <w:color w:val="000000"/>
                <w:sz w:val="24"/>
                <w:szCs w:val="24"/>
              </w:rPr>
              <w:lastRenderedPageBreak/>
              <w:t>dabasgāzes iekārtai, sašķidrinātās dabasgāzes sistēmas lietotājam un sašķidrinātās dabasgāzes sistēmas operatoram savstarpēji vienojoties. Ievērojot minēto, lūdzam izvērtēt, vai iepriekš minētais regulējums ir pietiekošs, lai izpildītu Enerģētikas likuma 107. panta septītajā daļā ietverto pilnvarojumu Ministru kabinetam, proti, noteikt sašķidrinātās dabasgāzes pakalpojuma sniegšanas kārtību, un attiecīgi precizēt projektu vai papildināt anotāciju ar atbilstošu skaidrojumu. </w:t>
            </w:r>
          </w:p>
        </w:tc>
        <w:tc>
          <w:tcPr>
            <w:tcW w:w="3260" w:type="dxa"/>
            <w:gridSpan w:val="2"/>
            <w:tcBorders>
              <w:top w:val="single" w:sz="4" w:space="0" w:color="auto"/>
              <w:left w:val="single" w:sz="6" w:space="0" w:color="000000"/>
              <w:bottom w:val="single" w:sz="6" w:space="0" w:color="000000"/>
              <w:right w:val="single" w:sz="6" w:space="0" w:color="000000"/>
            </w:tcBorders>
          </w:tcPr>
          <w:p w14:paraId="7BED7079" w14:textId="77777777" w:rsidR="00055D01" w:rsidRPr="00A02401" w:rsidRDefault="00055D01" w:rsidP="006C70E3">
            <w:pPr>
              <w:pStyle w:val="naisc"/>
              <w:spacing w:before="60" w:after="60"/>
              <w:ind w:firstLine="5"/>
              <w:jc w:val="both"/>
              <w:rPr>
                <w:b/>
              </w:rPr>
            </w:pPr>
            <w:r w:rsidRPr="00A02401">
              <w:rPr>
                <w:b/>
              </w:rPr>
              <w:lastRenderedPageBreak/>
              <w:t>Ņemts vērā.</w:t>
            </w:r>
          </w:p>
          <w:p w14:paraId="7025946D" w14:textId="07945759" w:rsidR="00055D01" w:rsidRPr="00A02401" w:rsidRDefault="00055D01" w:rsidP="006C70E3">
            <w:pPr>
              <w:pStyle w:val="naisc"/>
              <w:spacing w:before="60" w:after="60"/>
              <w:ind w:firstLine="5"/>
              <w:jc w:val="both"/>
              <w:rPr>
                <w:bCs/>
              </w:rPr>
            </w:pPr>
            <w:r w:rsidRPr="00A02401">
              <w:rPr>
                <w:bCs/>
              </w:rPr>
              <w:t xml:space="preserve">Anotācija papildināta ar atbilstošu skaidrojumu, no kura izriet, ka Noteikumos jāietver tikai normas, kas būtu attiecināmās uz sistēmas pieslēgumu gadījumā, kad dabasgāze tiešā veidā tiek nodota lietotājam, un nebūtu pamata atkārtot esošās normas </w:t>
            </w:r>
            <w:r w:rsidRPr="00A02401">
              <w:rPr>
                <w:bCs/>
              </w:rPr>
              <w:lastRenderedPageBreak/>
              <w:t>un ietvert regulējumu, kas saistīts ar sašķidrinātās dabasgāzes sistēmas operatora objektu pieslēgšanu pārvades sistēmai.</w:t>
            </w:r>
          </w:p>
        </w:tc>
        <w:tc>
          <w:tcPr>
            <w:tcW w:w="2951" w:type="dxa"/>
            <w:tcBorders>
              <w:top w:val="single" w:sz="4" w:space="0" w:color="auto"/>
              <w:left w:val="single" w:sz="4" w:space="0" w:color="auto"/>
              <w:bottom w:val="single" w:sz="4" w:space="0" w:color="auto"/>
            </w:tcBorders>
          </w:tcPr>
          <w:p w14:paraId="6CBBFC6D" w14:textId="1C301122" w:rsidR="00055D01" w:rsidRPr="00A02401" w:rsidRDefault="00055D01" w:rsidP="006C70E3">
            <w:pPr>
              <w:spacing w:before="60" w:after="60"/>
              <w:ind w:firstLine="5"/>
              <w:jc w:val="both"/>
            </w:pPr>
            <w:r w:rsidRPr="00A02401">
              <w:lastRenderedPageBreak/>
              <w:t>Veikti precizējumi Anotācijā.</w:t>
            </w:r>
          </w:p>
        </w:tc>
      </w:tr>
      <w:tr w:rsidR="00055D01" w:rsidRPr="00A02401" w14:paraId="159C1E66" w14:textId="77777777" w:rsidTr="007D72ED">
        <w:tc>
          <w:tcPr>
            <w:tcW w:w="675" w:type="dxa"/>
            <w:tcBorders>
              <w:top w:val="single" w:sz="4" w:space="0" w:color="auto"/>
              <w:left w:val="single" w:sz="6" w:space="0" w:color="000000"/>
              <w:bottom w:val="single" w:sz="6" w:space="0" w:color="000000"/>
              <w:right w:val="single" w:sz="6" w:space="0" w:color="000000"/>
            </w:tcBorders>
          </w:tcPr>
          <w:p w14:paraId="7D657D8B" w14:textId="3DC62306" w:rsidR="00055D01" w:rsidRPr="00A02401" w:rsidRDefault="00055D01" w:rsidP="006C70E3">
            <w:pPr>
              <w:pStyle w:val="naisc"/>
              <w:spacing w:before="60" w:after="60"/>
              <w:jc w:val="both"/>
            </w:pPr>
            <w:r w:rsidRPr="00A02401">
              <w:t>3</w:t>
            </w:r>
            <w:r w:rsidR="00F33A5B">
              <w:t>9</w:t>
            </w:r>
            <w:r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398E3D53" w14:textId="7484BD52" w:rsidR="00055D01" w:rsidRPr="00A02401" w:rsidRDefault="00055D01" w:rsidP="006C70E3">
            <w:pPr>
              <w:pStyle w:val="naisc"/>
              <w:spacing w:before="60" w:after="60"/>
              <w:ind w:firstLine="33"/>
              <w:jc w:val="both"/>
            </w:pPr>
            <w:r w:rsidRPr="00A02401">
              <w:t>Anotācija</w:t>
            </w:r>
          </w:p>
        </w:tc>
        <w:tc>
          <w:tcPr>
            <w:tcW w:w="4278" w:type="dxa"/>
            <w:tcBorders>
              <w:top w:val="single" w:sz="4" w:space="0" w:color="auto"/>
              <w:left w:val="single" w:sz="6" w:space="0" w:color="000000"/>
              <w:bottom w:val="single" w:sz="6" w:space="0" w:color="000000"/>
              <w:right w:val="single" w:sz="6" w:space="0" w:color="000000"/>
            </w:tcBorders>
          </w:tcPr>
          <w:p w14:paraId="59E7B1C0" w14:textId="7DD3644A" w:rsidR="00055D01" w:rsidRPr="00A02401" w:rsidRDefault="00055D01" w:rsidP="006C70E3">
            <w:pPr>
              <w:contextualSpacing/>
              <w:jc w:val="both"/>
            </w:pPr>
            <w:r w:rsidRPr="00A02401">
              <w:rPr>
                <w:b/>
                <w:bCs/>
              </w:rPr>
              <w:t xml:space="preserve">Vides aizsardzības un reģionālās attīstības ministrija </w:t>
            </w:r>
            <w:r w:rsidRPr="00A02401">
              <w:t>(turpmāk – VARAM)</w:t>
            </w:r>
          </w:p>
          <w:p w14:paraId="2146E7ED" w14:textId="02948A4D" w:rsidR="00055D01" w:rsidRPr="00A02401" w:rsidRDefault="00055D01" w:rsidP="006C70E3">
            <w:pPr>
              <w:contextualSpacing/>
              <w:jc w:val="both"/>
            </w:pPr>
            <w:r w:rsidRPr="00A02401">
              <w:t xml:space="preserve">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14:paraId="383C43C4" w14:textId="77777777" w:rsidR="00055D01" w:rsidRPr="00A02401" w:rsidRDefault="00055D01" w:rsidP="006C70E3">
            <w:pPr>
              <w:contextualSpacing/>
              <w:jc w:val="both"/>
            </w:pPr>
            <w:r w:rsidRPr="00A02401">
              <w:t xml:space="preserve">Ņemot vērā minēto, lūdzam atbilstoši MK instrukcijas Nr.19 14.4. apakšpunktā noteiktajam, anotācijas I sadaļas 2. punktā norādīt jauno pakalpojumu sniegšanas kanālus. Saskaņā ar Ministru kabineta </w:t>
            </w:r>
            <w:r w:rsidRPr="00A02401">
              <w:lastRenderedPageBreak/>
              <w:t>2017. gada 4. jūlija noteikumu Nr.399 “Valsts pārvaldes pakalpojumu uzskaites, kvalitātes kontroles un sniegšanas kārtība” 17. punktu pakalpojumu pieprasīšanas un saņemšanas kanāli iedalāmi klātienes un neklātienes kanālos. Neklātienes kanāli iedalāmi elektroniskos, telefoniskos un pasta starpniecības kanālos.</w:t>
            </w:r>
          </w:p>
          <w:p w14:paraId="20D36E7F" w14:textId="6B61D32B" w:rsidR="00055D01" w:rsidRPr="00A02401" w:rsidRDefault="00055D01" w:rsidP="006C70E3">
            <w:pPr>
              <w:pStyle w:val="naisc"/>
              <w:spacing w:before="60" w:after="60"/>
              <w:jc w:val="both"/>
              <w:rPr>
                <w:b/>
                <w:bCs/>
                <w:shd w:val="clear" w:color="auto" w:fill="FDFCFD"/>
              </w:rPr>
            </w:pPr>
            <w:r w:rsidRPr="00A02401">
              <w:t>Pēc noteikumu projekta spēkā stāšanās saskaņā ar Ministru kabineta 2017. gada 4. jūlija noteikumu Nr.399 “Valsts pārvaldes pakalpojumu uzskaites, kvalitātes kontroles un sniegšanas kārtība” 5. un 9. punktu lūdzam veikt pakalpojuma aprakstīšanu valsts pārvaldes pakalpojumu portālā Latvija.lv.</w:t>
            </w:r>
          </w:p>
        </w:tc>
        <w:tc>
          <w:tcPr>
            <w:tcW w:w="3260" w:type="dxa"/>
            <w:gridSpan w:val="2"/>
            <w:tcBorders>
              <w:top w:val="single" w:sz="4" w:space="0" w:color="auto"/>
              <w:left w:val="single" w:sz="6" w:space="0" w:color="000000"/>
              <w:bottom w:val="single" w:sz="6" w:space="0" w:color="000000"/>
              <w:right w:val="single" w:sz="6" w:space="0" w:color="000000"/>
            </w:tcBorders>
          </w:tcPr>
          <w:p w14:paraId="376D0D3A" w14:textId="77777777" w:rsidR="00055D01" w:rsidRPr="00A02401" w:rsidRDefault="00055D01" w:rsidP="006C70E3">
            <w:pPr>
              <w:pStyle w:val="naisc"/>
              <w:spacing w:before="60" w:after="60"/>
              <w:ind w:firstLine="5"/>
              <w:jc w:val="both"/>
              <w:rPr>
                <w:b/>
              </w:rPr>
            </w:pPr>
            <w:r w:rsidRPr="00A02401">
              <w:rPr>
                <w:b/>
              </w:rPr>
              <w:lastRenderedPageBreak/>
              <w:t>Daļēji ņemts vērā.</w:t>
            </w:r>
          </w:p>
          <w:p w14:paraId="6A42D3B4" w14:textId="56E46296" w:rsidR="00055D01" w:rsidRPr="00A02401" w:rsidRDefault="00055D01" w:rsidP="006C70E3">
            <w:pPr>
              <w:pStyle w:val="naisc"/>
              <w:spacing w:before="60" w:after="60"/>
              <w:ind w:firstLine="5"/>
              <w:jc w:val="both"/>
              <w:rPr>
                <w:bCs/>
              </w:rPr>
            </w:pPr>
            <w:r w:rsidRPr="00A02401">
              <w:rPr>
                <w:bCs/>
              </w:rPr>
              <w:t>Anotācija papildināta ar skaidrojumu, ka SDG pakalpojumu sniegs komersanti. Ņemot to vērā VARAM minētais attiecībā uz valsts pakalpojumu ieviešanu nav attiecināms.</w:t>
            </w:r>
          </w:p>
        </w:tc>
        <w:tc>
          <w:tcPr>
            <w:tcW w:w="2951" w:type="dxa"/>
            <w:tcBorders>
              <w:top w:val="single" w:sz="4" w:space="0" w:color="auto"/>
              <w:left w:val="single" w:sz="4" w:space="0" w:color="auto"/>
              <w:bottom w:val="single" w:sz="4" w:space="0" w:color="auto"/>
            </w:tcBorders>
          </w:tcPr>
          <w:p w14:paraId="20C08ADE" w14:textId="23592E20" w:rsidR="00055D01" w:rsidRPr="00A02401" w:rsidRDefault="00055D01" w:rsidP="006C70E3">
            <w:pPr>
              <w:spacing w:before="60" w:after="60"/>
              <w:ind w:firstLine="5"/>
              <w:jc w:val="both"/>
            </w:pPr>
            <w:r w:rsidRPr="00A02401">
              <w:t>Anotācija papildināta.</w:t>
            </w:r>
          </w:p>
        </w:tc>
      </w:tr>
      <w:tr w:rsidR="00055D01" w:rsidRPr="00A02401" w14:paraId="568D2C56" w14:textId="77777777" w:rsidTr="007D72ED">
        <w:tc>
          <w:tcPr>
            <w:tcW w:w="675" w:type="dxa"/>
            <w:tcBorders>
              <w:top w:val="single" w:sz="4" w:space="0" w:color="auto"/>
              <w:left w:val="single" w:sz="6" w:space="0" w:color="000000"/>
              <w:bottom w:val="single" w:sz="6" w:space="0" w:color="000000"/>
              <w:right w:val="single" w:sz="6" w:space="0" w:color="000000"/>
            </w:tcBorders>
          </w:tcPr>
          <w:p w14:paraId="4AE8A1AB" w14:textId="445417D4" w:rsidR="00055D01" w:rsidRPr="00A02401" w:rsidRDefault="00F33A5B" w:rsidP="006C70E3">
            <w:pPr>
              <w:pStyle w:val="naisc"/>
              <w:spacing w:before="60" w:after="60"/>
              <w:jc w:val="both"/>
            </w:pPr>
            <w:r>
              <w:t>40</w:t>
            </w:r>
            <w:r w:rsidR="00055D01"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598EF1A4" w14:textId="33B2938F" w:rsidR="00055D01" w:rsidRPr="00A02401" w:rsidRDefault="00055D01" w:rsidP="006C70E3">
            <w:pPr>
              <w:pStyle w:val="naisc"/>
              <w:spacing w:before="60" w:after="60"/>
              <w:ind w:firstLine="33"/>
              <w:jc w:val="both"/>
            </w:pPr>
            <w:r w:rsidRPr="00A02401">
              <w:t>Anotācija</w:t>
            </w:r>
          </w:p>
        </w:tc>
        <w:tc>
          <w:tcPr>
            <w:tcW w:w="4278" w:type="dxa"/>
            <w:tcBorders>
              <w:top w:val="single" w:sz="4" w:space="0" w:color="auto"/>
              <w:left w:val="single" w:sz="6" w:space="0" w:color="000000"/>
              <w:bottom w:val="single" w:sz="6" w:space="0" w:color="000000"/>
              <w:right w:val="single" w:sz="6" w:space="0" w:color="000000"/>
            </w:tcBorders>
          </w:tcPr>
          <w:p w14:paraId="5E35BB15" w14:textId="31BB628B" w:rsidR="00055D01" w:rsidRPr="006B0018" w:rsidRDefault="00AB4383" w:rsidP="006B0018">
            <w:pPr>
              <w:pStyle w:val="naisc"/>
              <w:spacing w:before="60" w:after="60"/>
              <w:ind w:firstLine="5"/>
              <w:jc w:val="both"/>
              <w:rPr>
                <w:b/>
                <w:bCs/>
              </w:rPr>
            </w:pPr>
            <w:r>
              <w:rPr>
                <w:b/>
                <w:bCs/>
              </w:rPr>
              <w:t>AS “Latvijas Gāze”</w:t>
            </w:r>
          </w:p>
          <w:p w14:paraId="5BD8F638" w14:textId="4D4049C3" w:rsidR="00055D01" w:rsidRPr="00A02401" w:rsidRDefault="00055D01" w:rsidP="006C70E3">
            <w:pPr>
              <w:contextualSpacing/>
              <w:jc w:val="both"/>
              <w:rPr>
                <w:b/>
                <w:bCs/>
              </w:rPr>
            </w:pPr>
            <w:r w:rsidRPr="00A02401">
              <w:rPr>
                <w:rFonts w:cs="Arial"/>
              </w:rPr>
              <w:t xml:space="preserve">Noteikumu projekta anotācijā nav ietvertas norādes uz </w:t>
            </w:r>
            <w:r w:rsidRPr="00A02401">
              <w:t>Eiropas Parlamenta un Padomes Direktīvas 2009/73/EK par kopīgiem noteikumiem attiecībā uz dabasgāzes iekšējo tirgu ieviešanu, lai gan ar šo projektu tiek regulēti noteikumi, kas iekļauti direktīvas 12., 13. un 16. un 32. pantā. Lūdzam papildināt noteikumu projekta anotāciju ar atbilstošām atsaucēm un norādēm, vai šīs normas tiek ieviestas pilnībā vai daļēji.</w:t>
            </w:r>
          </w:p>
        </w:tc>
        <w:tc>
          <w:tcPr>
            <w:tcW w:w="3260" w:type="dxa"/>
            <w:gridSpan w:val="2"/>
            <w:tcBorders>
              <w:top w:val="single" w:sz="4" w:space="0" w:color="auto"/>
              <w:left w:val="single" w:sz="6" w:space="0" w:color="000000"/>
              <w:bottom w:val="single" w:sz="6" w:space="0" w:color="000000"/>
              <w:right w:val="single" w:sz="6" w:space="0" w:color="000000"/>
            </w:tcBorders>
          </w:tcPr>
          <w:p w14:paraId="4AE93797" w14:textId="2BFADF77" w:rsidR="00055D01" w:rsidRPr="00A02401" w:rsidRDefault="00055D01" w:rsidP="006C70E3">
            <w:pPr>
              <w:pStyle w:val="naisc"/>
              <w:spacing w:before="60" w:after="60"/>
              <w:ind w:firstLine="5"/>
              <w:jc w:val="both"/>
              <w:rPr>
                <w:b/>
              </w:rPr>
            </w:pPr>
            <w:r w:rsidRPr="00A02401">
              <w:rPr>
                <w:b/>
              </w:rPr>
              <w:t>Daļēji ņemts vērā.</w:t>
            </w:r>
          </w:p>
          <w:p w14:paraId="2D6AB3C9" w14:textId="64C63730" w:rsidR="00055D01" w:rsidRPr="00A02401" w:rsidRDefault="00055D01" w:rsidP="006C70E3">
            <w:pPr>
              <w:pStyle w:val="naisc"/>
              <w:spacing w:before="60" w:after="60"/>
              <w:ind w:firstLine="5"/>
              <w:jc w:val="both"/>
            </w:pPr>
            <w:r w:rsidRPr="00A02401">
              <w:rPr>
                <w:bCs/>
              </w:rPr>
              <w:t xml:space="preserve">Ekonomikas ministrija skaidro, ka </w:t>
            </w:r>
            <w:r w:rsidRPr="00A02401">
              <w:rPr>
                <w:i/>
                <w:iCs/>
              </w:rPr>
              <w:t>Eiropas Parlamenta un Padomes Direktīvas 2009/73/EK par kopīgiem noteikumiem attiecībā uz dabasgāzes iekšējo tirgu un par Direktīvas 2003/55/EK atcelšanu</w:t>
            </w:r>
            <w:r w:rsidRPr="00A02401">
              <w:t xml:space="preserve"> noteiktais attiecībā uz sašķidrinātās dabasgāzes jautājumiem ir pārņemts ar Enerģētikas likumu. Līdz ar to šajā stadijā Ekonomikas ministrija nesaskata nepieciešamību atkārtoti norādīt uz normu pārņemšanu. Ņemot </w:t>
            </w:r>
            <w:r w:rsidRPr="00A02401">
              <w:lastRenderedPageBreak/>
              <w:t xml:space="preserve">vērā AS “Latvijas Gāze” iebildumu, ir veikti precizējumi Anotācijā, kas atspoguļo Noteikumu projekta iekļauto normu sasaisti ar </w:t>
            </w:r>
            <w:r w:rsidRPr="00A02401">
              <w:rPr>
                <w:i/>
                <w:iCs/>
              </w:rPr>
              <w:t>Eiropas Parlamenta un Padomes Direktīvas 2009/73/EK par kopīgiem noteikumiem attiecībā uz dabasgāzes iekšējo tirgu un par Direktīvas 2003/55/EK atcelšanu</w:t>
            </w:r>
            <w:r w:rsidRPr="00A02401">
              <w:t xml:space="preserve"> 12., 13. un 16. un 32.pantu.</w:t>
            </w:r>
          </w:p>
        </w:tc>
        <w:tc>
          <w:tcPr>
            <w:tcW w:w="2951" w:type="dxa"/>
            <w:tcBorders>
              <w:top w:val="single" w:sz="4" w:space="0" w:color="auto"/>
              <w:left w:val="single" w:sz="4" w:space="0" w:color="auto"/>
              <w:bottom w:val="single" w:sz="4" w:space="0" w:color="auto"/>
            </w:tcBorders>
          </w:tcPr>
          <w:p w14:paraId="71800001" w14:textId="25C1E12C" w:rsidR="00055D01" w:rsidRPr="00A02401" w:rsidRDefault="00055D01" w:rsidP="006C70E3">
            <w:pPr>
              <w:spacing w:before="60" w:after="60"/>
              <w:ind w:firstLine="5"/>
              <w:jc w:val="both"/>
            </w:pPr>
            <w:r w:rsidRPr="00A02401">
              <w:lastRenderedPageBreak/>
              <w:t>Veikti precizējumi Anotācijā.</w:t>
            </w:r>
          </w:p>
        </w:tc>
      </w:tr>
      <w:tr w:rsidR="00055D01" w:rsidRPr="00A02401" w14:paraId="5EC22BDF" w14:textId="77777777" w:rsidTr="007D72ED">
        <w:tc>
          <w:tcPr>
            <w:tcW w:w="675" w:type="dxa"/>
            <w:tcBorders>
              <w:top w:val="single" w:sz="4" w:space="0" w:color="auto"/>
              <w:left w:val="single" w:sz="6" w:space="0" w:color="000000"/>
              <w:bottom w:val="single" w:sz="6" w:space="0" w:color="000000"/>
              <w:right w:val="single" w:sz="6" w:space="0" w:color="000000"/>
            </w:tcBorders>
          </w:tcPr>
          <w:p w14:paraId="7896C18F" w14:textId="5CBEBC4F" w:rsidR="00055D01" w:rsidRPr="00A02401" w:rsidRDefault="00F33A5B" w:rsidP="006C70E3">
            <w:pPr>
              <w:pStyle w:val="naisc"/>
              <w:spacing w:before="60" w:after="60"/>
              <w:jc w:val="both"/>
            </w:pPr>
            <w:r>
              <w:t>41</w:t>
            </w:r>
            <w:r w:rsidR="00055D01" w:rsidRPr="00A02401">
              <w:t>.</w:t>
            </w:r>
          </w:p>
        </w:tc>
        <w:tc>
          <w:tcPr>
            <w:tcW w:w="3119" w:type="dxa"/>
            <w:gridSpan w:val="2"/>
            <w:tcBorders>
              <w:top w:val="single" w:sz="4" w:space="0" w:color="auto"/>
              <w:left w:val="single" w:sz="6" w:space="0" w:color="000000"/>
              <w:bottom w:val="single" w:sz="6" w:space="0" w:color="000000"/>
              <w:right w:val="single" w:sz="6" w:space="0" w:color="000000"/>
            </w:tcBorders>
          </w:tcPr>
          <w:p w14:paraId="4A8C78F2" w14:textId="4EC0261C" w:rsidR="00055D01" w:rsidRPr="00A02401" w:rsidRDefault="00055D01" w:rsidP="006C70E3">
            <w:pPr>
              <w:pStyle w:val="naisc"/>
              <w:spacing w:before="60" w:after="60"/>
              <w:ind w:firstLine="33"/>
              <w:jc w:val="both"/>
            </w:pPr>
            <w:r w:rsidRPr="00A02401">
              <w:t>Anotācija</w:t>
            </w:r>
          </w:p>
        </w:tc>
        <w:tc>
          <w:tcPr>
            <w:tcW w:w="4278" w:type="dxa"/>
            <w:tcBorders>
              <w:top w:val="single" w:sz="4" w:space="0" w:color="auto"/>
              <w:left w:val="single" w:sz="6" w:space="0" w:color="000000"/>
              <w:bottom w:val="single" w:sz="6" w:space="0" w:color="000000"/>
              <w:right w:val="single" w:sz="6" w:space="0" w:color="000000"/>
            </w:tcBorders>
          </w:tcPr>
          <w:p w14:paraId="2C0CFC7C" w14:textId="7CC04B7B" w:rsidR="00055D01" w:rsidRPr="006B0018" w:rsidRDefault="00055D01" w:rsidP="006B0018">
            <w:pPr>
              <w:pStyle w:val="naisc"/>
              <w:spacing w:before="60" w:after="60"/>
              <w:ind w:firstLine="5"/>
              <w:jc w:val="both"/>
              <w:rPr>
                <w:b/>
                <w:bCs/>
              </w:rPr>
            </w:pPr>
            <w:r w:rsidRPr="00A02401">
              <w:rPr>
                <w:b/>
                <w:bCs/>
              </w:rPr>
              <w:t>A</w:t>
            </w:r>
            <w:r>
              <w:rPr>
                <w:b/>
                <w:bCs/>
              </w:rPr>
              <w:t>kciju sabiedrība</w:t>
            </w:r>
            <w:r w:rsidRPr="00A02401">
              <w:rPr>
                <w:b/>
                <w:bCs/>
              </w:rPr>
              <w:t xml:space="preserve"> </w:t>
            </w:r>
            <w:r>
              <w:rPr>
                <w:b/>
                <w:bCs/>
              </w:rPr>
              <w:t>“</w:t>
            </w:r>
            <w:r w:rsidRPr="00A02401">
              <w:rPr>
                <w:b/>
                <w:bCs/>
              </w:rPr>
              <w:t>Conexus Baltic Grid</w:t>
            </w:r>
            <w:r>
              <w:rPr>
                <w:b/>
                <w:bCs/>
              </w:rPr>
              <w:t>”</w:t>
            </w:r>
          </w:p>
          <w:p w14:paraId="1732E58F" w14:textId="17517BF4" w:rsidR="00055D01" w:rsidRPr="00A02401" w:rsidRDefault="00055D01" w:rsidP="006C70E3">
            <w:pPr>
              <w:jc w:val="both"/>
              <w:rPr>
                <w:rFonts w:eastAsia="Calibri"/>
              </w:rPr>
            </w:pPr>
            <w:r w:rsidRPr="00A02401">
              <w:rPr>
                <w:rFonts w:eastAsia="Calibri"/>
              </w:rPr>
              <w:t xml:space="preserve">5. Enerģētikas likuma 1. panta 12. punktā definēts, ka par enerģijas lietotāju uzskatāma fiziskā vai juridiskā persona, kas no energoapgādes komersantiem pērk un savām vajadzībām patērē konkrētā veida enerģiju vai kurināmo vai lieto to energoapgādē vai cita veida komercdarbībā. No šī jēdziena iespējams secināt, ka pastāv vairākas, sīkāk iedalāmas lietotāju grupas. Piemēram, jēdziens pēc būtības ietver arī rūpniecisko lietotāju, kas ir uzskatāms par rūpnieciski tiešo patērētāju, tomēr jēdziens nav atrodams Enerģētikas likumā. </w:t>
            </w:r>
          </w:p>
          <w:p w14:paraId="169D6935" w14:textId="4119356B" w:rsidR="00055D01" w:rsidRPr="00A02401" w:rsidRDefault="00055D01" w:rsidP="006C70E3">
            <w:pPr>
              <w:jc w:val="both"/>
              <w:rPr>
                <w:rFonts w:eastAsia="Calibri"/>
              </w:rPr>
            </w:pPr>
            <w:r w:rsidRPr="00A02401">
              <w:rPr>
                <w:rFonts w:eastAsia="Calibri"/>
              </w:rPr>
              <w:t xml:space="preserve">Vienlaikus enerģijas lietotāja definīcija pirmšķietami pieļauj, ka gāzveida stāvoklī pārvērstas sašķidrinātās dabasgāzes piegāde no sašķidrinātās dabasgāzes </w:t>
            </w:r>
            <w:r w:rsidRPr="00A02401">
              <w:rPr>
                <w:rFonts w:eastAsia="Calibri"/>
              </w:rPr>
              <w:lastRenderedPageBreak/>
              <w:t xml:space="preserve">iekārtas, kuru nepārvalda sašķidrinātās dabasgāzes sistēmas operators, uz lietotāja dabasgāzes apgādes sistēmu ir iespējama, ja konkrētais lietotājs izmanto pievadīto dabasgāzi kā </w:t>
            </w:r>
            <w:r w:rsidR="006B0018">
              <w:rPr>
                <w:rFonts w:eastAsia="Calibri"/>
              </w:rPr>
              <w:t>“</w:t>
            </w:r>
            <w:r w:rsidRPr="00A02401">
              <w:rPr>
                <w:rFonts w:eastAsia="Calibri"/>
              </w:rPr>
              <w:t>kurināmo vai lieto to energoapgādē vai cita veida komercdarbībā</w:t>
            </w:r>
            <w:r w:rsidR="006B0018">
              <w:rPr>
                <w:rFonts w:eastAsia="Calibri"/>
              </w:rPr>
              <w:t>”</w:t>
            </w:r>
            <w:r w:rsidRPr="00A02401">
              <w:rPr>
                <w:rFonts w:eastAsia="Calibri"/>
              </w:rPr>
              <w:t>.</w:t>
            </w:r>
          </w:p>
          <w:p w14:paraId="2FD9C9F5" w14:textId="37882CCE" w:rsidR="00055D01" w:rsidRPr="00A02401" w:rsidRDefault="00055D01" w:rsidP="006C70E3">
            <w:pPr>
              <w:jc w:val="both"/>
              <w:rPr>
                <w:rFonts w:eastAsia="Calibri"/>
              </w:rPr>
            </w:pPr>
            <w:r w:rsidRPr="00A02401">
              <w:rPr>
                <w:rFonts w:eastAsia="Calibri"/>
              </w:rPr>
              <w:t xml:space="preserve">Sabiedrības ieskatā normatīvajā regulējumā vispirms būtu definējama konkrēta lietotāju kategorija, proti, lietotāju kategorija, kuri gāzveida stāvoklī pārvērstu dabasgāzi, kas piegādāta no sašķidrinātās dabasgāzes iekārtas uz lietotāja dabasgāzes apgādes sistēmu, ir tiesīgi saņemt un izlietot. </w:t>
            </w:r>
          </w:p>
          <w:p w14:paraId="51257C37" w14:textId="7E2BA04A" w:rsidR="00055D01" w:rsidRPr="00A02401" w:rsidRDefault="00055D01" w:rsidP="006C70E3">
            <w:pPr>
              <w:jc w:val="both"/>
              <w:rPr>
                <w:rFonts w:eastAsia="Calibri"/>
              </w:rPr>
            </w:pPr>
            <w:r w:rsidRPr="00A02401">
              <w:rPr>
                <w:rFonts w:eastAsia="Calibri"/>
              </w:rPr>
              <w:t xml:space="preserve">Piedāvātajā noteikumu projektā nav konkretizēts vai enerģijas lietotājam saņemot dabasgāzi tā dabasgāzes apgādes sistēmā no sašķidrinātas dabasgāzes iekārtas būs tiesības izmantot, piemēram, kā kurināmo cita enerģijas veida iegūšanai vai ievadīt to citā sistēmā. Ja šāda interpretācijas varbūtība ar piedāvāto noteikumu projektu, tomēr pastāv, tad pirms noteikumu projekta pieņemšanas nepieciešams detalizēts ietekmes uz kopējo Latvijas dabasgāzes apgādes sistēmu, Enerģētikas likumā noteikto tirgus modeli, tā ilgtspēju un ietekmi uz regulētajiem pārvades sistēmas operatora tarifiem izvērtējums. </w:t>
            </w:r>
          </w:p>
          <w:p w14:paraId="0A08A845" w14:textId="2DCB9F99" w:rsidR="00055D01" w:rsidRPr="006B0018" w:rsidRDefault="00055D01" w:rsidP="006B0018">
            <w:pPr>
              <w:spacing w:after="120"/>
              <w:jc w:val="both"/>
              <w:rPr>
                <w:rFonts w:eastAsia="Calibri"/>
              </w:rPr>
            </w:pPr>
            <w:r w:rsidRPr="00A02401">
              <w:rPr>
                <w:rFonts w:eastAsia="Calibri"/>
              </w:rPr>
              <w:t xml:space="preserve">Ievērojot minēto, Sabiedrība iebilst pret noteikumu projektā paredzētajiem </w:t>
            </w:r>
            <w:r w:rsidRPr="00A02401">
              <w:rPr>
                <w:rFonts w:eastAsia="Calibri"/>
              </w:rPr>
              <w:lastRenderedPageBreak/>
              <w:t>sašķidrinātās dabasgāzes pakalpojuma sniegšanas kārtības nosacījumiem kopumā un lūdz Ekonomikas ministriju skaidri un nepārprotami noteikumu projektā un tā anotācijā noteikt, ka gāzveida stāvoklī pārvērstu dabasgāzi, kas tieši piegādāta no sašķidrinātās dabasgāzes iekārtas uz lietotāja dabasgāzes apgādes sistēmu, enerģijas lietotājs nav tiesīgs izmantot kā kurināmo (kuru sadedzinot iegūst cita veida enerģiju</w:t>
            </w:r>
            <w:r w:rsidRPr="00A02401">
              <w:rPr>
                <w:rStyle w:val="FootnoteReference"/>
                <w:rFonts w:eastAsia="Calibri"/>
              </w:rPr>
              <w:footnoteReference w:id="6"/>
            </w:r>
            <w:r w:rsidRPr="00A02401">
              <w:rPr>
                <w:rFonts w:eastAsia="Calibri"/>
              </w:rPr>
              <w:t xml:space="preserve">) vai arī atkārtoti ievadīt sistēmā un attiecīgi ar šo dabasgāzi tieši vai pastarpināti nedrīkst piedalīties dabasgāzes tirgū, un tā ir paredzēta izlietošanai lietotāja paša vajadzībām (galapatēriņam) vienīgi lietotāja dabasgāzes apgādes sistēmā. </w:t>
            </w:r>
          </w:p>
        </w:tc>
        <w:tc>
          <w:tcPr>
            <w:tcW w:w="3260" w:type="dxa"/>
            <w:gridSpan w:val="2"/>
            <w:tcBorders>
              <w:top w:val="single" w:sz="4" w:space="0" w:color="auto"/>
              <w:left w:val="single" w:sz="6" w:space="0" w:color="000000"/>
              <w:bottom w:val="single" w:sz="6" w:space="0" w:color="000000"/>
              <w:right w:val="single" w:sz="6" w:space="0" w:color="000000"/>
            </w:tcBorders>
          </w:tcPr>
          <w:p w14:paraId="2AAB3DE2" w14:textId="781C977B" w:rsidR="00055D01" w:rsidRPr="00A02401" w:rsidRDefault="00055D01" w:rsidP="006B0018">
            <w:pPr>
              <w:pStyle w:val="naisc"/>
              <w:spacing w:before="60" w:after="60"/>
              <w:ind w:firstLine="5"/>
              <w:jc w:val="both"/>
              <w:rPr>
                <w:b/>
              </w:rPr>
            </w:pPr>
            <w:r w:rsidRPr="00A02401">
              <w:rPr>
                <w:b/>
              </w:rPr>
              <w:lastRenderedPageBreak/>
              <w:t xml:space="preserve">Daļēji ņemts vērā </w:t>
            </w:r>
          </w:p>
          <w:p w14:paraId="092C1611" w14:textId="06669A09" w:rsidR="00055D01" w:rsidRPr="00A02401" w:rsidRDefault="00055D01" w:rsidP="006C70E3">
            <w:pPr>
              <w:pStyle w:val="naisc"/>
              <w:spacing w:before="60" w:after="60"/>
              <w:ind w:firstLine="5"/>
              <w:jc w:val="both"/>
              <w:rPr>
                <w:bCs/>
              </w:rPr>
            </w:pPr>
            <w:r w:rsidRPr="00A02401">
              <w:rPr>
                <w:bCs/>
              </w:rPr>
              <w:t xml:space="preserve">Ekonomikas ministrija skaidro, ka Enerģētikas likuma 1.panta 40.punkts noteic, ka sašķidrinātās dabasgāzes pakalpojums ir dabasgāzes šķidrināšana vai sašķidrinātās dabasgāzes saņemšana, izkraušana, uzglabāšana un pārvēršana gāzveida stāvoklī turpmākai piegādei uz dabasgāzes pārvades sistēmu vai enerģijas lietotājam. Savukārt Enerģētikas likuma 1.patna 12.punktā ir noteikta enerģijas lietotāja definīcija — fiziskā vai juridiskā persona, kas no energoapgādes komersantiem pērk un savām vajadzībām patērē konkrētā </w:t>
            </w:r>
            <w:r w:rsidRPr="00A02401">
              <w:rPr>
                <w:bCs/>
              </w:rPr>
              <w:lastRenderedPageBreak/>
              <w:t xml:space="preserve">veida enerģiju vai kurināmo vai lieto to energoapgādē vai cita veida komercdarbībā. Ekonomikas ministrijas ieskatā MK noteikumi nevar sašaurināt likumā ietverto definīciju, ierobežojot to līdz </w:t>
            </w:r>
            <w:r w:rsidRPr="00A02401">
              <w:rPr>
                <w:rFonts w:eastAsia="Calibri"/>
              </w:rPr>
              <w:t xml:space="preserve">izlietošanai lietotāja paša vajadzībām (galapatēriņam). </w:t>
            </w:r>
          </w:p>
        </w:tc>
        <w:tc>
          <w:tcPr>
            <w:tcW w:w="2951" w:type="dxa"/>
            <w:tcBorders>
              <w:top w:val="single" w:sz="4" w:space="0" w:color="auto"/>
              <w:left w:val="single" w:sz="4" w:space="0" w:color="auto"/>
              <w:bottom w:val="single" w:sz="4" w:space="0" w:color="auto"/>
            </w:tcBorders>
          </w:tcPr>
          <w:p w14:paraId="7B574A16" w14:textId="64BEAB03" w:rsidR="00055D01" w:rsidRPr="00A02401" w:rsidRDefault="00055D01" w:rsidP="006C70E3">
            <w:pPr>
              <w:spacing w:before="60" w:after="60"/>
              <w:ind w:firstLine="5"/>
              <w:jc w:val="both"/>
            </w:pPr>
            <w:r w:rsidRPr="00A02401">
              <w:lastRenderedPageBreak/>
              <w:t>Veikti precizējumi Anotācijā.</w:t>
            </w:r>
          </w:p>
        </w:tc>
      </w:tr>
      <w:tr w:rsidR="00055D01" w:rsidRPr="00A02401" w14:paraId="2ACD2413" w14:textId="77777777" w:rsidTr="007D72ED">
        <w:tc>
          <w:tcPr>
            <w:tcW w:w="675" w:type="dxa"/>
            <w:tcBorders>
              <w:top w:val="single" w:sz="4" w:space="0" w:color="auto"/>
              <w:left w:val="single" w:sz="6" w:space="0" w:color="000000"/>
              <w:bottom w:val="single" w:sz="6" w:space="0" w:color="000000"/>
              <w:right w:val="single" w:sz="6" w:space="0" w:color="000000"/>
            </w:tcBorders>
          </w:tcPr>
          <w:p w14:paraId="6DA4E304" w14:textId="0373AF8F" w:rsidR="00055D01" w:rsidRPr="00A02401" w:rsidRDefault="00055D01" w:rsidP="006C70E3">
            <w:pPr>
              <w:pStyle w:val="naisc"/>
              <w:spacing w:before="60" w:after="60"/>
              <w:jc w:val="both"/>
            </w:pPr>
            <w:r>
              <w:lastRenderedPageBreak/>
              <w:t>4</w:t>
            </w:r>
            <w:r w:rsidR="00F33A5B">
              <w:t>2</w:t>
            </w:r>
            <w:r>
              <w:t>.</w:t>
            </w:r>
          </w:p>
        </w:tc>
        <w:tc>
          <w:tcPr>
            <w:tcW w:w="3119" w:type="dxa"/>
            <w:gridSpan w:val="2"/>
            <w:tcBorders>
              <w:top w:val="single" w:sz="4" w:space="0" w:color="auto"/>
              <w:left w:val="single" w:sz="6" w:space="0" w:color="000000"/>
              <w:bottom w:val="single" w:sz="6" w:space="0" w:color="000000"/>
              <w:right w:val="single" w:sz="6" w:space="0" w:color="000000"/>
            </w:tcBorders>
          </w:tcPr>
          <w:p w14:paraId="69A5F77A" w14:textId="60FBE8BE" w:rsidR="00055D01" w:rsidRPr="00A02401" w:rsidRDefault="00055D01" w:rsidP="006C70E3">
            <w:pPr>
              <w:pStyle w:val="naisc"/>
              <w:spacing w:before="60" w:after="60"/>
              <w:ind w:firstLine="33"/>
              <w:jc w:val="both"/>
            </w:pPr>
            <w:r w:rsidRPr="00A02401">
              <w:t>Anotācija</w:t>
            </w:r>
          </w:p>
        </w:tc>
        <w:tc>
          <w:tcPr>
            <w:tcW w:w="4278" w:type="dxa"/>
            <w:tcBorders>
              <w:top w:val="single" w:sz="4" w:space="0" w:color="auto"/>
              <w:left w:val="single" w:sz="6" w:space="0" w:color="000000"/>
              <w:bottom w:val="single" w:sz="6" w:space="0" w:color="000000"/>
              <w:right w:val="single" w:sz="6" w:space="0" w:color="000000"/>
            </w:tcBorders>
          </w:tcPr>
          <w:p w14:paraId="360AE014" w14:textId="77B67391" w:rsidR="00055D01" w:rsidRPr="00A02401" w:rsidRDefault="00055D01" w:rsidP="006C70E3">
            <w:pPr>
              <w:jc w:val="both"/>
              <w:rPr>
                <w:rFonts w:eastAsia="Calibri"/>
                <w:b/>
                <w:bCs/>
              </w:rPr>
            </w:pPr>
            <w:r w:rsidRPr="00A02401">
              <w:rPr>
                <w:rFonts w:eastAsia="Calibri"/>
                <w:b/>
                <w:bCs/>
              </w:rPr>
              <w:t>SPRK</w:t>
            </w:r>
          </w:p>
          <w:p w14:paraId="450937ED" w14:textId="77777777" w:rsidR="00055D01" w:rsidRPr="00A02401" w:rsidRDefault="00055D01" w:rsidP="006C70E3">
            <w:pPr>
              <w:jc w:val="both"/>
              <w:rPr>
                <w:rFonts w:eastAsia="Calibri"/>
              </w:rPr>
            </w:pPr>
            <w:r w:rsidRPr="00A02401">
              <w:rPr>
                <w:rFonts w:eastAsia="Calibri"/>
              </w:rPr>
              <w:t>6.1.</w:t>
            </w:r>
            <w:r w:rsidRPr="00A02401">
              <w:rPr>
                <w:rFonts w:eastAsia="Calibri"/>
              </w:rPr>
              <w:tab/>
              <w:t xml:space="preserve">anotācijā norādīts, ka gadījumos, kad tiek konstatēts noteiktu Noteikumu prasību pārkāpums, energoapgādes komersants, nosakot faktiski patērētās dabasgāzes daudzumu, izmanto datus par patērētās dabasgāzes daudzumu līdzīgos apstākļos līdzīgā laikposmā, Regulators vai tiesa īsteno kontroli pār energoapgādes komersanta noteiktā dabasgāzes daudzuma pamatotību un tiesiskumu, ņemot vērā katras situācijas individuālos apstākļus. </w:t>
            </w:r>
          </w:p>
          <w:p w14:paraId="1F13FA3C" w14:textId="59CE9624" w:rsidR="00055D01" w:rsidRPr="00A02401" w:rsidRDefault="00055D01" w:rsidP="006C70E3">
            <w:pPr>
              <w:jc w:val="both"/>
              <w:rPr>
                <w:rFonts w:eastAsia="Calibri"/>
                <w:b/>
                <w:bCs/>
              </w:rPr>
            </w:pPr>
            <w:r w:rsidRPr="00A02401">
              <w:rPr>
                <w:rFonts w:eastAsia="Calibri"/>
              </w:rPr>
              <w:lastRenderedPageBreak/>
              <w:t>Nedz Regulatoram, nedz tiesai normatīvajos aktos nav noteikts pienākums ārpus sūdzību vai strīdu par sabiedrisko pakalpojumu sniegšanu izskatīšanas kontrolēt dabasgāzes sadales sistēmas operatora aprēķinātā dabasgāzes daudzuma pamatotību, ja tiek konstatēts pārkāpums saskaņā ar Noteikumu 87.punktu.</w:t>
            </w:r>
          </w:p>
        </w:tc>
        <w:tc>
          <w:tcPr>
            <w:tcW w:w="3260" w:type="dxa"/>
            <w:gridSpan w:val="2"/>
            <w:tcBorders>
              <w:top w:val="single" w:sz="4" w:space="0" w:color="auto"/>
              <w:left w:val="single" w:sz="6" w:space="0" w:color="000000"/>
              <w:bottom w:val="single" w:sz="6" w:space="0" w:color="000000"/>
              <w:right w:val="single" w:sz="6" w:space="0" w:color="000000"/>
            </w:tcBorders>
          </w:tcPr>
          <w:p w14:paraId="3C36A355" w14:textId="77777777" w:rsidR="00055D01" w:rsidRPr="00A02401" w:rsidRDefault="00055D01" w:rsidP="006C70E3">
            <w:pPr>
              <w:pStyle w:val="naisc"/>
              <w:spacing w:before="60" w:after="60"/>
              <w:ind w:firstLine="5"/>
              <w:jc w:val="both"/>
              <w:rPr>
                <w:b/>
              </w:rPr>
            </w:pPr>
            <w:r w:rsidRPr="00A02401">
              <w:rPr>
                <w:b/>
              </w:rPr>
              <w:lastRenderedPageBreak/>
              <w:t>Ņemts vērā.</w:t>
            </w:r>
          </w:p>
          <w:p w14:paraId="5C738D63" w14:textId="7BD36E01" w:rsidR="00055D01" w:rsidRPr="00A02401" w:rsidRDefault="00055D01" w:rsidP="006C70E3">
            <w:pPr>
              <w:pStyle w:val="naisc"/>
              <w:spacing w:before="60" w:after="60"/>
              <w:ind w:firstLine="5"/>
              <w:jc w:val="both"/>
              <w:rPr>
                <w:bCs/>
              </w:rPr>
            </w:pPr>
            <w:r w:rsidRPr="00A02401">
              <w:rPr>
                <w:bCs/>
              </w:rPr>
              <w:t>Anotācija precizēta.</w:t>
            </w:r>
          </w:p>
        </w:tc>
        <w:tc>
          <w:tcPr>
            <w:tcW w:w="2951" w:type="dxa"/>
            <w:tcBorders>
              <w:top w:val="single" w:sz="4" w:space="0" w:color="auto"/>
              <w:left w:val="single" w:sz="4" w:space="0" w:color="auto"/>
              <w:bottom w:val="single" w:sz="4" w:space="0" w:color="auto"/>
            </w:tcBorders>
          </w:tcPr>
          <w:p w14:paraId="5803F4A4" w14:textId="3BC4F46A" w:rsidR="00055D01" w:rsidRPr="00A02401" w:rsidRDefault="00055D01" w:rsidP="006C70E3">
            <w:pPr>
              <w:spacing w:before="60" w:after="60"/>
              <w:ind w:firstLine="5"/>
              <w:jc w:val="both"/>
            </w:pPr>
            <w:r w:rsidRPr="00A02401">
              <w:t>Anotācija precizēta.</w:t>
            </w:r>
          </w:p>
        </w:tc>
      </w:tr>
      <w:tr w:rsidR="0031219F" w:rsidRPr="00A02401" w14:paraId="3FA8262D" w14:textId="77777777" w:rsidTr="006B0018">
        <w:tc>
          <w:tcPr>
            <w:tcW w:w="675" w:type="dxa"/>
            <w:tcBorders>
              <w:top w:val="single" w:sz="4" w:space="0" w:color="auto"/>
              <w:left w:val="single" w:sz="6" w:space="0" w:color="000000"/>
              <w:bottom w:val="single" w:sz="6" w:space="0" w:color="000000"/>
              <w:right w:val="single" w:sz="6" w:space="0" w:color="000000"/>
            </w:tcBorders>
            <w:shd w:val="clear" w:color="auto" w:fill="auto"/>
          </w:tcPr>
          <w:p w14:paraId="1BCB6230" w14:textId="6B2F9BA9" w:rsidR="0031219F" w:rsidRDefault="00F33A5B" w:rsidP="006C70E3">
            <w:pPr>
              <w:pStyle w:val="naisc"/>
              <w:spacing w:before="60" w:after="60"/>
              <w:jc w:val="both"/>
            </w:pPr>
            <w:r>
              <w:t>43.</w:t>
            </w:r>
          </w:p>
        </w:tc>
        <w:tc>
          <w:tcPr>
            <w:tcW w:w="3119" w:type="dxa"/>
            <w:gridSpan w:val="2"/>
            <w:tcBorders>
              <w:top w:val="single" w:sz="4" w:space="0" w:color="auto"/>
              <w:left w:val="single" w:sz="6" w:space="0" w:color="000000"/>
              <w:bottom w:val="single" w:sz="6" w:space="0" w:color="000000"/>
              <w:right w:val="single" w:sz="6" w:space="0" w:color="000000"/>
            </w:tcBorders>
            <w:shd w:val="clear" w:color="auto" w:fill="auto"/>
          </w:tcPr>
          <w:p w14:paraId="6482813C" w14:textId="77777777" w:rsidR="0031219F" w:rsidRPr="00A02401" w:rsidRDefault="0031219F" w:rsidP="006C70E3">
            <w:pPr>
              <w:pStyle w:val="naisc"/>
              <w:spacing w:before="60" w:after="60"/>
              <w:ind w:firstLine="33"/>
              <w:jc w:val="both"/>
            </w:pPr>
          </w:p>
        </w:tc>
        <w:tc>
          <w:tcPr>
            <w:tcW w:w="4278" w:type="dxa"/>
            <w:tcBorders>
              <w:top w:val="single" w:sz="4" w:space="0" w:color="auto"/>
              <w:left w:val="single" w:sz="6" w:space="0" w:color="000000"/>
              <w:bottom w:val="single" w:sz="6" w:space="0" w:color="000000"/>
              <w:right w:val="single" w:sz="6" w:space="0" w:color="000000"/>
            </w:tcBorders>
            <w:shd w:val="clear" w:color="auto" w:fill="auto"/>
          </w:tcPr>
          <w:p w14:paraId="42F451CE" w14:textId="2D7C6A5A" w:rsidR="0031219F" w:rsidRDefault="0031219F" w:rsidP="006C70E3">
            <w:pPr>
              <w:jc w:val="both"/>
              <w:rPr>
                <w:rFonts w:eastAsia="Calibri"/>
                <w:b/>
                <w:bCs/>
              </w:rPr>
            </w:pPr>
            <w:r w:rsidRPr="004F76F8">
              <w:rPr>
                <w:rFonts w:eastAsia="Calibri"/>
                <w:b/>
                <w:bCs/>
              </w:rPr>
              <w:t>TM</w:t>
            </w:r>
          </w:p>
          <w:p w14:paraId="003BA653" w14:textId="77777777" w:rsidR="0031219F" w:rsidRDefault="0031219F" w:rsidP="006B0018">
            <w:pPr>
              <w:pStyle w:val="NoSpacing"/>
              <w:ind w:firstLine="0"/>
              <w:rPr>
                <w:sz w:val="22"/>
                <w:szCs w:val="22"/>
              </w:rPr>
            </w:pPr>
            <w:r>
              <w:rPr>
                <w:rFonts w:cstheme="minorHAnsi"/>
                <w:sz w:val="24"/>
                <w:szCs w:val="24"/>
                <w:bdr w:val="none" w:sz="0" w:space="0" w:color="auto" w:frame="1"/>
              </w:rPr>
              <w:t xml:space="preserve">Ņemot vērā precizētajā anotācijas I sadaļas 2. punktā iekļauto informāciju par to, ka ar projektu tiek nodrošināta arī normatīvā regulējuma atbilstība Eiropas Savienības tiesību aktiem, lūdzam papildus precizēt anotāciju, aizpildot tās V sadaļas 1. tabulu attiecībā uz projekta atbilstību Eiropas Parlamenta un Padomes </w:t>
            </w:r>
            <w:r>
              <w:rPr>
                <w:rFonts w:cstheme="minorHAnsi"/>
                <w:sz w:val="24"/>
                <w:szCs w:val="24"/>
                <w:bdr w:val="none" w:sz="0" w:space="0" w:color="auto" w:frame="1"/>
                <w:shd w:val="clear" w:color="auto" w:fill="FFFFFF"/>
              </w:rPr>
              <w:t xml:space="preserve">2009. gada 13. jūlija </w:t>
            </w:r>
            <w:r>
              <w:rPr>
                <w:rFonts w:cstheme="minorHAnsi"/>
                <w:sz w:val="24"/>
                <w:szCs w:val="24"/>
                <w:bdr w:val="none" w:sz="0" w:space="0" w:color="auto" w:frame="1"/>
              </w:rPr>
              <w:t>Direktīvas 2009/73/EK par kopīgiem noteikumiem attiecībā uz dabasgāzes iekšējo tirgu un par Direktīvas 2003/55/EK atcelšanu 2. panta 9.</w:t>
            </w:r>
            <w:r>
              <w:rPr>
                <w:rFonts w:cstheme="minorHAnsi"/>
                <w:sz w:val="24"/>
                <w:szCs w:val="24"/>
              </w:rPr>
              <w:t> </w:t>
            </w:r>
            <w:r>
              <w:rPr>
                <w:rFonts w:cstheme="minorHAnsi"/>
                <w:sz w:val="24"/>
                <w:szCs w:val="24"/>
                <w:bdr w:val="none" w:sz="0" w:space="0" w:color="auto" w:frame="1"/>
              </w:rPr>
              <w:t>punktam un 3. panta 6. punktam, kā arī Eiropas Parlamenta un Padomes 2009. gada 13. jūlija Regulas (EK) Nr. 715/2009 par nosacījumiem attiecībā uz piekļuvi dabasgāzes pārvades tīkliem un par Regulas (EK) Nr. 1775/2005 atcelšanu 14. panta 3. punktam.</w:t>
            </w:r>
            <w:r>
              <w:rPr>
                <w:rFonts w:cstheme="minorHAnsi"/>
                <w:sz w:val="24"/>
                <w:szCs w:val="24"/>
              </w:rPr>
              <w:t> </w:t>
            </w:r>
          </w:p>
          <w:p w14:paraId="7DA4C4AB" w14:textId="15695B7D" w:rsidR="0031219F" w:rsidRPr="006B0018" w:rsidRDefault="0031219F" w:rsidP="006B0018">
            <w:pPr>
              <w:pStyle w:val="NoSpacing"/>
              <w:ind w:firstLine="0"/>
            </w:pPr>
            <w:r>
              <w:rPr>
                <w:rFonts w:cstheme="minorHAnsi"/>
                <w:sz w:val="24"/>
                <w:szCs w:val="24"/>
                <w:bdr w:val="none" w:sz="0" w:space="0" w:color="auto" w:frame="1"/>
              </w:rPr>
              <w:t xml:space="preserve">Papildus minētajam, ņemot vērā anotācijas I sadaļas 2. punktā norādīto, ka </w:t>
            </w:r>
            <w:r w:rsidR="006B0018">
              <w:rPr>
                <w:rFonts w:cstheme="minorHAnsi"/>
                <w:sz w:val="24"/>
                <w:szCs w:val="24"/>
                <w:bdr w:val="none" w:sz="0" w:space="0" w:color="auto" w:frame="1"/>
              </w:rPr>
              <w:t>“</w:t>
            </w:r>
            <w:r>
              <w:rPr>
                <w:rFonts w:cstheme="minorHAnsi"/>
                <w:sz w:val="24"/>
                <w:szCs w:val="24"/>
                <w:bdr w:val="none" w:sz="0" w:space="0" w:color="auto" w:frame="1"/>
              </w:rPr>
              <w:t xml:space="preserve">projekts paredz noteikt attiecīgu termiņu – 21 diena pirms attiecīgā norēķinu perioda sākuma. Šāds termiņš atbilst Eiropas Parlamenta un </w:t>
            </w:r>
            <w:r>
              <w:rPr>
                <w:rFonts w:cstheme="minorHAnsi"/>
                <w:sz w:val="24"/>
                <w:szCs w:val="24"/>
                <w:bdr w:val="none" w:sz="0" w:space="0" w:color="auto" w:frame="1"/>
              </w:rPr>
              <w:lastRenderedPageBreak/>
              <w:t>Padomes Direktīvā 2009/73/EK par kopīgiem noteikumiem attiecībā uz dabasgāzes iekšējo tirgu un par Direktīvas 2003/55/EK atcelšanu minētajam (..)</w:t>
            </w:r>
            <w:r w:rsidR="006B0018">
              <w:rPr>
                <w:rFonts w:cstheme="minorHAnsi"/>
                <w:sz w:val="24"/>
                <w:szCs w:val="24"/>
                <w:bdr w:val="none" w:sz="0" w:space="0" w:color="auto" w:frame="1"/>
              </w:rPr>
              <w:t>”</w:t>
            </w:r>
            <w:r>
              <w:rPr>
                <w:rFonts w:cstheme="minorHAnsi"/>
                <w:sz w:val="24"/>
                <w:szCs w:val="24"/>
                <w:bdr w:val="none" w:sz="0" w:space="0" w:color="auto" w:frame="1"/>
              </w:rPr>
              <w:t xml:space="preserve">, lūdzam izvērtēt nepieciešamību ietvert projektā normu, kas papildinātu noteikumu informatīvo atsauci uz Eiropas Savienības direktīvām ar atsauci uz Eiropas Parlamenta un Padomes </w:t>
            </w:r>
            <w:r>
              <w:rPr>
                <w:rFonts w:cstheme="minorHAnsi"/>
                <w:sz w:val="24"/>
                <w:szCs w:val="24"/>
                <w:bdr w:val="none" w:sz="0" w:space="0" w:color="auto" w:frame="1"/>
                <w:shd w:val="clear" w:color="auto" w:fill="FFFFFF"/>
              </w:rPr>
              <w:t xml:space="preserve">2009. gada 13. jūlija </w:t>
            </w:r>
            <w:r>
              <w:rPr>
                <w:rFonts w:cstheme="minorHAnsi"/>
                <w:sz w:val="24"/>
                <w:szCs w:val="24"/>
                <w:bdr w:val="none" w:sz="0" w:space="0" w:color="auto" w:frame="1"/>
              </w:rPr>
              <w:t>Direktīvu 2009/73/EK par kopīgiem noteikumiem attiecībā uz dabasgāzes iekšējo tirgu un par Direktīvas 2003/55/EK atcelšanu. </w:t>
            </w:r>
          </w:p>
        </w:tc>
        <w:tc>
          <w:tcPr>
            <w:tcW w:w="3260" w:type="dxa"/>
            <w:gridSpan w:val="2"/>
            <w:tcBorders>
              <w:top w:val="single" w:sz="4" w:space="0" w:color="auto"/>
              <w:left w:val="single" w:sz="6" w:space="0" w:color="000000"/>
              <w:bottom w:val="single" w:sz="6" w:space="0" w:color="000000"/>
              <w:right w:val="single" w:sz="6" w:space="0" w:color="000000"/>
            </w:tcBorders>
            <w:shd w:val="clear" w:color="auto" w:fill="auto"/>
          </w:tcPr>
          <w:p w14:paraId="03517EF9" w14:textId="1908CF19" w:rsidR="0031219F" w:rsidRDefault="0031219F" w:rsidP="006B0018">
            <w:pPr>
              <w:pStyle w:val="naisc"/>
              <w:spacing w:before="60" w:after="60"/>
              <w:ind w:firstLine="5"/>
              <w:jc w:val="both"/>
              <w:rPr>
                <w:b/>
              </w:rPr>
            </w:pPr>
            <w:r>
              <w:rPr>
                <w:b/>
              </w:rPr>
              <w:lastRenderedPageBreak/>
              <w:t>Ņemts vērā.</w:t>
            </w:r>
          </w:p>
          <w:p w14:paraId="4FFCEF6E" w14:textId="77777777" w:rsidR="0031219F" w:rsidRDefault="0031219F" w:rsidP="006C70E3">
            <w:pPr>
              <w:pStyle w:val="naisc"/>
              <w:spacing w:before="60" w:after="60"/>
              <w:ind w:firstLine="5"/>
              <w:jc w:val="both"/>
              <w:rPr>
                <w:rFonts w:cstheme="minorHAnsi"/>
                <w:bdr w:val="none" w:sz="0" w:space="0" w:color="auto" w:frame="1"/>
              </w:rPr>
            </w:pPr>
            <w:r>
              <w:rPr>
                <w:bCs/>
              </w:rPr>
              <w:t xml:space="preserve">Noteikumu projekts un anotācija papildināti ar informāciju par </w:t>
            </w:r>
            <w:r>
              <w:rPr>
                <w:rFonts w:cstheme="minorHAnsi"/>
                <w:bdr w:val="none" w:sz="0" w:space="0" w:color="auto" w:frame="1"/>
              </w:rPr>
              <w:t xml:space="preserve">Eiropas Parlamenta un Padomes </w:t>
            </w:r>
            <w:r>
              <w:rPr>
                <w:rFonts w:cstheme="minorHAnsi"/>
                <w:bdr w:val="none" w:sz="0" w:space="0" w:color="auto" w:frame="1"/>
                <w:shd w:val="clear" w:color="auto" w:fill="FFFFFF"/>
              </w:rPr>
              <w:t xml:space="preserve">2009. gada 13. jūlija </w:t>
            </w:r>
            <w:r>
              <w:rPr>
                <w:rFonts w:cstheme="minorHAnsi"/>
                <w:bdr w:val="none" w:sz="0" w:space="0" w:color="auto" w:frame="1"/>
              </w:rPr>
              <w:t>Direktīvas 2009/73/EK par kopīgiem noteikumiem attiecībā uz dabasgāzes iekšējo tirgu un par Direktīvas 2003/55/EK atcelšanu 3. panta 6. punktu</w:t>
            </w:r>
          </w:p>
          <w:p w14:paraId="2CC0B806" w14:textId="787BFABD" w:rsidR="0031219F" w:rsidRDefault="0031219F" w:rsidP="006C70E3">
            <w:pPr>
              <w:pStyle w:val="naisc"/>
              <w:spacing w:before="60" w:after="60"/>
              <w:ind w:firstLine="5"/>
              <w:jc w:val="both"/>
              <w:rPr>
                <w:rFonts w:cstheme="minorHAnsi"/>
                <w:bdr w:val="none" w:sz="0" w:space="0" w:color="auto" w:frame="1"/>
              </w:rPr>
            </w:pPr>
            <w:r>
              <w:rPr>
                <w:rFonts w:cstheme="minorHAnsi"/>
                <w:bdr w:val="none" w:sz="0" w:space="0" w:color="auto" w:frame="1"/>
              </w:rPr>
              <w:t xml:space="preserve">Attiecībā uz Eiropas Parlamenta un Padomes </w:t>
            </w:r>
            <w:r>
              <w:rPr>
                <w:rFonts w:cstheme="minorHAnsi"/>
                <w:bdr w:val="none" w:sz="0" w:space="0" w:color="auto" w:frame="1"/>
                <w:shd w:val="clear" w:color="auto" w:fill="FFFFFF"/>
              </w:rPr>
              <w:t xml:space="preserve">2009. gada 13. jūlija </w:t>
            </w:r>
            <w:r>
              <w:rPr>
                <w:rFonts w:cstheme="minorHAnsi"/>
                <w:bdr w:val="none" w:sz="0" w:space="0" w:color="auto" w:frame="1"/>
              </w:rPr>
              <w:t>Direktīvas 2009/73/EK par kopīgiem noteikumiem attiecībā uz dabasgāzes iekšējo tirgu un par Direktīvas 2003/55/EK atcelšanu 2. panta 9.</w:t>
            </w:r>
            <w:r>
              <w:rPr>
                <w:rFonts w:cstheme="minorHAnsi"/>
              </w:rPr>
              <w:t> </w:t>
            </w:r>
            <w:r>
              <w:rPr>
                <w:rFonts w:cstheme="minorHAnsi"/>
                <w:bdr w:val="none" w:sz="0" w:space="0" w:color="auto" w:frame="1"/>
              </w:rPr>
              <w:t>punktu Ekonomikas ministrija skaidro, ka tajā iekļautās normas jau ir pārņemtas ar Enerģētikas likumu, kā tas arī ir norādīts Anotācijā.</w:t>
            </w:r>
          </w:p>
          <w:p w14:paraId="6F4D143A" w14:textId="5CD4415E" w:rsidR="0031219F" w:rsidRDefault="0031219F" w:rsidP="006C70E3">
            <w:pPr>
              <w:pStyle w:val="naisc"/>
              <w:spacing w:before="60" w:after="60"/>
              <w:ind w:firstLine="5"/>
              <w:jc w:val="both"/>
              <w:rPr>
                <w:rFonts w:cstheme="minorHAnsi"/>
                <w:bdr w:val="none" w:sz="0" w:space="0" w:color="auto" w:frame="1"/>
              </w:rPr>
            </w:pPr>
            <w:r>
              <w:rPr>
                <w:rFonts w:cstheme="minorHAnsi"/>
                <w:bdr w:val="none" w:sz="0" w:space="0" w:color="auto" w:frame="1"/>
              </w:rPr>
              <w:lastRenderedPageBreak/>
              <w:t xml:space="preserve">Savukārt, Eiropas Parlamenta un Padomes 2009. gada 13. jūlija Regula (EK) Nr. 715/2009 par nosacījumiem attiecībā uz piekļuvi dabasgāzes pārvades tīkliem un par Regulas (EK) Nr. 1775/2005 atcelšanu tiek piemērota tiešā viedā un nav nepieciešams to pārņemt nacionālajos tiesību aktos. </w:t>
            </w:r>
          </w:p>
          <w:p w14:paraId="3519C736" w14:textId="0CDE456B" w:rsidR="0031219F" w:rsidRPr="0031219F" w:rsidRDefault="0031219F" w:rsidP="006C70E3">
            <w:pPr>
              <w:pStyle w:val="naisc"/>
              <w:spacing w:before="60" w:after="60"/>
              <w:ind w:firstLine="5"/>
              <w:jc w:val="both"/>
              <w:rPr>
                <w:bCs/>
              </w:rPr>
            </w:pPr>
            <w:r>
              <w:rPr>
                <w:rFonts w:cstheme="minorHAnsi"/>
                <w:bdr w:val="none" w:sz="0" w:space="0" w:color="auto" w:frame="1"/>
              </w:rPr>
              <w:t>Anotācija ir atbilstoši precizēta.</w:t>
            </w:r>
          </w:p>
        </w:tc>
        <w:tc>
          <w:tcPr>
            <w:tcW w:w="2951" w:type="dxa"/>
            <w:tcBorders>
              <w:top w:val="single" w:sz="4" w:space="0" w:color="auto"/>
              <w:left w:val="single" w:sz="4" w:space="0" w:color="auto"/>
              <w:bottom w:val="single" w:sz="4" w:space="0" w:color="auto"/>
            </w:tcBorders>
            <w:shd w:val="clear" w:color="auto" w:fill="auto"/>
          </w:tcPr>
          <w:p w14:paraId="38FC3C75" w14:textId="1F7D9EEA" w:rsidR="0031219F" w:rsidRPr="00A02401" w:rsidRDefault="0031219F" w:rsidP="006C70E3">
            <w:pPr>
              <w:spacing w:before="60" w:after="60"/>
              <w:ind w:firstLine="5"/>
              <w:jc w:val="both"/>
            </w:pPr>
            <w:r>
              <w:lastRenderedPageBreak/>
              <w:t>Noteikumu projekts un anotācija atbilstoši precizēti.</w:t>
            </w:r>
          </w:p>
        </w:tc>
      </w:tr>
      <w:tr w:rsidR="0031219F" w:rsidRPr="00A02401" w14:paraId="01B84A1D" w14:textId="77777777" w:rsidTr="006B0018">
        <w:tc>
          <w:tcPr>
            <w:tcW w:w="675" w:type="dxa"/>
            <w:tcBorders>
              <w:top w:val="single" w:sz="4" w:space="0" w:color="auto"/>
              <w:left w:val="single" w:sz="6" w:space="0" w:color="000000"/>
              <w:bottom w:val="single" w:sz="6" w:space="0" w:color="000000"/>
              <w:right w:val="single" w:sz="6" w:space="0" w:color="000000"/>
            </w:tcBorders>
            <w:shd w:val="clear" w:color="auto" w:fill="auto"/>
          </w:tcPr>
          <w:p w14:paraId="0A1B2821" w14:textId="16AE0D52" w:rsidR="0031219F" w:rsidRDefault="00F33A5B" w:rsidP="006C70E3">
            <w:pPr>
              <w:pStyle w:val="naisc"/>
              <w:spacing w:before="60" w:after="60"/>
              <w:jc w:val="both"/>
            </w:pPr>
            <w:r>
              <w:t>44.</w:t>
            </w:r>
          </w:p>
        </w:tc>
        <w:tc>
          <w:tcPr>
            <w:tcW w:w="3119" w:type="dxa"/>
            <w:gridSpan w:val="2"/>
            <w:tcBorders>
              <w:top w:val="single" w:sz="4" w:space="0" w:color="auto"/>
              <w:left w:val="single" w:sz="6" w:space="0" w:color="000000"/>
              <w:bottom w:val="single" w:sz="6" w:space="0" w:color="000000"/>
              <w:right w:val="single" w:sz="6" w:space="0" w:color="000000"/>
            </w:tcBorders>
            <w:shd w:val="clear" w:color="auto" w:fill="auto"/>
          </w:tcPr>
          <w:p w14:paraId="4EDF339C" w14:textId="7996686C" w:rsidR="0031219F" w:rsidRPr="00A02401" w:rsidRDefault="0031219F" w:rsidP="006C70E3">
            <w:pPr>
              <w:pStyle w:val="naisc"/>
              <w:spacing w:before="60" w:after="60"/>
              <w:ind w:firstLine="33"/>
              <w:jc w:val="both"/>
            </w:pPr>
            <w:r>
              <w:t>Anotācija</w:t>
            </w:r>
          </w:p>
        </w:tc>
        <w:tc>
          <w:tcPr>
            <w:tcW w:w="4278" w:type="dxa"/>
            <w:tcBorders>
              <w:top w:val="single" w:sz="4" w:space="0" w:color="auto"/>
              <w:left w:val="single" w:sz="6" w:space="0" w:color="000000"/>
              <w:bottom w:val="single" w:sz="6" w:space="0" w:color="000000"/>
              <w:right w:val="single" w:sz="6" w:space="0" w:color="000000"/>
            </w:tcBorders>
            <w:shd w:val="clear" w:color="auto" w:fill="auto"/>
          </w:tcPr>
          <w:p w14:paraId="5F55D7FB" w14:textId="7B4BAB32" w:rsidR="0031219F" w:rsidRPr="0031219F" w:rsidRDefault="0031219F" w:rsidP="006C70E3">
            <w:pPr>
              <w:jc w:val="both"/>
              <w:rPr>
                <w:rFonts w:eastAsia="Calibri"/>
                <w:b/>
                <w:bCs/>
              </w:rPr>
            </w:pPr>
            <w:r w:rsidRPr="0031219F">
              <w:rPr>
                <w:rFonts w:eastAsia="Calibri"/>
                <w:b/>
                <w:bCs/>
              </w:rPr>
              <w:t>TM</w:t>
            </w:r>
          </w:p>
          <w:p w14:paraId="63CBB54C" w14:textId="05E77EF0" w:rsidR="0031219F" w:rsidRPr="006B0018" w:rsidRDefault="0031219F" w:rsidP="006B0018">
            <w:pPr>
              <w:pStyle w:val="NoSpacing"/>
              <w:ind w:firstLine="0"/>
              <w:rPr>
                <w:sz w:val="22"/>
                <w:szCs w:val="22"/>
              </w:rPr>
            </w:pPr>
            <w:r>
              <w:rPr>
                <w:rFonts w:cstheme="minorHAnsi"/>
                <w:sz w:val="24"/>
                <w:szCs w:val="24"/>
                <w:bdr w:val="none" w:sz="0" w:space="0" w:color="auto" w:frame="1"/>
              </w:rPr>
              <w:t>Anotācijas I sadaļas 2. punktā ir norādīts, ka p</w:t>
            </w:r>
            <w:r>
              <w:rPr>
                <w:rFonts w:cstheme="minorHAnsi"/>
                <w:sz w:val="24"/>
                <w:szCs w:val="24"/>
              </w:rPr>
              <w:t>rojekta 6. punkts paredz precizēt noteikumu 42. punktu, kas nosaka sešu mēnešu ilgu laika posmu, kurā iespējams sakārtot dabasgāzes piegādē iesaistīto pušu civiltiesiskās attiecības – noslēgt līgumu ar kādu no tirgotājiem. Šajā laika posmā dabasgāzes tirdzniecība notiktu par cenu, kas saistītajiem lietotājiem noteikta Enerģētikas likumā noteiktajā kārtībā. Tas novērstu to, ka šobrīd pēdējās garantētās piegādes pakalpojumu var saņemt neierobežoti ilgu laiku. Projekta 7. punkts paredz noteikumus papildināt ar noteikumu 42.</w:t>
            </w:r>
            <w:r>
              <w:rPr>
                <w:rFonts w:cstheme="minorHAnsi"/>
                <w:sz w:val="24"/>
                <w:szCs w:val="24"/>
                <w:vertAlign w:val="superscript"/>
              </w:rPr>
              <w:t>1</w:t>
            </w:r>
            <w:r>
              <w:rPr>
                <w:rFonts w:cstheme="minorHAnsi"/>
                <w:sz w:val="24"/>
                <w:szCs w:val="24"/>
              </w:rPr>
              <w:t xml:space="preserve"> punktu, kurā noteiktas dabasgāzes piegādē bez līguma iesaistīto pušu tiesiskās attiecības, ja līgums ar kādu no tirgotājiem nav noslēgts sešu mēnešu laikā un šajā laikā nav arī nodrošinātas </w:t>
            </w:r>
            <w:r>
              <w:rPr>
                <w:rFonts w:cstheme="minorHAnsi"/>
                <w:sz w:val="24"/>
                <w:szCs w:val="24"/>
              </w:rPr>
              <w:lastRenderedPageBreak/>
              <w:t xml:space="preserve">sadales sistēmas operatora tiesības pārtraukt dabasgāzes piegādi. Piedāvātā redakcija nodrošinātu tādu Enerģētikas likumā noteiktās cenas piemērošanas kārtību, kurā dabasgāze tiem, kuri būtu izvēlējušies nepildīt noteikumos noteikto pienākumu noslēgt līgumu, netiktu piegādāta ar tādiem pašiem nosacījumiem kā tiem, kuri šo pienākumu ir izpildījuši un līgumu ir noslēguši. Šādai </w:t>
            </w:r>
            <w:r>
              <w:rPr>
                <w:rFonts w:cstheme="minorHAnsi"/>
                <w:sz w:val="24"/>
                <w:szCs w:val="24"/>
                <w:u w:val="single"/>
              </w:rPr>
              <w:t>piegādei tiktu piemērota divkārša cena</w:t>
            </w:r>
            <w:r>
              <w:rPr>
                <w:rFonts w:cstheme="minorHAnsi"/>
                <w:sz w:val="24"/>
                <w:szCs w:val="24"/>
              </w:rPr>
              <w:t>. Savukārt no anotācijas I sadaļas 2. punktā ietvertās informācijas nav skaidrs, kādēļ iepriekš minētajai piegādei tiks piemērota divkārša cena. Ievērojot minēto, lūdzam papildināt anotācijas I sadaļas 2. punktu ar atbilstošu skaidrojumu. </w:t>
            </w:r>
          </w:p>
        </w:tc>
        <w:tc>
          <w:tcPr>
            <w:tcW w:w="3260" w:type="dxa"/>
            <w:gridSpan w:val="2"/>
            <w:tcBorders>
              <w:top w:val="single" w:sz="4" w:space="0" w:color="auto"/>
              <w:left w:val="single" w:sz="6" w:space="0" w:color="000000"/>
              <w:bottom w:val="single" w:sz="6" w:space="0" w:color="000000"/>
              <w:right w:val="single" w:sz="6" w:space="0" w:color="000000"/>
            </w:tcBorders>
            <w:shd w:val="clear" w:color="auto" w:fill="auto"/>
          </w:tcPr>
          <w:p w14:paraId="7A5BC810" w14:textId="3877BA85" w:rsidR="0031219F" w:rsidRPr="0031219F" w:rsidRDefault="0031219F" w:rsidP="006C70E3">
            <w:pPr>
              <w:pStyle w:val="naisc"/>
              <w:spacing w:before="60" w:after="60"/>
              <w:ind w:firstLine="5"/>
              <w:jc w:val="both"/>
              <w:rPr>
                <w:rFonts w:cstheme="minorHAnsi"/>
                <w:b/>
                <w:bCs/>
                <w:lang w:eastAsia="en-US"/>
              </w:rPr>
            </w:pPr>
            <w:r w:rsidRPr="0031219F">
              <w:rPr>
                <w:rFonts w:cstheme="minorHAnsi"/>
                <w:b/>
                <w:bCs/>
                <w:lang w:eastAsia="en-US"/>
              </w:rPr>
              <w:lastRenderedPageBreak/>
              <w:t>Ņemts vērā.</w:t>
            </w:r>
          </w:p>
          <w:p w14:paraId="18F70558" w14:textId="190C25CA" w:rsidR="0031219F" w:rsidRPr="0031219F" w:rsidRDefault="0031219F" w:rsidP="006C70E3">
            <w:pPr>
              <w:pStyle w:val="naisc"/>
              <w:spacing w:before="60" w:after="60"/>
              <w:ind w:firstLine="5"/>
              <w:jc w:val="both"/>
              <w:rPr>
                <w:rFonts w:cstheme="minorHAnsi"/>
                <w:lang w:eastAsia="en-US"/>
              </w:rPr>
            </w:pPr>
            <w:r w:rsidRPr="0031219F">
              <w:rPr>
                <w:rFonts w:cstheme="minorHAnsi"/>
                <w:lang w:eastAsia="en-US"/>
              </w:rPr>
              <w:t>Anotācija papildināta ar skaidrojumu, ka būtu jānodrošina, ka dabasgāze, tiem, kuri būtu izvēlējušies nepildīt Noteikumos noteikto pienākumu noslēgt līgumu, netiktu piegādāta ar tādiem pašiem nosacījumiem, kā tiem, kuri šo pienākumu ir izpildījuši un līgumu ir noslēguši. Ekonomikas ministrija Anotācijā skaidro, ka divkāršas cenas piemērošana pamatojās ar to, ka šāda cenas piemērošanas kārtība būtu stimuls, kas veicinātu lietotājus slēgt līgumus, lai nepārmaksātu par saņemto pakalpojumu.</w:t>
            </w:r>
          </w:p>
        </w:tc>
        <w:tc>
          <w:tcPr>
            <w:tcW w:w="2951" w:type="dxa"/>
            <w:tcBorders>
              <w:top w:val="single" w:sz="4" w:space="0" w:color="auto"/>
              <w:left w:val="single" w:sz="4" w:space="0" w:color="auto"/>
              <w:bottom w:val="single" w:sz="4" w:space="0" w:color="auto"/>
            </w:tcBorders>
            <w:shd w:val="clear" w:color="auto" w:fill="auto"/>
          </w:tcPr>
          <w:p w14:paraId="5794C78D" w14:textId="0ED0CEE8" w:rsidR="0031219F" w:rsidRPr="0031219F" w:rsidRDefault="0031219F" w:rsidP="006C70E3">
            <w:pPr>
              <w:spacing w:before="60" w:after="60"/>
              <w:ind w:firstLine="5"/>
              <w:jc w:val="both"/>
            </w:pPr>
            <w:r w:rsidRPr="0031219F">
              <w:t>Anotācija papildināta.</w:t>
            </w:r>
          </w:p>
        </w:tc>
      </w:tr>
      <w:tr w:rsidR="0031219F" w:rsidRPr="00A02401" w14:paraId="4BF00D9B" w14:textId="77777777" w:rsidTr="000E2D0A">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14:paraId="43CECD56" w14:textId="6864228B" w:rsidR="0031219F" w:rsidRPr="00A02401" w:rsidRDefault="0031219F" w:rsidP="006C70E3">
            <w:pPr>
              <w:pStyle w:val="naiskr"/>
              <w:spacing w:before="60" w:after="60"/>
              <w:jc w:val="both"/>
            </w:pPr>
          </w:p>
          <w:p w14:paraId="0409AEBB" w14:textId="77777777" w:rsidR="0031219F" w:rsidRPr="00A02401" w:rsidRDefault="0031219F" w:rsidP="006C70E3">
            <w:pPr>
              <w:pStyle w:val="naiskr"/>
              <w:spacing w:before="60" w:after="60"/>
              <w:jc w:val="both"/>
            </w:pPr>
          </w:p>
          <w:p w14:paraId="12043812" w14:textId="77777777" w:rsidR="0031219F" w:rsidRPr="00A02401" w:rsidRDefault="0031219F" w:rsidP="006C70E3">
            <w:pPr>
              <w:pStyle w:val="naiskr"/>
              <w:spacing w:before="60" w:after="60"/>
              <w:jc w:val="both"/>
            </w:pPr>
            <w:r w:rsidRPr="00A02401">
              <w:t>Atbildīgā amatpersona</w:t>
            </w:r>
          </w:p>
        </w:tc>
        <w:tc>
          <w:tcPr>
            <w:tcW w:w="6179" w:type="dxa"/>
            <w:gridSpan w:val="3"/>
          </w:tcPr>
          <w:p w14:paraId="6FA83C99" w14:textId="2C66C404" w:rsidR="0031219F" w:rsidRPr="00A02401" w:rsidRDefault="0031219F" w:rsidP="006C70E3">
            <w:pPr>
              <w:pStyle w:val="naiskr"/>
              <w:spacing w:before="60" w:after="60"/>
              <w:jc w:val="both"/>
            </w:pPr>
          </w:p>
          <w:p w14:paraId="247F2293" w14:textId="77777777" w:rsidR="0031219F" w:rsidRPr="00A02401" w:rsidRDefault="0031219F" w:rsidP="006C70E3">
            <w:pPr>
              <w:pStyle w:val="naiskr"/>
              <w:spacing w:before="60" w:after="60"/>
              <w:jc w:val="both"/>
            </w:pPr>
          </w:p>
          <w:p w14:paraId="2429AA0D" w14:textId="1914DB7D" w:rsidR="0031219F" w:rsidRPr="00A02401" w:rsidRDefault="0031219F" w:rsidP="006C70E3">
            <w:pPr>
              <w:pStyle w:val="naiskr"/>
              <w:spacing w:before="60" w:after="60"/>
              <w:jc w:val="both"/>
            </w:pPr>
            <w:r w:rsidRPr="00A02401">
              <w:t>Marija Zjurikova</w:t>
            </w:r>
          </w:p>
          <w:p w14:paraId="4CD2BED7" w14:textId="729E1A79" w:rsidR="0031219F" w:rsidRPr="00A02401" w:rsidRDefault="0031219F" w:rsidP="006C70E3">
            <w:pPr>
              <w:pStyle w:val="naiskr"/>
              <w:spacing w:before="60" w:after="60"/>
              <w:jc w:val="both"/>
            </w:pPr>
            <w:r w:rsidRPr="00A02401">
              <w:t>Enerģijas tirgus un infrastruktūras departamenta direktor</w:t>
            </w:r>
            <w:r>
              <w:t>e</w:t>
            </w:r>
          </w:p>
        </w:tc>
      </w:tr>
      <w:tr w:rsidR="0031219F" w:rsidRPr="00A02401" w14:paraId="31E58759" w14:textId="77777777" w:rsidTr="000E2D0A">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14:paraId="5346C26F" w14:textId="77777777" w:rsidR="0031219F" w:rsidRPr="00A02401" w:rsidRDefault="0031219F" w:rsidP="006C70E3">
            <w:pPr>
              <w:pStyle w:val="naiskr"/>
              <w:spacing w:before="60" w:after="60"/>
              <w:jc w:val="both"/>
            </w:pPr>
          </w:p>
        </w:tc>
        <w:tc>
          <w:tcPr>
            <w:tcW w:w="6179" w:type="dxa"/>
            <w:gridSpan w:val="3"/>
            <w:tcBorders>
              <w:top w:val="single" w:sz="6" w:space="0" w:color="000000"/>
            </w:tcBorders>
          </w:tcPr>
          <w:p w14:paraId="5C9DEEF8" w14:textId="77777777" w:rsidR="0031219F" w:rsidRPr="00A02401" w:rsidRDefault="0031219F" w:rsidP="006C70E3">
            <w:pPr>
              <w:pStyle w:val="naisc"/>
              <w:spacing w:before="60" w:after="60"/>
              <w:ind w:firstLine="436"/>
              <w:jc w:val="both"/>
            </w:pPr>
          </w:p>
        </w:tc>
      </w:tr>
    </w:tbl>
    <w:p w14:paraId="2D93C6F5" w14:textId="77AE3450" w:rsidR="00317DC7" w:rsidRPr="00A02401" w:rsidRDefault="00184479" w:rsidP="006C70E3">
      <w:pPr>
        <w:pStyle w:val="naisf"/>
        <w:spacing w:before="0" w:after="0"/>
        <w:ind w:firstLine="720"/>
        <w:contextualSpacing/>
      </w:pPr>
      <w:r w:rsidRPr="00A02401">
        <w:t>Piezīme.</w:t>
      </w:r>
      <w:r w:rsidR="00767BF3" w:rsidRPr="00A02401">
        <w:t> </w:t>
      </w:r>
      <w:r w:rsidR="00FB6C91" w:rsidRPr="00A02401">
        <w:t>*</w:t>
      </w:r>
      <w:r w:rsidR="00767BF3" w:rsidRPr="00A02401">
        <w:t> </w:t>
      </w:r>
      <w:r w:rsidR="00317DC7" w:rsidRPr="00A02401">
        <w:t xml:space="preserve">Dokumenta rekvizītu </w:t>
      </w:r>
      <w:r w:rsidR="00627EE7" w:rsidRPr="00A02401">
        <w:t>“</w:t>
      </w:r>
      <w:r w:rsidR="0018210A" w:rsidRPr="00A02401">
        <w:t>p</w:t>
      </w:r>
      <w:r w:rsidR="00317DC7" w:rsidRPr="00A02401">
        <w:t>araksts</w:t>
      </w:r>
      <w:r w:rsidR="00627EE7" w:rsidRPr="00A02401">
        <w:t>”</w:t>
      </w:r>
      <w:r w:rsidR="00317DC7" w:rsidRPr="00A02401">
        <w:t xml:space="preserve"> neaizpilda, ja elektroniskais dokuments ir </w:t>
      </w:r>
      <w:r w:rsidRPr="00A02401">
        <w:t>sagatavots</w:t>
      </w:r>
      <w:r w:rsidR="00317DC7" w:rsidRPr="00A02401">
        <w:t xml:space="preserve"> atbilstoši </w:t>
      </w:r>
      <w:r w:rsidRPr="00A02401">
        <w:t xml:space="preserve">normatīvajiem aktiem par </w:t>
      </w:r>
      <w:r w:rsidR="00317DC7" w:rsidRPr="00A02401">
        <w:t>elektronisko dokumentu noformēšan</w:t>
      </w:r>
      <w:r w:rsidRPr="00A02401">
        <w:t>u.</w:t>
      </w:r>
    </w:p>
    <w:p w14:paraId="5E1E33CE" w14:textId="47B65E18" w:rsidR="00665DF5" w:rsidRPr="00A02401" w:rsidRDefault="00665DF5" w:rsidP="006C70E3">
      <w:pPr>
        <w:pStyle w:val="naisf"/>
        <w:spacing w:before="0" w:after="0"/>
        <w:ind w:firstLine="720"/>
        <w:contextualSpacing/>
      </w:pPr>
    </w:p>
    <w:p w14:paraId="3A44AD04" w14:textId="77777777" w:rsidR="00665DF5" w:rsidRPr="00A02401" w:rsidRDefault="00665DF5" w:rsidP="006C70E3">
      <w:pPr>
        <w:pStyle w:val="naisf"/>
        <w:spacing w:before="0" w:after="0"/>
        <w:ind w:firstLine="720"/>
        <w:contextualSpacing/>
      </w:pPr>
    </w:p>
    <w:tbl>
      <w:tblPr>
        <w:tblW w:w="0" w:type="auto"/>
        <w:tblLook w:val="00A0" w:firstRow="1" w:lastRow="0" w:firstColumn="1" w:lastColumn="0" w:noHBand="0" w:noVBand="0"/>
      </w:tblPr>
      <w:tblGrid>
        <w:gridCol w:w="8268"/>
      </w:tblGrid>
      <w:tr w:rsidR="001D7AE5" w:rsidRPr="00A02401" w14:paraId="5AFB7C4F" w14:textId="77777777">
        <w:tc>
          <w:tcPr>
            <w:tcW w:w="8268" w:type="dxa"/>
            <w:tcBorders>
              <w:bottom w:val="single" w:sz="4" w:space="0" w:color="000000"/>
            </w:tcBorders>
          </w:tcPr>
          <w:p w14:paraId="434C2385" w14:textId="68E8EB48" w:rsidR="008655A2" w:rsidRPr="00A02401" w:rsidRDefault="003F6927" w:rsidP="006C70E3">
            <w:pPr>
              <w:contextualSpacing/>
              <w:jc w:val="both"/>
            </w:pPr>
            <w:r w:rsidRPr="00A02401">
              <w:t>Marija Zjurikova</w:t>
            </w:r>
            <w:r w:rsidR="00D720AF" w:rsidRPr="00A02401">
              <w:t xml:space="preserve">, </w:t>
            </w:r>
            <w:r w:rsidRPr="00A02401">
              <w:t>departamenta direktor</w:t>
            </w:r>
            <w:r w:rsidR="00823334">
              <w:t>e</w:t>
            </w:r>
          </w:p>
        </w:tc>
      </w:tr>
      <w:tr w:rsidR="001D7AE5" w:rsidRPr="00A02401" w14:paraId="3A90336F" w14:textId="77777777">
        <w:tc>
          <w:tcPr>
            <w:tcW w:w="8268" w:type="dxa"/>
            <w:tcBorders>
              <w:top w:val="single" w:sz="4" w:space="0" w:color="000000"/>
            </w:tcBorders>
          </w:tcPr>
          <w:p w14:paraId="7CDCB81D" w14:textId="77777777" w:rsidR="008655A2" w:rsidRPr="00A02401" w:rsidRDefault="00184479" w:rsidP="006C70E3">
            <w:pPr>
              <w:contextualSpacing/>
              <w:jc w:val="both"/>
            </w:pPr>
            <w:r w:rsidRPr="00A02401">
              <w:t>(</w:t>
            </w:r>
            <w:r w:rsidR="008655A2" w:rsidRPr="00A02401">
              <w:t>amats</w:t>
            </w:r>
            <w:r w:rsidRPr="00A02401">
              <w:t>)</w:t>
            </w:r>
          </w:p>
        </w:tc>
      </w:tr>
      <w:tr w:rsidR="001D7AE5" w:rsidRPr="00A02401" w14:paraId="54F31E34" w14:textId="77777777">
        <w:tc>
          <w:tcPr>
            <w:tcW w:w="8268" w:type="dxa"/>
            <w:tcBorders>
              <w:bottom w:val="single" w:sz="4" w:space="0" w:color="000000"/>
            </w:tcBorders>
          </w:tcPr>
          <w:p w14:paraId="49120FC0" w14:textId="03FCEEA9" w:rsidR="008655A2" w:rsidRPr="00A02401" w:rsidRDefault="00D720AF" w:rsidP="006C70E3">
            <w:pPr>
              <w:contextualSpacing/>
              <w:jc w:val="both"/>
            </w:pPr>
            <w:r w:rsidRPr="00A02401">
              <w:t>67013</w:t>
            </w:r>
            <w:r w:rsidR="003F6927" w:rsidRPr="00A02401">
              <w:t>242</w:t>
            </w:r>
          </w:p>
        </w:tc>
      </w:tr>
      <w:tr w:rsidR="001D7AE5" w:rsidRPr="00A02401" w14:paraId="13B2BD7D" w14:textId="77777777">
        <w:tc>
          <w:tcPr>
            <w:tcW w:w="8268" w:type="dxa"/>
            <w:tcBorders>
              <w:top w:val="single" w:sz="4" w:space="0" w:color="000000"/>
            </w:tcBorders>
          </w:tcPr>
          <w:p w14:paraId="0DDA887C" w14:textId="77777777" w:rsidR="008655A2" w:rsidRPr="00A02401" w:rsidRDefault="00184479" w:rsidP="006C70E3">
            <w:pPr>
              <w:contextualSpacing/>
              <w:jc w:val="both"/>
            </w:pPr>
            <w:r w:rsidRPr="00A02401">
              <w:t>(</w:t>
            </w:r>
            <w:r w:rsidR="008655A2" w:rsidRPr="00A02401">
              <w:t>tālruņa un faksa numurs</w:t>
            </w:r>
            <w:r w:rsidRPr="00A02401">
              <w:t>)</w:t>
            </w:r>
          </w:p>
        </w:tc>
      </w:tr>
      <w:tr w:rsidR="001D7AE5" w:rsidRPr="00A02401" w14:paraId="1103A32C" w14:textId="77777777">
        <w:tc>
          <w:tcPr>
            <w:tcW w:w="8268" w:type="dxa"/>
            <w:tcBorders>
              <w:bottom w:val="single" w:sz="4" w:space="0" w:color="000000"/>
            </w:tcBorders>
          </w:tcPr>
          <w:p w14:paraId="4B1C1FFA" w14:textId="25035771" w:rsidR="008655A2" w:rsidRPr="00A02401" w:rsidRDefault="00C14A90" w:rsidP="006C70E3">
            <w:pPr>
              <w:contextualSpacing/>
              <w:jc w:val="both"/>
            </w:pPr>
            <w:hyperlink r:id="rId9" w:history="1">
              <w:r w:rsidR="006B0018" w:rsidRPr="00BD6250">
                <w:rPr>
                  <w:rStyle w:val="Hyperlink"/>
                </w:rPr>
                <w:t>Marija.Zjurikova@em.gov.lv</w:t>
              </w:r>
            </w:hyperlink>
            <w:r w:rsidR="006B0018">
              <w:t xml:space="preserve"> </w:t>
            </w:r>
          </w:p>
        </w:tc>
      </w:tr>
      <w:tr w:rsidR="008655A2" w:rsidRPr="00A02401" w14:paraId="78ADE0EE" w14:textId="77777777">
        <w:tc>
          <w:tcPr>
            <w:tcW w:w="8268" w:type="dxa"/>
            <w:tcBorders>
              <w:top w:val="single" w:sz="4" w:space="0" w:color="000000"/>
            </w:tcBorders>
          </w:tcPr>
          <w:p w14:paraId="5397914C" w14:textId="77777777" w:rsidR="008655A2" w:rsidRPr="00A02401" w:rsidRDefault="00184479" w:rsidP="006C70E3">
            <w:pPr>
              <w:contextualSpacing/>
              <w:jc w:val="both"/>
            </w:pPr>
            <w:r w:rsidRPr="00A02401">
              <w:lastRenderedPageBreak/>
              <w:t>(</w:t>
            </w:r>
            <w:r w:rsidR="008655A2" w:rsidRPr="00A02401">
              <w:t>e-pasta adrese</w:t>
            </w:r>
            <w:r w:rsidRPr="00A02401">
              <w:t>)</w:t>
            </w:r>
          </w:p>
        </w:tc>
      </w:tr>
    </w:tbl>
    <w:p w14:paraId="419AFFE0" w14:textId="77777777" w:rsidR="007116C7" w:rsidRPr="00A02401" w:rsidRDefault="007116C7" w:rsidP="006C70E3">
      <w:pPr>
        <w:pStyle w:val="naisf"/>
        <w:spacing w:before="0" w:after="0"/>
        <w:ind w:firstLine="0"/>
        <w:contextualSpacing/>
      </w:pPr>
    </w:p>
    <w:sectPr w:rsidR="007116C7" w:rsidRPr="00A02401"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6E3A2" w14:textId="77777777" w:rsidR="00DD75BA" w:rsidRDefault="00DD75BA">
      <w:r>
        <w:separator/>
      </w:r>
    </w:p>
  </w:endnote>
  <w:endnote w:type="continuationSeparator" w:id="0">
    <w:p w14:paraId="7279E738" w14:textId="77777777" w:rsidR="00DD75BA" w:rsidRDefault="00DD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ontserrat">
    <w:altName w:val="Calibri"/>
    <w:charset w:val="BA"/>
    <w:family w:val="auto"/>
    <w:pitch w:val="variable"/>
    <w:sig w:usb0="2000020F" w:usb1="00000003" w:usb2="00000000" w:usb3="00000000" w:csb0="00000197"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54C9" w14:textId="33C02DF5" w:rsidR="00DD75BA" w:rsidRPr="008A580E" w:rsidRDefault="00DD75BA" w:rsidP="008A580E">
    <w:pPr>
      <w:pStyle w:val="Footer"/>
      <w:jc w:val="both"/>
      <w:rPr>
        <w:sz w:val="20"/>
        <w:szCs w:val="20"/>
      </w:rPr>
    </w:pPr>
    <w:r>
      <w:rPr>
        <w:sz w:val="20"/>
        <w:szCs w:val="20"/>
      </w:rPr>
      <w:t>E</w:t>
    </w:r>
    <w:r w:rsidRPr="00015C84">
      <w:rPr>
        <w:sz w:val="20"/>
        <w:szCs w:val="20"/>
      </w:rPr>
      <w:t>M</w:t>
    </w:r>
    <w:r>
      <w:rPr>
        <w:sz w:val="20"/>
        <w:szCs w:val="20"/>
      </w:rPr>
      <w:t>I</w:t>
    </w:r>
    <w:r w:rsidRPr="00015C84">
      <w:rPr>
        <w:sz w:val="20"/>
        <w:szCs w:val="20"/>
      </w:rPr>
      <w:t>zz_</w:t>
    </w:r>
    <w:r>
      <w:rPr>
        <w:sz w:val="20"/>
        <w:szCs w:val="20"/>
      </w:rPr>
      <w:t>04062021</w:t>
    </w:r>
    <w:r w:rsidRPr="00015C84">
      <w:rPr>
        <w:sz w:val="20"/>
        <w:szCs w:val="20"/>
      </w:rPr>
      <w:t>_</w:t>
    </w:r>
    <w:r>
      <w:rPr>
        <w:sz w:val="20"/>
        <w:szCs w:val="20"/>
      </w:rPr>
      <w:t xml:space="preserve">VSS510.docx; Izziņa par atzinumos sniegtajiem iebildumiem noteikumu projektam </w:t>
    </w:r>
    <w:r w:rsidRPr="003F6927">
      <w:rPr>
        <w:sz w:val="20"/>
        <w:szCs w:val="20"/>
      </w:rPr>
      <w:t xml:space="preserve">“Grozījumi Ministru kabineta 2017.gada 7.februāra noteikumos Nr.78 </w:t>
    </w:r>
    <w:r>
      <w:rPr>
        <w:sz w:val="20"/>
        <w:szCs w:val="20"/>
      </w:rPr>
      <w:t>“</w:t>
    </w:r>
    <w:r w:rsidRPr="003F6927">
      <w:rPr>
        <w:sz w:val="20"/>
        <w:szCs w:val="20"/>
      </w:rPr>
      <w:t xml:space="preserve">Dabasgāzes tirdzniecības un lietošanas noteikumi”” </w:t>
    </w:r>
    <w:r>
      <w:rPr>
        <w:sz w:val="20"/>
        <w:szCs w:val="20"/>
      </w:rPr>
      <w:t>(VSS-510)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816A" w14:textId="5F534938" w:rsidR="00DD75BA" w:rsidRPr="003F6927" w:rsidRDefault="00DD75BA" w:rsidP="003F6927">
    <w:pPr>
      <w:pStyle w:val="Footer"/>
      <w:jc w:val="both"/>
      <w:rPr>
        <w:sz w:val="20"/>
        <w:szCs w:val="20"/>
      </w:rPr>
    </w:pPr>
    <w:r>
      <w:rPr>
        <w:sz w:val="20"/>
        <w:szCs w:val="20"/>
      </w:rPr>
      <w:t>E</w:t>
    </w:r>
    <w:r w:rsidRPr="00015C84">
      <w:rPr>
        <w:sz w:val="20"/>
        <w:szCs w:val="20"/>
      </w:rPr>
      <w:t>M</w:t>
    </w:r>
    <w:r>
      <w:rPr>
        <w:sz w:val="20"/>
        <w:szCs w:val="20"/>
      </w:rPr>
      <w:t>I</w:t>
    </w:r>
    <w:r w:rsidRPr="00015C84">
      <w:rPr>
        <w:sz w:val="20"/>
        <w:szCs w:val="20"/>
      </w:rPr>
      <w:t>zz_</w:t>
    </w:r>
    <w:r>
      <w:rPr>
        <w:sz w:val="20"/>
        <w:szCs w:val="20"/>
      </w:rPr>
      <w:t>04062021</w:t>
    </w:r>
    <w:r w:rsidRPr="00015C84">
      <w:rPr>
        <w:sz w:val="20"/>
        <w:szCs w:val="20"/>
      </w:rPr>
      <w:t>_</w:t>
    </w:r>
    <w:r>
      <w:rPr>
        <w:sz w:val="20"/>
        <w:szCs w:val="20"/>
      </w:rPr>
      <w:t xml:space="preserve">VSS510.docx; Izziņa par atzinumos sniegtajiem iebildumiem noteikumu projektam </w:t>
    </w:r>
    <w:r w:rsidRPr="003F6927">
      <w:rPr>
        <w:sz w:val="20"/>
        <w:szCs w:val="20"/>
      </w:rPr>
      <w:t xml:space="preserve">“Grozījumi Ministru kabineta 2017.gada 7.februāra noteikumos Nr. 78 "Dabasgāzes tirdzniecības un lietošanas noteikumi”” </w:t>
    </w:r>
    <w:r>
      <w:rPr>
        <w:sz w:val="20"/>
        <w:szCs w:val="20"/>
      </w:rPr>
      <w:t>(VSS-510)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0B855" w14:textId="77777777" w:rsidR="00DD75BA" w:rsidRDefault="00DD75BA">
      <w:r>
        <w:separator/>
      </w:r>
    </w:p>
  </w:footnote>
  <w:footnote w:type="continuationSeparator" w:id="0">
    <w:p w14:paraId="01E29CE7" w14:textId="77777777" w:rsidR="00DD75BA" w:rsidRDefault="00DD75BA">
      <w:r>
        <w:continuationSeparator/>
      </w:r>
    </w:p>
  </w:footnote>
  <w:footnote w:id="1">
    <w:p w14:paraId="428A7077" w14:textId="3E9FCA04" w:rsidR="00DD75BA" w:rsidRPr="003542E8" w:rsidRDefault="00DD75BA" w:rsidP="00460C43">
      <w:pPr>
        <w:pStyle w:val="FootnoteText"/>
        <w:rPr>
          <w:rFonts w:ascii="Times New Roman" w:hAnsi="Times New Roman" w:cs="Times New Roman"/>
          <w:lang w:val="lv-LV"/>
        </w:rPr>
      </w:pPr>
      <w:r w:rsidRPr="003542E8">
        <w:rPr>
          <w:rStyle w:val="FootnoteReference"/>
          <w:rFonts w:ascii="Times New Roman" w:hAnsi="Times New Roman" w:cs="Times New Roman"/>
        </w:rPr>
        <w:footnoteRef/>
      </w:r>
      <w:r w:rsidRPr="003542E8">
        <w:rPr>
          <w:rFonts w:ascii="Times New Roman" w:hAnsi="Times New Roman" w:cs="Times New Roman"/>
        </w:rPr>
        <w:t xml:space="preserve"> </w:t>
      </w:r>
      <w:r w:rsidRPr="003542E8">
        <w:rPr>
          <w:rFonts w:ascii="Times New Roman" w:hAnsi="Times New Roman" w:cs="Times New Roman"/>
          <w:lang w:val="lv-LV"/>
        </w:rPr>
        <w:t xml:space="preserve">Likuma </w:t>
      </w:r>
      <w:r>
        <w:rPr>
          <w:rFonts w:ascii="Times New Roman" w:hAnsi="Times New Roman" w:cs="Times New Roman"/>
          <w:lang w:val="lv-LV"/>
        </w:rPr>
        <w:t>“</w:t>
      </w:r>
      <w:r w:rsidRPr="003542E8">
        <w:rPr>
          <w:rFonts w:ascii="Times New Roman" w:hAnsi="Times New Roman" w:cs="Times New Roman"/>
          <w:lang w:val="lv-LV"/>
        </w:rPr>
        <w:t>Par sabiedrisko pakalpojumu regulatoriem</w:t>
      </w:r>
      <w:r>
        <w:rPr>
          <w:rFonts w:ascii="Times New Roman" w:hAnsi="Times New Roman" w:cs="Times New Roman"/>
          <w:lang w:val="lv-LV"/>
        </w:rPr>
        <w:t>”</w:t>
      </w:r>
      <w:r w:rsidRPr="003542E8">
        <w:rPr>
          <w:rFonts w:ascii="Times New Roman" w:hAnsi="Times New Roman" w:cs="Times New Roman"/>
          <w:lang w:val="lv-LV"/>
        </w:rPr>
        <w:t xml:space="preserve"> 16. panta piektā daļa</w:t>
      </w:r>
    </w:p>
  </w:footnote>
  <w:footnote w:id="2">
    <w:p w14:paraId="54096942" w14:textId="77777777" w:rsidR="00DD75BA" w:rsidRPr="003B3947" w:rsidRDefault="00DD75BA" w:rsidP="00460C43">
      <w:pPr>
        <w:pStyle w:val="FootnoteText"/>
        <w:rPr>
          <w:lang w:val="lv-LV"/>
        </w:rPr>
      </w:pPr>
      <w:r w:rsidRPr="00A8423F">
        <w:rPr>
          <w:rStyle w:val="FootnoteReference"/>
          <w:rFonts w:ascii="Times New Roman" w:hAnsi="Times New Roman" w:cs="Times New Roman"/>
        </w:rPr>
        <w:footnoteRef/>
      </w:r>
      <w:r w:rsidRPr="00A8423F">
        <w:rPr>
          <w:rFonts w:ascii="Times New Roman" w:hAnsi="Times New Roman" w:cs="Times New Roman"/>
        </w:rPr>
        <w:t xml:space="preserve"> </w:t>
      </w:r>
      <w:r w:rsidRPr="00A8423F">
        <w:rPr>
          <w:rFonts w:ascii="Times New Roman" w:hAnsi="Times New Roman" w:cs="Times New Roman"/>
          <w:lang w:val="lv-LV"/>
        </w:rPr>
        <w:t xml:space="preserve">Likuma </w:t>
      </w:r>
      <w:r>
        <w:rPr>
          <w:rFonts w:ascii="Times New Roman" w:hAnsi="Times New Roman" w:cs="Times New Roman"/>
          <w:lang w:val="lv-LV"/>
        </w:rPr>
        <w:t>"</w:t>
      </w:r>
      <w:r w:rsidRPr="00A8423F">
        <w:rPr>
          <w:rFonts w:ascii="Times New Roman" w:hAnsi="Times New Roman" w:cs="Times New Roman"/>
          <w:lang w:val="lv-LV"/>
        </w:rPr>
        <w:t>Par sabiedrisko pakalpojumu regulatoriem</w:t>
      </w:r>
      <w:r>
        <w:rPr>
          <w:rFonts w:ascii="Times New Roman" w:hAnsi="Times New Roman" w:cs="Times New Roman"/>
          <w:lang w:val="lv-LV"/>
        </w:rPr>
        <w:t>"</w:t>
      </w:r>
      <w:r w:rsidRPr="00A8423F">
        <w:rPr>
          <w:rFonts w:ascii="Times New Roman" w:hAnsi="Times New Roman" w:cs="Times New Roman"/>
          <w:lang w:val="lv-LV"/>
        </w:rPr>
        <w:t xml:space="preserve"> 16. panta pirmā daļa</w:t>
      </w:r>
    </w:p>
  </w:footnote>
  <w:footnote w:id="3">
    <w:p w14:paraId="1757DB95" w14:textId="77777777" w:rsidR="00DD75BA" w:rsidRPr="00A8423F" w:rsidRDefault="00DD75BA" w:rsidP="00460C43">
      <w:pPr>
        <w:pStyle w:val="FootnoteText"/>
        <w:rPr>
          <w:rFonts w:ascii="Times New Roman" w:hAnsi="Times New Roman" w:cs="Times New Roman"/>
          <w:lang w:val="lv-LV"/>
        </w:rPr>
      </w:pPr>
      <w:r w:rsidRPr="00A8423F">
        <w:rPr>
          <w:rStyle w:val="FootnoteReference"/>
          <w:rFonts w:ascii="Times New Roman" w:hAnsi="Times New Roman" w:cs="Times New Roman"/>
          <w:lang w:val="lv-LV"/>
        </w:rPr>
        <w:footnoteRef/>
      </w:r>
      <w:r w:rsidRPr="00A8423F">
        <w:rPr>
          <w:rFonts w:ascii="Times New Roman" w:hAnsi="Times New Roman" w:cs="Times New Roman"/>
          <w:lang w:val="lv-LV"/>
        </w:rPr>
        <w:t xml:space="preserve"> Enerģētikas likuma 15. panta septītā daļa</w:t>
      </w:r>
    </w:p>
  </w:footnote>
  <w:footnote w:id="4">
    <w:p w14:paraId="69967A8A" w14:textId="77777777" w:rsidR="00DD75BA" w:rsidRPr="00570D72" w:rsidRDefault="00DD75BA" w:rsidP="00CF6337">
      <w:pPr>
        <w:shd w:val="clear" w:color="auto" w:fill="FFFFFF"/>
        <w:jc w:val="both"/>
        <w:rPr>
          <w:sz w:val="16"/>
          <w:szCs w:val="16"/>
        </w:rPr>
      </w:pPr>
      <w:r w:rsidRPr="00570D72">
        <w:rPr>
          <w:rStyle w:val="FootnoteReference"/>
          <w:sz w:val="16"/>
          <w:szCs w:val="16"/>
        </w:rPr>
        <w:footnoteRef/>
      </w:r>
      <w:r w:rsidRPr="00570D72">
        <w:rPr>
          <w:sz w:val="16"/>
          <w:szCs w:val="16"/>
        </w:rPr>
        <w:t xml:space="preserve"> </w:t>
      </w:r>
      <w:r w:rsidRPr="00570D72">
        <w:rPr>
          <w:rFonts w:eastAsia="Calibri"/>
          <w:sz w:val="16"/>
          <w:szCs w:val="16"/>
          <w:lang w:eastAsia="ja-JP"/>
        </w:rPr>
        <w:t>Eiropas Parlamenta un Padomes regula (EK) Nr. 715/2009 (2009. gada 13. jūlijs) par nosacījumiem attiecībā uz piekļuvi dabasgāzes pārvades tīkliem un par Regulas (EK) Nr. 1775/2005 atcelšanu</w:t>
      </w:r>
      <w:r>
        <w:rPr>
          <w:rFonts w:eastAsia="Calibri"/>
          <w:sz w:val="16"/>
          <w:szCs w:val="16"/>
          <w:lang w:eastAsia="ja-JP"/>
        </w:rPr>
        <w:t>.</w:t>
      </w:r>
    </w:p>
  </w:footnote>
  <w:footnote w:id="5">
    <w:p w14:paraId="4CE7F83E" w14:textId="77777777" w:rsidR="00DD75BA" w:rsidRDefault="00DD75BA" w:rsidP="00CF6337">
      <w:pPr>
        <w:shd w:val="clear" w:color="auto" w:fill="FFFFFF"/>
        <w:jc w:val="both"/>
      </w:pPr>
      <w:r w:rsidRPr="00570D72">
        <w:rPr>
          <w:rStyle w:val="FootnoteReference"/>
          <w:sz w:val="16"/>
          <w:szCs w:val="16"/>
        </w:rPr>
        <w:footnoteRef/>
      </w:r>
      <w:r w:rsidRPr="00570D72">
        <w:rPr>
          <w:sz w:val="16"/>
          <w:szCs w:val="16"/>
        </w:rPr>
        <w:t xml:space="preserve"> </w:t>
      </w:r>
      <w:r w:rsidRPr="00570D72">
        <w:rPr>
          <w:rFonts w:eastAsia="Calibri"/>
          <w:sz w:val="16"/>
          <w:szCs w:val="16"/>
          <w:lang w:eastAsia="ja-JP"/>
        </w:rPr>
        <w:t>Komisijas regula (ES) 2015/703 (2015. gada 30. aprīlis), ar ko izveido tīkla kodeksu par sadarbspējas un datu apmaiņas noteikumiem</w:t>
      </w:r>
      <w:r>
        <w:rPr>
          <w:rFonts w:eastAsia="Calibri"/>
          <w:sz w:val="16"/>
          <w:szCs w:val="16"/>
          <w:lang w:eastAsia="ja-JP"/>
        </w:rPr>
        <w:t>.</w:t>
      </w:r>
    </w:p>
  </w:footnote>
  <w:footnote w:id="6">
    <w:p w14:paraId="7E0E34DB" w14:textId="77777777" w:rsidR="00DD75BA" w:rsidRPr="00A41987" w:rsidRDefault="00DD75BA" w:rsidP="0018025F">
      <w:pPr>
        <w:pStyle w:val="FootnoteText"/>
        <w:jc w:val="both"/>
        <w:rPr>
          <w:rFonts w:ascii="Times New Roman" w:hAnsi="Times New Roman" w:cs="Times New Roman"/>
          <w:lang w:val="lv-LV"/>
        </w:rPr>
      </w:pPr>
      <w:r w:rsidRPr="00A41987">
        <w:rPr>
          <w:rStyle w:val="FootnoteReference"/>
          <w:rFonts w:ascii="Times New Roman" w:hAnsi="Times New Roman" w:cs="Times New Roman"/>
        </w:rPr>
        <w:footnoteRef/>
      </w:r>
      <w:r w:rsidRPr="00A41987">
        <w:rPr>
          <w:rFonts w:ascii="Times New Roman" w:hAnsi="Times New Roman" w:cs="Times New Roman"/>
          <w:lang w:val="lv-LV"/>
        </w:rPr>
        <w:t xml:space="preserve"> Kurināmais Enerģētikas likuma 1. panta 23. punktā definēts kā noteikti produkti, kurus sadedzina enerģijas iegūšanai. Šāda definīcija ietver plašu iegūtās enerģijas pielietojumu, bet Sabiedrības ieskatā, konkrētajā situācijā iegūtās enerģijas pielietojums būtu ierobežojams ar patērēšanu tikai lietotāja paša vajadzībām.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6876" w14:textId="021C399D" w:rsidR="00DD75BA" w:rsidRDefault="00DD75BA" w:rsidP="00435AA2">
    <w:pPr>
      <w:pStyle w:val="Header"/>
      <w:framePr w:wrap="around" w:vAnchor="text" w:hAnchor="margin" w:xAlign="center" w:y="1"/>
      <w:jc w:val="both"/>
      <w:rPr>
        <w:rStyle w:val="PageNumber"/>
      </w:rPr>
    </w:pPr>
    <w:r>
      <w:rPr>
        <w:rStyle w:val="PageNumber"/>
      </w:rPr>
      <w:fldChar w:fldCharType="begin"/>
    </w:r>
    <w:r>
      <w:rPr>
        <w:rStyle w:val="PageNumber"/>
      </w:rPr>
      <w:instrText xml:space="preserve">PAGE  </w:instrText>
    </w:r>
    <w:r>
      <w:rPr>
        <w:rStyle w:val="PageNumber"/>
      </w:rPr>
      <w:fldChar w:fldCharType="end"/>
    </w:r>
  </w:p>
  <w:p w14:paraId="1D416E61" w14:textId="77777777" w:rsidR="00DD75BA" w:rsidRDefault="00DD75BA" w:rsidP="00435AA2">
    <w:pPr>
      <w:pStyle w:val="Header"/>
      <w:jc w:val="both"/>
    </w:pPr>
  </w:p>
  <w:p w14:paraId="3F92621A" w14:textId="77777777" w:rsidR="00DD75BA" w:rsidRDefault="00DD75BA" w:rsidP="00086289">
    <w:pPr>
      <w:pStyle w:val="Header"/>
      <w:jc w:val="both"/>
    </w:pPr>
  </w:p>
  <w:p w14:paraId="0A48604D" w14:textId="77777777" w:rsidR="00DD75BA" w:rsidRDefault="00DD7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530666"/>
      <w:docPartObj>
        <w:docPartGallery w:val="Page Numbers (Top of Page)"/>
        <w:docPartUnique/>
      </w:docPartObj>
    </w:sdtPr>
    <w:sdtEndPr>
      <w:rPr>
        <w:noProof/>
        <w:sz w:val="20"/>
      </w:rPr>
    </w:sdtEndPr>
    <w:sdtContent>
      <w:p w14:paraId="16C32F4E" w14:textId="1E9DF95A" w:rsidR="00DD75BA" w:rsidRPr="006D2C00" w:rsidRDefault="00DD75BA">
        <w:pPr>
          <w:pStyle w:val="Header"/>
          <w:jc w:val="center"/>
          <w:rPr>
            <w:sz w:val="20"/>
          </w:rPr>
        </w:pPr>
        <w:r w:rsidRPr="006D2C00">
          <w:rPr>
            <w:sz w:val="20"/>
          </w:rPr>
          <w:fldChar w:fldCharType="begin"/>
        </w:r>
        <w:r w:rsidRPr="006D2C00">
          <w:rPr>
            <w:sz w:val="20"/>
          </w:rPr>
          <w:instrText xml:space="preserve"> PAGE   \* MERGEFORMAT </w:instrText>
        </w:r>
        <w:r w:rsidRPr="006D2C00">
          <w:rPr>
            <w:sz w:val="20"/>
          </w:rPr>
          <w:fldChar w:fldCharType="separate"/>
        </w:r>
        <w:r w:rsidRPr="006D2C00">
          <w:rPr>
            <w:noProof/>
            <w:sz w:val="20"/>
          </w:rPr>
          <w:t>2</w:t>
        </w:r>
        <w:r w:rsidRPr="006D2C00">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240A2E"/>
    <w:multiLevelType w:val="hybridMultilevel"/>
    <w:tmpl w:val="5C3CE0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3566AF"/>
    <w:multiLevelType w:val="hybridMultilevel"/>
    <w:tmpl w:val="78D2A29E"/>
    <w:lvl w:ilvl="0" w:tplc="EC80B36A">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3" w15:restartNumberingAfterBreak="0">
    <w:nsid w:val="130671A7"/>
    <w:multiLevelType w:val="hybridMultilevel"/>
    <w:tmpl w:val="BB0683CC"/>
    <w:lvl w:ilvl="0" w:tplc="38B005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11012C"/>
    <w:multiLevelType w:val="hybridMultilevel"/>
    <w:tmpl w:val="3EA4A2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8C91ED9"/>
    <w:multiLevelType w:val="hybridMultilevel"/>
    <w:tmpl w:val="FBC8CE68"/>
    <w:lvl w:ilvl="0" w:tplc="A05A35D0">
      <w:start w:val="2"/>
      <w:numFmt w:val="bullet"/>
      <w:lvlText w:val="-"/>
      <w:lvlJc w:val="left"/>
      <w:pPr>
        <w:ind w:left="720" w:hanging="360"/>
      </w:pPr>
      <w:rPr>
        <w:rFonts w:ascii="Montserrat" w:eastAsia="Calibri" w:hAnsi="Montserrat"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610055"/>
    <w:multiLevelType w:val="hybridMultilevel"/>
    <w:tmpl w:val="66380274"/>
    <w:lvl w:ilvl="0" w:tplc="0426000F">
      <w:start w:val="1"/>
      <w:numFmt w:val="decimal"/>
      <w:lvlText w:val="%1."/>
      <w:lvlJc w:val="left"/>
      <w:pPr>
        <w:ind w:left="720" w:hanging="360"/>
      </w:pPr>
    </w:lvl>
    <w:lvl w:ilvl="1" w:tplc="04260017">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A428E6"/>
    <w:multiLevelType w:val="hybridMultilevel"/>
    <w:tmpl w:val="78D2A29E"/>
    <w:lvl w:ilvl="0" w:tplc="EC80B36A">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8" w15:restartNumberingAfterBreak="0">
    <w:nsid w:val="313F71FE"/>
    <w:multiLevelType w:val="hybridMultilevel"/>
    <w:tmpl w:val="EE8ADDFC"/>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17E5A15"/>
    <w:multiLevelType w:val="hybridMultilevel"/>
    <w:tmpl w:val="2B8605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3A269E8"/>
    <w:multiLevelType w:val="multilevel"/>
    <w:tmpl w:val="071621C0"/>
    <w:lvl w:ilvl="0">
      <w:start w:val="1"/>
      <w:numFmt w:val="decimal"/>
      <w:lvlText w:val="%1."/>
      <w:lvlJc w:val="left"/>
      <w:pPr>
        <w:ind w:left="1070" w:hanging="360"/>
      </w:pPr>
      <w:rPr>
        <w:rFonts w:ascii="Times New Roman" w:eastAsia="Times New Roman" w:hAnsi="Times New Roman" w:cs="Times New Roman"/>
        <w:b w:val="0"/>
        <w:sz w:val="24"/>
        <w:szCs w:val="24"/>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1" w15:restartNumberingAfterBreak="0">
    <w:nsid w:val="484D79F1"/>
    <w:multiLevelType w:val="hybridMultilevel"/>
    <w:tmpl w:val="6C0682E4"/>
    <w:lvl w:ilvl="0" w:tplc="BE44E096">
      <w:start w:val="1"/>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1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6438DB"/>
    <w:multiLevelType w:val="hybridMultilevel"/>
    <w:tmpl w:val="CC9AE6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A17FE1"/>
    <w:multiLevelType w:val="hybridMultilevel"/>
    <w:tmpl w:val="11066FBC"/>
    <w:lvl w:ilvl="0" w:tplc="D2246E54">
      <w:start w:val="1"/>
      <w:numFmt w:val="decimal"/>
      <w:lvlText w:val="%1)"/>
      <w:lvlJc w:val="left"/>
      <w:pPr>
        <w:ind w:left="1143" w:hanging="43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6" w15:restartNumberingAfterBreak="0">
    <w:nsid w:val="603929E9"/>
    <w:multiLevelType w:val="hybridMultilevel"/>
    <w:tmpl w:val="BD98F6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45D0826"/>
    <w:multiLevelType w:val="hybridMultilevel"/>
    <w:tmpl w:val="83E0C8DC"/>
    <w:lvl w:ilvl="0" w:tplc="D2246E54">
      <w:start w:val="1"/>
      <w:numFmt w:val="decimal"/>
      <w:lvlText w:val="%1)"/>
      <w:lvlJc w:val="left"/>
      <w:pPr>
        <w:ind w:left="1143" w:hanging="43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A5418A"/>
    <w:multiLevelType w:val="hybridMultilevel"/>
    <w:tmpl w:val="31A4C99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6E590D"/>
    <w:multiLevelType w:val="hybridMultilevel"/>
    <w:tmpl w:val="375E6778"/>
    <w:lvl w:ilvl="0" w:tplc="231426B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73015040"/>
    <w:multiLevelType w:val="hybridMultilevel"/>
    <w:tmpl w:val="BCA6B394"/>
    <w:lvl w:ilvl="0" w:tplc="E18A1A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18"/>
  </w:num>
  <w:num w:numId="4">
    <w:abstractNumId w:val="13"/>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6"/>
  </w:num>
  <w:num w:numId="15">
    <w:abstractNumId w:val="14"/>
  </w:num>
  <w:num w:numId="16">
    <w:abstractNumId w:val="20"/>
  </w:num>
  <w:num w:numId="17">
    <w:abstractNumId w:val="17"/>
  </w:num>
  <w:num w:numId="18">
    <w:abstractNumId w:val="15"/>
  </w:num>
  <w:num w:numId="19">
    <w:abstractNumId w:val="3"/>
  </w:num>
  <w:num w:numId="20">
    <w:abstractNumId w:val="11"/>
  </w:num>
  <w:num w:numId="21">
    <w:abstractNumId w:val="21"/>
  </w:num>
  <w:num w:numId="22">
    <w:abstractNumId w:val="6"/>
  </w:num>
  <w:num w:numId="23">
    <w:abstractNumId w:val="5"/>
  </w:num>
  <w:num w:numId="24">
    <w:abstractNumId w:val="0"/>
  </w:num>
  <w:num w:numId="25">
    <w:abstractNumId w:val="7"/>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1D6"/>
    <w:rsid w:val="00001B58"/>
    <w:rsid w:val="00001F89"/>
    <w:rsid w:val="00003C53"/>
    <w:rsid w:val="00004230"/>
    <w:rsid w:val="0000456E"/>
    <w:rsid w:val="000045B5"/>
    <w:rsid w:val="000055EA"/>
    <w:rsid w:val="00005EC0"/>
    <w:rsid w:val="000067BF"/>
    <w:rsid w:val="00006BF1"/>
    <w:rsid w:val="0001118D"/>
    <w:rsid w:val="0001131F"/>
    <w:rsid w:val="00011663"/>
    <w:rsid w:val="0001249F"/>
    <w:rsid w:val="000125C0"/>
    <w:rsid w:val="0001270C"/>
    <w:rsid w:val="000136AA"/>
    <w:rsid w:val="00013B4C"/>
    <w:rsid w:val="00013BF6"/>
    <w:rsid w:val="00013F4A"/>
    <w:rsid w:val="0001554C"/>
    <w:rsid w:val="00015B94"/>
    <w:rsid w:val="00015C84"/>
    <w:rsid w:val="00015DE5"/>
    <w:rsid w:val="0001716C"/>
    <w:rsid w:val="000172E2"/>
    <w:rsid w:val="00017449"/>
    <w:rsid w:val="00017DAA"/>
    <w:rsid w:val="000201A4"/>
    <w:rsid w:val="00020249"/>
    <w:rsid w:val="000205D6"/>
    <w:rsid w:val="0002141D"/>
    <w:rsid w:val="00021D67"/>
    <w:rsid w:val="00022338"/>
    <w:rsid w:val="0002296A"/>
    <w:rsid w:val="00022B0F"/>
    <w:rsid w:val="00022B9A"/>
    <w:rsid w:val="00023FD6"/>
    <w:rsid w:val="0002416A"/>
    <w:rsid w:val="00024CCD"/>
    <w:rsid w:val="00024D20"/>
    <w:rsid w:val="000253DB"/>
    <w:rsid w:val="000278E7"/>
    <w:rsid w:val="00027A63"/>
    <w:rsid w:val="00027F9D"/>
    <w:rsid w:val="00030234"/>
    <w:rsid w:val="000307B5"/>
    <w:rsid w:val="00032457"/>
    <w:rsid w:val="00032D67"/>
    <w:rsid w:val="0003413A"/>
    <w:rsid w:val="000349CA"/>
    <w:rsid w:val="0003503B"/>
    <w:rsid w:val="0003557A"/>
    <w:rsid w:val="00035C06"/>
    <w:rsid w:val="000366DF"/>
    <w:rsid w:val="000376CD"/>
    <w:rsid w:val="00040A5C"/>
    <w:rsid w:val="00043005"/>
    <w:rsid w:val="0004345F"/>
    <w:rsid w:val="00044026"/>
    <w:rsid w:val="00044456"/>
    <w:rsid w:val="000456AF"/>
    <w:rsid w:val="00046075"/>
    <w:rsid w:val="00046CAD"/>
    <w:rsid w:val="00046F5C"/>
    <w:rsid w:val="00047385"/>
    <w:rsid w:val="00047918"/>
    <w:rsid w:val="00050554"/>
    <w:rsid w:val="000511DD"/>
    <w:rsid w:val="00052137"/>
    <w:rsid w:val="00053706"/>
    <w:rsid w:val="00053E04"/>
    <w:rsid w:val="000554E2"/>
    <w:rsid w:val="00055841"/>
    <w:rsid w:val="00055D01"/>
    <w:rsid w:val="000579E6"/>
    <w:rsid w:val="00060596"/>
    <w:rsid w:val="00060E03"/>
    <w:rsid w:val="000626BD"/>
    <w:rsid w:val="000641CE"/>
    <w:rsid w:val="00065271"/>
    <w:rsid w:val="000657A8"/>
    <w:rsid w:val="00066176"/>
    <w:rsid w:val="0006618D"/>
    <w:rsid w:val="00066885"/>
    <w:rsid w:val="0006694E"/>
    <w:rsid w:val="00066A37"/>
    <w:rsid w:val="00066F05"/>
    <w:rsid w:val="00070BF0"/>
    <w:rsid w:val="00072628"/>
    <w:rsid w:val="0007266C"/>
    <w:rsid w:val="000728ED"/>
    <w:rsid w:val="000733F5"/>
    <w:rsid w:val="000733FF"/>
    <w:rsid w:val="00073A81"/>
    <w:rsid w:val="00073E79"/>
    <w:rsid w:val="000746DB"/>
    <w:rsid w:val="0007577A"/>
    <w:rsid w:val="000759FC"/>
    <w:rsid w:val="00076773"/>
    <w:rsid w:val="000775D0"/>
    <w:rsid w:val="00081B0F"/>
    <w:rsid w:val="0008283D"/>
    <w:rsid w:val="00083090"/>
    <w:rsid w:val="00083214"/>
    <w:rsid w:val="0008323C"/>
    <w:rsid w:val="00083565"/>
    <w:rsid w:val="00083B8F"/>
    <w:rsid w:val="00084B11"/>
    <w:rsid w:val="00084B5B"/>
    <w:rsid w:val="00085322"/>
    <w:rsid w:val="00086289"/>
    <w:rsid w:val="0008656F"/>
    <w:rsid w:val="00086AB9"/>
    <w:rsid w:val="00086BCE"/>
    <w:rsid w:val="00086F36"/>
    <w:rsid w:val="00090168"/>
    <w:rsid w:val="00090903"/>
    <w:rsid w:val="00090C76"/>
    <w:rsid w:val="00091033"/>
    <w:rsid w:val="00091F10"/>
    <w:rsid w:val="0009302B"/>
    <w:rsid w:val="00093EC2"/>
    <w:rsid w:val="000958A2"/>
    <w:rsid w:val="000965E7"/>
    <w:rsid w:val="000A0041"/>
    <w:rsid w:val="000A06FC"/>
    <w:rsid w:val="000A1A02"/>
    <w:rsid w:val="000A4035"/>
    <w:rsid w:val="000A483A"/>
    <w:rsid w:val="000A4B46"/>
    <w:rsid w:val="000A55D2"/>
    <w:rsid w:val="000A64D3"/>
    <w:rsid w:val="000A6FB0"/>
    <w:rsid w:val="000A77B9"/>
    <w:rsid w:val="000A7EA7"/>
    <w:rsid w:val="000B0403"/>
    <w:rsid w:val="000B057B"/>
    <w:rsid w:val="000B06E7"/>
    <w:rsid w:val="000B0C94"/>
    <w:rsid w:val="000B0F6A"/>
    <w:rsid w:val="000B15E5"/>
    <w:rsid w:val="000B2382"/>
    <w:rsid w:val="000B2778"/>
    <w:rsid w:val="000B27D2"/>
    <w:rsid w:val="000B30E4"/>
    <w:rsid w:val="000B3171"/>
    <w:rsid w:val="000B34A5"/>
    <w:rsid w:val="000B4746"/>
    <w:rsid w:val="000B7966"/>
    <w:rsid w:val="000B7CB1"/>
    <w:rsid w:val="000C0AE6"/>
    <w:rsid w:val="000C0D0D"/>
    <w:rsid w:val="000C2555"/>
    <w:rsid w:val="000C2709"/>
    <w:rsid w:val="000C3545"/>
    <w:rsid w:val="000C498A"/>
    <w:rsid w:val="000C4C16"/>
    <w:rsid w:val="000C56FC"/>
    <w:rsid w:val="000C774B"/>
    <w:rsid w:val="000C7907"/>
    <w:rsid w:val="000C7A11"/>
    <w:rsid w:val="000C7F5E"/>
    <w:rsid w:val="000D00AC"/>
    <w:rsid w:val="000D0AED"/>
    <w:rsid w:val="000D18BA"/>
    <w:rsid w:val="000D3602"/>
    <w:rsid w:val="000D4D89"/>
    <w:rsid w:val="000D6BBD"/>
    <w:rsid w:val="000D7751"/>
    <w:rsid w:val="000D7C23"/>
    <w:rsid w:val="000E00A7"/>
    <w:rsid w:val="000E04B6"/>
    <w:rsid w:val="000E0A16"/>
    <w:rsid w:val="000E1BFA"/>
    <w:rsid w:val="000E2142"/>
    <w:rsid w:val="000E21D0"/>
    <w:rsid w:val="000E2A38"/>
    <w:rsid w:val="000E2ACC"/>
    <w:rsid w:val="000E2D0A"/>
    <w:rsid w:val="000E34D4"/>
    <w:rsid w:val="000E5509"/>
    <w:rsid w:val="000E585F"/>
    <w:rsid w:val="000E5C83"/>
    <w:rsid w:val="000E66F8"/>
    <w:rsid w:val="000F054F"/>
    <w:rsid w:val="000F079D"/>
    <w:rsid w:val="000F0D9D"/>
    <w:rsid w:val="000F1D56"/>
    <w:rsid w:val="000F2534"/>
    <w:rsid w:val="000F28D9"/>
    <w:rsid w:val="000F2D43"/>
    <w:rsid w:val="000F2F9A"/>
    <w:rsid w:val="000F3AA0"/>
    <w:rsid w:val="000F4AA5"/>
    <w:rsid w:val="000F4AEB"/>
    <w:rsid w:val="000F4B40"/>
    <w:rsid w:val="000F4C3B"/>
    <w:rsid w:val="000F4E7B"/>
    <w:rsid w:val="000F57C3"/>
    <w:rsid w:val="000F5C37"/>
    <w:rsid w:val="000F5DF0"/>
    <w:rsid w:val="000F6A0B"/>
    <w:rsid w:val="000F7695"/>
    <w:rsid w:val="0010008E"/>
    <w:rsid w:val="001000C2"/>
    <w:rsid w:val="001012E3"/>
    <w:rsid w:val="00101EEB"/>
    <w:rsid w:val="0010231D"/>
    <w:rsid w:val="0010375A"/>
    <w:rsid w:val="001038ED"/>
    <w:rsid w:val="001042B0"/>
    <w:rsid w:val="001063CA"/>
    <w:rsid w:val="00106BBF"/>
    <w:rsid w:val="00106BEE"/>
    <w:rsid w:val="00106D70"/>
    <w:rsid w:val="00106F4F"/>
    <w:rsid w:val="001071D3"/>
    <w:rsid w:val="001075A8"/>
    <w:rsid w:val="00107FD6"/>
    <w:rsid w:val="00110259"/>
    <w:rsid w:val="00110AA9"/>
    <w:rsid w:val="00111A7B"/>
    <w:rsid w:val="0011254D"/>
    <w:rsid w:val="00113292"/>
    <w:rsid w:val="001139C2"/>
    <w:rsid w:val="00114559"/>
    <w:rsid w:val="00114EA9"/>
    <w:rsid w:val="00115ED0"/>
    <w:rsid w:val="0011683C"/>
    <w:rsid w:val="001179E8"/>
    <w:rsid w:val="0012021B"/>
    <w:rsid w:val="0012222D"/>
    <w:rsid w:val="0012410A"/>
    <w:rsid w:val="001255E6"/>
    <w:rsid w:val="0012703B"/>
    <w:rsid w:val="0013053A"/>
    <w:rsid w:val="0013066A"/>
    <w:rsid w:val="0013086D"/>
    <w:rsid w:val="001313A2"/>
    <w:rsid w:val="001315EF"/>
    <w:rsid w:val="00131F39"/>
    <w:rsid w:val="00132375"/>
    <w:rsid w:val="00132E73"/>
    <w:rsid w:val="00133505"/>
    <w:rsid w:val="00134188"/>
    <w:rsid w:val="00134F06"/>
    <w:rsid w:val="0013543A"/>
    <w:rsid w:val="00136AA2"/>
    <w:rsid w:val="00137403"/>
    <w:rsid w:val="00140145"/>
    <w:rsid w:val="00140706"/>
    <w:rsid w:val="0014122A"/>
    <w:rsid w:val="00141E85"/>
    <w:rsid w:val="0014319C"/>
    <w:rsid w:val="001436B3"/>
    <w:rsid w:val="00143976"/>
    <w:rsid w:val="00143DAC"/>
    <w:rsid w:val="00144622"/>
    <w:rsid w:val="00144781"/>
    <w:rsid w:val="00144917"/>
    <w:rsid w:val="001450AC"/>
    <w:rsid w:val="00145475"/>
    <w:rsid w:val="0014702D"/>
    <w:rsid w:val="00147596"/>
    <w:rsid w:val="001510B9"/>
    <w:rsid w:val="00151CFA"/>
    <w:rsid w:val="00152718"/>
    <w:rsid w:val="00152CAD"/>
    <w:rsid w:val="001530CF"/>
    <w:rsid w:val="00153B55"/>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65E"/>
    <w:rsid w:val="00166746"/>
    <w:rsid w:val="00167590"/>
    <w:rsid w:val="00167918"/>
    <w:rsid w:val="00167C1E"/>
    <w:rsid w:val="00170164"/>
    <w:rsid w:val="0017043B"/>
    <w:rsid w:val="001706A1"/>
    <w:rsid w:val="00170914"/>
    <w:rsid w:val="00170DF2"/>
    <w:rsid w:val="00172181"/>
    <w:rsid w:val="00174487"/>
    <w:rsid w:val="0017473B"/>
    <w:rsid w:val="00174841"/>
    <w:rsid w:val="00175D6C"/>
    <w:rsid w:val="001761FD"/>
    <w:rsid w:val="00177A47"/>
    <w:rsid w:val="00177D61"/>
    <w:rsid w:val="00180125"/>
    <w:rsid w:val="0018025F"/>
    <w:rsid w:val="001808CA"/>
    <w:rsid w:val="00180923"/>
    <w:rsid w:val="00180CE5"/>
    <w:rsid w:val="00181BAA"/>
    <w:rsid w:val="00181D2D"/>
    <w:rsid w:val="0018210A"/>
    <w:rsid w:val="0018274D"/>
    <w:rsid w:val="00182DE0"/>
    <w:rsid w:val="0018386C"/>
    <w:rsid w:val="00184479"/>
    <w:rsid w:val="0018472C"/>
    <w:rsid w:val="00184838"/>
    <w:rsid w:val="00185755"/>
    <w:rsid w:val="00187398"/>
    <w:rsid w:val="00187F73"/>
    <w:rsid w:val="00187FB0"/>
    <w:rsid w:val="001902E9"/>
    <w:rsid w:val="00190327"/>
    <w:rsid w:val="00190A0A"/>
    <w:rsid w:val="00190D2F"/>
    <w:rsid w:val="00191519"/>
    <w:rsid w:val="001926F2"/>
    <w:rsid w:val="00193BCE"/>
    <w:rsid w:val="0019414F"/>
    <w:rsid w:val="00194441"/>
    <w:rsid w:val="00194B87"/>
    <w:rsid w:val="0019569A"/>
    <w:rsid w:val="00195962"/>
    <w:rsid w:val="00196FAB"/>
    <w:rsid w:val="00197533"/>
    <w:rsid w:val="0019757F"/>
    <w:rsid w:val="001977E7"/>
    <w:rsid w:val="00197CCA"/>
    <w:rsid w:val="001A0D8A"/>
    <w:rsid w:val="001A0F14"/>
    <w:rsid w:val="001A1312"/>
    <w:rsid w:val="001A192D"/>
    <w:rsid w:val="001A45B5"/>
    <w:rsid w:val="001A7C72"/>
    <w:rsid w:val="001B084B"/>
    <w:rsid w:val="001B0C2D"/>
    <w:rsid w:val="001B0CEC"/>
    <w:rsid w:val="001B0FFC"/>
    <w:rsid w:val="001B10F0"/>
    <w:rsid w:val="001B1CF2"/>
    <w:rsid w:val="001B3752"/>
    <w:rsid w:val="001B3C02"/>
    <w:rsid w:val="001B4388"/>
    <w:rsid w:val="001B463E"/>
    <w:rsid w:val="001B49E0"/>
    <w:rsid w:val="001B5377"/>
    <w:rsid w:val="001B53DF"/>
    <w:rsid w:val="001B57CB"/>
    <w:rsid w:val="001B6553"/>
    <w:rsid w:val="001B6647"/>
    <w:rsid w:val="001B6A47"/>
    <w:rsid w:val="001B6B0A"/>
    <w:rsid w:val="001B6C3C"/>
    <w:rsid w:val="001C0824"/>
    <w:rsid w:val="001C0B83"/>
    <w:rsid w:val="001C1510"/>
    <w:rsid w:val="001C1989"/>
    <w:rsid w:val="001C21CC"/>
    <w:rsid w:val="001C225F"/>
    <w:rsid w:val="001C228D"/>
    <w:rsid w:val="001C28FD"/>
    <w:rsid w:val="001C3349"/>
    <w:rsid w:val="001C4ABA"/>
    <w:rsid w:val="001C546B"/>
    <w:rsid w:val="001C54F6"/>
    <w:rsid w:val="001C5EA2"/>
    <w:rsid w:val="001C62F6"/>
    <w:rsid w:val="001C64F0"/>
    <w:rsid w:val="001C6608"/>
    <w:rsid w:val="001C6C7D"/>
    <w:rsid w:val="001D1CB1"/>
    <w:rsid w:val="001D2AC0"/>
    <w:rsid w:val="001D2DBA"/>
    <w:rsid w:val="001D2FD0"/>
    <w:rsid w:val="001D3830"/>
    <w:rsid w:val="001D3BA6"/>
    <w:rsid w:val="001D4B78"/>
    <w:rsid w:val="001D5564"/>
    <w:rsid w:val="001D6FAA"/>
    <w:rsid w:val="001D70FA"/>
    <w:rsid w:val="001D7AE5"/>
    <w:rsid w:val="001D7BA9"/>
    <w:rsid w:val="001E039D"/>
    <w:rsid w:val="001E22E7"/>
    <w:rsid w:val="001E2714"/>
    <w:rsid w:val="001E2A94"/>
    <w:rsid w:val="001E398C"/>
    <w:rsid w:val="001E4456"/>
    <w:rsid w:val="001E4DDC"/>
    <w:rsid w:val="001E51E3"/>
    <w:rsid w:val="001E5D99"/>
    <w:rsid w:val="001E5DAB"/>
    <w:rsid w:val="001E60DA"/>
    <w:rsid w:val="001E774F"/>
    <w:rsid w:val="001E7C1D"/>
    <w:rsid w:val="001F073F"/>
    <w:rsid w:val="001F0766"/>
    <w:rsid w:val="001F223A"/>
    <w:rsid w:val="001F2BEC"/>
    <w:rsid w:val="001F3009"/>
    <w:rsid w:val="001F3358"/>
    <w:rsid w:val="001F35CB"/>
    <w:rsid w:val="001F390F"/>
    <w:rsid w:val="001F3C7A"/>
    <w:rsid w:val="001F5CD1"/>
    <w:rsid w:val="001F7257"/>
    <w:rsid w:val="001F7739"/>
    <w:rsid w:val="0020011B"/>
    <w:rsid w:val="0020187E"/>
    <w:rsid w:val="00201CA9"/>
    <w:rsid w:val="00201DC6"/>
    <w:rsid w:val="00202375"/>
    <w:rsid w:val="002025EA"/>
    <w:rsid w:val="00202884"/>
    <w:rsid w:val="00202E44"/>
    <w:rsid w:val="00203556"/>
    <w:rsid w:val="00203D4D"/>
    <w:rsid w:val="00204D0F"/>
    <w:rsid w:val="00204DB6"/>
    <w:rsid w:val="002056ED"/>
    <w:rsid w:val="00205C3A"/>
    <w:rsid w:val="00205F57"/>
    <w:rsid w:val="00207AD0"/>
    <w:rsid w:val="00207E1A"/>
    <w:rsid w:val="00211793"/>
    <w:rsid w:val="00211B1A"/>
    <w:rsid w:val="00211C11"/>
    <w:rsid w:val="00212345"/>
    <w:rsid w:val="00214381"/>
    <w:rsid w:val="00214809"/>
    <w:rsid w:val="002149A1"/>
    <w:rsid w:val="00214E7A"/>
    <w:rsid w:val="00215111"/>
    <w:rsid w:val="00215BFE"/>
    <w:rsid w:val="00215C44"/>
    <w:rsid w:val="00216BD5"/>
    <w:rsid w:val="00216E73"/>
    <w:rsid w:val="0021774C"/>
    <w:rsid w:val="00217FF6"/>
    <w:rsid w:val="00222386"/>
    <w:rsid w:val="00222F51"/>
    <w:rsid w:val="002230E1"/>
    <w:rsid w:val="00223361"/>
    <w:rsid w:val="0022390C"/>
    <w:rsid w:val="002244BA"/>
    <w:rsid w:val="0022477D"/>
    <w:rsid w:val="002247AA"/>
    <w:rsid w:val="00224DA7"/>
    <w:rsid w:val="002261CB"/>
    <w:rsid w:val="002268BF"/>
    <w:rsid w:val="0022776E"/>
    <w:rsid w:val="00227BDE"/>
    <w:rsid w:val="00230045"/>
    <w:rsid w:val="0023014E"/>
    <w:rsid w:val="002305B1"/>
    <w:rsid w:val="002308FA"/>
    <w:rsid w:val="0023132F"/>
    <w:rsid w:val="00231AA5"/>
    <w:rsid w:val="00232F90"/>
    <w:rsid w:val="0023339B"/>
    <w:rsid w:val="0023469C"/>
    <w:rsid w:val="00234C71"/>
    <w:rsid w:val="00235511"/>
    <w:rsid w:val="0023573B"/>
    <w:rsid w:val="002366E0"/>
    <w:rsid w:val="00236DE1"/>
    <w:rsid w:val="002372EE"/>
    <w:rsid w:val="002372FD"/>
    <w:rsid w:val="0023764D"/>
    <w:rsid w:val="002415BC"/>
    <w:rsid w:val="002434B2"/>
    <w:rsid w:val="002442F4"/>
    <w:rsid w:val="002445EA"/>
    <w:rsid w:val="00244DE1"/>
    <w:rsid w:val="00244ECE"/>
    <w:rsid w:val="00244FC5"/>
    <w:rsid w:val="00245D1D"/>
    <w:rsid w:val="002464BA"/>
    <w:rsid w:val="00247599"/>
    <w:rsid w:val="00250EDA"/>
    <w:rsid w:val="00251502"/>
    <w:rsid w:val="002518E8"/>
    <w:rsid w:val="00251C10"/>
    <w:rsid w:val="00252762"/>
    <w:rsid w:val="00252E1E"/>
    <w:rsid w:val="00253671"/>
    <w:rsid w:val="002538BA"/>
    <w:rsid w:val="0025469D"/>
    <w:rsid w:val="002552B1"/>
    <w:rsid w:val="00255A44"/>
    <w:rsid w:val="00255D01"/>
    <w:rsid w:val="00256E55"/>
    <w:rsid w:val="00257217"/>
    <w:rsid w:val="002576D4"/>
    <w:rsid w:val="00257E0E"/>
    <w:rsid w:val="00257FF4"/>
    <w:rsid w:val="00260FCB"/>
    <w:rsid w:val="002615F5"/>
    <w:rsid w:val="002616B9"/>
    <w:rsid w:val="00262122"/>
    <w:rsid w:val="0026217B"/>
    <w:rsid w:val="00262494"/>
    <w:rsid w:val="002629E4"/>
    <w:rsid w:val="0026321E"/>
    <w:rsid w:val="002636B6"/>
    <w:rsid w:val="00263FE3"/>
    <w:rsid w:val="00265593"/>
    <w:rsid w:val="00266875"/>
    <w:rsid w:val="002675EA"/>
    <w:rsid w:val="00267BC5"/>
    <w:rsid w:val="00267CBE"/>
    <w:rsid w:val="00267E0B"/>
    <w:rsid w:val="00270680"/>
    <w:rsid w:val="00271103"/>
    <w:rsid w:val="002721FA"/>
    <w:rsid w:val="0027230C"/>
    <w:rsid w:val="00272B99"/>
    <w:rsid w:val="0027380D"/>
    <w:rsid w:val="00273F27"/>
    <w:rsid w:val="00274315"/>
    <w:rsid w:val="0027468E"/>
    <w:rsid w:val="00274826"/>
    <w:rsid w:val="00275005"/>
    <w:rsid w:val="002752AB"/>
    <w:rsid w:val="002756D6"/>
    <w:rsid w:val="0027573C"/>
    <w:rsid w:val="00275A4E"/>
    <w:rsid w:val="002815D0"/>
    <w:rsid w:val="002820A7"/>
    <w:rsid w:val="00283B82"/>
    <w:rsid w:val="00283E13"/>
    <w:rsid w:val="00286478"/>
    <w:rsid w:val="00287EDD"/>
    <w:rsid w:val="0029141B"/>
    <w:rsid w:val="00291A1E"/>
    <w:rsid w:val="002927D3"/>
    <w:rsid w:val="00294BDE"/>
    <w:rsid w:val="00295DB6"/>
    <w:rsid w:val="0029683A"/>
    <w:rsid w:val="002971C1"/>
    <w:rsid w:val="0029788B"/>
    <w:rsid w:val="00297D1B"/>
    <w:rsid w:val="00297F4D"/>
    <w:rsid w:val="002A0226"/>
    <w:rsid w:val="002A0661"/>
    <w:rsid w:val="002A0DBB"/>
    <w:rsid w:val="002A1CF2"/>
    <w:rsid w:val="002A2ED0"/>
    <w:rsid w:val="002A3A84"/>
    <w:rsid w:val="002A4C3E"/>
    <w:rsid w:val="002A56BC"/>
    <w:rsid w:val="002A5C53"/>
    <w:rsid w:val="002A6AD6"/>
    <w:rsid w:val="002A6F58"/>
    <w:rsid w:val="002A72CC"/>
    <w:rsid w:val="002A76AB"/>
    <w:rsid w:val="002A7A4F"/>
    <w:rsid w:val="002A7AFE"/>
    <w:rsid w:val="002B01DB"/>
    <w:rsid w:val="002B09C0"/>
    <w:rsid w:val="002B13B3"/>
    <w:rsid w:val="002B1770"/>
    <w:rsid w:val="002B183D"/>
    <w:rsid w:val="002B1DBF"/>
    <w:rsid w:val="002B207F"/>
    <w:rsid w:val="002B2A48"/>
    <w:rsid w:val="002B2BEE"/>
    <w:rsid w:val="002B2FEE"/>
    <w:rsid w:val="002B31AD"/>
    <w:rsid w:val="002B3EA7"/>
    <w:rsid w:val="002B4204"/>
    <w:rsid w:val="002B47B2"/>
    <w:rsid w:val="002B4BAE"/>
    <w:rsid w:val="002B538B"/>
    <w:rsid w:val="002B581B"/>
    <w:rsid w:val="002B6E1B"/>
    <w:rsid w:val="002B73EE"/>
    <w:rsid w:val="002C1372"/>
    <w:rsid w:val="002C2892"/>
    <w:rsid w:val="002C58AB"/>
    <w:rsid w:val="002C65FD"/>
    <w:rsid w:val="002C6D84"/>
    <w:rsid w:val="002C7D21"/>
    <w:rsid w:val="002D1564"/>
    <w:rsid w:val="002D1CA4"/>
    <w:rsid w:val="002D2C09"/>
    <w:rsid w:val="002D2C45"/>
    <w:rsid w:val="002D4969"/>
    <w:rsid w:val="002D4EE1"/>
    <w:rsid w:val="002D4F49"/>
    <w:rsid w:val="002D669A"/>
    <w:rsid w:val="002D728F"/>
    <w:rsid w:val="002D778E"/>
    <w:rsid w:val="002E0476"/>
    <w:rsid w:val="002E04D7"/>
    <w:rsid w:val="002E06DD"/>
    <w:rsid w:val="002E171A"/>
    <w:rsid w:val="002E28B8"/>
    <w:rsid w:val="002E2A24"/>
    <w:rsid w:val="002E3D66"/>
    <w:rsid w:val="002E3F11"/>
    <w:rsid w:val="002E4B11"/>
    <w:rsid w:val="002E4F70"/>
    <w:rsid w:val="002E52FA"/>
    <w:rsid w:val="002E5886"/>
    <w:rsid w:val="002E5AD3"/>
    <w:rsid w:val="002E635D"/>
    <w:rsid w:val="002E6D0C"/>
    <w:rsid w:val="002E7562"/>
    <w:rsid w:val="002F071F"/>
    <w:rsid w:val="002F16D5"/>
    <w:rsid w:val="002F1A38"/>
    <w:rsid w:val="002F1A90"/>
    <w:rsid w:val="002F1C2F"/>
    <w:rsid w:val="002F2155"/>
    <w:rsid w:val="002F3D1C"/>
    <w:rsid w:val="002F4C03"/>
    <w:rsid w:val="002F4EA1"/>
    <w:rsid w:val="002F52DE"/>
    <w:rsid w:val="002F55C1"/>
    <w:rsid w:val="002F58A0"/>
    <w:rsid w:val="002F5B9F"/>
    <w:rsid w:val="002F797A"/>
    <w:rsid w:val="00300483"/>
    <w:rsid w:val="00300DF2"/>
    <w:rsid w:val="003010A0"/>
    <w:rsid w:val="00301C91"/>
    <w:rsid w:val="00303264"/>
    <w:rsid w:val="0030351D"/>
    <w:rsid w:val="00303F2B"/>
    <w:rsid w:val="003041C6"/>
    <w:rsid w:val="00304607"/>
    <w:rsid w:val="0030467A"/>
    <w:rsid w:val="00304C0D"/>
    <w:rsid w:val="00304D4E"/>
    <w:rsid w:val="00304FFD"/>
    <w:rsid w:val="00305384"/>
    <w:rsid w:val="00305608"/>
    <w:rsid w:val="00305B72"/>
    <w:rsid w:val="0030610A"/>
    <w:rsid w:val="00306627"/>
    <w:rsid w:val="003069DD"/>
    <w:rsid w:val="00306CAB"/>
    <w:rsid w:val="00307B12"/>
    <w:rsid w:val="00310685"/>
    <w:rsid w:val="0031146F"/>
    <w:rsid w:val="00311795"/>
    <w:rsid w:val="003117B1"/>
    <w:rsid w:val="00311B70"/>
    <w:rsid w:val="00311CBE"/>
    <w:rsid w:val="0031219F"/>
    <w:rsid w:val="00312280"/>
    <w:rsid w:val="00312CD0"/>
    <w:rsid w:val="0031449F"/>
    <w:rsid w:val="003145A5"/>
    <w:rsid w:val="003148B9"/>
    <w:rsid w:val="00314A2E"/>
    <w:rsid w:val="00315266"/>
    <w:rsid w:val="00315BF2"/>
    <w:rsid w:val="0031693B"/>
    <w:rsid w:val="003169CE"/>
    <w:rsid w:val="00316F0A"/>
    <w:rsid w:val="00317308"/>
    <w:rsid w:val="003177D8"/>
    <w:rsid w:val="00317DC7"/>
    <w:rsid w:val="003200F9"/>
    <w:rsid w:val="0032095D"/>
    <w:rsid w:val="00320CFB"/>
    <w:rsid w:val="00320F38"/>
    <w:rsid w:val="00321183"/>
    <w:rsid w:val="00321694"/>
    <w:rsid w:val="00321F0A"/>
    <w:rsid w:val="003223CE"/>
    <w:rsid w:val="00322A2D"/>
    <w:rsid w:val="00322E80"/>
    <w:rsid w:val="0032407E"/>
    <w:rsid w:val="00324D5B"/>
    <w:rsid w:val="00325045"/>
    <w:rsid w:val="00325D91"/>
    <w:rsid w:val="003267B4"/>
    <w:rsid w:val="0032777F"/>
    <w:rsid w:val="00331193"/>
    <w:rsid w:val="003333D4"/>
    <w:rsid w:val="0033402E"/>
    <w:rsid w:val="00334951"/>
    <w:rsid w:val="00336411"/>
    <w:rsid w:val="0033678D"/>
    <w:rsid w:val="0033720D"/>
    <w:rsid w:val="00337332"/>
    <w:rsid w:val="003373E8"/>
    <w:rsid w:val="00337C02"/>
    <w:rsid w:val="003418FD"/>
    <w:rsid w:val="003443DD"/>
    <w:rsid w:val="00344D5A"/>
    <w:rsid w:val="00345626"/>
    <w:rsid w:val="00346EB6"/>
    <w:rsid w:val="00347EDB"/>
    <w:rsid w:val="00350797"/>
    <w:rsid w:val="00350CBA"/>
    <w:rsid w:val="00351A85"/>
    <w:rsid w:val="003522E8"/>
    <w:rsid w:val="00353989"/>
    <w:rsid w:val="00355B7A"/>
    <w:rsid w:val="0035617C"/>
    <w:rsid w:val="00356E7E"/>
    <w:rsid w:val="00356EB8"/>
    <w:rsid w:val="00357B83"/>
    <w:rsid w:val="0036000E"/>
    <w:rsid w:val="003614A8"/>
    <w:rsid w:val="0036160E"/>
    <w:rsid w:val="00362610"/>
    <w:rsid w:val="00363830"/>
    <w:rsid w:val="00363D2D"/>
    <w:rsid w:val="00364BB6"/>
    <w:rsid w:val="00364D6B"/>
    <w:rsid w:val="00365408"/>
    <w:rsid w:val="00365CC0"/>
    <w:rsid w:val="003668DF"/>
    <w:rsid w:val="00367688"/>
    <w:rsid w:val="0036789A"/>
    <w:rsid w:val="003715B4"/>
    <w:rsid w:val="00372221"/>
    <w:rsid w:val="00372CF2"/>
    <w:rsid w:val="00373476"/>
    <w:rsid w:val="00374C7E"/>
    <w:rsid w:val="00376888"/>
    <w:rsid w:val="00377353"/>
    <w:rsid w:val="0037736B"/>
    <w:rsid w:val="0038051C"/>
    <w:rsid w:val="0038081E"/>
    <w:rsid w:val="00380BEE"/>
    <w:rsid w:val="00381F57"/>
    <w:rsid w:val="0038216E"/>
    <w:rsid w:val="003822E5"/>
    <w:rsid w:val="003830B8"/>
    <w:rsid w:val="00383262"/>
    <w:rsid w:val="00383705"/>
    <w:rsid w:val="003907B1"/>
    <w:rsid w:val="00391CB2"/>
    <w:rsid w:val="00397016"/>
    <w:rsid w:val="003A043C"/>
    <w:rsid w:val="003A157A"/>
    <w:rsid w:val="003A283F"/>
    <w:rsid w:val="003A2A16"/>
    <w:rsid w:val="003A2FDD"/>
    <w:rsid w:val="003A3C43"/>
    <w:rsid w:val="003A3E83"/>
    <w:rsid w:val="003A4A6B"/>
    <w:rsid w:val="003A5CCC"/>
    <w:rsid w:val="003A70FF"/>
    <w:rsid w:val="003A74D2"/>
    <w:rsid w:val="003A756B"/>
    <w:rsid w:val="003A7902"/>
    <w:rsid w:val="003A7C25"/>
    <w:rsid w:val="003B23D7"/>
    <w:rsid w:val="003B25CF"/>
    <w:rsid w:val="003B34CB"/>
    <w:rsid w:val="003B3AB4"/>
    <w:rsid w:val="003B3CA8"/>
    <w:rsid w:val="003B45D5"/>
    <w:rsid w:val="003B52FE"/>
    <w:rsid w:val="003B5712"/>
    <w:rsid w:val="003B572A"/>
    <w:rsid w:val="003B5AFE"/>
    <w:rsid w:val="003B5DF1"/>
    <w:rsid w:val="003B5E81"/>
    <w:rsid w:val="003B6325"/>
    <w:rsid w:val="003B68EA"/>
    <w:rsid w:val="003B71E0"/>
    <w:rsid w:val="003B78A4"/>
    <w:rsid w:val="003C0C42"/>
    <w:rsid w:val="003C144E"/>
    <w:rsid w:val="003C1948"/>
    <w:rsid w:val="003C1A07"/>
    <w:rsid w:val="003C1E74"/>
    <w:rsid w:val="003C20A2"/>
    <w:rsid w:val="003C244A"/>
    <w:rsid w:val="003C2673"/>
    <w:rsid w:val="003C27A2"/>
    <w:rsid w:val="003C2F77"/>
    <w:rsid w:val="003C34C7"/>
    <w:rsid w:val="003C54B1"/>
    <w:rsid w:val="003C562F"/>
    <w:rsid w:val="003C567C"/>
    <w:rsid w:val="003C59B8"/>
    <w:rsid w:val="003C6809"/>
    <w:rsid w:val="003C7897"/>
    <w:rsid w:val="003D0937"/>
    <w:rsid w:val="003D17E6"/>
    <w:rsid w:val="003D186C"/>
    <w:rsid w:val="003D1A20"/>
    <w:rsid w:val="003D1AC9"/>
    <w:rsid w:val="003D2AC9"/>
    <w:rsid w:val="003D2CD8"/>
    <w:rsid w:val="003D3724"/>
    <w:rsid w:val="003D41CC"/>
    <w:rsid w:val="003D46A7"/>
    <w:rsid w:val="003D62F7"/>
    <w:rsid w:val="003D6376"/>
    <w:rsid w:val="003D7C98"/>
    <w:rsid w:val="003E1235"/>
    <w:rsid w:val="003E2A35"/>
    <w:rsid w:val="003E2B56"/>
    <w:rsid w:val="003E2CE1"/>
    <w:rsid w:val="003E2DCB"/>
    <w:rsid w:val="003E4C3F"/>
    <w:rsid w:val="003E4D7C"/>
    <w:rsid w:val="003E58B9"/>
    <w:rsid w:val="003E5FA8"/>
    <w:rsid w:val="003E6252"/>
    <w:rsid w:val="003E62F2"/>
    <w:rsid w:val="003E6874"/>
    <w:rsid w:val="003E74D5"/>
    <w:rsid w:val="003F1200"/>
    <w:rsid w:val="003F13D0"/>
    <w:rsid w:val="003F1421"/>
    <w:rsid w:val="003F1844"/>
    <w:rsid w:val="003F241E"/>
    <w:rsid w:val="003F28C0"/>
    <w:rsid w:val="003F2ED9"/>
    <w:rsid w:val="003F490E"/>
    <w:rsid w:val="003F52B2"/>
    <w:rsid w:val="003F6927"/>
    <w:rsid w:val="003F716E"/>
    <w:rsid w:val="003F76E8"/>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064"/>
    <w:rsid w:val="0040578B"/>
    <w:rsid w:val="004065D6"/>
    <w:rsid w:val="0040687D"/>
    <w:rsid w:val="0040709D"/>
    <w:rsid w:val="0040713F"/>
    <w:rsid w:val="004075A3"/>
    <w:rsid w:val="00410C48"/>
    <w:rsid w:val="004116F3"/>
    <w:rsid w:val="00415A5F"/>
    <w:rsid w:val="00415DC6"/>
    <w:rsid w:val="00416277"/>
    <w:rsid w:val="00416E24"/>
    <w:rsid w:val="0042063D"/>
    <w:rsid w:val="00422B23"/>
    <w:rsid w:val="00423A60"/>
    <w:rsid w:val="0042651C"/>
    <w:rsid w:val="00426E9B"/>
    <w:rsid w:val="00427D55"/>
    <w:rsid w:val="0043040A"/>
    <w:rsid w:val="00432018"/>
    <w:rsid w:val="004321DD"/>
    <w:rsid w:val="0043233C"/>
    <w:rsid w:val="004328AD"/>
    <w:rsid w:val="004345A6"/>
    <w:rsid w:val="00434F75"/>
    <w:rsid w:val="00435976"/>
    <w:rsid w:val="00435AA2"/>
    <w:rsid w:val="00435B2F"/>
    <w:rsid w:val="00435E03"/>
    <w:rsid w:val="004373E1"/>
    <w:rsid w:val="004374A3"/>
    <w:rsid w:val="00437A7E"/>
    <w:rsid w:val="00437B6C"/>
    <w:rsid w:val="00440144"/>
    <w:rsid w:val="0044064E"/>
    <w:rsid w:val="00440805"/>
    <w:rsid w:val="004412E1"/>
    <w:rsid w:val="00441554"/>
    <w:rsid w:val="00442710"/>
    <w:rsid w:val="0044277B"/>
    <w:rsid w:val="00442E48"/>
    <w:rsid w:val="00443C95"/>
    <w:rsid w:val="00443DCD"/>
    <w:rsid w:val="00443E7E"/>
    <w:rsid w:val="00444C06"/>
    <w:rsid w:val="00444F1A"/>
    <w:rsid w:val="00444F52"/>
    <w:rsid w:val="004453D9"/>
    <w:rsid w:val="004454DF"/>
    <w:rsid w:val="00446804"/>
    <w:rsid w:val="004478D4"/>
    <w:rsid w:val="00450380"/>
    <w:rsid w:val="004505C6"/>
    <w:rsid w:val="004520CD"/>
    <w:rsid w:val="00452DF3"/>
    <w:rsid w:val="004534F5"/>
    <w:rsid w:val="00453765"/>
    <w:rsid w:val="00454B2B"/>
    <w:rsid w:val="00454EC3"/>
    <w:rsid w:val="0045530A"/>
    <w:rsid w:val="004554AE"/>
    <w:rsid w:val="004554C3"/>
    <w:rsid w:val="00455FB6"/>
    <w:rsid w:val="00457197"/>
    <w:rsid w:val="00457555"/>
    <w:rsid w:val="00457971"/>
    <w:rsid w:val="00457DD8"/>
    <w:rsid w:val="004603D0"/>
    <w:rsid w:val="00460C43"/>
    <w:rsid w:val="00460C51"/>
    <w:rsid w:val="00461129"/>
    <w:rsid w:val="00461507"/>
    <w:rsid w:val="00461FD7"/>
    <w:rsid w:val="004624AE"/>
    <w:rsid w:val="0046250E"/>
    <w:rsid w:val="00462E9C"/>
    <w:rsid w:val="0046417E"/>
    <w:rsid w:val="00464B48"/>
    <w:rsid w:val="00465231"/>
    <w:rsid w:val="004662AD"/>
    <w:rsid w:val="00466516"/>
    <w:rsid w:val="00467B65"/>
    <w:rsid w:val="0047127A"/>
    <w:rsid w:val="00471EA5"/>
    <w:rsid w:val="004720C9"/>
    <w:rsid w:val="00472257"/>
    <w:rsid w:val="0047265A"/>
    <w:rsid w:val="00472E49"/>
    <w:rsid w:val="004732BB"/>
    <w:rsid w:val="0047357B"/>
    <w:rsid w:val="00474C60"/>
    <w:rsid w:val="00474FE3"/>
    <w:rsid w:val="004758DB"/>
    <w:rsid w:val="00475944"/>
    <w:rsid w:val="00475DF0"/>
    <w:rsid w:val="0047618B"/>
    <w:rsid w:val="00476525"/>
    <w:rsid w:val="004772E2"/>
    <w:rsid w:val="0047739F"/>
    <w:rsid w:val="00477E17"/>
    <w:rsid w:val="00477F97"/>
    <w:rsid w:val="00480A2D"/>
    <w:rsid w:val="00480AFB"/>
    <w:rsid w:val="00481247"/>
    <w:rsid w:val="004828DC"/>
    <w:rsid w:val="00482FF7"/>
    <w:rsid w:val="00483098"/>
    <w:rsid w:val="00483AFB"/>
    <w:rsid w:val="0048402B"/>
    <w:rsid w:val="0048414A"/>
    <w:rsid w:val="0048563D"/>
    <w:rsid w:val="00485C56"/>
    <w:rsid w:val="00486B79"/>
    <w:rsid w:val="00486CA2"/>
    <w:rsid w:val="00490B25"/>
    <w:rsid w:val="00490FD6"/>
    <w:rsid w:val="004911C4"/>
    <w:rsid w:val="00491CAE"/>
    <w:rsid w:val="00491FEC"/>
    <w:rsid w:val="00492F61"/>
    <w:rsid w:val="00493617"/>
    <w:rsid w:val="00493E34"/>
    <w:rsid w:val="00494CC8"/>
    <w:rsid w:val="004955E7"/>
    <w:rsid w:val="0049589C"/>
    <w:rsid w:val="00495EF1"/>
    <w:rsid w:val="00496ED4"/>
    <w:rsid w:val="00497D4A"/>
    <w:rsid w:val="004A0441"/>
    <w:rsid w:val="004A084C"/>
    <w:rsid w:val="004A090D"/>
    <w:rsid w:val="004A15B3"/>
    <w:rsid w:val="004A1736"/>
    <w:rsid w:val="004A1D01"/>
    <w:rsid w:val="004A26B7"/>
    <w:rsid w:val="004A2A54"/>
    <w:rsid w:val="004A2EF3"/>
    <w:rsid w:val="004A3B0D"/>
    <w:rsid w:val="004A52F5"/>
    <w:rsid w:val="004A5D3A"/>
    <w:rsid w:val="004A6897"/>
    <w:rsid w:val="004A692B"/>
    <w:rsid w:val="004A6EB6"/>
    <w:rsid w:val="004A794C"/>
    <w:rsid w:val="004B03BB"/>
    <w:rsid w:val="004B07AF"/>
    <w:rsid w:val="004B0888"/>
    <w:rsid w:val="004B1D32"/>
    <w:rsid w:val="004B2969"/>
    <w:rsid w:val="004B3EC7"/>
    <w:rsid w:val="004B5664"/>
    <w:rsid w:val="004B5859"/>
    <w:rsid w:val="004C1B35"/>
    <w:rsid w:val="004C2107"/>
    <w:rsid w:val="004C2305"/>
    <w:rsid w:val="004C29A2"/>
    <w:rsid w:val="004C5F63"/>
    <w:rsid w:val="004C5FC6"/>
    <w:rsid w:val="004C6435"/>
    <w:rsid w:val="004C649B"/>
    <w:rsid w:val="004C7B9C"/>
    <w:rsid w:val="004C7D55"/>
    <w:rsid w:val="004C7F71"/>
    <w:rsid w:val="004D089A"/>
    <w:rsid w:val="004D0D8F"/>
    <w:rsid w:val="004D3184"/>
    <w:rsid w:val="004D4D44"/>
    <w:rsid w:val="004D5030"/>
    <w:rsid w:val="004D5625"/>
    <w:rsid w:val="004D6045"/>
    <w:rsid w:val="004D6940"/>
    <w:rsid w:val="004D7546"/>
    <w:rsid w:val="004D7EC5"/>
    <w:rsid w:val="004E02B0"/>
    <w:rsid w:val="004E0B29"/>
    <w:rsid w:val="004E0E11"/>
    <w:rsid w:val="004E0F08"/>
    <w:rsid w:val="004E1546"/>
    <w:rsid w:val="004E1950"/>
    <w:rsid w:val="004E19DC"/>
    <w:rsid w:val="004E2488"/>
    <w:rsid w:val="004E32DF"/>
    <w:rsid w:val="004E35E8"/>
    <w:rsid w:val="004E3A4E"/>
    <w:rsid w:val="004E50F0"/>
    <w:rsid w:val="004E51EC"/>
    <w:rsid w:val="004E6A03"/>
    <w:rsid w:val="004F0070"/>
    <w:rsid w:val="004F0468"/>
    <w:rsid w:val="004F0C51"/>
    <w:rsid w:val="004F16E7"/>
    <w:rsid w:val="004F1A98"/>
    <w:rsid w:val="004F21BE"/>
    <w:rsid w:val="004F263C"/>
    <w:rsid w:val="004F2BB1"/>
    <w:rsid w:val="004F2EC7"/>
    <w:rsid w:val="004F3CE8"/>
    <w:rsid w:val="004F62DA"/>
    <w:rsid w:val="004F6BFB"/>
    <w:rsid w:val="004F76F8"/>
    <w:rsid w:val="004F7E4A"/>
    <w:rsid w:val="005007B3"/>
    <w:rsid w:val="0050147C"/>
    <w:rsid w:val="0050182B"/>
    <w:rsid w:val="00502579"/>
    <w:rsid w:val="005029F7"/>
    <w:rsid w:val="005032D9"/>
    <w:rsid w:val="00503D4C"/>
    <w:rsid w:val="00504C0C"/>
    <w:rsid w:val="00504E48"/>
    <w:rsid w:val="00506C5B"/>
    <w:rsid w:val="005070FF"/>
    <w:rsid w:val="00507C33"/>
    <w:rsid w:val="00512635"/>
    <w:rsid w:val="00512BBC"/>
    <w:rsid w:val="00512C9D"/>
    <w:rsid w:val="005134FB"/>
    <w:rsid w:val="005135FD"/>
    <w:rsid w:val="0051366C"/>
    <w:rsid w:val="00514918"/>
    <w:rsid w:val="0051684F"/>
    <w:rsid w:val="00516A8B"/>
    <w:rsid w:val="00516A92"/>
    <w:rsid w:val="00516B9F"/>
    <w:rsid w:val="00517693"/>
    <w:rsid w:val="005200C2"/>
    <w:rsid w:val="005205AB"/>
    <w:rsid w:val="00523218"/>
    <w:rsid w:val="00523378"/>
    <w:rsid w:val="00523A5C"/>
    <w:rsid w:val="0052400A"/>
    <w:rsid w:val="00524BF5"/>
    <w:rsid w:val="0052550F"/>
    <w:rsid w:val="00525A9C"/>
    <w:rsid w:val="00526C0F"/>
    <w:rsid w:val="0052702A"/>
    <w:rsid w:val="00530108"/>
    <w:rsid w:val="00530397"/>
    <w:rsid w:val="00530F73"/>
    <w:rsid w:val="005310D4"/>
    <w:rsid w:val="0053199A"/>
    <w:rsid w:val="00532C70"/>
    <w:rsid w:val="00533B8E"/>
    <w:rsid w:val="0053504D"/>
    <w:rsid w:val="00535417"/>
    <w:rsid w:val="00535833"/>
    <w:rsid w:val="00536D28"/>
    <w:rsid w:val="005372C5"/>
    <w:rsid w:val="00537A26"/>
    <w:rsid w:val="00540E47"/>
    <w:rsid w:val="005417EE"/>
    <w:rsid w:val="00541F86"/>
    <w:rsid w:val="005427A2"/>
    <w:rsid w:val="00542B1F"/>
    <w:rsid w:val="00543283"/>
    <w:rsid w:val="0054364C"/>
    <w:rsid w:val="00543ECC"/>
    <w:rsid w:val="00544F17"/>
    <w:rsid w:val="00546747"/>
    <w:rsid w:val="005469F0"/>
    <w:rsid w:val="00547510"/>
    <w:rsid w:val="00547ECC"/>
    <w:rsid w:val="00550106"/>
    <w:rsid w:val="00551D5A"/>
    <w:rsid w:val="00551EC3"/>
    <w:rsid w:val="0055237F"/>
    <w:rsid w:val="00554A44"/>
    <w:rsid w:val="00554C53"/>
    <w:rsid w:val="00554F18"/>
    <w:rsid w:val="00555220"/>
    <w:rsid w:val="005555F0"/>
    <w:rsid w:val="00555739"/>
    <w:rsid w:val="00555B09"/>
    <w:rsid w:val="00556427"/>
    <w:rsid w:val="00556E75"/>
    <w:rsid w:val="00556F2D"/>
    <w:rsid w:val="00557D6C"/>
    <w:rsid w:val="0056069A"/>
    <w:rsid w:val="00560C3B"/>
    <w:rsid w:val="00561D3C"/>
    <w:rsid w:val="00561EA1"/>
    <w:rsid w:val="00562799"/>
    <w:rsid w:val="00562AEB"/>
    <w:rsid w:val="00563347"/>
    <w:rsid w:val="00564804"/>
    <w:rsid w:val="00565035"/>
    <w:rsid w:val="00565056"/>
    <w:rsid w:val="00565598"/>
    <w:rsid w:val="00565B5A"/>
    <w:rsid w:val="005668B5"/>
    <w:rsid w:val="00566F3D"/>
    <w:rsid w:val="00567E8F"/>
    <w:rsid w:val="005702D6"/>
    <w:rsid w:val="00572588"/>
    <w:rsid w:val="00573A50"/>
    <w:rsid w:val="005746D2"/>
    <w:rsid w:val="00574E8A"/>
    <w:rsid w:val="0057514E"/>
    <w:rsid w:val="00576123"/>
    <w:rsid w:val="00576DDA"/>
    <w:rsid w:val="00577775"/>
    <w:rsid w:val="0058121A"/>
    <w:rsid w:val="00581863"/>
    <w:rsid w:val="005819EA"/>
    <w:rsid w:val="00581BCB"/>
    <w:rsid w:val="00581EA3"/>
    <w:rsid w:val="0058205A"/>
    <w:rsid w:val="0058260B"/>
    <w:rsid w:val="00584D1E"/>
    <w:rsid w:val="00586795"/>
    <w:rsid w:val="00586B82"/>
    <w:rsid w:val="0058780C"/>
    <w:rsid w:val="00587E13"/>
    <w:rsid w:val="005933AA"/>
    <w:rsid w:val="00593F08"/>
    <w:rsid w:val="005940AA"/>
    <w:rsid w:val="00594614"/>
    <w:rsid w:val="00594E10"/>
    <w:rsid w:val="00596306"/>
    <w:rsid w:val="00596487"/>
    <w:rsid w:val="005A0809"/>
    <w:rsid w:val="005A0B91"/>
    <w:rsid w:val="005A1494"/>
    <w:rsid w:val="005A1823"/>
    <w:rsid w:val="005A3590"/>
    <w:rsid w:val="005A3A36"/>
    <w:rsid w:val="005A4A1C"/>
    <w:rsid w:val="005A5BD8"/>
    <w:rsid w:val="005A68FE"/>
    <w:rsid w:val="005A692A"/>
    <w:rsid w:val="005A6AB8"/>
    <w:rsid w:val="005A71EA"/>
    <w:rsid w:val="005A7F88"/>
    <w:rsid w:val="005B11C2"/>
    <w:rsid w:val="005B16DE"/>
    <w:rsid w:val="005B180A"/>
    <w:rsid w:val="005B34BE"/>
    <w:rsid w:val="005B382C"/>
    <w:rsid w:val="005B3C11"/>
    <w:rsid w:val="005B40DA"/>
    <w:rsid w:val="005B4226"/>
    <w:rsid w:val="005B5AA4"/>
    <w:rsid w:val="005B656B"/>
    <w:rsid w:val="005B6E49"/>
    <w:rsid w:val="005B71B3"/>
    <w:rsid w:val="005B750E"/>
    <w:rsid w:val="005B76A4"/>
    <w:rsid w:val="005C04A7"/>
    <w:rsid w:val="005C17A4"/>
    <w:rsid w:val="005C27CC"/>
    <w:rsid w:val="005C370D"/>
    <w:rsid w:val="005C504E"/>
    <w:rsid w:val="005C5429"/>
    <w:rsid w:val="005C6153"/>
    <w:rsid w:val="005C700A"/>
    <w:rsid w:val="005C78B0"/>
    <w:rsid w:val="005C7B95"/>
    <w:rsid w:val="005D01EB"/>
    <w:rsid w:val="005D0DFB"/>
    <w:rsid w:val="005D1112"/>
    <w:rsid w:val="005D237C"/>
    <w:rsid w:val="005D25E2"/>
    <w:rsid w:val="005D25FF"/>
    <w:rsid w:val="005D2632"/>
    <w:rsid w:val="005D38E0"/>
    <w:rsid w:val="005D3BFA"/>
    <w:rsid w:val="005D3F32"/>
    <w:rsid w:val="005D4E3E"/>
    <w:rsid w:val="005D67F7"/>
    <w:rsid w:val="005D7D7E"/>
    <w:rsid w:val="005E0B59"/>
    <w:rsid w:val="005E1105"/>
    <w:rsid w:val="005E12AF"/>
    <w:rsid w:val="005E162F"/>
    <w:rsid w:val="005E2C60"/>
    <w:rsid w:val="005E31F6"/>
    <w:rsid w:val="005E3622"/>
    <w:rsid w:val="005E60B3"/>
    <w:rsid w:val="005E676C"/>
    <w:rsid w:val="005E6CB9"/>
    <w:rsid w:val="005E7F14"/>
    <w:rsid w:val="005F0154"/>
    <w:rsid w:val="005F0176"/>
    <w:rsid w:val="005F021D"/>
    <w:rsid w:val="005F1EAC"/>
    <w:rsid w:val="005F3003"/>
    <w:rsid w:val="005F308F"/>
    <w:rsid w:val="005F4869"/>
    <w:rsid w:val="005F4BFD"/>
    <w:rsid w:val="005F5748"/>
    <w:rsid w:val="005F5834"/>
    <w:rsid w:val="005F5E11"/>
    <w:rsid w:val="006003E5"/>
    <w:rsid w:val="00600E63"/>
    <w:rsid w:val="00601561"/>
    <w:rsid w:val="00601E55"/>
    <w:rsid w:val="00602037"/>
    <w:rsid w:val="006029DD"/>
    <w:rsid w:val="00602A40"/>
    <w:rsid w:val="00602C6A"/>
    <w:rsid w:val="006038E0"/>
    <w:rsid w:val="00603AF5"/>
    <w:rsid w:val="00603CBC"/>
    <w:rsid w:val="00604A37"/>
    <w:rsid w:val="00605161"/>
    <w:rsid w:val="00606C66"/>
    <w:rsid w:val="00610145"/>
    <w:rsid w:val="00610D1F"/>
    <w:rsid w:val="00611E42"/>
    <w:rsid w:val="006123C6"/>
    <w:rsid w:val="00612C02"/>
    <w:rsid w:val="00612CDD"/>
    <w:rsid w:val="00613092"/>
    <w:rsid w:val="0061467F"/>
    <w:rsid w:val="0061562E"/>
    <w:rsid w:val="006168DF"/>
    <w:rsid w:val="00616D41"/>
    <w:rsid w:val="00617292"/>
    <w:rsid w:val="006200A9"/>
    <w:rsid w:val="00622178"/>
    <w:rsid w:val="00622225"/>
    <w:rsid w:val="00622D03"/>
    <w:rsid w:val="00622DCD"/>
    <w:rsid w:val="00622F57"/>
    <w:rsid w:val="00623DD5"/>
    <w:rsid w:val="00624269"/>
    <w:rsid w:val="00624A34"/>
    <w:rsid w:val="0062568D"/>
    <w:rsid w:val="006256D3"/>
    <w:rsid w:val="00626502"/>
    <w:rsid w:val="006267F5"/>
    <w:rsid w:val="00627337"/>
    <w:rsid w:val="00627E0D"/>
    <w:rsid w:val="00627EE7"/>
    <w:rsid w:val="00630069"/>
    <w:rsid w:val="00630583"/>
    <w:rsid w:val="00630D2E"/>
    <w:rsid w:val="00630D39"/>
    <w:rsid w:val="006319D3"/>
    <w:rsid w:val="00631C95"/>
    <w:rsid w:val="00631E19"/>
    <w:rsid w:val="00633E76"/>
    <w:rsid w:val="00633EC9"/>
    <w:rsid w:val="006340F5"/>
    <w:rsid w:val="00634542"/>
    <w:rsid w:val="00635E4D"/>
    <w:rsid w:val="0063620C"/>
    <w:rsid w:val="00637E18"/>
    <w:rsid w:val="0064032E"/>
    <w:rsid w:val="0064038D"/>
    <w:rsid w:val="00641A0B"/>
    <w:rsid w:val="00641CD6"/>
    <w:rsid w:val="00641D5A"/>
    <w:rsid w:val="00641E06"/>
    <w:rsid w:val="00643007"/>
    <w:rsid w:val="006431D0"/>
    <w:rsid w:val="006432C5"/>
    <w:rsid w:val="006436FA"/>
    <w:rsid w:val="00643852"/>
    <w:rsid w:val="00643A1B"/>
    <w:rsid w:val="00643C27"/>
    <w:rsid w:val="0064419A"/>
    <w:rsid w:val="006455E7"/>
    <w:rsid w:val="00645758"/>
    <w:rsid w:val="006461A1"/>
    <w:rsid w:val="00647422"/>
    <w:rsid w:val="00647889"/>
    <w:rsid w:val="00647E6B"/>
    <w:rsid w:val="00650E84"/>
    <w:rsid w:val="0065198B"/>
    <w:rsid w:val="00652198"/>
    <w:rsid w:val="0065234B"/>
    <w:rsid w:val="006525AF"/>
    <w:rsid w:val="0065266A"/>
    <w:rsid w:val="0065313A"/>
    <w:rsid w:val="00653F9C"/>
    <w:rsid w:val="00655470"/>
    <w:rsid w:val="00656FEE"/>
    <w:rsid w:val="0065758F"/>
    <w:rsid w:val="00660897"/>
    <w:rsid w:val="00661028"/>
    <w:rsid w:val="006617BD"/>
    <w:rsid w:val="006617BF"/>
    <w:rsid w:val="0066194D"/>
    <w:rsid w:val="00662AB7"/>
    <w:rsid w:val="00664204"/>
    <w:rsid w:val="00664695"/>
    <w:rsid w:val="00664840"/>
    <w:rsid w:val="00664B44"/>
    <w:rsid w:val="006652BF"/>
    <w:rsid w:val="00665DF5"/>
    <w:rsid w:val="0066630C"/>
    <w:rsid w:val="00667BBD"/>
    <w:rsid w:val="0067065E"/>
    <w:rsid w:val="00671149"/>
    <w:rsid w:val="00671615"/>
    <w:rsid w:val="00671741"/>
    <w:rsid w:val="00671766"/>
    <w:rsid w:val="00672914"/>
    <w:rsid w:val="0067352A"/>
    <w:rsid w:val="00673B1E"/>
    <w:rsid w:val="006744C3"/>
    <w:rsid w:val="0067537F"/>
    <w:rsid w:val="00676410"/>
    <w:rsid w:val="00677915"/>
    <w:rsid w:val="00680509"/>
    <w:rsid w:val="006805CB"/>
    <w:rsid w:val="006814C8"/>
    <w:rsid w:val="00681C05"/>
    <w:rsid w:val="00681CC1"/>
    <w:rsid w:val="0068233B"/>
    <w:rsid w:val="0068276A"/>
    <w:rsid w:val="00682C8C"/>
    <w:rsid w:val="00682E11"/>
    <w:rsid w:val="00683081"/>
    <w:rsid w:val="0068365E"/>
    <w:rsid w:val="00684C95"/>
    <w:rsid w:val="006850D3"/>
    <w:rsid w:val="00685249"/>
    <w:rsid w:val="006856B9"/>
    <w:rsid w:val="00685BDE"/>
    <w:rsid w:val="00686085"/>
    <w:rsid w:val="00687C0D"/>
    <w:rsid w:val="006909F0"/>
    <w:rsid w:val="00691237"/>
    <w:rsid w:val="006920E6"/>
    <w:rsid w:val="00692555"/>
    <w:rsid w:val="00693104"/>
    <w:rsid w:val="00696566"/>
    <w:rsid w:val="006966BA"/>
    <w:rsid w:val="0069722D"/>
    <w:rsid w:val="006A0052"/>
    <w:rsid w:val="006A0A9E"/>
    <w:rsid w:val="006A0C01"/>
    <w:rsid w:val="006A1F1C"/>
    <w:rsid w:val="006A3258"/>
    <w:rsid w:val="006A3836"/>
    <w:rsid w:val="006A3DD3"/>
    <w:rsid w:val="006A4625"/>
    <w:rsid w:val="006A47AE"/>
    <w:rsid w:val="006A5633"/>
    <w:rsid w:val="006A5B5E"/>
    <w:rsid w:val="006A5DAA"/>
    <w:rsid w:val="006A67CB"/>
    <w:rsid w:val="006A6FDE"/>
    <w:rsid w:val="006A7CB0"/>
    <w:rsid w:val="006B0018"/>
    <w:rsid w:val="006B022A"/>
    <w:rsid w:val="006B02AA"/>
    <w:rsid w:val="006B0368"/>
    <w:rsid w:val="006B0F6E"/>
    <w:rsid w:val="006B1A3B"/>
    <w:rsid w:val="006B1D7B"/>
    <w:rsid w:val="006B27D4"/>
    <w:rsid w:val="006B2C9C"/>
    <w:rsid w:val="006B350E"/>
    <w:rsid w:val="006B3B49"/>
    <w:rsid w:val="006B48EB"/>
    <w:rsid w:val="006B4C00"/>
    <w:rsid w:val="006B56FC"/>
    <w:rsid w:val="006B5E44"/>
    <w:rsid w:val="006B604A"/>
    <w:rsid w:val="006B6DDA"/>
    <w:rsid w:val="006B73D9"/>
    <w:rsid w:val="006B7DF0"/>
    <w:rsid w:val="006B7E74"/>
    <w:rsid w:val="006C0D75"/>
    <w:rsid w:val="006C1C48"/>
    <w:rsid w:val="006C1E0D"/>
    <w:rsid w:val="006C3758"/>
    <w:rsid w:val="006C3C1D"/>
    <w:rsid w:val="006C41FF"/>
    <w:rsid w:val="006C4C11"/>
    <w:rsid w:val="006C5145"/>
    <w:rsid w:val="006C65A8"/>
    <w:rsid w:val="006C69A2"/>
    <w:rsid w:val="006C70E3"/>
    <w:rsid w:val="006D05AD"/>
    <w:rsid w:val="006D0EC1"/>
    <w:rsid w:val="006D133A"/>
    <w:rsid w:val="006D16F8"/>
    <w:rsid w:val="006D1813"/>
    <w:rsid w:val="006D2271"/>
    <w:rsid w:val="006D24A9"/>
    <w:rsid w:val="006D2AF3"/>
    <w:rsid w:val="006D2C00"/>
    <w:rsid w:val="006D3EF1"/>
    <w:rsid w:val="006D4C49"/>
    <w:rsid w:val="006D4D79"/>
    <w:rsid w:val="006D4FBD"/>
    <w:rsid w:val="006D5879"/>
    <w:rsid w:val="006D63FD"/>
    <w:rsid w:val="006D65B4"/>
    <w:rsid w:val="006D754A"/>
    <w:rsid w:val="006D7B9C"/>
    <w:rsid w:val="006E04C6"/>
    <w:rsid w:val="006E0574"/>
    <w:rsid w:val="006E0A65"/>
    <w:rsid w:val="006E1B01"/>
    <w:rsid w:val="006E3E3D"/>
    <w:rsid w:val="006E3E6C"/>
    <w:rsid w:val="006E4836"/>
    <w:rsid w:val="006E5DDD"/>
    <w:rsid w:val="006E7811"/>
    <w:rsid w:val="006E7886"/>
    <w:rsid w:val="006F04DA"/>
    <w:rsid w:val="006F0557"/>
    <w:rsid w:val="006F0ACE"/>
    <w:rsid w:val="006F0EA3"/>
    <w:rsid w:val="006F1372"/>
    <w:rsid w:val="006F1519"/>
    <w:rsid w:val="006F1B5D"/>
    <w:rsid w:val="006F212B"/>
    <w:rsid w:val="006F3789"/>
    <w:rsid w:val="006F37F7"/>
    <w:rsid w:val="006F4A61"/>
    <w:rsid w:val="006F4ADC"/>
    <w:rsid w:val="006F58A8"/>
    <w:rsid w:val="006F643D"/>
    <w:rsid w:val="006F675C"/>
    <w:rsid w:val="006F6D13"/>
    <w:rsid w:val="006F7759"/>
    <w:rsid w:val="006F7D95"/>
    <w:rsid w:val="00700D41"/>
    <w:rsid w:val="00701B21"/>
    <w:rsid w:val="00702384"/>
    <w:rsid w:val="0070310F"/>
    <w:rsid w:val="00704BAE"/>
    <w:rsid w:val="007056B5"/>
    <w:rsid w:val="00705807"/>
    <w:rsid w:val="00705C74"/>
    <w:rsid w:val="00705C78"/>
    <w:rsid w:val="007060E1"/>
    <w:rsid w:val="00706824"/>
    <w:rsid w:val="00706B85"/>
    <w:rsid w:val="00706E4F"/>
    <w:rsid w:val="007071FC"/>
    <w:rsid w:val="00707C84"/>
    <w:rsid w:val="00710A59"/>
    <w:rsid w:val="00710D25"/>
    <w:rsid w:val="00710FDE"/>
    <w:rsid w:val="007116C7"/>
    <w:rsid w:val="00711C5A"/>
    <w:rsid w:val="00712B66"/>
    <w:rsid w:val="00713C31"/>
    <w:rsid w:val="0071428D"/>
    <w:rsid w:val="007144C9"/>
    <w:rsid w:val="00714F9F"/>
    <w:rsid w:val="0071584A"/>
    <w:rsid w:val="00715C93"/>
    <w:rsid w:val="00716B3C"/>
    <w:rsid w:val="007170C2"/>
    <w:rsid w:val="00717CAA"/>
    <w:rsid w:val="00717EE4"/>
    <w:rsid w:val="00717F2D"/>
    <w:rsid w:val="00720453"/>
    <w:rsid w:val="00720853"/>
    <w:rsid w:val="00722129"/>
    <w:rsid w:val="007226FD"/>
    <w:rsid w:val="00724173"/>
    <w:rsid w:val="007247AF"/>
    <w:rsid w:val="00726730"/>
    <w:rsid w:val="0072744D"/>
    <w:rsid w:val="00730598"/>
    <w:rsid w:val="00731C24"/>
    <w:rsid w:val="0073257E"/>
    <w:rsid w:val="00732A32"/>
    <w:rsid w:val="00733066"/>
    <w:rsid w:val="00733469"/>
    <w:rsid w:val="00733539"/>
    <w:rsid w:val="0073366D"/>
    <w:rsid w:val="007347B1"/>
    <w:rsid w:val="00735557"/>
    <w:rsid w:val="00737108"/>
    <w:rsid w:val="007379CE"/>
    <w:rsid w:val="00737D91"/>
    <w:rsid w:val="007403C0"/>
    <w:rsid w:val="007416D1"/>
    <w:rsid w:val="007419A7"/>
    <w:rsid w:val="00741B21"/>
    <w:rsid w:val="00741DD8"/>
    <w:rsid w:val="00741E49"/>
    <w:rsid w:val="00742026"/>
    <w:rsid w:val="0074250D"/>
    <w:rsid w:val="007445E2"/>
    <w:rsid w:val="00745191"/>
    <w:rsid w:val="00745496"/>
    <w:rsid w:val="007460DA"/>
    <w:rsid w:val="0074629D"/>
    <w:rsid w:val="0074705B"/>
    <w:rsid w:val="007470EC"/>
    <w:rsid w:val="0075020B"/>
    <w:rsid w:val="00751017"/>
    <w:rsid w:val="00751960"/>
    <w:rsid w:val="00752462"/>
    <w:rsid w:val="007535C7"/>
    <w:rsid w:val="00754958"/>
    <w:rsid w:val="00754A0E"/>
    <w:rsid w:val="00756551"/>
    <w:rsid w:val="00757769"/>
    <w:rsid w:val="0076067E"/>
    <w:rsid w:val="00760719"/>
    <w:rsid w:val="00760870"/>
    <w:rsid w:val="007609B2"/>
    <w:rsid w:val="00761674"/>
    <w:rsid w:val="00761BFD"/>
    <w:rsid w:val="00761D5C"/>
    <w:rsid w:val="00761F6D"/>
    <w:rsid w:val="00761FE5"/>
    <w:rsid w:val="00762476"/>
    <w:rsid w:val="00762A18"/>
    <w:rsid w:val="00762D42"/>
    <w:rsid w:val="00763AE2"/>
    <w:rsid w:val="0076467D"/>
    <w:rsid w:val="00764F06"/>
    <w:rsid w:val="007656ED"/>
    <w:rsid w:val="00766505"/>
    <w:rsid w:val="00766D90"/>
    <w:rsid w:val="00767BF3"/>
    <w:rsid w:val="00767C19"/>
    <w:rsid w:val="00767D4E"/>
    <w:rsid w:val="00771067"/>
    <w:rsid w:val="007722ED"/>
    <w:rsid w:val="00773DF9"/>
    <w:rsid w:val="0077408B"/>
    <w:rsid w:val="00774AF6"/>
    <w:rsid w:val="00774EC8"/>
    <w:rsid w:val="00776781"/>
    <w:rsid w:val="007776CC"/>
    <w:rsid w:val="00777CE9"/>
    <w:rsid w:val="00780D05"/>
    <w:rsid w:val="00782E23"/>
    <w:rsid w:val="00783447"/>
    <w:rsid w:val="00783C7B"/>
    <w:rsid w:val="0078556C"/>
    <w:rsid w:val="007855C5"/>
    <w:rsid w:val="007856D3"/>
    <w:rsid w:val="00785ABD"/>
    <w:rsid w:val="007860C6"/>
    <w:rsid w:val="00786254"/>
    <w:rsid w:val="00786DB0"/>
    <w:rsid w:val="007879C7"/>
    <w:rsid w:val="00787D47"/>
    <w:rsid w:val="0079014E"/>
    <w:rsid w:val="0079148B"/>
    <w:rsid w:val="00792971"/>
    <w:rsid w:val="007935C6"/>
    <w:rsid w:val="00794129"/>
    <w:rsid w:val="00794516"/>
    <w:rsid w:val="00794878"/>
    <w:rsid w:val="00795394"/>
    <w:rsid w:val="00795512"/>
    <w:rsid w:val="00795AB7"/>
    <w:rsid w:val="00795E37"/>
    <w:rsid w:val="0079694C"/>
    <w:rsid w:val="00796D89"/>
    <w:rsid w:val="00796DA2"/>
    <w:rsid w:val="007A0415"/>
    <w:rsid w:val="007A06BA"/>
    <w:rsid w:val="007A27BD"/>
    <w:rsid w:val="007A294A"/>
    <w:rsid w:val="007A3023"/>
    <w:rsid w:val="007A4C96"/>
    <w:rsid w:val="007A4F1D"/>
    <w:rsid w:val="007A51A6"/>
    <w:rsid w:val="007A523D"/>
    <w:rsid w:val="007A5629"/>
    <w:rsid w:val="007A56E5"/>
    <w:rsid w:val="007A60CA"/>
    <w:rsid w:val="007A6F0F"/>
    <w:rsid w:val="007A708C"/>
    <w:rsid w:val="007A75B5"/>
    <w:rsid w:val="007A7985"/>
    <w:rsid w:val="007A7ABE"/>
    <w:rsid w:val="007B03C5"/>
    <w:rsid w:val="007B18C0"/>
    <w:rsid w:val="007B26E1"/>
    <w:rsid w:val="007B2732"/>
    <w:rsid w:val="007B3045"/>
    <w:rsid w:val="007B4C0F"/>
    <w:rsid w:val="007B5E25"/>
    <w:rsid w:val="007B65C1"/>
    <w:rsid w:val="007B6946"/>
    <w:rsid w:val="007B6E0E"/>
    <w:rsid w:val="007B7409"/>
    <w:rsid w:val="007B7C1A"/>
    <w:rsid w:val="007C06C4"/>
    <w:rsid w:val="007C1B8A"/>
    <w:rsid w:val="007C27FB"/>
    <w:rsid w:val="007C2CBB"/>
    <w:rsid w:val="007C2DF3"/>
    <w:rsid w:val="007C309C"/>
    <w:rsid w:val="007C3BCD"/>
    <w:rsid w:val="007C4209"/>
    <w:rsid w:val="007C5EB9"/>
    <w:rsid w:val="007C644C"/>
    <w:rsid w:val="007C7449"/>
    <w:rsid w:val="007C7B44"/>
    <w:rsid w:val="007C7EA5"/>
    <w:rsid w:val="007D10FD"/>
    <w:rsid w:val="007D1A95"/>
    <w:rsid w:val="007D245E"/>
    <w:rsid w:val="007D3764"/>
    <w:rsid w:val="007D3F08"/>
    <w:rsid w:val="007D485A"/>
    <w:rsid w:val="007D53B1"/>
    <w:rsid w:val="007D54FF"/>
    <w:rsid w:val="007D57D4"/>
    <w:rsid w:val="007D6315"/>
    <w:rsid w:val="007D724A"/>
    <w:rsid w:val="007D72ED"/>
    <w:rsid w:val="007D75A3"/>
    <w:rsid w:val="007D7A3B"/>
    <w:rsid w:val="007E04EB"/>
    <w:rsid w:val="007E16E2"/>
    <w:rsid w:val="007E19FE"/>
    <w:rsid w:val="007E1AAC"/>
    <w:rsid w:val="007E1D89"/>
    <w:rsid w:val="007E3284"/>
    <w:rsid w:val="007E3B9C"/>
    <w:rsid w:val="007E4A2F"/>
    <w:rsid w:val="007E5C4A"/>
    <w:rsid w:val="007E6915"/>
    <w:rsid w:val="007E74CA"/>
    <w:rsid w:val="007E7AD3"/>
    <w:rsid w:val="007E7B5E"/>
    <w:rsid w:val="007F0070"/>
    <w:rsid w:val="007F0441"/>
    <w:rsid w:val="007F0D31"/>
    <w:rsid w:val="007F0E99"/>
    <w:rsid w:val="007F20F1"/>
    <w:rsid w:val="007F4224"/>
    <w:rsid w:val="007F4278"/>
    <w:rsid w:val="007F4390"/>
    <w:rsid w:val="007F4DD2"/>
    <w:rsid w:val="007F4FB9"/>
    <w:rsid w:val="007F6147"/>
    <w:rsid w:val="007F7022"/>
    <w:rsid w:val="007F7690"/>
    <w:rsid w:val="008000F0"/>
    <w:rsid w:val="008011CC"/>
    <w:rsid w:val="00801404"/>
    <w:rsid w:val="00801757"/>
    <w:rsid w:val="008017AA"/>
    <w:rsid w:val="00801CBA"/>
    <w:rsid w:val="00801D92"/>
    <w:rsid w:val="00802EC9"/>
    <w:rsid w:val="0080485B"/>
    <w:rsid w:val="00804BCF"/>
    <w:rsid w:val="00804FA4"/>
    <w:rsid w:val="00805275"/>
    <w:rsid w:val="008063EE"/>
    <w:rsid w:val="00806A62"/>
    <w:rsid w:val="00806E55"/>
    <w:rsid w:val="008075CE"/>
    <w:rsid w:val="00807E79"/>
    <w:rsid w:val="00810085"/>
    <w:rsid w:val="0081097F"/>
    <w:rsid w:val="00812179"/>
    <w:rsid w:val="008124E2"/>
    <w:rsid w:val="00813928"/>
    <w:rsid w:val="00815321"/>
    <w:rsid w:val="0081619E"/>
    <w:rsid w:val="008166DB"/>
    <w:rsid w:val="008173E0"/>
    <w:rsid w:val="008175C1"/>
    <w:rsid w:val="008200D4"/>
    <w:rsid w:val="00820370"/>
    <w:rsid w:val="00820CC6"/>
    <w:rsid w:val="00822C41"/>
    <w:rsid w:val="00823334"/>
    <w:rsid w:val="00825043"/>
    <w:rsid w:val="00825267"/>
    <w:rsid w:val="00825AF7"/>
    <w:rsid w:val="00826228"/>
    <w:rsid w:val="008264EC"/>
    <w:rsid w:val="00827C0D"/>
    <w:rsid w:val="00830642"/>
    <w:rsid w:val="00830B36"/>
    <w:rsid w:val="00830DAD"/>
    <w:rsid w:val="00831250"/>
    <w:rsid w:val="00831D8D"/>
    <w:rsid w:val="00831FB2"/>
    <w:rsid w:val="008333B7"/>
    <w:rsid w:val="008336EC"/>
    <w:rsid w:val="008337B9"/>
    <w:rsid w:val="00834FD2"/>
    <w:rsid w:val="00835084"/>
    <w:rsid w:val="00835184"/>
    <w:rsid w:val="00835569"/>
    <w:rsid w:val="00835745"/>
    <w:rsid w:val="00835802"/>
    <w:rsid w:val="00836295"/>
    <w:rsid w:val="008370EE"/>
    <w:rsid w:val="00837A98"/>
    <w:rsid w:val="00837DC9"/>
    <w:rsid w:val="0084093F"/>
    <w:rsid w:val="0084098A"/>
    <w:rsid w:val="00840DB0"/>
    <w:rsid w:val="00840EDE"/>
    <w:rsid w:val="008418A5"/>
    <w:rsid w:val="00843548"/>
    <w:rsid w:val="0084383C"/>
    <w:rsid w:val="00843CC0"/>
    <w:rsid w:val="00843F28"/>
    <w:rsid w:val="00844ADD"/>
    <w:rsid w:val="0084534E"/>
    <w:rsid w:val="00846062"/>
    <w:rsid w:val="00846977"/>
    <w:rsid w:val="008474C1"/>
    <w:rsid w:val="00847C1C"/>
    <w:rsid w:val="0085055E"/>
    <w:rsid w:val="00850C3B"/>
    <w:rsid w:val="00851605"/>
    <w:rsid w:val="00852CA0"/>
    <w:rsid w:val="00852D85"/>
    <w:rsid w:val="00852F6C"/>
    <w:rsid w:val="0085465C"/>
    <w:rsid w:val="00854967"/>
    <w:rsid w:val="0085540B"/>
    <w:rsid w:val="008554EB"/>
    <w:rsid w:val="00855511"/>
    <w:rsid w:val="0085582C"/>
    <w:rsid w:val="00855FD3"/>
    <w:rsid w:val="00857086"/>
    <w:rsid w:val="00857572"/>
    <w:rsid w:val="008579D8"/>
    <w:rsid w:val="00860F1D"/>
    <w:rsid w:val="00860F4D"/>
    <w:rsid w:val="008611DE"/>
    <w:rsid w:val="00861375"/>
    <w:rsid w:val="00861C56"/>
    <w:rsid w:val="00861D0D"/>
    <w:rsid w:val="00861F29"/>
    <w:rsid w:val="008620A2"/>
    <w:rsid w:val="00862741"/>
    <w:rsid w:val="00862BBD"/>
    <w:rsid w:val="00863C9F"/>
    <w:rsid w:val="008645D6"/>
    <w:rsid w:val="00864E4F"/>
    <w:rsid w:val="008651EF"/>
    <w:rsid w:val="0086552B"/>
    <w:rsid w:val="008655A2"/>
    <w:rsid w:val="0086584F"/>
    <w:rsid w:val="00866D3C"/>
    <w:rsid w:val="00866DBD"/>
    <w:rsid w:val="008671C7"/>
    <w:rsid w:val="00867EB8"/>
    <w:rsid w:val="00870335"/>
    <w:rsid w:val="00870AA2"/>
    <w:rsid w:val="008713E8"/>
    <w:rsid w:val="00872A1D"/>
    <w:rsid w:val="00873D88"/>
    <w:rsid w:val="0087433B"/>
    <w:rsid w:val="00875A1C"/>
    <w:rsid w:val="0087621E"/>
    <w:rsid w:val="008767B2"/>
    <w:rsid w:val="00877328"/>
    <w:rsid w:val="0087787A"/>
    <w:rsid w:val="00877BD8"/>
    <w:rsid w:val="008802F0"/>
    <w:rsid w:val="00880992"/>
    <w:rsid w:val="00881692"/>
    <w:rsid w:val="00883143"/>
    <w:rsid w:val="00883A88"/>
    <w:rsid w:val="00884EC8"/>
    <w:rsid w:val="00886154"/>
    <w:rsid w:val="00890277"/>
    <w:rsid w:val="0089061A"/>
    <w:rsid w:val="00890913"/>
    <w:rsid w:val="008915C6"/>
    <w:rsid w:val="00891677"/>
    <w:rsid w:val="00892DB5"/>
    <w:rsid w:val="00894B61"/>
    <w:rsid w:val="00894B8A"/>
    <w:rsid w:val="00894C7D"/>
    <w:rsid w:val="00895255"/>
    <w:rsid w:val="00895DF1"/>
    <w:rsid w:val="0089611E"/>
    <w:rsid w:val="00896538"/>
    <w:rsid w:val="00896645"/>
    <w:rsid w:val="008975D2"/>
    <w:rsid w:val="008A035B"/>
    <w:rsid w:val="008A0459"/>
    <w:rsid w:val="008A1218"/>
    <w:rsid w:val="008A15B6"/>
    <w:rsid w:val="008A1A6E"/>
    <w:rsid w:val="008A1C19"/>
    <w:rsid w:val="008A202A"/>
    <w:rsid w:val="008A36C9"/>
    <w:rsid w:val="008A4024"/>
    <w:rsid w:val="008A580E"/>
    <w:rsid w:val="008A5AF9"/>
    <w:rsid w:val="008A64A0"/>
    <w:rsid w:val="008A74F9"/>
    <w:rsid w:val="008B16DE"/>
    <w:rsid w:val="008B251F"/>
    <w:rsid w:val="008B2602"/>
    <w:rsid w:val="008B2727"/>
    <w:rsid w:val="008B2DAE"/>
    <w:rsid w:val="008B316B"/>
    <w:rsid w:val="008B3AE5"/>
    <w:rsid w:val="008B5059"/>
    <w:rsid w:val="008B5BF2"/>
    <w:rsid w:val="008B6934"/>
    <w:rsid w:val="008B6CF8"/>
    <w:rsid w:val="008B72F6"/>
    <w:rsid w:val="008B7E6F"/>
    <w:rsid w:val="008C119E"/>
    <w:rsid w:val="008C1DCF"/>
    <w:rsid w:val="008C1E24"/>
    <w:rsid w:val="008C296B"/>
    <w:rsid w:val="008C2A46"/>
    <w:rsid w:val="008C2D9C"/>
    <w:rsid w:val="008C4278"/>
    <w:rsid w:val="008C520E"/>
    <w:rsid w:val="008C563B"/>
    <w:rsid w:val="008C567E"/>
    <w:rsid w:val="008C5DEE"/>
    <w:rsid w:val="008C6285"/>
    <w:rsid w:val="008C7182"/>
    <w:rsid w:val="008C7268"/>
    <w:rsid w:val="008C74C1"/>
    <w:rsid w:val="008C7CA5"/>
    <w:rsid w:val="008C7D9D"/>
    <w:rsid w:val="008D02F4"/>
    <w:rsid w:val="008D0416"/>
    <w:rsid w:val="008D0B7E"/>
    <w:rsid w:val="008D13C6"/>
    <w:rsid w:val="008D1B04"/>
    <w:rsid w:val="008D254A"/>
    <w:rsid w:val="008D3235"/>
    <w:rsid w:val="008D33C8"/>
    <w:rsid w:val="008D3893"/>
    <w:rsid w:val="008D431A"/>
    <w:rsid w:val="008D45CD"/>
    <w:rsid w:val="008D49E6"/>
    <w:rsid w:val="008D5396"/>
    <w:rsid w:val="008D55F1"/>
    <w:rsid w:val="008D5CD7"/>
    <w:rsid w:val="008D718E"/>
    <w:rsid w:val="008D7EBB"/>
    <w:rsid w:val="008E041D"/>
    <w:rsid w:val="008E09C5"/>
    <w:rsid w:val="008E0AA7"/>
    <w:rsid w:val="008E2355"/>
    <w:rsid w:val="008E2B84"/>
    <w:rsid w:val="008E3151"/>
    <w:rsid w:val="008E3386"/>
    <w:rsid w:val="008E36DA"/>
    <w:rsid w:val="008E39D7"/>
    <w:rsid w:val="008E4331"/>
    <w:rsid w:val="008E4516"/>
    <w:rsid w:val="008E5410"/>
    <w:rsid w:val="008E5A3F"/>
    <w:rsid w:val="008E7209"/>
    <w:rsid w:val="008E7448"/>
    <w:rsid w:val="008F00B0"/>
    <w:rsid w:val="008F11BB"/>
    <w:rsid w:val="008F16FF"/>
    <w:rsid w:val="008F182F"/>
    <w:rsid w:val="008F1E95"/>
    <w:rsid w:val="008F2304"/>
    <w:rsid w:val="008F50BE"/>
    <w:rsid w:val="008F57DD"/>
    <w:rsid w:val="008F5AEE"/>
    <w:rsid w:val="008F681A"/>
    <w:rsid w:val="008F6ACF"/>
    <w:rsid w:val="008F6EAA"/>
    <w:rsid w:val="008F7800"/>
    <w:rsid w:val="008F7AFA"/>
    <w:rsid w:val="008F7BCA"/>
    <w:rsid w:val="00900F4D"/>
    <w:rsid w:val="0090167B"/>
    <w:rsid w:val="00902D18"/>
    <w:rsid w:val="00902DEC"/>
    <w:rsid w:val="0090342E"/>
    <w:rsid w:val="00903D3A"/>
    <w:rsid w:val="009044B9"/>
    <w:rsid w:val="009047B1"/>
    <w:rsid w:val="00904C86"/>
    <w:rsid w:val="0090680D"/>
    <w:rsid w:val="0091045D"/>
    <w:rsid w:val="0091176C"/>
    <w:rsid w:val="00911A8D"/>
    <w:rsid w:val="0091281A"/>
    <w:rsid w:val="00912B24"/>
    <w:rsid w:val="009139B5"/>
    <w:rsid w:val="00913E0E"/>
    <w:rsid w:val="00914514"/>
    <w:rsid w:val="00914549"/>
    <w:rsid w:val="00914C08"/>
    <w:rsid w:val="00914F2F"/>
    <w:rsid w:val="00916057"/>
    <w:rsid w:val="00916AD1"/>
    <w:rsid w:val="0091702C"/>
    <w:rsid w:val="0091727C"/>
    <w:rsid w:val="00917637"/>
    <w:rsid w:val="009179CE"/>
    <w:rsid w:val="00917FEE"/>
    <w:rsid w:val="0092023D"/>
    <w:rsid w:val="00920472"/>
    <w:rsid w:val="00920C19"/>
    <w:rsid w:val="00921251"/>
    <w:rsid w:val="00921861"/>
    <w:rsid w:val="0092189E"/>
    <w:rsid w:val="009219FD"/>
    <w:rsid w:val="00921DF7"/>
    <w:rsid w:val="00923350"/>
    <w:rsid w:val="009257B0"/>
    <w:rsid w:val="009258BD"/>
    <w:rsid w:val="00925DEB"/>
    <w:rsid w:val="009263C0"/>
    <w:rsid w:val="00930186"/>
    <w:rsid w:val="009302D4"/>
    <w:rsid w:val="009307F2"/>
    <w:rsid w:val="00930CEC"/>
    <w:rsid w:val="00930F4A"/>
    <w:rsid w:val="00932341"/>
    <w:rsid w:val="0093375E"/>
    <w:rsid w:val="00933BEF"/>
    <w:rsid w:val="009372CF"/>
    <w:rsid w:val="0093787E"/>
    <w:rsid w:val="009412CC"/>
    <w:rsid w:val="0094382E"/>
    <w:rsid w:val="0094388B"/>
    <w:rsid w:val="00943D09"/>
    <w:rsid w:val="0094405F"/>
    <w:rsid w:val="009445C7"/>
    <w:rsid w:val="00944826"/>
    <w:rsid w:val="009457A1"/>
    <w:rsid w:val="00947750"/>
    <w:rsid w:val="00947C5D"/>
    <w:rsid w:val="00947CA9"/>
    <w:rsid w:val="00950478"/>
    <w:rsid w:val="00950888"/>
    <w:rsid w:val="00950A14"/>
    <w:rsid w:val="00950AF9"/>
    <w:rsid w:val="00950B5F"/>
    <w:rsid w:val="00950D35"/>
    <w:rsid w:val="0095144C"/>
    <w:rsid w:val="0095165B"/>
    <w:rsid w:val="00951B17"/>
    <w:rsid w:val="00951B8D"/>
    <w:rsid w:val="00952081"/>
    <w:rsid w:val="009536A8"/>
    <w:rsid w:val="00954596"/>
    <w:rsid w:val="00955851"/>
    <w:rsid w:val="00955C63"/>
    <w:rsid w:val="00956552"/>
    <w:rsid w:val="009577D6"/>
    <w:rsid w:val="00957E23"/>
    <w:rsid w:val="00960CA8"/>
    <w:rsid w:val="00961487"/>
    <w:rsid w:val="00961BA7"/>
    <w:rsid w:val="00961F01"/>
    <w:rsid w:val="00962162"/>
    <w:rsid w:val="009622AF"/>
    <w:rsid w:val="009623BC"/>
    <w:rsid w:val="009628BE"/>
    <w:rsid w:val="009630C9"/>
    <w:rsid w:val="009631C8"/>
    <w:rsid w:val="00963AE4"/>
    <w:rsid w:val="00963C14"/>
    <w:rsid w:val="009645CD"/>
    <w:rsid w:val="00965940"/>
    <w:rsid w:val="00965A4E"/>
    <w:rsid w:val="00966BE5"/>
    <w:rsid w:val="00966EB0"/>
    <w:rsid w:val="00971116"/>
    <w:rsid w:val="009721CF"/>
    <w:rsid w:val="00972916"/>
    <w:rsid w:val="00972E28"/>
    <w:rsid w:val="00973030"/>
    <w:rsid w:val="009733F3"/>
    <w:rsid w:val="00973C51"/>
    <w:rsid w:val="009748E4"/>
    <w:rsid w:val="00975EC7"/>
    <w:rsid w:val="00976056"/>
    <w:rsid w:val="00976308"/>
    <w:rsid w:val="00976D65"/>
    <w:rsid w:val="00977CE6"/>
    <w:rsid w:val="009807AC"/>
    <w:rsid w:val="00980C18"/>
    <w:rsid w:val="009810E9"/>
    <w:rsid w:val="0098141C"/>
    <w:rsid w:val="00981AA9"/>
    <w:rsid w:val="00981C91"/>
    <w:rsid w:val="00982AF0"/>
    <w:rsid w:val="00983132"/>
    <w:rsid w:val="00983314"/>
    <w:rsid w:val="00983D1C"/>
    <w:rsid w:val="00983DF2"/>
    <w:rsid w:val="0098433A"/>
    <w:rsid w:val="00985675"/>
    <w:rsid w:val="00985939"/>
    <w:rsid w:val="009859C7"/>
    <w:rsid w:val="0098637F"/>
    <w:rsid w:val="00986A9B"/>
    <w:rsid w:val="00986B9C"/>
    <w:rsid w:val="00987792"/>
    <w:rsid w:val="00987BAB"/>
    <w:rsid w:val="00990205"/>
    <w:rsid w:val="009906BF"/>
    <w:rsid w:val="009913F3"/>
    <w:rsid w:val="00991DA1"/>
    <w:rsid w:val="009927F1"/>
    <w:rsid w:val="009936C4"/>
    <w:rsid w:val="009948ED"/>
    <w:rsid w:val="00995ADA"/>
    <w:rsid w:val="00995B97"/>
    <w:rsid w:val="00995DBD"/>
    <w:rsid w:val="00995FF7"/>
    <w:rsid w:val="0099643A"/>
    <w:rsid w:val="00997959"/>
    <w:rsid w:val="00997F3A"/>
    <w:rsid w:val="009A0BAF"/>
    <w:rsid w:val="009A0FD3"/>
    <w:rsid w:val="009A1431"/>
    <w:rsid w:val="009A153D"/>
    <w:rsid w:val="009A1634"/>
    <w:rsid w:val="009A3A34"/>
    <w:rsid w:val="009A3FE2"/>
    <w:rsid w:val="009A400C"/>
    <w:rsid w:val="009A4B2C"/>
    <w:rsid w:val="009A5592"/>
    <w:rsid w:val="009A59BA"/>
    <w:rsid w:val="009A6100"/>
    <w:rsid w:val="009A6417"/>
    <w:rsid w:val="009B01DF"/>
    <w:rsid w:val="009B020D"/>
    <w:rsid w:val="009B072F"/>
    <w:rsid w:val="009B07A1"/>
    <w:rsid w:val="009B09CC"/>
    <w:rsid w:val="009B173B"/>
    <w:rsid w:val="009B1A1A"/>
    <w:rsid w:val="009B2608"/>
    <w:rsid w:val="009B2A71"/>
    <w:rsid w:val="009B2BF9"/>
    <w:rsid w:val="009B4027"/>
    <w:rsid w:val="009B4975"/>
    <w:rsid w:val="009B561F"/>
    <w:rsid w:val="009B5773"/>
    <w:rsid w:val="009B5890"/>
    <w:rsid w:val="009B5D2D"/>
    <w:rsid w:val="009B7C5F"/>
    <w:rsid w:val="009C058F"/>
    <w:rsid w:val="009C1FA6"/>
    <w:rsid w:val="009C2282"/>
    <w:rsid w:val="009C2354"/>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19F"/>
    <w:rsid w:val="009D535B"/>
    <w:rsid w:val="009D630B"/>
    <w:rsid w:val="009D6CAA"/>
    <w:rsid w:val="009D6CF6"/>
    <w:rsid w:val="009D6E69"/>
    <w:rsid w:val="009E02DC"/>
    <w:rsid w:val="009E1072"/>
    <w:rsid w:val="009E1BC5"/>
    <w:rsid w:val="009E2040"/>
    <w:rsid w:val="009E29C3"/>
    <w:rsid w:val="009E426A"/>
    <w:rsid w:val="009E49AE"/>
    <w:rsid w:val="009E4DC7"/>
    <w:rsid w:val="009E6396"/>
    <w:rsid w:val="009E660A"/>
    <w:rsid w:val="009E6B64"/>
    <w:rsid w:val="009E6F06"/>
    <w:rsid w:val="009E72E5"/>
    <w:rsid w:val="009F1283"/>
    <w:rsid w:val="009F3ECD"/>
    <w:rsid w:val="009F3FD9"/>
    <w:rsid w:val="009F46C8"/>
    <w:rsid w:val="009F4F2A"/>
    <w:rsid w:val="009F660B"/>
    <w:rsid w:val="009F671E"/>
    <w:rsid w:val="009F6B05"/>
    <w:rsid w:val="009F7ED1"/>
    <w:rsid w:val="00A00537"/>
    <w:rsid w:val="00A0149B"/>
    <w:rsid w:val="00A01607"/>
    <w:rsid w:val="00A018D4"/>
    <w:rsid w:val="00A02401"/>
    <w:rsid w:val="00A02F9D"/>
    <w:rsid w:val="00A03767"/>
    <w:rsid w:val="00A04834"/>
    <w:rsid w:val="00A05097"/>
    <w:rsid w:val="00A05628"/>
    <w:rsid w:val="00A05AC2"/>
    <w:rsid w:val="00A07BAE"/>
    <w:rsid w:val="00A07DCF"/>
    <w:rsid w:val="00A12979"/>
    <w:rsid w:val="00A131A9"/>
    <w:rsid w:val="00A13301"/>
    <w:rsid w:val="00A1496E"/>
    <w:rsid w:val="00A14F84"/>
    <w:rsid w:val="00A16D6D"/>
    <w:rsid w:val="00A17C75"/>
    <w:rsid w:val="00A20019"/>
    <w:rsid w:val="00A211C8"/>
    <w:rsid w:val="00A2121E"/>
    <w:rsid w:val="00A21EAC"/>
    <w:rsid w:val="00A221DE"/>
    <w:rsid w:val="00A229F3"/>
    <w:rsid w:val="00A22CB2"/>
    <w:rsid w:val="00A23138"/>
    <w:rsid w:val="00A23940"/>
    <w:rsid w:val="00A23ECC"/>
    <w:rsid w:val="00A24CD3"/>
    <w:rsid w:val="00A25461"/>
    <w:rsid w:val="00A26367"/>
    <w:rsid w:val="00A2678A"/>
    <w:rsid w:val="00A269E1"/>
    <w:rsid w:val="00A2764F"/>
    <w:rsid w:val="00A27C1C"/>
    <w:rsid w:val="00A30E27"/>
    <w:rsid w:val="00A30F6A"/>
    <w:rsid w:val="00A32AEA"/>
    <w:rsid w:val="00A32F32"/>
    <w:rsid w:val="00A335AE"/>
    <w:rsid w:val="00A33E80"/>
    <w:rsid w:val="00A33EFE"/>
    <w:rsid w:val="00A35385"/>
    <w:rsid w:val="00A37484"/>
    <w:rsid w:val="00A37BF4"/>
    <w:rsid w:val="00A409A2"/>
    <w:rsid w:val="00A4148D"/>
    <w:rsid w:val="00A423B9"/>
    <w:rsid w:val="00A426B9"/>
    <w:rsid w:val="00A44D0E"/>
    <w:rsid w:val="00A4621D"/>
    <w:rsid w:val="00A509FB"/>
    <w:rsid w:val="00A51715"/>
    <w:rsid w:val="00A518D6"/>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843"/>
    <w:rsid w:val="00A56D0B"/>
    <w:rsid w:val="00A56FFA"/>
    <w:rsid w:val="00A5775C"/>
    <w:rsid w:val="00A60878"/>
    <w:rsid w:val="00A60E72"/>
    <w:rsid w:val="00A61F0C"/>
    <w:rsid w:val="00A61FBC"/>
    <w:rsid w:val="00A61FF0"/>
    <w:rsid w:val="00A62580"/>
    <w:rsid w:val="00A62E1C"/>
    <w:rsid w:val="00A63AC9"/>
    <w:rsid w:val="00A63C80"/>
    <w:rsid w:val="00A64502"/>
    <w:rsid w:val="00A64AFC"/>
    <w:rsid w:val="00A64B5F"/>
    <w:rsid w:val="00A65A28"/>
    <w:rsid w:val="00A65EA0"/>
    <w:rsid w:val="00A66517"/>
    <w:rsid w:val="00A67B0E"/>
    <w:rsid w:val="00A718EF"/>
    <w:rsid w:val="00A71BFE"/>
    <w:rsid w:val="00A72134"/>
    <w:rsid w:val="00A7229D"/>
    <w:rsid w:val="00A726A8"/>
    <w:rsid w:val="00A72951"/>
    <w:rsid w:val="00A73505"/>
    <w:rsid w:val="00A75E02"/>
    <w:rsid w:val="00A760CE"/>
    <w:rsid w:val="00A76E79"/>
    <w:rsid w:val="00A7771B"/>
    <w:rsid w:val="00A77B53"/>
    <w:rsid w:val="00A811F1"/>
    <w:rsid w:val="00A82887"/>
    <w:rsid w:val="00A83010"/>
    <w:rsid w:val="00A83BF5"/>
    <w:rsid w:val="00A84654"/>
    <w:rsid w:val="00A84CD1"/>
    <w:rsid w:val="00A84D4F"/>
    <w:rsid w:val="00A85E2E"/>
    <w:rsid w:val="00A861F3"/>
    <w:rsid w:val="00A8700C"/>
    <w:rsid w:val="00A8728F"/>
    <w:rsid w:val="00A8756A"/>
    <w:rsid w:val="00A87F7D"/>
    <w:rsid w:val="00A906B7"/>
    <w:rsid w:val="00A9070E"/>
    <w:rsid w:val="00A91F7C"/>
    <w:rsid w:val="00A92DD4"/>
    <w:rsid w:val="00A94D0F"/>
    <w:rsid w:val="00A94E06"/>
    <w:rsid w:val="00A94F13"/>
    <w:rsid w:val="00A9568C"/>
    <w:rsid w:val="00A95BED"/>
    <w:rsid w:val="00A95EA2"/>
    <w:rsid w:val="00A97350"/>
    <w:rsid w:val="00A9787E"/>
    <w:rsid w:val="00A97AF9"/>
    <w:rsid w:val="00AA08E8"/>
    <w:rsid w:val="00AA0DB4"/>
    <w:rsid w:val="00AA11C5"/>
    <w:rsid w:val="00AA17E2"/>
    <w:rsid w:val="00AA21B7"/>
    <w:rsid w:val="00AA3827"/>
    <w:rsid w:val="00AA382D"/>
    <w:rsid w:val="00AA4A2C"/>
    <w:rsid w:val="00AA59A6"/>
    <w:rsid w:val="00AA6299"/>
    <w:rsid w:val="00AA6E05"/>
    <w:rsid w:val="00AA7224"/>
    <w:rsid w:val="00AA7497"/>
    <w:rsid w:val="00AB0262"/>
    <w:rsid w:val="00AB0EB0"/>
    <w:rsid w:val="00AB12C8"/>
    <w:rsid w:val="00AB14A1"/>
    <w:rsid w:val="00AB202A"/>
    <w:rsid w:val="00AB4383"/>
    <w:rsid w:val="00AB5324"/>
    <w:rsid w:val="00AB5555"/>
    <w:rsid w:val="00AB55AD"/>
    <w:rsid w:val="00AB5D1B"/>
    <w:rsid w:val="00AB6918"/>
    <w:rsid w:val="00AB6B40"/>
    <w:rsid w:val="00AB740A"/>
    <w:rsid w:val="00AC1DA5"/>
    <w:rsid w:val="00AC216B"/>
    <w:rsid w:val="00AC26B1"/>
    <w:rsid w:val="00AC3151"/>
    <w:rsid w:val="00AC3724"/>
    <w:rsid w:val="00AC3791"/>
    <w:rsid w:val="00AC42B8"/>
    <w:rsid w:val="00AC42C4"/>
    <w:rsid w:val="00AC45C5"/>
    <w:rsid w:val="00AC4791"/>
    <w:rsid w:val="00AC4F06"/>
    <w:rsid w:val="00AC4FB6"/>
    <w:rsid w:val="00AC4FD1"/>
    <w:rsid w:val="00AC5BE0"/>
    <w:rsid w:val="00AC5FEF"/>
    <w:rsid w:val="00AC6036"/>
    <w:rsid w:val="00AC65DC"/>
    <w:rsid w:val="00AC6846"/>
    <w:rsid w:val="00AC6F04"/>
    <w:rsid w:val="00AC72A9"/>
    <w:rsid w:val="00AD0328"/>
    <w:rsid w:val="00AD11DC"/>
    <w:rsid w:val="00AD1966"/>
    <w:rsid w:val="00AD19E8"/>
    <w:rsid w:val="00AD1E4C"/>
    <w:rsid w:val="00AD2672"/>
    <w:rsid w:val="00AD2B03"/>
    <w:rsid w:val="00AD2E07"/>
    <w:rsid w:val="00AD2E1F"/>
    <w:rsid w:val="00AD38A9"/>
    <w:rsid w:val="00AD3D15"/>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262"/>
    <w:rsid w:val="00AE327F"/>
    <w:rsid w:val="00AE380E"/>
    <w:rsid w:val="00AE3AAD"/>
    <w:rsid w:val="00AE4189"/>
    <w:rsid w:val="00AE503A"/>
    <w:rsid w:val="00AE68E2"/>
    <w:rsid w:val="00AE70F0"/>
    <w:rsid w:val="00AF0157"/>
    <w:rsid w:val="00AF05CA"/>
    <w:rsid w:val="00AF1B2E"/>
    <w:rsid w:val="00AF2A9B"/>
    <w:rsid w:val="00AF2EC7"/>
    <w:rsid w:val="00AF3AC0"/>
    <w:rsid w:val="00AF4F4A"/>
    <w:rsid w:val="00B00C24"/>
    <w:rsid w:val="00B00F93"/>
    <w:rsid w:val="00B011E0"/>
    <w:rsid w:val="00B0146B"/>
    <w:rsid w:val="00B01BBE"/>
    <w:rsid w:val="00B02864"/>
    <w:rsid w:val="00B03F92"/>
    <w:rsid w:val="00B04755"/>
    <w:rsid w:val="00B055D8"/>
    <w:rsid w:val="00B063C5"/>
    <w:rsid w:val="00B06CD6"/>
    <w:rsid w:val="00B06EBC"/>
    <w:rsid w:val="00B11D2D"/>
    <w:rsid w:val="00B12233"/>
    <w:rsid w:val="00B123F0"/>
    <w:rsid w:val="00B12891"/>
    <w:rsid w:val="00B146C1"/>
    <w:rsid w:val="00B146E7"/>
    <w:rsid w:val="00B156DF"/>
    <w:rsid w:val="00B15ABB"/>
    <w:rsid w:val="00B15D02"/>
    <w:rsid w:val="00B16973"/>
    <w:rsid w:val="00B2036A"/>
    <w:rsid w:val="00B21057"/>
    <w:rsid w:val="00B2202B"/>
    <w:rsid w:val="00B23422"/>
    <w:rsid w:val="00B24948"/>
    <w:rsid w:val="00B24CBD"/>
    <w:rsid w:val="00B25CA3"/>
    <w:rsid w:val="00B27C30"/>
    <w:rsid w:val="00B30028"/>
    <w:rsid w:val="00B305D5"/>
    <w:rsid w:val="00B31E8D"/>
    <w:rsid w:val="00B3313B"/>
    <w:rsid w:val="00B331E8"/>
    <w:rsid w:val="00B331EA"/>
    <w:rsid w:val="00B34732"/>
    <w:rsid w:val="00B350A6"/>
    <w:rsid w:val="00B353B8"/>
    <w:rsid w:val="00B35C56"/>
    <w:rsid w:val="00B36F17"/>
    <w:rsid w:val="00B372ED"/>
    <w:rsid w:val="00B40603"/>
    <w:rsid w:val="00B40AF6"/>
    <w:rsid w:val="00B41071"/>
    <w:rsid w:val="00B415F6"/>
    <w:rsid w:val="00B425C0"/>
    <w:rsid w:val="00B42DB6"/>
    <w:rsid w:val="00B457BB"/>
    <w:rsid w:val="00B46957"/>
    <w:rsid w:val="00B47B54"/>
    <w:rsid w:val="00B50E99"/>
    <w:rsid w:val="00B51926"/>
    <w:rsid w:val="00B51F9A"/>
    <w:rsid w:val="00B533EE"/>
    <w:rsid w:val="00B54DA7"/>
    <w:rsid w:val="00B57571"/>
    <w:rsid w:val="00B600C6"/>
    <w:rsid w:val="00B60167"/>
    <w:rsid w:val="00B6086D"/>
    <w:rsid w:val="00B60FC0"/>
    <w:rsid w:val="00B61665"/>
    <w:rsid w:val="00B61705"/>
    <w:rsid w:val="00B6213C"/>
    <w:rsid w:val="00B62145"/>
    <w:rsid w:val="00B63528"/>
    <w:rsid w:val="00B63DAF"/>
    <w:rsid w:val="00B63E98"/>
    <w:rsid w:val="00B65754"/>
    <w:rsid w:val="00B6578B"/>
    <w:rsid w:val="00B661AA"/>
    <w:rsid w:val="00B66242"/>
    <w:rsid w:val="00B670D3"/>
    <w:rsid w:val="00B67958"/>
    <w:rsid w:val="00B701D1"/>
    <w:rsid w:val="00B716BB"/>
    <w:rsid w:val="00B716FD"/>
    <w:rsid w:val="00B734C2"/>
    <w:rsid w:val="00B739B7"/>
    <w:rsid w:val="00B73BDA"/>
    <w:rsid w:val="00B74053"/>
    <w:rsid w:val="00B747E8"/>
    <w:rsid w:val="00B765A0"/>
    <w:rsid w:val="00B76C02"/>
    <w:rsid w:val="00B77207"/>
    <w:rsid w:val="00B77BD2"/>
    <w:rsid w:val="00B80030"/>
    <w:rsid w:val="00B814CB"/>
    <w:rsid w:val="00B81B6A"/>
    <w:rsid w:val="00B820F4"/>
    <w:rsid w:val="00B82A2F"/>
    <w:rsid w:val="00B830B8"/>
    <w:rsid w:val="00B835E0"/>
    <w:rsid w:val="00B8396D"/>
    <w:rsid w:val="00B83B9D"/>
    <w:rsid w:val="00B85AB3"/>
    <w:rsid w:val="00B85F93"/>
    <w:rsid w:val="00B862CE"/>
    <w:rsid w:val="00B863FB"/>
    <w:rsid w:val="00B90316"/>
    <w:rsid w:val="00B90331"/>
    <w:rsid w:val="00B903ED"/>
    <w:rsid w:val="00B90700"/>
    <w:rsid w:val="00B90B2D"/>
    <w:rsid w:val="00B91F0E"/>
    <w:rsid w:val="00B935A1"/>
    <w:rsid w:val="00B94F5B"/>
    <w:rsid w:val="00B95603"/>
    <w:rsid w:val="00B95DAD"/>
    <w:rsid w:val="00B96C0C"/>
    <w:rsid w:val="00B96CBE"/>
    <w:rsid w:val="00B9734D"/>
    <w:rsid w:val="00B97732"/>
    <w:rsid w:val="00B97D27"/>
    <w:rsid w:val="00BA27F4"/>
    <w:rsid w:val="00BA2E40"/>
    <w:rsid w:val="00BA3CB7"/>
    <w:rsid w:val="00BA41DE"/>
    <w:rsid w:val="00BA45A3"/>
    <w:rsid w:val="00BA4EB7"/>
    <w:rsid w:val="00BA535C"/>
    <w:rsid w:val="00BA556C"/>
    <w:rsid w:val="00BA6A44"/>
    <w:rsid w:val="00BA7EB2"/>
    <w:rsid w:val="00BB0F31"/>
    <w:rsid w:val="00BB15AB"/>
    <w:rsid w:val="00BB189B"/>
    <w:rsid w:val="00BB1D21"/>
    <w:rsid w:val="00BB2B9D"/>
    <w:rsid w:val="00BB2E51"/>
    <w:rsid w:val="00BB2FA5"/>
    <w:rsid w:val="00BB4BEA"/>
    <w:rsid w:val="00BB4C1A"/>
    <w:rsid w:val="00BB50AB"/>
    <w:rsid w:val="00BB6664"/>
    <w:rsid w:val="00BC01FC"/>
    <w:rsid w:val="00BC1F79"/>
    <w:rsid w:val="00BC2201"/>
    <w:rsid w:val="00BC36CA"/>
    <w:rsid w:val="00BC3AC7"/>
    <w:rsid w:val="00BC3C7A"/>
    <w:rsid w:val="00BC5D17"/>
    <w:rsid w:val="00BC6832"/>
    <w:rsid w:val="00BC7DC6"/>
    <w:rsid w:val="00BD1039"/>
    <w:rsid w:val="00BD13B5"/>
    <w:rsid w:val="00BD243E"/>
    <w:rsid w:val="00BD2EFC"/>
    <w:rsid w:val="00BD340E"/>
    <w:rsid w:val="00BD4B0C"/>
    <w:rsid w:val="00BD60AD"/>
    <w:rsid w:val="00BD6C02"/>
    <w:rsid w:val="00BE09CF"/>
    <w:rsid w:val="00BE1244"/>
    <w:rsid w:val="00BE165D"/>
    <w:rsid w:val="00BE2356"/>
    <w:rsid w:val="00BE2394"/>
    <w:rsid w:val="00BE2702"/>
    <w:rsid w:val="00BE4326"/>
    <w:rsid w:val="00BE5C65"/>
    <w:rsid w:val="00BE5F4F"/>
    <w:rsid w:val="00BE60DB"/>
    <w:rsid w:val="00BE72AF"/>
    <w:rsid w:val="00BE7358"/>
    <w:rsid w:val="00BF0191"/>
    <w:rsid w:val="00BF1013"/>
    <w:rsid w:val="00BF13EC"/>
    <w:rsid w:val="00BF1C07"/>
    <w:rsid w:val="00BF27C6"/>
    <w:rsid w:val="00BF3DEE"/>
    <w:rsid w:val="00BF54AC"/>
    <w:rsid w:val="00BF54BD"/>
    <w:rsid w:val="00BF6B8E"/>
    <w:rsid w:val="00BF7817"/>
    <w:rsid w:val="00C025A5"/>
    <w:rsid w:val="00C031A7"/>
    <w:rsid w:val="00C03C78"/>
    <w:rsid w:val="00C04FD3"/>
    <w:rsid w:val="00C058AB"/>
    <w:rsid w:val="00C065A2"/>
    <w:rsid w:val="00C07919"/>
    <w:rsid w:val="00C103F9"/>
    <w:rsid w:val="00C104AC"/>
    <w:rsid w:val="00C110E1"/>
    <w:rsid w:val="00C1198F"/>
    <w:rsid w:val="00C11FA1"/>
    <w:rsid w:val="00C12E21"/>
    <w:rsid w:val="00C12E65"/>
    <w:rsid w:val="00C13C20"/>
    <w:rsid w:val="00C13ED1"/>
    <w:rsid w:val="00C13F74"/>
    <w:rsid w:val="00C146D3"/>
    <w:rsid w:val="00C14A90"/>
    <w:rsid w:val="00C16953"/>
    <w:rsid w:val="00C16BE0"/>
    <w:rsid w:val="00C21335"/>
    <w:rsid w:val="00C21C39"/>
    <w:rsid w:val="00C2325C"/>
    <w:rsid w:val="00C239ED"/>
    <w:rsid w:val="00C24D9D"/>
    <w:rsid w:val="00C24FF2"/>
    <w:rsid w:val="00C25CF3"/>
    <w:rsid w:val="00C263E9"/>
    <w:rsid w:val="00C26B18"/>
    <w:rsid w:val="00C2775A"/>
    <w:rsid w:val="00C30410"/>
    <w:rsid w:val="00C3052C"/>
    <w:rsid w:val="00C3063A"/>
    <w:rsid w:val="00C30BAD"/>
    <w:rsid w:val="00C31E8F"/>
    <w:rsid w:val="00C335DA"/>
    <w:rsid w:val="00C33D3E"/>
    <w:rsid w:val="00C362E0"/>
    <w:rsid w:val="00C36ED4"/>
    <w:rsid w:val="00C376CC"/>
    <w:rsid w:val="00C400F7"/>
    <w:rsid w:val="00C4023F"/>
    <w:rsid w:val="00C40EC6"/>
    <w:rsid w:val="00C419AD"/>
    <w:rsid w:val="00C41B5F"/>
    <w:rsid w:val="00C4372E"/>
    <w:rsid w:val="00C437BA"/>
    <w:rsid w:val="00C44395"/>
    <w:rsid w:val="00C443B3"/>
    <w:rsid w:val="00C45CE8"/>
    <w:rsid w:val="00C46313"/>
    <w:rsid w:val="00C46877"/>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69A"/>
    <w:rsid w:val="00C53A4C"/>
    <w:rsid w:val="00C5448D"/>
    <w:rsid w:val="00C5477F"/>
    <w:rsid w:val="00C547B7"/>
    <w:rsid w:val="00C54981"/>
    <w:rsid w:val="00C5503B"/>
    <w:rsid w:val="00C55A32"/>
    <w:rsid w:val="00C564F2"/>
    <w:rsid w:val="00C56F11"/>
    <w:rsid w:val="00C61F3A"/>
    <w:rsid w:val="00C62447"/>
    <w:rsid w:val="00C629CB"/>
    <w:rsid w:val="00C62B75"/>
    <w:rsid w:val="00C62CB1"/>
    <w:rsid w:val="00C657B5"/>
    <w:rsid w:val="00C661E1"/>
    <w:rsid w:val="00C66686"/>
    <w:rsid w:val="00C66E4E"/>
    <w:rsid w:val="00C678C4"/>
    <w:rsid w:val="00C71215"/>
    <w:rsid w:val="00C71632"/>
    <w:rsid w:val="00C7216B"/>
    <w:rsid w:val="00C723C6"/>
    <w:rsid w:val="00C727BE"/>
    <w:rsid w:val="00C72B5C"/>
    <w:rsid w:val="00C732A9"/>
    <w:rsid w:val="00C73448"/>
    <w:rsid w:val="00C73E2E"/>
    <w:rsid w:val="00C74546"/>
    <w:rsid w:val="00C748E2"/>
    <w:rsid w:val="00C75C8C"/>
    <w:rsid w:val="00C75EC2"/>
    <w:rsid w:val="00C7776C"/>
    <w:rsid w:val="00C7778C"/>
    <w:rsid w:val="00C77B0D"/>
    <w:rsid w:val="00C81618"/>
    <w:rsid w:val="00C837BD"/>
    <w:rsid w:val="00C8398D"/>
    <w:rsid w:val="00C84BC2"/>
    <w:rsid w:val="00C85139"/>
    <w:rsid w:val="00C8544F"/>
    <w:rsid w:val="00C85657"/>
    <w:rsid w:val="00C859AA"/>
    <w:rsid w:val="00C85A50"/>
    <w:rsid w:val="00C90770"/>
    <w:rsid w:val="00C91C88"/>
    <w:rsid w:val="00C93516"/>
    <w:rsid w:val="00C939C3"/>
    <w:rsid w:val="00C94228"/>
    <w:rsid w:val="00C96D56"/>
    <w:rsid w:val="00C97356"/>
    <w:rsid w:val="00C977E6"/>
    <w:rsid w:val="00CA0020"/>
    <w:rsid w:val="00CA07B2"/>
    <w:rsid w:val="00CA0B2E"/>
    <w:rsid w:val="00CA18CA"/>
    <w:rsid w:val="00CA254A"/>
    <w:rsid w:val="00CA2557"/>
    <w:rsid w:val="00CA2AA1"/>
    <w:rsid w:val="00CA5413"/>
    <w:rsid w:val="00CA5674"/>
    <w:rsid w:val="00CA5BDA"/>
    <w:rsid w:val="00CA5C1A"/>
    <w:rsid w:val="00CA612D"/>
    <w:rsid w:val="00CA633F"/>
    <w:rsid w:val="00CA641E"/>
    <w:rsid w:val="00CA7558"/>
    <w:rsid w:val="00CA785F"/>
    <w:rsid w:val="00CA792A"/>
    <w:rsid w:val="00CA7949"/>
    <w:rsid w:val="00CA7D9A"/>
    <w:rsid w:val="00CA7EFE"/>
    <w:rsid w:val="00CB0400"/>
    <w:rsid w:val="00CB0C6E"/>
    <w:rsid w:val="00CB0C89"/>
    <w:rsid w:val="00CB226B"/>
    <w:rsid w:val="00CB229B"/>
    <w:rsid w:val="00CB33B4"/>
    <w:rsid w:val="00CB3D93"/>
    <w:rsid w:val="00CB4441"/>
    <w:rsid w:val="00CB4B1A"/>
    <w:rsid w:val="00CB4E1F"/>
    <w:rsid w:val="00CB55C3"/>
    <w:rsid w:val="00CB79D4"/>
    <w:rsid w:val="00CC152E"/>
    <w:rsid w:val="00CC2493"/>
    <w:rsid w:val="00CC3222"/>
    <w:rsid w:val="00CC35F1"/>
    <w:rsid w:val="00CC35FF"/>
    <w:rsid w:val="00CD0E6E"/>
    <w:rsid w:val="00CD18B4"/>
    <w:rsid w:val="00CD23AE"/>
    <w:rsid w:val="00CD24F9"/>
    <w:rsid w:val="00CD27DF"/>
    <w:rsid w:val="00CD2D8A"/>
    <w:rsid w:val="00CD3BAC"/>
    <w:rsid w:val="00CD3FF2"/>
    <w:rsid w:val="00CD4A65"/>
    <w:rsid w:val="00CD531F"/>
    <w:rsid w:val="00CD6FA3"/>
    <w:rsid w:val="00CD7021"/>
    <w:rsid w:val="00CD7221"/>
    <w:rsid w:val="00CD7CF6"/>
    <w:rsid w:val="00CE03BC"/>
    <w:rsid w:val="00CE1130"/>
    <w:rsid w:val="00CE2184"/>
    <w:rsid w:val="00CE3B7F"/>
    <w:rsid w:val="00CE3FA2"/>
    <w:rsid w:val="00CE41A0"/>
    <w:rsid w:val="00CE4958"/>
    <w:rsid w:val="00CE68E2"/>
    <w:rsid w:val="00CE706E"/>
    <w:rsid w:val="00CE70B1"/>
    <w:rsid w:val="00CE7AE4"/>
    <w:rsid w:val="00CF0432"/>
    <w:rsid w:val="00CF0A4C"/>
    <w:rsid w:val="00CF150A"/>
    <w:rsid w:val="00CF2225"/>
    <w:rsid w:val="00CF25E7"/>
    <w:rsid w:val="00CF354E"/>
    <w:rsid w:val="00CF3871"/>
    <w:rsid w:val="00CF3C2D"/>
    <w:rsid w:val="00CF3C77"/>
    <w:rsid w:val="00CF45A2"/>
    <w:rsid w:val="00CF52E7"/>
    <w:rsid w:val="00CF6337"/>
    <w:rsid w:val="00CF64B5"/>
    <w:rsid w:val="00CF7853"/>
    <w:rsid w:val="00CF7F87"/>
    <w:rsid w:val="00D004ED"/>
    <w:rsid w:val="00D0260F"/>
    <w:rsid w:val="00D03708"/>
    <w:rsid w:val="00D043B2"/>
    <w:rsid w:val="00D04C51"/>
    <w:rsid w:val="00D05C58"/>
    <w:rsid w:val="00D06776"/>
    <w:rsid w:val="00D06E46"/>
    <w:rsid w:val="00D06F95"/>
    <w:rsid w:val="00D07716"/>
    <w:rsid w:val="00D07F88"/>
    <w:rsid w:val="00D1158C"/>
    <w:rsid w:val="00D11600"/>
    <w:rsid w:val="00D119A2"/>
    <w:rsid w:val="00D11ED0"/>
    <w:rsid w:val="00D12E31"/>
    <w:rsid w:val="00D137F9"/>
    <w:rsid w:val="00D1458C"/>
    <w:rsid w:val="00D1620E"/>
    <w:rsid w:val="00D16867"/>
    <w:rsid w:val="00D16EEC"/>
    <w:rsid w:val="00D17A19"/>
    <w:rsid w:val="00D2047A"/>
    <w:rsid w:val="00D20631"/>
    <w:rsid w:val="00D207FC"/>
    <w:rsid w:val="00D216EB"/>
    <w:rsid w:val="00D2260B"/>
    <w:rsid w:val="00D22889"/>
    <w:rsid w:val="00D22D49"/>
    <w:rsid w:val="00D231FD"/>
    <w:rsid w:val="00D23930"/>
    <w:rsid w:val="00D23A23"/>
    <w:rsid w:val="00D24046"/>
    <w:rsid w:val="00D24D8A"/>
    <w:rsid w:val="00D24DA4"/>
    <w:rsid w:val="00D25235"/>
    <w:rsid w:val="00D25383"/>
    <w:rsid w:val="00D25670"/>
    <w:rsid w:val="00D2597B"/>
    <w:rsid w:val="00D301FF"/>
    <w:rsid w:val="00D30EF8"/>
    <w:rsid w:val="00D31AA5"/>
    <w:rsid w:val="00D3257F"/>
    <w:rsid w:val="00D340E2"/>
    <w:rsid w:val="00D34B38"/>
    <w:rsid w:val="00D36887"/>
    <w:rsid w:val="00D3745D"/>
    <w:rsid w:val="00D37563"/>
    <w:rsid w:val="00D379EB"/>
    <w:rsid w:val="00D400B8"/>
    <w:rsid w:val="00D4022C"/>
    <w:rsid w:val="00D41023"/>
    <w:rsid w:val="00D41C6C"/>
    <w:rsid w:val="00D42465"/>
    <w:rsid w:val="00D42E5B"/>
    <w:rsid w:val="00D439D1"/>
    <w:rsid w:val="00D43C68"/>
    <w:rsid w:val="00D444B2"/>
    <w:rsid w:val="00D453E4"/>
    <w:rsid w:val="00D47226"/>
    <w:rsid w:val="00D47227"/>
    <w:rsid w:val="00D506BB"/>
    <w:rsid w:val="00D50B21"/>
    <w:rsid w:val="00D51349"/>
    <w:rsid w:val="00D52711"/>
    <w:rsid w:val="00D527AF"/>
    <w:rsid w:val="00D529E1"/>
    <w:rsid w:val="00D534C2"/>
    <w:rsid w:val="00D5410F"/>
    <w:rsid w:val="00D546BD"/>
    <w:rsid w:val="00D564DF"/>
    <w:rsid w:val="00D576DD"/>
    <w:rsid w:val="00D57AE8"/>
    <w:rsid w:val="00D57CB4"/>
    <w:rsid w:val="00D61477"/>
    <w:rsid w:val="00D619E2"/>
    <w:rsid w:val="00D62036"/>
    <w:rsid w:val="00D620CC"/>
    <w:rsid w:val="00D634B8"/>
    <w:rsid w:val="00D63EF3"/>
    <w:rsid w:val="00D64441"/>
    <w:rsid w:val="00D64DDC"/>
    <w:rsid w:val="00D64FB0"/>
    <w:rsid w:val="00D65497"/>
    <w:rsid w:val="00D654DA"/>
    <w:rsid w:val="00D6609E"/>
    <w:rsid w:val="00D67A9F"/>
    <w:rsid w:val="00D67C20"/>
    <w:rsid w:val="00D705D2"/>
    <w:rsid w:val="00D70AF8"/>
    <w:rsid w:val="00D70C1B"/>
    <w:rsid w:val="00D70E5C"/>
    <w:rsid w:val="00D71371"/>
    <w:rsid w:val="00D7146C"/>
    <w:rsid w:val="00D718CD"/>
    <w:rsid w:val="00D720AF"/>
    <w:rsid w:val="00D7416F"/>
    <w:rsid w:val="00D755F2"/>
    <w:rsid w:val="00D762AC"/>
    <w:rsid w:val="00D775E7"/>
    <w:rsid w:val="00D77B9E"/>
    <w:rsid w:val="00D77FE1"/>
    <w:rsid w:val="00D804B7"/>
    <w:rsid w:val="00D81CA9"/>
    <w:rsid w:val="00D839D8"/>
    <w:rsid w:val="00D83F9E"/>
    <w:rsid w:val="00D840C2"/>
    <w:rsid w:val="00D84562"/>
    <w:rsid w:val="00D84C58"/>
    <w:rsid w:val="00D85C16"/>
    <w:rsid w:val="00D86169"/>
    <w:rsid w:val="00D868B9"/>
    <w:rsid w:val="00D8732E"/>
    <w:rsid w:val="00D87E63"/>
    <w:rsid w:val="00D91294"/>
    <w:rsid w:val="00D9186A"/>
    <w:rsid w:val="00D91B40"/>
    <w:rsid w:val="00D92D47"/>
    <w:rsid w:val="00D93CB3"/>
    <w:rsid w:val="00D94213"/>
    <w:rsid w:val="00D94BEB"/>
    <w:rsid w:val="00D94EA5"/>
    <w:rsid w:val="00D95F32"/>
    <w:rsid w:val="00D9762A"/>
    <w:rsid w:val="00DA024A"/>
    <w:rsid w:val="00DA07EE"/>
    <w:rsid w:val="00DA0A58"/>
    <w:rsid w:val="00DA1C85"/>
    <w:rsid w:val="00DA1CC9"/>
    <w:rsid w:val="00DA2E58"/>
    <w:rsid w:val="00DA328E"/>
    <w:rsid w:val="00DA3AA6"/>
    <w:rsid w:val="00DA46C1"/>
    <w:rsid w:val="00DA4E5A"/>
    <w:rsid w:val="00DA70DD"/>
    <w:rsid w:val="00DB088F"/>
    <w:rsid w:val="00DB0B4A"/>
    <w:rsid w:val="00DB1487"/>
    <w:rsid w:val="00DB19B4"/>
    <w:rsid w:val="00DB19F1"/>
    <w:rsid w:val="00DB26AE"/>
    <w:rsid w:val="00DB4411"/>
    <w:rsid w:val="00DB466D"/>
    <w:rsid w:val="00DB538B"/>
    <w:rsid w:val="00DB5FD0"/>
    <w:rsid w:val="00DB7395"/>
    <w:rsid w:val="00DB7512"/>
    <w:rsid w:val="00DB75C2"/>
    <w:rsid w:val="00DB7E13"/>
    <w:rsid w:val="00DB7E2C"/>
    <w:rsid w:val="00DC027B"/>
    <w:rsid w:val="00DC0A64"/>
    <w:rsid w:val="00DC0FC4"/>
    <w:rsid w:val="00DC1B9A"/>
    <w:rsid w:val="00DC2344"/>
    <w:rsid w:val="00DC2E4F"/>
    <w:rsid w:val="00DC384C"/>
    <w:rsid w:val="00DC40C4"/>
    <w:rsid w:val="00DC4AFD"/>
    <w:rsid w:val="00DC4D87"/>
    <w:rsid w:val="00DC4D8A"/>
    <w:rsid w:val="00DC5D40"/>
    <w:rsid w:val="00DC6DF6"/>
    <w:rsid w:val="00DC7BFE"/>
    <w:rsid w:val="00DD08C7"/>
    <w:rsid w:val="00DD1A10"/>
    <w:rsid w:val="00DD200D"/>
    <w:rsid w:val="00DD2990"/>
    <w:rsid w:val="00DD2DE2"/>
    <w:rsid w:val="00DD2FE9"/>
    <w:rsid w:val="00DD3A7E"/>
    <w:rsid w:val="00DD434E"/>
    <w:rsid w:val="00DD4402"/>
    <w:rsid w:val="00DD60D0"/>
    <w:rsid w:val="00DD60E4"/>
    <w:rsid w:val="00DD6200"/>
    <w:rsid w:val="00DD686C"/>
    <w:rsid w:val="00DD6A21"/>
    <w:rsid w:val="00DD6C02"/>
    <w:rsid w:val="00DD6E86"/>
    <w:rsid w:val="00DD754B"/>
    <w:rsid w:val="00DD75BA"/>
    <w:rsid w:val="00DE0E5D"/>
    <w:rsid w:val="00DE1D99"/>
    <w:rsid w:val="00DE447F"/>
    <w:rsid w:val="00DE48F0"/>
    <w:rsid w:val="00DE4A77"/>
    <w:rsid w:val="00DE51ED"/>
    <w:rsid w:val="00DE68EE"/>
    <w:rsid w:val="00DE6D24"/>
    <w:rsid w:val="00DE7285"/>
    <w:rsid w:val="00DE7C40"/>
    <w:rsid w:val="00DF04EE"/>
    <w:rsid w:val="00DF0EA5"/>
    <w:rsid w:val="00DF1F1D"/>
    <w:rsid w:val="00DF23A5"/>
    <w:rsid w:val="00DF2A60"/>
    <w:rsid w:val="00DF4C6E"/>
    <w:rsid w:val="00DF6666"/>
    <w:rsid w:val="00DF745E"/>
    <w:rsid w:val="00DF762E"/>
    <w:rsid w:val="00E0023D"/>
    <w:rsid w:val="00E0044E"/>
    <w:rsid w:val="00E00816"/>
    <w:rsid w:val="00E00C14"/>
    <w:rsid w:val="00E0239F"/>
    <w:rsid w:val="00E0267B"/>
    <w:rsid w:val="00E04441"/>
    <w:rsid w:val="00E04B06"/>
    <w:rsid w:val="00E04B61"/>
    <w:rsid w:val="00E05F03"/>
    <w:rsid w:val="00E06370"/>
    <w:rsid w:val="00E06770"/>
    <w:rsid w:val="00E06B7B"/>
    <w:rsid w:val="00E06E20"/>
    <w:rsid w:val="00E078C4"/>
    <w:rsid w:val="00E07DD9"/>
    <w:rsid w:val="00E102F8"/>
    <w:rsid w:val="00E12FCF"/>
    <w:rsid w:val="00E13273"/>
    <w:rsid w:val="00E13379"/>
    <w:rsid w:val="00E134A8"/>
    <w:rsid w:val="00E139EE"/>
    <w:rsid w:val="00E14D83"/>
    <w:rsid w:val="00E14FA6"/>
    <w:rsid w:val="00E15A0D"/>
    <w:rsid w:val="00E16640"/>
    <w:rsid w:val="00E1740F"/>
    <w:rsid w:val="00E200CF"/>
    <w:rsid w:val="00E20879"/>
    <w:rsid w:val="00E216C4"/>
    <w:rsid w:val="00E24287"/>
    <w:rsid w:val="00E25992"/>
    <w:rsid w:val="00E26C20"/>
    <w:rsid w:val="00E27D6A"/>
    <w:rsid w:val="00E31367"/>
    <w:rsid w:val="00E3181C"/>
    <w:rsid w:val="00E32EF3"/>
    <w:rsid w:val="00E33E21"/>
    <w:rsid w:val="00E34BC4"/>
    <w:rsid w:val="00E3540C"/>
    <w:rsid w:val="00E36187"/>
    <w:rsid w:val="00E36332"/>
    <w:rsid w:val="00E36C9B"/>
    <w:rsid w:val="00E37638"/>
    <w:rsid w:val="00E37E9D"/>
    <w:rsid w:val="00E4170F"/>
    <w:rsid w:val="00E41B71"/>
    <w:rsid w:val="00E42569"/>
    <w:rsid w:val="00E434A0"/>
    <w:rsid w:val="00E44143"/>
    <w:rsid w:val="00E44D0F"/>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10E"/>
    <w:rsid w:val="00E60318"/>
    <w:rsid w:val="00E60BA8"/>
    <w:rsid w:val="00E61E25"/>
    <w:rsid w:val="00E61E28"/>
    <w:rsid w:val="00E62863"/>
    <w:rsid w:val="00E628E4"/>
    <w:rsid w:val="00E62907"/>
    <w:rsid w:val="00E6347A"/>
    <w:rsid w:val="00E63BF3"/>
    <w:rsid w:val="00E647F7"/>
    <w:rsid w:val="00E65FF5"/>
    <w:rsid w:val="00E66857"/>
    <w:rsid w:val="00E67556"/>
    <w:rsid w:val="00E716FE"/>
    <w:rsid w:val="00E71A4B"/>
    <w:rsid w:val="00E7252F"/>
    <w:rsid w:val="00E725C6"/>
    <w:rsid w:val="00E73DE2"/>
    <w:rsid w:val="00E73FC2"/>
    <w:rsid w:val="00E7419B"/>
    <w:rsid w:val="00E74481"/>
    <w:rsid w:val="00E74517"/>
    <w:rsid w:val="00E7543E"/>
    <w:rsid w:val="00E755D7"/>
    <w:rsid w:val="00E7566D"/>
    <w:rsid w:val="00E75962"/>
    <w:rsid w:val="00E7693A"/>
    <w:rsid w:val="00E76E91"/>
    <w:rsid w:val="00E774B4"/>
    <w:rsid w:val="00E77623"/>
    <w:rsid w:val="00E778F5"/>
    <w:rsid w:val="00E80E7C"/>
    <w:rsid w:val="00E81779"/>
    <w:rsid w:val="00E8205B"/>
    <w:rsid w:val="00E82444"/>
    <w:rsid w:val="00E826EC"/>
    <w:rsid w:val="00E8341C"/>
    <w:rsid w:val="00E85DD5"/>
    <w:rsid w:val="00E8602B"/>
    <w:rsid w:val="00E86B5F"/>
    <w:rsid w:val="00E87D05"/>
    <w:rsid w:val="00E9189F"/>
    <w:rsid w:val="00E91F96"/>
    <w:rsid w:val="00E92E99"/>
    <w:rsid w:val="00E937D9"/>
    <w:rsid w:val="00E968FD"/>
    <w:rsid w:val="00E96B8B"/>
    <w:rsid w:val="00E96D55"/>
    <w:rsid w:val="00E97404"/>
    <w:rsid w:val="00E97993"/>
    <w:rsid w:val="00EA0D5D"/>
    <w:rsid w:val="00EA1192"/>
    <w:rsid w:val="00EA153F"/>
    <w:rsid w:val="00EA2788"/>
    <w:rsid w:val="00EA2C6E"/>
    <w:rsid w:val="00EA34D2"/>
    <w:rsid w:val="00EA4007"/>
    <w:rsid w:val="00EA4166"/>
    <w:rsid w:val="00EA4964"/>
    <w:rsid w:val="00EA4B8B"/>
    <w:rsid w:val="00EA4F1A"/>
    <w:rsid w:val="00EA4F2C"/>
    <w:rsid w:val="00EA5D56"/>
    <w:rsid w:val="00EA7471"/>
    <w:rsid w:val="00EB02DE"/>
    <w:rsid w:val="00EB0A07"/>
    <w:rsid w:val="00EB1522"/>
    <w:rsid w:val="00EB1B69"/>
    <w:rsid w:val="00EB1C78"/>
    <w:rsid w:val="00EB3B46"/>
    <w:rsid w:val="00EB4F08"/>
    <w:rsid w:val="00EB51BC"/>
    <w:rsid w:val="00EB613F"/>
    <w:rsid w:val="00EB6DEE"/>
    <w:rsid w:val="00EB7A1B"/>
    <w:rsid w:val="00EC020A"/>
    <w:rsid w:val="00EC19CB"/>
    <w:rsid w:val="00EC25A5"/>
    <w:rsid w:val="00EC2A24"/>
    <w:rsid w:val="00EC2DB5"/>
    <w:rsid w:val="00EC2E07"/>
    <w:rsid w:val="00EC43C7"/>
    <w:rsid w:val="00EC465D"/>
    <w:rsid w:val="00EC4AE8"/>
    <w:rsid w:val="00EC5C89"/>
    <w:rsid w:val="00EC631F"/>
    <w:rsid w:val="00EC66D2"/>
    <w:rsid w:val="00EC67E7"/>
    <w:rsid w:val="00ED0073"/>
    <w:rsid w:val="00ED0A1B"/>
    <w:rsid w:val="00ED0D03"/>
    <w:rsid w:val="00ED15AD"/>
    <w:rsid w:val="00ED21BC"/>
    <w:rsid w:val="00ED26B6"/>
    <w:rsid w:val="00ED2E44"/>
    <w:rsid w:val="00ED2FEC"/>
    <w:rsid w:val="00ED3DB8"/>
    <w:rsid w:val="00ED3F67"/>
    <w:rsid w:val="00ED4087"/>
    <w:rsid w:val="00ED440A"/>
    <w:rsid w:val="00ED7971"/>
    <w:rsid w:val="00EE0748"/>
    <w:rsid w:val="00EE29A0"/>
    <w:rsid w:val="00EE2C23"/>
    <w:rsid w:val="00EE2CEA"/>
    <w:rsid w:val="00EE3365"/>
    <w:rsid w:val="00EE489B"/>
    <w:rsid w:val="00EE48DF"/>
    <w:rsid w:val="00EE4AB3"/>
    <w:rsid w:val="00EE5222"/>
    <w:rsid w:val="00EE59F3"/>
    <w:rsid w:val="00EE6A45"/>
    <w:rsid w:val="00EE7405"/>
    <w:rsid w:val="00EF033E"/>
    <w:rsid w:val="00EF06EC"/>
    <w:rsid w:val="00EF14FF"/>
    <w:rsid w:val="00EF2BFE"/>
    <w:rsid w:val="00EF2D85"/>
    <w:rsid w:val="00EF402C"/>
    <w:rsid w:val="00EF45E0"/>
    <w:rsid w:val="00EF4E6F"/>
    <w:rsid w:val="00EF5C82"/>
    <w:rsid w:val="00EF6629"/>
    <w:rsid w:val="00EF7A15"/>
    <w:rsid w:val="00F01F8C"/>
    <w:rsid w:val="00F02CC6"/>
    <w:rsid w:val="00F035A6"/>
    <w:rsid w:val="00F04AD0"/>
    <w:rsid w:val="00F04C76"/>
    <w:rsid w:val="00F10033"/>
    <w:rsid w:val="00F10848"/>
    <w:rsid w:val="00F10B68"/>
    <w:rsid w:val="00F11BD0"/>
    <w:rsid w:val="00F11F55"/>
    <w:rsid w:val="00F12576"/>
    <w:rsid w:val="00F12D27"/>
    <w:rsid w:val="00F12DEC"/>
    <w:rsid w:val="00F13151"/>
    <w:rsid w:val="00F15523"/>
    <w:rsid w:val="00F16391"/>
    <w:rsid w:val="00F2062B"/>
    <w:rsid w:val="00F21A18"/>
    <w:rsid w:val="00F21E61"/>
    <w:rsid w:val="00F220EA"/>
    <w:rsid w:val="00F222CD"/>
    <w:rsid w:val="00F223D7"/>
    <w:rsid w:val="00F24068"/>
    <w:rsid w:val="00F24EA4"/>
    <w:rsid w:val="00F2625A"/>
    <w:rsid w:val="00F31A03"/>
    <w:rsid w:val="00F3283C"/>
    <w:rsid w:val="00F32D0F"/>
    <w:rsid w:val="00F33A5B"/>
    <w:rsid w:val="00F343F0"/>
    <w:rsid w:val="00F34620"/>
    <w:rsid w:val="00F34AAB"/>
    <w:rsid w:val="00F34C4D"/>
    <w:rsid w:val="00F350CF"/>
    <w:rsid w:val="00F35582"/>
    <w:rsid w:val="00F3685A"/>
    <w:rsid w:val="00F36B62"/>
    <w:rsid w:val="00F37004"/>
    <w:rsid w:val="00F376A1"/>
    <w:rsid w:val="00F37B8E"/>
    <w:rsid w:val="00F41746"/>
    <w:rsid w:val="00F41E79"/>
    <w:rsid w:val="00F4315F"/>
    <w:rsid w:val="00F445F6"/>
    <w:rsid w:val="00F4512F"/>
    <w:rsid w:val="00F45763"/>
    <w:rsid w:val="00F45BCF"/>
    <w:rsid w:val="00F45BEA"/>
    <w:rsid w:val="00F45CFE"/>
    <w:rsid w:val="00F46877"/>
    <w:rsid w:val="00F46F48"/>
    <w:rsid w:val="00F47F3E"/>
    <w:rsid w:val="00F5087F"/>
    <w:rsid w:val="00F523D7"/>
    <w:rsid w:val="00F52CF3"/>
    <w:rsid w:val="00F530E6"/>
    <w:rsid w:val="00F532C7"/>
    <w:rsid w:val="00F53396"/>
    <w:rsid w:val="00F537E0"/>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1FD"/>
    <w:rsid w:val="00F75415"/>
    <w:rsid w:val="00F7723E"/>
    <w:rsid w:val="00F773F9"/>
    <w:rsid w:val="00F776F6"/>
    <w:rsid w:val="00F7780A"/>
    <w:rsid w:val="00F8101C"/>
    <w:rsid w:val="00F817B9"/>
    <w:rsid w:val="00F81CB7"/>
    <w:rsid w:val="00F81F0C"/>
    <w:rsid w:val="00F8218B"/>
    <w:rsid w:val="00F82280"/>
    <w:rsid w:val="00F8235F"/>
    <w:rsid w:val="00F83A22"/>
    <w:rsid w:val="00F83A97"/>
    <w:rsid w:val="00F844F0"/>
    <w:rsid w:val="00F84895"/>
    <w:rsid w:val="00F84E9D"/>
    <w:rsid w:val="00F8659E"/>
    <w:rsid w:val="00F86CE4"/>
    <w:rsid w:val="00F86DB4"/>
    <w:rsid w:val="00F86F42"/>
    <w:rsid w:val="00F91941"/>
    <w:rsid w:val="00F92BEE"/>
    <w:rsid w:val="00F92E3F"/>
    <w:rsid w:val="00F938D2"/>
    <w:rsid w:val="00F93B89"/>
    <w:rsid w:val="00F93C0C"/>
    <w:rsid w:val="00F9430A"/>
    <w:rsid w:val="00F95739"/>
    <w:rsid w:val="00F96389"/>
    <w:rsid w:val="00F9650E"/>
    <w:rsid w:val="00F96B73"/>
    <w:rsid w:val="00F977C7"/>
    <w:rsid w:val="00FA001D"/>
    <w:rsid w:val="00FA06D7"/>
    <w:rsid w:val="00FA0890"/>
    <w:rsid w:val="00FA127D"/>
    <w:rsid w:val="00FA164A"/>
    <w:rsid w:val="00FA3F3E"/>
    <w:rsid w:val="00FA4272"/>
    <w:rsid w:val="00FA4456"/>
    <w:rsid w:val="00FA46F1"/>
    <w:rsid w:val="00FA4855"/>
    <w:rsid w:val="00FA4ACD"/>
    <w:rsid w:val="00FA6428"/>
    <w:rsid w:val="00FA7040"/>
    <w:rsid w:val="00FA7144"/>
    <w:rsid w:val="00FA7184"/>
    <w:rsid w:val="00FB0CAE"/>
    <w:rsid w:val="00FB1653"/>
    <w:rsid w:val="00FB1D9D"/>
    <w:rsid w:val="00FB22D6"/>
    <w:rsid w:val="00FB2BCE"/>
    <w:rsid w:val="00FB3304"/>
    <w:rsid w:val="00FB386C"/>
    <w:rsid w:val="00FB46B8"/>
    <w:rsid w:val="00FB485D"/>
    <w:rsid w:val="00FB4B38"/>
    <w:rsid w:val="00FB54BB"/>
    <w:rsid w:val="00FB5AC0"/>
    <w:rsid w:val="00FB6897"/>
    <w:rsid w:val="00FB6C91"/>
    <w:rsid w:val="00FB6F38"/>
    <w:rsid w:val="00FB74E8"/>
    <w:rsid w:val="00FB7750"/>
    <w:rsid w:val="00FB7D78"/>
    <w:rsid w:val="00FC0263"/>
    <w:rsid w:val="00FC0348"/>
    <w:rsid w:val="00FC0FB5"/>
    <w:rsid w:val="00FC102A"/>
    <w:rsid w:val="00FC154C"/>
    <w:rsid w:val="00FC1DBC"/>
    <w:rsid w:val="00FC2637"/>
    <w:rsid w:val="00FC2A92"/>
    <w:rsid w:val="00FC2BF0"/>
    <w:rsid w:val="00FC393B"/>
    <w:rsid w:val="00FC4052"/>
    <w:rsid w:val="00FC4543"/>
    <w:rsid w:val="00FC5252"/>
    <w:rsid w:val="00FC6356"/>
    <w:rsid w:val="00FC7D01"/>
    <w:rsid w:val="00FD0130"/>
    <w:rsid w:val="00FD0373"/>
    <w:rsid w:val="00FD0582"/>
    <w:rsid w:val="00FD0C57"/>
    <w:rsid w:val="00FD0C93"/>
    <w:rsid w:val="00FD1062"/>
    <w:rsid w:val="00FD2589"/>
    <w:rsid w:val="00FD4876"/>
    <w:rsid w:val="00FD52A3"/>
    <w:rsid w:val="00FD6473"/>
    <w:rsid w:val="00FD68D4"/>
    <w:rsid w:val="00FE00D9"/>
    <w:rsid w:val="00FE1186"/>
    <w:rsid w:val="00FE1336"/>
    <w:rsid w:val="00FE177A"/>
    <w:rsid w:val="00FE2119"/>
    <w:rsid w:val="00FE2291"/>
    <w:rsid w:val="00FE240A"/>
    <w:rsid w:val="00FE297E"/>
    <w:rsid w:val="00FE3E3C"/>
    <w:rsid w:val="00FE43E7"/>
    <w:rsid w:val="00FE4B66"/>
    <w:rsid w:val="00FE4F6E"/>
    <w:rsid w:val="00FE583F"/>
    <w:rsid w:val="00FE5CC4"/>
    <w:rsid w:val="00FE6365"/>
    <w:rsid w:val="00FE6B13"/>
    <w:rsid w:val="00FE7575"/>
    <w:rsid w:val="00FF1070"/>
    <w:rsid w:val="00FF13E2"/>
    <w:rsid w:val="00FF1DA7"/>
    <w:rsid w:val="00FF2237"/>
    <w:rsid w:val="00FF4953"/>
    <w:rsid w:val="00FF524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A5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7B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link w:val="naisfChar"/>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araksta rindkopa1 Char"/>
    <w:link w:val="ListParagraph"/>
    <w:uiPriority w:val="34"/>
    <w:locked/>
    <w:rsid w:val="00742026"/>
    <w:rPr>
      <w:rFonts w:ascii="Calibri" w:hAnsi="Calibri"/>
      <w:sz w:val="22"/>
      <w:szCs w:val="22"/>
      <w:lang w:eastAsia="en-US"/>
    </w:rPr>
  </w:style>
  <w:style w:type="character" w:customStyle="1" w:styleId="normaltextrun">
    <w:name w:val="normaltextrun"/>
    <w:basedOn w:val="DefaultParagraphFont"/>
    <w:rsid w:val="00DA4E5A"/>
  </w:style>
  <w:style w:type="paragraph" w:styleId="NoSpacing">
    <w:name w:val="No Spacing"/>
    <w:uiPriority w:val="1"/>
    <w:qFormat/>
    <w:rsid w:val="00662AB7"/>
    <w:pPr>
      <w:widowControl w:val="0"/>
      <w:ind w:firstLine="720"/>
      <w:jc w:val="both"/>
    </w:pPr>
    <w:rPr>
      <w:sz w:val="26"/>
      <w:lang w:eastAsia="en-US"/>
    </w:rPr>
  </w:style>
  <w:style w:type="paragraph" w:customStyle="1" w:styleId="tv213">
    <w:name w:val="tv213"/>
    <w:basedOn w:val="Normal"/>
    <w:rsid w:val="001D7AE5"/>
    <w:pPr>
      <w:spacing w:before="100" w:beforeAutospacing="1" w:after="100" w:afterAutospacing="1"/>
    </w:pPr>
  </w:style>
  <w:style w:type="character" w:styleId="UnresolvedMention">
    <w:name w:val="Unresolved Mention"/>
    <w:basedOn w:val="DefaultParagraphFont"/>
    <w:uiPriority w:val="99"/>
    <w:semiHidden/>
    <w:unhideWhenUsed/>
    <w:rsid w:val="0074629D"/>
    <w:rPr>
      <w:color w:val="605E5C"/>
      <w:shd w:val="clear" w:color="auto" w:fill="E1DFDD"/>
    </w:rPr>
  </w:style>
  <w:style w:type="character" w:customStyle="1" w:styleId="naisfChar">
    <w:name w:val="naisf Char"/>
    <w:link w:val="naisf"/>
    <w:locked/>
    <w:rsid w:val="00562AEB"/>
    <w:rPr>
      <w:sz w:val="24"/>
      <w:szCs w:val="24"/>
    </w:rPr>
  </w:style>
  <w:style w:type="paragraph" w:customStyle="1" w:styleId="tv2121">
    <w:name w:val="tv2121"/>
    <w:basedOn w:val="Normal"/>
    <w:rsid w:val="00C85A50"/>
    <w:pPr>
      <w:spacing w:before="400" w:line="360" w:lineRule="auto"/>
      <w:jc w:val="center"/>
    </w:pPr>
    <w:rPr>
      <w:rFonts w:ascii="Verdana" w:hAnsi="Verdana"/>
      <w:b/>
      <w:bCs/>
      <w:sz w:val="20"/>
      <w:szCs w:val="20"/>
    </w:rPr>
  </w:style>
  <w:style w:type="character" w:customStyle="1" w:styleId="c1">
    <w:name w:val="c1"/>
    <w:rsid w:val="00C85A50"/>
    <w:rPr>
      <w:color w:val="FF0000"/>
    </w:rPr>
  </w:style>
  <w:style w:type="paragraph" w:customStyle="1" w:styleId="sti-art">
    <w:name w:val="sti-art"/>
    <w:basedOn w:val="Normal"/>
    <w:rsid w:val="00A64AFC"/>
    <w:pPr>
      <w:spacing w:before="60" w:after="120"/>
      <w:jc w:val="center"/>
    </w:pPr>
    <w:rPr>
      <w:b/>
      <w:bCs/>
    </w:rPr>
  </w:style>
  <w:style w:type="character" w:styleId="FootnoteReference">
    <w:name w:val="footnote reference"/>
    <w:basedOn w:val="DefaultParagraphFont"/>
    <w:uiPriority w:val="99"/>
    <w:semiHidden/>
    <w:unhideWhenUsed/>
    <w:rsid w:val="003E62F2"/>
    <w:rPr>
      <w:vertAlign w:val="superscript"/>
    </w:rPr>
  </w:style>
  <w:style w:type="paragraph" w:styleId="FootnoteText">
    <w:name w:val="footnote text"/>
    <w:basedOn w:val="Normal"/>
    <w:link w:val="FootnoteTextChar"/>
    <w:uiPriority w:val="99"/>
    <w:semiHidden/>
    <w:unhideWhenUsed/>
    <w:rsid w:val="00460C43"/>
    <w:rPr>
      <w:rFonts w:asciiTheme="minorHAnsi" w:eastAsia="Calibr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460C43"/>
    <w:rPr>
      <w:rFonts w:asciiTheme="minorHAnsi" w:eastAsia="Calibri" w:hAnsiTheme="minorHAnsi" w:cstheme="minorBidi"/>
      <w:lang w:val="en-US" w:eastAsia="en-US"/>
    </w:rPr>
  </w:style>
  <w:style w:type="paragraph" w:styleId="BodyText3">
    <w:name w:val="Body Text 3"/>
    <w:basedOn w:val="Normal"/>
    <w:link w:val="BodyText3Char"/>
    <w:uiPriority w:val="99"/>
    <w:semiHidden/>
    <w:unhideWhenUsed/>
    <w:rsid w:val="0018025F"/>
    <w:pPr>
      <w:spacing w:after="120"/>
    </w:pPr>
    <w:rPr>
      <w:sz w:val="16"/>
      <w:szCs w:val="16"/>
    </w:rPr>
  </w:style>
  <w:style w:type="character" w:customStyle="1" w:styleId="BodyText3Char">
    <w:name w:val="Body Text 3 Char"/>
    <w:basedOn w:val="DefaultParagraphFont"/>
    <w:link w:val="BodyText3"/>
    <w:uiPriority w:val="99"/>
    <w:semiHidden/>
    <w:rsid w:val="001802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0272">
      <w:bodyDiv w:val="1"/>
      <w:marLeft w:val="0"/>
      <w:marRight w:val="0"/>
      <w:marTop w:val="0"/>
      <w:marBottom w:val="0"/>
      <w:divBdr>
        <w:top w:val="none" w:sz="0" w:space="0" w:color="auto"/>
        <w:left w:val="none" w:sz="0" w:space="0" w:color="auto"/>
        <w:bottom w:val="none" w:sz="0" w:space="0" w:color="auto"/>
        <w:right w:val="none" w:sz="0" w:space="0" w:color="auto"/>
      </w:divBdr>
    </w:div>
    <w:div w:id="83841154">
      <w:bodyDiv w:val="1"/>
      <w:marLeft w:val="0"/>
      <w:marRight w:val="0"/>
      <w:marTop w:val="0"/>
      <w:marBottom w:val="0"/>
      <w:divBdr>
        <w:top w:val="none" w:sz="0" w:space="0" w:color="auto"/>
        <w:left w:val="none" w:sz="0" w:space="0" w:color="auto"/>
        <w:bottom w:val="none" w:sz="0" w:space="0" w:color="auto"/>
        <w:right w:val="none" w:sz="0" w:space="0" w:color="auto"/>
      </w:divBdr>
    </w:div>
    <w:div w:id="85074381">
      <w:bodyDiv w:val="1"/>
      <w:marLeft w:val="0"/>
      <w:marRight w:val="0"/>
      <w:marTop w:val="0"/>
      <w:marBottom w:val="0"/>
      <w:divBdr>
        <w:top w:val="none" w:sz="0" w:space="0" w:color="auto"/>
        <w:left w:val="none" w:sz="0" w:space="0" w:color="auto"/>
        <w:bottom w:val="none" w:sz="0" w:space="0" w:color="auto"/>
        <w:right w:val="none" w:sz="0" w:space="0" w:color="auto"/>
      </w:divBdr>
    </w:div>
    <w:div w:id="99955131">
      <w:bodyDiv w:val="1"/>
      <w:marLeft w:val="0"/>
      <w:marRight w:val="0"/>
      <w:marTop w:val="0"/>
      <w:marBottom w:val="0"/>
      <w:divBdr>
        <w:top w:val="none" w:sz="0" w:space="0" w:color="auto"/>
        <w:left w:val="none" w:sz="0" w:space="0" w:color="auto"/>
        <w:bottom w:val="none" w:sz="0" w:space="0" w:color="auto"/>
        <w:right w:val="none" w:sz="0" w:space="0" w:color="auto"/>
      </w:divBdr>
    </w:div>
    <w:div w:id="135344323">
      <w:bodyDiv w:val="1"/>
      <w:marLeft w:val="0"/>
      <w:marRight w:val="0"/>
      <w:marTop w:val="0"/>
      <w:marBottom w:val="0"/>
      <w:divBdr>
        <w:top w:val="none" w:sz="0" w:space="0" w:color="auto"/>
        <w:left w:val="none" w:sz="0" w:space="0" w:color="auto"/>
        <w:bottom w:val="none" w:sz="0" w:space="0" w:color="auto"/>
        <w:right w:val="none" w:sz="0" w:space="0" w:color="auto"/>
      </w:divBdr>
    </w:div>
    <w:div w:id="150759971">
      <w:bodyDiv w:val="1"/>
      <w:marLeft w:val="0"/>
      <w:marRight w:val="0"/>
      <w:marTop w:val="0"/>
      <w:marBottom w:val="0"/>
      <w:divBdr>
        <w:top w:val="none" w:sz="0" w:space="0" w:color="auto"/>
        <w:left w:val="none" w:sz="0" w:space="0" w:color="auto"/>
        <w:bottom w:val="none" w:sz="0" w:space="0" w:color="auto"/>
        <w:right w:val="none" w:sz="0" w:space="0" w:color="auto"/>
      </w:divBdr>
    </w:div>
    <w:div w:id="154687865">
      <w:bodyDiv w:val="1"/>
      <w:marLeft w:val="0"/>
      <w:marRight w:val="0"/>
      <w:marTop w:val="0"/>
      <w:marBottom w:val="0"/>
      <w:divBdr>
        <w:top w:val="none" w:sz="0" w:space="0" w:color="auto"/>
        <w:left w:val="none" w:sz="0" w:space="0" w:color="auto"/>
        <w:bottom w:val="none" w:sz="0" w:space="0" w:color="auto"/>
        <w:right w:val="none" w:sz="0" w:space="0" w:color="auto"/>
      </w:divBdr>
    </w:div>
    <w:div w:id="211235952">
      <w:bodyDiv w:val="1"/>
      <w:marLeft w:val="0"/>
      <w:marRight w:val="0"/>
      <w:marTop w:val="0"/>
      <w:marBottom w:val="0"/>
      <w:divBdr>
        <w:top w:val="none" w:sz="0" w:space="0" w:color="auto"/>
        <w:left w:val="none" w:sz="0" w:space="0" w:color="auto"/>
        <w:bottom w:val="none" w:sz="0" w:space="0" w:color="auto"/>
        <w:right w:val="none" w:sz="0" w:space="0" w:color="auto"/>
      </w:divBdr>
    </w:div>
    <w:div w:id="220679462">
      <w:bodyDiv w:val="1"/>
      <w:marLeft w:val="0"/>
      <w:marRight w:val="0"/>
      <w:marTop w:val="0"/>
      <w:marBottom w:val="0"/>
      <w:divBdr>
        <w:top w:val="none" w:sz="0" w:space="0" w:color="auto"/>
        <w:left w:val="none" w:sz="0" w:space="0" w:color="auto"/>
        <w:bottom w:val="none" w:sz="0" w:space="0" w:color="auto"/>
        <w:right w:val="none" w:sz="0" w:space="0" w:color="auto"/>
      </w:divBdr>
    </w:div>
    <w:div w:id="274866095">
      <w:bodyDiv w:val="1"/>
      <w:marLeft w:val="0"/>
      <w:marRight w:val="0"/>
      <w:marTop w:val="0"/>
      <w:marBottom w:val="0"/>
      <w:divBdr>
        <w:top w:val="none" w:sz="0" w:space="0" w:color="auto"/>
        <w:left w:val="none" w:sz="0" w:space="0" w:color="auto"/>
        <w:bottom w:val="none" w:sz="0" w:space="0" w:color="auto"/>
        <w:right w:val="none" w:sz="0" w:space="0" w:color="auto"/>
      </w:divBdr>
    </w:div>
    <w:div w:id="303311751">
      <w:bodyDiv w:val="1"/>
      <w:marLeft w:val="0"/>
      <w:marRight w:val="0"/>
      <w:marTop w:val="0"/>
      <w:marBottom w:val="0"/>
      <w:divBdr>
        <w:top w:val="none" w:sz="0" w:space="0" w:color="auto"/>
        <w:left w:val="none" w:sz="0" w:space="0" w:color="auto"/>
        <w:bottom w:val="none" w:sz="0" w:space="0" w:color="auto"/>
        <w:right w:val="none" w:sz="0" w:space="0" w:color="auto"/>
      </w:divBdr>
    </w:div>
    <w:div w:id="304087121">
      <w:bodyDiv w:val="1"/>
      <w:marLeft w:val="0"/>
      <w:marRight w:val="0"/>
      <w:marTop w:val="0"/>
      <w:marBottom w:val="0"/>
      <w:divBdr>
        <w:top w:val="none" w:sz="0" w:space="0" w:color="auto"/>
        <w:left w:val="none" w:sz="0" w:space="0" w:color="auto"/>
        <w:bottom w:val="none" w:sz="0" w:space="0" w:color="auto"/>
        <w:right w:val="none" w:sz="0" w:space="0" w:color="auto"/>
      </w:divBdr>
    </w:div>
    <w:div w:id="313677950">
      <w:bodyDiv w:val="1"/>
      <w:marLeft w:val="0"/>
      <w:marRight w:val="0"/>
      <w:marTop w:val="0"/>
      <w:marBottom w:val="0"/>
      <w:divBdr>
        <w:top w:val="none" w:sz="0" w:space="0" w:color="auto"/>
        <w:left w:val="none" w:sz="0" w:space="0" w:color="auto"/>
        <w:bottom w:val="none" w:sz="0" w:space="0" w:color="auto"/>
        <w:right w:val="none" w:sz="0" w:space="0" w:color="auto"/>
      </w:divBdr>
    </w:div>
    <w:div w:id="314838089">
      <w:bodyDiv w:val="1"/>
      <w:marLeft w:val="0"/>
      <w:marRight w:val="0"/>
      <w:marTop w:val="0"/>
      <w:marBottom w:val="0"/>
      <w:divBdr>
        <w:top w:val="none" w:sz="0" w:space="0" w:color="auto"/>
        <w:left w:val="none" w:sz="0" w:space="0" w:color="auto"/>
        <w:bottom w:val="none" w:sz="0" w:space="0" w:color="auto"/>
        <w:right w:val="none" w:sz="0" w:space="0" w:color="auto"/>
      </w:divBdr>
    </w:div>
    <w:div w:id="318077023">
      <w:bodyDiv w:val="1"/>
      <w:marLeft w:val="0"/>
      <w:marRight w:val="0"/>
      <w:marTop w:val="0"/>
      <w:marBottom w:val="0"/>
      <w:divBdr>
        <w:top w:val="none" w:sz="0" w:space="0" w:color="auto"/>
        <w:left w:val="none" w:sz="0" w:space="0" w:color="auto"/>
        <w:bottom w:val="none" w:sz="0" w:space="0" w:color="auto"/>
        <w:right w:val="none" w:sz="0" w:space="0" w:color="auto"/>
      </w:divBdr>
    </w:div>
    <w:div w:id="338580595">
      <w:bodyDiv w:val="1"/>
      <w:marLeft w:val="0"/>
      <w:marRight w:val="0"/>
      <w:marTop w:val="0"/>
      <w:marBottom w:val="0"/>
      <w:divBdr>
        <w:top w:val="none" w:sz="0" w:space="0" w:color="auto"/>
        <w:left w:val="none" w:sz="0" w:space="0" w:color="auto"/>
        <w:bottom w:val="none" w:sz="0" w:space="0" w:color="auto"/>
        <w:right w:val="none" w:sz="0" w:space="0" w:color="auto"/>
      </w:divBdr>
    </w:div>
    <w:div w:id="37042509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8033673">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3884722">
      <w:bodyDiv w:val="1"/>
      <w:marLeft w:val="0"/>
      <w:marRight w:val="0"/>
      <w:marTop w:val="0"/>
      <w:marBottom w:val="0"/>
      <w:divBdr>
        <w:top w:val="none" w:sz="0" w:space="0" w:color="auto"/>
        <w:left w:val="none" w:sz="0" w:space="0" w:color="auto"/>
        <w:bottom w:val="none" w:sz="0" w:space="0" w:color="auto"/>
        <w:right w:val="none" w:sz="0" w:space="0" w:color="auto"/>
      </w:divBdr>
    </w:div>
    <w:div w:id="561603390">
      <w:bodyDiv w:val="1"/>
      <w:marLeft w:val="0"/>
      <w:marRight w:val="0"/>
      <w:marTop w:val="0"/>
      <w:marBottom w:val="0"/>
      <w:divBdr>
        <w:top w:val="none" w:sz="0" w:space="0" w:color="auto"/>
        <w:left w:val="none" w:sz="0" w:space="0" w:color="auto"/>
        <w:bottom w:val="none" w:sz="0" w:space="0" w:color="auto"/>
        <w:right w:val="none" w:sz="0" w:space="0" w:color="auto"/>
      </w:divBdr>
    </w:div>
    <w:div w:id="593981109">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745202">
      <w:bodyDiv w:val="1"/>
      <w:marLeft w:val="0"/>
      <w:marRight w:val="0"/>
      <w:marTop w:val="0"/>
      <w:marBottom w:val="0"/>
      <w:divBdr>
        <w:top w:val="none" w:sz="0" w:space="0" w:color="auto"/>
        <w:left w:val="none" w:sz="0" w:space="0" w:color="auto"/>
        <w:bottom w:val="none" w:sz="0" w:space="0" w:color="auto"/>
        <w:right w:val="none" w:sz="0" w:space="0" w:color="auto"/>
      </w:divBdr>
    </w:div>
    <w:div w:id="712384785">
      <w:bodyDiv w:val="1"/>
      <w:marLeft w:val="0"/>
      <w:marRight w:val="0"/>
      <w:marTop w:val="0"/>
      <w:marBottom w:val="0"/>
      <w:divBdr>
        <w:top w:val="none" w:sz="0" w:space="0" w:color="auto"/>
        <w:left w:val="none" w:sz="0" w:space="0" w:color="auto"/>
        <w:bottom w:val="none" w:sz="0" w:space="0" w:color="auto"/>
        <w:right w:val="none" w:sz="0" w:space="0" w:color="auto"/>
      </w:divBdr>
    </w:div>
    <w:div w:id="784809139">
      <w:bodyDiv w:val="1"/>
      <w:marLeft w:val="0"/>
      <w:marRight w:val="0"/>
      <w:marTop w:val="0"/>
      <w:marBottom w:val="0"/>
      <w:divBdr>
        <w:top w:val="none" w:sz="0" w:space="0" w:color="auto"/>
        <w:left w:val="none" w:sz="0" w:space="0" w:color="auto"/>
        <w:bottom w:val="none" w:sz="0" w:space="0" w:color="auto"/>
        <w:right w:val="none" w:sz="0" w:space="0" w:color="auto"/>
      </w:divBdr>
    </w:div>
    <w:div w:id="804811007">
      <w:bodyDiv w:val="1"/>
      <w:marLeft w:val="0"/>
      <w:marRight w:val="0"/>
      <w:marTop w:val="0"/>
      <w:marBottom w:val="0"/>
      <w:divBdr>
        <w:top w:val="none" w:sz="0" w:space="0" w:color="auto"/>
        <w:left w:val="none" w:sz="0" w:space="0" w:color="auto"/>
        <w:bottom w:val="none" w:sz="0" w:space="0" w:color="auto"/>
        <w:right w:val="none" w:sz="0" w:space="0" w:color="auto"/>
      </w:divBdr>
    </w:div>
    <w:div w:id="820659715">
      <w:bodyDiv w:val="1"/>
      <w:marLeft w:val="0"/>
      <w:marRight w:val="0"/>
      <w:marTop w:val="0"/>
      <w:marBottom w:val="0"/>
      <w:divBdr>
        <w:top w:val="none" w:sz="0" w:space="0" w:color="auto"/>
        <w:left w:val="none" w:sz="0" w:space="0" w:color="auto"/>
        <w:bottom w:val="none" w:sz="0" w:space="0" w:color="auto"/>
        <w:right w:val="none" w:sz="0" w:space="0" w:color="auto"/>
      </w:divBdr>
    </w:div>
    <w:div w:id="842083875">
      <w:bodyDiv w:val="1"/>
      <w:marLeft w:val="0"/>
      <w:marRight w:val="0"/>
      <w:marTop w:val="0"/>
      <w:marBottom w:val="0"/>
      <w:divBdr>
        <w:top w:val="none" w:sz="0" w:space="0" w:color="auto"/>
        <w:left w:val="none" w:sz="0" w:space="0" w:color="auto"/>
        <w:bottom w:val="none" w:sz="0" w:space="0" w:color="auto"/>
        <w:right w:val="none" w:sz="0" w:space="0" w:color="auto"/>
      </w:divBdr>
    </w:div>
    <w:div w:id="857623538">
      <w:bodyDiv w:val="1"/>
      <w:marLeft w:val="0"/>
      <w:marRight w:val="0"/>
      <w:marTop w:val="0"/>
      <w:marBottom w:val="0"/>
      <w:divBdr>
        <w:top w:val="none" w:sz="0" w:space="0" w:color="auto"/>
        <w:left w:val="none" w:sz="0" w:space="0" w:color="auto"/>
        <w:bottom w:val="none" w:sz="0" w:space="0" w:color="auto"/>
        <w:right w:val="none" w:sz="0" w:space="0" w:color="auto"/>
      </w:divBdr>
    </w:div>
    <w:div w:id="934244756">
      <w:bodyDiv w:val="1"/>
      <w:marLeft w:val="0"/>
      <w:marRight w:val="0"/>
      <w:marTop w:val="0"/>
      <w:marBottom w:val="0"/>
      <w:divBdr>
        <w:top w:val="none" w:sz="0" w:space="0" w:color="auto"/>
        <w:left w:val="none" w:sz="0" w:space="0" w:color="auto"/>
        <w:bottom w:val="none" w:sz="0" w:space="0" w:color="auto"/>
        <w:right w:val="none" w:sz="0" w:space="0" w:color="auto"/>
      </w:divBdr>
    </w:div>
    <w:div w:id="975183238">
      <w:bodyDiv w:val="1"/>
      <w:marLeft w:val="0"/>
      <w:marRight w:val="0"/>
      <w:marTop w:val="0"/>
      <w:marBottom w:val="0"/>
      <w:divBdr>
        <w:top w:val="none" w:sz="0" w:space="0" w:color="auto"/>
        <w:left w:val="none" w:sz="0" w:space="0" w:color="auto"/>
        <w:bottom w:val="none" w:sz="0" w:space="0" w:color="auto"/>
        <w:right w:val="none" w:sz="0" w:space="0" w:color="auto"/>
      </w:divBdr>
    </w:div>
    <w:div w:id="102074433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3257678">
      <w:bodyDiv w:val="1"/>
      <w:marLeft w:val="0"/>
      <w:marRight w:val="0"/>
      <w:marTop w:val="0"/>
      <w:marBottom w:val="0"/>
      <w:divBdr>
        <w:top w:val="none" w:sz="0" w:space="0" w:color="auto"/>
        <w:left w:val="none" w:sz="0" w:space="0" w:color="auto"/>
        <w:bottom w:val="none" w:sz="0" w:space="0" w:color="auto"/>
        <w:right w:val="none" w:sz="0" w:space="0" w:color="auto"/>
      </w:divBdr>
    </w:div>
    <w:div w:id="1185554100">
      <w:bodyDiv w:val="1"/>
      <w:marLeft w:val="0"/>
      <w:marRight w:val="0"/>
      <w:marTop w:val="0"/>
      <w:marBottom w:val="0"/>
      <w:divBdr>
        <w:top w:val="none" w:sz="0" w:space="0" w:color="auto"/>
        <w:left w:val="none" w:sz="0" w:space="0" w:color="auto"/>
        <w:bottom w:val="none" w:sz="0" w:space="0" w:color="auto"/>
        <w:right w:val="none" w:sz="0" w:space="0" w:color="auto"/>
      </w:divBdr>
    </w:div>
    <w:div w:id="1189297748">
      <w:bodyDiv w:val="1"/>
      <w:marLeft w:val="0"/>
      <w:marRight w:val="0"/>
      <w:marTop w:val="0"/>
      <w:marBottom w:val="0"/>
      <w:divBdr>
        <w:top w:val="none" w:sz="0" w:space="0" w:color="auto"/>
        <w:left w:val="none" w:sz="0" w:space="0" w:color="auto"/>
        <w:bottom w:val="none" w:sz="0" w:space="0" w:color="auto"/>
        <w:right w:val="none" w:sz="0" w:space="0" w:color="auto"/>
      </w:divBdr>
    </w:div>
    <w:div w:id="1247761926">
      <w:bodyDiv w:val="1"/>
      <w:marLeft w:val="0"/>
      <w:marRight w:val="0"/>
      <w:marTop w:val="0"/>
      <w:marBottom w:val="0"/>
      <w:divBdr>
        <w:top w:val="none" w:sz="0" w:space="0" w:color="auto"/>
        <w:left w:val="none" w:sz="0" w:space="0" w:color="auto"/>
        <w:bottom w:val="none" w:sz="0" w:space="0" w:color="auto"/>
        <w:right w:val="none" w:sz="0" w:space="0" w:color="auto"/>
      </w:divBdr>
    </w:div>
    <w:div w:id="125720495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6357163">
      <w:bodyDiv w:val="1"/>
      <w:marLeft w:val="0"/>
      <w:marRight w:val="0"/>
      <w:marTop w:val="0"/>
      <w:marBottom w:val="0"/>
      <w:divBdr>
        <w:top w:val="none" w:sz="0" w:space="0" w:color="auto"/>
        <w:left w:val="none" w:sz="0" w:space="0" w:color="auto"/>
        <w:bottom w:val="none" w:sz="0" w:space="0" w:color="auto"/>
        <w:right w:val="none" w:sz="0" w:space="0" w:color="auto"/>
      </w:divBdr>
    </w:div>
    <w:div w:id="1310161956">
      <w:bodyDiv w:val="1"/>
      <w:marLeft w:val="0"/>
      <w:marRight w:val="0"/>
      <w:marTop w:val="0"/>
      <w:marBottom w:val="0"/>
      <w:divBdr>
        <w:top w:val="none" w:sz="0" w:space="0" w:color="auto"/>
        <w:left w:val="none" w:sz="0" w:space="0" w:color="auto"/>
        <w:bottom w:val="none" w:sz="0" w:space="0" w:color="auto"/>
        <w:right w:val="none" w:sz="0" w:space="0" w:color="auto"/>
      </w:divBdr>
    </w:div>
    <w:div w:id="1333147988">
      <w:bodyDiv w:val="1"/>
      <w:marLeft w:val="0"/>
      <w:marRight w:val="0"/>
      <w:marTop w:val="0"/>
      <w:marBottom w:val="0"/>
      <w:divBdr>
        <w:top w:val="none" w:sz="0" w:space="0" w:color="auto"/>
        <w:left w:val="none" w:sz="0" w:space="0" w:color="auto"/>
        <w:bottom w:val="none" w:sz="0" w:space="0" w:color="auto"/>
        <w:right w:val="none" w:sz="0" w:space="0" w:color="auto"/>
      </w:divBdr>
    </w:div>
    <w:div w:id="1343698632">
      <w:bodyDiv w:val="1"/>
      <w:marLeft w:val="0"/>
      <w:marRight w:val="0"/>
      <w:marTop w:val="0"/>
      <w:marBottom w:val="0"/>
      <w:divBdr>
        <w:top w:val="none" w:sz="0" w:space="0" w:color="auto"/>
        <w:left w:val="none" w:sz="0" w:space="0" w:color="auto"/>
        <w:bottom w:val="none" w:sz="0" w:space="0" w:color="auto"/>
        <w:right w:val="none" w:sz="0" w:space="0" w:color="auto"/>
      </w:divBdr>
    </w:div>
    <w:div w:id="1408453094">
      <w:bodyDiv w:val="1"/>
      <w:marLeft w:val="0"/>
      <w:marRight w:val="0"/>
      <w:marTop w:val="0"/>
      <w:marBottom w:val="0"/>
      <w:divBdr>
        <w:top w:val="none" w:sz="0" w:space="0" w:color="auto"/>
        <w:left w:val="none" w:sz="0" w:space="0" w:color="auto"/>
        <w:bottom w:val="none" w:sz="0" w:space="0" w:color="auto"/>
        <w:right w:val="none" w:sz="0" w:space="0" w:color="auto"/>
      </w:divBdr>
    </w:div>
    <w:div w:id="1502239520">
      <w:bodyDiv w:val="1"/>
      <w:marLeft w:val="0"/>
      <w:marRight w:val="0"/>
      <w:marTop w:val="0"/>
      <w:marBottom w:val="0"/>
      <w:divBdr>
        <w:top w:val="none" w:sz="0" w:space="0" w:color="auto"/>
        <w:left w:val="none" w:sz="0" w:space="0" w:color="auto"/>
        <w:bottom w:val="none" w:sz="0" w:space="0" w:color="auto"/>
        <w:right w:val="none" w:sz="0" w:space="0" w:color="auto"/>
      </w:divBdr>
    </w:div>
    <w:div w:id="1508791206">
      <w:bodyDiv w:val="1"/>
      <w:marLeft w:val="0"/>
      <w:marRight w:val="0"/>
      <w:marTop w:val="0"/>
      <w:marBottom w:val="0"/>
      <w:divBdr>
        <w:top w:val="none" w:sz="0" w:space="0" w:color="auto"/>
        <w:left w:val="none" w:sz="0" w:space="0" w:color="auto"/>
        <w:bottom w:val="none" w:sz="0" w:space="0" w:color="auto"/>
        <w:right w:val="none" w:sz="0" w:space="0" w:color="auto"/>
      </w:divBdr>
    </w:div>
    <w:div w:id="1511724267">
      <w:bodyDiv w:val="1"/>
      <w:marLeft w:val="0"/>
      <w:marRight w:val="0"/>
      <w:marTop w:val="0"/>
      <w:marBottom w:val="0"/>
      <w:divBdr>
        <w:top w:val="none" w:sz="0" w:space="0" w:color="auto"/>
        <w:left w:val="none" w:sz="0" w:space="0" w:color="auto"/>
        <w:bottom w:val="none" w:sz="0" w:space="0" w:color="auto"/>
        <w:right w:val="none" w:sz="0" w:space="0" w:color="auto"/>
      </w:divBdr>
    </w:div>
    <w:div w:id="155631033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5799389">
      <w:bodyDiv w:val="1"/>
      <w:marLeft w:val="0"/>
      <w:marRight w:val="0"/>
      <w:marTop w:val="0"/>
      <w:marBottom w:val="0"/>
      <w:divBdr>
        <w:top w:val="none" w:sz="0" w:space="0" w:color="auto"/>
        <w:left w:val="none" w:sz="0" w:space="0" w:color="auto"/>
        <w:bottom w:val="none" w:sz="0" w:space="0" w:color="auto"/>
        <w:right w:val="none" w:sz="0" w:space="0" w:color="auto"/>
      </w:divBdr>
    </w:div>
    <w:div w:id="162931925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286751">
      <w:bodyDiv w:val="1"/>
      <w:marLeft w:val="0"/>
      <w:marRight w:val="0"/>
      <w:marTop w:val="0"/>
      <w:marBottom w:val="0"/>
      <w:divBdr>
        <w:top w:val="none" w:sz="0" w:space="0" w:color="auto"/>
        <w:left w:val="none" w:sz="0" w:space="0" w:color="auto"/>
        <w:bottom w:val="none" w:sz="0" w:space="0" w:color="auto"/>
        <w:right w:val="none" w:sz="0" w:space="0" w:color="auto"/>
      </w:divBdr>
    </w:div>
    <w:div w:id="1764259437">
      <w:bodyDiv w:val="1"/>
      <w:marLeft w:val="0"/>
      <w:marRight w:val="0"/>
      <w:marTop w:val="0"/>
      <w:marBottom w:val="0"/>
      <w:divBdr>
        <w:top w:val="none" w:sz="0" w:space="0" w:color="auto"/>
        <w:left w:val="none" w:sz="0" w:space="0" w:color="auto"/>
        <w:bottom w:val="none" w:sz="0" w:space="0" w:color="auto"/>
        <w:right w:val="none" w:sz="0" w:space="0" w:color="auto"/>
      </w:divBdr>
    </w:div>
    <w:div w:id="1781298571">
      <w:bodyDiv w:val="1"/>
      <w:marLeft w:val="0"/>
      <w:marRight w:val="0"/>
      <w:marTop w:val="0"/>
      <w:marBottom w:val="0"/>
      <w:divBdr>
        <w:top w:val="none" w:sz="0" w:space="0" w:color="auto"/>
        <w:left w:val="none" w:sz="0" w:space="0" w:color="auto"/>
        <w:bottom w:val="none" w:sz="0" w:space="0" w:color="auto"/>
        <w:right w:val="none" w:sz="0" w:space="0" w:color="auto"/>
      </w:divBdr>
    </w:div>
    <w:div w:id="1782652661">
      <w:bodyDiv w:val="1"/>
      <w:marLeft w:val="0"/>
      <w:marRight w:val="0"/>
      <w:marTop w:val="0"/>
      <w:marBottom w:val="0"/>
      <w:divBdr>
        <w:top w:val="none" w:sz="0" w:space="0" w:color="auto"/>
        <w:left w:val="none" w:sz="0" w:space="0" w:color="auto"/>
        <w:bottom w:val="none" w:sz="0" w:space="0" w:color="auto"/>
        <w:right w:val="none" w:sz="0" w:space="0" w:color="auto"/>
      </w:divBdr>
    </w:div>
    <w:div w:id="1876960317">
      <w:bodyDiv w:val="1"/>
      <w:marLeft w:val="0"/>
      <w:marRight w:val="0"/>
      <w:marTop w:val="0"/>
      <w:marBottom w:val="0"/>
      <w:divBdr>
        <w:top w:val="none" w:sz="0" w:space="0" w:color="auto"/>
        <w:left w:val="none" w:sz="0" w:space="0" w:color="auto"/>
        <w:bottom w:val="none" w:sz="0" w:space="0" w:color="auto"/>
        <w:right w:val="none" w:sz="0" w:space="0" w:color="auto"/>
      </w:divBdr>
    </w:div>
    <w:div w:id="1883251486">
      <w:bodyDiv w:val="1"/>
      <w:marLeft w:val="0"/>
      <w:marRight w:val="0"/>
      <w:marTop w:val="0"/>
      <w:marBottom w:val="0"/>
      <w:divBdr>
        <w:top w:val="none" w:sz="0" w:space="0" w:color="auto"/>
        <w:left w:val="none" w:sz="0" w:space="0" w:color="auto"/>
        <w:bottom w:val="none" w:sz="0" w:space="0" w:color="auto"/>
        <w:right w:val="none" w:sz="0" w:space="0" w:color="auto"/>
      </w:divBdr>
    </w:div>
    <w:div w:id="1931159922">
      <w:bodyDiv w:val="1"/>
      <w:marLeft w:val="0"/>
      <w:marRight w:val="0"/>
      <w:marTop w:val="0"/>
      <w:marBottom w:val="0"/>
      <w:divBdr>
        <w:top w:val="none" w:sz="0" w:space="0" w:color="auto"/>
        <w:left w:val="none" w:sz="0" w:space="0" w:color="auto"/>
        <w:bottom w:val="none" w:sz="0" w:space="0" w:color="auto"/>
        <w:right w:val="none" w:sz="0" w:space="0" w:color="auto"/>
      </w:divBdr>
      <w:divsChild>
        <w:div w:id="430585059">
          <w:marLeft w:val="0"/>
          <w:marRight w:val="0"/>
          <w:marTop w:val="0"/>
          <w:marBottom w:val="0"/>
          <w:divBdr>
            <w:top w:val="none" w:sz="0" w:space="0" w:color="auto"/>
            <w:left w:val="none" w:sz="0" w:space="0" w:color="auto"/>
            <w:bottom w:val="none" w:sz="0" w:space="0" w:color="auto"/>
            <w:right w:val="none" w:sz="0" w:space="0" w:color="auto"/>
          </w:divBdr>
        </w:div>
      </w:divsChild>
    </w:div>
    <w:div w:id="1936018759">
      <w:bodyDiv w:val="1"/>
      <w:marLeft w:val="0"/>
      <w:marRight w:val="0"/>
      <w:marTop w:val="0"/>
      <w:marBottom w:val="0"/>
      <w:divBdr>
        <w:top w:val="none" w:sz="0" w:space="0" w:color="auto"/>
        <w:left w:val="none" w:sz="0" w:space="0" w:color="auto"/>
        <w:bottom w:val="none" w:sz="0" w:space="0" w:color="auto"/>
        <w:right w:val="none" w:sz="0" w:space="0" w:color="auto"/>
      </w:divBdr>
    </w:div>
    <w:div w:id="1985504074">
      <w:bodyDiv w:val="1"/>
      <w:marLeft w:val="0"/>
      <w:marRight w:val="0"/>
      <w:marTop w:val="0"/>
      <w:marBottom w:val="0"/>
      <w:divBdr>
        <w:top w:val="none" w:sz="0" w:space="0" w:color="auto"/>
        <w:left w:val="none" w:sz="0" w:space="0" w:color="auto"/>
        <w:bottom w:val="none" w:sz="0" w:space="0" w:color="auto"/>
        <w:right w:val="none" w:sz="0" w:space="0" w:color="auto"/>
      </w:divBdr>
    </w:div>
    <w:div w:id="2063678086">
      <w:bodyDiv w:val="1"/>
      <w:marLeft w:val="0"/>
      <w:marRight w:val="0"/>
      <w:marTop w:val="0"/>
      <w:marBottom w:val="0"/>
      <w:divBdr>
        <w:top w:val="none" w:sz="0" w:space="0" w:color="auto"/>
        <w:left w:val="none" w:sz="0" w:space="0" w:color="auto"/>
        <w:bottom w:val="none" w:sz="0" w:space="0" w:color="auto"/>
        <w:right w:val="none" w:sz="0" w:space="0" w:color="auto"/>
      </w:divBdr>
    </w:div>
    <w:div w:id="21298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9833-energetik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ja.Zjurikova@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1AB21751A4470A85001578819ED647"/>
        <w:category>
          <w:name w:val="General"/>
          <w:gallery w:val="placeholder"/>
        </w:category>
        <w:types>
          <w:type w:val="bbPlcHdr"/>
        </w:types>
        <w:behaviors>
          <w:behavior w:val="content"/>
        </w:behaviors>
        <w:guid w:val="{E598B046-8CFE-49C1-B800-09AF6AC50985}"/>
      </w:docPartPr>
      <w:docPartBody>
        <w:p w:rsidR="00952BA9" w:rsidRDefault="00952BA9" w:rsidP="00952BA9">
          <w:pPr>
            <w:pStyle w:val="B61AB21751A4470A85001578819ED647"/>
          </w:pPr>
          <w:r>
            <w:t>[Dokumenta saturs]</w:t>
          </w:r>
        </w:p>
      </w:docPartBody>
    </w:docPart>
    <w:docPart>
      <w:docPartPr>
        <w:name w:val="E8993EA3295C460EB5B1DFD4C231E950"/>
        <w:category>
          <w:name w:val="General"/>
          <w:gallery w:val="placeholder"/>
        </w:category>
        <w:types>
          <w:type w:val="bbPlcHdr"/>
        </w:types>
        <w:behaviors>
          <w:behavior w:val="content"/>
        </w:behaviors>
        <w:guid w:val="{B84712CF-1E4D-4571-89D5-22A6A336DBE5}"/>
      </w:docPartPr>
      <w:docPartBody>
        <w:p w:rsidR="00952BA9" w:rsidRDefault="00952BA9" w:rsidP="00952BA9">
          <w:pPr>
            <w:pStyle w:val="E8993EA3295C460EB5B1DFD4C231E950"/>
          </w:pPr>
          <w: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ontserrat">
    <w:altName w:val="Calibri"/>
    <w:charset w:val="BA"/>
    <w:family w:val="auto"/>
    <w:pitch w:val="variable"/>
    <w:sig w:usb0="2000020F" w:usb1="00000003" w:usb2="00000000" w:usb3="00000000" w:csb0="00000197"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A9"/>
    <w:rsid w:val="00583B12"/>
    <w:rsid w:val="007940CD"/>
    <w:rsid w:val="00952B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1AB21751A4470A85001578819ED647">
    <w:name w:val="B61AB21751A4470A85001578819ED647"/>
    <w:rsid w:val="00952BA9"/>
  </w:style>
  <w:style w:type="paragraph" w:customStyle="1" w:styleId="E8993EA3295C460EB5B1DFD4C231E950">
    <w:name w:val="E8993EA3295C460EB5B1DFD4C231E950"/>
    <w:rsid w:val="00952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FBC8-34FC-46E1-BD92-D5CB8944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18528</Words>
  <Characters>134098</Characters>
  <Application>Microsoft Office Word</Application>
  <DocSecurity>0</DocSecurity>
  <Lines>1117</Lines>
  <Paragraphs>304</Paragraphs>
  <ScaleCrop>false</ScaleCrop>
  <HeadingPairs>
    <vt:vector size="2" baseType="variant">
      <vt:variant>
        <vt:lpstr>Title</vt:lpstr>
      </vt:variant>
      <vt:variant>
        <vt:i4>1</vt:i4>
      </vt:variant>
    </vt:vector>
  </HeadingPairs>
  <TitlesOfParts>
    <vt:vector size="1" baseType="lpstr">
      <vt:lpstr>Izziņa likumprojektam "Grozījumi Enerģētikas likumā"</vt:lpstr>
    </vt:vector>
  </TitlesOfParts>
  <Manager/>
  <Company/>
  <LinksUpToDate>false</LinksUpToDate>
  <CharactersWithSpaces>152322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likumprojektam "Grozījumi Enerģētikas likumā"</dc:title>
  <dc:subject/>
  <dc:creator/>
  <dc:description/>
  <cp:lastModifiedBy/>
  <cp:revision>1</cp:revision>
  <dcterms:created xsi:type="dcterms:W3CDTF">2021-06-11T11:26:00Z</dcterms:created>
  <dcterms:modified xsi:type="dcterms:W3CDTF">2021-06-15T11:00:00Z</dcterms:modified>
</cp:coreProperties>
</file>