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C856" w14:textId="77777777" w:rsidR="000726C4" w:rsidRDefault="000726C4" w:rsidP="007C6884">
      <w:pPr>
        <w:spacing w:after="0"/>
        <w:jc w:val="center"/>
        <w:rPr>
          <w:rFonts w:ascii="Times New Roman" w:hAnsi="Times New Roman" w:cs="Times New Roman"/>
          <w:b/>
          <w:bCs/>
          <w:sz w:val="26"/>
          <w:szCs w:val="26"/>
        </w:rPr>
      </w:pPr>
      <w:bookmarkStart w:id="0" w:name="_Hlk32820647"/>
      <w:bookmarkStart w:id="1" w:name="_Hlk67990829"/>
    </w:p>
    <w:p w14:paraId="659991FF" w14:textId="1E57AA6B" w:rsidR="009A3530" w:rsidRPr="006F2420" w:rsidRDefault="007C6884" w:rsidP="007C6884">
      <w:pPr>
        <w:spacing w:after="0"/>
        <w:jc w:val="center"/>
        <w:rPr>
          <w:rFonts w:ascii="Times New Roman" w:hAnsi="Times New Roman" w:cs="Times New Roman"/>
          <w:b/>
          <w:bCs/>
          <w:sz w:val="26"/>
          <w:szCs w:val="26"/>
        </w:rPr>
      </w:pPr>
      <w:r w:rsidRPr="006F2420">
        <w:rPr>
          <w:rFonts w:ascii="Times New Roman" w:hAnsi="Times New Roman" w:cs="Times New Roman"/>
          <w:b/>
          <w:bCs/>
          <w:sz w:val="26"/>
          <w:szCs w:val="26"/>
        </w:rPr>
        <w:t xml:space="preserve">Informatīvais ziņojums par </w:t>
      </w:r>
      <w:r w:rsidR="00B52043">
        <w:rPr>
          <w:rFonts w:ascii="Times New Roman" w:hAnsi="Times New Roman" w:cs="Times New Roman"/>
          <w:b/>
          <w:bCs/>
          <w:sz w:val="26"/>
          <w:szCs w:val="26"/>
        </w:rPr>
        <w:t xml:space="preserve">normatīvā regulējuma priekšlikumiem </w:t>
      </w:r>
      <w:r w:rsidR="00AB1CD0" w:rsidRPr="006F2420">
        <w:rPr>
          <w:rFonts w:ascii="Times New Roman" w:hAnsi="Times New Roman" w:cs="Times New Roman"/>
          <w:b/>
          <w:bCs/>
          <w:sz w:val="26"/>
          <w:szCs w:val="26"/>
        </w:rPr>
        <w:t xml:space="preserve">elektroenerģijas piegādes neplānotu pārtraukumu </w:t>
      </w:r>
      <w:r w:rsidR="00B52043">
        <w:rPr>
          <w:rFonts w:ascii="Times New Roman" w:hAnsi="Times New Roman" w:cs="Times New Roman"/>
          <w:b/>
          <w:bCs/>
          <w:sz w:val="26"/>
          <w:szCs w:val="26"/>
        </w:rPr>
        <w:t xml:space="preserve">gadījumā </w:t>
      </w:r>
    </w:p>
    <w:bookmarkEnd w:id="0"/>
    <w:p w14:paraId="0F1532C9" w14:textId="77777777" w:rsidR="007C6884" w:rsidRPr="006F2420" w:rsidRDefault="007C6884" w:rsidP="007C6884">
      <w:pPr>
        <w:spacing w:after="0"/>
        <w:jc w:val="center"/>
        <w:rPr>
          <w:rFonts w:ascii="Times New Roman" w:hAnsi="Times New Roman" w:cs="Times New Roman"/>
          <w:b/>
          <w:bCs/>
          <w:sz w:val="26"/>
          <w:szCs w:val="26"/>
        </w:rPr>
      </w:pPr>
    </w:p>
    <w:p w14:paraId="015F8D40" w14:textId="32C2C001" w:rsidR="009C7E90" w:rsidRDefault="009C7E90" w:rsidP="00E33539">
      <w:pPr>
        <w:spacing w:after="0"/>
        <w:ind w:firstLine="720"/>
        <w:jc w:val="both"/>
        <w:rPr>
          <w:rFonts w:ascii="Times New Roman" w:hAnsi="Times New Roman" w:cs="Times New Roman"/>
          <w:b/>
          <w:bCs/>
          <w:sz w:val="26"/>
          <w:szCs w:val="26"/>
        </w:rPr>
      </w:pPr>
      <w:r w:rsidRPr="00A82B79">
        <w:rPr>
          <w:rFonts w:ascii="Times New Roman" w:hAnsi="Times New Roman" w:cs="Times New Roman"/>
          <w:b/>
          <w:bCs/>
          <w:sz w:val="26"/>
          <w:szCs w:val="26"/>
        </w:rPr>
        <w:t>Ievads</w:t>
      </w:r>
    </w:p>
    <w:p w14:paraId="744CA8BF" w14:textId="77777777" w:rsidR="000B0D12" w:rsidRDefault="000B0D12" w:rsidP="00E33539">
      <w:pPr>
        <w:spacing w:after="0"/>
        <w:ind w:firstLine="720"/>
        <w:jc w:val="both"/>
        <w:rPr>
          <w:rFonts w:ascii="Times New Roman" w:hAnsi="Times New Roman" w:cs="Times New Roman"/>
          <w:b/>
          <w:bCs/>
          <w:sz w:val="26"/>
          <w:szCs w:val="26"/>
        </w:rPr>
      </w:pPr>
    </w:p>
    <w:p w14:paraId="4EA2E3F9" w14:textId="4072D170" w:rsidR="004D1A8A" w:rsidRDefault="004D1A8A" w:rsidP="004D1A8A">
      <w:pPr>
        <w:spacing w:after="0"/>
        <w:ind w:firstLine="720"/>
        <w:jc w:val="both"/>
        <w:rPr>
          <w:rFonts w:ascii="Times New Roman" w:hAnsi="Times New Roman" w:cs="Times New Roman"/>
          <w:sz w:val="26"/>
          <w:szCs w:val="26"/>
        </w:rPr>
      </w:pPr>
      <w:bookmarkStart w:id="2" w:name="_Hlk74655849"/>
      <w:r w:rsidRPr="004D1A8A">
        <w:rPr>
          <w:rFonts w:ascii="Times New Roman" w:hAnsi="Times New Roman" w:cs="Times New Roman"/>
          <w:sz w:val="26"/>
          <w:szCs w:val="26"/>
        </w:rPr>
        <w:t>Informatīvais ziņojums izstrādāt</w:t>
      </w:r>
      <w:r>
        <w:rPr>
          <w:rFonts w:ascii="Times New Roman" w:hAnsi="Times New Roman" w:cs="Times New Roman"/>
          <w:sz w:val="26"/>
          <w:szCs w:val="26"/>
        </w:rPr>
        <w:t xml:space="preserve">s, pamatojoties uz </w:t>
      </w:r>
      <w:r w:rsidRPr="00A82B79">
        <w:rPr>
          <w:rFonts w:ascii="Times New Roman" w:hAnsi="Times New Roman" w:cs="Times New Roman"/>
          <w:sz w:val="26"/>
          <w:szCs w:val="26"/>
        </w:rPr>
        <w:t xml:space="preserve">2020. gada 7. aprīlī </w:t>
      </w:r>
      <w:r>
        <w:rPr>
          <w:rFonts w:ascii="Times New Roman" w:hAnsi="Times New Roman" w:cs="Times New Roman"/>
          <w:sz w:val="26"/>
          <w:szCs w:val="26"/>
        </w:rPr>
        <w:t xml:space="preserve">Ministru kabineta sēdes </w:t>
      </w:r>
      <w:proofErr w:type="spellStart"/>
      <w:r w:rsidRPr="00A82B79">
        <w:rPr>
          <w:rFonts w:ascii="Times New Roman" w:hAnsi="Times New Roman" w:cs="Times New Roman"/>
          <w:sz w:val="26"/>
          <w:szCs w:val="26"/>
        </w:rPr>
        <w:t>protokollēmum</w:t>
      </w:r>
      <w:r>
        <w:rPr>
          <w:rFonts w:ascii="Times New Roman" w:hAnsi="Times New Roman" w:cs="Times New Roman"/>
          <w:sz w:val="26"/>
          <w:szCs w:val="26"/>
        </w:rPr>
        <w:t>a</w:t>
      </w:r>
      <w:proofErr w:type="spellEnd"/>
      <w:r w:rsidRPr="00A82B79">
        <w:rPr>
          <w:rFonts w:ascii="Times New Roman" w:hAnsi="Times New Roman" w:cs="Times New Roman"/>
          <w:sz w:val="26"/>
          <w:szCs w:val="26"/>
        </w:rPr>
        <w:t xml:space="preserve"> Nr. 22</w:t>
      </w:r>
      <w:r>
        <w:rPr>
          <w:rFonts w:ascii="Times New Roman" w:hAnsi="Times New Roman" w:cs="Times New Roman"/>
          <w:sz w:val="26"/>
          <w:szCs w:val="26"/>
        </w:rPr>
        <w:t xml:space="preserve"> </w:t>
      </w:r>
      <w:r w:rsidRPr="00A82B79">
        <w:rPr>
          <w:rFonts w:ascii="Times New Roman" w:hAnsi="Times New Roman" w:cs="Times New Roman"/>
          <w:sz w:val="26"/>
          <w:szCs w:val="26"/>
        </w:rPr>
        <w:t>24.§ 2. punktu</w:t>
      </w:r>
      <w:r>
        <w:rPr>
          <w:rFonts w:ascii="Times New Roman" w:hAnsi="Times New Roman" w:cs="Times New Roman"/>
          <w:sz w:val="26"/>
          <w:szCs w:val="26"/>
        </w:rPr>
        <w:t xml:space="preserve"> </w:t>
      </w:r>
      <w:r w:rsidRPr="004D1A8A">
        <w:rPr>
          <w:rFonts w:ascii="Times New Roman" w:hAnsi="Times New Roman" w:cs="Times New Roman"/>
          <w:sz w:val="26"/>
          <w:szCs w:val="26"/>
        </w:rPr>
        <w:t>un sniedz priekšlikumus attiecībā uz nepieciešamību papildus grozīt normatīvo regulējumu, lai noteiktu elektroenerģijas piegādes neplānotu pārtraukumu ilguma samazināšanu un lai uzlabotu kompensācijas mehānismu neplānotu pārtraukumu gadījumā.</w:t>
      </w:r>
    </w:p>
    <w:p w14:paraId="3E0FA545" w14:textId="573E00C6" w:rsidR="004D1A8A" w:rsidRDefault="00565755" w:rsidP="00650028">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Atbilstoši </w:t>
      </w:r>
      <w:r w:rsidRPr="00565755">
        <w:rPr>
          <w:rFonts w:ascii="Times New Roman" w:hAnsi="Times New Roman" w:cs="Times New Roman"/>
          <w:sz w:val="26"/>
          <w:szCs w:val="26"/>
        </w:rPr>
        <w:t>Ministru kabineta 2014. gada 21. janvāra noteikum</w:t>
      </w:r>
      <w:r>
        <w:rPr>
          <w:rFonts w:ascii="Times New Roman" w:hAnsi="Times New Roman" w:cs="Times New Roman"/>
          <w:sz w:val="26"/>
          <w:szCs w:val="26"/>
        </w:rPr>
        <w:t>u</w:t>
      </w:r>
      <w:r w:rsidRPr="00565755">
        <w:rPr>
          <w:rFonts w:ascii="Times New Roman" w:hAnsi="Times New Roman" w:cs="Times New Roman"/>
          <w:sz w:val="26"/>
          <w:szCs w:val="26"/>
        </w:rPr>
        <w:t xml:space="preserve"> Nr. 50 “Elektroenerģijas tirdzniecības un lietošanas noteikumi” (turpmāk – Noteikumi)</w:t>
      </w:r>
      <w:r>
        <w:rPr>
          <w:rFonts w:ascii="Times New Roman" w:hAnsi="Times New Roman" w:cs="Times New Roman"/>
          <w:sz w:val="26"/>
          <w:szCs w:val="26"/>
        </w:rPr>
        <w:t xml:space="preserve"> </w:t>
      </w:r>
      <w:r w:rsidRPr="00021184">
        <w:rPr>
          <w:rFonts w:ascii="Times New Roman" w:hAnsi="Times New Roman" w:cs="Times New Roman"/>
          <w:sz w:val="26"/>
          <w:szCs w:val="26"/>
        </w:rPr>
        <w:t>2.7.</w:t>
      </w:r>
      <w:r w:rsidRPr="00021184">
        <w:rPr>
          <w:rFonts w:ascii="Times New Roman" w:hAnsi="Times New Roman" w:cs="Times New Roman"/>
          <w:sz w:val="26"/>
          <w:szCs w:val="26"/>
          <w:vertAlign w:val="superscript"/>
        </w:rPr>
        <w:t>1</w:t>
      </w:r>
      <w:r w:rsidR="004D1A8A">
        <w:rPr>
          <w:rFonts w:ascii="Times New Roman" w:hAnsi="Times New Roman" w:cs="Times New Roman"/>
          <w:sz w:val="26"/>
          <w:szCs w:val="26"/>
        </w:rPr>
        <w:t> </w:t>
      </w:r>
      <w:r>
        <w:rPr>
          <w:rFonts w:ascii="Times New Roman" w:hAnsi="Times New Roman" w:cs="Times New Roman"/>
          <w:sz w:val="26"/>
          <w:szCs w:val="26"/>
        </w:rPr>
        <w:t xml:space="preserve">punktam </w:t>
      </w:r>
      <w:r w:rsidRPr="007B23B7">
        <w:rPr>
          <w:rFonts w:ascii="Times New Roman" w:hAnsi="Times New Roman" w:cs="Times New Roman"/>
          <w:i/>
          <w:iCs/>
          <w:sz w:val="26"/>
          <w:szCs w:val="26"/>
          <w:u w:val="single"/>
        </w:rPr>
        <w:t>elektroenerģijas piegādes neplānots pārtraukums</w:t>
      </w:r>
      <w:r w:rsidRPr="00021184">
        <w:rPr>
          <w:rFonts w:ascii="Times New Roman" w:hAnsi="Times New Roman" w:cs="Times New Roman"/>
          <w:i/>
          <w:iCs/>
          <w:sz w:val="26"/>
          <w:szCs w:val="26"/>
        </w:rPr>
        <w:t xml:space="preserve"> </w:t>
      </w:r>
      <w:r>
        <w:rPr>
          <w:rFonts w:ascii="Times New Roman" w:hAnsi="Times New Roman" w:cs="Times New Roman"/>
          <w:i/>
          <w:iCs/>
          <w:sz w:val="26"/>
          <w:szCs w:val="26"/>
        </w:rPr>
        <w:t>ir tāds</w:t>
      </w:r>
      <w:r w:rsidRPr="00021184">
        <w:rPr>
          <w:rFonts w:ascii="Times New Roman" w:hAnsi="Times New Roman" w:cs="Times New Roman"/>
          <w:i/>
          <w:iCs/>
          <w:sz w:val="26"/>
          <w:szCs w:val="26"/>
        </w:rPr>
        <w:t xml:space="preserve"> elektroapgādes pārtraukums, kuru izraisījuši ārēji apstākļi, sistēmas operatora elektroietaišu bojājumi vai atteices vai elektroapgādes pārtraukums, par kuru sistēmas operators nav brīdinājis sistēmas lietotāju, izņemot elektroietaises atslēgšanu</w:t>
      </w:r>
      <w:r w:rsidR="00650028">
        <w:rPr>
          <w:rFonts w:ascii="Times New Roman" w:hAnsi="Times New Roman" w:cs="Times New Roman"/>
          <w:sz w:val="26"/>
          <w:szCs w:val="26"/>
        </w:rPr>
        <w:t>. Noteikumu 93.punkts paredz, ka</w:t>
      </w:r>
      <w:r w:rsidR="00650028" w:rsidRPr="00650028">
        <w:rPr>
          <w:rFonts w:ascii="Times New Roman" w:hAnsi="Times New Roman" w:cs="Times New Roman"/>
          <w:i/>
          <w:iCs/>
          <w:sz w:val="26"/>
          <w:szCs w:val="26"/>
        </w:rPr>
        <w:t xml:space="preserve"> </w:t>
      </w:r>
      <w:r w:rsidR="00650028">
        <w:rPr>
          <w:rFonts w:ascii="Times New Roman" w:hAnsi="Times New Roman" w:cs="Times New Roman"/>
          <w:i/>
          <w:iCs/>
          <w:sz w:val="26"/>
          <w:szCs w:val="26"/>
        </w:rPr>
        <w:t>s</w:t>
      </w:r>
      <w:r w:rsidR="00650028" w:rsidRPr="00650028">
        <w:rPr>
          <w:rFonts w:ascii="Times New Roman" w:hAnsi="Times New Roman" w:cs="Times New Roman"/>
          <w:i/>
          <w:iCs/>
          <w:sz w:val="26"/>
          <w:szCs w:val="26"/>
        </w:rPr>
        <w:t>istēmas operators reģistrē elektroenerģijas piegādes neplānotu pārtraukumu un nodrošina iespējami ātru (ne ilgāk kā 24 stundu laikā) tā novēršanu</w:t>
      </w:r>
      <w:r w:rsidR="00650028">
        <w:rPr>
          <w:rFonts w:ascii="Times New Roman" w:hAnsi="Times New Roman" w:cs="Times New Roman"/>
          <w:sz w:val="26"/>
          <w:szCs w:val="26"/>
        </w:rPr>
        <w:t>.</w:t>
      </w:r>
      <w:r w:rsidR="00650028" w:rsidRPr="00650028">
        <w:rPr>
          <w:rFonts w:ascii="Times New Roman" w:hAnsi="Times New Roman" w:cs="Times New Roman"/>
          <w:sz w:val="26"/>
          <w:szCs w:val="26"/>
        </w:rPr>
        <w:t xml:space="preserve"> </w:t>
      </w:r>
    </w:p>
    <w:p w14:paraId="5A889312" w14:textId="7807A3B1" w:rsidR="00650028" w:rsidRDefault="00B52043" w:rsidP="00650028">
      <w:pPr>
        <w:spacing w:after="0"/>
        <w:ind w:firstLine="720"/>
        <w:jc w:val="both"/>
        <w:rPr>
          <w:rFonts w:ascii="Times New Roman" w:hAnsi="Times New Roman" w:cs="Times New Roman"/>
          <w:sz w:val="26"/>
          <w:szCs w:val="26"/>
        </w:rPr>
      </w:pPr>
      <w:r>
        <w:rPr>
          <w:rFonts w:ascii="Times New Roman" w:hAnsi="Times New Roman" w:cs="Times New Roman"/>
          <w:sz w:val="26"/>
          <w:szCs w:val="26"/>
        </w:rPr>
        <w:t>L</w:t>
      </w:r>
      <w:r w:rsidRPr="00A82B79">
        <w:rPr>
          <w:rFonts w:ascii="Times New Roman" w:hAnsi="Times New Roman" w:cs="Times New Roman"/>
          <w:sz w:val="26"/>
          <w:szCs w:val="26"/>
        </w:rPr>
        <w:t>īdz 2020.gada</w:t>
      </w:r>
      <w:bookmarkStart w:id="3" w:name="_Hlk74654730"/>
      <w:r w:rsidRPr="00A82B79">
        <w:rPr>
          <w:rFonts w:ascii="Times New Roman" w:hAnsi="Times New Roman" w:cs="Times New Roman"/>
          <w:sz w:val="26"/>
          <w:szCs w:val="26"/>
        </w:rPr>
        <w:t xml:space="preserve"> aprīlim tiesību akti neparedzēja elektroenerģijas sadales sistēmas lietotājiem (turpmāk – lietotāji) piemērot kompensācij</w:t>
      </w:r>
      <w:bookmarkEnd w:id="3"/>
      <w:r w:rsidRPr="00A82B79">
        <w:rPr>
          <w:rFonts w:ascii="Times New Roman" w:hAnsi="Times New Roman" w:cs="Times New Roman"/>
          <w:sz w:val="26"/>
          <w:szCs w:val="26"/>
        </w:rPr>
        <w:t xml:space="preserve">u elektroenerģijas piegādes neplānotu pārtraukumu </w:t>
      </w:r>
      <w:r>
        <w:rPr>
          <w:rFonts w:ascii="Times New Roman" w:hAnsi="Times New Roman" w:cs="Times New Roman"/>
          <w:sz w:val="26"/>
          <w:szCs w:val="26"/>
        </w:rPr>
        <w:t xml:space="preserve">(turpmāk – neplānoti pārtraukumi) </w:t>
      </w:r>
      <w:r w:rsidRPr="00A82B79">
        <w:rPr>
          <w:rFonts w:ascii="Times New Roman" w:hAnsi="Times New Roman" w:cs="Times New Roman"/>
          <w:sz w:val="26"/>
          <w:szCs w:val="26"/>
        </w:rPr>
        <w:t>gadījumos</w:t>
      </w:r>
      <w:r>
        <w:rPr>
          <w:rFonts w:ascii="Times New Roman" w:hAnsi="Times New Roman" w:cs="Times New Roman"/>
          <w:sz w:val="26"/>
          <w:szCs w:val="26"/>
        </w:rPr>
        <w:t xml:space="preserve">. </w:t>
      </w:r>
    </w:p>
    <w:p w14:paraId="28A2AF52" w14:textId="1A0150BB" w:rsidR="009747B6" w:rsidRPr="00A82B79" w:rsidRDefault="004D1A8A" w:rsidP="009747B6">
      <w:pPr>
        <w:spacing w:after="0"/>
        <w:ind w:firstLine="720"/>
        <w:jc w:val="both"/>
        <w:rPr>
          <w:rFonts w:ascii="Times New Roman" w:hAnsi="Times New Roman" w:cs="Times New Roman"/>
          <w:sz w:val="26"/>
          <w:szCs w:val="26"/>
        </w:rPr>
      </w:pPr>
      <w:r>
        <w:rPr>
          <w:rFonts w:ascii="Times New Roman" w:hAnsi="Times New Roman" w:cs="Times New Roman"/>
          <w:sz w:val="26"/>
          <w:szCs w:val="26"/>
        </w:rPr>
        <w:t>A</w:t>
      </w:r>
      <w:r w:rsidR="00133117" w:rsidRPr="00A82B79">
        <w:rPr>
          <w:rFonts w:ascii="Times New Roman" w:hAnsi="Times New Roman" w:cs="Times New Roman"/>
          <w:sz w:val="26"/>
          <w:szCs w:val="26"/>
        </w:rPr>
        <w:t xml:space="preserve">ttīstoties </w:t>
      </w:r>
      <w:bookmarkStart w:id="4" w:name="_Hlk74751342"/>
      <w:r w:rsidR="00133117" w:rsidRPr="00A82B79">
        <w:rPr>
          <w:rFonts w:ascii="Times New Roman" w:hAnsi="Times New Roman" w:cs="Times New Roman"/>
          <w:sz w:val="26"/>
          <w:szCs w:val="26"/>
        </w:rPr>
        <w:t>ekonomikai</w:t>
      </w:r>
      <w:r w:rsidR="00E519F6">
        <w:rPr>
          <w:rFonts w:ascii="Times New Roman" w:hAnsi="Times New Roman" w:cs="Times New Roman"/>
          <w:sz w:val="26"/>
          <w:szCs w:val="26"/>
        </w:rPr>
        <w:t xml:space="preserve"> </w:t>
      </w:r>
      <w:r w:rsidR="00133117" w:rsidRPr="00A82B79">
        <w:rPr>
          <w:rFonts w:ascii="Times New Roman" w:hAnsi="Times New Roman" w:cs="Times New Roman"/>
          <w:sz w:val="26"/>
          <w:szCs w:val="26"/>
        </w:rPr>
        <w:t>un tehnoloģij</w:t>
      </w:r>
      <w:bookmarkEnd w:id="4"/>
      <w:r w:rsidR="00133117" w:rsidRPr="00A82B79">
        <w:rPr>
          <w:rFonts w:ascii="Times New Roman" w:hAnsi="Times New Roman" w:cs="Times New Roman"/>
          <w:sz w:val="26"/>
          <w:szCs w:val="26"/>
        </w:rPr>
        <w:t xml:space="preserve">ām, </w:t>
      </w:r>
      <w:r w:rsidR="00B77AFD" w:rsidRPr="00A82B79">
        <w:rPr>
          <w:rFonts w:ascii="Times New Roman" w:hAnsi="Times New Roman" w:cs="Times New Roman"/>
          <w:sz w:val="26"/>
          <w:szCs w:val="26"/>
        </w:rPr>
        <w:t>pie</w:t>
      </w:r>
      <w:r w:rsidR="00133117" w:rsidRPr="00A82B79">
        <w:rPr>
          <w:rFonts w:ascii="Times New Roman" w:hAnsi="Times New Roman" w:cs="Times New Roman"/>
          <w:sz w:val="26"/>
          <w:szCs w:val="26"/>
        </w:rPr>
        <w:t>aug</w:t>
      </w:r>
      <w:r>
        <w:rPr>
          <w:rFonts w:ascii="Times New Roman" w:hAnsi="Times New Roman" w:cs="Times New Roman"/>
          <w:sz w:val="26"/>
          <w:szCs w:val="26"/>
        </w:rPr>
        <w:t>a</w:t>
      </w:r>
      <w:r w:rsidR="00133117" w:rsidRPr="00A82B79">
        <w:rPr>
          <w:rFonts w:ascii="Times New Roman" w:hAnsi="Times New Roman" w:cs="Times New Roman"/>
          <w:sz w:val="26"/>
          <w:szCs w:val="26"/>
        </w:rPr>
        <w:t xml:space="preserve"> </w:t>
      </w:r>
      <w:r w:rsidR="00E519F6">
        <w:rPr>
          <w:rFonts w:ascii="Times New Roman" w:hAnsi="Times New Roman" w:cs="Times New Roman"/>
          <w:sz w:val="26"/>
          <w:szCs w:val="26"/>
        </w:rPr>
        <w:t xml:space="preserve">gan </w:t>
      </w:r>
      <w:r w:rsidR="009E14A6">
        <w:rPr>
          <w:rFonts w:ascii="Times New Roman" w:hAnsi="Times New Roman" w:cs="Times New Roman"/>
          <w:sz w:val="26"/>
          <w:szCs w:val="26"/>
        </w:rPr>
        <w:t xml:space="preserve">potenciālo </w:t>
      </w:r>
      <w:r w:rsidR="00E519F6">
        <w:rPr>
          <w:rFonts w:ascii="Times New Roman" w:hAnsi="Times New Roman" w:cs="Times New Roman"/>
          <w:sz w:val="26"/>
          <w:szCs w:val="26"/>
        </w:rPr>
        <w:t>investoru, gan</w:t>
      </w:r>
      <w:r w:rsidR="009747B6">
        <w:rPr>
          <w:rFonts w:ascii="Times New Roman" w:hAnsi="Times New Roman" w:cs="Times New Roman"/>
          <w:sz w:val="26"/>
          <w:szCs w:val="26"/>
        </w:rPr>
        <w:t xml:space="preserve"> </w:t>
      </w:r>
      <w:r w:rsidR="00133117" w:rsidRPr="00A82B79">
        <w:rPr>
          <w:rFonts w:ascii="Times New Roman" w:hAnsi="Times New Roman" w:cs="Times New Roman"/>
          <w:sz w:val="26"/>
          <w:szCs w:val="26"/>
        </w:rPr>
        <w:t xml:space="preserve">lietotāju </w:t>
      </w:r>
      <w:r w:rsidR="009C2E5D">
        <w:rPr>
          <w:rFonts w:ascii="Times New Roman" w:hAnsi="Times New Roman" w:cs="Times New Roman"/>
          <w:sz w:val="26"/>
          <w:szCs w:val="26"/>
        </w:rPr>
        <w:t xml:space="preserve">elektroapgādes kvalitātes </w:t>
      </w:r>
      <w:r w:rsidR="00133117" w:rsidRPr="00A82B79">
        <w:rPr>
          <w:rFonts w:ascii="Times New Roman" w:hAnsi="Times New Roman" w:cs="Times New Roman"/>
          <w:sz w:val="26"/>
          <w:szCs w:val="26"/>
        </w:rPr>
        <w:t xml:space="preserve">prasības un </w:t>
      </w:r>
      <w:bookmarkStart w:id="5" w:name="_Hlk74743714"/>
      <w:r w:rsidR="00133117" w:rsidRPr="00A82B79">
        <w:rPr>
          <w:rFonts w:ascii="Times New Roman" w:hAnsi="Times New Roman" w:cs="Times New Roman"/>
          <w:sz w:val="26"/>
          <w:szCs w:val="26"/>
        </w:rPr>
        <w:t>elektro</w:t>
      </w:r>
      <w:r w:rsidR="009C2E5D">
        <w:rPr>
          <w:rFonts w:ascii="Times New Roman" w:hAnsi="Times New Roman" w:cs="Times New Roman"/>
          <w:sz w:val="26"/>
          <w:szCs w:val="26"/>
        </w:rPr>
        <w:t>enerģijas piegādes</w:t>
      </w:r>
      <w:r w:rsidR="00133117" w:rsidRPr="00A82B79">
        <w:rPr>
          <w:rFonts w:ascii="Times New Roman" w:hAnsi="Times New Roman" w:cs="Times New Roman"/>
          <w:sz w:val="26"/>
          <w:szCs w:val="26"/>
        </w:rPr>
        <w:t xml:space="preserve"> nepārtrauktība</w:t>
      </w:r>
      <w:bookmarkEnd w:id="5"/>
      <w:r w:rsidR="00133117" w:rsidRPr="00A82B79">
        <w:rPr>
          <w:rFonts w:ascii="Times New Roman" w:hAnsi="Times New Roman" w:cs="Times New Roman"/>
          <w:sz w:val="26"/>
          <w:szCs w:val="26"/>
        </w:rPr>
        <w:t>i ir a</w:t>
      </w:r>
      <w:r w:rsidR="009C2E5D">
        <w:rPr>
          <w:rFonts w:ascii="Times New Roman" w:hAnsi="Times New Roman" w:cs="Times New Roman"/>
          <w:sz w:val="26"/>
          <w:szCs w:val="26"/>
        </w:rPr>
        <w:t>r</w:t>
      </w:r>
      <w:r w:rsidR="00133117" w:rsidRPr="00A82B79">
        <w:rPr>
          <w:rFonts w:ascii="Times New Roman" w:hAnsi="Times New Roman" w:cs="Times New Roman"/>
          <w:sz w:val="26"/>
          <w:szCs w:val="26"/>
        </w:rPr>
        <w:t>vien būtiskāka nozīme</w:t>
      </w:r>
      <w:r w:rsidR="009747B6">
        <w:rPr>
          <w:rFonts w:ascii="Times New Roman" w:hAnsi="Times New Roman" w:cs="Times New Roman"/>
          <w:sz w:val="26"/>
          <w:szCs w:val="26"/>
        </w:rPr>
        <w:t>, tādēļ</w:t>
      </w:r>
      <w:bookmarkEnd w:id="2"/>
      <w:r w:rsidR="009747B6" w:rsidRPr="009747B6">
        <w:rPr>
          <w:rFonts w:ascii="Times New Roman" w:hAnsi="Times New Roman" w:cs="Times New Roman"/>
          <w:sz w:val="26"/>
          <w:szCs w:val="26"/>
        </w:rPr>
        <w:t xml:space="preserve"> </w:t>
      </w:r>
      <w:r w:rsidR="009747B6" w:rsidRPr="00A82B79">
        <w:rPr>
          <w:rFonts w:ascii="Times New Roman" w:hAnsi="Times New Roman" w:cs="Times New Roman"/>
          <w:sz w:val="26"/>
          <w:szCs w:val="26"/>
        </w:rPr>
        <w:t>2020. gada 7. aprīlī (</w:t>
      </w:r>
      <w:r w:rsidR="00565755">
        <w:rPr>
          <w:rFonts w:ascii="Times New Roman" w:hAnsi="Times New Roman" w:cs="Times New Roman"/>
          <w:sz w:val="26"/>
          <w:szCs w:val="26"/>
        </w:rPr>
        <w:t xml:space="preserve">Ministru kabineta sēdes </w:t>
      </w:r>
      <w:proofErr w:type="spellStart"/>
      <w:r w:rsidR="009747B6" w:rsidRPr="00A82B79">
        <w:rPr>
          <w:rFonts w:ascii="Times New Roman" w:hAnsi="Times New Roman" w:cs="Times New Roman"/>
          <w:sz w:val="26"/>
          <w:szCs w:val="26"/>
        </w:rPr>
        <w:t>protokollēmums</w:t>
      </w:r>
      <w:proofErr w:type="spellEnd"/>
      <w:r w:rsidR="009747B6" w:rsidRPr="00A82B79">
        <w:rPr>
          <w:rFonts w:ascii="Times New Roman" w:hAnsi="Times New Roman" w:cs="Times New Roman"/>
          <w:sz w:val="26"/>
          <w:szCs w:val="26"/>
        </w:rPr>
        <w:t xml:space="preserve"> Nr. 22)</w:t>
      </w:r>
      <w:r w:rsidR="009747B6">
        <w:rPr>
          <w:rFonts w:ascii="Times New Roman" w:hAnsi="Times New Roman" w:cs="Times New Roman"/>
          <w:sz w:val="26"/>
          <w:szCs w:val="26"/>
        </w:rPr>
        <w:t xml:space="preserve">, </w:t>
      </w:r>
      <w:r w:rsidR="009747B6" w:rsidRPr="00A82B79">
        <w:rPr>
          <w:rFonts w:ascii="Times New Roman" w:hAnsi="Times New Roman" w:cs="Times New Roman"/>
          <w:sz w:val="26"/>
          <w:szCs w:val="26"/>
        </w:rPr>
        <w:t>apstiprin</w:t>
      </w:r>
      <w:r w:rsidR="009747B6">
        <w:rPr>
          <w:rFonts w:ascii="Times New Roman" w:hAnsi="Times New Roman" w:cs="Times New Roman"/>
          <w:sz w:val="26"/>
          <w:szCs w:val="26"/>
        </w:rPr>
        <w:t>ot</w:t>
      </w:r>
      <w:r w:rsidR="009747B6" w:rsidRPr="00A82B79">
        <w:rPr>
          <w:rFonts w:ascii="Times New Roman" w:hAnsi="Times New Roman" w:cs="Times New Roman"/>
          <w:sz w:val="26"/>
          <w:szCs w:val="26"/>
        </w:rPr>
        <w:t xml:space="preserve"> grozījum</w:t>
      </w:r>
      <w:r w:rsidR="009747B6">
        <w:rPr>
          <w:rFonts w:ascii="Times New Roman" w:hAnsi="Times New Roman" w:cs="Times New Roman"/>
          <w:sz w:val="26"/>
          <w:szCs w:val="26"/>
        </w:rPr>
        <w:t>us</w:t>
      </w:r>
      <w:r w:rsidR="009747B6" w:rsidRPr="00A82B79">
        <w:rPr>
          <w:rFonts w:ascii="Times New Roman" w:hAnsi="Times New Roman" w:cs="Times New Roman"/>
          <w:sz w:val="26"/>
          <w:szCs w:val="26"/>
        </w:rPr>
        <w:t xml:space="preserve"> </w:t>
      </w:r>
      <w:r>
        <w:rPr>
          <w:rFonts w:ascii="Times New Roman" w:hAnsi="Times New Roman" w:cs="Times New Roman"/>
          <w:sz w:val="26"/>
          <w:szCs w:val="26"/>
        </w:rPr>
        <w:t>Noteikumos</w:t>
      </w:r>
      <w:r w:rsidR="009747B6">
        <w:rPr>
          <w:rFonts w:ascii="Times New Roman" w:hAnsi="Times New Roman" w:cs="Times New Roman"/>
          <w:sz w:val="26"/>
          <w:szCs w:val="26"/>
        </w:rPr>
        <w:t xml:space="preserve"> </w:t>
      </w:r>
      <w:r w:rsidR="001E2445">
        <w:rPr>
          <w:rFonts w:ascii="Times New Roman" w:hAnsi="Times New Roman" w:cs="Times New Roman"/>
          <w:sz w:val="26"/>
          <w:szCs w:val="26"/>
        </w:rPr>
        <w:t>ar mērķi uzlabot investīciju vidi</w:t>
      </w:r>
      <w:r>
        <w:rPr>
          <w:rFonts w:ascii="Times New Roman" w:hAnsi="Times New Roman" w:cs="Times New Roman"/>
          <w:sz w:val="26"/>
          <w:szCs w:val="26"/>
        </w:rPr>
        <w:t>,</w:t>
      </w:r>
      <w:r w:rsidR="001E2445">
        <w:rPr>
          <w:rFonts w:ascii="Times New Roman" w:hAnsi="Times New Roman" w:cs="Times New Roman"/>
          <w:sz w:val="26"/>
          <w:szCs w:val="26"/>
        </w:rPr>
        <w:t xml:space="preserve"> </w:t>
      </w:r>
      <w:r w:rsidR="00A24948">
        <w:rPr>
          <w:rFonts w:ascii="Times New Roman" w:hAnsi="Times New Roman" w:cs="Times New Roman"/>
          <w:sz w:val="26"/>
          <w:szCs w:val="26"/>
        </w:rPr>
        <w:t xml:space="preserve">Noteikumu </w:t>
      </w:r>
      <w:r w:rsidR="009747B6" w:rsidRPr="00A82B79">
        <w:rPr>
          <w:rFonts w:ascii="Times New Roman" w:hAnsi="Times New Roman" w:cs="Times New Roman"/>
          <w:sz w:val="26"/>
          <w:szCs w:val="26"/>
        </w:rPr>
        <w:t>93. punkts tika izteikt</w:t>
      </w:r>
      <w:r w:rsidR="002A5E62">
        <w:rPr>
          <w:rFonts w:ascii="Times New Roman" w:hAnsi="Times New Roman" w:cs="Times New Roman"/>
          <w:sz w:val="26"/>
          <w:szCs w:val="26"/>
        </w:rPr>
        <w:t>s</w:t>
      </w:r>
      <w:r w:rsidR="009747B6" w:rsidRPr="00A82B79">
        <w:rPr>
          <w:rFonts w:ascii="Times New Roman" w:hAnsi="Times New Roman" w:cs="Times New Roman"/>
          <w:sz w:val="26"/>
          <w:szCs w:val="26"/>
        </w:rPr>
        <w:t xml:space="preserve"> jaunā redakcijā, papildinot Noteikumus ar </w:t>
      </w:r>
      <w:bookmarkStart w:id="6" w:name="_Hlk74655337"/>
      <w:bookmarkStart w:id="7" w:name="_Hlk71116083"/>
      <w:r w:rsidR="009747B6" w:rsidRPr="00A82B79">
        <w:rPr>
          <w:rFonts w:ascii="Times New Roman" w:hAnsi="Times New Roman" w:cs="Times New Roman"/>
          <w:sz w:val="26"/>
          <w:szCs w:val="26"/>
        </w:rPr>
        <w:t>93.</w:t>
      </w:r>
      <w:r w:rsidR="009747B6" w:rsidRPr="00A82B79">
        <w:rPr>
          <w:rFonts w:ascii="Times New Roman" w:hAnsi="Times New Roman" w:cs="Times New Roman"/>
          <w:sz w:val="26"/>
          <w:szCs w:val="26"/>
          <w:vertAlign w:val="superscript"/>
        </w:rPr>
        <w:t>1</w:t>
      </w:r>
      <w:r w:rsidR="009747B6" w:rsidRPr="00A82B79">
        <w:rPr>
          <w:rFonts w:ascii="Times New Roman" w:hAnsi="Times New Roman" w:cs="Times New Roman"/>
          <w:sz w:val="26"/>
          <w:szCs w:val="26"/>
        </w:rPr>
        <w:t xml:space="preserve"> </w:t>
      </w:r>
      <w:bookmarkEnd w:id="6"/>
      <w:r w:rsidR="009747B6" w:rsidRPr="00A82B79">
        <w:rPr>
          <w:rFonts w:ascii="Times New Roman" w:hAnsi="Times New Roman" w:cs="Times New Roman"/>
          <w:sz w:val="26"/>
          <w:szCs w:val="26"/>
        </w:rPr>
        <w:t xml:space="preserve">punktu </w:t>
      </w:r>
      <w:bookmarkEnd w:id="7"/>
      <w:r w:rsidR="009747B6" w:rsidRPr="00A82B79">
        <w:rPr>
          <w:rFonts w:ascii="Times New Roman" w:hAnsi="Times New Roman" w:cs="Times New Roman"/>
          <w:sz w:val="26"/>
          <w:szCs w:val="26"/>
        </w:rPr>
        <w:t xml:space="preserve">un nosakot – </w:t>
      </w:r>
      <w:r w:rsidR="009747B6" w:rsidRPr="00A82B79">
        <w:rPr>
          <w:rFonts w:ascii="Times New Roman" w:hAnsi="Times New Roman" w:cs="Times New Roman"/>
          <w:i/>
          <w:iCs/>
          <w:sz w:val="26"/>
          <w:szCs w:val="26"/>
        </w:rPr>
        <w:t xml:space="preserve">Ja </w:t>
      </w:r>
      <w:bookmarkStart w:id="8" w:name="_Hlk67480233"/>
      <w:r w:rsidR="009747B6" w:rsidRPr="00A82B79">
        <w:rPr>
          <w:rFonts w:ascii="Times New Roman" w:hAnsi="Times New Roman" w:cs="Times New Roman"/>
          <w:i/>
          <w:iCs/>
          <w:sz w:val="26"/>
          <w:szCs w:val="26"/>
        </w:rPr>
        <w:t xml:space="preserve">elektroenerģijas piegādes neplānota pārtraukuma novēršanas ilgums </w:t>
      </w:r>
      <w:bookmarkEnd w:id="8"/>
      <w:r w:rsidR="009747B6" w:rsidRPr="00A82B79">
        <w:rPr>
          <w:rFonts w:ascii="Times New Roman" w:hAnsi="Times New Roman" w:cs="Times New Roman"/>
          <w:i/>
          <w:iCs/>
          <w:sz w:val="26"/>
          <w:szCs w:val="26"/>
        </w:rPr>
        <w:t xml:space="preserve">sadales sistēmas lietotāja objektā pārsniedz 24 stundas, izņemot šo noteikumu 94. punktā minētos gadījumus, sadales sistēmas operators, kura sadales tīkliem pieslēgti vairāk par simt tūkstošiem lietotāju, lietotājam piemēro kompensāciju. </w:t>
      </w:r>
      <w:bookmarkStart w:id="9" w:name="_Hlk71203532"/>
      <w:r w:rsidR="009747B6" w:rsidRPr="00A82B79">
        <w:rPr>
          <w:rFonts w:ascii="Times New Roman" w:hAnsi="Times New Roman" w:cs="Times New Roman"/>
          <w:i/>
          <w:iCs/>
          <w:sz w:val="26"/>
          <w:szCs w:val="26"/>
        </w:rPr>
        <w:t xml:space="preserve">Kompensācija tiek noteikta kā sadales sistēmas pakalpojumu tarifa samazinājums maksas par pieslēguma nodrošināšanu apmērā </w:t>
      </w:r>
      <w:bookmarkEnd w:id="9"/>
      <w:r w:rsidR="009747B6" w:rsidRPr="00A82B79">
        <w:rPr>
          <w:rFonts w:ascii="Times New Roman" w:hAnsi="Times New Roman" w:cs="Times New Roman"/>
          <w:i/>
          <w:iCs/>
          <w:sz w:val="26"/>
          <w:szCs w:val="26"/>
        </w:rPr>
        <w:t>par norēķinu periodu, kurā reģistrēts attiecīgais elektroenerģijas piegādes neplānots pārtraukums</w:t>
      </w:r>
      <w:r w:rsidR="009747B6" w:rsidRPr="00A82B79">
        <w:rPr>
          <w:rFonts w:ascii="Times New Roman" w:hAnsi="Times New Roman" w:cs="Times New Roman"/>
          <w:sz w:val="26"/>
          <w:szCs w:val="26"/>
        </w:rPr>
        <w:t>.</w:t>
      </w:r>
      <w:r w:rsidRPr="004D1A8A">
        <w:rPr>
          <w:rFonts w:ascii="Times New Roman" w:hAnsi="Times New Roman" w:cs="Times New Roman"/>
          <w:sz w:val="26"/>
          <w:szCs w:val="26"/>
        </w:rPr>
        <w:t xml:space="preserve"> </w:t>
      </w:r>
      <w:r>
        <w:rPr>
          <w:rFonts w:ascii="Times New Roman" w:hAnsi="Times New Roman" w:cs="Times New Roman"/>
          <w:sz w:val="26"/>
          <w:szCs w:val="26"/>
        </w:rPr>
        <w:t>Jāatzīmē, ka neplānoti pārtraukumi, kuri atbilst kādam no Noteikumu 94.punktā uzskaitītajiem gadījumiem, var pārsniegt noteikto 24 stundu novēršanas laiku un kompensācijas piemērošanai nekvalificējas.</w:t>
      </w:r>
    </w:p>
    <w:p w14:paraId="56A390AA" w14:textId="24318D2F" w:rsidR="00AD2218" w:rsidRDefault="00782BA0" w:rsidP="0053645E">
      <w:pPr>
        <w:spacing w:after="0"/>
        <w:ind w:firstLine="720"/>
        <w:jc w:val="both"/>
        <w:rPr>
          <w:rFonts w:ascii="Times New Roman" w:hAnsi="Times New Roman" w:cs="Times New Roman"/>
          <w:sz w:val="26"/>
          <w:szCs w:val="26"/>
        </w:rPr>
      </w:pPr>
      <w:r w:rsidRPr="00A82B79">
        <w:rPr>
          <w:rFonts w:ascii="Times New Roman" w:hAnsi="Times New Roman" w:cs="Times New Roman"/>
          <w:sz w:val="26"/>
          <w:szCs w:val="26"/>
        </w:rPr>
        <w:t>S</w:t>
      </w:r>
      <w:r w:rsidR="004A6241" w:rsidRPr="00A82B79">
        <w:rPr>
          <w:rFonts w:ascii="Times New Roman" w:hAnsi="Times New Roman" w:cs="Times New Roman"/>
          <w:sz w:val="26"/>
          <w:szCs w:val="26"/>
        </w:rPr>
        <w:t xml:space="preserve">askaņā ar minētā </w:t>
      </w:r>
      <w:proofErr w:type="spellStart"/>
      <w:r w:rsidR="004A6241" w:rsidRPr="00A82B79">
        <w:rPr>
          <w:rFonts w:ascii="Times New Roman" w:hAnsi="Times New Roman" w:cs="Times New Roman"/>
          <w:sz w:val="26"/>
          <w:szCs w:val="26"/>
        </w:rPr>
        <w:t>protokollēmuma</w:t>
      </w:r>
      <w:proofErr w:type="spellEnd"/>
      <w:r w:rsidR="004A6241" w:rsidRPr="00A82B79">
        <w:rPr>
          <w:rFonts w:ascii="Times New Roman" w:hAnsi="Times New Roman" w:cs="Times New Roman"/>
          <w:sz w:val="26"/>
          <w:szCs w:val="26"/>
        </w:rPr>
        <w:t xml:space="preserve"> </w:t>
      </w:r>
      <w:bookmarkStart w:id="10" w:name="_Hlk66888035"/>
      <w:r w:rsidR="00AD2218" w:rsidRPr="00A82B79">
        <w:rPr>
          <w:rFonts w:ascii="Times New Roman" w:hAnsi="Times New Roman" w:cs="Times New Roman"/>
          <w:sz w:val="26"/>
          <w:szCs w:val="26"/>
        </w:rPr>
        <w:t xml:space="preserve">24.§ </w:t>
      </w:r>
      <w:r w:rsidR="00FC5EF6" w:rsidRPr="00A82B79">
        <w:rPr>
          <w:rFonts w:ascii="Times New Roman" w:hAnsi="Times New Roman" w:cs="Times New Roman"/>
          <w:sz w:val="26"/>
          <w:szCs w:val="26"/>
        </w:rPr>
        <w:t>2. punkt</w:t>
      </w:r>
      <w:r w:rsidR="004A6241" w:rsidRPr="00A82B79">
        <w:rPr>
          <w:rFonts w:ascii="Times New Roman" w:hAnsi="Times New Roman" w:cs="Times New Roman"/>
          <w:sz w:val="26"/>
          <w:szCs w:val="26"/>
        </w:rPr>
        <w:t>u</w:t>
      </w:r>
      <w:r w:rsidR="00FC5EF6" w:rsidRPr="00A82B79">
        <w:rPr>
          <w:rFonts w:ascii="Times New Roman" w:hAnsi="Times New Roman" w:cs="Times New Roman"/>
          <w:sz w:val="26"/>
          <w:szCs w:val="26"/>
        </w:rPr>
        <w:t xml:space="preserve"> </w:t>
      </w:r>
      <w:bookmarkEnd w:id="10"/>
      <w:r w:rsidR="00FC5EF6" w:rsidRPr="00A82B79">
        <w:rPr>
          <w:rFonts w:ascii="Times New Roman" w:hAnsi="Times New Roman" w:cs="Times New Roman"/>
          <w:sz w:val="26"/>
          <w:szCs w:val="26"/>
        </w:rPr>
        <w:t xml:space="preserve">Ekonomikas ministrijai </w:t>
      </w:r>
      <w:r w:rsidR="00A01CAC" w:rsidRPr="00A82B79">
        <w:rPr>
          <w:rFonts w:ascii="Times New Roman" w:hAnsi="Times New Roman" w:cs="Times New Roman"/>
          <w:sz w:val="26"/>
          <w:szCs w:val="26"/>
        </w:rPr>
        <w:t xml:space="preserve">(turpmāk – Ministrija) </w:t>
      </w:r>
      <w:r w:rsidR="004D02DB" w:rsidRPr="00A82B79">
        <w:rPr>
          <w:rFonts w:ascii="Times New Roman" w:hAnsi="Times New Roman" w:cs="Times New Roman"/>
          <w:sz w:val="26"/>
          <w:szCs w:val="26"/>
        </w:rPr>
        <w:t xml:space="preserve">tika dots </w:t>
      </w:r>
      <w:r w:rsidR="00FC5EF6" w:rsidRPr="00A82B79">
        <w:rPr>
          <w:rFonts w:ascii="Times New Roman" w:hAnsi="Times New Roman" w:cs="Times New Roman"/>
          <w:sz w:val="26"/>
          <w:szCs w:val="26"/>
        </w:rPr>
        <w:t>uzdevum</w:t>
      </w:r>
      <w:r w:rsidR="004D02DB" w:rsidRPr="00A82B79">
        <w:rPr>
          <w:rFonts w:ascii="Times New Roman" w:hAnsi="Times New Roman" w:cs="Times New Roman"/>
          <w:sz w:val="26"/>
          <w:szCs w:val="26"/>
        </w:rPr>
        <w:t xml:space="preserve">s </w:t>
      </w:r>
      <w:r w:rsidR="00FE6C34" w:rsidRPr="00A82B79">
        <w:rPr>
          <w:rFonts w:ascii="Times New Roman" w:hAnsi="Times New Roman" w:cs="Times New Roman"/>
          <w:sz w:val="26"/>
          <w:szCs w:val="26"/>
        </w:rPr>
        <w:t xml:space="preserve">līdz 2021. gada 31. martam </w:t>
      </w:r>
      <w:r w:rsidR="00FC5EF6" w:rsidRPr="00A82B79">
        <w:rPr>
          <w:rFonts w:ascii="Times New Roman" w:hAnsi="Times New Roman" w:cs="Times New Roman"/>
          <w:sz w:val="26"/>
          <w:szCs w:val="26"/>
        </w:rPr>
        <w:t xml:space="preserve">veikt </w:t>
      </w:r>
      <w:proofErr w:type="spellStart"/>
      <w:r w:rsidR="00FC5EF6" w:rsidRPr="00A82B79">
        <w:rPr>
          <w:rFonts w:ascii="Times New Roman" w:hAnsi="Times New Roman" w:cs="Times New Roman"/>
          <w:sz w:val="26"/>
          <w:szCs w:val="26"/>
        </w:rPr>
        <w:t>izvērtējumu</w:t>
      </w:r>
      <w:proofErr w:type="spellEnd"/>
      <w:r w:rsidR="00FC5EF6" w:rsidRPr="00A82B79">
        <w:rPr>
          <w:rFonts w:ascii="Times New Roman" w:hAnsi="Times New Roman" w:cs="Times New Roman"/>
          <w:sz w:val="26"/>
          <w:szCs w:val="26"/>
        </w:rPr>
        <w:t xml:space="preserve"> </w:t>
      </w:r>
      <w:r w:rsidR="00AD2218" w:rsidRPr="00A82B79">
        <w:rPr>
          <w:rFonts w:ascii="Times New Roman" w:hAnsi="Times New Roman" w:cs="Times New Roman"/>
          <w:sz w:val="26"/>
          <w:szCs w:val="26"/>
        </w:rPr>
        <w:t xml:space="preserve">un iesniegt izskatīšanai Ministru kabinetā informatīvo ziņojumu </w:t>
      </w:r>
      <w:r w:rsidR="00AD2218" w:rsidRPr="00A82B79">
        <w:rPr>
          <w:rFonts w:ascii="Times New Roman" w:hAnsi="Times New Roman" w:cs="Times New Roman"/>
          <w:b/>
          <w:bCs/>
          <w:sz w:val="26"/>
          <w:szCs w:val="26"/>
        </w:rPr>
        <w:t>par priekšlikumiem attiecībā uz</w:t>
      </w:r>
      <w:r w:rsidR="00FC5EF6" w:rsidRPr="00A82B79">
        <w:rPr>
          <w:rFonts w:ascii="Times New Roman" w:hAnsi="Times New Roman" w:cs="Times New Roman"/>
          <w:b/>
          <w:bCs/>
          <w:sz w:val="26"/>
          <w:szCs w:val="26"/>
        </w:rPr>
        <w:t xml:space="preserve"> nepieciešamību </w:t>
      </w:r>
      <w:r w:rsidR="004A6241" w:rsidRPr="00A82B79">
        <w:rPr>
          <w:rFonts w:ascii="Times New Roman" w:hAnsi="Times New Roman" w:cs="Times New Roman"/>
          <w:b/>
          <w:bCs/>
          <w:sz w:val="26"/>
          <w:szCs w:val="26"/>
        </w:rPr>
        <w:t xml:space="preserve">papildus </w:t>
      </w:r>
      <w:r w:rsidR="00AD2218" w:rsidRPr="00A82B79">
        <w:rPr>
          <w:rFonts w:ascii="Times New Roman" w:hAnsi="Times New Roman" w:cs="Times New Roman"/>
          <w:b/>
          <w:bCs/>
          <w:sz w:val="26"/>
          <w:szCs w:val="26"/>
        </w:rPr>
        <w:t>grozīt normatīvo regulējumu, lai noteiktu neplānot</w:t>
      </w:r>
      <w:r w:rsidR="00A02632">
        <w:rPr>
          <w:rFonts w:ascii="Times New Roman" w:hAnsi="Times New Roman" w:cs="Times New Roman"/>
          <w:b/>
          <w:bCs/>
          <w:sz w:val="26"/>
          <w:szCs w:val="26"/>
        </w:rPr>
        <w:t>u</w:t>
      </w:r>
      <w:r w:rsidR="00AD2218" w:rsidRPr="00A82B79">
        <w:rPr>
          <w:rFonts w:ascii="Times New Roman" w:hAnsi="Times New Roman" w:cs="Times New Roman"/>
          <w:b/>
          <w:bCs/>
          <w:sz w:val="26"/>
          <w:szCs w:val="26"/>
        </w:rPr>
        <w:t xml:space="preserve"> pārtraukum</w:t>
      </w:r>
      <w:r w:rsidR="00A02632">
        <w:rPr>
          <w:rFonts w:ascii="Times New Roman" w:hAnsi="Times New Roman" w:cs="Times New Roman"/>
          <w:b/>
          <w:bCs/>
          <w:sz w:val="26"/>
          <w:szCs w:val="26"/>
        </w:rPr>
        <w:t>u</w:t>
      </w:r>
      <w:r w:rsidR="00AD2218" w:rsidRPr="00A82B79">
        <w:rPr>
          <w:rFonts w:ascii="Times New Roman" w:hAnsi="Times New Roman" w:cs="Times New Roman"/>
          <w:b/>
          <w:bCs/>
          <w:sz w:val="26"/>
          <w:szCs w:val="26"/>
        </w:rPr>
        <w:t xml:space="preserve"> ilguma samazināšanu un uzlabotu kompensācijas mehānismu </w:t>
      </w:r>
      <w:bookmarkStart w:id="11" w:name="_Hlk74654660"/>
      <w:r w:rsidR="00AD2218" w:rsidRPr="00A82B79">
        <w:rPr>
          <w:rFonts w:ascii="Times New Roman" w:hAnsi="Times New Roman" w:cs="Times New Roman"/>
          <w:b/>
          <w:bCs/>
          <w:sz w:val="26"/>
          <w:szCs w:val="26"/>
        </w:rPr>
        <w:t>neplānot</w:t>
      </w:r>
      <w:r w:rsidR="00FA682D">
        <w:rPr>
          <w:rFonts w:ascii="Times New Roman" w:hAnsi="Times New Roman" w:cs="Times New Roman"/>
          <w:b/>
          <w:bCs/>
          <w:sz w:val="26"/>
          <w:szCs w:val="26"/>
        </w:rPr>
        <w:t>u</w:t>
      </w:r>
      <w:r w:rsidR="00AD2218" w:rsidRPr="00A82B79">
        <w:rPr>
          <w:rFonts w:ascii="Times New Roman" w:hAnsi="Times New Roman" w:cs="Times New Roman"/>
          <w:b/>
          <w:bCs/>
          <w:sz w:val="26"/>
          <w:szCs w:val="26"/>
        </w:rPr>
        <w:t xml:space="preserve"> pārtraukum</w:t>
      </w:r>
      <w:r w:rsidR="00FA682D">
        <w:rPr>
          <w:rFonts w:ascii="Times New Roman" w:hAnsi="Times New Roman" w:cs="Times New Roman"/>
          <w:b/>
          <w:bCs/>
          <w:sz w:val="26"/>
          <w:szCs w:val="26"/>
        </w:rPr>
        <w:t>u</w:t>
      </w:r>
      <w:r w:rsidR="00AD2218" w:rsidRPr="00A82B79">
        <w:rPr>
          <w:rFonts w:ascii="Times New Roman" w:hAnsi="Times New Roman" w:cs="Times New Roman"/>
          <w:b/>
          <w:bCs/>
          <w:sz w:val="26"/>
          <w:szCs w:val="26"/>
        </w:rPr>
        <w:t xml:space="preserve"> gadījumā</w:t>
      </w:r>
      <w:bookmarkEnd w:id="11"/>
      <w:r w:rsidR="00AD2218" w:rsidRPr="00A82B79">
        <w:rPr>
          <w:rFonts w:ascii="Times New Roman" w:hAnsi="Times New Roman" w:cs="Times New Roman"/>
          <w:sz w:val="26"/>
          <w:szCs w:val="26"/>
        </w:rPr>
        <w:t>.</w:t>
      </w:r>
    </w:p>
    <w:p w14:paraId="16BE931E" w14:textId="2D9A4D85" w:rsidR="00AD2218" w:rsidRDefault="00B52043" w:rsidP="00B52043">
      <w:pPr>
        <w:rPr>
          <w:rFonts w:ascii="Times New Roman" w:hAnsi="Times New Roman" w:cs="Times New Roman"/>
          <w:sz w:val="26"/>
          <w:szCs w:val="26"/>
        </w:rPr>
      </w:pPr>
      <w:r>
        <w:rPr>
          <w:rFonts w:ascii="Times New Roman" w:hAnsi="Times New Roman" w:cs="Times New Roman"/>
          <w:sz w:val="26"/>
          <w:szCs w:val="26"/>
        </w:rPr>
        <w:br w:type="page"/>
      </w:r>
    </w:p>
    <w:p w14:paraId="28789418" w14:textId="53164D95" w:rsidR="00450874" w:rsidRDefault="00E87C91" w:rsidP="00372B70">
      <w:pPr>
        <w:pStyle w:val="ListParagraph"/>
        <w:numPr>
          <w:ilvl w:val="0"/>
          <w:numId w:val="11"/>
        </w:numPr>
        <w:spacing w:after="0"/>
        <w:jc w:val="both"/>
        <w:rPr>
          <w:rFonts w:ascii="Times New Roman" w:hAnsi="Times New Roman" w:cs="Times New Roman"/>
          <w:b/>
          <w:bCs/>
          <w:sz w:val="26"/>
          <w:szCs w:val="26"/>
        </w:rPr>
      </w:pPr>
      <w:r w:rsidRPr="00372B70">
        <w:rPr>
          <w:rFonts w:ascii="Times New Roman" w:hAnsi="Times New Roman" w:cs="Times New Roman"/>
          <w:b/>
          <w:bCs/>
          <w:sz w:val="26"/>
          <w:szCs w:val="26"/>
        </w:rPr>
        <w:lastRenderedPageBreak/>
        <w:t>Esošā situācija</w:t>
      </w:r>
      <w:r w:rsidR="004C5A9F">
        <w:rPr>
          <w:rFonts w:ascii="Times New Roman" w:hAnsi="Times New Roman" w:cs="Times New Roman"/>
          <w:b/>
          <w:bCs/>
          <w:sz w:val="26"/>
          <w:szCs w:val="26"/>
        </w:rPr>
        <w:t>s raksturojums</w:t>
      </w:r>
      <w:r w:rsidRPr="00372B70">
        <w:rPr>
          <w:rFonts w:ascii="Times New Roman" w:hAnsi="Times New Roman" w:cs="Times New Roman"/>
          <w:b/>
          <w:bCs/>
          <w:sz w:val="26"/>
          <w:szCs w:val="26"/>
        </w:rPr>
        <w:t xml:space="preserve"> </w:t>
      </w:r>
      <w:r w:rsidR="00DB72D5">
        <w:rPr>
          <w:rFonts w:ascii="Times New Roman" w:hAnsi="Times New Roman" w:cs="Times New Roman"/>
          <w:b/>
          <w:bCs/>
          <w:sz w:val="26"/>
          <w:szCs w:val="26"/>
        </w:rPr>
        <w:t>un AS “Sadales tīkls” pakalpojuma kvalitātes rādītāji</w:t>
      </w:r>
    </w:p>
    <w:p w14:paraId="30EF3C9E" w14:textId="77777777" w:rsidR="002C2750" w:rsidRPr="00372B70" w:rsidRDefault="002C2750" w:rsidP="002C2750">
      <w:pPr>
        <w:pStyle w:val="ListParagraph"/>
        <w:spacing w:after="0"/>
        <w:ind w:left="1080"/>
        <w:jc w:val="both"/>
        <w:rPr>
          <w:rFonts w:ascii="Times New Roman" w:hAnsi="Times New Roman" w:cs="Times New Roman"/>
          <w:b/>
          <w:bCs/>
          <w:sz w:val="26"/>
          <w:szCs w:val="26"/>
        </w:rPr>
      </w:pPr>
    </w:p>
    <w:p w14:paraId="03435384" w14:textId="48D27C68" w:rsidR="009B484E" w:rsidRDefault="0052488D" w:rsidP="0052488D">
      <w:pPr>
        <w:spacing w:after="0"/>
        <w:ind w:firstLine="720"/>
        <w:jc w:val="both"/>
        <w:rPr>
          <w:rFonts w:ascii="Times New Roman" w:hAnsi="Times New Roman" w:cs="Times New Roman"/>
          <w:sz w:val="26"/>
          <w:szCs w:val="26"/>
        </w:rPr>
      </w:pPr>
      <w:r w:rsidRPr="00A82B79">
        <w:rPr>
          <w:rFonts w:ascii="Times New Roman" w:hAnsi="Times New Roman" w:cs="Times New Roman"/>
          <w:sz w:val="26"/>
          <w:szCs w:val="26"/>
        </w:rPr>
        <w:t xml:space="preserve">Enerģētikas likuma 9. panta pirmā daļa nosaka sistēmas operatoriem, to skaitā lielākajam </w:t>
      </w:r>
      <w:r w:rsidR="00BB79DC" w:rsidRPr="00A82B79">
        <w:rPr>
          <w:rFonts w:ascii="Times New Roman" w:hAnsi="Times New Roman" w:cs="Times New Roman"/>
          <w:sz w:val="26"/>
          <w:szCs w:val="26"/>
        </w:rPr>
        <w:t xml:space="preserve">elektroenerģijas </w:t>
      </w:r>
      <w:r w:rsidRPr="00A82B79">
        <w:rPr>
          <w:rFonts w:ascii="Times New Roman" w:hAnsi="Times New Roman" w:cs="Times New Roman"/>
          <w:sz w:val="26"/>
          <w:szCs w:val="26"/>
        </w:rPr>
        <w:t xml:space="preserve">sadales sistēmas operatoram </w:t>
      </w:r>
      <w:r w:rsidR="00DB72D5" w:rsidRPr="00A82B79">
        <w:rPr>
          <w:rFonts w:ascii="Times New Roman" w:hAnsi="Times New Roman" w:cs="Times New Roman"/>
          <w:sz w:val="26"/>
          <w:szCs w:val="26"/>
        </w:rPr>
        <w:t>akciju sabiedrībai “</w:t>
      </w:r>
      <w:r w:rsidRPr="00A82B79">
        <w:rPr>
          <w:rFonts w:ascii="Times New Roman" w:hAnsi="Times New Roman" w:cs="Times New Roman"/>
          <w:sz w:val="26"/>
          <w:szCs w:val="26"/>
        </w:rPr>
        <w:t>Sadales tīkls</w:t>
      </w:r>
      <w:r w:rsidR="00DB72D5" w:rsidRPr="00A82B79">
        <w:rPr>
          <w:rFonts w:ascii="Times New Roman" w:hAnsi="Times New Roman" w:cs="Times New Roman"/>
          <w:sz w:val="26"/>
          <w:szCs w:val="26"/>
        </w:rPr>
        <w:t>”</w:t>
      </w:r>
      <w:r w:rsidRPr="00A82B79">
        <w:rPr>
          <w:rFonts w:ascii="Times New Roman" w:hAnsi="Times New Roman" w:cs="Times New Roman"/>
          <w:sz w:val="26"/>
          <w:szCs w:val="26"/>
        </w:rPr>
        <w:t xml:space="preserve"> (turpmāk – </w:t>
      </w:r>
      <w:bookmarkStart w:id="12" w:name="_Hlk74654642"/>
      <w:r w:rsidR="00DB72D5" w:rsidRPr="00A82B79">
        <w:rPr>
          <w:rFonts w:ascii="Times New Roman" w:hAnsi="Times New Roman" w:cs="Times New Roman"/>
          <w:sz w:val="26"/>
          <w:szCs w:val="26"/>
        </w:rPr>
        <w:t>AS “</w:t>
      </w:r>
      <w:r w:rsidRPr="00A82B79">
        <w:rPr>
          <w:rFonts w:ascii="Times New Roman" w:hAnsi="Times New Roman" w:cs="Times New Roman"/>
          <w:sz w:val="26"/>
          <w:szCs w:val="26"/>
        </w:rPr>
        <w:t>Sadales tīkls</w:t>
      </w:r>
      <w:r w:rsidR="00DB72D5" w:rsidRPr="00A82B79">
        <w:rPr>
          <w:rFonts w:ascii="Times New Roman" w:hAnsi="Times New Roman" w:cs="Times New Roman"/>
          <w:sz w:val="26"/>
          <w:szCs w:val="26"/>
        </w:rPr>
        <w:t>”</w:t>
      </w:r>
      <w:bookmarkEnd w:id="12"/>
      <w:r w:rsidRPr="00A82B79">
        <w:rPr>
          <w:rFonts w:ascii="Times New Roman" w:hAnsi="Times New Roman" w:cs="Times New Roman"/>
          <w:sz w:val="26"/>
          <w:szCs w:val="26"/>
        </w:rPr>
        <w:t xml:space="preserve">), kura </w:t>
      </w:r>
      <w:bookmarkStart w:id="13" w:name="_Hlk71206005"/>
      <w:r w:rsidRPr="00A82B79">
        <w:rPr>
          <w:rFonts w:ascii="Times New Roman" w:hAnsi="Times New Roman" w:cs="Times New Roman"/>
          <w:sz w:val="26"/>
          <w:szCs w:val="26"/>
        </w:rPr>
        <w:t xml:space="preserve">licences darbības zona </w:t>
      </w:r>
      <w:bookmarkEnd w:id="13"/>
      <w:r w:rsidRPr="00A82B79">
        <w:rPr>
          <w:rFonts w:ascii="Times New Roman" w:hAnsi="Times New Roman" w:cs="Times New Roman"/>
          <w:sz w:val="26"/>
          <w:szCs w:val="26"/>
        </w:rPr>
        <w:t xml:space="preserve">aptver lielāko Latvijas teritorijas daļu un kas apkalpo lielāko daļu </w:t>
      </w:r>
      <w:bookmarkStart w:id="14" w:name="_Hlk74727186"/>
      <w:r w:rsidRPr="00A82B79">
        <w:rPr>
          <w:rFonts w:ascii="Times New Roman" w:hAnsi="Times New Roman" w:cs="Times New Roman"/>
          <w:sz w:val="26"/>
          <w:szCs w:val="26"/>
        </w:rPr>
        <w:t>lietotāj</w:t>
      </w:r>
      <w:bookmarkEnd w:id="14"/>
      <w:r w:rsidR="00B77AFD" w:rsidRPr="00A82B79">
        <w:rPr>
          <w:rFonts w:ascii="Times New Roman" w:hAnsi="Times New Roman" w:cs="Times New Roman"/>
          <w:sz w:val="26"/>
          <w:szCs w:val="26"/>
        </w:rPr>
        <w:t>u</w:t>
      </w:r>
      <w:r w:rsidRPr="00A82B79">
        <w:rPr>
          <w:rFonts w:ascii="Times New Roman" w:hAnsi="Times New Roman" w:cs="Times New Roman"/>
          <w:sz w:val="26"/>
          <w:szCs w:val="26"/>
        </w:rPr>
        <w:t xml:space="preserve">, pienākumu nodrošināt savu objektu nepārtrauktu darbību un atbilstošu tehnisko stāvokli. Ievērojot minēto, kā arī aizvien pieaugošo </w:t>
      </w:r>
      <w:proofErr w:type="spellStart"/>
      <w:r w:rsidRPr="00A82B79">
        <w:rPr>
          <w:rFonts w:ascii="Times New Roman" w:hAnsi="Times New Roman" w:cs="Times New Roman"/>
          <w:sz w:val="26"/>
          <w:szCs w:val="26"/>
        </w:rPr>
        <w:t>digitalizāciju</w:t>
      </w:r>
      <w:proofErr w:type="spellEnd"/>
      <w:r w:rsidRPr="00A82B79">
        <w:rPr>
          <w:rFonts w:ascii="Times New Roman" w:hAnsi="Times New Roman" w:cs="Times New Roman"/>
          <w:sz w:val="26"/>
          <w:szCs w:val="26"/>
        </w:rPr>
        <w:t xml:space="preserve"> un </w:t>
      </w:r>
      <w:r w:rsidR="00DB72D5" w:rsidRPr="00A82B79">
        <w:rPr>
          <w:rFonts w:ascii="Times New Roman" w:hAnsi="Times New Roman" w:cs="Times New Roman"/>
          <w:sz w:val="26"/>
          <w:szCs w:val="26"/>
        </w:rPr>
        <w:t>ražošanas decentralizāciju</w:t>
      </w:r>
      <w:r w:rsidRPr="00A82B79">
        <w:rPr>
          <w:rFonts w:ascii="Times New Roman" w:hAnsi="Times New Roman" w:cs="Times New Roman"/>
          <w:sz w:val="26"/>
          <w:szCs w:val="26"/>
        </w:rPr>
        <w:t xml:space="preserve">, kur elektroenerģijas piegādes nepārtrauktībai ir izšķiroša nozīme, lietotāji sagaida augstu elektroapgādes drošumu, mazu sprieguma padeves pārtraukumu skaitu, kā arī pēc iespējas </w:t>
      </w:r>
      <w:bookmarkStart w:id="15" w:name="_Hlk74726749"/>
      <w:r w:rsidRPr="00A82B79">
        <w:rPr>
          <w:rFonts w:ascii="Times New Roman" w:hAnsi="Times New Roman" w:cs="Times New Roman"/>
          <w:sz w:val="26"/>
          <w:szCs w:val="26"/>
        </w:rPr>
        <w:t xml:space="preserve">īsāku </w:t>
      </w:r>
      <w:r w:rsidR="00D36E59">
        <w:rPr>
          <w:rFonts w:ascii="Times New Roman" w:hAnsi="Times New Roman" w:cs="Times New Roman"/>
          <w:sz w:val="26"/>
          <w:szCs w:val="26"/>
        </w:rPr>
        <w:t xml:space="preserve">neplānotu </w:t>
      </w:r>
      <w:r w:rsidRPr="00A82B79">
        <w:rPr>
          <w:rFonts w:ascii="Times New Roman" w:hAnsi="Times New Roman" w:cs="Times New Roman"/>
          <w:sz w:val="26"/>
          <w:szCs w:val="26"/>
        </w:rPr>
        <w:t>pārtraukumu laik</w:t>
      </w:r>
      <w:bookmarkEnd w:id="15"/>
      <w:r w:rsidRPr="00A82B79">
        <w:rPr>
          <w:rFonts w:ascii="Times New Roman" w:hAnsi="Times New Roman" w:cs="Times New Roman"/>
          <w:sz w:val="26"/>
          <w:szCs w:val="26"/>
        </w:rPr>
        <w:t>u. Līdz ar to sistēmas operatoru uzdevums ir nodrošināt iespējami nepārtrauktu elektroapgādi ar pēc iespējas mazākām izmaksām.</w:t>
      </w:r>
    </w:p>
    <w:p w14:paraId="5910FEE5" w14:textId="690867F7" w:rsidR="008A282F" w:rsidRDefault="008B5AB8" w:rsidP="009E14A6">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Šobrīd </w:t>
      </w:r>
      <w:r w:rsidRPr="00A82B79">
        <w:rPr>
          <w:rFonts w:ascii="Times New Roman" w:hAnsi="Times New Roman" w:cs="Times New Roman"/>
          <w:sz w:val="26"/>
          <w:szCs w:val="26"/>
        </w:rPr>
        <w:t>elektroenerģijas piegāde neplānotu pārtraukumu gadījumā ir jāatjauno 24 stundu laikā, savukārt, pārsniedzot noteikto laiku</w:t>
      </w:r>
      <w:r w:rsidR="00FA4E0C">
        <w:rPr>
          <w:rStyle w:val="FootnoteReference"/>
          <w:rFonts w:ascii="Times New Roman" w:hAnsi="Times New Roman" w:cs="Times New Roman"/>
          <w:sz w:val="26"/>
          <w:szCs w:val="26"/>
        </w:rPr>
        <w:footnoteReference w:id="1"/>
      </w:r>
      <w:r w:rsidR="00FA4E0C" w:rsidRPr="00A82B79">
        <w:rPr>
          <w:rFonts w:ascii="Times New Roman" w:hAnsi="Times New Roman" w:cs="Times New Roman"/>
          <w:sz w:val="26"/>
          <w:szCs w:val="26"/>
        </w:rPr>
        <w:t xml:space="preserve"> </w:t>
      </w:r>
      <w:r w:rsidR="00FA4E0C">
        <w:rPr>
          <w:rFonts w:ascii="Times New Roman" w:hAnsi="Times New Roman" w:cs="Times New Roman"/>
          <w:sz w:val="26"/>
          <w:szCs w:val="26"/>
        </w:rPr>
        <w:t xml:space="preserve"> </w:t>
      </w:r>
      <w:r w:rsidR="00FA4E0C" w:rsidRPr="00FA4E0C">
        <w:rPr>
          <w:rFonts w:ascii="Times New Roman" w:hAnsi="Times New Roman" w:cs="Times New Roman"/>
          <w:sz w:val="26"/>
          <w:szCs w:val="26"/>
        </w:rPr>
        <w:t>sadales sistēmas operator</w:t>
      </w:r>
      <w:r w:rsidR="00FA4E0C">
        <w:rPr>
          <w:rFonts w:ascii="Times New Roman" w:hAnsi="Times New Roman" w:cs="Times New Roman"/>
          <w:sz w:val="26"/>
          <w:szCs w:val="26"/>
        </w:rPr>
        <w:t>s</w:t>
      </w:r>
      <w:r w:rsidR="00FA4E0C" w:rsidRPr="00FA4E0C">
        <w:rPr>
          <w:rFonts w:ascii="Times New Roman" w:hAnsi="Times New Roman" w:cs="Times New Roman"/>
          <w:sz w:val="26"/>
          <w:szCs w:val="26"/>
        </w:rPr>
        <w:t>, kura sadales tīkliem pieslēgti mazāk par simt tūkstošiem lietotāj</w:t>
      </w:r>
      <w:r w:rsidR="00FA4E0C">
        <w:rPr>
          <w:rFonts w:ascii="Times New Roman" w:hAnsi="Times New Roman" w:cs="Times New Roman"/>
          <w:sz w:val="26"/>
          <w:szCs w:val="26"/>
        </w:rPr>
        <w:t>u -</w:t>
      </w:r>
      <w:r w:rsidR="00FA4E0C" w:rsidRPr="00A82B79">
        <w:rPr>
          <w:rFonts w:ascii="Times New Roman" w:hAnsi="Times New Roman" w:cs="Times New Roman"/>
          <w:sz w:val="26"/>
          <w:szCs w:val="26"/>
        </w:rPr>
        <w:t>AS “Sadales tīkls”</w:t>
      </w:r>
      <w:r w:rsidR="00FA4E0C">
        <w:rPr>
          <w:rFonts w:ascii="Times New Roman" w:hAnsi="Times New Roman" w:cs="Times New Roman"/>
          <w:sz w:val="26"/>
          <w:szCs w:val="26"/>
        </w:rPr>
        <w:t>,</w:t>
      </w:r>
      <w:r w:rsidRPr="00A82B79">
        <w:rPr>
          <w:rFonts w:ascii="Times New Roman" w:hAnsi="Times New Roman" w:cs="Times New Roman"/>
          <w:sz w:val="26"/>
          <w:szCs w:val="26"/>
        </w:rPr>
        <w:t xml:space="preserve"> lietotājiem </w:t>
      </w:r>
      <w:bookmarkStart w:id="16" w:name="_Hlk75001558"/>
      <w:r w:rsidRPr="00A82B79">
        <w:rPr>
          <w:rFonts w:ascii="Times New Roman" w:hAnsi="Times New Roman" w:cs="Times New Roman"/>
          <w:sz w:val="26"/>
          <w:szCs w:val="26"/>
        </w:rPr>
        <w:t xml:space="preserve">piemēro </w:t>
      </w:r>
      <w:proofErr w:type="spellStart"/>
      <w:r w:rsidRPr="00A82B79">
        <w:rPr>
          <w:rFonts w:ascii="Times New Roman" w:hAnsi="Times New Roman" w:cs="Times New Roman"/>
          <w:sz w:val="26"/>
          <w:szCs w:val="26"/>
        </w:rPr>
        <w:t>kompensāciju</w:t>
      </w:r>
      <w:bookmarkEnd w:id="16"/>
      <w:r w:rsidRPr="00A82B79">
        <w:rPr>
          <w:rFonts w:ascii="Times New Roman" w:hAnsi="Times New Roman" w:cs="Times New Roman"/>
          <w:sz w:val="26"/>
          <w:szCs w:val="26"/>
        </w:rPr>
        <w:t>sadales</w:t>
      </w:r>
      <w:proofErr w:type="spellEnd"/>
      <w:r w:rsidRPr="00A82B79">
        <w:rPr>
          <w:rFonts w:ascii="Times New Roman" w:hAnsi="Times New Roman" w:cs="Times New Roman"/>
          <w:sz w:val="26"/>
          <w:szCs w:val="26"/>
        </w:rPr>
        <w:t xml:space="preserve"> sistēmas pakalpojumu tarifa samazinājum</w:t>
      </w:r>
      <w:r w:rsidR="004C5A9F">
        <w:rPr>
          <w:rFonts w:ascii="Times New Roman" w:hAnsi="Times New Roman" w:cs="Times New Roman"/>
          <w:sz w:val="26"/>
          <w:szCs w:val="26"/>
        </w:rPr>
        <w:t>a veidā</w:t>
      </w:r>
      <w:r w:rsidR="00FA4E0C">
        <w:rPr>
          <w:rFonts w:ascii="Times New Roman" w:hAnsi="Times New Roman" w:cs="Times New Roman"/>
          <w:sz w:val="26"/>
          <w:szCs w:val="26"/>
        </w:rPr>
        <w:t xml:space="preserve"> jeb</w:t>
      </w:r>
      <w:r w:rsidRPr="00A82B79">
        <w:rPr>
          <w:rFonts w:ascii="Times New Roman" w:hAnsi="Times New Roman" w:cs="Times New Roman"/>
          <w:sz w:val="26"/>
          <w:szCs w:val="26"/>
        </w:rPr>
        <w:t xml:space="preserve"> maksas par pieslēguma nodrošināšanu</w:t>
      </w:r>
      <w:r w:rsidR="00FA4E0C">
        <w:rPr>
          <w:rFonts w:ascii="Times New Roman" w:hAnsi="Times New Roman" w:cs="Times New Roman"/>
          <w:sz w:val="26"/>
          <w:szCs w:val="26"/>
        </w:rPr>
        <w:t xml:space="preserve"> (fiksētā sistēmas pakalpojumu tarifu daļa)</w:t>
      </w:r>
      <w:r w:rsidRPr="00A82B79">
        <w:rPr>
          <w:rFonts w:ascii="Times New Roman" w:hAnsi="Times New Roman" w:cs="Times New Roman"/>
          <w:sz w:val="26"/>
          <w:szCs w:val="26"/>
        </w:rPr>
        <w:t xml:space="preserve"> apmērā konkrētajā norēķinu periodā (mēnesī).</w:t>
      </w:r>
      <w:r w:rsidR="00C26991">
        <w:rPr>
          <w:rFonts w:ascii="Times New Roman" w:hAnsi="Times New Roman" w:cs="Times New Roman"/>
          <w:sz w:val="26"/>
          <w:szCs w:val="26"/>
        </w:rPr>
        <w:t xml:space="preserve"> </w:t>
      </w:r>
    </w:p>
    <w:p w14:paraId="219E3B84" w14:textId="4FC3ABED" w:rsidR="009E14A6" w:rsidRPr="009E14A6" w:rsidRDefault="004C5A9F" w:rsidP="009E14A6">
      <w:pPr>
        <w:spacing w:after="0"/>
        <w:ind w:firstLine="720"/>
        <w:jc w:val="both"/>
        <w:rPr>
          <w:rFonts w:ascii="Times New Roman" w:hAnsi="Times New Roman" w:cs="Times New Roman"/>
          <w:sz w:val="26"/>
          <w:szCs w:val="26"/>
        </w:rPr>
      </w:pPr>
      <w:r w:rsidRPr="00C26991">
        <w:rPr>
          <w:rFonts w:ascii="Times New Roman" w:hAnsi="Times New Roman" w:cs="Times New Roman"/>
          <w:sz w:val="26"/>
          <w:szCs w:val="26"/>
        </w:rPr>
        <w:t>24 stund</w:t>
      </w:r>
      <w:r>
        <w:rPr>
          <w:rFonts w:ascii="Times New Roman" w:hAnsi="Times New Roman" w:cs="Times New Roman"/>
          <w:sz w:val="26"/>
          <w:szCs w:val="26"/>
        </w:rPr>
        <w:t>u periods</w:t>
      </w:r>
      <w:r w:rsidRPr="00C26991">
        <w:rPr>
          <w:rFonts w:ascii="Times New Roman" w:hAnsi="Times New Roman" w:cs="Times New Roman"/>
          <w:sz w:val="26"/>
          <w:szCs w:val="26"/>
        </w:rPr>
        <w:t xml:space="preserve"> </w:t>
      </w:r>
      <w:r>
        <w:rPr>
          <w:rFonts w:ascii="Times New Roman" w:hAnsi="Times New Roman" w:cs="Times New Roman"/>
          <w:sz w:val="26"/>
          <w:szCs w:val="26"/>
        </w:rPr>
        <w:t>n</w:t>
      </w:r>
      <w:r w:rsidR="00C26991">
        <w:rPr>
          <w:rFonts w:ascii="Times New Roman" w:hAnsi="Times New Roman" w:cs="Times New Roman"/>
          <w:sz w:val="26"/>
          <w:szCs w:val="26"/>
        </w:rPr>
        <w:t xml:space="preserve">eplānotu </w:t>
      </w:r>
      <w:r w:rsidR="00C26991" w:rsidRPr="00C26991">
        <w:rPr>
          <w:rFonts w:ascii="Times New Roman" w:hAnsi="Times New Roman" w:cs="Times New Roman"/>
          <w:sz w:val="26"/>
          <w:szCs w:val="26"/>
        </w:rPr>
        <w:t>pārtraukum</w:t>
      </w:r>
      <w:r w:rsidR="00FA4E0C">
        <w:rPr>
          <w:rFonts w:ascii="Times New Roman" w:hAnsi="Times New Roman" w:cs="Times New Roman"/>
          <w:sz w:val="26"/>
          <w:szCs w:val="26"/>
        </w:rPr>
        <w:t>u</w:t>
      </w:r>
      <w:r w:rsidR="00C26991" w:rsidRPr="00C26991">
        <w:rPr>
          <w:rFonts w:ascii="Times New Roman" w:hAnsi="Times New Roman" w:cs="Times New Roman"/>
          <w:sz w:val="26"/>
          <w:szCs w:val="26"/>
        </w:rPr>
        <w:t xml:space="preserve"> </w:t>
      </w:r>
      <w:r w:rsidR="00C26991">
        <w:rPr>
          <w:rFonts w:ascii="Times New Roman" w:hAnsi="Times New Roman" w:cs="Times New Roman"/>
          <w:sz w:val="26"/>
          <w:szCs w:val="26"/>
        </w:rPr>
        <w:t>novērša</w:t>
      </w:r>
      <w:r>
        <w:rPr>
          <w:rFonts w:ascii="Times New Roman" w:hAnsi="Times New Roman" w:cs="Times New Roman"/>
          <w:sz w:val="26"/>
          <w:szCs w:val="26"/>
        </w:rPr>
        <w:t>nai</w:t>
      </w:r>
      <w:r w:rsidR="00C26991">
        <w:rPr>
          <w:rFonts w:ascii="Times New Roman" w:hAnsi="Times New Roman" w:cs="Times New Roman"/>
          <w:sz w:val="26"/>
          <w:szCs w:val="26"/>
        </w:rPr>
        <w:t xml:space="preserve"> </w:t>
      </w:r>
      <w:r w:rsidR="00572514">
        <w:rPr>
          <w:rFonts w:ascii="Times New Roman" w:hAnsi="Times New Roman" w:cs="Times New Roman"/>
          <w:sz w:val="26"/>
          <w:szCs w:val="26"/>
        </w:rPr>
        <w:t xml:space="preserve">Noteikumos </w:t>
      </w:r>
      <w:r w:rsidR="00C26991" w:rsidRPr="00C26991">
        <w:rPr>
          <w:rFonts w:ascii="Times New Roman" w:hAnsi="Times New Roman" w:cs="Times New Roman"/>
          <w:sz w:val="26"/>
          <w:szCs w:val="26"/>
        </w:rPr>
        <w:t>ir spēkā kopš 2007.gada</w:t>
      </w:r>
      <w:r w:rsidR="007B23B7">
        <w:rPr>
          <w:rFonts w:ascii="Times New Roman" w:hAnsi="Times New Roman" w:cs="Times New Roman"/>
          <w:sz w:val="26"/>
          <w:szCs w:val="26"/>
        </w:rPr>
        <w:t xml:space="preserve"> un vairāk kā 10 gadu</w:t>
      </w:r>
      <w:r w:rsidR="0022704F">
        <w:rPr>
          <w:rFonts w:ascii="Times New Roman" w:hAnsi="Times New Roman" w:cs="Times New Roman"/>
          <w:sz w:val="26"/>
          <w:szCs w:val="26"/>
        </w:rPr>
        <w:t xml:space="preserve"> </w:t>
      </w:r>
      <w:r w:rsidR="007B23B7">
        <w:rPr>
          <w:rFonts w:ascii="Times New Roman" w:hAnsi="Times New Roman" w:cs="Times New Roman"/>
          <w:sz w:val="26"/>
          <w:szCs w:val="26"/>
        </w:rPr>
        <w:t>garumā šī kvalitātes prasība normatīvajā regulējumā nav tikusi mainīta</w:t>
      </w:r>
      <w:r>
        <w:rPr>
          <w:rFonts w:ascii="Times New Roman" w:hAnsi="Times New Roman" w:cs="Times New Roman"/>
          <w:sz w:val="26"/>
          <w:szCs w:val="26"/>
        </w:rPr>
        <w:t>.</w:t>
      </w:r>
      <w:r w:rsidR="007B23B7">
        <w:rPr>
          <w:rFonts w:ascii="Times New Roman" w:hAnsi="Times New Roman" w:cs="Times New Roman"/>
          <w:sz w:val="26"/>
          <w:szCs w:val="26"/>
        </w:rPr>
        <w:t xml:space="preserve"> </w:t>
      </w:r>
      <w:r>
        <w:rPr>
          <w:rFonts w:ascii="Times New Roman" w:hAnsi="Times New Roman" w:cs="Times New Roman"/>
          <w:sz w:val="26"/>
          <w:szCs w:val="26"/>
        </w:rPr>
        <w:t xml:space="preserve">Vienlaikus, </w:t>
      </w:r>
      <w:r w:rsidR="007B23B7">
        <w:rPr>
          <w:rFonts w:ascii="Times New Roman" w:hAnsi="Times New Roman" w:cs="Times New Roman"/>
          <w:sz w:val="26"/>
          <w:szCs w:val="26"/>
        </w:rPr>
        <w:t xml:space="preserve">paralēli </w:t>
      </w:r>
      <w:r>
        <w:rPr>
          <w:rFonts w:ascii="Times New Roman" w:hAnsi="Times New Roman" w:cs="Times New Roman"/>
          <w:sz w:val="26"/>
          <w:szCs w:val="26"/>
        </w:rPr>
        <w:t xml:space="preserve">AS “Sadales tīkls” ir veicis </w:t>
      </w:r>
      <w:r w:rsidR="007B23B7">
        <w:rPr>
          <w:rFonts w:ascii="Times New Roman" w:hAnsi="Times New Roman" w:cs="Times New Roman"/>
          <w:sz w:val="26"/>
          <w:szCs w:val="26"/>
        </w:rPr>
        <w:t xml:space="preserve"> uzlabojum</w:t>
      </w:r>
      <w:r>
        <w:rPr>
          <w:rFonts w:ascii="Times New Roman" w:hAnsi="Times New Roman" w:cs="Times New Roman"/>
          <w:sz w:val="26"/>
          <w:szCs w:val="26"/>
        </w:rPr>
        <w:t xml:space="preserve">us </w:t>
      </w:r>
      <w:r w:rsidR="007B23B7">
        <w:rPr>
          <w:rFonts w:ascii="Times New Roman" w:hAnsi="Times New Roman" w:cs="Times New Roman"/>
          <w:sz w:val="26"/>
          <w:szCs w:val="26"/>
        </w:rPr>
        <w:t xml:space="preserve"> sistēmas darbības </w:t>
      </w:r>
      <w:r>
        <w:rPr>
          <w:rFonts w:ascii="Times New Roman" w:hAnsi="Times New Roman" w:cs="Times New Roman"/>
          <w:sz w:val="26"/>
          <w:szCs w:val="26"/>
        </w:rPr>
        <w:t xml:space="preserve">nodrošināšanā </w:t>
      </w:r>
      <w:r w:rsidR="007B23B7">
        <w:rPr>
          <w:rFonts w:ascii="Times New Roman" w:hAnsi="Times New Roman" w:cs="Times New Roman"/>
          <w:sz w:val="26"/>
          <w:szCs w:val="26"/>
        </w:rPr>
        <w:t xml:space="preserve">un pakalpojumu sniegšanā. </w:t>
      </w:r>
      <w:r w:rsidR="00FF51A6">
        <w:rPr>
          <w:rFonts w:ascii="Times New Roman" w:hAnsi="Times New Roman" w:cs="Times New Roman"/>
          <w:sz w:val="26"/>
          <w:szCs w:val="26"/>
        </w:rPr>
        <w:t>J</w:t>
      </w:r>
      <w:r w:rsidR="009E14A6" w:rsidRPr="009E14A6">
        <w:rPr>
          <w:rFonts w:ascii="Times New Roman" w:hAnsi="Times New Roman" w:cs="Times New Roman"/>
          <w:sz w:val="26"/>
          <w:szCs w:val="26"/>
        </w:rPr>
        <w:t>āuzsver</w:t>
      </w:r>
      <w:r w:rsidR="00FF51A6">
        <w:rPr>
          <w:rFonts w:ascii="Times New Roman" w:hAnsi="Times New Roman" w:cs="Times New Roman"/>
          <w:sz w:val="26"/>
          <w:szCs w:val="26"/>
        </w:rPr>
        <w:t xml:space="preserve"> arī</w:t>
      </w:r>
      <w:r w:rsidR="009E14A6" w:rsidRPr="009E14A6">
        <w:rPr>
          <w:rFonts w:ascii="Times New Roman" w:hAnsi="Times New Roman" w:cs="Times New Roman"/>
          <w:sz w:val="26"/>
          <w:szCs w:val="26"/>
        </w:rPr>
        <w:t xml:space="preserve">, ka </w:t>
      </w:r>
      <w:r w:rsidR="009E14A6" w:rsidRPr="009E14A6">
        <w:rPr>
          <w:rFonts w:ascii="Times New Roman" w:hAnsi="Times New Roman" w:cs="Times New Roman"/>
          <w:b/>
          <w:bCs/>
          <w:sz w:val="26"/>
          <w:szCs w:val="26"/>
        </w:rPr>
        <w:t>viens no kompensācijas mehānisma</w:t>
      </w:r>
      <w:r w:rsidR="00796269">
        <w:rPr>
          <w:rFonts w:ascii="Times New Roman" w:hAnsi="Times New Roman" w:cs="Times New Roman"/>
          <w:b/>
          <w:bCs/>
          <w:sz w:val="26"/>
          <w:szCs w:val="26"/>
        </w:rPr>
        <w:t xml:space="preserve"> </w:t>
      </w:r>
      <w:r w:rsidR="00796269" w:rsidRPr="009E14A6">
        <w:rPr>
          <w:rFonts w:ascii="Times New Roman" w:hAnsi="Times New Roman" w:cs="Times New Roman"/>
          <w:b/>
          <w:bCs/>
          <w:sz w:val="26"/>
          <w:szCs w:val="26"/>
        </w:rPr>
        <w:t>ieviešanas</w:t>
      </w:r>
      <w:r w:rsidR="009E14A6" w:rsidRPr="009E14A6">
        <w:rPr>
          <w:rFonts w:ascii="Times New Roman" w:hAnsi="Times New Roman" w:cs="Times New Roman"/>
          <w:b/>
          <w:bCs/>
          <w:sz w:val="26"/>
          <w:szCs w:val="26"/>
        </w:rPr>
        <w:t xml:space="preserve"> mērķiem </w:t>
      </w:r>
      <w:r w:rsidR="009E14A6">
        <w:rPr>
          <w:rFonts w:ascii="Times New Roman" w:hAnsi="Times New Roman" w:cs="Times New Roman"/>
          <w:b/>
          <w:bCs/>
          <w:sz w:val="26"/>
          <w:szCs w:val="26"/>
        </w:rPr>
        <w:t>bija</w:t>
      </w:r>
      <w:r w:rsidR="009E14A6" w:rsidRPr="009E14A6">
        <w:rPr>
          <w:rFonts w:ascii="Times New Roman" w:hAnsi="Times New Roman" w:cs="Times New Roman"/>
          <w:b/>
          <w:bCs/>
          <w:sz w:val="26"/>
          <w:szCs w:val="26"/>
        </w:rPr>
        <w:t xml:space="preserve"> uzlabot investīciju vidi, tādēļ nepieciešams izvērtēt augstāku kvalitātes prasību izvirzīšanu sistēmas pakalpojumu nodrošināšanā sadales sistēmas operatoram AS “Sadales tīkls”</w:t>
      </w:r>
      <w:r w:rsidR="00FF51A6" w:rsidRPr="00FF51A6">
        <w:rPr>
          <w:rFonts w:ascii="Times New Roman" w:hAnsi="Times New Roman" w:cs="Times New Roman"/>
          <w:sz w:val="26"/>
          <w:szCs w:val="26"/>
        </w:rPr>
        <w:t xml:space="preserve"> kā sistēmas operatoram</w:t>
      </w:r>
      <w:r w:rsidR="009E14A6" w:rsidRPr="00FF51A6">
        <w:rPr>
          <w:rFonts w:ascii="Times New Roman" w:hAnsi="Times New Roman" w:cs="Times New Roman"/>
          <w:sz w:val="26"/>
          <w:szCs w:val="26"/>
        </w:rPr>
        <w:t>, kura sadales tīkliem pieslēgti vairāk par simt tūkstošiem lietotāju</w:t>
      </w:r>
      <w:r w:rsidR="00FF51A6">
        <w:rPr>
          <w:rFonts w:ascii="Times New Roman" w:hAnsi="Times New Roman" w:cs="Times New Roman"/>
          <w:sz w:val="26"/>
          <w:szCs w:val="26"/>
        </w:rPr>
        <w:t xml:space="preserve"> un kurš </w:t>
      </w:r>
      <w:r w:rsidR="00FF51A6" w:rsidRPr="00FF51A6">
        <w:rPr>
          <w:rFonts w:ascii="Times New Roman" w:hAnsi="Times New Roman" w:cs="Times New Roman"/>
          <w:sz w:val="26"/>
          <w:szCs w:val="26"/>
        </w:rPr>
        <w:t xml:space="preserve">piemēro </w:t>
      </w:r>
      <w:r w:rsidR="00FF51A6">
        <w:rPr>
          <w:rFonts w:ascii="Times New Roman" w:hAnsi="Times New Roman" w:cs="Times New Roman"/>
          <w:sz w:val="26"/>
          <w:szCs w:val="26"/>
        </w:rPr>
        <w:t xml:space="preserve">lietotājiem </w:t>
      </w:r>
      <w:r w:rsidR="00FF51A6" w:rsidRPr="00FF51A6">
        <w:rPr>
          <w:rFonts w:ascii="Times New Roman" w:hAnsi="Times New Roman" w:cs="Times New Roman"/>
          <w:sz w:val="26"/>
          <w:szCs w:val="26"/>
        </w:rPr>
        <w:t>kompensāciju</w:t>
      </w:r>
      <w:r w:rsidR="00FF51A6">
        <w:rPr>
          <w:rFonts w:ascii="Times New Roman" w:hAnsi="Times New Roman" w:cs="Times New Roman"/>
          <w:sz w:val="26"/>
          <w:szCs w:val="26"/>
        </w:rPr>
        <w:t xml:space="preserve"> neplānotu pārtraukumu novēršanas laika pārsnieg</w:t>
      </w:r>
      <w:r w:rsidR="00796269">
        <w:rPr>
          <w:rFonts w:ascii="Times New Roman" w:hAnsi="Times New Roman" w:cs="Times New Roman"/>
          <w:sz w:val="26"/>
          <w:szCs w:val="26"/>
        </w:rPr>
        <w:t>šanas</w:t>
      </w:r>
      <w:r w:rsidR="00FF51A6">
        <w:rPr>
          <w:rFonts w:ascii="Times New Roman" w:hAnsi="Times New Roman" w:cs="Times New Roman"/>
          <w:sz w:val="26"/>
          <w:szCs w:val="26"/>
        </w:rPr>
        <w:t xml:space="preserve"> gadījumos</w:t>
      </w:r>
      <w:r w:rsidR="009E14A6" w:rsidRPr="00FF51A6">
        <w:rPr>
          <w:rFonts w:ascii="Times New Roman" w:hAnsi="Times New Roman" w:cs="Times New Roman"/>
          <w:sz w:val="26"/>
          <w:szCs w:val="26"/>
        </w:rPr>
        <w:t>.</w:t>
      </w:r>
    </w:p>
    <w:p w14:paraId="701C1056" w14:textId="00C7D725" w:rsidR="00BB79DC" w:rsidRPr="000C457D" w:rsidRDefault="00BB79DC" w:rsidP="000C457D">
      <w:pPr>
        <w:spacing w:after="0"/>
        <w:jc w:val="both"/>
        <w:rPr>
          <w:rFonts w:ascii="Times New Roman" w:hAnsi="Times New Roman" w:cs="Times New Roman"/>
          <w:b/>
          <w:bCs/>
          <w:sz w:val="26"/>
          <w:szCs w:val="26"/>
        </w:rPr>
      </w:pPr>
    </w:p>
    <w:p w14:paraId="5B49B69F" w14:textId="32CCE372" w:rsidR="005F5389" w:rsidRPr="00A82B79" w:rsidRDefault="006407E9" w:rsidP="008E2DA7">
      <w:pPr>
        <w:spacing w:after="0"/>
        <w:ind w:firstLine="720"/>
        <w:jc w:val="both"/>
        <w:rPr>
          <w:rFonts w:ascii="Times New Roman" w:hAnsi="Times New Roman" w:cs="Times New Roman"/>
          <w:sz w:val="26"/>
          <w:szCs w:val="26"/>
        </w:rPr>
      </w:pPr>
      <w:r w:rsidRPr="00A82B79">
        <w:rPr>
          <w:rFonts w:ascii="Times New Roman" w:hAnsi="Times New Roman" w:cs="Times New Roman"/>
          <w:sz w:val="26"/>
          <w:szCs w:val="26"/>
        </w:rPr>
        <w:t>Ievērojot, ka grozījumi normatīvajā regulējumā, lai noteiktu neplānot</w:t>
      </w:r>
      <w:r w:rsidR="00D26C25">
        <w:rPr>
          <w:rFonts w:ascii="Times New Roman" w:hAnsi="Times New Roman" w:cs="Times New Roman"/>
          <w:sz w:val="26"/>
          <w:szCs w:val="26"/>
        </w:rPr>
        <w:t>u</w:t>
      </w:r>
      <w:r w:rsidRPr="00A82B79">
        <w:rPr>
          <w:rFonts w:ascii="Times New Roman" w:hAnsi="Times New Roman" w:cs="Times New Roman"/>
          <w:sz w:val="26"/>
          <w:szCs w:val="26"/>
        </w:rPr>
        <w:t xml:space="preserve"> pārtraukum</w:t>
      </w:r>
      <w:r w:rsidR="00D26C25">
        <w:rPr>
          <w:rFonts w:ascii="Times New Roman" w:hAnsi="Times New Roman" w:cs="Times New Roman"/>
          <w:sz w:val="26"/>
          <w:szCs w:val="26"/>
        </w:rPr>
        <w:t>u</w:t>
      </w:r>
      <w:r w:rsidRPr="00A82B79">
        <w:rPr>
          <w:rFonts w:ascii="Times New Roman" w:hAnsi="Times New Roman" w:cs="Times New Roman"/>
          <w:sz w:val="26"/>
          <w:szCs w:val="26"/>
        </w:rPr>
        <w:t xml:space="preserve"> ilguma samazināšanu </w:t>
      </w:r>
      <w:r w:rsidR="00FA4E0C">
        <w:rPr>
          <w:rFonts w:ascii="Times New Roman" w:hAnsi="Times New Roman" w:cs="Times New Roman"/>
          <w:sz w:val="26"/>
          <w:szCs w:val="26"/>
        </w:rPr>
        <w:t xml:space="preserve">attiektos uz visiem Latvijas teritorijā licencētajiem sadales sistēmas operatoriem, bet </w:t>
      </w:r>
      <w:r w:rsidRPr="00A82B79">
        <w:rPr>
          <w:rFonts w:ascii="Times New Roman" w:hAnsi="Times New Roman" w:cs="Times New Roman"/>
          <w:sz w:val="26"/>
          <w:szCs w:val="26"/>
        </w:rPr>
        <w:t>uzlabot</w:t>
      </w:r>
      <w:r w:rsidR="00FA4E0C">
        <w:rPr>
          <w:rFonts w:ascii="Times New Roman" w:hAnsi="Times New Roman" w:cs="Times New Roman"/>
          <w:sz w:val="26"/>
          <w:szCs w:val="26"/>
        </w:rPr>
        <w:t>s</w:t>
      </w:r>
      <w:r w:rsidRPr="00A82B79">
        <w:rPr>
          <w:rFonts w:ascii="Times New Roman" w:hAnsi="Times New Roman" w:cs="Times New Roman"/>
          <w:sz w:val="26"/>
          <w:szCs w:val="26"/>
        </w:rPr>
        <w:t xml:space="preserve"> kompensācijas mehānism</w:t>
      </w:r>
      <w:r w:rsidR="001C3CAA">
        <w:rPr>
          <w:rFonts w:ascii="Times New Roman" w:hAnsi="Times New Roman" w:cs="Times New Roman"/>
          <w:sz w:val="26"/>
          <w:szCs w:val="26"/>
        </w:rPr>
        <w:t>s</w:t>
      </w:r>
      <w:r w:rsidRPr="00A82B79">
        <w:rPr>
          <w:rFonts w:ascii="Times New Roman" w:hAnsi="Times New Roman" w:cs="Times New Roman"/>
          <w:sz w:val="26"/>
          <w:szCs w:val="26"/>
        </w:rPr>
        <w:t xml:space="preserve"> neplānot</w:t>
      </w:r>
      <w:r w:rsidR="00E16026" w:rsidRPr="00A82B79">
        <w:rPr>
          <w:rFonts w:ascii="Times New Roman" w:hAnsi="Times New Roman" w:cs="Times New Roman"/>
          <w:sz w:val="26"/>
          <w:szCs w:val="26"/>
        </w:rPr>
        <w:t>u</w:t>
      </w:r>
      <w:r w:rsidRPr="00A82B79">
        <w:rPr>
          <w:rFonts w:ascii="Times New Roman" w:hAnsi="Times New Roman" w:cs="Times New Roman"/>
          <w:sz w:val="26"/>
          <w:szCs w:val="26"/>
        </w:rPr>
        <w:t xml:space="preserve"> pārtraukum</w:t>
      </w:r>
      <w:r w:rsidR="00E16026" w:rsidRPr="00A82B79">
        <w:rPr>
          <w:rFonts w:ascii="Times New Roman" w:hAnsi="Times New Roman" w:cs="Times New Roman"/>
          <w:sz w:val="26"/>
          <w:szCs w:val="26"/>
        </w:rPr>
        <w:t>u</w:t>
      </w:r>
      <w:r w:rsidRPr="00A82B79">
        <w:rPr>
          <w:rFonts w:ascii="Times New Roman" w:hAnsi="Times New Roman" w:cs="Times New Roman"/>
          <w:sz w:val="26"/>
          <w:szCs w:val="26"/>
        </w:rPr>
        <w:t xml:space="preserve">  gadījumā skartu vienīgi AS “Sadales tīkls”, </w:t>
      </w:r>
      <w:r w:rsidR="0032612E">
        <w:rPr>
          <w:rFonts w:ascii="Times New Roman" w:hAnsi="Times New Roman" w:cs="Times New Roman"/>
          <w:sz w:val="26"/>
          <w:szCs w:val="26"/>
        </w:rPr>
        <w:t xml:space="preserve">ir izvērtēti </w:t>
      </w:r>
      <w:r w:rsidR="00FA4E0C" w:rsidRPr="00A82B79">
        <w:rPr>
          <w:rFonts w:ascii="Times New Roman" w:hAnsi="Times New Roman" w:cs="Times New Roman"/>
          <w:sz w:val="26"/>
          <w:szCs w:val="26"/>
        </w:rPr>
        <w:t xml:space="preserve">AS “Sadales tīkls” </w:t>
      </w:r>
      <w:r w:rsidR="007D1926">
        <w:rPr>
          <w:rFonts w:ascii="Times New Roman" w:hAnsi="Times New Roman" w:cs="Times New Roman"/>
          <w:sz w:val="26"/>
          <w:szCs w:val="26"/>
        </w:rPr>
        <w:t>sniegt</w:t>
      </w:r>
      <w:r w:rsidR="0032612E">
        <w:rPr>
          <w:rFonts w:ascii="Times New Roman" w:hAnsi="Times New Roman" w:cs="Times New Roman"/>
          <w:sz w:val="26"/>
          <w:szCs w:val="26"/>
        </w:rPr>
        <w:t>ie</w:t>
      </w:r>
      <w:r w:rsidR="007D1926">
        <w:rPr>
          <w:rFonts w:ascii="Times New Roman" w:hAnsi="Times New Roman" w:cs="Times New Roman"/>
          <w:sz w:val="26"/>
          <w:szCs w:val="26"/>
        </w:rPr>
        <w:t xml:space="preserve"> </w:t>
      </w:r>
      <w:r w:rsidRPr="00A82B79">
        <w:rPr>
          <w:rFonts w:ascii="Times New Roman" w:hAnsi="Times New Roman" w:cs="Times New Roman"/>
          <w:sz w:val="26"/>
          <w:szCs w:val="26"/>
        </w:rPr>
        <w:t>dat</w:t>
      </w:r>
      <w:r w:rsidR="0032612E">
        <w:rPr>
          <w:rFonts w:ascii="Times New Roman" w:hAnsi="Times New Roman" w:cs="Times New Roman"/>
          <w:sz w:val="26"/>
          <w:szCs w:val="26"/>
        </w:rPr>
        <w:t>i</w:t>
      </w:r>
      <w:r w:rsidRPr="00A82B79">
        <w:rPr>
          <w:rFonts w:ascii="Times New Roman" w:hAnsi="Times New Roman" w:cs="Times New Roman"/>
          <w:sz w:val="26"/>
          <w:szCs w:val="26"/>
        </w:rPr>
        <w:t xml:space="preserve"> par </w:t>
      </w:r>
      <w:r w:rsidR="00E16026" w:rsidRPr="00A82B79">
        <w:rPr>
          <w:rFonts w:ascii="Times New Roman" w:hAnsi="Times New Roman" w:cs="Times New Roman"/>
          <w:sz w:val="26"/>
          <w:szCs w:val="26"/>
        </w:rPr>
        <w:t xml:space="preserve">neplānotiem </w:t>
      </w:r>
      <w:r w:rsidRPr="00A82B79">
        <w:rPr>
          <w:rFonts w:ascii="Times New Roman" w:hAnsi="Times New Roman" w:cs="Times New Roman"/>
          <w:sz w:val="26"/>
          <w:szCs w:val="26"/>
        </w:rPr>
        <w:t>pārtraukumiem</w:t>
      </w:r>
      <w:r w:rsidR="00EF7460">
        <w:rPr>
          <w:rFonts w:ascii="Times New Roman" w:hAnsi="Times New Roman" w:cs="Times New Roman"/>
          <w:sz w:val="26"/>
          <w:szCs w:val="26"/>
        </w:rPr>
        <w:t>,</w:t>
      </w:r>
      <w:r w:rsidR="00EF7460" w:rsidRPr="00EF7460">
        <w:rPr>
          <w:rFonts w:ascii="Times New Roman" w:hAnsi="Times New Roman" w:cs="Times New Roman"/>
          <w:sz w:val="26"/>
          <w:szCs w:val="26"/>
        </w:rPr>
        <w:t xml:space="preserve"> </w:t>
      </w:r>
      <w:r w:rsidR="00EF7460" w:rsidRPr="00A82B79">
        <w:rPr>
          <w:rFonts w:ascii="Times New Roman" w:hAnsi="Times New Roman" w:cs="Times New Roman"/>
          <w:sz w:val="26"/>
          <w:szCs w:val="26"/>
        </w:rPr>
        <w:t>kas pārsniedza 24 stundas</w:t>
      </w:r>
      <w:r w:rsidR="00EF7460">
        <w:rPr>
          <w:rFonts w:ascii="Times New Roman" w:hAnsi="Times New Roman" w:cs="Times New Roman"/>
          <w:sz w:val="26"/>
          <w:szCs w:val="26"/>
        </w:rPr>
        <w:t>,</w:t>
      </w:r>
      <w:r w:rsidR="000F03F1">
        <w:rPr>
          <w:rFonts w:ascii="Times New Roman" w:hAnsi="Times New Roman" w:cs="Times New Roman"/>
          <w:sz w:val="26"/>
          <w:szCs w:val="26"/>
        </w:rPr>
        <w:t xml:space="preserve"> 2018., 2019. </w:t>
      </w:r>
      <w:r w:rsidR="000F03F1">
        <w:rPr>
          <w:rFonts w:ascii="Times New Roman" w:hAnsi="Times New Roman" w:cs="Times New Roman"/>
          <w:sz w:val="26"/>
          <w:szCs w:val="26"/>
        </w:rPr>
        <w:lastRenderedPageBreak/>
        <w:t>un 2020.gadā</w:t>
      </w:r>
      <w:r w:rsidRPr="00A82B79">
        <w:rPr>
          <w:rFonts w:ascii="Times New Roman" w:hAnsi="Times New Roman" w:cs="Times New Roman"/>
          <w:sz w:val="26"/>
          <w:szCs w:val="26"/>
        </w:rPr>
        <w:t xml:space="preserve">, </w:t>
      </w:r>
      <w:r w:rsidR="000F03F1" w:rsidRPr="00A82B79">
        <w:rPr>
          <w:rFonts w:ascii="Times New Roman" w:hAnsi="Times New Roman" w:cs="Times New Roman"/>
          <w:sz w:val="26"/>
          <w:szCs w:val="26"/>
        </w:rPr>
        <w:t>izmaksāto kompensāciju apmēru pēc Noteikumu papildināšanas ar 93.</w:t>
      </w:r>
      <w:r w:rsidR="000F03F1" w:rsidRPr="00A82B79">
        <w:rPr>
          <w:rFonts w:ascii="Times New Roman" w:hAnsi="Times New Roman" w:cs="Times New Roman"/>
          <w:sz w:val="26"/>
          <w:szCs w:val="26"/>
          <w:vertAlign w:val="superscript"/>
        </w:rPr>
        <w:t>1</w:t>
      </w:r>
      <w:r w:rsidR="000F03F1" w:rsidRPr="00A82B79">
        <w:rPr>
          <w:rFonts w:ascii="Times New Roman" w:hAnsi="Times New Roman" w:cs="Times New Roman"/>
          <w:sz w:val="26"/>
          <w:szCs w:val="26"/>
        </w:rPr>
        <w:t xml:space="preserve">  punktu</w:t>
      </w:r>
      <w:r w:rsidR="00D26C25">
        <w:rPr>
          <w:rFonts w:ascii="Times New Roman" w:hAnsi="Times New Roman" w:cs="Times New Roman"/>
          <w:sz w:val="26"/>
          <w:szCs w:val="26"/>
        </w:rPr>
        <w:t xml:space="preserve">, </w:t>
      </w:r>
      <w:r w:rsidR="000F03F1" w:rsidRPr="00A82B79">
        <w:rPr>
          <w:rFonts w:ascii="Times New Roman" w:hAnsi="Times New Roman" w:cs="Times New Roman"/>
          <w:sz w:val="26"/>
          <w:szCs w:val="26"/>
        </w:rPr>
        <w:t xml:space="preserve">kā </w:t>
      </w:r>
      <w:r w:rsidR="00D26C25">
        <w:rPr>
          <w:rFonts w:ascii="Times New Roman" w:hAnsi="Times New Roman" w:cs="Times New Roman"/>
          <w:sz w:val="26"/>
          <w:szCs w:val="26"/>
        </w:rPr>
        <w:t xml:space="preserve">arī </w:t>
      </w:r>
      <w:r w:rsidR="000F03F1">
        <w:rPr>
          <w:rFonts w:ascii="Times New Roman" w:hAnsi="Times New Roman" w:cs="Times New Roman"/>
          <w:sz w:val="26"/>
          <w:szCs w:val="26"/>
        </w:rPr>
        <w:t>2020.gadā</w:t>
      </w:r>
      <w:r w:rsidR="000F03F1" w:rsidRPr="00A82B79">
        <w:rPr>
          <w:rFonts w:ascii="Times New Roman" w:hAnsi="Times New Roman" w:cs="Times New Roman"/>
          <w:sz w:val="26"/>
          <w:szCs w:val="26"/>
        </w:rPr>
        <w:t xml:space="preserve"> 12 – 24 stundu laikā </w:t>
      </w:r>
      <w:r w:rsidRPr="00A82B79">
        <w:rPr>
          <w:rFonts w:ascii="Times New Roman" w:hAnsi="Times New Roman" w:cs="Times New Roman"/>
          <w:sz w:val="26"/>
          <w:szCs w:val="26"/>
        </w:rPr>
        <w:t>novērst</w:t>
      </w:r>
      <w:r w:rsidR="000F03F1">
        <w:rPr>
          <w:rFonts w:ascii="Times New Roman" w:hAnsi="Times New Roman" w:cs="Times New Roman"/>
          <w:sz w:val="26"/>
          <w:szCs w:val="26"/>
        </w:rPr>
        <w:t xml:space="preserve">ajiem </w:t>
      </w:r>
      <w:r w:rsidR="00EF7460">
        <w:rPr>
          <w:rFonts w:ascii="Times New Roman" w:hAnsi="Times New Roman" w:cs="Times New Roman"/>
          <w:sz w:val="26"/>
          <w:szCs w:val="26"/>
        </w:rPr>
        <w:t xml:space="preserve">neplānotajiem </w:t>
      </w:r>
      <w:r w:rsidR="000F03F1">
        <w:rPr>
          <w:rFonts w:ascii="Times New Roman" w:hAnsi="Times New Roman" w:cs="Times New Roman"/>
          <w:sz w:val="26"/>
          <w:szCs w:val="26"/>
        </w:rPr>
        <w:t>pārtraukumiem</w:t>
      </w:r>
      <w:r w:rsidR="00F334BF" w:rsidRPr="00A82B79">
        <w:rPr>
          <w:rFonts w:ascii="Times New Roman" w:hAnsi="Times New Roman" w:cs="Times New Roman"/>
          <w:sz w:val="26"/>
          <w:szCs w:val="26"/>
        </w:rPr>
        <w:t>.</w:t>
      </w:r>
    </w:p>
    <w:p w14:paraId="2B1CAF4F" w14:textId="29FF8885" w:rsidR="0007451B" w:rsidRDefault="0007451B" w:rsidP="0042083B">
      <w:pPr>
        <w:spacing w:after="0"/>
        <w:ind w:firstLine="720"/>
        <w:jc w:val="both"/>
        <w:rPr>
          <w:rFonts w:ascii="Times New Roman" w:hAnsi="Times New Roman" w:cs="Times New Roman"/>
          <w:sz w:val="26"/>
          <w:szCs w:val="26"/>
        </w:rPr>
      </w:pPr>
      <w:bookmarkStart w:id="17" w:name="_Hlk71123779"/>
      <w:r w:rsidRPr="00A82B79">
        <w:rPr>
          <w:rFonts w:ascii="Times New Roman" w:hAnsi="Times New Roman" w:cs="Times New Roman"/>
          <w:sz w:val="26"/>
          <w:szCs w:val="26"/>
        </w:rPr>
        <w:t>Atbilstoši AS “Sadales tīkls” sniegtajiem datiem</w:t>
      </w:r>
      <w:r w:rsidR="00FA5CE1">
        <w:rPr>
          <w:rFonts w:ascii="Times New Roman" w:hAnsi="Times New Roman" w:cs="Times New Roman"/>
          <w:sz w:val="26"/>
          <w:szCs w:val="26"/>
        </w:rPr>
        <w:t xml:space="preserve"> (skatīt 1</w:t>
      </w:r>
      <w:r w:rsidR="003269C3">
        <w:rPr>
          <w:rFonts w:ascii="Times New Roman" w:hAnsi="Times New Roman" w:cs="Times New Roman"/>
          <w:sz w:val="26"/>
          <w:szCs w:val="26"/>
        </w:rPr>
        <w:t>.</w:t>
      </w:r>
      <w:r w:rsidR="00FA5CE1">
        <w:rPr>
          <w:rFonts w:ascii="Times New Roman" w:hAnsi="Times New Roman" w:cs="Times New Roman"/>
          <w:sz w:val="26"/>
          <w:szCs w:val="26"/>
        </w:rPr>
        <w:t>tabulu)</w:t>
      </w:r>
      <w:r w:rsidRPr="00A82B79">
        <w:rPr>
          <w:rFonts w:ascii="Times New Roman" w:hAnsi="Times New Roman" w:cs="Times New Roman"/>
          <w:sz w:val="26"/>
          <w:szCs w:val="26"/>
        </w:rPr>
        <w:t xml:space="preserve">, 2020. gadā elektroenerģijas sadales sistēmā ir reģistrēti 67 </w:t>
      </w:r>
      <w:r w:rsidR="00D26C25">
        <w:rPr>
          <w:rFonts w:ascii="Times New Roman" w:hAnsi="Times New Roman" w:cs="Times New Roman"/>
          <w:sz w:val="26"/>
          <w:szCs w:val="26"/>
        </w:rPr>
        <w:t xml:space="preserve">neplānoti </w:t>
      </w:r>
      <w:r w:rsidRPr="00A82B79">
        <w:rPr>
          <w:rFonts w:ascii="Times New Roman" w:hAnsi="Times New Roman" w:cs="Times New Roman"/>
          <w:sz w:val="26"/>
          <w:szCs w:val="26"/>
        </w:rPr>
        <w:t>pārtraukumi</w:t>
      </w:r>
      <w:r w:rsidR="00D26C25">
        <w:rPr>
          <w:rFonts w:ascii="Times New Roman" w:hAnsi="Times New Roman" w:cs="Times New Roman"/>
          <w:sz w:val="26"/>
          <w:szCs w:val="26"/>
        </w:rPr>
        <w:t>,</w:t>
      </w:r>
      <w:r w:rsidRPr="00A82B79">
        <w:rPr>
          <w:rFonts w:ascii="Times New Roman" w:hAnsi="Times New Roman" w:cs="Times New Roman"/>
          <w:sz w:val="26"/>
          <w:szCs w:val="26"/>
        </w:rPr>
        <w:t xml:space="preserve"> kuru novēršanas laiks pārsniedza 24 stundas, kopumā šajos pārtraukumos iesaistot 700 objektus. No tiem 61 </w:t>
      </w:r>
      <w:r w:rsidR="00D26C25">
        <w:rPr>
          <w:rFonts w:ascii="Times New Roman" w:hAnsi="Times New Roman" w:cs="Times New Roman"/>
          <w:sz w:val="26"/>
          <w:szCs w:val="26"/>
        </w:rPr>
        <w:t xml:space="preserve">neplānots </w:t>
      </w:r>
      <w:r w:rsidRPr="00A82B79">
        <w:rPr>
          <w:rFonts w:ascii="Times New Roman" w:hAnsi="Times New Roman" w:cs="Times New Roman"/>
          <w:sz w:val="26"/>
          <w:szCs w:val="26"/>
        </w:rPr>
        <w:t>pārtraukums tika reģistrēts laikā, kad elektroenerģijas sadales sistēmā bija vienlaicīgi reģistrēt</w:t>
      </w:r>
      <w:r w:rsidR="003509F9">
        <w:rPr>
          <w:rFonts w:ascii="Times New Roman" w:hAnsi="Times New Roman" w:cs="Times New Roman"/>
          <w:sz w:val="26"/>
          <w:szCs w:val="26"/>
        </w:rPr>
        <w:t>s</w:t>
      </w:r>
      <w:r w:rsidRPr="00A82B79">
        <w:rPr>
          <w:rFonts w:ascii="Times New Roman" w:hAnsi="Times New Roman" w:cs="Times New Roman"/>
          <w:sz w:val="26"/>
          <w:szCs w:val="26"/>
        </w:rPr>
        <w:t xml:space="preserve"> </w:t>
      </w:r>
      <w:r w:rsidR="003509F9">
        <w:rPr>
          <w:rFonts w:ascii="Times New Roman" w:hAnsi="Times New Roman" w:cs="Times New Roman"/>
          <w:sz w:val="26"/>
          <w:szCs w:val="26"/>
        </w:rPr>
        <w:t xml:space="preserve">liels skaits neplānotu pārtraukumu un, </w:t>
      </w:r>
      <w:r w:rsidR="00D26C25">
        <w:rPr>
          <w:rFonts w:ascii="Times New Roman" w:hAnsi="Times New Roman" w:cs="Times New Roman"/>
          <w:sz w:val="26"/>
          <w:szCs w:val="26"/>
        </w:rPr>
        <w:t xml:space="preserve">atbilstoši </w:t>
      </w:r>
      <w:r w:rsidR="00D26C25" w:rsidRPr="00D26C25">
        <w:rPr>
          <w:rFonts w:ascii="Times New Roman" w:hAnsi="Times New Roman" w:cs="Times New Roman"/>
          <w:sz w:val="26"/>
          <w:szCs w:val="26"/>
        </w:rPr>
        <w:t xml:space="preserve"> </w:t>
      </w:r>
      <w:r w:rsidR="00D26C25">
        <w:rPr>
          <w:rFonts w:ascii="Times New Roman" w:hAnsi="Times New Roman" w:cs="Times New Roman"/>
          <w:sz w:val="26"/>
          <w:szCs w:val="26"/>
        </w:rPr>
        <w:t>Noteikumu 94.1.</w:t>
      </w:r>
      <w:r w:rsidR="0042083B">
        <w:rPr>
          <w:rFonts w:ascii="Times New Roman" w:hAnsi="Times New Roman" w:cs="Times New Roman"/>
          <w:sz w:val="26"/>
          <w:szCs w:val="26"/>
        </w:rPr>
        <w:t>apakš</w:t>
      </w:r>
      <w:r w:rsidR="00D26C25">
        <w:rPr>
          <w:rFonts w:ascii="Times New Roman" w:hAnsi="Times New Roman" w:cs="Times New Roman"/>
          <w:sz w:val="26"/>
          <w:szCs w:val="26"/>
        </w:rPr>
        <w:t>punktam,</w:t>
      </w:r>
      <w:r w:rsidR="00D26C25" w:rsidRPr="00D26C25">
        <w:rPr>
          <w:rFonts w:ascii="Times New Roman" w:hAnsi="Times New Roman" w:cs="Times New Roman"/>
          <w:sz w:val="26"/>
          <w:szCs w:val="26"/>
        </w:rPr>
        <w:t xml:space="preserve"> valsts sabiedrība ar ierobežotu atbildību </w:t>
      </w:r>
      <w:r w:rsidR="00D26C25">
        <w:rPr>
          <w:rFonts w:ascii="Times New Roman" w:hAnsi="Times New Roman" w:cs="Times New Roman"/>
          <w:sz w:val="26"/>
          <w:szCs w:val="26"/>
        </w:rPr>
        <w:t>“</w:t>
      </w:r>
      <w:r w:rsidR="00D26C25" w:rsidRPr="00D26C25">
        <w:rPr>
          <w:rFonts w:ascii="Times New Roman" w:hAnsi="Times New Roman" w:cs="Times New Roman"/>
          <w:sz w:val="26"/>
          <w:szCs w:val="26"/>
        </w:rPr>
        <w:t>Latvijas Vides, ģeoloģijas un meteoroloģijas centrs</w:t>
      </w:r>
      <w:r w:rsidR="00D26C25">
        <w:rPr>
          <w:rFonts w:ascii="Times New Roman" w:hAnsi="Times New Roman" w:cs="Times New Roman"/>
          <w:sz w:val="26"/>
          <w:szCs w:val="26"/>
        </w:rPr>
        <w:t>”</w:t>
      </w:r>
      <w:r w:rsidR="00D26C25" w:rsidRPr="00D26C25">
        <w:rPr>
          <w:rFonts w:ascii="Times New Roman" w:hAnsi="Times New Roman" w:cs="Times New Roman"/>
          <w:sz w:val="26"/>
          <w:szCs w:val="26"/>
        </w:rPr>
        <w:t xml:space="preserve"> attiecīgajā valsts reģionā izsludinājusi </w:t>
      </w:r>
      <w:r w:rsidRPr="00A82B79">
        <w:rPr>
          <w:rFonts w:ascii="Times New Roman" w:hAnsi="Times New Roman" w:cs="Times New Roman"/>
          <w:sz w:val="26"/>
          <w:szCs w:val="26"/>
        </w:rPr>
        <w:t>dzelteno, oranžo vai sarkano brīdinājumu</w:t>
      </w:r>
      <w:r w:rsidR="00D26C25">
        <w:rPr>
          <w:rFonts w:ascii="Times New Roman" w:hAnsi="Times New Roman" w:cs="Times New Roman"/>
          <w:sz w:val="26"/>
          <w:szCs w:val="26"/>
        </w:rPr>
        <w:t xml:space="preserve"> (turpmāk – </w:t>
      </w:r>
      <w:r w:rsidR="00340802">
        <w:rPr>
          <w:rFonts w:ascii="Times New Roman" w:hAnsi="Times New Roman" w:cs="Times New Roman"/>
          <w:sz w:val="26"/>
          <w:szCs w:val="26"/>
        </w:rPr>
        <w:t xml:space="preserve">masveida bojājumu situācijas jeb </w:t>
      </w:r>
      <w:r w:rsidR="00D26C25">
        <w:rPr>
          <w:rFonts w:ascii="Times New Roman" w:hAnsi="Times New Roman" w:cs="Times New Roman"/>
          <w:sz w:val="26"/>
          <w:szCs w:val="26"/>
        </w:rPr>
        <w:t>MBS)</w:t>
      </w:r>
      <w:r w:rsidR="00F30D5D" w:rsidRPr="00F30D5D">
        <w:rPr>
          <w:rFonts w:ascii="Times New Roman" w:hAnsi="Times New Roman" w:cs="Times New Roman"/>
          <w:sz w:val="26"/>
          <w:szCs w:val="26"/>
        </w:rPr>
        <w:t>.</w:t>
      </w:r>
      <w:r w:rsidR="0042083B">
        <w:rPr>
          <w:rFonts w:ascii="Times New Roman" w:hAnsi="Times New Roman" w:cs="Times New Roman"/>
          <w:sz w:val="26"/>
          <w:szCs w:val="26"/>
        </w:rPr>
        <w:t xml:space="preserve"> </w:t>
      </w:r>
      <w:r w:rsidRPr="00A82B79">
        <w:rPr>
          <w:rFonts w:ascii="Times New Roman" w:hAnsi="Times New Roman" w:cs="Times New Roman"/>
          <w:sz w:val="26"/>
          <w:szCs w:val="26"/>
        </w:rPr>
        <w:t xml:space="preserve">No </w:t>
      </w:r>
      <w:r w:rsidR="0042083B">
        <w:rPr>
          <w:rFonts w:ascii="Times New Roman" w:hAnsi="Times New Roman" w:cs="Times New Roman"/>
          <w:sz w:val="26"/>
          <w:szCs w:val="26"/>
        </w:rPr>
        <w:t xml:space="preserve">atlikušajiem </w:t>
      </w:r>
      <w:r w:rsidRPr="00A82B79">
        <w:rPr>
          <w:rFonts w:ascii="Times New Roman" w:hAnsi="Times New Roman" w:cs="Times New Roman"/>
          <w:sz w:val="26"/>
          <w:szCs w:val="26"/>
        </w:rPr>
        <w:t xml:space="preserve">6 </w:t>
      </w:r>
      <w:r w:rsidR="00D26C25">
        <w:rPr>
          <w:rFonts w:ascii="Times New Roman" w:hAnsi="Times New Roman" w:cs="Times New Roman"/>
          <w:sz w:val="26"/>
          <w:szCs w:val="26"/>
        </w:rPr>
        <w:t xml:space="preserve">neplānotiem </w:t>
      </w:r>
      <w:r w:rsidRPr="00A82B79">
        <w:rPr>
          <w:rFonts w:ascii="Times New Roman" w:hAnsi="Times New Roman" w:cs="Times New Roman"/>
          <w:sz w:val="26"/>
          <w:szCs w:val="26"/>
        </w:rPr>
        <w:t xml:space="preserve">pārtraukumiem ar novēršanas laiku virs 24 stundām tikai 2 </w:t>
      </w:r>
      <w:r w:rsidR="00D26C25">
        <w:rPr>
          <w:rFonts w:ascii="Times New Roman" w:hAnsi="Times New Roman" w:cs="Times New Roman"/>
          <w:sz w:val="26"/>
          <w:szCs w:val="26"/>
        </w:rPr>
        <w:t xml:space="preserve">neplānoti </w:t>
      </w:r>
      <w:r w:rsidRPr="00A82B79">
        <w:rPr>
          <w:rFonts w:ascii="Times New Roman" w:hAnsi="Times New Roman" w:cs="Times New Roman"/>
          <w:sz w:val="26"/>
          <w:szCs w:val="26"/>
        </w:rPr>
        <w:t>pārtraukumi reģistrēti laika periodā pēc 2020. gada 10. aprīļa, kad stājās spēkā minētie Noteikumu grozījumi par kompensācijas piemērošanu. Vienā gadījumā elektroapgāde tika pārtraukta diviem objektiem, par ko abiem klientiem tika kompensēta 2020. gada maija mēneša sadales sistēmas pakalpojumu maksas fiksētā komponente, katram 1</w:t>
      </w:r>
      <w:r w:rsidR="009449BF">
        <w:rPr>
          <w:rFonts w:ascii="Times New Roman" w:hAnsi="Times New Roman" w:cs="Times New Roman"/>
          <w:sz w:val="26"/>
          <w:szCs w:val="26"/>
        </w:rPr>
        <w:t>,</w:t>
      </w:r>
      <w:r w:rsidRPr="00A82B79">
        <w:rPr>
          <w:rFonts w:ascii="Times New Roman" w:hAnsi="Times New Roman" w:cs="Times New Roman"/>
          <w:sz w:val="26"/>
          <w:szCs w:val="26"/>
        </w:rPr>
        <w:t xml:space="preserve">24 EUR apmērā. Arī otrā gadījumā </w:t>
      </w:r>
      <w:r w:rsidR="00D26C25">
        <w:rPr>
          <w:rFonts w:ascii="Times New Roman" w:hAnsi="Times New Roman" w:cs="Times New Roman"/>
          <w:sz w:val="26"/>
          <w:szCs w:val="26"/>
        </w:rPr>
        <w:t xml:space="preserve">neplānotais </w:t>
      </w:r>
      <w:r w:rsidRPr="00A82B79">
        <w:rPr>
          <w:rFonts w:ascii="Times New Roman" w:hAnsi="Times New Roman" w:cs="Times New Roman"/>
          <w:sz w:val="26"/>
          <w:szCs w:val="26"/>
        </w:rPr>
        <w:t>pārtraukums skāra divus objektus, taču elektroapgāde tika nodrošināta, izmantojot ierīkotu pagaidu elektrolīniju. Līdz ar to, šajā gadījumā kompensācija klientiem netika piemērota. Attiecīgi var secināt, ka 2020. gadā kompensācija piemērota diviem klientiem, kopā 2</w:t>
      </w:r>
      <w:r w:rsidR="009449BF">
        <w:rPr>
          <w:rFonts w:ascii="Times New Roman" w:hAnsi="Times New Roman" w:cs="Times New Roman"/>
          <w:sz w:val="26"/>
          <w:szCs w:val="26"/>
        </w:rPr>
        <w:t>,</w:t>
      </w:r>
      <w:r w:rsidRPr="00A82B79">
        <w:rPr>
          <w:rFonts w:ascii="Times New Roman" w:hAnsi="Times New Roman" w:cs="Times New Roman"/>
          <w:sz w:val="26"/>
          <w:szCs w:val="26"/>
        </w:rPr>
        <w:t>48 EUR apmērā. Jāpiemin, ka šobrīd, ievērojot mazo kompensācijas piemērošanas gadījumu skaitu visi kompensāciju piemērošanas gadījumi AS “Sadales tīkls” pusē tiek vērtēti individuāli un korekcijas rēķinos tiek veiktas manuāli.</w:t>
      </w:r>
    </w:p>
    <w:p w14:paraId="1ECC24F3" w14:textId="3629A85A" w:rsidR="0042083B" w:rsidRPr="00A82B79" w:rsidRDefault="0042083B" w:rsidP="00211E07">
      <w:pPr>
        <w:spacing w:after="0"/>
        <w:ind w:firstLine="720"/>
        <w:jc w:val="both"/>
        <w:rPr>
          <w:rFonts w:ascii="Times New Roman" w:hAnsi="Times New Roman" w:cs="Times New Roman"/>
          <w:sz w:val="26"/>
          <w:szCs w:val="26"/>
        </w:rPr>
      </w:pPr>
      <w:r w:rsidRPr="00A82B79">
        <w:rPr>
          <w:rFonts w:ascii="Times New Roman" w:hAnsi="Times New Roman" w:cs="Times New Roman"/>
          <w:sz w:val="26"/>
          <w:szCs w:val="26"/>
        </w:rPr>
        <w:t xml:space="preserve">Savukārt, par </w:t>
      </w:r>
      <w:r>
        <w:rPr>
          <w:rFonts w:ascii="Times New Roman" w:hAnsi="Times New Roman" w:cs="Times New Roman"/>
          <w:sz w:val="26"/>
          <w:szCs w:val="26"/>
        </w:rPr>
        <w:t xml:space="preserve">neplānotiem </w:t>
      </w:r>
      <w:r w:rsidRPr="00A82B79">
        <w:rPr>
          <w:rFonts w:ascii="Times New Roman" w:hAnsi="Times New Roman" w:cs="Times New Roman"/>
          <w:sz w:val="26"/>
          <w:szCs w:val="26"/>
        </w:rPr>
        <w:t>pārtraukumiem ar novēršanas laiku virs 24 stundām – 2018. gadā bijuši 1</w:t>
      </w:r>
      <w:r>
        <w:rPr>
          <w:rFonts w:ascii="Times New Roman" w:hAnsi="Times New Roman" w:cs="Times New Roman"/>
          <w:sz w:val="26"/>
          <w:szCs w:val="26"/>
        </w:rPr>
        <w:t>4</w:t>
      </w:r>
      <w:r w:rsidRPr="00A82B79">
        <w:rPr>
          <w:rFonts w:ascii="Times New Roman" w:hAnsi="Times New Roman" w:cs="Times New Roman"/>
          <w:sz w:val="26"/>
          <w:szCs w:val="26"/>
        </w:rPr>
        <w:t xml:space="preserve"> gadījumi, 2019. gadā </w:t>
      </w:r>
      <w:r>
        <w:rPr>
          <w:rFonts w:ascii="Times New Roman" w:hAnsi="Times New Roman" w:cs="Times New Roman"/>
          <w:sz w:val="26"/>
          <w:szCs w:val="26"/>
        </w:rPr>
        <w:t>2</w:t>
      </w:r>
      <w:r w:rsidRPr="00A82B79">
        <w:rPr>
          <w:rFonts w:ascii="Times New Roman" w:hAnsi="Times New Roman" w:cs="Times New Roman"/>
          <w:sz w:val="26"/>
          <w:szCs w:val="26"/>
        </w:rPr>
        <w:t xml:space="preserve"> gadījumi</w:t>
      </w:r>
      <w:r>
        <w:rPr>
          <w:rFonts w:ascii="Times New Roman" w:hAnsi="Times New Roman" w:cs="Times New Roman"/>
          <w:sz w:val="26"/>
          <w:szCs w:val="26"/>
        </w:rPr>
        <w:t xml:space="preserve"> (</w:t>
      </w:r>
      <w:r w:rsidRPr="00A82B79">
        <w:rPr>
          <w:rFonts w:ascii="Times New Roman" w:hAnsi="Times New Roman" w:cs="Times New Roman"/>
          <w:sz w:val="26"/>
          <w:szCs w:val="26"/>
        </w:rPr>
        <w:t>2020.gadā 6 gadījumi</w:t>
      </w:r>
      <w:r>
        <w:rPr>
          <w:rFonts w:ascii="Times New Roman" w:hAnsi="Times New Roman" w:cs="Times New Roman"/>
          <w:sz w:val="26"/>
          <w:szCs w:val="26"/>
        </w:rPr>
        <w:t>)</w:t>
      </w:r>
      <w:r w:rsidRPr="00A82B79">
        <w:rPr>
          <w:rFonts w:ascii="Times New Roman" w:hAnsi="Times New Roman" w:cs="Times New Roman"/>
          <w:sz w:val="26"/>
          <w:szCs w:val="26"/>
        </w:rPr>
        <w:t xml:space="preserve">, bet 2021. gadā vēl nav reģistrēts neviens </w:t>
      </w:r>
      <w:r w:rsidR="009449BF">
        <w:rPr>
          <w:rFonts w:ascii="Times New Roman" w:hAnsi="Times New Roman" w:cs="Times New Roman"/>
          <w:sz w:val="26"/>
          <w:szCs w:val="26"/>
        </w:rPr>
        <w:t xml:space="preserve">neplānots </w:t>
      </w:r>
      <w:r w:rsidR="009449BF" w:rsidRPr="00A82B79">
        <w:rPr>
          <w:rFonts w:ascii="Times New Roman" w:hAnsi="Times New Roman" w:cs="Times New Roman"/>
          <w:sz w:val="26"/>
          <w:szCs w:val="26"/>
        </w:rPr>
        <w:t>pārtraukum</w:t>
      </w:r>
      <w:r w:rsidR="009449BF">
        <w:rPr>
          <w:rFonts w:ascii="Times New Roman" w:hAnsi="Times New Roman" w:cs="Times New Roman"/>
          <w:sz w:val="26"/>
          <w:szCs w:val="26"/>
        </w:rPr>
        <w:t>s</w:t>
      </w:r>
      <w:r w:rsidRPr="00A82B79">
        <w:rPr>
          <w:rFonts w:ascii="Times New Roman" w:hAnsi="Times New Roman" w:cs="Times New Roman"/>
          <w:sz w:val="26"/>
          <w:szCs w:val="26"/>
        </w:rPr>
        <w:t>.</w:t>
      </w:r>
    </w:p>
    <w:p w14:paraId="2B7A6B06" w14:textId="42D0E63C" w:rsidR="009449BF" w:rsidRDefault="0007451B" w:rsidP="008034AF">
      <w:pPr>
        <w:spacing w:after="0"/>
        <w:ind w:firstLine="720"/>
        <w:jc w:val="both"/>
        <w:rPr>
          <w:rFonts w:ascii="Times New Roman" w:hAnsi="Times New Roman" w:cs="Times New Roman"/>
          <w:sz w:val="26"/>
          <w:szCs w:val="26"/>
        </w:rPr>
      </w:pPr>
      <w:r w:rsidRPr="00A82B79">
        <w:rPr>
          <w:rFonts w:ascii="Times New Roman" w:hAnsi="Times New Roman" w:cs="Times New Roman"/>
          <w:sz w:val="26"/>
          <w:szCs w:val="26"/>
        </w:rPr>
        <w:t xml:space="preserve">2020. gadā reģistrēts </w:t>
      </w:r>
      <w:r w:rsidR="009449BF">
        <w:rPr>
          <w:rFonts w:ascii="Times New Roman" w:hAnsi="Times New Roman" w:cs="Times New Roman"/>
          <w:sz w:val="26"/>
          <w:szCs w:val="26"/>
        </w:rPr>
        <w:t>298</w:t>
      </w:r>
      <w:r w:rsidRPr="00A82B79">
        <w:rPr>
          <w:rFonts w:ascii="Times New Roman" w:hAnsi="Times New Roman" w:cs="Times New Roman"/>
          <w:sz w:val="26"/>
          <w:szCs w:val="26"/>
        </w:rPr>
        <w:t xml:space="preserve"> </w:t>
      </w:r>
      <w:r w:rsidR="00340802">
        <w:rPr>
          <w:rFonts w:ascii="Times New Roman" w:hAnsi="Times New Roman" w:cs="Times New Roman"/>
          <w:sz w:val="26"/>
          <w:szCs w:val="26"/>
        </w:rPr>
        <w:t xml:space="preserve">neplānots </w:t>
      </w:r>
      <w:r w:rsidRPr="00A82B79">
        <w:rPr>
          <w:rFonts w:ascii="Times New Roman" w:hAnsi="Times New Roman" w:cs="Times New Roman"/>
          <w:sz w:val="26"/>
          <w:szCs w:val="26"/>
        </w:rPr>
        <w:t>pārtraukums, kur</w:t>
      </w:r>
      <w:r w:rsidR="00537351" w:rsidRPr="00A82B79">
        <w:rPr>
          <w:rFonts w:ascii="Times New Roman" w:hAnsi="Times New Roman" w:cs="Times New Roman"/>
          <w:sz w:val="26"/>
          <w:szCs w:val="26"/>
        </w:rPr>
        <w:t>u</w:t>
      </w:r>
      <w:r w:rsidRPr="00A82B79">
        <w:rPr>
          <w:rFonts w:ascii="Times New Roman" w:hAnsi="Times New Roman" w:cs="Times New Roman"/>
          <w:sz w:val="26"/>
          <w:szCs w:val="26"/>
        </w:rPr>
        <w:t xml:space="preserve"> novēršanas laiks bija 12 – 24 stundas, kopumā iesaistot </w:t>
      </w:r>
      <w:r w:rsidR="009449BF" w:rsidRPr="009449BF">
        <w:rPr>
          <w:rFonts w:ascii="Times New Roman" w:eastAsia="Times New Roman" w:hAnsi="Times New Roman" w:cs="Times New Roman"/>
          <w:sz w:val="24"/>
          <w:szCs w:val="24"/>
        </w:rPr>
        <w:t>3947</w:t>
      </w:r>
      <w:r w:rsidR="009449BF">
        <w:rPr>
          <w:rFonts w:ascii="Times New Roman" w:eastAsia="Times New Roman" w:hAnsi="Times New Roman" w:cs="Times New Roman"/>
          <w:sz w:val="20"/>
          <w:szCs w:val="20"/>
        </w:rPr>
        <w:t xml:space="preserve"> </w:t>
      </w:r>
      <w:r w:rsidRPr="00A82B79">
        <w:rPr>
          <w:rFonts w:ascii="Times New Roman" w:hAnsi="Times New Roman" w:cs="Times New Roman"/>
          <w:sz w:val="26"/>
          <w:szCs w:val="26"/>
        </w:rPr>
        <w:t>objektus</w:t>
      </w:r>
      <w:r w:rsidR="00537351" w:rsidRPr="00A82B79">
        <w:rPr>
          <w:rFonts w:ascii="Times New Roman" w:hAnsi="Times New Roman" w:cs="Times New Roman"/>
          <w:sz w:val="26"/>
          <w:szCs w:val="26"/>
        </w:rPr>
        <w:t>.</w:t>
      </w:r>
      <w:r w:rsidR="008034AF">
        <w:rPr>
          <w:rFonts w:ascii="Times New Roman" w:hAnsi="Times New Roman" w:cs="Times New Roman"/>
          <w:sz w:val="26"/>
          <w:szCs w:val="26"/>
        </w:rPr>
        <w:t xml:space="preserve"> </w:t>
      </w:r>
      <w:r w:rsidR="009449BF" w:rsidRPr="00A82B79">
        <w:rPr>
          <w:rFonts w:ascii="Times New Roman" w:hAnsi="Times New Roman" w:cs="Times New Roman"/>
          <w:sz w:val="26"/>
          <w:szCs w:val="26"/>
        </w:rPr>
        <w:t>202</w:t>
      </w:r>
      <w:r w:rsidR="009449BF">
        <w:rPr>
          <w:rFonts w:ascii="Times New Roman" w:hAnsi="Times New Roman" w:cs="Times New Roman"/>
          <w:sz w:val="26"/>
          <w:szCs w:val="26"/>
        </w:rPr>
        <w:t>1</w:t>
      </w:r>
      <w:r w:rsidR="009449BF" w:rsidRPr="00A82B79">
        <w:rPr>
          <w:rFonts w:ascii="Times New Roman" w:hAnsi="Times New Roman" w:cs="Times New Roman"/>
          <w:sz w:val="26"/>
          <w:szCs w:val="26"/>
        </w:rPr>
        <w:t>. gadā reģistrēts</w:t>
      </w:r>
      <w:r w:rsidR="009449BF">
        <w:rPr>
          <w:rFonts w:ascii="Times New Roman" w:hAnsi="Times New Roman" w:cs="Times New Roman"/>
          <w:sz w:val="26"/>
          <w:szCs w:val="26"/>
        </w:rPr>
        <w:t xml:space="preserve"> 91</w:t>
      </w:r>
      <w:r w:rsidR="009449BF" w:rsidRPr="00A82B79">
        <w:rPr>
          <w:rFonts w:ascii="Times New Roman" w:hAnsi="Times New Roman" w:cs="Times New Roman"/>
          <w:sz w:val="26"/>
          <w:szCs w:val="26"/>
        </w:rPr>
        <w:t xml:space="preserve"> </w:t>
      </w:r>
      <w:r w:rsidR="009449BF">
        <w:rPr>
          <w:rFonts w:ascii="Times New Roman" w:hAnsi="Times New Roman" w:cs="Times New Roman"/>
          <w:sz w:val="26"/>
          <w:szCs w:val="26"/>
        </w:rPr>
        <w:t xml:space="preserve">neplānots </w:t>
      </w:r>
      <w:r w:rsidR="009449BF" w:rsidRPr="00A82B79">
        <w:rPr>
          <w:rFonts w:ascii="Times New Roman" w:hAnsi="Times New Roman" w:cs="Times New Roman"/>
          <w:sz w:val="26"/>
          <w:szCs w:val="26"/>
        </w:rPr>
        <w:t xml:space="preserve">pārtraukums, kuru novēršanas laiks bija 12 – 24 stundas, kopumā iesaistot </w:t>
      </w:r>
      <w:r w:rsidR="009449BF">
        <w:rPr>
          <w:rFonts w:ascii="Times New Roman" w:hAnsi="Times New Roman" w:cs="Times New Roman"/>
          <w:sz w:val="26"/>
          <w:szCs w:val="26"/>
        </w:rPr>
        <w:t>730</w:t>
      </w:r>
      <w:r w:rsidR="009449BF" w:rsidRPr="00A82B79">
        <w:rPr>
          <w:rFonts w:ascii="Times New Roman" w:hAnsi="Times New Roman" w:cs="Times New Roman"/>
          <w:sz w:val="26"/>
          <w:szCs w:val="26"/>
        </w:rPr>
        <w:t xml:space="preserve"> objektus.</w:t>
      </w:r>
    </w:p>
    <w:bookmarkEnd w:id="17"/>
    <w:p w14:paraId="5A328A34" w14:textId="3ECA340C" w:rsidR="00AE3937" w:rsidRPr="003269C3" w:rsidRDefault="00F6430D" w:rsidP="0046371A">
      <w:pPr>
        <w:spacing w:after="0" w:line="240" w:lineRule="auto"/>
        <w:ind w:firstLine="720"/>
        <w:jc w:val="right"/>
        <w:rPr>
          <w:rFonts w:ascii="Times New Roman" w:hAnsi="Times New Roman" w:cs="Times New Roman"/>
          <w:sz w:val="20"/>
          <w:szCs w:val="20"/>
        </w:rPr>
      </w:pPr>
      <w:r w:rsidRPr="003269C3">
        <w:rPr>
          <w:rFonts w:ascii="Times New Roman" w:hAnsi="Times New Roman" w:cs="Times New Roman"/>
          <w:sz w:val="20"/>
          <w:szCs w:val="20"/>
        </w:rPr>
        <w:t>1.tabula</w:t>
      </w:r>
    </w:p>
    <w:p w14:paraId="6E3B803B" w14:textId="03B28D60" w:rsidR="001203D0" w:rsidRPr="003269C3" w:rsidRDefault="001203D0" w:rsidP="0046371A">
      <w:pPr>
        <w:spacing w:after="0" w:line="240" w:lineRule="auto"/>
        <w:ind w:firstLine="720"/>
        <w:jc w:val="center"/>
        <w:rPr>
          <w:rFonts w:ascii="Times New Roman" w:hAnsi="Times New Roman" w:cs="Times New Roman"/>
          <w:i/>
          <w:iCs/>
          <w:sz w:val="20"/>
          <w:szCs w:val="20"/>
        </w:rPr>
      </w:pPr>
      <w:r w:rsidRPr="003269C3">
        <w:rPr>
          <w:rFonts w:ascii="Times New Roman" w:hAnsi="Times New Roman" w:cs="Times New Roman"/>
          <w:i/>
          <w:iCs/>
          <w:sz w:val="20"/>
          <w:szCs w:val="20"/>
        </w:rPr>
        <w:t>Neplānotu pārtraukumu statistika 2018.-2021.gadam (neiekļaujot MBS)</w:t>
      </w:r>
    </w:p>
    <w:tbl>
      <w:tblPr>
        <w:tblStyle w:val="TableGrid"/>
        <w:tblW w:w="9067" w:type="dxa"/>
        <w:tblLayout w:type="fixed"/>
        <w:tblLook w:val="04A0" w:firstRow="1" w:lastRow="0" w:firstColumn="1" w:lastColumn="0" w:noHBand="0" w:noVBand="1"/>
      </w:tblPr>
      <w:tblGrid>
        <w:gridCol w:w="2972"/>
        <w:gridCol w:w="1531"/>
        <w:gridCol w:w="1531"/>
        <w:gridCol w:w="1531"/>
        <w:gridCol w:w="1502"/>
      </w:tblGrid>
      <w:tr w:rsidR="00322F05" w:rsidRPr="003269C3" w14:paraId="106356A0" w14:textId="77777777" w:rsidTr="00255997">
        <w:tc>
          <w:tcPr>
            <w:tcW w:w="2972" w:type="dxa"/>
            <w:shd w:val="clear" w:color="auto" w:fill="E2EFD9" w:themeFill="accent6" w:themeFillTint="33"/>
          </w:tcPr>
          <w:p w14:paraId="78032662" w14:textId="056F3B7C" w:rsidR="00322F05" w:rsidRPr="003269C3" w:rsidRDefault="00322F05" w:rsidP="00322F05">
            <w:pPr>
              <w:jc w:val="both"/>
              <w:rPr>
                <w:rFonts w:ascii="Times New Roman" w:hAnsi="Times New Roman" w:cs="Times New Roman"/>
                <w:b/>
                <w:bCs/>
                <w:sz w:val="20"/>
                <w:szCs w:val="20"/>
              </w:rPr>
            </w:pPr>
          </w:p>
        </w:tc>
        <w:tc>
          <w:tcPr>
            <w:tcW w:w="1531" w:type="dxa"/>
            <w:shd w:val="clear" w:color="auto" w:fill="E2EFD9" w:themeFill="accent6" w:themeFillTint="33"/>
          </w:tcPr>
          <w:p w14:paraId="2BE46E85" w14:textId="0C0A3EE8" w:rsidR="00322F05" w:rsidRPr="003269C3" w:rsidRDefault="00322F05" w:rsidP="00322F05">
            <w:pPr>
              <w:jc w:val="center"/>
              <w:rPr>
                <w:rFonts w:ascii="Times New Roman" w:hAnsi="Times New Roman" w:cs="Times New Roman"/>
                <w:b/>
                <w:bCs/>
                <w:sz w:val="20"/>
                <w:szCs w:val="20"/>
              </w:rPr>
            </w:pPr>
            <w:r w:rsidRPr="003269C3">
              <w:rPr>
                <w:rFonts w:ascii="Times New Roman" w:hAnsi="Times New Roman" w:cs="Times New Roman"/>
                <w:b/>
                <w:bCs/>
                <w:sz w:val="20"/>
                <w:szCs w:val="20"/>
              </w:rPr>
              <w:t>2018</w:t>
            </w:r>
          </w:p>
        </w:tc>
        <w:tc>
          <w:tcPr>
            <w:tcW w:w="1531" w:type="dxa"/>
            <w:shd w:val="clear" w:color="auto" w:fill="E2EFD9" w:themeFill="accent6" w:themeFillTint="33"/>
          </w:tcPr>
          <w:p w14:paraId="7570B3F6" w14:textId="4DA6445B" w:rsidR="00322F05" w:rsidRPr="003269C3" w:rsidRDefault="00322F05" w:rsidP="00322F05">
            <w:pPr>
              <w:jc w:val="center"/>
              <w:rPr>
                <w:rFonts w:ascii="Times New Roman" w:hAnsi="Times New Roman" w:cs="Times New Roman"/>
                <w:b/>
                <w:bCs/>
                <w:sz w:val="20"/>
                <w:szCs w:val="20"/>
              </w:rPr>
            </w:pPr>
            <w:r w:rsidRPr="003269C3">
              <w:rPr>
                <w:rFonts w:ascii="Times New Roman" w:hAnsi="Times New Roman" w:cs="Times New Roman"/>
                <w:b/>
                <w:bCs/>
                <w:sz w:val="20"/>
                <w:szCs w:val="20"/>
              </w:rPr>
              <w:t>2019</w:t>
            </w:r>
          </w:p>
        </w:tc>
        <w:tc>
          <w:tcPr>
            <w:tcW w:w="1531" w:type="dxa"/>
            <w:shd w:val="clear" w:color="auto" w:fill="E2EFD9" w:themeFill="accent6" w:themeFillTint="33"/>
          </w:tcPr>
          <w:p w14:paraId="7FB4E7CA" w14:textId="54241C90" w:rsidR="00322F05" w:rsidRPr="003269C3" w:rsidRDefault="00322F05" w:rsidP="00322F05">
            <w:pPr>
              <w:jc w:val="center"/>
              <w:rPr>
                <w:rFonts w:ascii="Times New Roman" w:hAnsi="Times New Roman" w:cs="Times New Roman"/>
                <w:b/>
                <w:bCs/>
                <w:sz w:val="20"/>
                <w:szCs w:val="20"/>
              </w:rPr>
            </w:pPr>
            <w:r w:rsidRPr="003269C3">
              <w:rPr>
                <w:rFonts w:ascii="Times New Roman" w:hAnsi="Times New Roman" w:cs="Times New Roman"/>
                <w:b/>
                <w:bCs/>
                <w:sz w:val="20"/>
                <w:szCs w:val="20"/>
              </w:rPr>
              <w:t>2020</w:t>
            </w:r>
          </w:p>
        </w:tc>
        <w:tc>
          <w:tcPr>
            <w:tcW w:w="1502" w:type="dxa"/>
            <w:shd w:val="clear" w:color="auto" w:fill="E2EFD9" w:themeFill="accent6" w:themeFillTint="33"/>
          </w:tcPr>
          <w:p w14:paraId="5A2D214C" w14:textId="31758A41" w:rsidR="00322F05" w:rsidRPr="003269C3" w:rsidRDefault="00322F05" w:rsidP="00322F05">
            <w:pPr>
              <w:jc w:val="center"/>
              <w:rPr>
                <w:rFonts w:ascii="Times New Roman" w:hAnsi="Times New Roman" w:cs="Times New Roman"/>
                <w:b/>
                <w:bCs/>
                <w:sz w:val="20"/>
                <w:szCs w:val="20"/>
              </w:rPr>
            </w:pPr>
            <w:r w:rsidRPr="003269C3">
              <w:rPr>
                <w:rFonts w:ascii="Times New Roman" w:hAnsi="Times New Roman" w:cs="Times New Roman"/>
                <w:b/>
                <w:bCs/>
                <w:sz w:val="20"/>
                <w:szCs w:val="20"/>
              </w:rPr>
              <w:t>2021</w:t>
            </w:r>
          </w:p>
        </w:tc>
      </w:tr>
      <w:tr w:rsidR="00322F05" w:rsidRPr="003269C3" w14:paraId="2D3A67B4" w14:textId="77777777" w:rsidTr="00255997">
        <w:tc>
          <w:tcPr>
            <w:tcW w:w="2972" w:type="dxa"/>
            <w:shd w:val="clear" w:color="auto" w:fill="E2EFD9" w:themeFill="accent6" w:themeFillTint="33"/>
          </w:tcPr>
          <w:p w14:paraId="4DFEEED2" w14:textId="73E6575D" w:rsidR="00322F05" w:rsidRPr="003269C3" w:rsidRDefault="001203D0" w:rsidP="00322F05">
            <w:pPr>
              <w:rPr>
                <w:rFonts w:ascii="Times New Roman" w:hAnsi="Times New Roman" w:cs="Times New Roman"/>
                <w:b/>
                <w:bCs/>
                <w:sz w:val="20"/>
                <w:szCs w:val="20"/>
              </w:rPr>
            </w:pPr>
            <w:r w:rsidRPr="003269C3">
              <w:rPr>
                <w:rFonts w:ascii="Times New Roman" w:hAnsi="Times New Roman" w:cs="Times New Roman"/>
                <w:b/>
                <w:bCs/>
                <w:sz w:val="20"/>
                <w:szCs w:val="20"/>
              </w:rPr>
              <w:t>Neplānotu</w:t>
            </w:r>
            <w:r w:rsidR="00322F05" w:rsidRPr="003269C3">
              <w:rPr>
                <w:rFonts w:ascii="Times New Roman" w:hAnsi="Times New Roman" w:cs="Times New Roman"/>
                <w:b/>
                <w:bCs/>
                <w:sz w:val="20"/>
                <w:szCs w:val="20"/>
              </w:rPr>
              <w:t xml:space="preserve"> pārtraukumu skaits virs 24 stundām </w:t>
            </w:r>
          </w:p>
        </w:tc>
        <w:tc>
          <w:tcPr>
            <w:tcW w:w="1531" w:type="dxa"/>
          </w:tcPr>
          <w:p w14:paraId="481CDF0E" w14:textId="1B3CDA63"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14</w:t>
            </w:r>
          </w:p>
        </w:tc>
        <w:tc>
          <w:tcPr>
            <w:tcW w:w="1531" w:type="dxa"/>
          </w:tcPr>
          <w:p w14:paraId="16A60417" w14:textId="04EAB927"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2</w:t>
            </w:r>
          </w:p>
        </w:tc>
        <w:tc>
          <w:tcPr>
            <w:tcW w:w="1531" w:type="dxa"/>
          </w:tcPr>
          <w:p w14:paraId="79F79E53" w14:textId="5D6A6260"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6</w:t>
            </w:r>
          </w:p>
        </w:tc>
        <w:tc>
          <w:tcPr>
            <w:tcW w:w="1502" w:type="dxa"/>
          </w:tcPr>
          <w:p w14:paraId="2B81CA4B" w14:textId="1749C995" w:rsidR="00322F05" w:rsidRPr="000C457D" w:rsidRDefault="007F3F06" w:rsidP="00322F0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322F05" w:rsidRPr="000C457D">
              <w:rPr>
                <w:rFonts w:ascii="Times New Roman" w:hAnsi="Times New Roman" w:cs="Times New Roman"/>
                <w:color w:val="000000" w:themeColor="text1"/>
                <w:sz w:val="20"/>
                <w:szCs w:val="20"/>
              </w:rPr>
              <w:t xml:space="preserve"> </w:t>
            </w:r>
          </w:p>
        </w:tc>
      </w:tr>
      <w:tr w:rsidR="00322F05" w:rsidRPr="003269C3" w14:paraId="21A7E82D" w14:textId="77777777" w:rsidTr="00255997">
        <w:tc>
          <w:tcPr>
            <w:tcW w:w="2972" w:type="dxa"/>
            <w:shd w:val="clear" w:color="auto" w:fill="E2EFD9" w:themeFill="accent6" w:themeFillTint="33"/>
          </w:tcPr>
          <w:p w14:paraId="5B070005" w14:textId="6BD28EE9" w:rsidR="00322F05" w:rsidRPr="003269C3" w:rsidRDefault="00322F05" w:rsidP="00322F05">
            <w:pPr>
              <w:jc w:val="both"/>
              <w:rPr>
                <w:rFonts w:ascii="Times New Roman" w:hAnsi="Times New Roman" w:cs="Times New Roman"/>
                <w:b/>
                <w:bCs/>
                <w:sz w:val="20"/>
                <w:szCs w:val="20"/>
              </w:rPr>
            </w:pPr>
            <w:r w:rsidRPr="003269C3">
              <w:rPr>
                <w:rFonts w:ascii="Times New Roman" w:hAnsi="Times New Roman" w:cs="Times New Roman"/>
                <w:b/>
                <w:bCs/>
                <w:sz w:val="20"/>
                <w:szCs w:val="20"/>
              </w:rPr>
              <w:t xml:space="preserve">Iesaistīto objektu (lietotāju) skaits  </w:t>
            </w:r>
          </w:p>
        </w:tc>
        <w:tc>
          <w:tcPr>
            <w:tcW w:w="1531" w:type="dxa"/>
          </w:tcPr>
          <w:p w14:paraId="3698AEA3" w14:textId="53436D5D"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46</w:t>
            </w:r>
          </w:p>
        </w:tc>
        <w:tc>
          <w:tcPr>
            <w:tcW w:w="1531" w:type="dxa"/>
          </w:tcPr>
          <w:p w14:paraId="1A706F7F" w14:textId="6B52A0F0"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3</w:t>
            </w:r>
          </w:p>
        </w:tc>
        <w:tc>
          <w:tcPr>
            <w:tcW w:w="1531" w:type="dxa"/>
          </w:tcPr>
          <w:p w14:paraId="66720B2A" w14:textId="60F472A9"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91</w:t>
            </w:r>
          </w:p>
        </w:tc>
        <w:tc>
          <w:tcPr>
            <w:tcW w:w="1502" w:type="dxa"/>
          </w:tcPr>
          <w:p w14:paraId="402334A8" w14:textId="7FE0B1EF" w:rsidR="00322F05" w:rsidRPr="000C457D" w:rsidRDefault="007F3F06" w:rsidP="00322F0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322F05" w:rsidRPr="000C457D">
              <w:rPr>
                <w:rFonts w:ascii="Times New Roman" w:hAnsi="Times New Roman" w:cs="Times New Roman"/>
                <w:color w:val="000000" w:themeColor="text1"/>
                <w:sz w:val="20"/>
                <w:szCs w:val="20"/>
              </w:rPr>
              <w:t xml:space="preserve">– </w:t>
            </w:r>
          </w:p>
        </w:tc>
      </w:tr>
      <w:tr w:rsidR="00322F05" w:rsidRPr="003269C3" w14:paraId="2A016F4F" w14:textId="77777777" w:rsidTr="00255997">
        <w:tc>
          <w:tcPr>
            <w:tcW w:w="2972" w:type="dxa"/>
            <w:shd w:val="clear" w:color="auto" w:fill="E2EFD9" w:themeFill="accent6" w:themeFillTint="33"/>
          </w:tcPr>
          <w:p w14:paraId="365C901D" w14:textId="0540364D" w:rsidR="00322F05" w:rsidRPr="003269C3" w:rsidRDefault="00322F05" w:rsidP="00322F05">
            <w:pPr>
              <w:jc w:val="both"/>
              <w:rPr>
                <w:rFonts w:ascii="Times New Roman" w:hAnsi="Times New Roman" w:cs="Times New Roman"/>
                <w:b/>
                <w:bCs/>
                <w:sz w:val="20"/>
                <w:szCs w:val="20"/>
              </w:rPr>
            </w:pPr>
            <w:r w:rsidRPr="003269C3">
              <w:rPr>
                <w:rFonts w:ascii="Times New Roman" w:hAnsi="Times New Roman" w:cs="Times New Roman"/>
                <w:b/>
                <w:bCs/>
                <w:sz w:val="20"/>
                <w:szCs w:val="20"/>
              </w:rPr>
              <w:t xml:space="preserve">Klientu skaits, kuriem piemērota kompensācija </w:t>
            </w:r>
          </w:p>
        </w:tc>
        <w:tc>
          <w:tcPr>
            <w:tcW w:w="1531" w:type="dxa"/>
          </w:tcPr>
          <w:p w14:paraId="18117ABC" w14:textId="50189360"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 xml:space="preserve">Noteikumi neparedzēja kompensācijas piemērošanu </w:t>
            </w:r>
          </w:p>
        </w:tc>
        <w:tc>
          <w:tcPr>
            <w:tcW w:w="1531" w:type="dxa"/>
          </w:tcPr>
          <w:p w14:paraId="719E3BBC" w14:textId="59DAA24A"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 xml:space="preserve">Noteikumi neparedzēja kompensācijas piemērošanu </w:t>
            </w:r>
          </w:p>
        </w:tc>
        <w:tc>
          <w:tcPr>
            <w:tcW w:w="1531" w:type="dxa"/>
          </w:tcPr>
          <w:p w14:paraId="5E669966" w14:textId="14C4A09B"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2</w:t>
            </w:r>
          </w:p>
        </w:tc>
        <w:tc>
          <w:tcPr>
            <w:tcW w:w="1502" w:type="dxa"/>
          </w:tcPr>
          <w:p w14:paraId="2117D2DF" w14:textId="6A1725AB" w:rsidR="00322F05" w:rsidRPr="000C457D" w:rsidRDefault="007F3F06" w:rsidP="00322F05">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322F05" w:rsidRPr="000C457D">
              <w:rPr>
                <w:rFonts w:ascii="Times New Roman" w:hAnsi="Times New Roman" w:cs="Times New Roman"/>
                <w:color w:val="000000" w:themeColor="text1"/>
                <w:sz w:val="20"/>
                <w:szCs w:val="20"/>
              </w:rPr>
              <w:t xml:space="preserve">– </w:t>
            </w:r>
          </w:p>
        </w:tc>
      </w:tr>
      <w:tr w:rsidR="00322F05" w:rsidRPr="003269C3" w14:paraId="4B671CCB" w14:textId="77777777" w:rsidTr="00255997">
        <w:tc>
          <w:tcPr>
            <w:tcW w:w="2972" w:type="dxa"/>
            <w:shd w:val="clear" w:color="auto" w:fill="E2EFD9" w:themeFill="accent6" w:themeFillTint="33"/>
          </w:tcPr>
          <w:p w14:paraId="2F327A03" w14:textId="292CFB2A" w:rsidR="00322F05" w:rsidRPr="003269C3" w:rsidRDefault="009449BF" w:rsidP="00322F05">
            <w:pPr>
              <w:jc w:val="both"/>
              <w:rPr>
                <w:rFonts w:ascii="Times New Roman" w:hAnsi="Times New Roman" w:cs="Times New Roman"/>
                <w:b/>
                <w:bCs/>
                <w:sz w:val="20"/>
                <w:szCs w:val="20"/>
              </w:rPr>
            </w:pPr>
            <w:r w:rsidRPr="003269C3">
              <w:rPr>
                <w:rFonts w:ascii="Times New Roman" w:hAnsi="Times New Roman" w:cs="Times New Roman"/>
                <w:b/>
                <w:bCs/>
                <w:sz w:val="20"/>
                <w:szCs w:val="20"/>
              </w:rPr>
              <w:t>Neplānotu</w:t>
            </w:r>
            <w:r w:rsidR="00322F05" w:rsidRPr="003269C3">
              <w:rPr>
                <w:rFonts w:ascii="Times New Roman" w:hAnsi="Times New Roman" w:cs="Times New Roman"/>
                <w:b/>
                <w:bCs/>
                <w:sz w:val="20"/>
                <w:szCs w:val="20"/>
              </w:rPr>
              <w:t xml:space="preserve"> pārtraukumu skaits no 12 līdz 24 stundām  </w:t>
            </w:r>
          </w:p>
        </w:tc>
        <w:tc>
          <w:tcPr>
            <w:tcW w:w="1531" w:type="dxa"/>
          </w:tcPr>
          <w:p w14:paraId="3E7F83E1" w14:textId="3912CCD5"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572</w:t>
            </w:r>
          </w:p>
        </w:tc>
        <w:tc>
          <w:tcPr>
            <w:tcW w:w="1531" w:type="dxa"/>
          </w:tcPr>
          <w:p w14:paraId="3CF330D2" w14:textId="2148DBFA"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343</w:t>
            </w:r>
          </w:p>
        </w:tc>
        <w:tc>
          <w:tcPr>
            <w:tcW w:w="1531" w:type="dxa"/>
          </w:tcPr>
          <w:p w14:paraId="58A4B936" w14:textId="032BBC13"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298</w:t>
            </w:r>
          </w:p>
        </w:tc>
        <w:tc>
          <w:tcPr>
            <w:tcW w:w="1502" w:type="dxa"/>
          </w:tcPr>
          <w:p w14:paraId="42622D0D" w14:textId="3FDAC57F" w:rsidR="00322F05" w:rsidRPr="000C457D" w:rsidRDefault="00322F05" w:rsidP="00322F05">
            <w:pPr>
              <w:jc w:val="center"/>
              <w:rPr>
                <w:rFonts w:ascii="Times New Roman" w:hAnsi="Times New Roman" w:cs="Times New Roman"/>
                <w:color w:val="000000" w:themeColor="text1"/>
                <w:sz w:val="20"/>
                <w:szCs w:val="20"/>
              </w:rPr>
            </w:pPr>
            <w:r w:rsidRPr="000C457D">
              <w:rPr>
                <w:rFonts w:ascii="Times New Roman" w:hAnsi="Times New Roman" w:cs="Times New Roman"/>
                <w:color w:val="000000" w:themeColor="text1"/>
                <w:sz w:val="20"/>
                <w:szCs w:val="20"/>
              </w:rPr>
              <w:t>91</w:t>
            </w:r>
          </w:p>
        </w:tc>
      </w:tr>
      <w:tr w:rsidR="001203D0" w:rsidRPr="003269C3" w14:paraId="0BE175CD" w14:textId="77777777" w:rsidTr="00B861D9">
        <w:tc>
          <w:tcPr>
            <w:tcW w:w="2972" w:type="dxa"/>
            <w:shd w:val="clear" w:color="auto" w:fill="E2EFD9" w:themeFill="accent6" w:themeFillTint="33"/>
            <w:vAlign w:val="center"/>
          </w:tcPr>
          <w:p w14:paraId="7CAE4F5D" w14:textId="07D90FEF" w:rsidR="001203D0" w:rsidRPr="003269C3" w:rsidRDefault="001203D0" w:rsidP="001203D0">
            <w:pPr>
              <w:jc w:val="both"/>
              <w:rPr>
                <w:rFonts w:ascii="Times New Roman" w:hAnsi="Times New Roman" w:cs="Times New Roman"/>
                <w:b/>
                <w:bCs/>
                <w:sz w:val="20"/>
                <w:szCs w:val="20"/>
              </w:rPr>
            </w:pPr>
            <w:r w:rsidRPr="003269C3">
              <w:rPr>
                <w:rFonts w:ascii="Times New Roman" w:eastAsia="Times New Roman" w:hAnsi="Times New Roman" w:cs="Times New Roman"/>
                <w:b/>
                <w:bCs/>
                <w:sz w:val="20"/>
                <w:szCs w:val="20"/>
              </w:rPr>
              <w:t xml:space="preserve">Iesaistīto objektu (lietotāju) skaits  </w:t>
            </w:r>
          </w:p>
        </w:tc>
        <w:tc>
          <w:tcPr>
            <w:tcW w:w="1531" w:type="dxa"/>
            <w:vAlign w:val="center"/>
          </w:tcPr>
          <w:p w14:paraId="46279640" w14:textId="2A88BE3B" w:rsidR="001203D0" w:rsidRPr="000C457D" w:rsidRDefault="001203D0" w:rsidP="001203D0">
            <w:pPr>
              <w:jc w:val="center"/>
              <w:rPr>
                <w:rFonts w:ascii="Times New Roman" w:hAnsi="Times New Roman" w:cs="Times New Roman"/>
                <w:color w:val="000000" w:themeColor="text1"/>
                <w:sz w:val="20"/>
                <w:szCs w:val="20"/>
              </w:rPr>
            </w:pPr>
            <w:r w:rsidRPr="000C457D">
              <w:rPr>
                <w:rFonts w:ascii="Times New Roman" w:eastAsia="Times New Roman" w:hAnsi="Times New Roman" w:cs="Times New Roman"/>
                <w:color w:val="000000" w:themeColor="text1"/>
                <w:sz w:val="20"/>
                <w:szCs w:val="20"/>
              </w:rPr>
              <w:t>6690</w:t>
            </w:r>
          </w:p>
        </w:tc>
        <w:tc>
          <w:tcPr>
            <w:tcW w:w="1531" w:type="dxa"/>
            <w:vAlign w:val="center"/>
          </w:tcPr>
          <w:p w14:paraId="77BBEBA4" w14:textId="5AF6B579" w:rsidR="001203D0" w:rsidRPr="000C457D" w:rsidRDefault="001203D0" w:rsidP="001203D0">
            <w:pPr>
              <w:jc w:val="center"/>
              <w:rPr>
                <w:rFonts w:ascii="Times New Roman" w:hAnsi="Times New Roman" w:cs="Times New Roman"/>
                <w:color w:val="000000" w:themeColor="text1"/>
                <w:sz w:val="20"/>
                <w:szCs w:val="20"/>
              </w:rPr>
            </w:pPr>
            <w:r w:rsidRPr="000C457D">
              <w:rPr>
                <w:rFonts w:ascii="Times New Roman" w:eastAsia="Times New Roman" w:hAnsi="Times New Roman" w:cs="Times New Roman"/>
                <w:color w:val="000000" w:themeColor="text1"/>
                <w:sz w:val="20"/>
                <w:szCs w:val="20"/>
              </w:rPr>
              <w:t>2990</w:t>
            </w:r>
          </w:p>
        </w:tc>
        <w:tc>
          <w:tcPr>
            <w:tcW w:w="1531" w:type="dxa"/>
            <w:vAlign w:val="center"/>
          </w:tcPr>
          <w:p w14:paraId="7F4BDCF9" w14:textId="459CCD35" w:rsidR="001203D0" w:rsidRPr="000C457D" w:rsidRDefault="001203D0" w:rsidP="001203D0">
            <w:pPr>
              <w:jc w:val="center"/>
              <w:rPr>
                <w:rFonts w:ascii="Times New Roman" w:hAnsi="Times New Roman" w:cs="Times New Roman"/>
                <w:color w:val="000000" w:themeColor="text1"/>
                <w:sz w:val="20"/>
                <w:szCs w:val="20"/>
              </w:rPr>
            </w:pPr>
            <w:r w:rsidRPr="000C457D">
              <w:rPr>
                <w:rFonts w:ascii="Times New Roman" w:eastAsia="Times New Roman" w:hAnsi="Times New Roman" w:cs="Times New Roman"/>
                <w:color w:val="000000" w:themeColor="text1"/>
                <w:sz w:val="20"/>
                <w:szCs w:val="20"/>
              </w:rPr>
              <w:t>3947</w:t>
            </w:r>
          </w:p>
        </w:tc>
        <w:tc>
          <w:tcPr>
            <w:tcW w:w="1502" w:type="dxa"/>
            <w:vAlign w:val="center"/>
          </w:tcPr>
          <w:p w14:paraId="1C6939F7" w14:textId="2B793376" w:rsidR="001203D0" w:rsidRPr="000C457D" w:rsidRDefault="001203D0" w:rsidP="001203D0">
            <w:pPr>
              <w:jc w:val="center"/>
              <w:rPr>
                <w:rFonts w:ascii="Times New Roman" w:hAnsi="Times New Roman" w:cs="Times New Roman"/>
                <w:color w:val="000000" w:themeColor="text1"/>
                <w:sz w:val="20"/>
                <w:szCs w:val="20"/>
              </w:rPr>
            </w:pPr>
            <w:r w:rsidRPr="000C457D">
              <w:rPr>
                <w:rFonts w:ascii="Times New Roman" w:eastAsia="Times New Roman" w:hAnsi="Times New Roman" w:cs="Times New Roman"/>
                <w:color w:val="000000" w:themeColor="text1"/>
                <w:sz w:val="20"/>
                <w:szCs w:val="20"/>
              </w:rPr>
              <w:t>730</w:t>
            </w:r>
          </w:p>
        </w:tc>
      </w:tr>
    </w:tbl>
    <w:p w14:paraId="28FD9762" w14:textId="77777777" w:rsidR="00A300A5" w:rsidRPr="003269C3" w:rsidRDefault="00A300A5" w:rsidP="00F2775B">
      <w:pPr>
        <w:pStyle w:val="ListParagraph"/>
        <w:spacing w:after="0"/>
        <w:ind w:left="1440"/>
        <w:jc w:val="right"/>
        <w:rPr>
          <w:rFonts w:ascii="Times New Roman" w:hAnsi="Times New Roman" w:cs="Times New Roman"/>
          <w:sz w:val="20"/>
          <w:szCs w:val="20"/>
        </w:rPr>
      </w:pPr>
    </w:p>
    <w:p w14:paraId="4F5D4389" w14:textId="205CBFC1" w:rsidR="007F3F06" w:rsidRDefault="007F3F06" w:rsidP="001C3CAA">
      <w:pPr>
        <w:spacing w:after="0"/>
        <w:ind w:firstLine="709"/>
        <w:jc w:val="both"/>
        <w:rPr>
          <w:rFonts w:ascii="Times New Roman" w:hAnsi="Times New Roman" w:cs="Times New Roman"/>
          <w:sz w:val="20"/>
          <w:szCs w:val="20"/>
        </w:rPr>
      </w:pPr>
      <w:r>
        <w:rPr>
          <w:rFonts w:ascii="Times New Roman" w:hAnsi="Times New Roman" w:cs="Times New Roman"/>
          <w:sz w:val="26"/>
          <w:szCs w:val="26"/>
        </w:rPr>
        <w:t>Vienlaikus novērojams, ka neplānotu pārtraukumu skaits ik gadu samazinās, kas savukārt liecina par kopējo tīkla ekspluatācijas un darbības rādītāju līmeņa celšanos (skatīt 2.tabulu).</w:t>
      </w:r>
    </w:p>
    <w:p w14:paraId="11B451D9" w14:textId="77777777" w:rsidR="007F3F06" w:rsidRDefault="007F3F06" w:rsidP="0046371A">
      <w:pPr>
        <w:spacing w:after="0" w:line="240" w:lineRule="auto"/>
        <w:jc w:val="right"/>
        <w:rPr>
          <w:rFonts w:ascii="Times New Roman" w:hAnsi="Times New Roman" w:cs="Times New Roman"/>
          <w:sz w:val="20"/>
          <w:szCs w:val="20"/>
        </w:rPr>
      </w:pPr>
    </w:p>
    <w:p w14:paraId="4AF7EDE5" w14:textId="47F4B443" w:rsidR="00FA5CE1" w:rsidRPr="003269C3" w:rsidRDefault="00FA5CE1" w:rsidP="0046371A">
      <w:pPr>
        <w:spacing w:after="0" w:line="240" w:lineRule="auto"/>
        <w:jc w:val="right"/>
        <w:rPr>
          <w:rFonts w:ascii="Times New Roman" w:hAnsi="Times New Roman" w:cs="Times New Roman"/>
          <w:sz w:val="20"/>
          <w:szCs w:val="20"/>
        </w:rPr>
      </w:pPr>
      <w:r w:rsidRPr="003269C3">
        <w:rPr>
          <w:rFonts w:ascii="Times New Roman" w:hAnsi="Times New Roman" w:cs="Times New Roman"/>
          <w:sz w:val="20"/>
          <w:szCs w:val="20"/>
        </w:rPr>
        <w:lastRenderedPageBreak/>
        <w:t>2.tabula</w:t>
      </w:r>
    </w:p>
    <w:p w14:paraId="246E411C" w14:textId="3B50A6DA" w:rsidR="00FA5CE1" w:rsidRPr="003269C3" w:rsidRDefault="0052180A" w:rsidP="0046371A">
      <w:pPr>
        <w:spacing w:after="0" w:line="240" w:lineRule="auto"/>
        <w:jc w:val="center"/>
        <w:rPr>
          <w:rFonts w:ascii="Times New Roman" w:hAnsi="Times New Roman" w:cs="Times New Roman"/>
          <w:i/>
          <w:iCs/>
          <w:sz w:val="20"/>
          <w:szCs w:val="20"/>
        </w:rPr>
      </w:pPr>
      <w:r w:rsidRPr="003269C3">
        <w:rPr>
          <w:rFonts w:ascii="Times New Roman" w:hAnsi="Times New Roman" w:cs="Times New Roman"/>
          <w:i/>
          <w:iCs/>
          <w:sz w:val="20"/>
          <w:szCs w:val="20"/>
        </w:rPr>
        <w:t>N</w:t>
      </w:r>
      <w:r w:rsidR="00FA5CE1" w:rsidRPr="003269C3">
        <w:rPr>
          <w:rFonts w:ascii="Times New Roman" w:hAnsi="Times New Roman" w:cs="Times New Roman"/>
          <w:i/>
          <w:iCs/>
          <w:sz w:val="20"/>
          <w:szCs w:val="20"/>
        </w:rPr>
        <w:t>eplānoto elektroapgādes pārtraukumu skaits  2011.-2020.g.</w:t>
      </w:r>
    </w:p>
    <w:tbl>
      <w:tblPr>
        <w:tblStyle w:val="TableGrid"/>
        <w:tblW w:w="0" w:type="auto"/>
        <w:tblLayout w:type="fixed"/>
        <w:tblLook w:val="04A0" w:firstRow="1" w:lastRow="0" w:firstColumn="1" w:lastColumn="0" w:noHBand="0" w:noVBand="1"/>
      </w:tblPr>
      <w:tblGrid>
        <w:gridCol w:w="1413"/>
        <w:gridCol w:w="835"/>
        <w:gridCol w:w="757"/>
        <w:gridCol w:w="757"/>
        <w:gridCol w:w="757"/>
        <w:gridCol w:w="757"/>
        <w:gridCol w:w="757"/>
        <w:gridCol w:w="757"/>
        <w:gridCol w:w="757"/>
        <w:gridCol w:w="757"/>
        <w:gridCol w:w="757"/>
      </w:tblGrid>
      <w:tr w:rsidR="003269C3" w:rsidRPr="003269C3" w14:paraId="18C9C73B" w14:textId="77777777" w:rsidTr="003B5367">
        <w:tc>
          <w:tcPr>
            <w:tcW w:w="1413" w:type="dxa"/>
            <w:shd w:val="clear" w:color="auto" w:fill="E2EFD9" w:themeFill="accent6" w:themeFillTint="33"/>
          </w:tcPr>
          <w:p w14:paraId="34C49D9F"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b/>
                <w:bCs/>
                <w:color w:val="000000" w:themeColor="text1"/>
                <w:sz w:val="20"/>
                <w:szCs w:val="20"/>
              </w:rPr>
              <w:t>Gads</w:t>
            </w:r>
          </w:p>
        </w:tc>
        <w:tc>
          <w:tcPr>
            <w:tcW w:w="835" w:type="dxa"/>
            <w:shd w:val="clear" w:color="auto" w:fill="E2EFD9" w:themeFill="accent6" w:themeFillTint="33"/>
          </w:tcPr>
          <w:p w14:paraId="75DFBD6B"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b/>
                <w:bCs/>
                <w:color w:val="000000" w:themeColor="text1"/>
                <w:sz w:val="20"/>
                <w:szCs w:val="20"/>
              </w:rPr>
              <w:t>2011</w:t>
            </w:r>
          </w:p>
        </w:tc>
        <w:tc>
          <w:tcPr>
            <w:tcW w:w="757" w:type="dxa"/>
            <w:shd w:val="clear" w:color="auto" w:fill="E2EFD9" w:themeFill="accent6" w:themeFillTint="33"/>
          </w:tcPr>
          <w:p w14:paraId="237297DA"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b/>
                <w:bCs/>
                <w:color w:val="000000" w:themeColor="text1"/>
                <w:sz w:val="20"/>
                <w:szCs w:val="20"/>
              </w:rPr>
              <w:t>2012</w:t>
            </w:r>
          </w:p>
        </w:tc>
        <w:tc>
          <w:tcPr>
            <w:tcW w:w="757" w:type="dxa"/>
            <w:shd w:val="clear" w:color="auto" w:fill="E2EFD9" w:themeFill="accent6" w:themeFillTint="33"/>
          </w:tcPr>
          <w:p w14:paraId="7E3841E9"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b/>
                <w:bCs/>
                <w:color w:val="000000" w:themeColor="text1"/>
                <w:sz w:val="20"/>
                <w:szCs w:val="20"/>
              </w:rPr>
              <w:t>2013</w:t>
            </w:r>
          </w:p>
        </w:tc>
        <w:tc>
          <w:tcPr>
            <w:tcW w:w="757" w:type="dxa"/>
            <w:shd w:val="clear" w:color="auto" w:fill="E2EFD9" w:themeFill="accent6" w:themeFillTint="33"/>
          </w:tcPr>
          <w:p w14:paraId="4F457EEE"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b/>
                <w:bCs/>
                <w:color w:val="000000" w:themeColor="text1"/>
                <w:sz w:val="20"/>
                <w:szCs w:val="20"/>
              </w:rPr>
              <w:t>2014</w:t>
            </w:r>
          </w:p>
        </w:tc>
        <w:tc>
          <w:tcPr>
            <w:tcW w:w="757" w:type="dxa"/>
            <w:shd w:val="clear" w:color="auto" w:fill="E2EFD9" w:themeFill="accent6" w:themeFillTint="33"/>
          </w:tcPr>
          <w:p w14:paraId="382350E5"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b/>
                <w:bCs/>
                <w:color w:val="000000" w:themeColor="text1"/>
                <w:sz w:val="20"/>
                <w:szCs w:val="20"/>
              </w:rPr>
              <w:t>2015</w:t>
            </w:r>
          </w:p>
        </w:tc>
        <w:tc>
          <w:tcPr>
            <w:tcW w:w="757" w:type="dxa"/>
            <w:shd w:val="clear" w:color="auto" w:fill="E2EFD9" w:themeFill="accent6" w:themeFillTint="33"/>
          </w:tcPr>
          <w:p w14:paraId="3DE33244"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b/>
                <w:bCs/>
                <w:color w:val="000000" w:themeColor="text1"/>
                <w:sz w:val="20"/>
                <w:szCs w:val="20"/>
              </w:rPr>
              <w:t>2016</w:t>
            </w:r>
          </w:p>
        </w:tc>
        <w:tc>
          <w:tcPr>
            <w:tcW w:w="757" w:type="dxa"/>
            <w:shd w:val="clear" w:color="auto" w:fill="E2EFD9" w:themeFill="accent6" w:themeFillTint="33"/>
          </w:tcPr>
          <w:p w14:paraId="500C22B5"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b/>
                <w:bCs/>
                <w:color w:val="000000" w:themeColor="text1"/>
                <w:sz w:val="20"/>
                <w:szCs w:val="20"/>
              </w:rPr>
              <w:t>2017</w:t>
            </w:r>
          </w:p>
        </w:tc>
        <w:tc>
          <w:tcPr>
            <w:tcW w:w="757" w:type="dxa"/>
            <w:shd w:val="clear" w:color="auto" w:fill="E2EFD9" w:themeFill="accent6" w:themeFillTint="33"/>
          </w:tcPr>
          <w:p w14:paraId="7C9C68F2"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b/>
                <w:bCs/>
                <w:color w:val="000000" w:themeColor="text1"/>
                <w:sz w:val="20"/>
                <w:szCs w:val="20"/>
              </w:rPr>
              <w:t>2018</w:t>
            </w:r>
          </w:p>
        </w:tc>
        <w:tc>
          <w:tcPr>
            <w:tcW w:w="757" w:type="dxa"/>
            <w:shd w:val="clear" w:color="auto" w:fill="E2EFD9" w:themeFill="accent6" w:themeFillTint="33"/>
          </w:tcPr>
          <w:p w14:paraId="1772FB09"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b/>
                <w:bCs/>
                <w:color w:val="000000" w:themeColor="text1"/>
                <w:sz w:val="20"/>
                <w:szCs w:val="20"/>
              </w:rPr>
              <w:t>2019</w:t>
            </w:r>
          </w:p>
        </w:tc>
        <w:tc>
          <w:tcPr>
            <w:tcW w:w="757" w:type="dxa"/>
            <w:shd w:val="clear" w:color="auto" w:fill="E2EFD9" w:themeFill="accent6" w:themeFillTint="33"/>
          </w:tcPr>
          <w:p w14:paraId="31154A22"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b/>
                <w:bCs/>
                <w:color w:val="000000" w:themeColor="text1"/>
                <w:sz w:val="20"/>
                <w:szCs w:val="20"/>
              </w:rPr>
              <w:t>2020</w:t>
            </w:r>
          </w:p>
        </w:tc>
      </w:tr>
      <w:tr w:rsidR="00FA5CE1" w:rsidRPr="003269C3" w14:paraId="0B6F0C43" w14:textId="77777777" w:rsidTr="003B5367">
        <w:tc>
          <w:tcPr>
            <w:tcW w:w="1413" w:type="dxa"/>
            <w:shd w:val="clear" w:color="auto" w:fill="E2EFD9" w:themeFill="accent6" w:themeFillTint="33"/>
          </w:tcPr>
          <w:p w14:paraId="0FECE3D9" w14:textId="0C688867" w:rsidR="00FA5CE1" w:rsidRPr="003269C3" w:rsidRDefault="0052180A" w:rsidP="003B5367">
            <w:pPr>
              <w:jc w:val="both"/>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Neplānotu p</w:t>
            </w:r>
            <w:r w:rsidR="00FA5CE1" w:rsidRPr="003269C3">
              <w:rPr>
                <w:rFonts w:ascii="Times New Roman" w:hAnsi="Times New Roman" w:cs="Times New Roman"/>
                <w:b/>
                <w:bCs/>
                <w:color w:val="000000" w:themeColor="text1"/>
                <w:sz w:val="20"/>
                <w:szCs w:val="20"/>
              </w:rPr>
              <w:t>ārtraukumu skaits</w:t>
            </w:r>
          </w:p>
          <w:p w14:paraId="0DEDC544"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color w:val="000000" w:themeColor="text1"/>
                <w:sz w:val="20"/>
                <w:szCs w:val="20"/>
              </w:rPr>
              <w:t>(bez MBS)</w:t>
            </w:r>
          </w:p>
        </w:tc>
        <w:tc>
          <w:tcPr>
            <w:tcW w:w="835" w:type="dxa"/>
          </w:tcPr>
          <w:p w14:paraId="75B5757A" w14:textId="77777777" w:rsidR="00FA5CE1" w:rsidRPr="003269C3" w:rsidRDefault="00FA5CE1" w:rsidP="003B5367">
            <w:pPr>
              <w:rPr>
                <w:rFonts w:ascii="Times New Roman" w:hAnsi="Times New Roman" w:cs="Times New Roman"/>
                <w:color w:val="000000" w:themeColor="text1"/>
                <w:sz w:val="20"/>
                <w:szCs w:val="20"/>
              </w:rPr>
            </w:pPr>
          </w:p>
          <w:p w14:paraId="4D68B6DD"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color w:val="000000" w:themeColor="text1"/>
                <w:sz w:val="20"/>
                <w:szCs w:val="20"/>
              </w:rPr>
              <w:t>39421</w:t>
            </w:r>
          </w:p>
        </w:tc>
        <w:tc>
          <w:tcPr>
            <w:tcW w:w="757" w:type="dxa"/>
          </w:tcPr>
          <w:p w14:paraId="453C2BB4" w14:textId="77777777" w:rsidR="00FA5CE1" w:rsidRPr="003269C3" w:rsidRDefault="00FA5CE1" w:rsidP="003B5367">
            <w:pPr>
              <w:rPr>
                <w:rFonts w:ascii="Times New Roman" w:hAnsi="Times New Roman" w:cs="Times New Roman"/>
                <w:color w:val="000000" w:themeColor="text1"/>
                <w:sz w:val="20"/>
                <w:szCs w:val="20"/>
              </w:rPr>
            </w:pPr>
          </w:p>
          <w:p w14:paraId="3065760D"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color w:val="000000" w:themeColor="text1"/>
                <w:sz w:val="20"/>
                <w:szCs w:val="20"/>
              </w:rPr>
              <w:t>39016</w:t>
            </w:r>
          </w:p>
        </w:tc>
        <w:tc>
          <w:tcPr>
            <w:tcW w:w="757" w:type="dxa"/>
          </w:tcPr>
          <w:p w14:paraId="3F6EAC83" w14:textId="77777777" w:rsidR="00FA5CE1" w:rsidRPr="003269C3" w:rsidRDefault="00FA5CE1" w:rsidP="003B5367">
            <w:pPr>
              <w:rPr>
                <w:rFonts w:ascii="Times New Roman" w:hAnsi="Times New Roman" w:cs="Times New Roman"/>
                <w:color w:val="000000" w:themeColor="text1"/>
                <w:sz w:val="20"/>
                <w:szCs w:val="20"/>
              </w:rPr>
            </w:pPr>
          </w:p>
          <w:p w14:paraId="13DCE4A0"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color w:val="000000" w:themeColor="text1"/>
                <w:sz w:val="20"/>
                <w:szCs w:val="20"/>
              </w:rPr>
              <w:t>32652</w:t>
            </w:r>
          </w:p>
        </w:tc>
        <w:tc>
          <w:tcPr>
            <w:tcW w:w="757" w:type="dxa"/>
          </w:tcPr>
          <w:p w14:paraId="1C3B8919" w14:textId="77777777" w:rsidR="00FA5CE1" w:rsidRPr="003269C3" w:rsidRDefault="00FA5CE1" w:rsidP="003B5367">
            <w:pPr>
              <w:rPr>
                <w:rFonts w:ascii="Times New Roman" w:hAnsi="Times New Roman" w:cs="Times New Roman"/>
                <w:color w:val="000000" w:themeColor="text1"/>
                <w:sz w:val="20"/>
                <w:szCs w:val="20"/>
              </w:rPr>
            </w:pPr>
          </w:p>
          <w:p w14:paraId="330735B0"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color w:val="000000" w:themeColor="text1"/>
                <w:sz w:val="20"/>
                <w:szCs w:val="20"/>
              </w:rPr>
              <w:t>29050</w:t>
            </w:r>
          </w:p>
        </w:tc>
        <w:tc>
          <w:tcPr>
            <w:tcW w:w="757" w:type="dxa"/>
          </w:tcPr>
          <w:p w14:paraId="36A35DDB" w14:textId="77777777" w:rsidR="00FA5CE1" w:rsidRPr="003269C3" w:rsidRDefault="00FA5CE1" w:rsidP="003B5367">
            <w:pPr>
              <w:rPr>
                <w:rFonts w:ascii="Times New Roman" w:hAnsi="Times New Roman" w:cs="Times New Roman"/>
                <w:color w:val="000000" w:themeColor="text1"/>
                <w:sz w:val="20"/>
                <w:szCs w:val="20"/>
              </w:rPr>
            </w:pPr>
          </w:p>
          <w:p w14:paraId="345467E3"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color w:val="000000" w:themeColor="text1"/>
                <w:sz w:val="20"/>
                <w:szCs w:val="20"/>
              </w:rPr>
              <w:t>29706</w:t>
            </w:r>
          </w:p>
        </w:tc>
        <w:tc>
          <w:tcPr>
            <w:tcW w:w="757" w:type="dxa"/>
          </w:tcPr>
          <w:p w14:paraId="25223453" w14:textId="77777777" w:rsidR="00FA5CE1" w:rsidRPr="003269C3" w:rsidRDefault="00FA5CE1" w:rsidP="003B5367">
            <w:pPr>
              <w:rPr>
                <w:rFonts w:ascii="Times New Roman" w:hAnsi="Times New Roman" w:cs="Times New Roman"/>
                <w:color w:val="000000" w:themeColor="text1"/>
                <w:sz w:val="20"/>
                <w:szCs w:val="20"/>
              </w:rPr>
            </w:pPr>
          </w:p>
          <w:p w14:paraId="2C3E2B38"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color w:val="000000" w:themeColor="text1"/>
                <w:sz w:val="20"/>
                <w:szCs w:val="20"/>
              </w:rPr>
              <w:t>24385</w:t>
            </w:r>
          </w:p>
        </w:tc>
        <w:tc>
          <w:tcPr>
            <w:tcW w:w="757" w:type="dxa"/>
          </w:tcPr>
          <w:p w14:paraId="680CDFBA" w14:textId="77777777" w:rsidR="00FA5CE1" w:rsidRPr="003269C3" w:rsidRDefault="00FA5CE1" w:rsidP="003B5367">
            <w:pPr>
              <w:rPr>
                <w:rFonts w:ascii="Times New Roman" w:hAnsi="Times New Roman" w:cs="Times New Roman"/>
                <w:color w:val="000000" w:themeColor="text1"/>
                <w:sz w:val="20"/>
                <w:szCs w:val="20"/>
              </w:rPr>
            </w:pPr>
          </w:p>
          <w:p w14:paraId="50EFE159"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color w:val="000000" w:themeColor="text1"/>
                <w:sz w:val="20"/>
                <w:szCs w:val="20"/>
              </w:rPr>
              <w:t>22366</w:t>
            </w:r>
          </w:p>
        </w:tc>
        <w:tc>
          <w:tcPr>
            <w:tcW w:w="757" w:type="dxa"/>
          </w:tcPr>
          <w:p w14:paraId="1DA4FA10" w14:textId="77777777" w:rsidR="00FA5CE1" w:rsidRPr="003269C3" w:rsidRDefault="00FA5CE1" w:rsidP="003B5367">
            <w:pPr>
              <w:rPr>
                <w:rFonts w:ascii="Times New Roman" w:hAnsi="Times New Roman" w:cs="Times New Roman"/>
                <w:color w:val="000000" w:themeColor="text1"/>
                <w:sz w:val="20"/>
                <w:szCs w:val="20"/>
              </w:rPr>
            </w:pPr>
          </w:p>
          <w:p w14:paraId="5D19EC69"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color w:val="000000" w:themeColor="text1"/>
                <w:sz w:val="20"/>
                <w:szCs w:val="20"/>
              </w:rPr>
              <w:t>24119</w:t>
            </w:r>
          </w:p>
        </w:tc>
        <w:tc>
          <w:tcPr>
            <w:tcW w:w="757" w:type="dxa"/>
          </w:tcPr>
          <w:p w14:paraId="468F659D" w14:textId="77777777" w:rsidR="00FA5CE1" w:rsidRPr="003269C3" w:rsidRDefault="00FA5CE1" w:rsidP="003B5367">
            <w:pPr>
              <w:rPr>
                <w:rFonts w:ascii="Times New Roman" w:hAnsi="Times New Roman" w:cs="Times New Roman"/>
                <w:color w:val="000000" w:themeColor="text1"/>
                <w:sz w:val="20"/>
                <w:szCs w:val="20"/>
              </w:rPr>
            </w:pPr>
          </w:p>
          <w:p w14:paraId="063A2057"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color w:val="000000" w:themeColor="text1"/>
                <w:sz w:val="20"/>
                <w:szCs w:val="20"/>
              </w:rPr>
              <w:t>19603</w:t>
            </w:r>
          </w:p>
        </w:tc>
        <w:tc>
          <w:tcPr>
            <w:tcW w:w="757" w:type="dxa"/>
          </w:tcPr>
          <w:p w14:paraId="7EF75715" w14:textId="77777777" w:rsidR="00FA5CE1" w:rsidRPr="003269C3" w:rsidRDefault="00FA5CE1" w:rsidP="003B5367">
            <w:pPr>
              <w:rPr>
                <w:rFonts w:ascii="Times New Roman" w:hAnsi="Times New Roman" w:cs="Times New Roman"/>
                <w:color w:val="000000" w:themeColor="text1"/>
                <w:sz w:val="20"/>
                <w:szCs w:val="20"/>
              </w:rPr>
            </w:pPr>
          </w:p>
          <w:p w14:paraId="71D4CAA5" w14:textId="77777777" w:rsidR="00FA5CE1" w:rsidRPr="003269C3" w:rsidRDefault="00FA5CE1" w:rsidP="003B5367">
            <w:pPr>
              <w:jc w:val="both"/>
              <w:rPr>
                <w:rFonts w:ascii="Times New Roman" w:hAnsi="Times New Roman" w:cs="Times New Roman"/>
                <w:b/>
                <w:bCs/>
                <w:sz w:val="20"/>
                <w:szCs w:val="20"/>
              </w:rPr>
            </w:pPr>
            <w:r w:rsidRPr="003269C3">
              <w:rPr>
                <w:rFonts w:ascii="Times New Roman" w:hAnsi="Times New Roman" w:cs="Times New Roman"/>
                <w:color w:val="000000" w:themeColor="text1"/>
                <w:sz w:val="20"/>
                <w:szCs w:val="20"/>
              </w:rPr>
              <w:t>17864</w:t>
            </w:r>
          </w:p>
        </w:tc>
      </w:tr>
    </w:tbl>
    <w:p w14:paraId="71F6B3CD" w14:textId="77777777" w:rsidR="00FA4E0C" w:rsidRDefault="00FA4E0C" w:rsidP="007F3F06">
      <w:pPr>
        <w:jc w:val="right"/>
        <w:rPr>
          <w:rFonts w:ascii="Times New Roman" w:hAnsi="Times New Roman" w:cs="Times New Roman"/>
          <w:color w:val="000000" w:themeColor="text1"/>
          <w:sz w:val="20"/>
          <w:szCs w:val="20"/>
        </w:rPr>
      </w:pPr>
    </w:p>
    <w:p w14:paraId="302105C3" w14:textId="52145B12" w:rsidR="0024401B" w:rsidRPr="003269C3" w:rsidRDefault="00FA5CE1" w:rsidP="007F3F06">
      <w:pPr>
        <w:jc w:val="right"/>
        <w:rPr>
          <w:rFonts w:ascii="Times New Roman" w:hAnsi="Times New Roman" w:cs="Times New Roman"/>
          <w:color w:val="000000" w:themeColor="text1"/>
          <w:sz w:val="20"/>
          <w:szCs w:val="20"/>
        </w:rPr>
      </w:pPr>
      <w:r w:rsidRPr="003269C3">
        <w:rPr>
          <w:rFonts w:ascii="Times New Roman" w:hAnsi="Times New Roman" w:cs="Times New Roman"/>
          <w:color w:val="000000" w:themeColor="text1"/>
          <w:sz w:val="20"/>
          <w:szCs w:val="20"/>
        </w:rPr>
        <w:t>3</w:t>
      </w:r>
      <w:r w:rsidR="00410113" w:rsidRPr="003269C3">
        <w:rPr>
          <w:rFonts w:ascii="Times New Roman" w:hAnsi="Times New Roman" w:cs="Times New Roman"/>
          <w:color w:val="000000" w:themeColor="text1"/>
          <w:sz w:val="20"/>
          <w:szCs w:val="20"/>
        </w:rPr>
        <w:t>.tabula</w:t>
      </w:r>
    </w:p>
    <w:p w14:paraId="684F2948" w14:textId="67B62246" w:rsidR="009449BF" w:rsidRPr="003269C3" w:rsidRDefault="009449BF" w:rsidP="0046371A">
      <w:pPr>
        <w:pStyle w:val="ListParagraph"/>
        <w:spacing w:after="0" w:line="240" w:lineRule="auto"/>
        <w:ind w:left="0"/>
        <w:jc w:val="center"/>
        <w:rPr>
          <w:rFonts w:ascii="Times New Roman" w:hAnsi="Times New Roman" w:cs="Times New Roman"/>
          <w:i/>
          <w:iCs/>
          <w:color w:val="000000" w:themeColor="text1"/>
          <w:sz w:val="20"/>
          <w:szCs w:val="20"/>
        </w:rPr>
      </w:pPr>
      <w:r w:rsidRPr="003269C3">
        <w:rPr>
          <w:rFonts w:ascii="Times New Roman" w:hAnsi="Times New Roman" w:cs="Times New Roman"/>
          <w:i/>
          <w:iCs/>
          <w:color w:val="000000" w:themeColor="text1"/>
          <w:sz w:val="20"/>
          <w:szCs w:val="20"/>
        </w:rPr>
        <w:t>Kopējais bojājumu skaits sadales sistēmas tīklā 2011.-2020.g.)</w:t>
      </w:r>
    </w:p>
    <w:tbl>
      <w:tblPr>
        <w:tblStyle w:val="TableGrid"/>
        <w:tblW w:w="9061" w:type="dxa"/>
        <w:tblLayout w:type="fixed"/>
        <w:tblLook w:val="04A0" w:firstRow="1" w:lastRow="0" w:firstColumn="1" w:lastColumn="0" w:noHBand="0" w:noVBand="1"/>
      </w:tblPr>
      <w:tblGrid>
        <w:gridCol w:w="1129"/>
        <w:gridCol w:w="851"/>
        <w:gridCol w:w="1025"/>
        <w:gridCol w:w="757"/>
        <w:gridCol w:w="757"/>
        <w:gridCol w:w="757"/>
        <w:gridCol w:w="757"/>
        <w:gridCol w:w="757"/>
        <w:gridCol w:w="757"/>
        <w:gridCol w:w="757"/>
        <w:gridCol w:w="757"/>
      </w:tblGrid>
      <w:tr w:rsidR="00F43D6C" w:rsidRPr="003269C3" w14:paraId="58005001" w14:textId="77777777" w:rsidTr="001203D0">
        <w:tc>
          <w:tcPr>
            <w:tcW w:w="1129" w:type="dxa"/>
            <w:shd w:val="clear" w:color="auto" w:fill="E2EFD9" w:themeFill="accent6" w:themeFillTint="33"/>
          </w:tcPr>
          <w:p w14:paraId="6CF90280" w14:textId="690DEA7A" w:rsidR="00A72C84" w:rsidRPr="003269C3" w:rsidRDefault="00A72C84" w:rsidP="004018D3">
            <w:pPr>
              <w:jc w:val="both"/>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Gads</w:t>
            </w:r>
          </w:p>
        </w:tc>
        <w:tc>
          <w:tcPr>
            <w:tcW w:w="851" w:type="dxa"/>
            <w:shd w:val="clear" w:color="auto" w:fill="E2EFD9" w:themeFill="accent6" w:themeFillTint="33"/>
          </w:tcPr>
          <w:p w14:paraId="3B359FCF" w14:textId="43EDA3CE" w:rsidR="00A72C84" w:rsidRPr="003269C3" w:rsidRDefault="00A72C84" w:rsidP="00A72C84">
            <w:pPr>
              <w:jc w:val="center"/>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2011</w:t>
            </w:r>
          </w:p>
        </w:tc>
        <w:tc>
          <w:tcPr>
            <w:tcW w:w="1025" w:type="dxa"/>
            <w:shd w:val="clear" w:color="auto" w:fill="E2EFD9" w:themeFill="accent6" w:themeFillTint="33"/>
          </w:tcPr>
          <w:p w14:paraId="1340AAF5" w14:textId="329B6FFD" w:rsidR="00A72C84" w:rsidRPr="003269C3" w:rsidRDefault="00A72C84" w:rsidP="00A72C84">
            <w:pPr>
              <w:jc w:val="center"/>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2012</w:t>
            </w:r>
          </w:p>
        </w:tc>
        <w:tc>
          <w:tcPr>
            <w:tcW w:w="757" w:type="dxa"/>
            <w:shd w:val="clear" w:color="auto" w:fill="E2EFD9" w:themeFill="accent6" w:themeFillTint="33"/>
          </w:tcPr>
          <w:p w14:paraId="32EB3BEA" w14:textId="680F3237" w:rsidR="00A72C84" w:rsidRPr="003269C3" w:rsidRDefault="00A72C84" w:rsidP="00A72C84">
            <w:pPr>
              <w:jc w:val="center"/>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2013</w:t>
            </w:r>
          </w:p>
        </w:tc>
        <w:tc>
          <w:tcPr>
            <w:tcW w:w="757" w:type="dxa"/>
            <w:shd w:val="clear" w:color="auto" w:fill="E2EFD9" w:themeFill="accent6" w:themeFillTint="33"/>
          </w:tcPr>
          <w:p w14:paraId="056661B8" w14:textId="7963814F" w:rsidR="00A72C84" w:rsidRPr="003269C3" w:rsidRDefault="00A72C84" w:rsidP="00A72C84">
            <w:pPr>
              <w:jc w:val="center"/>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2014</w:t>
            </w:r>
          </w:p>
        </w:tc>
        <w:tc>
          <w:tcPr>
            <w:tcW w:w="757" w:type="dxa"/>
            <w:shd w:val="clear" w:color="auto" w:fill="E2EFD9" w:themeFill="accent6" w:themeFillTint="33"/>
          </w:tcPr>
          <w:p w14:paraId="43BF7DED" w14:textId="3585467A" w:rsidR="00A72C84" w:rsidRPr="003269C3" w:rsidRDefault="00A72C84" w:rsidP="00A72C84">
            <w:pPr>
              <w:jc w:val="center"/>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2015</w:t>
            </w:r>
          </w:p>
        </w:tc>
        <w:tc>
          <w:tcPr>
            <w:tcW w:w="757" w:type="dxa"/>
            <w:shd w:val="clear" w:color="auto" w:fill="E2EFD9" w:themeFill="accent6" w:themeFillTint="33"/>
          </w:tcPr>
          <w:p w14:paraId="244EBBC6" w14:textId="270FB190" w:rsidR="00A72C84" w:rsidRPr="003269C3" w:rsidRDefault="00A72C84" w:rsidP="00A72C84">
            <w:pPr>
              <w:jc w:val="center"/>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2016</w:t>
            </w:r>
          </w:p>
        </w:tc>
        <w:tc>
          <w:tcPr>
            <w:tcW w:w="757" w:type="dxa"/>
            <w:shd w:val="clear" w:color="auto" w:fill="E2EFD9" w:themeFill="accent6" w:themeFillTint="33"/>
          </w:tcPr>
          <w:p w14:paraId="7B866A20" w14:textId="2B8E32D9" w:rsidR="00A72C84" w:rsidRPr="003269C3" w:rsidRDefault="00A72C84" w:rsidP="00A72C84">
            <w:pPr>
              <w:jc w:val="center"/>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2017</w:t>
            </w:r>
          </w:p>
        </w:tc>
        <w:tc>
          <w:tcPr>
            <w:tcW w:w="757" w:type="dxa"/>
            <w:shd w:val="clear" w:color="auto" w:fill="E2EFD9" w:themeFill="accent6" w:themeFillTint="33"/>
          </w:tcPr>
          <w:p w14:paraId="6EA24D9A" w14:textId="0CE531D7" w:rsidR="00A72C84" w:rsidRPr="003269C3" w:rsidRDefault="00A72C84" w:rsidP="00A72C84">
            <w:pPr>
              <w:jc w:val="center"/>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2018</w:t>
            </w:r>
          </w:p>
        </w:tc>
        <w:tc>
          <w:tcPr>
            <w:tcW w:w="757" w:type="dxa"/>
            <w:shd w:val="clear" w:color="auto" w:fill="E2EFD9" w:themeFill="accent6" w:themeFillTint="33"/>
          </w:tcPr>
          <w:p w14:paraId="6387F013" w14:textId="268171FE" w:rsidR="00A72C84" w:rsidRPr="003269C3" w:rsidRDefault="00A72C84" w:rsidP="00A72C84">
            <w:pPr>
              <w:jc w:val="center"/>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2019</w:t>
            </w:r>
          </w:p>
        </w:tc>
        <w:tc>
          <w:tcPr>
            <w:tcW w:w="757" w:type="dxa"/>
            <w:shd w:val="clear" w:color="auto" w:fill="E2EFD9" w:themeFill="accent6" w:themeFillTint="33"/>
          </w:tcPr>
          <w:p w14:paraId="7111EEBA" w14:textId="4713E6E3" w:rsidR="00A72C84" w:rsidRPr="003269C3" w:rsidRDefault="00A72C84" w:rsidP="00A72C84">
            <w:pPr>
              <w:jc w:val="center"/>
              <w:rPr>
                <w:rFonts w:ascii="Times New Roman" w:hAnsi="Times New Roman" w:cs="Times New Roman"/>
                <w:b/>
                <w:bCs/>
                <w:color w:val="000000" w:themeColor="text1"/>
                <w:sz w:val="20"/>
                <w:szCs w:val="20"/>
              </w:rPr>
            </w:pPr>
            <w:r w:rsidRPr="003269C3">
              <w:rPr>
                <w:rFonts w:ascii="Times New Roman" w:hAnsi="Times New Roman" w:cs="Times New Roman"/>
                <w:b/>
                <w:bCs/>
                <w:color w:val="000000" w:themeColor="text1"/>
                <w:sz w:val="20"/>
                <w:szCs w:val="20"/>
              </w:rPr>
              <w:t>2020</w:t>
            </w:r>
          </w:p>
        </w:tc>
      </w:tr>
      <w:tr w:rsidR="00F43D6C" w:rsidRPr="001203D0" w14:paraId="11C07D7A" w14:textId="77777777" w:rsidTr="001203D0">
        <w:trPr>
          <w:trHeight w:val="830"/>
        </w:trPr>
        <w:tc>
          <w:tcPr>
            <w:tcW w:w="1129" w:type="dxa"/>
            <w:shd w:val="clear" w:color="auto" w:fill="E2EFD9" w:themeFill="accent6" w:themeFillTint="33"/>
          </w:tcPr>
          <w:p w14:paraId="7F124E04" w14:textId="3B686E29" w:rsidR="00255997" w:rsidRPr="001203D0" w:rsidRDefault="000654FB" w:rsidP="004018D3">
            <w:pPr>
              <w:jc w:val="both"/>
              <w:rPr>
                <w:rFonts w:ascii="Times New Roman" w:hAnsi="Times New Roman" w:cs="Times New Roman"/>
                <w:b/>
                <w:bCs/>
                <w:color w:val="000000" w:themeColor="text1"/>
                <w:sz w:val="20"/>
                <w:szCs w:val="20"/>
              </w:rPr>
            </w:pPr>
            <w:bookmarkStart w:id="18" w:name="_Hlk74662334"/>
            <w:r w:rsidRPr="001203D0">
              <w:rPr>
                <w:rFonts w:ascii="Times New Roman" w:hAnsi="Times New Roman" w:cs="Times New Roman"/>
                <w:b/>
                <w:bCs/>
                <w:color w:val="000000" w:themeColor="text1"/>
                <w:sz w:val="20"/>
                <w:szCs w:val="20"/>
              </w:rPr>
              <w:t>Bojājumu</w:t>
            </w:r>
            <w:r w:rsidR="00255997" w:rsidRPr="001203D0">
              <w:rPr>
                <w:rFonts w:ascii="Times New Roman" w:hAnsi="Times New Roman" w:cs="Times New Roman"/>
                <w:b/>
                <w:bCs/>
                <w:color w:val="000000" w:themeColor="text1"/>
                <w:sz w:val="20"/>
                <w:szCs w:val="20"/>
              </w:rPr>
              <w:t xml:space="preserve"> </w:t>
            </w:r>
            <w:r w:rsidR="00A72C84" w:rsidRPr="001203D0">
              <w:rPr>
                <w:rFonts w:ascii="Times New Roman" w:hAnsi="Times New Roman" w:cs="Times New Roman"/>
                <w:b/>
                <w:bCs/>
                <w:color w:val="000000" w:themeColor="text1"/>
                <w:sz w:val="20"/>
                <w:szCs w:val="20"/>
              </w:rPr>
              <w:t>skaits</w:t>
            </w:r>
          </w:p>
          <w:p w14:paraId="135080BC" w14:textId="120D79E5" w:rsidR="00A72C84" w:rsidRPr="001203D0" w:rsidRDefault="009B01F8" w:rsidP="004018D3">
            <w:pPr>
              <w:jc w:val="both"/>
              <w:rPr>
                <w:rFonts w:ascii="Times New Roman" w:hAnsi="Times New Roman" w:cs="Times New Roman"/>
                <w:color w:val="000000" w:themeColor="text1"/>
                <w:sz w:val="20"/>
                <w:szCs w:val="20"/>
              </w:rPr>
            </w:pPr>
            <w:r w:rsidRPr="001203D0">
              <w:rPr>
                <w:rFonts w:ascii="Times New Roman" w:hAnsi="Times New Roman" w:cs="Times New Roman"/>
                <w:color w:val="000000" w:themeColor="text1"/>
                <w:sz w:val="20"/>
                <w:szCs w:val="20"/>
              </w:rPr>
              <w:t>(ieskaitot MBS</w:t>
            </w:r>
            <w:r w:rsidR="001203D0">
              <w:rPr>
                <w:rFonts w:ascii="Times New Roman" w:hAnsi="Times New Roman" w:cs="Times New Roman"/>
                <w:color w:val="000000" w:themeColor="text1"/>
                <w:sz w:val="20"/>
                <w:szCs w:val="20"/>
              </w:rPr>
              <w:t xml:space="preserve"> izraisītos</w:t>
            </w:r>
            <w:r w:rsidRPr="001203D0">
              <w:rPr>
                <w:rFonts w:ascii="Times New Roman" w:hAnsi="Times New Roman" w:cs="Times New Roman"/>
                <w:color w:val="000000" w:themeColor="text1"/>
                <w:sz w:val="20"/>
                <w:szCs w:val="20"/>
              </w:rPr>
              <w:t>)</w:t>
            </w:r>
          </w:p>
          <w:p w14:paraId="7118D56C" w14:textId="7AD688F1" w:rsidR="00255997" w:rsidRPr="001203D0" w:rsidRDefault="00255997" w:rsidP="004018D3">
            <w:pPr>
              <w:jc w:val="both"/>
              <w:rPr>
                <w:rFonts w:ascii="Times New Roman" w:hAnsi="Times New Roman" w:cs="Times New Roman"/>
                <w:b/>
                <w:bCs/>
                <w:color w:val="000000" w:themeColor="text1"/>
                <w:sz w:val="20"/>
                <w:szCs w:val="20"/>
              </w:rPr>
            </w:pPr>
          </w:p>
        </w:tc>
        <w:tc>
          <w:tcPr>
            <w:tcW w:w="851" w:type="dxa"/>
          </w:tcPr>
          <w:p w14:paraId="2728FBB4" w14:textId="77777777" w:rsidR="006F1F78" w:rsidRPr="001203D0" w:rsidRDefault="006F1F78" w:rsidP="006F1F78">
            <w:pPr>
              <w:rPr>
                <w:rFonts w:ascii="Times New Roman" w:hAnsi="Times New Roman" w:cs="Times New Roman"/>
                <w:color w:val="000000" w:themeColor="text1"/>
                <w:sz w:val="20"/>
                <w:szCs w:val="20"/>
              </w:rPr>
            </w:pPr>
          </w:p>
          <w:p w14:paraId="1A200F90" w14:textId="77777777" w:rsidR="009B01F8" w:rsidRPr="001203D0" w:rsidRDefault="009B01F8" w:rsidP="006F1F78">
            <w:pPr>
              <w:rPr>
                <w:rFonts w:ascii="Times New Roman" w:hAnsi="Times New Roman" w:cs="Times New Roman"/>
                <w:color w:val="000000" w:themeColor="text1"/>
                <w:sz w:val="20"/>
                <w:szCs w:val="20"/>
              </w:rPr>
            </w:pPr>
          </w:p>
          <w:p w14:paraId="60C087D1" w14:textId="1812890A" w:rsidR="00A72C84" w:rsidRPr="001203D0" w:rsidRDefault="00A72C84" w:rsidP="006F1F78">
            <w:pPr>
              <w:rPr>
                <w:rFonts w:ascii="Times New Roman" w:hAnsi="Times New Roman" w:cs="Times New Roman"/>
                <w:color w:val="000000" w:themeColor="text1"/>
                <w:sz w:val="20"/>
                <w:szCs w:val="20"/>
              </w:rPr>
            </w:pPr>
            <w:r w:rsidRPr="001203D0">
              <w:rPr>
                <w:rFonts w:ascii="Times New Roman" w:hAnsi="Times New Roman" w:cs="Times New Roman"/>
                <w:color w:val="000000" w:themeColor="text1"/>
                <w:sz w:val="20"/>
                <w:szCs w:val="20"/>
              </w:rPr>
              <w:t>51951</w:t>
            </w:r>
          </w:p>
        </w:tc>
        <w:tc>
          <w:tcPr>
            <w:tcW w:w="1025" w:type="dxa"/>
          </w:tcPr>
          <w:p w14:paraId="26A64B41" w14:textId="77777777" w:rsidR="006F1F78" w:rsidRPr="001203D0" w:rsidRDefault="006F1F78" w:rsidP="006F1F78">
            <w:pPr>
              <w:rPr>
                <w:rFonts w:ascii="Times New Roman" w:hAnsi="Times New Roman" w:cs="Times New Roman"/>
                <w:color w:val="000000" w:themeColor="text1"/>
                <w:sz w:val="20"/>
                <w:szCs w:val="20"/>
              </w:rPr>
            </w:pPr>
          </w:p>
          <w:p w14:paraId="70167EA2" w14:textId="77777777" w:rsidR="009B01F8" w:rsidRPr="001203D0" w:rsidRDefault="009B01F8" w:rsidP="006F1F78">
            <w:pPr>
              <w:rPr>
                <w:rFonts w:ascii="Times New Roman" w:hAnsi="Times New Roman" w:cs="Times New Roman"/>
                <w:color w:val="000000" w:themeColor="text1"/>
                <w:sz w:val="20"/>
                <w:szCs w:val="20"/>
              </w:rPr>
            </w:pPr>
          </w:p>
          <w:p w14:paraId="5527593B" w14:textId="5B01D35D" w:rsidR="00A72C84" w:rsidRPr="001203D0" w:rsidRDefault="006F1F78" w:rsidP="006F1F78">
            <w:pPr>
              <w:rPr>
                <w:rFonts w:ascii="Times New Roman" w:hAnsi="Times New Roman" w:cs="Times New Roman"/>
                <w:color w:val="000000" w:themeColor="text1"/>
                <w:sz w:val="20"/>
                <w:szCs w:val="20"/>
              </w:rPr>
            </w:pPr>
            <w:r w:rsidRPr="001203D0">
              <w:rPr>
                <w:rFonts w:ascii="Times New Roman" w:hAnsi="Times New Roman" w:cs="Times New Roman"/>
                <w:color w:val="000000" w:themeColor="text1"/>
                <w:sz w:val="20"/>
                <w:szCs w:val="20"/>
              </w:rPr>
              <w:t>41062</w:t>
            </w:r>
          </w:p>
        </w:tc>
        <w:tc>
          <w:tcPr>
            <w:tcW w:w="757" w:type="dxa"/>
          </w:tcPr>
          <w:p w14:paraId="5E45A1FA" w14:textId="77777777" w:rsidR="006F1F78" w:rsidRPr="001203D0" w:rsidRDefault="006F1F78" w:rsidP="006F1F78">
            <w:pPr>
              <w:rPr>
                <w:rFonts w:ascii="Times New Roman" w:hAnsi="Times New Roman" w:cs="Times New Roman"/>
                <w:color w:val="000000" w:themeColor="text1"/>
                <w:sz w:val="20"/>
                <w:szCs w:val="20"/>
              </w:rPr>
            </w:pPr>
          </w:p>
          <w:p w14:paraId="1D687421" w14:textId="77777777" w:rsidR="009B01F8" w:rsidRPr="001203D0" w:rsidRDefault="009B01F8" w:rsidP="006F1F78">
            <w:pPr>
              <w:rPr>
                <w:rFonts w:ascii="Times New Roman" w:hAnsi="Times New Roman" w:cs="Times New Roman"/>
                <w:color w:val="000000" w:themeColor="text1"/>
                <w:sz w:val="20"/>
                <w:szCs w:val="20"/>
              </w:rPr>
            </w:pPr>
          </w:p>
          <w:p w14:paraId="7B6524A2" w14:textId="2A05039D" w:rsidR="006F1F78" w:rsidRPr="001203D0" w:rsidRDefault="006F1F78" w:rsidP="006F1F78">
            <w:pPr>
              <w:rPr>
                <w:rFonts w:ascii="Times New Roman" w:hAnsi="Times New Roman" w:cs="Times New Roman"/>
                <w:color w:val="000000" w:themeColor="text1"/>
                <w:sz w:val="20"/>
                <w:szCs w:val="20"/>
              </w:rPr>
            </w:pPr>
            <w:r w:rsidRPr="001203D0">
              <w:rPr>
                <w:rFonts w:ascii="Times New Roman" w:hAnsi="Times New Roman" w:cs="Times New Roman"/>
                <w:color w:val="000000" w:themeColor="text1"/>
                <w:sz w:val="20"/>
                <w:szCs w:val="20"/>
              </w:rPr>
              <w:t>34594</w:t>
            </w:r>
          </w:p>
          <w:p w14:paraId="61971362" w14:textId="77777777" w:rsidR="00A72C84" w:rsidRPr="001203D0" w:rsidRDefault="00A72C84" w:rsidP="006F1F78">
            <w:pPr>
              <w:rPr>
                <w:rFonts w:ascii="Times New Roman" w:hAnsi="Times New Roman" w:cs="Times New Roman"/>
                <w:color w:val="000000" w:themeColor="text1"/>
                <w:sz w:val="20"/>
                <w:szCs w:val="20"/>
              </w:rPr>
            </w:pPr>
          </w:p>
        </w:tc>
        <w:tc>
          <w:tcPr>
            <w:tcW w:w="757" w:type="dxa"/>
          </w:tcPr>
          <w:p w14:paraId="0239E286" w14:textId="77777777" w:rsidR="006F1F78" w:rsidRPr="001203D0" w:rsidRDefault="006F1F78" w:rsidP="006F1F78">
            <w:pPr>
              <w:rPr>
                <w:rFonts w:ascii="Times New Roman" w:hAnsi="Times New Roman" w:cs="Times New Roman"/>
                <w:color w:val="000000" w:themeColor="text1"/>
                <w:sz w:val="20"/>
                <w:szCs w:val="20"/>
              </w:rPr>
            </w:pPr>
          </w:p>
          <w:p w14:paraId="53BA5D37" w14:textId="77777777" w:rsidR="009B01F8" w:rsidRPr="001203D0" w:rsidRDefault="009B01F8" w:rsidP="006F1F78">
            <w:pPr>
              <w:rPr>
                <w:rFonts w:ascii="Times New Roman" w:hAnsi="Times New Roman" w:cs="Times New Roman"/>
                <w:color w:val="000000" w:themeColor="text1"/>
                <w:sz w:val="20"/>
                <w:szCs w:val="20"/>
              </w:rPr>
            </w:pPr>
          </w:p>
          <w:p w14:paraId="7BCF8677" w14:textId="4B3BE483" w:rsidR="00A72C84" w:rsidRPr="001203D0" w:rsidRDefault="006F1F78" w:rsidP="006F1F78">
            <w:pPr>
              <w:rPr>
                <w:rFonts w:ascii="Times New Roman" w:hAnsi="Times New Roman" w:cs="Times New Roman"/>
                <w:color w:val="000000" w:themeColor="text1"/>
                <w:sz w:val="20"/>
                <w:szCs w:val="20"/>
              </w:rPr>
            </w:pPr>
            <w:r w:rsidRPr="001203D0">
              <w:rPr>
                <w:rFonts w:ascii="Times New Roman" w:hAnsi="Times New Roman" w:cs="Times New Roman"/>
                <w:color w:val="000000" w:themeColor="text1"/>
                <w:sz w:val="20"/>
                <w:szCs w:val="20"/>
              </w:rPr>
              <w:t>31511</w:t>
            </w:r>
          </w:p>
        </w:tc>
        <w:tc>
          <w:tcPr>
            <w:tcW w:w="757" w:type="dxa"/>
          </w:tcPr>
          <w:p w14:paraId="6D960317" w14:textId="77777777" w:rsidR="006F1F78" w:rsidRPr="001203D0" w:rsidRDefault="006F1F78" w:rsidP="006F1F78">
            <w:pPr>
              <w:rPr>
                <w:rFonts w:ascii="Times New Roman" w:hAnsi="Times New Roman" w:cs="Times New Roman"/>
                <w:color w:val="000000" w:themeColor="text1"/>
                <w:sz w:val="20"/>
                <w:szCs w:val="20"/>
              </w:rPr>
            </w:pPr>
          </w:p>
          <w:p w14:paraId="4B6F3C1F" w14:textId="77777777" w:rsidR="009B01F8" w:rsidRPr="001203D0" w:rsidRDefault="009B01F8" w:rsidP="006F1F78">
            <w:pPr>
              <w:rPr>
                <w:rFonts w:ascii="Times New Roman" w:hAnsi="Times New Roman" w:cs="Times New Roman"/>
                <w:color w:val="000000" w:themeColor="text1"/>
                <w:sz w:val="20"/>
                <w:szCs w:val="20"/>
              </w:rPr>
            </w:pPr>
          </w:p>
          <w:p w14:paraId="63668AB3" w14:textId="2F96E8D7" w:rsidR="00A72C84" w:rsidRPr="001203D0" w:rsidRDefault="006F1F78" w:rsidP="006F1F78">
            <w:pPr>
              <w:rPr>
                <w:rFonts w:ascii="Times New Roman" w:hAnsi="Times New Roman" w:cs="Times New Roman"/>
                <w:color w:val="000000" w:themeColor="text1"/>
                <w:sz w:val="20"/>
                <w:szCs w:val="20"/>
              </w:rPr>
            </w:pPr>
            <w:r w:rsidRPr="001203D0">
              <w:rPr>
                <w:rFonts w:ascii="Times New Roman" w:hAnsi="Times New Roman" w:cs="Times New Roman"/>
                <w:color w:val="000000" w:themeColor="text1"/>
                <w:sz w:val="20"/>
                <w:szCs w:val="20"/>
              </w:rPr>
              <w:t>28498</w:t>
            </w:r>
          </w:p>
        </w:tc>
        <w:tc>
          <w:tcPr>
            <w:tcW w:w="757" w:type="dxa"/>
          </w:tcPr>
          <w:p w14:paraId="672F6BE6" w14:textId="77777777" w:rsidR="006F1F78" w:rsidRPr="001203D0" w:rsidRDefault="006F1F78" w:rsidP="006F1F78">
            <w:pPr>
              <w:rPr>
                <w:rFonts w:ascii="Times New Roman" w:hAnsi="Times New Roman" w:cs="Times New Roman"/>
                <w:color w:val="000000" w:themeColor="text1"/>
                <w:sz w:val="20"/>
                <w:szCs w:val="20"/>
              </w:rPr>
            </w:pPr>
          </w:p>
          <w:p w14:paraId="29BF3566" w14:textId="77777777" w:rsidR="009B01F8" w:rsidRPr="001203D0" w:rsidRDefault="009B01F8" w:rsidP="006F1F78">
            <w:pPr>
              <w:rPr>
                <w:rFonts w:ascii="Times New Roman" w:hAnsi="Times New Roman" w:cs="Times New Roman"/>
                <w:color w:val="000000" w:themeColor="text1"/>
                <w:sz w:val="20"/>
                <w:szCs w:val="20"/>
              </w:rPr>
            </w:pPr>
          </w:p>
          <w:p w14:paraId="6FE3DE73" w14:textId="05625E10" w:rsidR="00A72C84" w:rsidRPr="001203D0" w:rsidRDefault="006F1F78" w:rsidP="006F1F78">
            <w:pPr>
              <w:rPr>
                <w:rFonts w:ascii="Times New Roman" w:hAnsi="Times New Roman" w:cs="Times New Roman"/>
                <w:color w:val="000000" w:themeColor="text1"/>
                <w:sz w:val="20"/>
                <w:szCs w:val="20"/>
              </w:rPr>
            </w:pPr>
            <w:r w:rsidRPr="001203D0">
              <w:rPr>
                <w:rFonts w:ascii="Times New Roman" w:hAnsi="Times New Roman" w:cs="Times New Roman"/>
                <w:color w:val="000000" w:themeColor="text1"/>
                <w:sz w:val="20"/>
                <w:szCs w:val="20"/>
              </w:rPr>
              <w:t>22909</w:t>
            </w:r>
          </w:p>
        </w:tc>
        <w:tc>
          <w:tcPr>
            <w:tcW w:w="757" w:type="dxa"/>
          </w:tcPr>
          <w:p w14:paraId="5E0AB329" w14:textId="77777777" w:rsidR="006F1F78" w:rsidRPr="001203D0" w:rsidRDefault="006F1F78" w:rsidP="006F1F78">
            <w:pPr>
              <w:rPr>
                <w:rFonts w:ascii="Times New Roman" w:hAnsi="Times New Roman" w:cs="Times New Roman"/>
                <w:color w:val="000000" w:themeColor="text1"/>
                <w:sz w:val="20"/>
                <w:szCs w:val="20"/>
              </w:rPr>
            </w:pPr>
          </w:p>
          <w:p w14:paraId="1C9E4669" w14:textId="77777777" w:rsidR="009B01F8" w:rsidRPr="001203D0" w:rsidRDefault="009B01F8" w:rsidP="006F1F78">
            <w:pPr>
              <w:rPr>
                <w:rFonts w:ascii="Times New Roman" w:hAnsi="Times New Roman" w:cs="Times New Roman"/>
                <w:color w:val="000000" w:themeColor="text1"/>
                <w:sz w:val="20"/>
                <w:szCs w:val="20"/>
              </w:rPr>
            </w:pPr>
          </w:p>
          <w:p w14:paraId="13D9D16C" w14:textId="27705CA1" w:rsidR="00A72C84" w:rsidRPr="001203D0" w:rsidRDefault="006F1F78" w:rsidP="006F1F78">
            <w:pPr>
              <w:rPr>
                <w:rFonts w:ascii="Times New Roman" w:hAnsi="Times New Roman" w:cs="Times New Roman"/>
                <w:color w:val="000000" w:themeColor="text1"/>
                <w:sz w:val="20"/>
                <w:szCs w:val="20"/>
              </w:rPr>
            </w:pPr>
            <w:r w:rsidRPr="001203D0">
              <w:rPr>
                <w:rFonts w:ascii="Times New Roman" w:hAnsi="Times New Roman" w:cs="Times New Roman"/>
                <w:color w:val="000000" w:themeColor="text1"/>
                <w:sz w:val="20"/>
                <w:szCs w:val="20"/>
              </w:rPr>
              <w:t>20705</w:t>
            </w:r>
          </w:p>
        </w:tc>
        <w:tc>
          <w:tcPr>
            <w:tcW w:w="757" w:type="dxa"/>
          </w:tcPr>
          <w:p w14:paraId="1058C08B" w14:textId="77777777" w:rsidR="006F1F78" w:rsidRPr="001203D0" w:rsidRDefault="006F1F78" w:rsidP="006F1F78">
            <w:pPr>
              <w:rPr>
                <w:rFonts w:ascii="Times New Roman" w:hAnsi="Times New Roman" w:cs="Times New Roman"/>
                <w:color w:val="000000" w:themeColor="text1"/>
                <w:sz w:val="20"/>
                <w:szCs w:val="20"/>
              </w:rPr>
            </w:pPr>
          </w:p>
          <w:p w14:paraId="3B3EB368" w14:textId="77777777" w:rsidR="009B01F8" w:rsidRPr="001203D0" w:rsidRDefault="009B01F8" w:rsidP="006F1F78">
            <w:pPr>
              <w:rPr>
                <w:rFonts w:ascii="Times New Roman" w:hAnsi="Times New Roman" w:cs="Times New Roman"/>
                <w:color w:val="000000" w:themeColor="text1"/>
                <w:sz w:val="20"/>
                <w:szCs w:val="20"/>
              </w:rPr>
            </w:pPr>
          </w:p>
          <w:p w14:paraId="2643E897" w14:textId="7EFFED47" w:rsidR="00A72C84" w:rsidRPr="001203D0" w:rsidRDefault="006F1F78" w:rsidP="006F1F78">
            <w:pPr>
              <w:rPr>
                <w:rFonts w:ascii="Times New Roman" w:hAnsi="Times New Roman" w:cs="Times New Roman"/>
                <w:color w:val="000000" w:themeColor="text1"/>
                <w:sz w:val="20"/>
                <w:szCs w:val="20"/>
              </w:rPr>
            </w:pPr>
            <w:r w:rsidRPr="001203D0">
              <w:rPr>
                <w:rFonts w:ascii="Times New Roman" w:hAnsi="Times New Roman" w:cs="Times New Roman"/>
                <w:color w:val="000000" w:themeColor="text1"/>
                <w:sz w:val="20"/>
                <w:szCs w:val="20"/>
              </w:rPr>
              <w:t>22710</w:t>
            </w:r>
          </w:p>
        </w:tc>
        <w:tc>
          <w:tcPr>
            <w:tcW w:w="757" w:type="dxa"/>
          </w:tcPr>
          <w:p w14:paraId="0E48B112" w14:textId="77777777" w:rsidR="006F1F78" w:rsidRPr="001203D0" w:rsidRDefault="006F1F78" w:rsidP="006F1F78">
            <w:pPr>
              <w:rPr>
                <w:rFonts w:ascii="Times New Roman" w:hAnsi="Times New Roman" w:cs="Times New Roman"/>
                <w:color w:val="000000" w:themeColor="text1"/>
                <w:sz w:val="20"/>
                <w:szCs w:val="20"/>
              </w:rPr>
            </w:pPr>
          </w:p>
          <w:p w14:paraId="05AE21F5" w14:textId="77777777" w:rsidR="009B01F8" w:rsidRPr="001203D0" w:rsidRDefault="009B01F8" w:rsidP="006F1F78">
            <w:pPr>
              <w:rPr>
                <w:rFonts w:ascii="Times New Roman" w:hAnsi="Times New Roman" w:cs="Times New Roman"/>
                <w:color w:val="000000" w:themeColor="text1"/>
                <w:sz w:val="20"/>
                <w:szCs w:val="20"/>
              </w:rPr>
            </w:pPr>
          </w:p>
          <w:p w14:paraId="163E9FDB" w14:textId="6F7564EF" w:rsidR="00A72C84" w:rsidRPr="001203D0" w:rsidRDefault="006F1F78" w:rsidP="006F1F78">
            <w:pPr>
              <w:rPr>
                <w:rFonts w:ascii="Times New Roman" w:hAnsi="Times New Roman" w:cs="Times New Roman"/>
                <w:color w:val="000000" w:themeColor="text1"/>
                <w:sz w:val="20"/>
                <w:szCs w:val="20"/>
              </w:rPr>
            </w:pPr>
            <w:r w:rsidRPr="001203D0">
              <w:rPr>
                <w:rFonts w:ascii="Times New Roman" w:hAnsi="Times New Roman" w:cs="Times New Roman"/>
                <w:color w:val="000000" w:themeColor="text1"/>
                <w:sz w:val="20"/>
                <w:szCs w:val="20"/>
              </w:rPr>
              <w:t>18082</w:t>
            </w:r>
          </w:p>
        </w:tc>
        <w:tc>
          <w:tcPr>
            <w:tcW w:w="757" w:type="dxa"/>
          </w:tcPr>
          <w:p w14:paraId="27AF2777" w14:textId="77777777" w:rsidR="006F1F78" w:rsidRPr="001203D0" w:rsidRDefault="006F1F78" w:rsidP="006F1F78">
            <w:pPr>
              <w:rPr>
                <w:rFonts w:ascii="Times New Roman" w:hAnsi="Times New Roman" w:cs="Times New Roman"/>
                <w:color w:val="000000" w:themeColor="text1"/>
                <w:sz w:val="20"/>
                <w:szCs w:val="20"/>
              </w:rPr>
            </w:pPr>
          </w:p>
          <w:p w14:paraId="76DD9497" w14:textId="77777777" w:rsidR="009B01F8" w:rsidRPr="001203D0" w:rsidRDefault="009B01F8" w:rsidP="006F1F78">
            <w:pPr>
              <w:rPr>
                <w:rFonts w:ascii="Times New Roman" w:hAnsi="Times New Roman" w:cs="Times New Roman"/>
                <w:color w:val="000000" w:themeColor="text1"/>
                <w:sz w:val="20"/>
                <w:szCs w:val="20"/>
              </w:rPr>
            </w:pPr>
          </w:p>
          <w:p w14:paraId="7B875478" w14:textId="045974AC" w:rsidR="00A72C84" w:rsidRPr="001203D0" w:rsidRDefault="006F1F78" w:rsidP="006F1F78">
            <w:pPr>
              <w:rPr>
                <w:rFonts w:ascii="Times New Roman" w:hAnsi="Times New Roman" w:cs="Times New Roman"/>
                <w:color w:val="000000" w:themeColor="text1"/>
                <w:sz w:val="20"/>
                <w:szCs w:val="20"/>
              </w:rPr>
            </w:pPr>
            <w:r w:rsidRPr="001203D0">
              <w:rPr>
                <w:rFonts w:ascii="Times New Roman" w:hAnsi="Times New Roman" w:cs="Times New Roman"/>
                <w:color w:val="000000" w:themeColor="text1"/>
                <w:sz w:val="20"/>
                <w:szCs w:val="20"/>
              </w:rPr>
              <w:t>16554</w:t>
            </w:r>
          </w:p>
        </w:tc>
      </w:tr>
      <w:bookmarkEnd w:id="18"/>
    </w:tbl>
    <w:p w14:paraId="23258D34" w14:textId="034F5573" w:rsidR="009449BF" w:rsidRPr="006D6E94" w:rsidRDefault="009449BF" w:rsidP="00FA5CE1">
      <w:pPr>
        <w:rPr>
          <w:rFonts w:ascii="Times New Roman" w:hAnsi="Times New Roman" w:cs="Times New Roman"/>
          <w:sz w:val="20"/>
          <w:szCs w:val="20"/>
        </w:rPr>
      </w:pPr>
    </w:p>
    <w:p w14:paraId="5DA56B02" w14:textId="5C02017A" w:rsidR="009449BF" w:rsidRPr="006D6E94" w:rsidRDefault="00FA5CE1" w:rsidP="00361747">
      <w:pPr>
        <w:spacing w:after="0"/>
        <w:jc w:val="right"/>
        <w:rPr>
          <w:rFonts w:ascii="Times New Roman" w:hAnsi="Times New Roman" w:cs="Times New Roman"/>
          <w:sz w:val="20"/>
          <w:szCs w:val="20"/>
        </w:rPr>
      </w:pPr>
      <w:r w:rsidRPr="006D6E94">
        <w:rPr>
          <w:rFonts w:ascii="Times New Roman" w:hAnsi="Times New Roman" w:cs="Times New Roman"/>
          <w:sz w:val="20"/>
          <w:szCs w:val="20"/>
        </w:rPr>
        <w:t>1.attēls</w:t>
      </w:r>
    </w:p>
    <w:p w14:paraId="53FF88E6" w14:textId="7499228B" w:rsidR="00FA5CE1" w:rsidRPr="006D6E94" w:rsidRDefault="00FA5CE1" w:rsidP="00FA5CE1">
      <w:pPr>
        <w:spacing w:after="0"/>
        <w:jc w:val="center"/>
        <w:rPr>
          <w:rFonts w:ascii="Times New Roman" w:hAnsi="Times New Roman" w:cs="Times New Roman"/>
          <w:i/>
          <w:iCs/>
          <w:sz w:val="20"/>
          <w:szCs w:val="20"/>
        </w:rPr>
      </w:pPr>
      <w:r w:rsidRPr="006D6E94">
        <w:rPr>
          <w:rFonts w:ascii="Times New Roman" w:hAnsi="Times New Roman" w:cs="Times New Roman"/>
          <w:i/>
          <w:iCs/>
          <w:sz w:val="20"/>
          <w:szCs w:val="20"/>
        </w:rPr>
        <w:t>Bojājumu skaits tīklā 2011.-2020.gads</w:t>
      </w:r>
    </w:p>
    <w:p w14:paraId="78E20146" w14:textId="4E72B1EA" w:rsidR="009449BF" w:rsidRDefault="009449BF" w:rsidP="009449BF">
      <w:pPr>
        <w:spacing w:after="0"/>
        <w:jc w:val="center"/>
        <w:rPr>
          <w:rFonts w:ascii="Times New Roman" w:hAnsi="Times New Roman" w:cs="Times New Roman"/>
        </w:rPr>
      </w:pPr>
      <w:r>
        <w:rPr>
          <w:noProof/>
        </w:rPr>
        <w:drawing>
          <wp:inline distT="0" distB="0" distL="0" distR="0" wp14:anchorId="444B0824" wp14:editId="0FC4EB51">
            <wp:extent cx="4743450" cy="2095500"/>
            <wp:effectExtent l="0" t="0" r="0" b="0"/>
            <wp:docPr id="1" name="Chart 1">
              <a:extLst xmlns:a="http://schemas.openxmlformats.org/drawingml/2006/main">
                <a:ext uri="{FF2B5EF4-FFF2-40B4-BE49-F238E27FC236}">
                  <a16:creationId xmlns:a16="http://schemas.microsoft.com/office/drawing/2014/main" id="{4D6830B3-40ED-40B8-AC5C-32EE6886A6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1204915" w14:textId="77777777" w:rsidR="00FA5CE1" w:rsidRDefault="00FA5CE1" w:rsidP="009449BF">
      <w:pPr>
        <w:spacing w:after="0"/>
        <w:jc w:val="center"/>
        <w:rPr>
          <w:rFonts w:ascii="Times New Roman" w:hAnsi="Times New Roman" w:cs="Times New Roman"/>
        </w:rPr>
      </w:pPr>
    </w:p>
    <w:p w14:paraId="32DE2965" w14:textId="08480216" w:rsidR="002B738D" w:rsidRDefault="00FA5CE1" w:rsidP="00FA5CE1">
      <w:pPr>
        <w:spacing w:after="0"/>
        <w:ind w:firstLine="720"/>
        <w:jc w:val="both"/>
        <w:rPr>
          <w:rFonts w:ascii="Times New Roman" w:hAnsi="Times New Roman" w:cs="Times New Roman"/>
          <w:sz w:val="26"/>
          <w:szCs w:val="26"/>
        </w:rPr>
      </w:pPr>
      <w:r w:rsidRPr="00FA5CE1">
        <w:rPr>
          <w:rFonts w:ascii="Times New Roman" w:hAnsi="Times New Roman" w:cs="Times New Roman"/>
          <w:sz w:val="26"/>
          <w:szCs w:val="26"/>
        </w:rPr>
        <w:t>Kā redzams, arī bojājumu, kas izraisa neplānotus pārtraukumus</w:t>
      </w:r>
      <w:r w:rsidR="0046371A">
        <w:rPr>
          <w:rFonts w:ascii="Times New Roman" w:hAnsi="Times New Roman" w:cs="Times New Roman"/>
          <w:sz w:val="26"/>
          <w:szCs w:val="26"/>
        </w:rPr>
        <w:t xml:space="preserve"> un kuru starpā ir MBS izraisītie bojājumi</w:t>
      </w:r>
      <w:r w:rsidRPr="00FA5CE1">
        <w:rPr>
          <w:rFonts w:ascii="Times New Roman" w:hAnsi="Times New Roman" w:cs="Times New Roman"/>
          <w:sz w:val="26"/>
          <w:szCs w:val="26"/>
        </w:rPr>
        <w:t xml:space="preserve">, skaits sadales sistēmas tīklā ik gadu mazinās (skatīt </w:t>
      </w:r>
      <w:r w:rsidR="00FA4E0C">
        <w:rPr>
          <w:rFonts w:ascii="Times New Roman" w:hAnsi="Times New Roman" w:cs="Times New Roman"/>
          <w:sz w:val="26"/>
          <w:szCs w:val="26"/>
        </w:rPr>
        <w:t>3.</w:t>
      </w:r>
      <w:r w:rsidRPr="00FA5CE1">
        <w:rPr>
          <w:rFonts w:ascii="Times New Roman" w:hAnsi="Times New Roman" w:cs="Times New Roman"/>
          <w:sz w:val="26"/>
          <w:szCs w:val="26"/>
        </w:rPr>
        <w:t>tabulu un 1.attēlu).</w:t>
      </w:r>
      <w:r>
        <w:rPr>
          <w:rFonts w:ascii="Times New Roman" w:hAnsi="Times New Roman" w:cs="Times New Roman"/>
          <w:sz w:val="26"/>
          <w:szCs w:val="26"/>
        </w:rPr>
        <w:t xml:space="preserve"> </w:t>
      </w:r>
    </w:p>
    <w:p w14:paraId="1A2EFCBF" w14:textId="65606004" w:rsidR="00B65F8B" w:rsidRPr="00217ECD" w:rsidRDefault="002B738D" w:rsidP="00217ECD">
      <w:pPr>
        <w:spacing w:after="0"/>
        <w:ind w:firstLine="720"/>
        <w:jc w:val="both"/>
        <w:rPr>
          <w:rFonts w:ascii="Times New Roman" w:hAnsi="Times New Roman" w:cs="Times New Roman"/>
          <w:sz w:val="26"/>
          <w:szCs w:val="26"/>
        </w:rPr>
      </w:pPr>
      <w:r>
        <w:rPr>
          <w:rFonts w:ascii="Times New Roman" w:hAnsi="Times New Roman" w:cs="Times New Roman"/>
          <w:sz w:val="26"/>
          <w:szCs w:val="26"/>
        </w:rPr>
        <w:t>Pašlaik</w:t>
      </w:r>
      <w:r w:rsidRPr="002B738D">
        <w:rPr>
          <w:rFonts w:ascii="Times New Roman" w:hAnsi="Times New Roman" w:cs="Times New Roman"/>
          <w:sz w:val="26"/>
          <w:szCs w:val="26"/>
        </w:rPr>
        <w:t xml:space="preserve"> </w:t>
      </w:r>
      <w:r w:rsidRPr="00FA663B">
        <w:rPr>
          <w:rFonts w:ascii="Times New Roman" w:hAnsi="Times New Roman" w:cs="Times New Roman"/>
          <w:sz w:val="26"/>
          <w:szCs w:val="26"/>
        </w:rPr>
        <w:t>Noteikumu 94.1</w:t>
      </w:r>
      <w:r w:rsidR="0043273B">
        <w:rPr>
          <w:rFonts w:ascii="Times New Roman" w:hAnsi="Times New Roman" w:cs="Times New Roman"/>
          <w:sz w:val="26"/>
          <w:szCs w:val="26"/>
        </w:rPr>
        <w:t>.</w:t>
      </w:r>
      <w:r w:rsidRPr="00FA663B">
        <w:rPr>
          <w:rFonts w:ascii="Times New Roman" w:hAnsi="Times New Roman" w:cs="Times New Roman"/>
          <w:sz w:val="26"/>
          <w:szCs w:val="26"/>
        </w:rPr>
        <w:t>punktā noteik</w:t>
      </w:r>
      <w:r w:rsidR="00FA4E0C">
        <w:rPr>
          <w:rFonts w:ascii="Times New Roman" w:hAnsi="Times New Roman" w:cs="Times New Roman"/>
          <w:sz w:val="26"/>
          <w:szCs w:val="26"/>
        </w:rPr>
        <w:t>t</w:t>
      </w:r>
      <w:r>
        <w:rPr>
          <w:rFonts w:ascii="Times New Roman" w:hAnsi="Times New Roman" w:cs="Times New Roman"/>
          <w:sz w:val="26"/>
          <w:szCs w:val="26"/>
        </w:rPr>
        <w:t>ais izņēmu</w:t>
      </w:r>
      <w:r w:rsidR="00FA4E0C">
        <w:rPr>
          <w:rFonts w:ascii="Times New Roman" w:hAnsi="Times New Roman" w:cs="Times New Roman"/>
          <w:sz w:val="26"/>
          <w:szCs w:val="26"/>
        </w:rPr>
        <w:t>ms</w:t>
      </w:r>
      <w:r>
        <w:rPr>
          <w:rFonts w:ascii="Times New Roman" w:hAnsi="Times New Roman" w:cs="Times New Roman"/>
          <w:sz w:val="26"/>
          <w:szCs w:val="26"/>
        </w:rPr>
        <w:t xml:space="preserve"> ietver </w:t>
      </w:r>
      <w:r w:rsidR="00B65F8B">
        <w:rPr>
          <w:rFonts w:ascii="Times New Roman" w:hAnsi="Times New Roman" w:cs="Times New Roman"/>
          <w:sz w:val="26"/>
          <w:szCs w:val="26"/>
        </w:rPr>
        <w:t>visus trīs</w:t>
      </w:r>
      <w:r>
        <w:rPr>
          <w:rFonts w:ascii="Times New Roman" w:hAnsi="Times New Roman" w:cs="Times New Roman"/>
          <w:sz w:val="26"/>
          <w:szCs w:val="26"/>
        </w:rPr>
        <w:t xml:space="preserve"> </w:t>
      </w:r>
      <w:r w:rsidR="00B65F8B">
        <w:rPr>
          <w:rFonts w:ascii="Times New Roman" w:hAnsi="Times New Roman" w:cs="Times New Roman"/>
          <w:sz w:val="26"/>
          <w:szCs w:val="26"/>
        </w:rPr>
        <w:t xml:space="preserve">ieviestos </w:t>
      </w:r>
      <w:r w:rsidRPr="00217ECD">
        <w:rPr>
          <w:rFonts w:ascii="Times New Roman" w:hAnsi="Times New Roman" w:cs="Times New Roman"/>
          <w:sz w:val="26"/>
          <w:szCs w:val="26"/>
        </w:rPr>
        <w:t>hidrometeoroloģisko brīdinājumu</w:t>
      </w:r>
      <w:r w:rsidR="0043273B" w:rsidRPr="001C3CAA">
        <w:rPr>
          <w:rStyle w:val="FootnoteReference"/>
          <w:rFonts w:ascii="Times New Roman" w:hAnsi="Times New Roman" w:cs="Times New Roman"/>
          <w:sz w:val="26"/>
          <w:szCs w:val="26"/>
        </w:rPr>
        <w:footnoteReference w:id="2"/>
      </w:r>
      <w:r w:rsidRPr="00217ECD">
        <w:rPr>
          <w:rFonts w:ascii="Times New Roman" w:hAnsi="Times New Roman" w:cs="Times New Roman"/>
          <w:sz w:val="26"/>
          <w:szCs w:val="26"/>
        </w:rPr>
        <w:t xml:space="preserve"> </w:t>
      </w:r>
      <w:r w:rsidR="00B65F8B">
        <w:rPr>
          <w:rFonts w:ascii="Times New Roman" w:hAnsi="Times New Roman" w:cs="Times New Roman"/>
          <w:sz w:val="26"/>
          <w:szCs w:val="26"/>
        </w:rPr>
        <w:t>līmeņus</w:t>
      </w:r>
      <w:r>
        <w:rPr>
          <w:rFonts w:ascii="Times New Roman" w:hAnsi="Times New Roman" w:cs="Times New Roman"/>
          <w:sz w:val="26"/>
          <w:szCs w:val="26"/>
        </w:rPr>
        <w:t xml:space="preserve">: </w:t>
      </w:r>
      <w:r w:rsidR="00B65F8B">
        <w:rPr>
          <w:rFonts w:ascii="Times New Roman" w:hAnsi="Times New Roman" w:cs="Times New Roman"/>
          <w:sz w:val="26"/>
          <w:szCs w:val="26"/>
        </w:rPr>
        <w:t>dzelteno, sarkano un oranžo</w:t>
      </w:r>
      <w:r w:rsidR="00FA4E0C">
        <w:rPr>
          <w:rFonts w:ascii="Times New Roman" w:hAnsi="Times New Roman" w:cs="Times New Roman"/>
          <w:sz w:val="26"/>
          <w:szCs w:val="26"/>
        </w:rPr>
        <w:t>.</w:t>
      </w:r>
      <w:r w:rsidR="0043273B">
        <w:rPr>
          <w:rFonts w:ascii="Times New Roman" w:hAnsi="Times New Roman" w:cs="Times New Roman"/>
          <w:sz w:val="26"/>
          <w:szCs w:val="26"/>
        </w:rPr>
        <w:t xml:space="preserve"> </w:t>
      </w:r>
      <w:r w:rsidR="00B65F8B" w:rsidRPr="00217ECD">
        <w:rPr>
          <w:rFonts w:ascii="Times New Roman" w:hAnsi="Times New Roman" w:cs="Times New Roman"/>
          <w:sz w:val="26"/>
          <w:szCs w:val="26"/>
        </w:rPr>
        <w:t xml:space="preserve">Katram </w:t>
      </w:r>
      <w:r w:rsidR="00B65F8B" w:rsidRPr="00C73D8E">
        <w:rPr>
          <w:rFonts w:ascii="Times New Roman" w:hAnsi="Times New Roman" w:cs="Times New Roman"/>
          <w:sz w:val="26"/>
          <w:szCs w:val="26"/>
        </w:rPr>
        <w:t xml:space="preserve">hidrometeoroloģisko brīdinājumu </w:t>
      </w:r>
      <w:r w:rsidR="00B65F8B">
        <w:rPr>
          <w:rFonts w:ascii="Times New Roman" w:hAnsi="Times New Roman" w:cs="Times New Roman"/>
          <w:sz w:val="26"/>
          <w:szCs w:val="26"/>
        </w:rPr>
        <w:t xml:space="preserve">līmenim </w:t>
      </w:r>
      <w:r w:rsidR="00B65F8B" w:rsidRPr="00217ECD">
        <w:rPr>
          <w:rFonts w:ascii="Times New Roman" w:hAnsi="Times New Roman" w:cs="Times New Roman"/>
          <w:sz w:val="26"/>
          <w:szCs w:val="26"/>
        </w:rPr>
        <w:t>atbilst šādi kritēriji:</w:t>
      </w:r>
    </w:p>
    <w:p w14:paraId="17A2E742" w14:textId="77777777" w:rsidR="00B65F8B" w:rsidRPr="00217ECD" w:rsidRDefault="00B65F8B" w:rsidP="00B65F8B">
      <w:pPr>
        <w:spacing w:after="0" w:line="300" w:lineRule="atLeast"/>
        <w:ind w:left="720" w:hanging="360"/>
        <w:jc w:val="both"/>
        <w:textAlignment w:val="baseline"/>
        <w:rPr>
          <w:rFonts w:ascii="Times New Roman" w:hAnsi="Times New Roman" w:cs="Times New Roman"/>
          <w:sz w:val="26"/>
          <w:szCs w:val="26"/>
        </w:rPr>
      </w:pPr>
      <w:r w:rsidRPr="00217ECD">
        <w:rPr>
          <w:rFonts w:ascii="Times New Roman" w:hAnsi="Times New Roman" w:cs="Times New Roman"/>
          <w:sz w:val="26"/>
          <w:szCs w:val="26"/>
        </w:rPr>
        <w:t>●       dzeltenais – laika apstākļi ir pasliktināti, tiek novērota stipras intensitātes parādība;</w:t>
      </w:r>
    </w:p>
    <w:p w14:paraId="5F8E8779" w14:textId="77777777" w:rsidR="00B65F8B" w:rsidRPr="00217ECD" w:rsidRDefault="00B65F8B" w:rsidP="00B65F8B">
      <w:pPr>
        <w:spacing w:after="0" w:line="300" w:lineRule="atLeast"/>
        <w:ind w:left="720" w:hanging="360"/>
        <w:jc w:val="both"/>
        <w:textAlignment w:val="baseline"/>
        <w:rPr>
          <w:rFonts w:ascii="Times New Roman" w:hAnsi="Times New Roman" w:cs="Times New Roman"/>
          <w:sz w:val="26"/>
          <w:szCs w:val="26"/>
        </w:rPr>
      </w:pPr>
      <w:r w:rsidRPr="00217ECD">
        <w:rPr>
          <w:rFonts w:ascii="Times New Roman" w:hAnsi="Times New Roman" w:cs="Times New Roman"/>
          <w:sz w:val="26"/>
          <w:szCs w:val="26"/>
        </w:rPr>
        <w:t>●       oranžais – laika apstākļi kļūst bīstami, tiek novērota ļoti stipras intensitātes parādība;</w:t>
      </w:r>
    </w:p>
    <w:p w14:paraId="79F00525" w14:textId="77777777" w:rsidR="00B65F8B" w:rsidRPr="00217ECD" w:rsidRDefault="00B65F8B" w:rsidP="00B65F8B">
      <w:pPr>
        <w:spacing w:after="0" w:line="300" w:lineRule="atLeast"/>
        <w:ind w:left="720" w:hanging="360"/>
        <w:jc w:val="both"/>
        <w:textAlignment w:val="baseline"/>
        <w:rPr>
          <w:rFonts w:ascii="Times New Roman" w:hAnsi="Times New Roman" w:cs="Times New Roman"/>
          <w:sz w:val="26"/>
          <w:szCs w:val="26"/>
        </w:rPr>
      </w:pPr>
      <w:r w:rsidRPr="00217ECD">
        <w:rPr>
          <w:rFonts w:ascii="Times New Roman" w:hAnsi="Times New Roman" w:cs="Times New Roman"/>
          <w:sz w:val="26"/>
          <w:szCs w:val="26"/>
        </w:rPr>
        <w:t>●       sarkanais – laika apstākļi ir ļoti bīstami, tiek novērota ekstremālas / bīstamas intensitātes parādība.</w:t>
      </w:r>
    </w:p>
    <w:p w14:paraId="7172ABF7" w14:textId="7409F983" w:rsidR="00FA5CE1" w:rsidRPr="00FA5CE1" w:rsidRDefault="00B65F8B" w:rsidP="00B65F8B">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Dzeltenais līmenis tiek izsludināts </w:t>
      </w:r>
      <w:r w:rsidRPr="00F42AAB">
        <w:rPr>
          <w:rFonts w:ascii="Times New Roman" w:hAnsi="Times New Roman" w:cs="Times New Roman"/>
          <w:sz w:val="26"/>
          <w:szCs w:val="26"/>
        </w:rPr>
        <w:t xml:space="preserve">par potenciāli bīstamu situāciju, kad prognozētie hidrometeoroloģiskie apstākļi nav bīstami, tomēr jābūt uzmanīgiem, ja tiek plānotas aktivitātes, kuras tie var ietekmēt, kā arī jāseko līdzi aktuālajām izmaiņām, lai izvairītos no riskiem. </w:t>
      </w:r>
      <w:r w:rsidR="00FA5CE1">
        <w:rPr>
          <w:rFonts w:ascii="Times New Roman" w:hAnsi="Times New Roman" w:cs="Times New Roman"/>
          <w:sz w:val="26"/>
          <w:szCs w:val="26"/>
        </w:rPr>
        <w:t>No minētā izriet</w:t>
      </w:r>
      <w:r w:rsidR="00FA5CE1" w:rsidRPr="00F42AAB">
        <w:rPr>
          <w:rFonts w:ascii="Times New Roman" w:hAnsi="Times New Roman" w:cs="Times New Roman"/>
          <w:sz w:val="26"/>
          <w:szCs w:val="26"/>
        </w:rPr>
        <w:t xml:space="preserve">, ka dzeltenais brīdinājums faktiski attiecas uz </w:t>
      </w:r>
      <w:r w:rsidR="00FA5CE1" w:rsidRPr="00F42AAB">
        <w:rPr>
          <w:rFonts w:ascii="Times New Roman" w:hAnsi="Times New Roman" w:cs="Times New Roman"/>
          <w:sz w:val="26"/>
          <w:szCs w:val="26"/>
        </w:rPr>
        <w:lastRenderedPageBreak/>
        <w:t>normāliem darba apstākļiem</w:t>
      </w:r>
      <w:r w:rsidR="00FA5CE1">
        <w:rPr>
          <w:rFonts w:ascii="Times New Roman" w:hAnsi="Times New Roman" w:cs="Times New Roman"/>
          <w:sz w:val="26"/>
          <w:szCs w:val="26"/>
        </w:rPr>
        <w:t xml:space="preserve"> uz ko būtu jāattiecina</w:t>
      </w:r>
      <w:r w:rsidR="00FA5CE1" w:rsidRPr="00F42AAB">
        <w:rPr>
          <w:rFonts w:ascii="Times New Roman" w:hAnsi="Times New Roman" w:cs="Times New Roman"/>
          <w:sz w:val="26"/>
          <w:szCs w:val="26"/>
        </w:rPr>
        <w:t xml:space="preserve"> kompensācijas piemērošanas regulējums.</w:t>
      </w:r>
      <w:r w:rsidR="00FA5CE1">
        <w:rPr>
          <w:rFonts w:ascii="Times New Roman" w:hAnsi="Times New Roman" w:cs="Times New Roman"/>
          <w:sz w:val="26"/>
          <w:szCs w:val="26"/>
        </w:rPr>
        <w:t xml:space="preserve"> Atbilstoši </w:t>
      </w:r>
      <w:r w:rsidR="0043273B" w:rsidRPr="00217ECD">
        <w:rPr>
          <w:rFonts w:ascii="Times New Roman" w:hAnsi="Times New Roman" w:cs="Times New Roman"/>
          <w:sz w:val="26"/>
          <w:szCs w:val="26"/>
        </w:rPr>
        <w:t>valsts sabiedrība</w:t>
      </w:r>
      <w:r w:rsidR="001C3CAA">
        <w:rPr>
          <w:rFonts w:ascii="Times New Roman" w:hAnsi="Times New Roman" w:cs="Times New Roman"/>
          <w:sz w:val="26"/>
          <w:szCs w:val="26"/>
        </w:rPr>
        <w:t>s</w:t>
      </w:r>
      <w:r w:rsidR="0043273B" w:rsidRPr="00217ECD">
        <w:rPr>
          <w:rFonts w:ascii="Times New Roman" w:hAnsi="Times New Roman" w:cs="Times New Roman"/>
          <w:sz w:val="26"/>
          <w:szCs w:val="26"/>
        </w:rPr>
        <w:t xml:space="preserve"> ar ierobežotu atbildību “Latvijas vides, ģeoloģijas un meteoroloģijas centrs”</w:t>
      </w:r>
      <w:r w:rsidR="0043273B">
        <w:rPr>
          <w:rFonts w:ascii="Times New Roman" w:hAnsi="Times New Roman" w:cs="Times New Roman"/>
          <w:sz w:val="26"/>
          <w:szCs w:val="26"/>
        </w:rPr>
        <w:t xml:space="preserve"> </w:t>
      </w:r>
      <w:r w:rsidR="0043273B" w:rsidRPr="00217ECD">
        <w:rPr>
          <w:rFonts w:ascii="Times New Roman" w:hAnsi="Times New Roman" w:cs="Times New Roman"/>
          <w:sz w:val="26"/>
          <w:szCs w:val="26"/>
        </w:rPr>
        <w:t>(turpmāk – LVĢMC)</w:t>
      </w:r>
      <w:r w:rsidR="0043273B" w:rsidRPr="003B5367">
        <w:rPr>
          <w:b/>
          <w:bCs/>
        </w:rPr>
        <w:t xml:space="preserve"> </w:t>
      </w:r>
      <w:r w:rsidR="00FA5CE1">
        <w:rPr>
          <w:rFonts w:ascii="Times New Roman" w:hAnsi="Times New Roman" w:cs="Times New Roman"/>
          <w:sz w:val="26"/>
          <w:szCs w:val="26"/>
        </w:rPr>
        <w:t>datiem</w:t>
      </w:r>
      <w:r w:rsidR="00FA5CE1" w:rsidRPr="00801F10">
        <w:rPr>
          <w:rFonts w:ascii="Times New Roman" w:hAnsi="Times New Roman" w:cs="Times New Roman"/>
          <w:sz w:val="26"/>
          <w:szCs w:val="26"/>
        </w:rPr>
        <w:t>,</w:t>
      </w:r>
      <w:r w:rsidR="00FA5CE1">
        <w:rPr>
          <w:rFonts w:ascii="Times New Roman" w:hAnsi="Times New Roman" w:cs="Times New Roman"/>
          <w:sz w:val="26"/>
          <w:szCs w:val="26"/>
        </w:rPr>
        <w:t xml:space="preserve"> par bīstamu situāciju iestāšanos tiek izsludināts vismaz o</w:t>
      </w:r>
      <w:r w:rsidR="00FA5CE1" w:rsidRPr="00F42AAB">
        <w:rPr>
          <w:rFonts w:ascii="Times New Roman" w:hAnsi="Times New Roman" w:cs="Times New Roman"/>
          <w:sz w:val="26"/>
          <w:szCs w:val="26"/>
        </w:rPr>
        <w:t>ranžais brīdinājums</w:t>
      </w:r>
      <w:r w:rsidR="00FA5CE1">
        <w:rPr>
          <w:rFonts w:ascii="Times New Roman" w:hAnsi="Times New Roman" w:cs="Times New Roman"/>
          <w:sz w:val="26"/>
          <w:szCs w:val="26"/>
        </w:rPr>
        <w:t xml:space="preserve">, kad </w:t>
      </w:r>
      <w:r w:rsidR="00FA5CE1" w:rsidRPr="00F42AAB">
        <w:rPr>
          <w:rFonts w:ascii="Times New Roman" w:hAnsi="Times New Roman" w:cs="Times New Roman"/>
          <w:sz w:val="26"/>
          <w:szCs w:val="26"/>
        </w:rPr>
        <w:t>tiek prognozēti hidrometeoroloģiskie apstākļi, kuri ir bīstami un attiecīgajā reģionā tiek novēroti salīdzinoši reti, kā arī gaidāmās izmaiņas var radīt postījumus un zaudējumus.</w:t>
      </w:r>
    </w:p>
    <w:p w14:paraId="20B647F2" w14:textId="0AF9006B" w:rsidR="00860517" w:rsidRDefault="00B65F8B" w:rsidP="00844B72">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Tāpēc </w:t>
      </w:r>
      <w:r w:rsidRPr="00217ECD">
        <w:rPr>
          <w:rFonts w:ascii="Times New Roman" w:hAnsi="Times New Roman" w:cs="Times New Roman"/>
          <w:b/>
          <w:bCs/>
          <w:sz w:val="26"/>
          <w:szCs w:val="26"/>
        </w:rPr>
        <w:t>jāizvērtē, vai arī Noteikumu 94.1</w:t>
      </w:r>
      <w:r w:rsidR="0043273B">
        <w:rPr>
          <w:rFonts w:ascii="Times New Roman" w:hAnsi="Times New Roman" w:cs="Times New Roman"/>
          <w:b/>
          <w:bCs/>
          <w:sz w:val="26"/>
          <w:szCs w:val="26"/>
        </w:rPr>
        <w:t xml:space="preserve">. </w:t>
      </w:r>
      <w:r w:rsidRPr="00217ECD">
        <w:rPr>
          <w:rFonts w:ascii="Times New Roman" w:hAnsi="Times New Roman" w:cs="Times New Roman"/>
          <w:b/>
          <w:bCs/>
          <w:sz w:val="26"/>
          <w:szCs w:val="26"/>
        </w:rPr>
        <w:t>punktā noteikto nosacījumu attiecībā uz kompensācijas nepiemērošanu gadījumos, kad LVĢMC ir izsludināj</w:t>
      </w:r>
      <w:r w:rsidR="001C3CAA">
        <w:rPr>
          <w:rFonts w:ascii="Times New Roman" w:hAnsi="Times New Roman" w:cs="Times New Roman"/>
          <w:b/>
          <w:bCs/>
          <w:sz w:val="26"/>
          <w:szCs w:val="26"/>
        </w:rPr>
        <w:t>usi</w:t>
      </w:r>
      <w:r w:rsidRPr="00217ECD">
        <w:rPr>
          <w:rFonts w:ascii="Times New Roman" w:hAnsi="Times New Roman" w:cs="Times New Roman"/>
          <w:b/>
          <w:bCs/>
          <w:sz w:val="26"/>
          <w:szCs w:val="26"/>
        </w:rPr>
        <w:t xml:space="preserve"> vismaz </w:t>
      </w:r>
      <w:r w:rsidRPr="00217ECD">
        <w:rPr>
          <w:rFonts w:ascii="Times New Roman" w:hAnsi="Times New Roman" w:cs="Times New Roman"/>
          <w:b/>
          <w:bCs/>
          <w:sz w:val="26"/>
          <w:szCs w:val="26"/>
          <w:u w:val="thick" w:color="FFD966" w:themeColor="accent4" w:themeTint="99"/>
        </w:rPr>
        <w:t>dzelteno</w:t>
      </w:r>
      <w:r w:rsidRPr="00217ECD">
        <w:rPr>
          <w:rFonts w:ascii="Times New Roman" w:hAnsi="Times New Roman" w:cs="Times New Roman"/>
          <w:b/>
          <w:bCs/>
          <w:sz w:val="26"/>
          <w:szCs w:val="26"/>
        </w:rPr>
        <w:t xml:space="preserve"> brīdinājumu.</w:t>
      </w:r>
    </w:p>
    <w:p w14:paraId="70E10456" w14:textId="77777777" w:rsidR="00B65F8B" w:rsidRDefault="00B65F8B" w:rsidP="00844B72">
      <w:pPr>
        <w:spacing w:after="0"/>
        <w:ind w:firstLine="720"/>
        <w:jc w:val="both"/>
        <w:rPr>
          <w:rFonts w:ascii="Times New Roman" w:hAnsi="Times New Roman" w:cs="Times New Roman"/>
          <w:b/>
          <w:bCs/>
          <w:sz w:val="26"/>
          <w:szCs w:val="26"/>
        </w:rPr>
      </w:pPr>
    </w:p>
    <w:p w14:paraId="42D4C039" w14:textId="5590FE8D" w:rsidR="00844B72" w:rsidRDefault="00844B72" w:rsidP="00844B72">
      <w:pPr>
        <w:spacing w:after="0"/>
        <w:ind w:firstLine="720"/>
        <w:jc w:val="both"/>
        <w:rPr>
          <w:rFonts w:ascii="Times New Roman" w:hAnsi="Times New Roman" w:cs="Times New Roman"/>
          <w:sz w:val="26"/>
          <w:szCs w:val="26"/>
        </w:rPr>
      </w:pPr>
      <w:r w:rsidRPr="0030698E">
        <w:rPr>
          <w:rFonts w:ascii="Times New Roman" w:hAnsi="Times New Roman" w:cs="Times New Roman"/>
          <w:b/>
          <w:bCs/>
          <w:sz w:val="26"/>
          <w:szCs w:val="26"/>
        </w:rPr>
        <w:t>Atbilstoši AS “Sadales tīkls” sniegtajai informācijai, elektroapgāde neplānotu pārtraukumu gadījumā pašlaik vairumā gadījumu tiek atjaunota ievērojami īsākā laikā nekā noteiktajās 24 stundās</w:t>
      </w:r>
      <w:r w:rsidRPr="0030698E">
        <w:rPr>
          <w:rFonts w:ascii="Times New Roman" w:hAnsi="Times New Roman" w:cs="Times New Roman"/>
          <w:sz w:val="26"/>
          <w:szCs w:val="26"/>
        </w:rPr>
        <w:t>.</w:t>
      </w:r>
    </w:p>
    <w:p w14:paraId="3682408A" w14:textId="77777777" w:rsidR="00FA5CE1" w:rsidRPr="0030698E" w:rsidRDefault="00FA5CE1" w:rsidP="00844B72">
      <w:pPr>
        <w:spacing w:after="0"/>
        <w:ind w:firstLine="720"/>
        <w:jc w:val="both"/>
        <w:rPr>
          <w:rFonts w:ascii="Times New Roman" w:hAnsi="Times New Roman" w:cs="Times New Roman"/>
          <w:sz w:val="26"/>
          <w:szCs w:val="26"/>
        </w:rPr>
      </w:pPr>
    </w:p>
    <w:p w14:paraId="1D42F5B8" w14:textId="7DDE4D6A" w:rsidR="00E723C1" w:rsidRPr="0030698E" w:rsidRDefault="00E723C1" w:rsidP="00844B72">
      <w:pPr>
        <w:spacing w:after="0"/>
        <w:ind w:firstLine="720"/>
        <w:jc w:val="both"/>
        <w:rPr>
          <w:rFonts w:ascii="Times New Roman" w:hAnsi="Times New Roman" w:cs="Times New Roman"/>
          <w:sz w:val="26"/>
          <w:szCs w:val="26"/>
        </w:rPr>
      </w:pPr>
      <w:r w:rsidRPr="0030698E">
        <w:rPr>
          <w:rFonts w:ascii="Times New Roman" w:hAnsi="Times New Roman" w:cs="Times New Roman"/>
          <w:sz w:val="26"/>
          <w:szCs w:val="26"/>
        </w:rPr>
        <w:t xml:space="preserve">Vienlaikus, lai objektīvi novērtētu datus par elektroapgādes drošuma līmeni Latvijā, </w:t>
      </w:r>
      <w:r w:rsidR="009449BF">
        <w:rPr>
          <w:rFonts w:ascii="Times New Roman" w:hAnsi="Times New Roman" w:cs="Times New Roman"/>
          <w:sz w:val="26"/>
          <w:szCs w:val="26"/>
        </w:rPr>
        <w:t>būtiski ņemt vērā</w:t>
      </w:r>
      <w:r w:rsidRPr="0030698E">
        <w:rPr>
          <w:rFonts w:ascii="Times New Roman" w:hAnsi="Times New Roman" w:cs="Times New Roman"/>
          <w:sz w:val="26"/>
          <w:szCs w:val="26"/>
        </w:rPr>
        <w:t xml:space="preserve"> </w:t>
      </w:r>
      <w:r w:rsidR="001F35A8" w:rsidRPr="0030698E">
        <w:rPr>
          <w:rFonts w:ascii="Times New Roman" w:hAnsi="Times New Roman" w:cs="Times New Roman"/>
          <w:sz w:val="26"/>
          <w:szCs w:val="26"/>
        </w:rPr>
        <w:t xml:space="preserve">ar </w:t>
      </w:r>
      <w:r w:rsidRPr="0030698E">
        <w:rPr>
          <w:rFonts w:ascii="Times New Roman" w:hAnsi="Times New Roman" w:cs="Times New Roman"/>
          <w:sz w:val="26"/>
          <w:szCs w:val="26"/>
        </w:rPr>
        <w:t>nozares kvalitātes novērtējuma rādītāj</w:t>
      </w:r>
      <w:r w:rsidR="009449BF">
        <w:rPr>
          <w:rFonts w:ascii="Times New Roman" w:hAnsi="Times New Roman" w:cs="Times New Roman"/>
          <w:sz w:val="26"/>
          <w:szCs w:val="26"/>
        </w:rPr>
        <w:t>us -</w:t>
      </w:r>
      <w:r w:rsidRPr="0030698E">
        <w:t xml:space="preserve"> </w:t>
      </w:r>
      <w:r w:rsidRPr="0030698E">
        <w:rPr>
          <w:rFonts w:ascii="Times New Roman" w:hAnsi="Times New Roman" w:cs="Times New Roman"/>
          <w:sz w:val="26"/>
          <w:szCs w:val="26"/>
        </w:rPr>
        <w:t>SAIFI (vidējais elektroapgādes pārtraukumu skaits vienam klientam gada laikā) un SAIDI (vidējais elektroapgādes pārtraukumu ilgums vienam klientam gada laikā).</w:t>
      </w:r>
    </w:p>
    <w:p w14:paraId="78CFAABE" w14:textId="24F03307" w:rsidR="00555F10" w:rsidRPr="00751079" w:rsidRDefault="00E723C1" w:rsidP="00751079">
      <w:pPr>
        <w:spacing w:after="0"/>
        <w:ind w:firstLine="720"/>
        <w:jc w:val="both"/>
        <w:rPr>
          <w:rFonts w:ascii="Times New Roman" w:hAnsi="Times New Roman" w:cs="Times New Roman"/>
          <w:sz w:val="26"/>
          <w:szCs w:val="26"/>
        </w:rPr>
      </w:pPr>
      <w:r w:rsidRPr="0030698E">
        <w:rPr>
          <w:rFonts w:ascii="Times New Roman" w:hAnsi="Times New Roman" w:cs="Times New Roman"/>
          <w:sz w:val="26"/>
          <w:szCs w:val="26"/>
        </w:rPr>
        <w:t xml:space="preserve"> </w:t>
      </w:r>
      <w:r w:rsidR="00B84407" w:rsidRPr="0030698E">
        <w:rPr>
          <w:rFonts w:ascii="Times New Roman" w:hAnsi="Times New Roman" w:cs="Times New Roman"/>
          <w:sz w:val="26"/>
          <w:szCs w:val="26"/>
        </w:rPr>
        <w:t xml:space="preserve">Lai nodrošinātu ilgtspējīgu un līdzsvarotu elektrotīklu attīstību un sasniegtu Eiropas valstu vidējo līmeni, AS “Sadales tīkls” realizē elektroapgādes investīciju projektus un veic elektrolīniju uzturēšanas darbus, paaugstinot elektroapgādes drošumu un kvalitāti. Savukārt, lai elektroapgādes </w:t>
      </w:r>
      <w:r w:rsidR="00DC219D" w:rsidRPr="0030698E">
        <w:rPr>
          <w:rFonts w:ascii="Times New Roman" w:hAnsi="Times New Roman" w:cs="Times New Roman"/>
          <w:sz w:val="26"/>
          <w:szCs w:val="26"/>
        </w:rPr>
        <w:t xml:space="preserve">neplānoti </w:t>
      </w:r>
      <w:r w:rsidR="00B84407" w:rsidRPr="0030698E">
        <w:rPr>
          <w:rFonts w:ascii="Times New Roman" w:hAnsi="Times New Roman" w:cs="Times New Roman"/>
          <w:sz w:val="26"/>
          <w:szCs w:val="26"/>
        </w:rPr>
        <w:t>pārtraukumi pēc iespējas mazāk ietekmētu lietotājus, nepārtraukti tiek pilnveidoti un uzlaboti darba procesi, paaugstināta darbinieku profesionālā kompetence. Iepriekšējos gados paveiktā darba efektivitāti apliecina elektroapgādes kvalitātes rādītāj</w:t>
      </w:r>
      <w:r w:rsidRPr="0030698E">
        <w:rPr>
          <w:rFonts w:ascii="Times New Roman" w:hAnsi="Times New Roman" w:cs="Times New Roman"/>
          <w:sz w:val="26"/>
          <w:szCs w:val="26"/>
        </w:rPr>
        <w:t xml:space="preserve">u </w:t>
      </w:r>
      <w:r w:rsidR="00B84407" w:rsidRPr="0030698E">
        <w:rPr>
          <w:rFonts w:ascii="Times New Roman" w:hAnsi="Times New Roman" w:cs="Times New Roman"/>
          <w:sz w:val="26"/>
          <w:szCs w:val="26"/>
        </w:rPr>
        <w:t>SAIFI</w:t>
      </w:r>
      <w:r w:rsidRPr="0030698E">
        <w:rPr>
          <w:rFonts w:ascii="Times New Roman" w:hAnsi="Times New Roman" w:cs="Times New Roman"/>
          <w:sz w:val="26"/>
          <w:szCs w:val="26"/>
        </w:rPr>
        <w:t xml:space="preserve"> </w:t>
      </w:r>
      <w:r w:rsidR="00B84407" w:rsidRPr="0030698E">
        <w:rPr>
          <w:rFonts w:ascii="Times New Roman" w:hAnsi="Times New Roman" w:cs="Times New Roman"/>
          <w:sz w:val="26"/>
          <w:szCs w:val="26"/>
        </w:rPr>
        <w:t xml:space="preserve">un </w:t>
      </w:r>
      <w:r w:rsidRPr="0030698E">
        <w:rPr>
          <w:rFonts w:ascii="Times New Roman" w:hAnsi="Times New Roman" w:cs="Times New Roman"/>
          <w:sz w:val="26"/>
          <w:szCs w:val="26"/>
        </w:rPr>
        <w:t>SAIDI</w:t>
      </w:r>
      <w:r w:rsidR="00704380">
        <w:rPr>
          <w:rStyle w:val="FootnoteReference"/>
          <w:rFonts w:ascii="Times New Roman" w:hAnsi="Times New Roman" w:cs="Times New Roman"/>
          <w:sz w:val="26"/>
          <w:szCs w:val="26"/>
        </w:rPr>
        <w:footnoteReference w:id="3"/>
      </w:r>
      <w:r w:rsidRPr="0030698E">
        <w:rPr>
          <w:rFonts w:ascii="Times New Roman" w:hAnsi="Times New Roman" w:cs="Times New Roman"/>
          <w:sz w:val="26"/>
          <w:szCs w:val="26"/>
        </w:rPr>
        <w:t xml:space="preserve"> uzlabošanās tendences</w:t>
      </w:r>
      <w:r w:rsidR="00B84407" w:rsidRPr="0030698E">
        <w:rPr>
          <w:rFonts w:ascii="Times New Roman" w:hAnsi="Times New Roman" w:cs="Times New Roman"/>
          <w:sz w:val="26"/>
          <w:szCs w:val="26"/>
        </w:rPr>
        <w:t xml:space="preserve">. Tiecoties sasniegt </w:t>
      </w:r>
      <w:r w:rsidR="002B3D96" w:rsidRPr="0030698E">
        <w:rPr>
          <w:rFonts w:ascii="Times New Roman" w:hAnsi="Times New Roman" w:cs="Times New Roman"/>
          <w:sz w:val="26"/>
          <w:szCs w:val="26"/>
        </w:rPr>
        <w:t>citu valstu</w:t>
      </w:r>
      <w:r w:rsidR="00B84407" w:rsidRPr="0030698E">
        <w:rPr>
          <w:rFonts w:ascii="Times New Roman" w:hAnsi="Times New Roman" w:cs="Times New Roman"/>
          <w:sz w:val="26"/>
          <w:szCs w:val="26"/>
        </w:rPr>
        <w:t xml:space="preserve"> vidējo līmeni, AS “Sadales tīkls” ir samazinājusi vidējo elektroapgādes pārtraukumu ilgumu vienam klientam no 466 minūtēm 2014.gadā uz 246 minūtēm 2019.gadā, savukārt vidējais elektroapgādes pārtraukumu skaits vienam klientam gada laikā samazināts no 3,7 reizēm 2014.gadā uz 2,7 reizēm 2019.gadā</w:t>
      </w:r>
      <w:r w:rsidR="009449BF">
        <w:rPr>
          <w:rFonts w:ascii="Times New Roman" w:hAnsi="Times New Roman" w:cs="Times New Roman"/>
          <w:sz w:val="26"/>
          <w:szCs w:val="26"/>
        </w:rPr>
        <w:t xml:space="preserve"> (skatīt 2. un 3. attēlu)</w:t>
      </w:r>
      <w:r w:rsidR="00B84407" w:rsidRPr="0030698E">
        <w:rPr>
          <w:rFonts w:ascii="Times New Roman" w:hAnsi="Times New Roman" w:cs="Times New Roman"/>
          <w:sz w:val="26"/>
          <w:szCs w:val="26"/>
        </w:rPr>
        <w:t>.</w:t>
      </w:r>
    </w:p>
    <w:p w14:paraId="03270023" w14:textId="61353E08" w:rsidR="00751079" w:rsidRPr="006D6E94" w:rsidRDefault="009449BF" w:rsidP="00CB5450">
      <w:pPr>
        <w:spacing w:after="0"/>
        <w:ind w:firstLine="720"/>
        <w:jc w:val="right"/>
        <w:rPr>
          <w:rFonts w:ascii="Times New Roman" w:hAnsi="Times New Roman" w:cs="Times New Roman"/>
          <w:sz w:val="20"/>
          <w:szCs w:val="20"/>
        </w:rPr>
      </w:pPr>
      <w:r w:rsidRPr="006D6E94">
        <w:rPr>
          <w:rFonts w:ascii="Times New Roman" w:hAnsi="Times New Roman" w:cs="Times New Roman"/>
          <w:sz w:val="20"/>
          <w:szCs w:val="20"/>
        </w:rPr>
        <w:t>2</w:t>
      </w:r>
      <w:r w:rsidR="00CB5450" w:rsidRPr="006D6E94">
        <w:rPr>
          <w:rFonts w:ascii="Times New Roman" w:hAnsi="Times New Roman" w:cs="Times New Roman"/>
          <w:sz w:val="20"/>
          <w:szCs w:val="20"/>
        </w:rPr>
        <w:t xml:space="preserve">.attēls </w:t>
      </w:r>
    </w:p>
    <w:p w14:paraId="43775920" w14:textId="126D38C1" w:rsidR="00CB5450" w:rsidRPr="006D6E94" w:rsidRDefault="00CB5450" w:rsidP="00751079">
      <w:pPr>
        <w:spacing w:after="0"/>
        <w:ind w:firstLine="720"/>
        <w:jc w:val="center"/>
        <w:rPr>
          <w:rFonts w:ascii="Times New Roman" w:hAnsi="Times New Roman" w:cs="Times New Roman"/>
          <w:i/>
          <w:iCs/>
          <w:sz w:val="20"/>
          <w:szCs w:val="20"/>
        </w:rPr>
      </w:pPr>
      <w:r w:rsidRPr="006D6E94">
        <w:rPr>
          <w:rFonts w:ascii="Times New Roman" w:hAnsi="Times New Roman" w:cs="Times New Roman"/>
          <w:i/>
          <w:iCs/>
          <w:sz w:val="20"/>
          <w:szCs w:val="20"/>
        </w:rPr>
        <w:t>Pārtraukum</w:t>
      </w:r>
      <w:r w:rsidR="00DC219D" w:rsidRPr="006D6E94">
        <w:rPr>
          <w:rFonts w:ascii="Times New Roman" w:hAnsi="Times New Roman" w:cs="Times New Roman"/>
          <w:i/>
          <w:iCs/>
          <w:sz w:val="20"/>
          <w:szCs w:val="20"/>
        </w:rPr>
        <w:t>u</w:t>
      </w:r>
      <w:r w:rsidRPr="006D6E94">
        <w:rPr>
          <w:rFonts w:ascii="Times New Roman" w:hAnsi="Times New Roman" w:cs="Times New Roman"/>
          <w:i/>
          <w:iCs/>
          <w:sz w:val="20"/>
          <w:szCs w:val="20"/>
        </w:rPr>
        <w:t xml:space="preserve"> </w:t>
      </w:r>
      <w:r w:rsidR="00DC219D" w:rsidRPr="006D6E94">
        <w:rPr>
          <w:rFonts w:ascii="Times New Roman" w:hAnsi="Times New Roman" w:cs="Times New Roman"/>
          <w:i/>
          <w:iCs/>
          <w:sz w:val="20"/>
          <w:szCs w:val="20"/>
        </w:rPr>
        <w:t>skaits</w:t>
      </w:r>
      <w:r w:rsidRPr="006D6E94">
        <w:rPr>
          <w:rFonts w:ascii="Times New Roman" w:hAnsi="Times New Roman" w:cs="Times New Roman"/>
          <w:i/>
          <w:iCs/>
          <w:sz w:val="20"/>
          <w:szCs w:val="20"/>
        </w:rPr>
        <w:t xml:space="preserve"> vienam lietotājam gadā</w:t>
      </w:r>
    </w:p>
    <w:p w14:paraId="54A30AA6" w14:textId="77777777" w:rsidR="00CB5450" w:rsidRPr="006D6E94" w:rsidRDefault="00CB5450" w:rsidP="008034AF">
      <w:pPr>
        <w:spacing w:after="0"/>
        <w:jc w:val="center"/>
        <w:rPr>
          <w:rFonts w:ascii="Times New Roman" w:hAnsi="Times New Roman" w:cs="Times New Roman"/>
          <w:sz w:val="20"/>
          <w:szCs w:val="20"/>
        </w:rPr>
      </w:pPr>
      <w:r w:rsidRPr="006D6E94">
        <w:rPr>
          <w:noProof/>
          <w:sz w:val="20"/>
          <w:szCs w:val="20"/>
        </w:rPr>
        <w:drawing>
          <wp:inline distT="0" distB="0" distL="0" distR="0" wp14:anchorId="163E628E" wp14:editId="576BA97A">
            <wp:extent cx="3343275" cy="1933575"/>
            <wp:effectExtent l="0" t="0" r="9525" b="9525"/>
            <wp:docPr id="9" name="Chart 9">
              <a:extLst xmlns:a="http://schemas.openxmlformats.org/drawingml/2006/main">
                <a:ext uri="{FF2B5EF4-FFF2-40B4-BE49-F238E27FC236}">
                  <a16:creationId xmlns:a16="http://schemas.microsoft.com/office/drawing/2014/main" id="{4D95D874-5805-4108-B1B0-40BB1E83923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13C973" w14:textId="77777777" w:rsidR="00751079" w:rsidRPr="006D6E94" w:rsidRDefault="00751079" w:rsidP="009449BF">
      <w:pPr>
        <w:spacing w:after="0"/>
        <w:rPr>
          <w:rFonts w:ascii="Times New Roman" w:hAnsi="Times New Roman" w:cs="Times New Roman"/>
          <w:sz w:val="20"/>
          <w:szCs w:val="20"/>
        </w:rPr>
      </w:pPr>
    </w:p>
    <w:p w14:paraId="74CED7A8" w14:textId="6B5ED997" w:rsidR="00751079" w:rsidRPr="006D6E94" w:rsidRDefault="009449BF" w:rsidP="00CB5450">
      <w:pPr>
        <w:spacing w:after="0"/>
        <w:ind w:firstLine="720"/>
        <w:jc w:val="right"/>
        <w:rPr>
          <w:rFonts w:ascii="Times New Roman" w:hAnsi="Times New Roman" w:cs="Times New Roman"/>
          <w:sz w:val="20"/>
          <w:szCs w:val="20"/>
        </w:rPr>
      </w:pPr>
      <w:r w:rsidRPr="006D6E94">
        <w:rPr>
          <w:rFonts w:ascii="Times New Roman" w:hAnsi="Times New Roman" w:cs="Times New Roman"/>
          <w:sz w:val="20"/>
          <w:szCs w:val="20"/>
        </w:rPr>
        <w:lastRenderedPageBreak/>
        <w:t>3</w:t>
      </w:r>
      <w:r w:rsidR="00CB5450" w:rsidRPr="006D6E94">
        <w:rPr>
          <w:rFonts w:ascii="Times New Roman" w:hAnsi="Times New Roman" w:cs="Times New Roman"/>
          <w:sz w:val="20"/>
          <w:szCs w:val="20"/>
        </w:rPr>
        <w:t xml:space="preserve">.attēls </w:t>
      </w:r>
    </w:p>
    <w:p w14:paraId="59E767B0" w14:textId="67E8C3EC" w:rsidR="00CB5450" w:rsidRPr="006D6E94" w:rsidRDefault="00CB5450" w:rsidP="00751079">
      <w:pPr>
        <w:spacing w:after="0"/>
        <w:ind w:firstLine="720"/>
        <w:jc w:val="center"/>
        <w:rPr>
          <w:rFonts w:ascii="Times New Roman" w:hAnsi="Times New Roman" w:cs="Times New Roman"/>
          <w:i/>
          <w:iCs/>
          <w:sz w:val="20"/>
          <w:szCs w:val="20"/>
        </w:rPr>
      </w:pPr>
      <w:r w:rsidRPr="006D6E94">
        <w:rPr>
          <w:rFonts w:ascii="Times New Roman" w:hAnsi="Times New Roman" w:cs="Times New Roman"/>
          <w:i/>
          <w:iCs/>
          <w:sz w:val="20"/>
          <w:szCs w:val="20"/>
        </w:rPr>
        <w:t>Pārtraukuma ilgums vienam lietotājam gadā</w:t>
      </w:r>
    </w:p>
    <w:p w14:paraId="1D81C3B9" w14:textId="7B7DE294" w:rsidR="00CB5450" w:rsidRDefault="00CB5450" w:rsidP="008034AF">
      <w:pPr>
        <w:spacing w:after="0"/>
        <w:jc w:val="center"/>
        <w:rPr>
          <w:rFonts w:ascii="Times New Roman" w:hAnsi="Times New Roman" w:cs="Times New Roman"/>
          <w:color w:val="92D050"/>
          <w:sz w:val="26"/>
          <w:szCs w:val="26"/>
        </w:rPr>
      </w:pPr>
      <w:r>
        <w:rPr>
          <w:noProof/>
        </w:rPr>
        <w:drawing>
          <wp:inline distT="0" distB="0" distL="0" distR="0" wp14:anchorId="28934F3B" wp14:editId="42A72972">
            <wp:extent cx="3990340" cy="1847850"/>
            <wp:effectExtent l="0" t="0" r="10160" b="0"/>
            <wp:docPr id="10" name="Chart 10">
              <a:extLst xmlns:a="http://schemas.openxmlformats.org/drawingml/2006/main">
                <a:ext uri="{FF2B5EF4-FFF2-40B4-BE49-F238E27FC236}">
                  <a16:creationId xmlns:a16="http://schemas.microsoft.com/office/drawing/2014/main" id="{26350E20-44B8-432C-9DD6-1A325A56A65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4DD0F7" w14:textId="29826292" w:rsidR="00F216B7" w:rsidRDefault="00F216B7" w:rsidP="006D3044">
      <w:pPr>
        <w:spacing w:after="0"/>
        <w:ind w:firstLine="720"/>
        <w:jc w:val="both"/>
        <w:rPr>
          <w:rFonts w:ascii="Times New Roman" w:hAnsi="Times New Roman" w:cs="Times New Roman"/>
          <w:color w:val="92D050"/>
          <w:sz w:val="26"/>
          <w:szCs w:val="26"/>
        </w:rPr>
      </w:pPr>
    </w:p>
    <w:p w14:paraId="7DC35A8B" w14:textId="47410023" w:rsidR="00657714" w:rsidRDefault="00657714" w:rsidP="00657714">
      <w:pPr>
        <w:spacing w:after="0"/>
        <w:ind w:firstLine="720"/>
        <w:jc w:val="both"/>
        <w:rPr>
          <w:rFonts w:ascii="Times New Roman" w:hAnsi="Times New Roman" w:cs="Times New Roman"/>
          <w:sz w:val="26"/>
          <w:szCs w:val="26"/>
        </w:rPr>
      </w:pPr>
      <w:r w:rsidRPr="0030698E">
        <w:rPr>
          <w:rFonts w:ascii="Times New Roman" w:hAnsi="Times New Roman" w:cs="Times New Roman"/>
          <w:sz w:val="26"/>
          <w:szCs w:val="26"/>
        </w:rPr>
        <w:t>No 2017.gada AS “Sadales tīkls”  īsteno optimizācijas programmu, kuras ietvaros jau samazināts operatīvo bāzes vietu skaits, kurās izvietots sadales sistēmas operatora personāls, tehnika, materiāli. Pirms optimizācijas programmas sākuma bija ~50 operatīvā darba brigādes. Uz 2021.gada 1.aprīli (kad tika veikta līdz šim pēdējā optimizācijas kārta) palikušas  17 operatīvā darba brigādes</w:t>
      </w:r>
      <w:r w:rsidR="001C3CAA">
        <w:rPr>
          <w:rFonts w:ascii="Times New Roman" w:hAnsi="Times New Roman" w:cs="Times New Roman"/>
          <w:sz w:val="26"/>
          <w:szCs w:val="26"/>
        </w:rPr>
        <w:t xml:space="preserve"> </w:t>
      </w:r>
      <w:r w:rsidRPr="0030698E">
        <w:rPr>
          <w:rFonts w:ascii="Times New Roman" w:hAnsi="Times New Roman" w:cs="Times New Roman"/>
          <w:sz w:val="26"/>
          <w:szCs w:val="26"/>
        </w:rPr>
        <w:t>kas ir darbā darbadienās dienas laikā kopumā 36 bāzes vietās</w:t>
      </w:r>
      <w:r w:rsidR="001C3CAA" w:rsidRPr="0030698E">
        <w:rPr>
          <w:rFonts w:ascii="Times New Roman" w:hAnsi="Times New Roman" w:cs="Times New Roman"/>
          <w:sz w:val="26"/>
          <w:szCs w:val="26"/>
        </w:rPr>
        <w:t xml:space="preserve">, </w:t>
      </w:r>
      <w:r w:rsidRPr="0030698E">
        <w:rPr>
          <w:rFonts w:ascii="Times New Roman" w:hAnsi="Times New Roman" w:cs="Times New Roman"/>
          <w:sz w:val="26"/>
          <w:szCs w:val="26"/>
        </w:rPr>
        <w:t xml:space="preserve"> visā licences darbības zonā. Optimizācijas programma veikta nolūkā </w:t>
      </w:r>
      <w:proofErr w:type="spellStart"/>
      <w:r w:rsidRPr="0030698E">
        <w:rPr>
          <w:rFonts w:ascii="Times New Roman" w:hAnsi="Times New Roman" w:cs="Times New Roman"/>
          <w:sz w:val="26"/>
          <w:szCs w:val="26"/>
        </w:rPr>
        <w:t>efektivizēt</w:t>
      </w:r>
      <w:proofErr w:type="spellEnd"/>
      <w:r w:rsidRPr="0030698E">
        <w:rPr>
          <w:rFonts w:ascii="Times New Roman" w:hAnsi="Times New Roman" w:cs="Times New Roman"/>
          <w:sz w:val="26"/>
          <w:szCs w:val="26"/>
        </w:rPr>
        <w:t xml:space="preserve"> uzņēmuma darbu un optimizēt izmaksas, lai šo darbību rezultātā atstātu pozitīvu iespaidu uz sadales sistēmas pakalpojuma tarifu.   Pašreizējais sistēmas operatora bāzes vietu skaits balstīts uz esošo nosacījumu par pieļaujamo elektroenerģijas piegādes neplānot</w:t>
      </w:r>
      <w:r w:rsidR="00DC219D" w:rsidRPr="0030698E">
        <w:rPr>
          <w:rFonts w:ascii="Times New Roman" w:hAnsi="Times New Roman" w:cs="Times New Roman"/>
          <w:sz w:val="26"/>
          <w:szCs w:val="26"/>
        </w:rPr>
        <w:t>u</w:t>
      </w:r>
      <w:r w:rsidRPr="0030698E">
        <w:rPr>
          <w:rFonts w:ascii="Times New Roman" w:hAnsi="Times New Roman" w:cs="Times New Roman"/>
          <w:sz w:val="26"/>
          <w:szCs w:val="26"/>
        </w:rPr>
        <w:t xml:space="preserve"> pārtraukum</w:t>
      </w:r>
      <w:r w:rsidR="00DC219D" w:rsidRPr="0030698E">
        <w:rPr>
          <w:rFonts w:ascii="Times New Roman" w:hAnsi="Times New Roman" w:cs="Times New Roman"/>
          <w:sz w:val="26"/>
          <w:szCs w:val="26"/>
        </w:rPr>
        <w:t>u</w:t>
      </w:r>
      <w:r w:rsidRPr="0030698E">
        <w:rPr>
          <w:rFonts w:ascii="Times New Roman" w:hAnsi="Times New Roman" w:cs="Times New Roman"/>
          <w:sz w:val="26"/>
          <w:szCs w:val="26"/>
        </w:rPr>
        <w:t xml:space="preserve"> novēršanas ilgumu - 24 stundas, tostarp, šāds apsvērums iekļauts arī sadales sistēmas pakalpojumu tarifā, ko </w:t>
      </w:r>
      <w:r w:rsidR="00A54EE5" w:rsidRPr="0030698E">
        <w:rPr>
          <w:rFonts w:ascii="Times New Roman" w:hAnsi="Times New Roman" w:cs="Times New Roman"/>
          <w:sz w:val="26"/>
          <w:szCs w:val="26"/>
        </w:rPr>
        <w:t>Sabiedrisko pakalpojumu regulēšanas komisija</w:t>
      </w:r>
      <w:r w:rsidRPr="0030698E">
        <w:rPr>
          <w:rFonts w:ascii="Times New Roman" w:hAnsi="Times New Roman" w:cs="Times New Roman"/>
          <w:sz w:val="26"/>
          <w:szCs w:val="26"/>
        </w:rPr>
        <w:t xml:space="preserve"> apstiprināj</w:t>
      </w:r>
      <w:r w:rsidR="00A54EE5" w:rsidRPr="0030698E">
        <w:rPr>
          <w:rFonts w:ascii="Times New Roman" w:hAnsi="Times New Roman" w:cs="Times New Roman"/>
          <w:sz w:val="26"/>
          <w:szCs w:val="26"/>
        </w:rPr>
        <w:t>a</w:t>
      </w:r>
      <w:r w:rsidRPr="0030698E">
        <w:rPr>
          <w:rFonts w:ascii="Times New Roman" w:hAnsi="Times New Roman" w:cs="Times New Roman"/>
          <w:sz w:val="26"/>
          <w:szCs w:val="26"/>
        </w:rPr>
        <w:t xml:space="preserve"> līdz 2025.gadam. Ievērojot minēto, </w:t>
      </w:r>
      <w:r w:rsidR="00A54EE5" w:rsidRPr="0030698E">
        <w:rPr>
          <w:rFonts w:ascii="Times New Roman" w:hAnsi="Times New Roman" w:cs="Times New Roman"/>
          <w:sz w:val="26"/>
          <w:szCs w:val="26"/>
        </w:rPr>
        <w:t>MBS</w:t>
      </w:r>
      <w:r w:rsidRPr="0030698E">
        <w:rPr>
          <w:rFonts w:ascii="Times New Roman" w:hAnsi="Times New Roman" w:cs="Times New Roman"/>
          <w:sz w:val="26"/>
          <w:szCs w:val="26"/>
        </w:rPr>
        <w:t xml:space="preserve"> iestāšanās gadījumā AS “Sadales tīkls” ikdienā pieejamie </w:t>
      </w:r>
      <w:proofErr w:type="spellStart"/>
      <w:r w:rsidRPr="0030698E">
        <w:rPr>
          <w:rFonts w:ascii="Times New Roman" w:hAnsi="Times New Roman" w:cs="Times New Roman"/>
          <w:sz w:val="26"/>
          <w:szCs w:val="26"/>
        </w:rPr>
        <w:t>remontpersonāla</w:t>
      </w:r>
      <w:proofErr w:type="spellEnd"/>
      <w:r w:rsidRPr="0030698E">
        <w:rPr>
          <w:rFonts w:ascii="Times New Roman" w:hAnsi="Times New Roman" w:cs="Times New Roman"/>
          <w:sz w:val="26"/>
          <w:szCs w:val="26"/>
        </w:rPr>
        <w:t xml:space="preserve"> resursi, ieskaitot piesaistāmo ārējo sadarbības partneru resursus, varētu būt nepietiekami elektroapgādes atjaunošanai mazāk kā 24 stundu laikā.</w:t>
      </w:r>
    </w:p>
    <w:p w14:paraId="3A1DD45C" w14:textId="0A555113" w:rsidR="001C3CAA" w:rsidRPr="000B0D12" w:rsidRDefault="001C3CAA" w:rsidP="000B0D12">
      <w:pPr>
        <w:spacing w:after="0"/>
        <w:ind w:firstLine="720"/>
        <w:jc w:val="right"/>
        <w:rPr>
          <w:rFonts w:ascii="Times New Roman" w:hAnsi="Times New Roman" w:cs="Times New Roman"/>
          <w:sz w:val="20"/>
          <w:szCs w:val="20"/>
        </w:rPr>
      </w:pPr>
    </w:p>
    <w:p w14:paraId="4E158928" w14:textId="519772D9" w:rsidR="00751079" w:rsidRDefault="00657714" w:rsidP="0046371A">
      <w:pPr>
        <w:spacing w:after="0"/>
        <w:ind w:firstLine="720"/>
        <w:jc w:val="both"/>
        <w:rPr>
          <w:rFonts w:ascii="Times New Roman" w:hAnsi="Times New Roman" w:cs="Times New Roman"/>
          <w:sz w:val="26"/>
          <w:szCs w:val="26"/>
        </w:rPr>
      </w:pPr>
      <w:r w:rsidRPr="0030698E">
        <w:rPr>
          <w:rFonts w:ascii="Times New Roman" w:hAnsi="Times New Roman" w:cs="Times New Roman"/>
          <w:sz w:val="26"/>
          <w:szCs w:val="26"/>
        </w:rPr>
        <w:t xml:space="preserve">Vienlaikus </w:t>
      </w:r>
      <w:r w:rsidRPr="0030698E">
        <w:rPr>
          <w:rFonts w:ascii="Times New Roman" w:hAnsi="Times New Roman" w:cs="Times New Roman"/>
          <w:b/>
          <w:bCs/>
          <w:sz w:val="26"/>
          <w:szCs w:val="26"/>
        </w:rPr>
        <w:t>AS “Sadales tīkls” sniegtā informācija liecina par nemainīgi pozitīvām elektroapgādes kvalitātes rādītāju uzlabojumu tendencēm tā licences darbības zonā un apkalpē esošajā elektrotīklā</w:t>
      </w:r>
      <w:r w:rsidRPr="0030698E">
        <w:rPr>
          <w:rFonts w:ascii="Times New Roman" w:hAnsi="Times New Roman" w:cs="Times New Roman"/>
          <w:sz w:val="26"/>
          <w:szCs w:val="26"/>
        </w:rPr>
        <w:t>.</w:t>
      </w:r>
    </w:p>
    <w:p w14:paraId="2218BC35" w14:textId="77777777" w:rsidR="00CB5450" w:rsidRDefault="00CB5450" w:rsidP="008034AF">
      <w:pPr>
        <w:spacing w:after="0"/>
        <w:jc w:val="both"/>
        <w:rPr>
          <w:rFonts w:ascii="Times New Roman" w:hAnsi="Times New Roman" w:cs="Times New Roman"/>
          <w:sz w:val="26"/>
          <w:szCs w:val="26"/>
          <w:u w:val="single"/>
        </w:rPr>
      </w:pPr>
    </w:p>
    <w:p w14:paraId="484A04CA" w14:textId="77777777" w:rsidR="000B0D12" w:rsidRDefault="000B0D12">
      <w:pPr>
        <w:rPr>
          <w:rFonts w:ascii="Times New Roman" w:hAnsi="Times New Roman" w:cs="Times New Roman"/>
          <w:b/>
          <w:bCs/>
          <w:sz w:val="26"/>
          <w:szCs w:val="26"/>
        </w:rPr>
      </w:pPr>
      <w:r>
        <w:rPr>
          <w:rFonts w:ascii="Times New Roman" w:hAnsi="Times New Roman" w:cs="Times New Roman"/>
          <w:b/>
          <w:bCs/>
          <w:sz w:val="26"/>
          <w:szCs w:val="26"/>
        </w:rPr>
        <w:br w:type="page"/>
      </w:r>
    </w:p>
    <w:p w14:paraId="2779C433" w14:textId="5F9B2FE3" w:rsidR="00223EBA" w:rsidRDefault="00223EBA" w:rsidP="00F5457A">
      <w:pPr>
        <w:pStyle w:val="ListParagraph"/>
        <w:numPr>
          <w:ilvl w:val="0"/>
          <w:numId w:val="11"/>
        </w:numPr>
        <w:spacing w:after="0"/>
        <w:jc w:val="both"/>
        <w:rPr>
          <w:rFonts w:ascii="Times New Roman" w:hAnsi="Times New Roman" w:cs="Times New Roman"/>
          <w:b/>
          <w:bCs/>
          <w:sz w:val="26"/>
          <w:szCs w:val="26"/>
        </w:rPr>
      </w:pPr>
      <w:r w:rsidRPr="0030698E">
        <w:rPr>
          <w:rFonts w:ascii="Times New Roman" w:hAnsi="Times New Roman" w:cs="Times New Roman"/>
          <w:b/>
          <w:bCs/>
          <w:sz w:val="26"/>
          <w:szCs w:val="26"/>
        </w:rPr>
        <w:lastRenderedPageBreak/>
        <w:t xml:space="preserve">Citu valstu pieredze </w:t>
      </w:r>
      <w:r w:rsidR="000B0D12">
        <w:rPr>
          <w:rFonts w:ascii="Times New Roman" w:hAnsi="Times New Roman" w:cs="Times New Roman"/>
          <w:b/>
          <w:bCs/>
          <w:sz w:val="26"/>
          <w:szCs w:val="26"/>
        </w:rPr>
        <w:t>neplānota pārtraukuma gadījumā</w:t>
      </w:r>
    </w:p>
    <w:p w14:paraId="6D8B837D" w14:textId="77777777" w:rsidR="008034AF" w:rsidRPr="0030698E" w:rsidRDefault="008034AF" w:rsidP="008034AF">
      <w:pPr>
        <w:pStyle w:val="ListParagraph"/>
        <w:spacing w:after="0"/>
        <w:ind w:left="1080"/>
        <w:jc w:val="both"/>
        <w:rPr>
          <w:rFonts w:ascii="Times New Roman" w:hAnsi="Times New Roman" w:cs="Times New Roman"/>
          <w:b/>
          <w:bCs/>
          <w:sz w:val="26"/>
          <w:szCs w:val="26"/>
        </w:rPr>
      </w:pPr>
    </w:p>
    <w:p w14:paraId="0567428F" w14:textId="6B6D8EF2" w:rsidR="00F5457A" w:rsidRPr="0030698E" w:rsidRDefault="00F5457A" w:rsidP="008A4081">
      <w:pPr>
        <w:spacing w:after="0"/>
        <w:ind w:firstLine="720"/>
        <w:jc w:val="both"/>
        <w:rPr>
          <w:rFonts w:ascii="Times New Roman" w:hAnsi="Times New Roman" w:cs="Times New Roman"/>
          <w:sz w:val="26"/>
          <w:szCs w:val="26"/>
        </w:rPr>
      </w:pPr>
      <w:r w:rsidRPr="0030698E">
        <w:rPr>
          <w:rFonts w:ascii="Times New Roman" w:hAnsi="Times New Roman" w:cs="Times New Roman"/>
          <w:sz w:val="26"/>
          <w:szCs w:val="26"/>
        </w:rPr>
        <w:t xml:space="preserve">Salīdzinot elektroenerģijas nozares rādītājus ar aktuālo informāciju par citās valstīs noteiktajām kvalitātes prasībām, pēdējā </w:t>
      </w:r>
      <w:r w:rsidR="008A4081" w:rsidRPr="0030698E">
        <w:rPr>
          <w:rFonts w:ascii="Times New Roman" w:hAnsi="Times New Roman" w:cs="Times New Roman"/>
          <w:sz w:val="26"/>
          <w:szCs w:val="26"/>
        </w:rPr>
        <w:t xml:space="preserve">– </w:t>
      </w:r>
      <w:r w:rsidRPr="0030698E">
        <w:rPr>
          <w:rFonts w:ascii="Times New Roman" w:hAnsi="Times New Roman" w:cs="Times New Roman"/>
          <w:sz w:val="26"/>
          <w:szCs w:val="26"/>
        </w:rPr>
        <w:t>2016. gadā publicētajā CEER</w:t>
      </w:r>
      <w:r w:rsidR="00751079">
        <w:rPr>
          <w:rStyle w:val="FootnoteReference"/>
          <w:rFonts w:ascii="Times New Roman" w:hAnsi="Times New Roman" w:cs="Times New Roman"/>
          <w:sz w:val="26"/>
          <w:szCs w:val="26"/>
        </w:rPr>
        <w:footnoteReference w:id="4"/>
      </w:r>
      <w:r w:rsidRPr="0030698E">
        <w:rPr>
          <w:rFonts w:ascii="Times New Roman" w:hAnsi="Times New Roman" w:cs="Times New Roman"/>
          <w:sz w:val="26"/>
          <w:szCs w:val="26"/>
        </w:rPr>
        <w:t xml:space="preserve"> pārskatā, redzams, ka AS “Sadales tīkls” SAIFI un SAIDI rādītāji nav būtiski atšķirīgi no citu valstu vidējiem rādītājiem. Vērtējot </w:t>
      </w:r>
      <w:r w:rsidR="008A4081" w:rsidRPr="0030698E">
        <w:rPr>
          <w:rFonts w:ascii="Times New Roman" w:hAnsi="Times New Roman" w:cs="Times New Roman"/>
          <w:sz w:val="26"/>
          <w:szCs w:val="26"/>
        </w:rPr>
        <w:t xml:space="preserve">citu </w:t>
      </w:r>
      <w:r w:rsidRPr="0030698E">
        <w:rPr>
          <w:rFonts w:ascii="Times New Roman" w:hAnsi="Times New Roman" w:cs="Times New Roman"/>
          <w:sz w:val="26"/>
          <w:szCs w:val="26"/>
        </w:rPr>
        <w:t>valstu pieredzi var papildus piebilst, ka, piemēram, Igaunijā jau pašlaik ir noteikts, ka neplānot</w:t>
      </w:r>
      <w:r w:rsidR="00F757F7" w:rsidRPr="0030698E">
        <w:rPr>
          <w:rFonts w:ascii="Times New Roman" w:hAnsi="Times New Roman" w:cs="Times New Roman"/>
          <w:sz w:val="26"/>
          <w:szCs w:val="26"/>
        </w:rPr>
        <w:t>i</w:t>
      </w:r>
      <w:r w:rsidRPr="0030698E">
        <w:rPr>
          <w:rFonts w:ascii="Times New Roman" w:hAnsi="Times New Roman" w:cs="Times New Roman"/>
          <w:sz w:val="26"/>
          <w:szCs w:val="26"/>
        </w:rPr>
        <w:t xml:space="preserve"> pārtraukum</w:t>
      </w:r>
      <w:r w:rsidR="00F757F7" w:rsidRPr="0030698E">
        <w:rPr>
          <w:rFonts w:ascii="Times New Roman" w:hAnsi="Times New Roman" w:cs="Times New Roman"/>
          <w:sz w:val="26"/>
          <w:szCs w:val="26"/>
        </w:rPr>
        <w:t>i</w:t>
      </w:r>
      <w:r w:rsidRPr="0030698E">
        <w:rPr>
          <w:rFonts w:ascii="Times New Roman" w:hAnsi="Times New Roman" w:cs="Times New Roman"/>
          <w:sz w:val="26"/>
          <w:szCs w:val="26"/>
        </w:rPr>
        <w:t xml:space="preserve"> vasaras periodā nepārsniedz 12 stundas un ziemas periodā 16 stundas, bet MBS situācijā neplānotu pārtraukumu ilgums nepārsniedz 72 stundas pēc ārkārtējās situācijas beigām</w:t>
      </w:r>
      <w:r w:rsidR="003269C3">
        <w:rPr>
          <w:rStyle w:val="FootnoteReference"/>
          <w:rFonts w:ascii="Times New Roman" w:hAnsi="Times New Roman" w:cs="Times New Roman"/>
          <w:sz w:val="26"/>
          <w:szCs w:val="26"/>
        </w:rPr>
        <w:footnoteReference w:id="5"/>
      </w:r>
      <w:r w:rsidRPr="0030698E">
        <w:rPr>
          <w:rFonts w:ascii="Times New Roman" w:hAnsi="Times New Roman" w:cs="Times New Roman"/>
          <w:sz w:val="26"/>
          <w:szCs w:val="26"/>
        </w:rPr>
        <w:t>.</w:t>
      </w:r>
    </w:p>
    <w:p w14:paraId="65711F65" w14:textId="22768AB8" w:rsidR="00F5457A" w:rsidRPr="0030698E" w:rsidRDefault="00F5457A" w:rsidP="00F5457A">
      <w:pPr>
        <w:spacing w:after="0"/>
        <w:ind w:firstLine="720"/>
        <w:jc w:val="both"/>
        <w:rPr>
          <w:rFonts w:ascii="Times New Roman" w:hAnsi="Times New Roman" w:cs="Times New Roman"/>
          <w:sz w:val="26"/>
          <w:szCs w:val="26"/>
        </w:rPr>
      </w:pPr>
      <w:r w:rsidRPr="0030698E">
        <w:rPr>
          <w:rFonts w:ascii="Times New Roman" w:hAnsi="Times New Roman" w:cs="Times New Roman"/>
          <w:sz w:val="26"/>
          <w:szCs w:val="26"/>
        </w:rPr>
        <w:t>Citu valstu pieredze kompensācijas mehānisma piemērošanai neplānotu pārtraukumu gadījumos:</w:t>
      </w:r>
    </w:p>
    <w:p w14:paraId="3FCE4F6A" w14:textId="383A310E" w:rsidR="00F5457A" w:rsidRPr="0030698E" w:rsidRDefault="00F5457A" w:rsidP="008034AF">
      <w:pPr>
        <w:pStyle w:val="ListParagraph"/>
        <w:numPr>
          <w:ilvl w:val="0"/>
          <w:numId w:val="6"/>
        </w:numPr>
        <w:spacing w:after="0"/>
        <w:ind w:left="993" w:hanging="306"/>
        <w:jc w:val="both"/>
        <w:rPr>
          <w:rFonts w:ascii="Times New Roman" w:hAnsi="Times New Roman" w:cs="Times New Roman"/>
          <w:sz w:val="26"/>
          <w:szCs w:val="26"/>
        </w:rPr>
      </w:pPr>
      <w:r w:rsidRPr="000B0D12">
        <w:rPr>
          <w:rFonts w:ascii="Times New Roman" w:hAnsi="Times New Roman" w:cs="Times New Roman"/>
          <w:sz w:val="26"/>
          <w:szCs w:val="26"/>
          <w:u w:val="single"/>
        </w:rPr>
        <w:t>Igaunijā</w:t>
      </w:r>
      <w:r w:rsidRPr="0030698E">
        <w:rPr>
          <w:rFonts w:ascii="Times New Roman" w:hAnsi="Times New Roman" w:cs="Times New Roman"/>
          <w:sz w:val="26"/>
          <w:szCs w:val="26"/>
        </w:rPr>
        <w:t xml:space="preserve"> </w:t>
      </w:r>
      <w:bookmarkStart w:id="19" w:name="_Hlk68009025"/>
      <w:bookmarkStart w:id="20" w:name="_Hlk67661020"/>
      <w:r w:rsidRPr="0030698E">
        <w:rPr>
          <w:rFonts w:ascii="Times New Roman" w:hAnsi="Times New Roman" w:cs="Times New Roman"/>
          <w:sz w:val="26"/>
          <w:szCs w:val="26"/>
        </w:rPr>
        <w:t>kompensācijas apmēr</w:t>
      </w:r>
      <w:bookmarkEnd w:id="19"/>
      <w:r w:rsidRPr="0030698E">
        <w:rPr>
          <w:rFonts w:ascii="Times New Roman" w:hAnsi="Times New Roman" w:cs="Times New Roman"/>
          <w:sz w:val="26"/>
          <w:szCs w:val="26"/>
        </w:rPr>
        <w:t xml:space="preserve">s ir atkarīgs no </w:t>
      </w:r>
      <w:r w:rsidR="00F757F7" w:rsidRPr="0030698E">
        <w:rPr>
          <w:rFonts w:ascii="Times New Roman" w:hAnsi="Times New Roman" w:cs="Times New Roman"/>
          <w:sz w:val="26"/>
          <w:szCs w:val="26"/>
        </w:rPr>
        <w:t xml:space="preserve">neplānotu </w:t>
      </w:r>
      <w:r w:rsidRPr="0030698E">
        <w:rPr>
          <w:rFonts w:ascii="Times New Roman" w:hAnsi="Times New Roman" w:cs="Times New Roman"/>
          <w:sz w:val="26"/>
          <w:szCs w:val="26"/>
        </w:rPr>
        <w:t>pārtraukum</w:t>
      </w:r>
      <w:r w:rsidR="00F757F7" w:rsidRPr="0030698E">
        <w:rPr>
          <w:rFonts w:ascii="Times New Roman" w:hAnsi="Times New Roman" w:cs="Times New Roman"/>
          <w:sz w:val="26"/>
          <w:szCs w:val="26"/>
        </w:rPr>
        <w:t>u</w:t>
      </w:r>
      <w:r w:rsidRPr="0030698E">
        <w:rPr>
          <w:rFonts w:ascii="Times New Roman" w:hAnsi="Times New Roman" w:cs="Times New Roman"/>
          <w:sz w:val="26"/>
          <w:szCs w:val="26"/>
        </w:rPr>
        <w:t xml:space="preserve"> ilguma </w:t>
      </w:r>
      <w:bookmarkEnd w:id="20"/>
      <w:r w:rsidRPr="0030698E">
        <w:rPr>
          <w:rFonts w:ascii="Times New Roman" w:hAnsi="Times New Roman" w:cs="Times New Roman"/>
          <w:sz w:val="26"/>
          <w:szCs w:val="26"/>
        </w:rPr>
        <w:t>(līdz 48 stundām; 48-96 stundas un ilgāk kā 96 stundas), pieslēguma vietas un atļautās slodzes, paredzot dažādu kompensācijas apmēru privātajiem klientiem vai mazajiem uzņēmumiem un lielajiem uzņēmumiem.</w:t>
      </w:r>
    </w:p>
    <w:p w14:paraId="68C97AA9" w14:textId="544B1115" w:rsidR="00F5457A" w:rsidRPr="0030698E" w:rsidRDefault="00F5457A" w:rsidP="008034AF">
      <w:pPr>
        <w:pStyle w:val="ListParagraph"/>
        <w:numPr>
          <w:ilvl w:val="0"/>
          <w:numId w:val="6"/>
        </w:numPr>
        <w:spacing w:after="0"/>
        <w:ind w:left="993" w:hanging="306"/>
        <w:jc w:val="both"/>
        <w:rPr>
          <w:rFonts w:ascii="Times New Roman" w:hAnsi="Times New Roman" w:cs="Times New Roman"/>
          <w:sz w:val="26"/>
          <w:szCs w:val="26"/>
        </w:rPr>
      </w:pPr>
      <w:r w:rsidRPr="000B0D12">
        <w:rPr>
          <w:rFonts w:ascii="Times New Roman" w:hAnsi="Times New Roman" w:cs="Times New Roman"/>
          <w:sz w:val="26"/>
          <w:szCs w:val="26"/>
          <w:u w:val="single"/>
        </w:rPr>
        <w:t>Zviedrijā</w:t>
      </w:r>
      <w:r w:rsidRPr="0030698E">
        <w:rPr>
          <w:rFonts w:ascii="Times New Roman" w:hAnsi="Times New Roman" w:cs="Times New Roman"/>
          <w:sz w:val="26"/>
          <w:szCs w:val="26"/>
        </w:rPr>
        <w:t xml:space="preserve"> </w:t>
      </w:r>
      <w:bookmarkStart w:id="21" w:name="_Hlk67661476"/>
      <w:r w:rsidRPr="0030698E">
        <w:rPr>
          <w:rFonts w:ascii="Times New Roman" w:hAnsi="Times New Roman" w:cs="Times New Roman"/>
          <w:sz w:val="26"/>
          <w:szCs w:val="26"/>
        </w:rPr>
        <w:t xml:space="preserve">kompensācija paredzēta </w:t>
      </w:r>
      <w:r w:rsidR="00F757F7" w:rsidRPr="0030698E">
        <w:rPr>
          <w:rFonts w:ascii="Times New Roman" w:hAnsi="Times New Roman" w:cs="Times New Roman"/>
          <w:sz w:val="26"/>
          <w:szCs w:val="26"/>
        </w:rPr>
        <w:t xml:space="preserve">neplānotiem </w:t>
      </w:r>
      <w:r w:rsidRPr="0030698E">
        <w:rPr>
          <w:rFonts w:ascii="Times New Roman" w:hAnsi="Times New Roman" w:cs="Times New Roman"/>
          <w:sz w:val="26"/>
          <w:szCs w:val="26"/>
        </w:rPr>
        <w:t xml:space="preserve">pārtraukumiem </w:t>
      </w:r>
      <w:bookmarkEnd w:id="21"/>
      <w:r w:rsidRPr="0030698E">
        <w:rPr>
          <w:rFonts w:ascii="Times New Roman" w:hAnsi="Times New Roman" w:cs="Times New Roman"/>
          <w:sz w:val="26"/>
          <w:szCs w:val="26"/>
        </w:rPr>
        <w:t xml:space="preserve">12-24 stundas, paredzot papildu kompensāciju, kad </w:t>
      </w:r>
      <w:r w:rsidR="00F757F7" w:rsidRPr="0030698E">
        <w:rPr>
          <w:rFonts w:ascii="Times New Roman" w:hAnsi="Times New Roman" w:cs="Times New Roman"/>
          <w:sz w:val="26"/>
          <w:szCs w:val="26"/>
        </w:rPr>
        <w:t xml:space="preserve">neplānotu </w:t>
      </w:r>
      <w:r w:rsidRPr="0030698E">
        <w:rPr>
          <w:rFonts w:ascii="Times New Roman" w:hAnsi="Times New Roman" w:cs="Times New Roman"/>
          <w:sz w:val="26"/>
          <w:szCs w:val="26"/>
        </w:rPr>
        <w:t>pārtraukumu novēršanas laiks pārsniedz 24 stundas.</w:t>
      </w:r>
    </w:p>
    <w:p w14:paraId="1473877B" w14:textId="612E153C" w:rsidR="00F5457A" w:rsidRPr="0030698E" w:rsidRDefault="00F5457A" w:rsidP="008034AF">
      <w:pPr>
        <w:pStyle w:val="ListParagraph"/>
        <w:numPr>
          <w:ilvl w:val="0"/>
          <w:numId w:val="6"/>
        </w:numPr>
        <w:spacing w:after="0"/>
        <w:ind w:left="993" w:hanging="306"/>
        <w:jc w:val="both"/>
        <w:rPr>
          <w:rFonts w:ascii="Times New Roman" w:hAnsi="Times New Roman" w:cs="Times New Roman"/>
          <w:sz w:val="26"/>
          <w:szCs w:val="26"/>
        </w:rPr>
      </w:pPr>
      <w:r w:rsidRPr="000B0D12">
        <w:rPr>
          <w:rFonts w:ascii="Times New Roman" w:hAnsi="Times New Roman" w:cs="Times New Roman"/>
          <w:sz w:val="26"/>
          <w:szCs w:val="26"/>
          <w:u w:val="single"/>
        </w:rPr>
        <w:t>Somijā</w:t>
      </w:r>
      <w:r w:rsidRPr="0030698E">
        <w:rPr>
          <w:rFonts w:ascii="Times New Roman" w:hAnsi="Times New Roman" w:cs="Times New Roman"/>
          <w:sz w:val="26"/>
          <w:szCs w:val="26"/>
        </w:rPr>
        <w:t xml:space="preserve"> kompensācijas apmērs ir atkarīgs no </w:t>
      </w:r>
      <w:r w:rsidR="00F757F7" w:rsidRPr="0030698E">
        <w:rPr>
          <w:rFonts w:ascii="Times New Roman" w:hAnsi="Times New Roman" w:cs="Times New Roman"/>
          <w:sz w:val="26"/>
          <w:szCs w:val="26"/>
        </w:rPr>
        <w:t xml:space="preserve">neplānotu </w:t>
      </w:r>
      <w:r w:rsidRPr="0030698E">
        <w:rPr>
          <w:rFonts w:ascii="Times New Roman" w:hAnsi="Times New Roman" w:cs="Times New Roman"/>
          <w:sz w:val="26"/>
          <w:szCs w:val="26"/>
        </w:rPr>
        <w:t>pārtraukum</w:t>
      </w:r>
      <w:r w:rsidR="00F757F7" w:rsidRPr="0030698E">
        <w:rPr>
          <w:rFonts w:ascii="Times New Roman" w:hAnsi="Times New Roman" w:cs="Times New Roman"/>
          <w:sz w:val="26"/>
          <w:szCs w:val="26"/>
        </w:rPr>
        <w:t>u</w:t>
      </w:r>
      <w:r w:rsidRPr="0030698E">
        <w:rPr>
          <w:rFonts w:ascii="Times New Roman" w:hAnsi="Times New Roman" w:cs="Times New Roman"/>
          <w:sz w:val="26"/>
          <w:szCs w:val="26"/>
        </w:rPr>
        <w:t xml:space="preserve"> ilguma (12-24 stundas; 24-72 stundas; 72-120 stundas; 120-192 stundas; 192-288 stundas; 288 un vairāk stundas).</w:t>
      </w:r>
    </w:p>
    <w:p w14:paraId="2F21243F" w14:textId="0F57049B" w:rsidR="00F5457A" w:rsidRPr="0030698E" w:rsidRDefault="00F5457A" w:rsidP="008034AF">
      <w:pPr>
        <w:pStyle w:val="ListParagraph"/>
        <w:numPr>
          <w:ilvl w:val="0"/>
          <w:numId w:val="6"/>
        </w:numPr>
        <w:spacing w:after="0"/>
        <w:ind w:left="993" w:hanging="306"/>
        <w:jc w:val="both"/>
        <w:rPr>
          <w:rFonts w:ascii="Times New Roman" w:hAnsi="Times New Roman" w:cs="Times New Roman"/>
          <w:sz w:val="26"/>
          <w:szCs w:val="26"/>
        </w:rPr>
      </w:pPr>
      <w:r w:rsidRPr="000B0D12">
        <w:rPr>
          <w:rFonts w:ascii="Times New Roman" w:hAnsi="Times New Roman" w:cs="Times New Roman"/>
          <w:sz w:val="26"/>
          <w:szCs w:val="26"/>
          <w:u w:val="single"/>
        </w:rPr>
        <w:t>Francijā</w:t>
      </w:r>
      <w:r w:rsidRPr="0030698E">
        <w:rPr>
          <w:rFonts w:ascii="Times New Roman" w:hAnsi="Times New Roman" w:cs="Times New Roman"/>
          <w:sz w:val="26"/>
          <w:szCs w:val="26"/>
        </w:rPr>
        <w:t xml:space="preserve"> kompensācija paredzēta par </w:t>
      </w:r>
      <w:r w:rsidR="00F757F7" w:rsidRPr="0030698E">
        <w:rPr>
          <w:rFonts w:ascii="Times New Roman" w:hAnsi="Times New Roman" w:cs="Times New Roman"/>
          <w:sz w:val="26"/>
          <w:szCs w:val="26"/>
        </w:rPr>
        <w:t xml:space="preserve">neplānotiem </w:t>
      </w:r>
      <w:r w:rsidRPr="0030698E">
        <w:rPr>
          <w:rFonts w:ascii="Times New Roman" w:hAnsi="Times New Roman" w:cs="Times New Roman"/>
          <w:sz w:val="26"/>
          <w:szCs w:val="26"/>
        </w:rPr>
        <w:t>pārtraukumiem, ja tie ir ilgāki par 6 stundām, ieskaitot arī MBS situācij</w:t>
      </w:r>
      <w:r w:rsidR="00F757F7" w:rsidRPr="0030698E">
        <w:rPr>
          <w:rFonts w:ascii="Times New Roman" w:hAnsi="Times New Roman" w:cs="Times New Roman"/>
          <w:sz w:val="26"/>
          <w:szCs w:val="26"/>
        </w:rPr>
        <w:t>a</w:t>
      </w:r>
      <w:r w:rsidRPr="0030698E">
        <w:rPr>
          <w:rFonts w:ascii="Times New Roman" w:hAnsi="Times New Roman" w:cs="Times New Roman"/>
          <w:sz w:val="26"/>
          <w:szCs w:val="26"/>
        </w:rPr>
        <w:t>s.</w:t>
      </w:r>
    </w:p>
    <w:p w14:paraId="59325021" w14:textId="51D990EF" w:rsidR="00240FA8" w:rsidRDefault="00240FA8">
      <w:pPr>
        <w:rPr>
          <w:rFonts w:ascii="Times New Roman" w:hAnsi="Times New Roman" w:cs="Times New Roman"/>
          <w:sz w:val="26"/>
          <w:szCs w:val="26"/>
        </w:rPr>
      </w:pPr>
      <w:r>
        <w:rPr>
          <w:rFonts w:ascii="Times New Roman" w:hAnsi="Times New Roman" w:cs="Times New Roman"/>
          <w:sz w:val="26"/>
          <w:szCs w:val="26"/>
        </w:rPr>
        <w:br w:type="page"/>
      </w:r>
    </w:p>
    <w:p w14:paraId="2299FC50" w14:textId="77777777" w:rsidR="00BF51BF" w:rsidRPr="0030698E" w:rsidRDefault="00BF51BF" w:rsidP="00B61308">
      <w:pPr>
        <w:spacing w:after="0"/>
        <w:ind w:firstLine="720"/>
        <w:jc w:val="both"/>
        <w:rPr>
          <w:rFonts w:ascii="Times New Roman" w:hAnsi="Times New Roman" w:cs="Times New Roman"/>
          <w:sz w:val="26"/>
          <w:szCs w:val="26"/>
        </w:rPr>
      </w:pPr>
    </w:p>
    <w:p w14:paraId="0E42BAE7" w14:textId="4733F7A1" w:rsidR="00332E89" w:rsidRPr="0046371A" w:rsidRDefault="004A490A" w:rsidP="0046371A">
      <w:pPr>
        <w:pStyle w:val="ListParagraph"/>
        <w:numPr>
          <w:ilvl w:val="0"/>
          <w:numId w:val="11"/>
        </w:numPr>
        <w:spacing w:after="0"/>
        <w:jc w:val="both"/>
        <w:rPr>
          <w:rFonts w:ascii="Times New Roman" w:hAnsi="Times New Roman" w:cs="Times New Roman"/>
          <w:b/>
          <w:bCs/>
          <w:sz w:val="26"/>
          <w:szCs w:val="26"/>
        </w:rPr>
      </w:pPr>
      <w:r w:rsidRPr="0046371A">
        <w:rPr>
          <w:rFonts w:ascii="Times New Roman" w:hAnsi="Times New Roman" w:cs="Times New Roman"/>
          <w:b/>
          <w:bCs/>
          <w:sz w:val="26"/>
          <w:szCs w:val="26"/>
        </w:rPr>
        <w:t>R</w:t>
      </w:r>
      <w:r w:rsidR="00332E89" w:rsidRPr="0046371A">
        <w:rPr>
          <w:rFonts w:ascii="Times New Roman" w:hAnsi="Times New Roman" w:cs="Times New Roman"/>
          <w:b/>
          <w:bCs/>
          <w:sz w:val="26"/>
          <w:szCs w:val="26"/>
        </w:rPr>
        <w:t>īcības virzieni</w:t>
      </w:r>
      <w:r w:rsidRPr="0046371A">
        <w:rPr>
          <w:rFonts w:ascii="Times New Roman" w:hAnsi="Times New Roman" w:cs="Times New Roman"/>
          <w:b/>
          <w:bCs/>
          <w:sz w:val="26"/>
          <w:szCs w:val="26"/>
        </w:rPr>
        <w:t xml:space="preserve"> konstatētās</w:t>
      </w:r>
      <w:r w:rsidR="00332E89" w:rsidRPr="0046371A">
        <w:rPr>
          <w:rFonts w:ascii="Times New Roman" w:hAnsi="Times New Roman" w:cs="Times New Roman"/>
          <w:b/>
          <w:bCs/>
          <w:sz w:val="26"/>
          <w:szCs w:val="26"/>
        </w:rPr>
        <w:t xml:space="preserve"> problemātikas risināšanai</w:t>
      </w:r>
    </w:p>
    <w:p w14:paraId="02B0798E" w14:textId="77777777" w:rsidR="0046371A" w:rsidRPr="0046371A" w:rsidRDefault="0046371A" w:rsidP="0046371A">
      <w:pPr>
        <w:pStyle w:val="ListParagraph"/>
        <w:spacing w:after="0"/>
        <w:ind w:left="1080"/>
        <w:jc w:val="both"/>
        <w:rPr>
          <w:rFonts w:ascii="Times New Roman" w:hAnsi="Times New Roman" w:cs="Times New Roman"/>
          <w:b/>
          <w:bCs/>
          <w:sz w:val="26"/>
          <w:szCs w:val="26"/>
        </w:rPr>
      </w:pPr>
    </w:p>
    <w:p w14:paraId="6738BB00" w14:textId="77777777" w:rsidR="001C3CAA" w:rsidRDefault="00DD6F56" w:rsidP="000B0D12">
      <w:pPr>
        <w:pStyle w:val="ListParagraph"/>
        <w:numPr>
          <w:ilvl w:val="0"/>
          <w:numId w:val="10"/>
        </w:numPr>
        <w:spacing w:after="0"/>
        <w:ind w:left="142" w:firstLine="0"/>
        <w:jc w:val="both"/>
        <w:rPr>
          <w:rFonts w:ascii="Times New Roman" w:hAnsi="Times New Roman" w:cs="Times New Roman"/>
          <w:sz w:val="26"/>
          <w:szCs w:val="26"/>
        </w:rPr>
      </w:pPr>
      <w:bookmarkStart w:id="22" w:name="_Hlk74743105"/>
      <w:r w:rsidRPr="0030698E">
        <w:rPr>
          <w:rFonts w:ascii="Times New Roman" w:hAnsi="Times New Roman" w:cs="Times New Roman"/>
          <w:sz w:val="26"/>
          <w:szCs w:val="26"/>
        </w:rPr>
        <w:t xml:space="preserve">Lai paaugstinātu elektroapgādes kvalitātes prasības, tādējādi apmierinot lietotāju gaidas pēc iespējami nepārtrauktas elektroenerģijas piegādes un uzlabojot investīciju vidi Latvijā, </w:t>
      </w:r>
      <w:r w:rsidRPr="0030698E">
        <w:rPr>
          <w:rFonts w:ascii="Times New Roman" w:hAnsi="Times New Roman" w:cs="Times New Roman"/>
          <w:b/>
          <w:bCs/>
          <w:sz w:val="26"/>
          <w:szCs w:val="26"/>
        </w:rPr>
        <w:t>nepieciešams veikt grozījumus Noteikumos, pakāpeniski virzoties uz mazāk kā 24 stundu neplānotu pārtraukumu novēršanas ilguma noteikšanu</w:t>
      </w:r>
      <w:r w:rsidRPr="0030698E">
        <w:rPr>
          <w:rFonts w:ascii="Times New Roman" w:hAnsi="Times New Roman" w:cs="Times New Roman"/>
          <w:sz w:val="26"/>
          <w:szCs w:val="26"/>
        </w:rPr>
        <w:t>. Saglabājot pieļaujamo neplānot</w:t>
      </w:r>
      <w:r w:rsidR="00A66EAA" w:rsidRPr="0030698E">
        <w:rPr>
          <w:rFonts w:ascii="Times New Roman" w:hAnsi="Times New Roman" w:cs="Times New Roman"/>
          <w:sz w:val="26"/>
          <w:szCs w:val="26"/>
        </w:rPr>
        <w:t>u</w:t>
      </w:r>
      <w:r w:rsidRPr="0030698E">
        <w:rPr>
          <w:rFonts w:ascii="Times New Roman" w:hAnsi="Times New Roman" w:cs="Times New Roman"/>
          <w:sz w:val="26"/>
          <w:szCs w:val="26"/>
        </w:rPr>
        <w:t xml:space="preserve"> pārtraukum</w:t>
      </w:r>
      <w:r w:rsidR="00A66EAA" w:rsidRPr="0030698E">
        <w:rPr>
          <w:rFonts w:ascii="Times New Roman" w:hAnsi="Times New Roman" w:cs="Times New Roman"/>
          <w:sz w:val="26"/>
          <w:szCs w:val="26"/>
        </w:rPr>
        <w:t>u</w:t>
      </w:r>
      <w:r w:rsidRPr="0030698E">
        <w:rPr>
          <w:rFonts w:ascii="Times New Roman" w:hAnsi="Times New Roman" w:cs="Times New Roman"/>
          <w:sz w:val="26"/>
          <w:szCs w:val="26"/>
        </w:rPr>
        <w:t xml:space="preserve"> novēršanas ilgumu -24 stundas</w:t>
      </w:r>
      <w:r w:rsidR="000C457D">
        <w:rPr>
          <w:rFonts w:ascii="Times New Roman" w:hAnsi="Times New Roman" w:cs="Times New Roman"/>
          <w:sz w:val="26"/>
          <w:szCs w:val="26"/>
        </w:rPr>
        <w:t>, ievērojot vairāk kā 10 gadu laikā notikušās pārmaiņas sistēmas pakalpojuma sniegšanas praksē,</w:t>
      </w:r>
      <w:r w:rsidRPr="0030698E">
        <w:rPr>
          <w:rFonts w:ascii="Times New Roman" w:hAnsi="Times New Roman" w:cs="Times New Roman"/>
          <w:sz w:val="26"/>
          <w:szCs w:val="26"/>
        </w:rPr>
        <w:t xml:space="preserve"> Latvija nevirzās uz mērķi raidīt signālus potenciālajiem investoriem par pozitīvu investīciju vidi valstī, ko sekmētu augstāku kvalitātes prasību noteikšana sistēmas operatoram AS “Sadales tīkls”.</w:t>
      </w:r>
      <w:r w:rsidR="00D32041">
        <w:rPr>
          <w:rFonts w:ascii="Times New Roman" w:hAnsi="Times New Roman" w:cs="Times New Roman"/>
          <w:sz w:val="26"/>
          <w:szCs w:val="26"/>
        </w:rPr>
        <w:t xml:space="preserve"> </w:t>
      </w:r>
      <w:r w:rsidRPr="00D32041">
        <w:rPr>
          <w:rFonts w:ascii="Times New Roman" w:hAnsi="Times New Roman" w:cs="Times New Roman"/>
          <w:sz w:val="26"/>
          <w:szCs w:val="26"/>
        </w:rPr>
        <w:t>Noteikumos jānosaka pārejas periods, paredzot, ka no 2023.gada 1.janvāra neplānoti pārtraukumi jānovērš 20 stundu laikā, no 2024.gada 1.janvāra –16 stundu laikā, bet no 2025.gada 1.janvāra – 12 stundu laikā.  Līdz ar to tiktu nodrošināts, ka AS “Sadales tīkls” rīcībā ir pietiekams laiks, lai novērtētu izmaiņu iespējamo ietekmi un nepieciešamās izmaiņas, vajadzības gadījumā pārstrukturējot resursus vai pielāgojot informācijas sistēmas, vienlaikus neradot negatīvu ietekmi uz tarifu.</w:t>
      </w:r>
    </w:p>
    <w:p w14:paraId="1E35CCEE" w14:textId="1AFF0D16" w:rsidR="00704380" w:rsidRPr="001C3CAA" w:rsidRDefault="00704380" w:rsidP="000B0D12">
      <w:pPr>
        <w:pStyle w:val="ListParagraph"/>
        <w:numPr>
          <w:ilvl w:val="0"/>
          <w:numId w:val="10"/>
        </w:numPr>
        <w:spacing w:after="0"/>
        <w:ind w:left="142" w:firstLine="0"/>
        <w:jc w:val="both"/>
        <w:rPr>
          <w:rFonts w:ascii="Times New Roman" w:hAnsi="Times New Roman" w:cs="Times New Roman"/>
          <w:sz w:val="26"/>
          <w:szCs w:val="26"/>
        </w:rPr>
      </w:pPr>
      <w:r w:rsidRPr="001C3CAA">
        <w:rPr>
          <w:rFonts w:ascii="Times New Roman" w:hAnsi="Times New Roman" w:cs="Times New Roman"/>
          <w:sz w:val="26"/>
          <w:szCs w:val="26"/>
        </w:rPr>
        <w:t xml:space="preserve">Tāpat Noteikumos jānosaka, ka </w:t>
      </w:r>
      <w:bookmarkStart w:id="23" w:name="_Hlk77587032"/>
      <w:r w:rsidRPr="001C3CAA">
        <w:rPr>
          <w:rFonts w:ascii="Times New Roman" w:hAnsi="Times New Roman" w:cs="Times New Roman"/>
          <w:sz w:val="26"/>
          <w:szCs w:val="26"/>
        </w:rPr>
        <w:t>neplānotu pārtraukumu gadījumā nosacījumi par elektroapgādes atjaunošanas</w:t>
      </w:r>
      <w:r w:rsidR="001C3CAA" w:rsidRPr="001C3CAA">
        <w:rPr>
          <w:rFonts w:ascii="Times New Roman" w:hAnsi="Times New Roman" w:cs="Times New Roman"/>
          <w:sz w:val="26"/>
          <w:szCs w:val="26"/>
        </w:rPr>
        <w:t xml:space="preserve"> laiku un kompensācijas piemērošanu neattiecas uz tādiem neplānotiem pā</w:t>
      </w:r>
      <w:r w:rsidR="001C3CAA">
        <w:rPr>
          <w:rFonts w:ascii="Times New Roman" w:hAnsi="Times New Roman" w:cs="Times New Roman"/>
          <w:sz w:val="26"/>
          <w:szCs w:val="26"/>
        </w:rPr>
        <w:t>r</w:t>
      </w:r>
      <w:r w:rsidR="001C3CAA" w:rsidRPr="001C3CAA">
        <w:rPr>
          <w:rFonts w:ascii="Times New Roman" w:hAnsi="Times New Roman" w:cs="Times New Roman"/>
          <w:sz w:val="26"/>
          <w:szCs w:val="26"/>
        </w:rPr>
        <w:t>tr</w:t>
      </w:r>
      <w:r w:rsidR="001C3CAA">
        <w:rPr>
          <w:rFonts w:ascii="Times New Roman" w:hAnsi="Times New Roman" w:cs="Times New Roman"/>
          <w:sz w:val="26"/>
          <w:szCs w:val="26"/>
        </w:rPr>
        <w:t>au</w:t>
      </w:r>
      <w:r w:rsidR="001C3CAA" w:rsidRPr="001C3CAA">
        <w:rPr>
          <w:rFonts w:ascii="Times New Roman" w:hAnsi="Times New Roman" w:cs="Times New Roman"/>
          <w:sz w:val="26"/>
          <w:szCs w:val="26"/>
        </w:rPr>
        <w:t>kumie</w:t>
      </w:r>
      <w:r w:rsidR="001C3CAA">
        <w:rPr>
          <w:rFonts w:ascii="Times New Roman" w:hAnsi="Times New Roman" w:cs="Times New Roman"/>
          <w:sz w:val="26"/>
          <w:szCs w:val="26"/>
        </w:rPr>
        <w:t>m</w:t>
      </w:r>
      <w:r w:rsidR="001C3CAA" w:rsidRPr="001C3CAA">
        <w:rPr>
          <w:rFonts w:ascii="Times New Roman" w:hAnsi="Times New Roman" w:cs="Times New Roman"/>
          <w:sz w:val="26"/>
          <w:szCs w:val="26"/>
        </w:rPr>
        <w:t>, kas radušies laikā, kad LVGMC attiecīgajā valsts reģionā izsludinājusi vismaz oranžo brīdinājumu par laikapstākļiem</w:t>
      </w:r>
      <w:bookmarkEnd w:id="23"/>
      <w:r w:rsidR="001C3CAA" w:rsidRPr="001C3CAA">
        <w:rPr>
          <w:rFonts w:ascii="Times New Roman" w:hAnsi="Times New Roman" w:cs="Times New Roman"/>
          <w:sz w:val="26"/>
          <w:szCs w:val="26"/>
        </w:rPr>
        <w:t>.</w:t>
      </w:r>
    </w:p>
    <w:p w14:paraId="452384B3" w14:textId="32C27A9A" w:rsidR="00DD6F56" w:rsidRPr="00653AD5" w:rsidRDefault="00DD6F56" w:rsidP="000B0D12">
      <w:pPr>
        <w:pStyle w:val="ListParagraph"/>
        <w:numPr>
          <w:ilvl w:val="0"/>
          <w:numId w:val="10"/>
        </w:numPr>
        <w:ind w:left="142" w:firstLine="0"/>
        <w:jc w:val="both"/>
        <w:rPr>
          <w:rFonts w:ascii="Times New Roman" w:hAnsi="Times New Roman" w:cs="Times New Roman"/>
          <w:sz w:val="26"/>
          <w:szCs w:val="26"/>
        </w:rPr>
      </w:pPr>
      <w:r w:rsidRPr="0030698E">
        <w:rPr>
          <w:rFonts w:ascii="Times New Roman" w:hAnsi="Times New Roman" w:cs="Times New Roman"/>
          <w:sz w:val="26"/>
          <w:szCs w:val="26"/>
        </w:rPr>
        <w:t xml:space="preserve">Ievērojot šobrīd Noteikumos apstiprināto mehānismu, kas paredz kompensāciju piemērot kā sadales sistēmas pakalpojumu tarifa samazinājumu maksas par pieslēguma nodrošināšanu apmērā konkrētajā norēķinu periodā (mēnesī), var secināt, ka kompensācijas piemērošana Latvijas gadījumā, ņemot vērā  sadales sistēmas operatora neplānotu pārtraukumu novēršanas operatīvo spēju un kvalitatīvos rādītājus, nav samērīga. </w:t>
      </w:r>
      <w:r w:rsidR="00653AD5" w:rsidRPr="0030698E">
        <w:rPr>
          <w:rFonts w:ascii="Times New Roman" w:hAnsi="Times New Roman" w:cs="Times New Roman"/>
          <w:sz w:val="26"/>
          <w:szCs w:val="26"/>
        </w:rPr>
        <w:t xml:space="preserve">Esošajā situācijā, kad orientējoši viena gada periodā kompensācija piemērota tikai diviem klientiem (mājsaimniecībām), var secināt, ka </w:t>
      </w:r>
      <w:r w:rsidR="00653AD5" w:rsidRPr="0030698E">
        <w:rPr>
          <w:rFonts w:ascii="Times New Roman" w:hAnsi="Times New Roman" w:cs="Times New Roman"/>
          <w:b/>
          <w:bCs/>
          <w:sz w:val="26"/>
          <w:szCs w:val="26"/>
        </w:rPr>
        <w:t>kompensācijas mehānisms pastāv vairāk teorētiski, nesasniedzot mērķi uzlabot investīciju vidi Latvijā, ar kādu tas tika ieviests</w:t>
      </w:r>
      <w:r w:rsidR="00653AD5" w:rsidRPr="0030698E">
        <w:rPr>
          <w:rFonts w:ascii="Times New Roman" w:hAnsi="Times New Roman" w:cs="Times New Roman"/>
          <w:sz w:val="26"/>
          <w:szCs w:val="26"/>
        </w:rPr>
        <w:t>.</w:t>
      </w:r>
      <w:r w:rsidR="00653AD5">
        <w:rPr>
          <w:rFonts w:ascii="Times New Roman" w:hAnsi="Times New Roman" w:cs="Times New Roman"/>
          <w:sz w:val="26"/>
          <w:szCs w:val="26"/>
        </w:rPr>
        <w:t xml:space="preserve"> </w:t>
      </w:r>
      <w:r w:rsidRPr="00653AD5">
        <w:rPr>
          <w:rFonts w:ascii="Times New Roman" w:hAnsi="Times New Roman" w:cs="Times New Roman"/>
          <w:sz w:val="26"/>
          <w:szCs w:val="26"/>
        </w:rPr>
        <w:t xml:space="preserve">Tāpat, ievērojot nepieciešamību virzīties uz mazāk kā 24 stundu neplānotu pārtraukumu novēršanas ilguma noteikšanu, attiecīgi </w:t>
      </w:r>
      <w:r w:rsidRPr="00653AD5">
        <w:rPr>
          <w:rFonts w:ascii="Times New Roman" w:hAnsi="Times New Roman" w:cs="Times New Roman"/>
          <w:b/>
          <w:bCs/>
          <w:sz w:val="26"/>
          <w:szCs w:val="26"/>
        </w:rPr>
        <w:t>pakāpeniski no 24 stundām uz 12 stundām jāsamazina neplānotu pārtraukumu novēršanas laika slieksni kompensācijas piemērošanai</w:t>
      </w:r>
      <w:r w:rsidR="004D69B6" w:rsidRPr="00653AD5">
        <w:rPr>
          <w:rFonts w:ascii="Times New Roman" w:hAnsi="Times New Roman" w:cs="Times New Roman"/>
          <w:sz w:val="26"/>
          <w:szCs w:val="26"/>
        </w:rPr>
        <w:t>,</w:t>
      </w:r>
      <w:r w:rsidRPr="00653AD5">
        <w:rPr>
          <w:rFonts w:ascii="Times New Roman" w:hAnsi="Times New Roman" w:cs="Times New Roman"/>
          <w:sz w:val="26"/>
          <w:szCs w:val="26"/>
        </w:rPr>
        <w:t xml:space="preserve"> Noteikumos nosakot pārejas periodu un paredzot, ka </w:t>
      </w:r>
      <w:bookmarkStart w:id="24" w:name="_Hlk77259709"/>
      <w:r w:rsidR="00653AD5" w:rsidRPr="00653AD5">
        <w:rPr>
          <w:rFonts w:ascii="Times New Roman" w:hAnsi="Times New Roman" w:cs="Times New Roman"/>
          <w:sz w:val="26"/>
          <w:szCs w:val="26"/>
        </w:rPr>
        <w:t xml:space="preserve">kompensācija jāpiemēro </w:t>
      </w:r>
      <w:r w:rsidR="00653AD5">
        <w:rPr>
          <w:rFonts w:ascii="Times New Roman" w:hAnsi="Times New Roman" w:cs="Times New Roman"/>
          <w:sz w:val="26"/>
          <w:szCs w:val="26"/>
        </w:rPr>
        <w:t xml:space="preserve"> - </w:t>
      </w:r>
      <w:r w:rsidRPr="00653AD5">
        <w:rPr>
          <w:rFonts w:ascii="Times New Roman" w:hAnsi="Times New Roman" w:cs="Times New Roman"/>
          <w:sz w:val="26"/>
          <w:szCs w:val="26"/>
        </w:rPr>
        <w:t>no 202</w:t>
      </w:r>
      <w:r w:rsidR="00653AD5">
        <w:rPr>
          <w:rFonts w:ascii="Times New Roman" w:hAnsi="Times New Roman" w:cs="Times New Roman"/>
          <w:sz w:val="26"/>
          <w:szCs w:val="26"/>
        </w:rPr>
        <w:t>3</w:t>
      </w:r>
      <w:r w:rsidRPr="00653AD5">
        <w:rPr>
          <w:rFonts w:ascii="Times New Roman" w:hAnsi="Times New Roman" w:cs="Times New Roman"/>
          <w:sz w:val="26"/>
          <w:szCs w:val="26"/>
        </w:rPr>
        <w:t>.gada 1.janvāra no 20 stundām, no 202</w:t>
      </w:r>
      <w:r w:rsidR="00653AD5">
        <w:rPr>
          <w:rFonts w:ascii="Times New Roman" w:hAnsi="Times New Roman" w:cs="Times New Roman"/>
          <w:sz w:val="26"/>
          <w:szCs w:val="26"/>
        </w:rPr>
        <w:t>4</w:t>
      </w:r>
      <w:r w:rsidRPr="00653AD5">
        <w:rPr>
          <w:rFonts w:ascii="Times New Roman" w:hAnsi="Times New Roman" w:cs="Times New Roman"/>
          <w:sz w:val="26"/>
          <w:szCs w:val="26"/>
        </w:rPr>
        <w:t>.gada 1.janvāra no 16 stundām, bet no 202</w:t>
      </w:r>
      <w:r w:rsidR="00653AD5">
        <w:rPr>
          <w:rFonts w:ascii="Times New Roman" w:hAnsi="Times New Roman" w:cs="Times New Roman"/>
          <w:sz w:val="26"/>
          <w:szCs w:val="26"/>
        </w:rPr>
        <w:t>4</w:t>
      </w:r>
      <w:r w:rsidRPr="00653AD5">
        <w:rPr>
          <w:rFonts w:ascii="Times New Roman" w:hAnsi="Times New Roman" w:cs="Times New Roman"/>
          <w:sz w:val="26"/>
          <w:szCs w:val="26"/>
        </w:rPr>
        <w:t xml:space="preserve">.gada 1.janvāra no 12 stundām. </w:t>
      </w:r>
      <w:bookmarkEnd w:id="22"/>
    </w:p>
    <w:bookmarkEnd w:id="24"/>
    <w:p w14:paraId="4960ED15" w14:textId="010C8CAD" w:rsidR="00B96C1E" w:rsidRPr="000C457D" w:rsidRDefault="00901A9C" w:rsidP="000B0D12">
      <w:pPr>
        <w:pStyle w:val="ListParagraph"/>
        <w:numPr>
          <w:ilvl w:val="0"/>
          <w:numId w:val="10"/>
        </w:numPr>
        <w:ind w:left="142" w:firstLine="0"/>
        <w:jc w:val="both"/>
        <w:rPr>
          <w:rFonts w:ascii="Times New Roman" w:hAnsi="Times New Roman" w:cs="Times New Roman"/>
          <w:sz w:val="26"/>
          <w:szCs w:val="26"/>
        </w:rPr>
      </w:pPr>
      <w:r w:rsidRPr="0030698E">
        <w:rPr>
          <w:rFonts w:ascii="Times New Roman" w:hAnsi="Times New Roman" w:cs="Times New Roman"/>
          <w:sz w:val="26"/>
          <w:szCs w:val="26"/>
        </w:rPr>
        <w:t>Pēc 2024.gada 31.decembra, kad spēku zaudēs ar Sabiedrisko pakalpojumu regulēšanas komisijas padomes 2019.gada 27.novembra lēmumu Nr.172 “Par AS “Sadales tīkls” elektroenerģijas sadales sistēmas pakalpojumu diferencētajiem tarifiem” apstiprinātie AS “Sadales tīkls” sistēmas pakalpojumu tarifi, jāpārskata neplānot</w:t>
      </w:r>
      <w:r w:rsidR="00DE5FEC" w:rsidRPr="0030698E">
        <w:rPr>
          <w:rFonts w:ascii="Times New Roman" w:hAnsi="Times New Roman" w:cs="Times New Roman"/>
          <w:sz w:val="26"/>
          <w:szCs w:val="26"/>
        </w:rPr>
        <w:t>u</w:t>
      </w:r>
      <w:r w:rsidRPr="0030698E">
        <w:rPr>
          <w:rFonts w:ascii="Times New Roman" w:hAnsi="Times New Roman" w:cs="Times New Roman"/>
          <w:sz w:val="26"/>
          <w:szCs w:val="26"/>
        </w:rPr>
        <w:t xml:space="preserve"> pārtraukum</w:t>
      </w:r>
      <w:r w:rsidR="00DE5FEC" w:rsidRPr="0030698E">
        <w:rPr>
          <w:rFonts w:ascii="Times New Roman" w:hAnsi="Times New Roman" w:cs="Times New Roman"/>
          <w:sz w:val="26"/>
          <w:szCs w:val="26"/>
        </w:rPr>
        <w:t>u</w:t>
      </w:r>
      <w:r w:rsidRPr="0030698E">
        <w:rPr>
          <w:rFonts w:ascii="Times New Roman" w:hAnsi="Times New Roman" w:cs="Times New Roman"/>
          <w:sz w:val="26"/>
          <w:szCs w:val="26"/>
        </w:rPr>
        <w:t xml:space="preserve"> kompensācijas apmērs, tai skaitā, paredzot lielāku kompensāciju ilgāku neplānotu pārtraukumu gadījumā, tādējādi tuvojoties citu valstu praksei.</w:t>
      </w:r>
      <w:bookmarkEnd w:id="1"/>
    </w:p>
    <w:sectPr w:rsidR="00B96C1E" w:rsidRPr="000C457D" w:rsidSect="00DB02AD">
      <w:headerReference w:type="default" r:id="rId11"/>
      <w:foot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C998" w14:textId="77777777" w:rsidR="005D1642" w:rsidRDefault="005D1642" w:rsidP="004944E3">
      <w:pPr>
        <w:spacing w:after="0" w:line="240" w:lineRule="auto"/>
      </w:pPr>
      <w:r>
        <w:separator/>
      </w:r>
    </w:p>
  </w:endnote>
  <w:endnote w:type="continuationSeparator" w:id="0">
    <w:p w14:paraId="0C2770A8" w14:textId="77777777" w:rsidR="005D1642" w:rsidRDefault="005D1642" w:rsidP="00494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86695362"/>
      <w:docPartObj>
        <w:docPartGallery w:val="Page Numbers (Bottom of Page)"/>
        <w:docPartUnique/>
      </w:docPartObj>
    </w:sdtPr>
    <w:sdtEndPr>
      <w:rPr>
        <w:noProof/>
      </w:rPr>
    </w:sdtEndPr>
    <w:sdtContent>
      <w:p w14:paraId="36BAFAB0" w14:textId="77777777" w:rsidR="004944E3" w:rsidRPr="004944E3" w:rsidRDefault="004944E3" w:rsidP="000B0D12">
        <w:pPr>
          <w:pStyle w:val="Footer"/>
          <w:jc w:val="center"/>
          <w:rPr>
            <w:rFonts w:ascii="Times New Roman" w:hAnsi="Times New Roman" w:cs="Times New Roman"/>
            <w:noProof/>
            <w:sz w:val="24"/>
            <w:szCs w:val="24"/>
          </w:rPr>
        </w:pPr>
        <w:r w:rsidRPr="004944E3">
          <w:rPr>
            <w:rFonts w:ascii="Times New Roman" w:hAnsi="Times New Roman" w:cs="Times New Roman"/>
            <w:sz w:val="24"/>
            <w:szCs w:val="24"/>
          </w:rPr>
          <w:fldChar w:fldCharType="begin"/>
        </w:r>
        <w:r w:rsidRPr="004944E3">
          <w:rPr>
            <w:rFonts w:ascii="Times New Roman" w:hAnsi="Times New Roman" w:cs="Times New Roman"/>
            <w:sz w:val="24"/>
            <w:szCs w:val="24"/>
          </w:rPr>
          <w:instrText xml:space="preserve"> PAGE   \* MERGEFORMAT </w:instrText>
        </w:r>
        <w:r w:rsidRPr="004944E3">
          <w:rPr>
            <w:rFonts w:ascii="Times New Roman" w:hAnsi="Times New Roman" w:cs="Times New Roman"/>
            <w:sz w:val="24"/>
            <w:szCs w:val="24"/>
          </w:rPr>
          <w:fldChar w:fldCharType="separate"/>
        </w:r>
        <w:r w:rsidRPr="004944E3">
          <w:rPr>
            <w:rFonts w:ascii="Times New Roman" w:hAnsi="Times New Roman" w:cs="Times New Roman"/>
            <w:noProof/>
            <w:sz w:val="24"/>
            <w:szCs w:val="24"/>
          </w:rPr>
          <w:t>2</w:t>
        </w:r>
        <w:r w:rsidRPr="004944E3">
          <w:rPr>
            <w:rFonts w:ascii="Times New Roman" w:hAnsi="Times New Roman" w:cs="Times New Roman"/>
            <w:noProof/>
            <w:sz w:val="24"/>
            <w:szCs w:val="24"/>
          </w:rPr>
          <w:fldChar w:fldCharType="end"/>
        </w:r>
      </w:p>
      <w:p w14:paraId="47323D42" w14:textId="378B48FF" w:rsidR="004944E3" w:rsidRPr="00B52043" w:rsidRDefault="000B0D12" w:rsidP="000B0D12">
        <w:pPr>
          <w:spacing w:after="0"/>
          <w:jc w:val="both"/>
          <w:rPr>
            <w:rFonts w:ascii="Times New Roman" w:hAnsi="Times New Roman" w:cs="Times New Roman"/>
            <w:sz w:val="20"/>
            <w:szCs w:val="20"/>
          </w:rPr>
        </w:pPr>
        <w:r>
          <w:rPr>
            <w:rFonts w:ascii="Times New Roman" w:hAnsi="Times New Roman" w:cs="Times New Roman"/>
            <w:noProof/>
            <w:sz w:val="20"/>
            <w:szCs w:val="20"/>
          </w:rPr>
          <w:fldChar w:fldCharType="begin"/>
        </w:r>
        <w:r>
          <w:rPr>
            <w:rFonts w:ascii="Times New Roman" w:hAnsi="Times New Roman" w:cs="Times New Roman"/>
            <w:noProof/>
            <w:sz w:val="20"/>
            <w:szCs w:val="20"/>
          </w:rPr>
          <w:instrText xml:space="preserve"> FILENAME   \* MERGEFORMAT </w:instrText>
        </w:r>
        <w:r>
          <w:rPr>
            <w:rFonts w:ascii="Times New Roman" w:hAnsi="Times New Roman" w:cs="Times New Roman"/>
            <w:noProof/>
            <w:sz w:val="20"/>
            <w:szCs w:val="20"/>
          </w:rPr>
          <w:fldChar w:fldCharType="separate"/>
        </w:r>
        <w:r>
          <w:rPr>
            <w:rFonts w:ascii="Times New Roman" w:hAnsi="Times New Roman" w:cs="Times New Roman"/>
            <w:noProof/>
            <w:sz w:val="20"/>
            <w:szCs w:val="20"/>
          </w:rPr>
          <w:t>EMzino_190721_el. kompens</w:t>
        </w:r>
        <w:r>
          <w:rPr>
            <w:rFonts w:ascii="Times New Roman" w:hAnsi="Times New Roman" w:cs="Times New Roman"/>
            <w:noProof/>
            <w:sz w:val="20"/>
            <w:szCs w:val="20"/>
          </w:rPr>
          <w:fldChar w:fldCharType="end"/>
        </w:r>
        <w:r>
          <w:rPr>
            <w:rFonts w:ascii="Times New Roman" w:hAnsi="Times New Roman" w:cs="Times New Roman"/>
            <w:noProof/>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3B26F" w14:textId="77777777" w:rsidR="005D1642" w:rsidRDefault="005D1642" w:rsidP="004944E3">
      <w:pPr>
        <w:spacing w:after="0" w:line="240" w:lineRule="auto"/>
      </w:pPr>
      <w:r>
        <w:separator/>
      </w:r>
    </w:p>
  </w:footnote>
  <w:footnote w:type="continuationSeparator" w:id="0">
    <w:p w14:paraId="198355AB" w14:textId="77777777" w:rsidR="005D1642" w:rsidRDefault="005D1642" w:rsidP="004944E3">
      <w:pPr>
        <w:spacing w:after="0" w:line="240" w:lineRule="auto"/>
      </w:pPr>
      <w:r>
        <w:continuationSeparator/>
      </w:r>
    </w:p>
  </w:footnote>
  <w:footnote w:id="1">
    <w:p w14:paraId="517751CA" w14:textId="77777777" w:rsidR="00FA4E0C" w:rsidRPr="007F3F06" w:rsidRDefault="00FA4E0C" w:rsidP="00FA4E0C">
      <w:pPr>
        <w:pStyle w:val="FootnoteText"/>
        <w:rPr>
          <w:rFonts w:ascii="Times New Roman" w:hAnsi="Times New Roman" w:cs="Times New Roman"/>
        </w:rPr>
      </w:pPr>
      <w:r w:rsidRPr="008A282F">
        <w:rPr>
          <w:rStyle w:val="FootnoteReference"/>
          <w:rFonts w:ascii="Times New Roman" w:hAnsi="Times New Roman" w:cs="Times New Roman"/>
        </w:rPr>
        <w:footnoteRef/>
      </w:r>
      <w:r w:rsidRPr="008A282F">
        <w:rPr>
          <w:rFonts w:ascii="Times New Roman" w:hAnsi="Times New Roman" w:cs="Times New Roman"/>
        </w:rPr>
        <w:t xml:space="preserve"> Izņemot Noteikumu 94.punktā minētajos gadījumos</w:t>
      </w:r>
      <w:r>
        <w:rPr>
          <w:rFonts w:ascii="Times New Roman" w:hAnsi="Times New Roman" w:cs="Times New Roman"/>
        </w:rPr>
        <w:t xml:space="preserve">: </w:t>
      </w:r>
    </w:p>
    <w:p w14:paraId="69899E5A" w14:textId="77777777" w:rsidR="00FA4E0C" w:rsidRPr="007F3F06" w:rsidRDefault="00FA4E0C" w:rsidP="00FA4E0C">
      <w:pPr>
        <w:pStyle w:val="FootnoteText"/>
        <w:numPr>
          <w:ilvl w:val="0"/>
          <w:numId w:val="14"/>
        </w:numPr>
        <w:tabs>
          <w:tab w:val="left" w:pos="284"/>
          <w:tab w:val="left" w:pos="426"/>
        </w:tabs>
        <w:ind w:left="142" w:firstLine="0"/>
        <w:rPr>
          <w:rFonts w:ascii="Times New Roman" w:hAnsi="Times New Roman" w:cs="Times New Roman"/>
        </w:rPr>
      </w:pPr>
      <w:r>
        <w:rPr>
          <w:rFonts w:ascii="Times New Roman" w:hAnsi="Times New Roman" w:cs="Times New Roman"/>
        </w:rPr>
        <w:t xml:space="preserve">ja </w:t>
      </w:r>
      <w:r w:rsidRPr="007F3F06">
        <w:rPr>
          <w:rFonts w:ascii="Times New Roman" w:hAnsi="Times New Roman" w:cs="Times New Roman"/>
        </w:rPr>
        <w:t>elektroapgādes pārtraukums reģistrēts laikā, kad valsts sabiedrība ar ierobežotu atbildību "Latvijas Vides, ģeoloģijas un meteoroloģijas centrs" attiecīgajā valsts reģionā izsludinājusi vismaz dzelteno brīdinājumu par laikapstākļiem;</w:t>
      </w:r>
    </w:p>
    <w:p w14:paraId="5F8CD915" w14:textId="77777777" w:rsidR="00FA4E0C" w:rsidRPr="007F3F06" w:rsidRDefault="00FA4E0C" w:rsidP="00FA4E0C">
      <w:pPr>
        <w:pStyle w:val="FootnoteText"/>
        <w:numPr>
          <w:ilvl w:val="0"/>
          <w:numId w:val="14"/>
        </w:numPr>
        <w:tabs>
          <w:tab w:val="left" w:pos="284"/>
          <w:tab w:val="left" w:pos="426"/>
        </w:tabs>
        <w:ind w:left="142" w:firstLine="0"/>
        <w:rPr>
          <w:rFonts w:ascii="Times New Roman" w:hAnsi="Times New Roman" w:cs="Times New Roman"/>
        </w:rPr>
      </w:pPr>
      <w:r>
        <w:rPr>
          <w:rFonts w:ascii="Times New Roman" w:hAnsi="Times New Roman" w:cs="Times New Roman"/>
        </w:rPr>
        <w:t>ja</w:t>
      </w:r>
      <w:r w:rsidRPr="007F3F06">
        <w:rPr>
          <w:rFonts w:ascii="Times New Roman" w:hAnsi="Times New Roman" w:cs="Times New Roman"/>
        </w:rPr>
        <w:t xml:space="preserve"> elektroapgādes pārtraukumu nevar novērst sistēmas lietotāja vai trešo personu apzinātas vai neapzinātas darbības dēļ;</w:t>
      </w:r>
    </w:p>
    <w:p w14:paraId="3970D42B" w14:textId="77777777" w:rsidR="00FA4E0C" w:rsidRPr="007F3F06" w:rsidRDefault="00FA4E0C" w:rsidP="00FA4E0C">
      <w:pPr>
        <w:pStyle w:val="FootnoteText"/>
        <w:numPr>
          <w:ilvl w:val="0"/>
          <w:numId w:val="14"/>
        </w:numPr>
        <w:tabs>
          <w:tab w:val="left" w:pos="284"/>
          <w:tab w:val="left" w:pos="426"/>
        </w:tabs>
        <w:ind w:left="142" w:firstLine="0"/>
        <w:rPr>
          <w:rFonts w:ascii="Times New Roman" w:hAnsi="Times New Roman" w:cs="Times New Roman"/>
        </w:rPr>
      </w:pPr>
      <w:r>
        <w:rPr>
          <w:rFonts w:ascii="Times New Roman" w:hAnsi="Times New Roman" w:cs="Times New Roman"/>
        </w:rPr>
        <w:t>ja</w:t>
      </w:r>
      <w:r w:rsidRPr="007F3F06">
        <w:rPr>
          <w:rFonts w:ascii="Times New Roman" w:hAnsi="Times New Roman" w:cs="Times New Roman"/>
        </w:rPr>
        <w:t>. elektroapgādes pārtraukums ir radies nepārvaramas varas dēļ (piemēram, sacelšanās, sociālie nemieri, terorakts);</w:t>
      </w:r>
    </w:p>
    <w:p w14:paraId="388851C9" w14:textId="77777777" w:rsidR="00FA4E0C" w:rsidRPr="007F3F06" w:rsidRDefault="00FA4E0C" w:rsidP="00FA4E0C">
      <w:pPr>
        <w:pStyle w:val="FootnoteText"/>
        <w:numPr>
          <w:ilvl w:val="0"/>
          <w:numId w:val="14"/>
        </w:numPr>
        <w:tabs>
          <w:tab w:val="left" w:pos="284"/>
          <w:tab w:val="left" w:pos="426"/>
        </w:tabs>
        <w:ind w:left="142" w:firstLine="0"/>
        <w:rPr>
          <w:rFonts w:ascii="Times New Roman" w:hAnsi="Times New Roman" w:cs="Times New Roman"/>
        </w:rPr>
      </w:pPr>
      <w:r>
        <w:rPr>
          <w:rFonts w:ascii="Times New Roman" w:hAnsi="Times New Roman" w:cs="Times New Roman"/>
        </w:rPr>
        <w:t>ja</w:t>
      </w:r>
      <w:r w:rsidRPr="007F3F06">
        <w:rPr>
          <w:rFonts w:ascii="Times New Roman" w:hAnsi="Times New Roman" w:cs="Times New Roman"/>
        </w:rPr>
        <w:t xml:space="preserve"> elektroenerģijas piegāde ir pārtraukta izsludinātas enerģētiskās krīzes laikā vai elektroenerģijas sistēmas stabila darbības režīma nodrošināšanai;</w:t>
      </w:r>
    </w:p>
    <w:p w14:paraId="60B64F87" w14:textId="77777777" w:rsidR="00FA4E0C" w:rsidRPr="008A282F" w:rsidRDefault="00FA4E0C" w:rsidP="00FA4E0C">
      <w:pPr>
        <w:pStyle w:val="FootnoteText"/>
        <w:numPr>
          <w:ilvl w:val="0"/>
          <w:numId w:val="14"/>
        </w:numPr>
        <w:tabs>
          <w:tab w:val="left" w:pos="284"/>
          <w:tab w:val="left" w:pos="426"/>
        </w:tabs>
        <w:ind w:left="142" w:firstLine="0"/>
        <w:rPr>
          <w:rFonts w:ascii="Times New Roman" w:hAnsi="Times New Roman" w:cs="Times New Roman"/>
        </w:rPr>
      </w:pPr>
      <w:r>
        <w:rPr>
          <w:rFonts w:ascii="Times New Roman" w:hAnsi="Times New Roman" w:cs="Times New Roman"/>
        </w:rPr>
        <w:t xml:space="preserve">ja </w:t>
      </w:r>
      <w:r w:rsidRPr="007F3F06">
        <w:rPr>
          <w:rFonts w:ascii="Times New Roman" w:hAnsi="Times New Roman" w:cs="Times New Roman"/>
        </w:rPr>
        <w:t>elektroenerģijas piegāde ir pārtraukta, pamatojoties uz valsts civilās aizsardzības vai drošības dienestu un iestāžu pieprasījumu.</w:t>
      </w:r>
    </w:p>
  </w:footnote>
  <w:footnote w:id="2">
    <w:p w14:paraId="7CA8203D" w14:textId="77777777" w:rsidR="0043273B" w:rsidRPr="000C457D" w:rsidRDefault="0043273B" w:rsidP="0043273B">
      <w:pPr>
        <w:pStyle w:val="Footer"/>
        <w:rPr>
          <w:rFonts w:ascii="Times New Roman" w:hAnsi="Times New Roman" w:cs="Times New Roman"/>
          <w:noProof/>
          <w:sz w:val="20"/>
          <w:szCs w:val="20"/>
          <w:vertAlign w:val="superscript"/>
        </w:rPr>
      </w:pPr>
      <w:r>
        <w:rPr>
          <w:rStyle w:val="FootnoteReference"/>
        </w:rPr>
        <w:footnoteRef/>
      </w:r>
      <w:r>
        <w:t xml:space="preserve"> </w:t>
      </w:r>
      <w:hyperlink r:id="rId1" w:history="1">
        <w:r w:rsidRPr="00B96C1E">
          <w:rPr>
            <w:rStyle w:val="Hyperlink"/>
            <w:rFonts w:ascii="Times New Roman" w:hAnsi="Times New Roman" w:cs="Times New Roman"/>
            <w:color w:val="auto"/>
            <w:sz w:val="20"/>
            <w:szCs w:val="20"/>
            <w:u w:val="none"/>
          </w:rPr>
          <w:t>https://bridinajumi.meteo.lv/</w:t>
        </w:r>
      </w:hyperlink>
    </w:p>
  </w:footnote>
  <w:footnote w:id="3">
    <w:p w14:paraId="47BF5F02" w14:textId="77777777" w:rsidR="00704380" w:rsidRPr="00B96C1E" w:rsidRDefault="00704380" w:rsidP="00704380">
      <w:pPr>
        <w:spacing w:after="0"/>
        <w:jc w:val="both"/>
        <w:rPr>
          <w:rFonts w:ascii="Times New Roman" w:hAnsi="Times New Roman" w:cs="Times New Roman"/>
          <w:noProof/>
          <w:sz w:val="20"/>
          <w:szCs w:val="20"/>
          <w:vertAlign w:val="superscript"/>
        </w:rPr>
      </w:pPr>
      <w:r>
        <w:rPr>
          <w:rStyle w:val="FootnoteReference"/>
        </w:rPr>
        <w:footnoteRef/>
      </w:r>
      <w:r>
        <w:t xml:space="preserve"> </w:t>
      </w:r>
      <w:hyperlink r:id="rId2" w:history="1">
        <w:r w:rsidRPr="00B96C1E">
          <w:rPr>
            <w:rStyle w:val="Hyperlink"/>
            <w:rFonts w:ascii="Times New Roman" w:hAnsi="Times New Roman" w:cs="Times New Roman"/>
            <w:color w:val="auto"/>
            <w:sz w:val="20"/>
            <w:szCs w:val="20"/>
            <w:u w:val="none"/>
          </w:rPr>
          <w:t>https://sprk.gov.lv/content/parskati-elektroenergijas-nozare</w:t>
        </w:r>
      </w:hyperlink>
    </w:p>
    <w:p w14:paraId="2271605B" w14:textId="13ACA96B" w:rsidR="00704380" w:rsidRDefault="00704380">
      <w:pPr>
        <w:pStyle w:val="FootnoteText"/>
      </w:pPr>
    </w:p>
  </w:footnote>
  <w:footnote w:id="4">
    <w:p w14:paraId="3EEB0340" w14:textId="54965247" w:rsidR="00751079" w:rsidRDefault="00751079">
      <w:pPr>
        <w:pStyle w:val="FootnoteText"/>
      </w:pPr>
      <w:r w:rsidRPr="00751079">
        <w:rPr>
          <w:rStyle w:val="FootnoteReference"/>
          <w:rFonts w:ascii="Times New Roman" w:hAnsi="Times New Roman" w:cs="Times New Roman"/>
        </w:rPr>
        <w:footnoteRef/>
      </w:r>
      <w:r>
        <w:t xml:space="preserve"> </w:t>
      </w:r>
      <w:r w:rsidRPr="0030698E">
        <w:rPr>
          <w:rFonts w:ascii="Times New Roman" w:hAnsi="Times New Roman" w:cs="Times New Roman"/>
        </w:rPr>
        <w:t xml:space="preserve">6TH </w:t>
      </w:r>
      <w:r w:rsidRPr="0030698E">
        <w:rPr>
          <w:rFonts w:ascii="Times New Roman" w:hAnsi="Times New Roman" w:cs="Times New Roman"/>
        </w:rPr>
        <w:t>Ceer Benchmarking Report On The Quality Of Electricity And Gas Supply</w:t>
      </w:r>
    </w:p>
  </w:footnote>
  <w:footnote w:id="5">
    <w:p w14:paraId="6511BCBE" w14:textId="700C229A" w:rsidR="003269C3" w:rsidRDefault="003269C3">
      <w:pPr>
        <w:pStyle w:val="FootnoteText"/>
      </w:pPr>
      <w:r w:rsidRPr="003269C3">
        <w:rPr>
          <w:rStyle w:val="FootnoteReference"/>
          <w:rFonts w:ascii="Times New Roman" w:hAnsi="Times New Roman" w:cs="Times New Roman"/>
        </w:rPr>
        <w:footnoteRef/>
      </w:r>
      <w:r w:rsidRPr="003269C3">
        <w:rPr>
          <w:rFonts w:ascii="Times New Roman" w:hAnsi="Times New Roman" w:cs="Times New Roman"/>
        </w:rPr>
        <w:t xml:space="preserve"> </w:t>
      </w:r>
      <w:hyperlink r:id="rId3" w:history="1">
        <w:r w:rsidRPr="00B96C1E">
          <w:rPr>
            <w:rStyle w:val="Hyperlink"/>
            <w:rFonts w:ascii="Times New Roman" w:hAnsi="Times New Roman" w:cs="Times New Roman"/>
            <w:color w:val="auto"/>
            <w:u w:val="none"/>
          </w:rPr>
          <w:t>https://www.elektrilevi.ee/en/katkestused/hyvitamine?compensation=reduction-network-fees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194C5" w14:textId="2D1B7EBE" w:rsidR="004944E3" w:rsidRDefault="004944E3" w:rsidP="004944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B34E5"/>
    <w:multiLevelType w:val="hybridMultilevel"/>
    <w:tmpl w:val="DC5C6CF0"/>
    <w:lvl w:ilvl="0" w:tplc="5EDEEFB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E6318AD"/>
    <w:multiLevelType w:val="hybridMultilevel"/>
    <w:tmpl w:val="1C9E5160"/>
    <w:lvl w:ilvl="0" w:tplc="D8B2AF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5D71F44"/>
    <w:multiLevelType w:val="hybridMultilevel"/>
    <w:tmpl w:val="B686A3D6"/>
    <w:lvl w:ilvl="0" w:tplc="BEB4806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9395B85"/>
    <w:multiLevelType w:val="hybridMultilevel"/>
    <w:tmpl w:val="4C70C1A6"/>
    <w:lvl w:ilvl="0" w:tplc="89E6C4F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CE94B12"/>
    <w:multiLevelType w:val="hybridMultilevel"/>
    <w:tmpl w:val="6D5CDD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DA16E97"/>
    <w:multiLevelType w:val="hybridMultilevel"/>
    <w:tmpl w:val="EA8A6BE8"/>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08B24DF"/>
    <w:multiLevelType w:val="hybridMultilevel"/>
    <w:tmpl w:val="83888DDE"/>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1965FEF"/>
    <w:multiLevelType w:val="hybridMultilevel"/>
    <w:tmpl w:val="B10211D6"/>
    <w:lvl w:ilvl="0" w:tplc="1C5C5BF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7B81A59"/>
    <w:multiLevelType w:val="hybridMultilevel"/>
    <w:tmpl w:val="DC403C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94476D7"/>
    <w:multiLevelType w:val="hybridMultilevel"/>
    <w:tmpl w:val="4808B0F4"/>
    <w:lvl w:ilvl="0" w:tplc="875073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0ED64DB"/>
    <w:multiLevelType w:val="hybridMultilevel"/>
    <w:tmpl w:val="FDA2BAA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61CC0A8F"/>
    <w:multiLevelType w:val="hybridMultilevel"/>
    <w:tmpl w:val="41107132"/>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63785140"/>
    <w:multiLevelType w:val="hybridMultilevel"/>
    <w:tmpl w:val="E70686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F997559"/>
    <w:multiLevelType w:val="hybridMultilevel"/>
    <w:tmpl w:val="7792A2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2"/>
  </w:num>
  <w:num w:numId="5">
    <w:abstractNumId w:val="7"/>
  </w:num>
  <w:num w:numId="6">
    <w:abstractNumId w:val="4"/>
  </w:num>
  <w:num w:numId="7">
    <w:abstractNumId w:val="10"/>
  </w:num>
  <w:num w:numId="8">
    <w:abstractNumId w:val="0"/>
  </w:num>
  <w:num w:numId="9">
    <w:abstractNumId w:val="3"/>
  </w:num>
  <w:num w:numId="10">
    <w:abstractNumId w:val="9"/>
  </w:num>
  <w:num w:numId="11">
    <w:abstractNumId w:val="1"/>
  </w:num>
  <w:num w:numId="12">
    <w:abstractNumId w:val="13"/>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84"/>
    <w:rsid w:val="00000BB8"/>
    <w:rsid w:val="00005D00"/>
    <w:rsid w:val="000060EE"/>
    <w:rsid w:val="00010046"/>
    <w:rsid w:val="000106AA"/>
    <w:rsid w:val="00021184"/>
    <w:rsid w:val="000213F0"/>
    <w:rsid w:val="00023EC8"/>
    <w:rsid w:val="000244D8"/>
    <w:rsid w:val="00032C42"/>
    <w:rsid w:val="00033674"/>
    <w:rsid w:val="00034AD1"/>
    <w:rsid w:val="00034EAA"/>
    <w:rsid w:val="00047C7C"/>
    <w:rsid w:val="0005218A"/>
    <w:rsid w:val="00054927"/>
    <w:rsid w:val="000654FB"/>
    <w:rsid w:val="00065549"/>
    <w:rsid w:val="00067291"/>
    <w:rsid w:val="000726C4"/>
    <w:rsid w:val="00072764"/>
    <w:rsid w:val="0007384A"/>
    <w:rsid w:val="0007451B"/>
    <w:rsid w:val="000779A5"/>
    <w:rsid w:val="000807DC"/>
    <w:rsid w:val="00081DC5"/>
    <w:rsid w:val="00082291"/>
    <w:rsid w:val="0008363B"/>
    <w:rsid w:val="000908A5"/>
    <w:rsid w:val="000924D7"/>
    <w:rsid w:val="000962E0"/>
    <w:rsid w:val="0009662B"/>
    <w:rsid w:val="00096F13"/>
    <w:rsid w:val="00097CDF"/>
    <w:rsid w:val="000A63E3"/>
    <w:rsid w:val="000A7333"/>
    <w:rsid w:val="000B0D12"/>
    <w:rsid w:val="000B37A5"/>
    <w:rsid w:val="000B42DD"/>
    <w:rsid w:val="000B74ED"/>
    <w:rsid w:val="000C34DD"/>
    <w:rsid w:val="000C40AB"/>
    <w:rsid w:val="000C457D"/>
    <w:rsid w:val="000C66F1"/>
    <w:rsid w:val="000C6826"/>
    <w:rsid w:val="000C729F"/>
    <w:rsid w:val="000D124C"/>
    <w:rsid w:val="000D6FC2"/>
    <w:rsid w:val="000E0693"/>
    <w:rsid w:val="000E29DF"/>
    <w:rsid w:val="000E531C"/>
    <w:rsid w:val="000E7A1E"/>
    <w:rsid w:val="000F03F1"/>
    <w:rsid w:val="000F167B"/>
    <w:rsid w:val="00104EA5"/>
    <w:rsid w:val="00106A49"/>
    <w:rsid w:val="00110E33"/>
    <w:rsid w:val="001203D0"/>
    <w:rsid w:val="001259EB"/>
    <w:rsid w:val="00127906"/>
    <w:rsid w:val="00133117"/>
    <w:rsid w:val="00133BD0"/>
    <w:rsid w:val="00134202"/>
    <w:rsid w:val="00134633"/>
    <w:rsid w:val="00141A89"/>
    <w:rsid w:val="001436A2"/>
    <w:rsid w:val="00143A0B"/>
    <w:rsid w:val="001462BA"/>
    <w:rsid w:val="00150394"/>
    <w:rsid w:val="00150850"/>
    <w:rsid w:val="001516D5"/>
    <w:rsid w:val="00157DD8"/>
    <w:rsid w:val="00162366"/>
    <w:rsid w:val="001627F4"/>
    <w:rsid w:val="001667C4"/>
    <w:rsid w:val="00166DFA"/>
    <w:rsid w:val="00173571"/>
    <w:rsid w:val="00176C99"/>
    <w:rsid w:val="00177FDA"/>
    <w:rsid w:val="00180A93"/>
    <w:rsid w:val="00183EEB"/>
    <w:rsid w:val="00192D26"/>
    <w:rsid w:val="00194F58"/>
    <w:rsid w:val="001957F6"/>
    <w:rsid w:val="001A1785"/>
    <w:rsid w:val="001A1E55"/>
    <w:rsid w:val="001A3A7E"/>
    <w:rsid w:val="001A6D1E"/>
    <w:rsid w:val="001B4564"/>
    <w:rsid w:val="001B501C"/>
    <w:rsid w:val="001B7C69"/>
    <w:rsid w:val="001C3167"/>
    <w:rsid w:val="001C3CAA"/>
    <w:rsid w:val="001D0C62"/>
    <w:rsid w:val="001D2B34"/>
    <w:rsid w:val="001D721D"/>
    <w:rsid w:val="001D7252"/>
    <w:rsid w:val="001D773C"/>
    <w:rsid w:val="001E2445"/>
    <w:rsid w:val="001E7E66"/>
    <w:rsid w:val="001F35A8"/>
    <w:rsid w:val="00200D8B"/>
    <w:rsid w:val="00205E63"/>
    <w:rsid w:val="00207090"/>
    <w:rsid w:val="00211E07"/>
    <w:rsid w:val="00212F15"/>
    <w:rsid w:val="00215034"/>
    <w:rsid w:val="00217ECD"/>
    <w:rsid w:val="00222168"/>
    <w:rsid w:val="00223EBA"/>
    <w:rsid w:val="002259B2"/>
    <w:rsid w:val="0022704F"/>
    <w:rsid w:val="00230B49"/>
    <w:rsid w:val="002320F1"/>
    <w:rsid w:val="00236591"/>
    <w:rsid w:val="00237B67"/>
    <w:rsid w:val="00240AD8"/>
    <w:rsid w:val="00240FA8"/>
    <w:rsid w:val="0024401B"/>
    <w:rsid w:val="00247AF2"/>
    <w:rsid w:val="0025038F"/>
    <w:rsid w:val="0025318C"/>
    <w:rsid w:val="00255997"/>
    <w:rsid w:val="00255C45"/>
    <w:rsid w:val="002569B8"/>
    <w:rsid w:val="00260410"/>
    <w:rsid w:val="00262ABD"/>
    <w:rsid w:val="0026310D"/>
    <w:rsid w:val="002649A8"/>
    <w:rsid w:val="002667EF"/>
    <w:rsid w:val="00271D05"/>
    <w:rsid w:val="00277262"/>
    <w:rsid w:val="002817CF"/>
    <w:rsid w:val="00291799"/>
    <w:rsid w:val="00294166"/>
    <w:rsid w:val="00295BE6"/>
    <w:rsid w:val="002A147D"/>
    <w:rsid w:val="002A5E62"/>
    <w:rsid w:val="002A73CC"/>
    <w:rsid w:val="002B0537"/>
    <w:rsid w:val="002B3D96"/>
    <w:rsid w:val="002B51B0"/>
    <w:rsid w:val="002B5F76"/>
    <w:rsid w:val="002B738D"/>
    <w:rsid w:val="002C2617"/>
    <w:rsid w:val="002C2750"/>
    <w:rsid w:val="002C2BC7"/>
    <w:rsid w:val="002C6219"/>
    <w:rsid w:val="002D41F3"/>
    <w:rsid w:val="002F1661"/>
    <w:rsid w:val="00300699"/>
    <w:rsid w:val="00301936"/>
    <w:rsid w:val="003050CF"/>
    <w:rsid w:val="0030698E"/>
    <w:rsid w:val="00307207"/>
    <w:rsid w:val="003136C4"/>
    <w:rsid w:val="003168BF"/>
    <w:rsid w:val="00321A71"/>
    <w:rsid w:val="00322F05"/>
    <w:rsid w:val="0032612E"/>
    <w:rsid w:val="003269C3"/>
    <w:rsid w:val="00327B53"/>
    <w:rsid w:val="003310ED"/>
    <w:rsid w:val="00332E89"/>
    <w:rsid w:val="00340802"/>
    <w:rsid w:val="003456EE"/>
    <w:rsid w:val="003470C8"/>
    <w:rsid w:val="003509F9"/>
    <w:rsid w:val="00351791"/>
    <w:rsid w:val="00355329"/>
    <w:rsid w:val="00355CFA"/>
    <w:rsid w:val="00361747"/>
    <w:rsid w:val="00371B5C"/>
    <w:rsid w:val="00372B70"/>
    <w:rsid w:val="003828B0"/>
    <w:rsid w:val="00386EE6"/>
    <w:rsid w:val="003952AC"/>
    <w:rsid w:val="00395A67"/>
    <w:rsid w:val="003A521C"/>
    <w:rsid w:val="003C011B"/>
    <w:rsid w:val="003C589B"/>
    <w:rsid w:val="003D4F74"/>
    <w:rsid w:val="003D5F8A"/>
    <w:rsid w:val="003E22A7"/>
    <w:rsid w:val="003E3BF3"/>
    <w:rsid w:val="003F2A11"/>
    <w:rsid w:val="003F2B0F"/>
    <w:rsid w:val="003F69F1"/>
    <w:rsid w:val="004018D3"/>
    <w:rsid w:val="004040B4"/>
    <w:rsid w:val="00404AEE"/>
    <w:rsid w:val="00406816"/>
    <w:rsid w:val="00410113"/>
    <w:rsid w:val="004137C4"/>
    <w:rsid w:val="00413E29"/>
    <w:rsid w:val="0041403B"/>
    <w:rsid w:val="004142D4"/>
    <w:rsid w:val="00414377"/>
    <w:rsid w:val="0042083B"/>
    <w:rsid w:val="004241C5"/>
    <w:rsid w:val="00424FC2"/>
    <w:rsid w:val="00425853"/>
    <w:rsid w:val="0043273B"/>
    <w:rsid w:val="0043368F"/>
    <w:rsid w:val="00437039"/>
    <w:rsid w:val="00441344"/>
    <w:rsid w:val="004441B2"/>
    <w:rsid w:val="00445E6D"/>
    <w:rsid w:val="00450874"/>
    <w:rsid w:val="00451863"/>
    <w:rsid w:val="00453D99"/>
    <w:rsid w:val="00460112"/>
    <w:rsid w:val="00461CA3"/>
    <w:rsid w:val="0046371A"/>
    <w:rsid w:val="004667EF"/>
    <w:rsid w:val="00470CA6"/>
    <w:rsid w:val="0047205A"/>
    <w:rsid w:val="00475F79"/>
    <w:rsid w:val="004775E6"/>
    <w:rsid w:val="004806EF"/>
    <w:rsid w:val="004856A0"/>
    <w:rsid w:val="00485BA4"/>
    <w:rsid w:val="004863D6"/>
    <w:rsid w:val="0048671C"/>
    <w:rsid w:val="004879B0"/>
    <w:rsid w:val="0049002C"/>
    <w:rsid w:val="004944E3"/>
    <w:rsid w:val="004959DC"/>
    <w:rsid w:val="004977F7"/>
    <w:rsid w:val="004A1C0E"/>
    <w:rsid w:val="004A490A"/>
    <w:rsid w:val="004A6241"/>
    <w:rsid w:val="004B355B"/>
    <w:rsid w:val="004B47DB"/>
    <w:rsid w:val="004B5B5D"/>
    <w:rsid w:val="004B68D7"/>
    <w:rsid w:val="004C139F"/>
    <w:rsid w:val="004C5A9F"/>
    <w:rsid w:val="004C62D9"/>
    <w:rsid w:val="004D02DB"/>
    <w:rsid w:val="004D1A8A"/>
    <w:rsid w:val="004D1B2A"/>
    <w:rsid w:val="004D69B6"/>
    <w:rsid w:val="004D7560"/>
    <w:rsid w:val="004D7C9C"/>
    <w:rsid w:val="004E0C0B"/>
    <w:rsid w:val="004E1059"/>
    <w:rsid w:val="004E3E79"/>
    <w:rsid w:val="004F1039"/>
    <w:rsid w:val="004F1CD4"/>
    <w:rsid w:val="004F400D"/>
    <w:rsid w:val="004F5DDF"/>
    <w:rsid w:val="00500BE7"/>
    <w:rsid w:val="00504230"/>
    <w:rsid w:val="00505DF3"/>
    <w:rsid w:val="00506AB5"/>
    <w:rsid w:val="0051161A"/>
    <w:rsid w:val="005135EE"/>
    <w:rsid w:val="00515632"/>
    <w:rsid w:val="00516BB1"/>
    <w:rsid w:val="0052180A"/>
    <w:rsid w:val="0052488D"/>
    <w:rsid w:val="00525211"/>
    <w:rsid w:val="00532232"/>
    <w:rsid w:val="0053278B"/>
    <w:rsid w:val="0053645E"/>
    <w:rsid w:val="005372C9"/>
    <w:rsid w:val="00537351"/>
    <w:rsid w:val="00543E60"/>
    <w:rsid w:val="00545D1C"/>
    <w:rsid w:val="0055453C"/>
    <w:rsid w:val="00555F10"/>
    <w:rsid w:val="00557309"/>
    <w:rsid w:val="005577BC"/>
    <w:rsid w:val="00565755"/>
    <w:rsid w:val="00571DE9"/>
    <w:rsid w:val="00572514"/>
    <w:rsid w:val="00572CC1"/>
    <w:rsid w:val="005745B5"/>
    <w:rsid w:val="00576648"/>
    <w:rsid w:val="005801C2"/>
    <w:rsid w:val="00580FB1"/>
    <w:rsid w:val="00585DC6"/>
    <w:rsid w:val="005871DA"/>
    <w:rsid w:val="00590D0D"/>
    <w:rsid w:val="00591D42"/>
    <w:rsid w:val="00595520"/>
    <w:rsid w:val="005A3B9D"/>
    <w:rsid w:val="005A62A9"/>
    <w:rsid w:val="005A6E05"/>
    <w:rsid w:val="005B5D47"/>
    <w:rsid w:val="005B7CB9"/>
    <w:rsid w:val="005C21DA"/>
    <w:rsid w:val="005C24DA"/>
    <w:rsid w:val="005C4023"/>
    <w:rsid w:val="005D1642"/>
    <w:rsid w:val="005D6180"/>
    <w:rsid w:val="005D6672"/>
    <w:rsid w:val="005E2151"/>
    <w:rsid w:val="005E28CE"/>
    <w:rsid w:val="005E3815"/>
    <w:rsid w:val="005F5389"/>
    <w:rsid w:val="005F6FC7"/>
    <w:rsid w:val="00601930"/>
    <w:rsid w:val="006060AD"/>
    <w:rsid w:val="00606155"/>
    <w:rsid w:val="006071CC"/>
    <w:rsid w:val="00611E12"/>
    <w:rsid w:val="00613A6A"/>
    <w:rsid w:val="006140BD"/>
    <w:rsid w:val="0062220F"/>
    <w:rsid w:val="0063107D"/>
    <w:rsid w:val="00631ECC"/>
    <w:rsid w:val="00635F40"/>
    <w:rsid w:val="00637FED"/>
    <w:rsid w:val="006407E9"/>
    <w:rsid w:val="00640856"/>
    <w:rsid w:val="00646C06"/>
    <w:rsid w:val="00646C1F"/>
    <w:rsid w:val="006476E7"/>
    <w:rsid w:val="00650028"/>
    <w:rsid w:val="00650CA0"/>
    <w:rsid w:val="00652527"/>
    <w:rsid w:val="00653AD5"/>
    <w:rsid w:val="00654B57"/>
    <w:rsid w:val="00657714"/>
    <w:rsid w:val="0066040A"/>
    <w:rsid w:val="00662656"/>
    <w:rsid w:val="00667DD7"/>
    <w:rsid w:val="00675014"/>
    <w:rsid w:val="006765FA"/>
    <w:rsid w:val="00676D27"/>
    <w:rsid w:val="00685876"/>
    <w:rsid w:val="00692179"/>
    <w:rsid w:val="006A1CED"/>
    <w:rsid w:val="006A2F69"/>
    <w:rsid w:val="006B1F25"/>
    <w:rsid w:val="006B6ADA"/>
    <w:rsid w:val="006B7E23"/>
    <w:rsid w:val="006C05F3"/>
    <w:rsid w:val="006C0A23"/>
    <w:rsid w:val="006C483A"/>
    <w:rsid w:val="006C52F8"/>
    <w:rsid w:val="006C57BE"/>
    <w:rsid w:val="006D2185"/>
    <w:rsid w:val="006D2BC0"/>
    <w:rsid w:val="006D2C3E"/>
    <w:rsid w:val="006D3044"/>
    <w:rsid w:val="006D4A00"/>
    <w:rsid w:val="006D6E94"/>
    <w:rsid w:val="006D75CD"/>
    <w:rsid w:val="006E3F66"/>
    <w:rsid w:val="006E58FF"/>
    <w:rsid w:val="006F1F78"/>
    <w:rsid w:val="006F2420"/>
    <w:rsid w:val="006F4188"/>
    <w:rsid w:val="006F665D"/>
    <w:rsid w:val="006F6989"/>
    <w:rsid w:val="006F76C6"/>
    <w:rsid w:val="00702246"/>
    <w:rsid w:val="00704380"/>
    <w:rsid w:val="00705903"/>
    <w:rsid w:val="007069B4"/>
    <w:rsid w:val="00706E55"/>
    <w:rsid w:val="00710384"/>
    <w:rsid w:val="0072086A"/>
    <w:rsid w:val="007211BE"/>
    <w:rsid w:val="00721C8C"/>
    <w:rsid w:val="0072707D"/>
    <w:rsid w:val="00731497"/>
    <w:rsid w:val="007338DA"/>
    <w:rsid w:val="00734198"/>
    <w:rsid w:val="007355BA"/>
    <w:rsid w:val="00742A46"/>
    <w:rsid w:val="00742B9F"/>
    <w:rsid w:val="007433D1"/>
    <w:rsid w:val="00744280"/>
    <w:rsid w:val="00751079"/>
    <w:rsid w:val="007533BC"/>
    <w:rsid w:val="0075456C"/>
    <w:rsid w:val="007614DB"/>
    <w:rsid w:val="007662E6"/>
    <w:rsid w:val="00767C6E"/>
    <w:rsid w:val="00772BB3"/>
    <w:rsid w:val="00772D83"/>
    <w:rsid w:val="007732C0"/>
    <w:rsid w:val="00782BA0"/>
    <w:rsid w:val="00793DD0"/>
    <w:rsid w:val="00796269"/>
    <w:rsid w:val="007A241A"/>
    <w:rsid w:val="007A42D8"/>
    <w:rsid w:val="007A60C7"/>
    <w:rsid w:val="007B05C6"/>
    <w:rsid w:val="007B23B7"/>
    <w:rsid w:val="007B3E7E"/>
    <w:rsid w:val="007C1D55"/>
    <w:rsid w:val="007C6884"/>
    <w:rsid w:val="007C7A96"/>
    <w:rsid w:val="007D1926"/>
    <w:rsid w:val="007D2A37"/>
    <w:rsid w:val="007D3E8A"/>
    <w:rsid w:val="007F2776"/>
    <w:rsid w:val="007F3F06"/>
    <w:rsid w:val="00801F10"/>
    <w:rsid w:val="008034AF"/>
    <w:rsid w:val="008046EA"/>
    <w:rsid w:val="008052F0"/>
    <w:rsid w:val="008108B7"/>
    <w:rsid w:val="00810BBE"/>
    <w:rsid w:val="00811185"/>
    <w:rsid w:val="00813C46"/>
    <w:rsid w:val="00816962"/>
    <w:rsid w:val="00817406"/>
    <w:rsid w:val="00821DFA"/>
    <w:rsid w:val="00827890"/>
    <w:rsid w:val="00831D98"/>
    <w:rsid w:val="00832040"/>
    <w:rsid w:val="008379BD"/>
    <w:rsid w:val="0084296A"/>
    <w:rsid w:val="00843398"/>
    <w:rsid w:val="00844B72"/>
    <w:rsid w:val="00850F4D"/>
    <w:rsid w:val="00857953"/>
    <w:rsid w:val="00860517"/>
    <w:rsid w:val="00861634"/>
    <w:rsid w:val="008620A3"/>
    <w:rsid w:val="00865387"/>
    <w:rsid w:val="0087494B"/>
    <w:rsid w:val="00877B6F"/>
    <w:rsid w:val="00880A4C"/>
    <w:rsid w:val="00882C4B"/>
    <w:rsid w:val="00892D68"/>
    <w:rsid w:val="00893A4B"/>
    <w:rsid w:val="00893E79"/>
    <w:rsid w:val="00895A93"/>
    <w:rsid w:val="0089626F"/>
    <w:rsid w:val="008A282F"/>
    <w:rsid w:val="008A4081"/>
    <w:rsid w:val="008A43F3"/>
    <w:rsid w:val="008A59D8"/>
    <w:rsid w:val="008B18A3"/>
    <w:rsid w:val="008B2757"/>
    <w:rsid w:val="008B371E"/>
    <w:rsid w:val="008B5163"/>
    <w:rsid w:val="008B5AB8"/>
    <w:rsid w:val="008B6652"/>
    <w:rsid w:val="008C4E5D"/>
    <w:rsid w:val="008C70EE"/>
    <w:rsid w:val="008C75DB"/>
    <w:rsid w:val="008D1348"/>
    <w:rsid w:val="008D27F5"/>
    <w:rsid w:val="008D422F"/>
    <w:rsid w:val="008D4ABD"/>
    <w:rsid w:val="008E1822"/>
    <w:rsid w:val="008E20FC"/>
    <w:rsid w:val="008E2DA7"/>
    <w:rsid w:val="008E300D"/>
    <w:rsid w:val="008E314C"/>
    <w:rsid w:val="008E3C99"/>
    <w:rsid w:val="008F10E9"/>
    <w:rsid w:val="008F16ED"/>
    <w:rsid w:val="008F6083"/>
    <w:rsid w:val="00900A2A"/>
    <w:rsid w:val="00901A9C"/>
    <w:rsid w:val="00905152"/>
    <w:rsid w:val="00906488"/>
    <w:rsid w:val="00916CBE"/>
    <w:rsid w:val="00917511"/>
    <w:rsid w:val="00917DA8"/>
    <w:rsid w:val="00920C16"/>
    <w:rsid w:val="00921518"/>
    <w:rsid w:val="0093708B"/>
    <w:rsid w:val="009449BF"/>
    <w:rsid w:val="009508FE"/>
    <w:rsid w:val="00961BFD"/>
    <w:rsid w:val="0096771D"/>
    <w:rsid w:val="00970677"/>
    <w:rsid w:val="00972C08"/>
    <w:rsid w:val="009741CA"/>
    <w:rsid w:val="009747B6"/>
    <w:rsid w:val="00980394"/>
    <w:rsid w:val="009838D9"/>
    <w:rsid w:val="00987508"/>
    <w:rsid w:val="00996037"/>
    <w:rsid w:val="00997931"/>
    <w:rsid w:val="009A3530"/>
    <w:rsid w:val="009A5546"/>
    <w:rsid w:val="009B01F8"/>
    <w:rsid w:val="009B484E"/>
    <w:rsid w:val="009B6A4B"/>
    <w:rsid w:val="009B71E6"/>
    <w:rsid w:val="009C19D6"/>
    <w:rsid w:val="009C2E5D"/>
    <w:rsid w:val="009C777E"/>
    <w:rsid w:val="009C7E90"/>
    <w:rsid w:val="009D032D"/>
    <w:rsid w:val="009D0FCC"/>
    <w:rsid w:val="009D1A4D"/>
    <w:rsid w:val="009D3E46"/>
    <w:rsid w:val="009E14A6"/>
    <w:rsid w:val="009E3CD0"/>
    <w:rsid w:val="009E4250"/>
    <w:rsid w:val="009E56C7"/>
    <w:rsid w:val="009E7792"/>
    <w:rsid w:val="009F3AF4"/>
    <w:rsid w:val="009F481E"/>
    <w:rsid w:val="009F4F61"/>
    <w:rsid w:val="009F59C9"/>
    <w:rsid w:val="00A01CAC"/>
    <w:rsid w:val="00A02632"/>
    <w:rsid w:val="00A10108"/>
    <w:rsid w:val="00A1060D"/>
    <w:rsid w:val="00A14074"/>
    <w:rsid w:val="00A143E8"/>
    <w:rsid w:val="00A2061E"/>
    <w:rsid w:val="00A215F1"/>
    <w:rsid w:val="00A241BB"/>
    <w:rsid w:val="00A24948"/>
    <w:rsid w:val="00A26161"/>
    <w:rsid w:val="00A300A5"/>
    <w:rsid w:val="00A3117D"/>
    <w:rsid w:val="00A317C9"/>
    <w:rsid w:val="00A31DB1"/>
    <w:rsid w:val="00A35F90"/>
    <w:rsid w:val="00A42D8F"/>
    <w:rsid w:val="00A44935"/>
    <w:rsid w:val="00A45DB4"/>
    <w:rsid w:val="00A47088"/>
    <w:rsid w:val="00A5477B"/>
    <w:rsid w:val="00A54EE5"/>
    <w:rsid w:val="00A56F6D"/>
    <w:rsid w:val="00A60E3C"/>
    <w:rsid w:val="00A64DA7"/>
    <w:rsid w:val="00A668C7"/>
    <w:rsid w:val="00A66EAA"/>
    <w:rsid w:val="00A71010"/>
    <w:rsid w:val="00A72BB8"/>
    <w:rsid w:val="00A72C84"/>
    <w:rsid w:val="00A74C26"/>
    <w:rsid w:val="00A82B79"/>
    <w:rsid w:val="00A8338C"/>
    <w:rsid w:val="00A8770E"/>
    <w:rsid w:val="00A9022D"/>
    <w:rsid w:val="00A922B7"/>
    <w:rsid w:val="00A9425B"/>
    <w:rsid w:val="00AA4722"/>
    <w:rsid w:val="00AA6A78"/>
    <w:rsid w:val="00AB0DC1"/>
    <w:rsid w:val="00AB0DDE"/>
    <w:rsid w:val="00AB1CD0"/>
    <w:rsid w:val="00AB60F9"/>
    <w:rsid w:val="00AC0F9F"/>
    <w:rsid w:val="00AC4BCB"/>
    <w:rsid w:val="00AC5319"/>
    <w:rsid w:val="00AC5411"/>
    <w:rsid w:val="00AC5C97"/>
    <w:rsid w:val="00AD2218"/>
    <w:rsid w:val="00AD4AD4"/>
    <w:rsid w:val="00AE0C33"/>
    <w:rsid w:val="00AE0D7B"/>
    <w:rsid w:val="00AE3937"/>
    <w:rsid w:val="00AE4254"/>
    <w:rsid w:val="00AE57C3"/>
    <w:rsid w:val="00AE5F5F"/>
    <w:rsid w:val="00AE66A4"/>
    <w:rsid w:val="00AF2345"/>
    <w:rsid w:val="00AF33F8"/>
    <w:rsid w:val="00B043AA"/>
    <w:rsid w:val="00B0646F"/>
    <w:rsid w:val="00B13EED"/>
    <w:rsid w:val="00B2074D"/>
    <w:rsid w:val="00B21377"/>
    <w:rsid w:val="00B22AA2"/>
    <w:rsid w:val="00B2381B"/>
    <w:rsid w:val="00B2459D"/>
    <w:rsid w:val="00B27F4B"/>
    <w:rsid w:val="00B3587F"/>
    <w:rsid w:val="00B4263A"/>
    <w:rsid w:val="00B43E2F"/>
    <w:rsid w:val="00B46AF3"/>
    <w:rsid w:val="00B47956"/>
    <w:rsid w:val="00B51A09"/>
    <w:rsid w:val="00B52043"/>
    <w:rsid w:val="00B53BD7"/>
    <w:rsid w:val="00B605FF"/>
    <w:rsid w:val="00B608D4"/>
    <w:rsid w:val="00B61308"/>
    <w:rsid w:val="00B61F0A"/>
    <w:rsid w:val="00B649EE"/>
    <w:rsid w:val="00B65807"/>
    <w:rsid w:val="00B65F8B"/>
    <w:rsid w:val="00B6648A"/>
    <w:rsid w:val="00B70079"/>
    <w:rsid w:val="00B722B6"/>
    <w:rsid w:val="00B73B5C"/>
    <w:rsid w:val="00B75240"/>
    <w:rsid w:val="00B768F7"/>
    <w:rsid w:val="00B77AFD"/>
    <w:rsid w:val="00B803B7"/>
    <w:rsid w:val="00B81954"/>
    <w:rsid w:val="00B837E5"/>
    <w:rsid w:val="00B83B4B"/>
    <w:rsid w:val="00B84327"/>
    <w:rsid w:val="00B84407"/>
    <w:rsid w:val="00B84838"/>
    <w:rsid w:val="00B9575D"/>
    <w:rsid w:val="00B96C1E"/>
    <w:rsid w:val="00BA2AB6"/>
    <w:rsid w:val="00BA2E70"/>
    <w:rsid w:val="00BA49E5"/>
    <w:rsid w:val="00BA5BC3"/>
    <w:rsid w:val="00BA7350"/>
    <w:rsid w:val="00BB7604"/>
    <w:rsid w:val="00BB79DC"/>
    <w:rsid w:val="00BC190A"/>
    <w:rsid w:val="00BC2D3A"/>
    <w:rsid w:val="00BD36A2"/>
    <w:rsid w:val="00BD5870"/>
    <w:rsid w:val="00BD5FB2"/>
    <w:rsid w:val="00BE1969"/>
    <w:rsid w:val="00BE2022"/>
    <w:rsid w:val="00BE4B61"/>
    <w:rsid w:val="00BE6241"/>
    <w:rsid w:val="00BF51BF"/>
    <w:rsid w:val="00BF70CD"/>
    <w:rsid w:val="00BF7E2C"/>
    <w:rsid w:val="00C032F9"/>
    <w:rsid w:val="00C14E1E"/>
    <w:rsid w:val="00C15D2E"/>
    <w:rsid w:val="00C26991"/>
    <w:rsid w:val="00C41E39"/>
    <w:rsid w:val="00C4245D"/>
    <w:rsid w:val="00C439EB"/>
    <w:rsid w:val="00C50EF4"/>
    <w:rsid w:val="00C605C4"/>
    <w:rsid w:val="00C60CD9"/>
    <w:rsid w:val="00C61DA2"/>
    <w:rsid w:val="00C664FD"/>
    <w:rsid w:val="00C67543"/>
    <w:rsid w:val="00C719D9"/>
    <w:rsid w:val="00C73404"/>
    <w:rsid w:val="00C82B12"/>
    <w:rsid w:val="00C90BCE"/>
    <w:rsid w:val="00C917BB"/>
    <w:rsid w:val="00C92CFE"/>
    <w:rsid w:val="00C92F11"/>
    <w:rsid w:val="00C952ED"/>
    <w:rsid w:val="00C9631D"/>
    <w:rsid w:val="00CB326D"/>
    <w:rsid w:val="00CB50A0"/>
    <w:rsid w:val="00CB5450"/>
    <w:rsid w:val="00CB6660"/>
    <w:rsid w:val="00CC458E"/>
    <w:rsid w:val="00CC73DD"/>
    <w:rsid w:val="00CC7C2A"/>
    <w:rsid w:val="00CD0D7F"/>
    <w:rsid w:val="00CD3EFB"/>
    <w:rsid w:val="00CD56A7"/>
    <w:rsid w:val="00CD5958"/>
    <w:rsid w:val="00CE3175"/>
    <w:rsid w:val="00CE35F8"/>
    <w:rsid w:val="00CE506F"/>
    <w:rsid w:val="00CF285E"/>
    <w:rsid w:val="00CF2C04"/>
    <w:rsid w:val="00CF3B3A"/>
    <w:rsid w:val="00D00BA1"/>
    <w:rsid w:val="00D0446D"/>
    <w:rsid w:val="00D1033D"/>
    <w:rsid w:val="00D1278F"/>
    <w:rsid w:val="00D137B9"/>
    <w:rsid w:val="00D17D80"/>
    <w:rsid w:val="00D210DE"/>
    <w:rsid w:val="00D269AE"/>
    <w:rsid w:val="00D26C25"/>
    <w:rsid w:val="00D31DEF"/>
    <w:rsid w:val="00D32041"/>
    <w:rsid w:val="00D33BF9"/>
    <w:rsid w:val="00D35330"/>
    <w:rsid w:val="00D36E59"/>
    <w:rsid w:val="00D43764"/>
    <w:rsid w:val="00D45DFC"/>
    <w:rsid w:val="00D46137"/>
    <w:rsid w:val="00D507A4"/>
    <w:rsid w:val="00D54309"/>
    <w:rsid w:val="00D54D3F"/>
    <w:rsid w:val="00D5768F"/>
    <w:rsid w:val="00D578E5"/>
    <w:rsid w:val="00D63805"/>
    <w:rsid w:val="00D643BE"/>
    <w:rsid w:val="00D65CCC"/>
    <w:rsid w:val="00D667D8"/>
    <w:rsid w:val="00D75465"/>
    <w:rsid w:val="00D76400"/>
    <w:rsid w:val="00D76C90"/>
    <w:rsid w:val="00D818D2"/>
    <w:rsid w:val="00D909F5"/>
    <w:rsid w:val="00DB02AD"/>
    <w:rsid w:val="00DB0711"/>
    <w:rsid w:val="00DB3DAF"/>
    <w:rsid w:val="00DB72D5"/>
    <w:rsid w:val="00DC19E5"/>
    <w:rsid w:val="00DC219D"/>
    <w:rsid w:val="00DC450F"/>
    <w:rsid w:val="00DC4932"/>
    <w:rsid w:val="00DC6EE7"/>
    <w:rsid w:val="00DD3286"/>
    <w:rsid w:val="00DD6F56"/>
    <w:rsid w:val="00DD7D7C"/>
    <w:rsid w:val="00DE5FEC"/>
    <w:rsid w:val="00DF184E"/>
    <w:rsid w:val="00DF24EE"/>
    <w:rsid w:val="00DF2C5E"/>
    <w:rsid w:val="00DF3059"/>
    <w:rsid w:val="00E05777"/>
    <w:rsid w:val="00E06D6F"/>
    <w:rsid w:val="00E12887"/>
    <w:rsid w:val="00E14114"/>
    <w:rsid w:val="00E155EE"/>
    <w:rsid w:val="00E16026"/>
    <w:rsid w:val="00E21038"/>
    <w:rsid w:val="00E2600E"/>
    <w:rsid w:val="00E33539"/>
    <w:rsid w:val="00E3357A"/>
    <w:rsid w:val="00E35CE8"/>
    <w:rsid w:val="00E371B1"/>
    <w:rsid w:val="00E379DB"/>
    <w:rsid w:val="00E41993"/>
    <w:rsid w:val="00E4429B"/>
    <w:rsid w:val="00E45FB4"/>
    <w:rsid w:val="00E4631E"/>
    <w:rsid w:val="00E519F6"/>
    <w:rsid w:val="00E53A99"/>
    <w:rsid w:val="00E54DF0"/>
    <w:rsid w:val="00E578E9"/>
    <w:rsid w:val="00E61847"/>
    <w:rsid w:val="00E62486"/>
    <w:rsid w:val="00E65E50"/>
    <w:rsid w:val="00E66877"/>
    <w:rsid w:val="00E66D43"/>
    <w:rsid w:val="00E71E17"/>
    <w:rsid w:val="00E723C1"/>
    <w:rsid w:val="00E7668C"/>
    <w:rsid w:val="00E77DAC"/>
    <w:rsid w:val="00E82839"/>
    <w:rsid w:val="00E84726"/>
    <w:rsid w:val="00E84C4C"/>
    <w:rsid w:val="00E87C91"/>
    <w:rsid w:val="00E942E4"/>
    <w:rsid w:val="00EA1B90"/>
    <w:rsid w:val="00EA6BF3"/>
    <w:rsid w:val="00EA7211"/>
    <w:rsid w:val="00EB4456"/>
    <w:rsid w:val="00EB7BF0"/>
    <w:rsid w:val="00EC2A09"/>
    <w:rsid w:val="00EC500D"/>
    <w:rsid w:val="00EC5450"/>
    <w:rsid w:val="00ED0B2B"/>
    <w:rsid w:val="00ED563D"/>
    <w:rsid w:val="00ED7552"/>
    <w:rsid w:val="00EE29E7"/>
    <w:rsid w:val="00EE4F17"/>
    <w:rsid w:val="00EE6064"/>
    <w:rsid w:val="00EE76BD"/>
    <w:rsid w:val="00EF3633"/>
    <w:rsid w:val="00EF5571"/>
    <w:rsid w:val="00EF71D3"/>
    <w:rsid w:val="00EF7460"/>
    <w:rsid w:val="00EF7AC5"/>
    <w:rsid w:val="00EF7EF3"/>
    <w:rsid w:val="00F010F6"/>
    <w:rsid w:val="00F018F4"/>
    <w:rsid w:val="00F10325"/>
    <w:rsid w:val="00F13652"/>
    <w:rsid w:val="00F156DA"/>
    <w:rsid w:val="00F2014D"/>
    <w:rsid w:val="00F216B7"/>
    <w:rsid w:val="00F2282F"/>
    <w:rsid w:val="00F2381D"/>
    <w:rsid w:val="00F23829"/>
    <w:rsid w:val="00F2656E"/>
    <w:rsid w:val="00F26E42"/>
    <w:rsid w:val="00F26FB4"/>
    <w:rsid w:val="00F2775B"/>
    <w:rsid w:val="00F30D5D"/>
    <w:rsid w:val="00F334BF"/>
    <w:rsid w:val="00F37FBE"/>
    <w:rsid w:val="00F42AAB"/>
    <w:rsid w:val="00F43D6C"/>
    <w:rsid w:val="00F4714C"/>
    <w:rsid w:val="00F524B7"/>
    <w:rsid w:val="00F52A02"/>
    <w:rsid w:val="00F5457A"/>
    <w:rsid w:val="00F5469F"/>
    <w:rsid w:val="00F54E27"/>
    <w:rsid w:val="00F56A33"/>
    <w:rsid w:val="00F571E6"/>
    <w:rsid w:val="00F60471"/>
    <w:rsid w:val="00F61C0C"/>
    <w:rsid w:val="00F6338C"/>
    <w:rsid w:val="00F63455"/>
    <w:rsid w:val="00F6430D"/>
    <w:rsid w:val="00F66D80"/>
    <w:rsid w:val="00F6726B"/>
    <w:rsid w:val="00F672A9"/>
    <w:rsid w:val="00F674E3"/>
    <w:rsid w:val="00F72CE4"/>
    <w:rsid w:val="00F757F7"/>
    <w:rsid w:val="00F81BD0"/>
    <w:rsid w:val="00F84463"/>
    <w:rsid w:val="00F927B1"/>
    <w:rsid w:val="00F93A05"/>
    <w:rsid w:val="00F93A77"/>
    <w:rsid w:val="00FA2CE5"/>
    <w:rsid w:val="00FA4E0C"/>
    <w:rsid w:val="00FA5BCE"/>
    <w:rsid w:val="00FA5CE1"/>
    <w:rsid w:val="00FA663B"/>
    <w:rsid w:val="00FA682D"/>
    <w:rsid w:val="00FB0610"/>
    <w:rsid w:val="00FB7366"/>
    <w:rsid w:val="00FC5E4A"/>
    <w:rsid w:val="00FC5EF6"/>
    <w:rsid w:val="00FD42D1"/>
    <w:rsid w:val="00FD5264"/>
    <w:rsid w:val="00FE201A"/>
    <w:rsid w:val="00FE6C34"/>
    <w:rsid w:val="00FF1671"/>
    <w:rsid w:val="00FF2184"/>
    <w:rsid w:val="00FF4322"/>
    <w:rsid w:val="00FF51A6"/>
    <w:rsid w:val="00FF73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1DE01"/>
  <w15:chartTrackingRefBased/>
  <w15:docId w15:val="{9C535E87-B05C-46AB-B145-E4B4998DF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F6D"/>
    <w:pPr>
      <w:ind w:left="720"/>
      <w:contextualSpacing/>
    </w:pPr>
  </w:style>
  <w:style w:type="paragraph" w:styleId="Header">
    <w:name w:val="header"/>
    <w:basedOn w:val="Normal"/>
    <w:link w:val="HeaderChar"/>
    <w:uiPriority w:val="99"/>
    <w:unhideWhenUsed/>
    <w:rsid w:val="004944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44E3"/>
  </w:style>
  <w:style w:type="paragraph" w:styleId="Footer">
    <w:name w:val="footer"/>
    <w:basedOn w:val="Normal"/>
    <w:link w:val="FooterChar"/>
    <w:uiPriority w:val="99"/>
    <w:unhideWhenUsed/>
    <w:rsid w:val="004944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44E3"/>
  </w:style>
  <w:style w:type="paragraph" w:styleId="FootnoteText">
    <w:name w:val="footnote text"/>
    <w:basedOn w:val="Normal"/>
    <w:link w:val="FootnoteTextChar"/>
    <w:uiPriority w:val="99"/>
    <w:semiHidden/>
    <w:unhideWhenUsed/>
    <w:rsid w:val="002A73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3CC"/>
    <w:rPr>
      <w:sz w:val="20"/>
      <w:szCs w:val="20"/>
    </w:rPr>
  </w:style>
  <w:style w:type="character" w:styleId="FootnoteReference">
    <w:name w:val="footnote reference"/>
    <w:basedOn w:val="DefaultParagraphFont"/>
    <w:uiPriority w:val="99"/>
    <w:semiHidden/>
    <w:unhideWhenUsed/>
    <w:rsid w:val="002A73CC"/>
    <w:rPr>
      <w:vertAlign w:val="superscript"/>
    </w:rPr>
  </w:style>
  <w:style w:type="character" w:styleId="Hyperlink">
    <w:name w:val="Hyperlink"/>
    <w:basedOn w:val="DefaultParagraphFont"/>
    <w:uiPriority w:val="99"/>
    <w:unhideWhenUsed/>
    <w:rsid w:val="00096F13"/>
    <w:rPr>
      <w:color w:val="0563C1" w:themeColor="hyperlink"/>
      <w:u w:val="single"/>
    </w:rPr>
  </w:style>
  <w:style w:type="character" w:styleId="UnresolvedMention">
    <w:name w:val="Unresolved Mention"/>
    <w:basedOn w:val="DefaultParagraphFont"/>
    <w:uiPriority w:val="99"/>
    <w:semiHidden/>
    <w:unhideWhenUsed/>
    <w:rsid w:val="008379BD"/>
    <w:rPr>
      <w:color w:val="605E5C"/>
      <w:shd w:val="clear" w:color="auto" w:fill="E1DFDD"/>
    </w:rPr>
  </w:style>
  <w:style w:type="paragraph" w:styleId="BalloonText">
    <w:name w:val="Balloon Text"/>
    <w:basedOn w:val="Normal"/>
    <w:link w:val="BalloonTextChar"/>
    <w:uiPriority w:val="99"/>
    <w:semiHidden/>
    <w:unhideWhenUsed/>
    <w:rsid w:val="00D46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137"/>
    <w:rPr>
      <w:rFonts w:ascii="Segoe UI" w:hAnsi="Segoe UI" w:cs="Segoe UI"/>
      <w:sz w:val="18"/>
      <w:szCs w:val="18"/>
    </w:rPr>
  </w:style>
  <w:style w:type="table" w:styleId="TableGrid">
    <w:name w:val="Table Grid"/>
    <w:basedOn w:val="TableNormal"/>
    <w:uiPriority w:val="39"/>
    <w:rsid w:val="00A7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612E"/>
    <w:rPr>
      <w:sz w:val="16"/>
      <w:szCs w:val="16"/>
    </w:rPr>
  </w:style>
  <w:style w:type="paragraph" w:styleId="CommentText">
    <w:name w:val="annotation text"/>
    <w:basedOn w:val="Normal"/>
    <w:link w:val="CommentTextChar"/>
    <w:uiPriority w:val="99"/>
    <w:semiHidden/>
    <w:unhideWhenUsed/>
    <w:rsid w:val="0032612E"/>
    <w:pPr>
      <w:spacing w:line="240" w:lineRule="auto"/>
    </w:pPr>
    <w:rPr>
      <w:sz w:val="20"/>
      <w:szCs w:val="20"/>
    </w:rPr>
  </w:style>
  <w:style w:type="character" w:customStyle="1" w:styleId="CommentTextChar">
    <w:name w:val="Comment Text Char"/>
    <w:basedOn w:val="DefaultParagraphFont"/>
    <w:link w:val="CommentText"/>
    <w:uiPriority w:val="99"/>
    <w:semiHidden/>
    <w:rsid w:val="0032612E"/>
    <w:rPr>
      <w:sz w:val="20"/>
      <w:szCs w:val="20"/>
    </w:rPr>
  </w:style>
  <w:style w:type="paragraph" w:styleId="CommentSubject">
    <w:name w:val="annotation subject"/>
    <w:basedOn w:val="CommentText"/>
    <w:next w:val="CommentText"/>
    <w:link w:val="CommentSubjectChar"/>
    <w:uiPriority w:val="99"/>
    <w:semiHidden/>
    <w:unhideWhenUsed/>
    <w:rsid w:val="0032612E"/>
    <w:rPr>
      <w:b/>
      <w:bCs/>
    </w:rPr>
  </w:style>
  <w:style w:type="character" w:customStyle="1" w:styleId="CommentSubjectChar">
    <w:name w:val="Comment Subject Char"/>
    <w:basedOn w:val="CommentTextChar"/>
    <w:link w:val="CommentSubject"/>
    <w:uiPriority w:val="99"/>
    <w:semiHidden/>
    <w:rsid w:val="0032612E"/>
    <w:rPr>
      <w:b/>
      <w:bCs/>
      <w:sz w:val="20"/>
      <w:szCs w:val="20"/>
    </w:rPr>
  </w:style>
  <w:style w:type="paragraph" w:styleId="EndnoteText">
    <w:name w:val="endnote text"/>
    <w:basedOn w:val="Normal"/>
    <w:link w:val="EndnoteTextChar"/>
    <w:uiPriority w:val="99"/>
    <w:semiHidden/>
    <w:unhideWhenUsed/>
    <w:rsid w:val="00D320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2041"/>
    <w:rPr>
      <w:sz w:val="20"/>
      <w:szCs w:val="20"/>
    </w:rPr>
  </w:style>
  <w:style w:type="character" w:styleId="EndnoteReference">
    <w:name w:val="endnote reference"/>
    <w:basedOn w:val="DefaultParagraphFont"/>
    <w:uiPriority w:val="99"/>
    <w:semiHidden/>
    <w:unhideWhenUsed/>
    <w:rsid w:val="00D32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07998">
      <w:bodyDiv w:val="1"/>
      <w:marLeft w:val="0"/>
      <w:marRight w:val="0"/>
      <w:marTop w:val="0"/>
      <w:marBottom w:val="0"/>
      <w:divBdr>
        <w:top w:val="none" w:sz="0" w:space="0" w:color="auto"/>
        <w:left w:val="none" w:sz="0" w:space="0" w:color="auto"/>
        <w:bottom w:val="none" w:sz="0" w:space="0" w:color="auto"/>
        <w:right w:val="none" w:sz="0" w:space="0" w:color="auto"/>
      </w:divBdr>
    </w:div>
    <w:div w:id="448091002">
      <w:bodyDiv w:val="1"/>
      <w:marLeft w:val="0"/>
      <w:marRight w:val="0"/>
      <w:marTop w:val="0"/>
      <w:marBottom w:val="0"/>
      <w:divBdr>
        <w:top w:val="none" w:sz="0" w:space="0" w:color="auto"/>
        <w:left w:val="none" w:sz="0" w:space="0" w:color="auto"/>
        <w:bottom w:val="none" w:sz="0" w:space="0" w:color="auto"/>
        <w:right w:val="none" w:sz="0" w:space="0" w:color="auto"/>
      </w:divBdr>
    </w:div>
    <w:div w:id="526024129">
      <w:bodyDiv w:val="1"/>
      <w:marLeft w:val="0"/>
      <w:marRight w:val="0"/>
      <w:marTop w:val="0"/>
      <w:marBottom w:val="0"/>
      <w:divBdr>
        <w:top w:val="none" w:sz="0" w:space="0" w:color="auto"/>
        <w:left w:val="none" w:sz="0" w:space="0" w:color="auto"/>
        <w:bottom w:val="none" w:sz="0" w:space="0" w:color="auto"/>
        <w:right w:val="none" w:sz="0" w:space="0" w:color="auto"/>
      </w:divBdr>
    </w:div>
    <w:div w:id="922184229">
      <w:bodyDiv w:val="1"/>
      <w:marLeft w:val="0"/>
      <w:marRight w:val="0"/>
      <w:marTop w:val="0"/>
      <w:marBottom w:val="0"/>
      <w:divBdr>
        <w:top w:val="none" w:sz="0" w:space="0" w:color="auto"/>
        <w:left w:val="none" w:sz="0" w:space="0" w:color="auto"/>
        <w:bottom w:val="none" w:sz="0" w:space="0" w:color="auto"/>
        <w:right w:val="none" w:sz="0" w:space="0" w:color="auto"/>
      </w:divBdr>
    </w:div>
    <w:div w:id="1082483408">
      <w:bodyDiv w:val="1"/>
      <w:marLeft w:val="0"/>
      <w:marRight w:val="0"/>
      <w:marTop w:val="0"/>
      <w:marBottom w:val="0"/>
      <w:divBdr>
        <w:top w:val="none" w:sz="0" w:space="0" w:color="auto"/>
        <w:left w:val="none" w:sz="0" w:space="0" w:color="auto"/>
        <w:bottom w:val="none" w:sz="0" w:space="0" w:color="auto"/>
        <w:right w:val="none" w:sz="0" w:space="0" w:color="auto"/>
      </w:divBdr>
    </w:div>
    <w:div w:id="1326470431">
      <w:bodyDiv w:val="1"/>
      <w:marLeft w:val="0"/>
      <w:marRight w:val="0"/>
      <w:marTop w:val="0"/>
      <w:marBottom w:val="0"/>
      <w:divBdr>
        <w:top w:val="none" w:sz="0" w:space="0" w:color="auto"/>
        <w:left w:val="none" w:sz="0" w:space="0" w:color="auto"/>
        <w:bottom w:val="none" w:sz="0" w:space="0" w:color="auto"/>
        <w:right w:val="none" w:sz="0" w:space="0" w:color="auto"/>
      </w:divBdr>
    </w:div>
    <w:div w:id="19582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lektrilevi.ee/en/katkestused/hyvitamine?compensation=reduction-network-fees" TargetMode="External"/><Relationship Id="rId2" Type="http://schemas.openxmlformats.org/officeDocument/2006/relationships/hyperlink" Target="https://sprk.gov.lv/content/parskati-elektroenergijas-nozare" TargetMode="External"/><Relationship Id="rId1" Type="http://schemas.openxmlformats.org/officeDocument/2006/relationships/hyperlink" Target="https://bridinajumi.meteo.lv/"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aura.Belkevica\Desktop\Copy%20of%20Dati_ST%20progres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aura.Belkevica\Desktop\Copy%20of%20Dati_ST%20progres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a:solidFill>
                  <a:schemeClr val="tx1"/>
                </a:solidFill>
                <a:latin typeface="Times New Roman" panose="02020603050405020304" pitchFamily="18" charset="0"/>
                <a:cs typeface="Times New Roman" panose="02020603050405020304" pitchFamily="18" charset="0"/>
              </a:rPr>
              <a:t>Bojājumu skaits </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8.4754556282874274E-2"/>
          <c:y val="0.23515151515151514"/>
          <c:w val="0.87240742497549251"/>
          <c:h val="0.66295967549510859"/>
        </c:manualLayout>
      </c:layout>
      <c:barChart>
        <c:barDir val="col"/>
        <c:grouping val="clustered"/>
        <c:varyColors val="0"/>
        <c:ser>
          <c:idx val="0"/>
          <c:order val="0"/>
          <c:spPr>
            <a:solidFill>
              <a:schemeClr val="accent6"/>
            </a:solidFill>
            <a:ln>
              <a:noFill/>
            </a:ln>
            <a:effectLst/>
          </c:spPr>
          <c:invertIfNegative val="0"/>
          <c:cat>
            <c:numRef>
              <c:f>Sheet9!$D$4:$M$4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Sheet9!$D$15:$M$15</c:f>
              <c:numCache>
                <c:formatCode>General</c:formatCode>
                <c:ptCount val="10"/>
                <c:pt idx="0">
                  <c:v>51951</c:v>
                </c:pt>
                <c:pt idx="1">
                  <c:v>41062</c:v>
                </c:pt>
                <c:pt idx="2">
                  <c:v>34594</c:v>
                </c:pt>
                <c:pt idx="3">
                  <c:v>31511</c:v>
                </c:pt>
                <c:pt idx="4">
                  <c:v>28498</c:v>
                </c:pt>
                <c:pt idx="5" formatCode="#,##0">
                  <c:v>22909</c:v>
                </c:pt>
                <c:pt idx="6" formatCode="#,##0">
                  <c:v>20705</c:v>
                </c:pt>
                <c:pt idx="7" formatCode="#,##0">
                  <c:v>22710</c:v>
                </c:pt>
                <c:pt idx="8" formatCode="#,##0">
                  <c:v>18082</c:v>
                </c:pt>
                <c:pt idx="9" formatCode="#,##0">
                  <c:v>16554</c:v>
                </c:pt>
              </c:numCache>
            </c:numRef>
          </c:val>
          <c:extLst>
            <c:ext xmlns:c16="http://schemas.microsoft.com/office/drawing/2014/chart" uri="{C3380CC4-5D6E-409C-BE32-E72D297353CC}">
              <c16:uniqueId val="{00000000-D887-4C40-AD1C-210218CDB148}"/>
            </c:ext>
          </c:extLst>
        </c:ser>
        <c:dLbls>
          <c:showLegendKey val="0"/>
          <c:showVal val="0"/>
          <c:showCatName val="0"/>
          <c:showSerName val="0"/>
          <c:showPercent val="0"/>
          <c:showBubbleSize val="0"/>
        </c:dLbls>
        <c:gapWidth val="219"/>
        <c:overlap val="-27"/>
        <c:axId val="491408720"/>
        <c:axId val="491407736"/>
      </c:barChart>
      <c:catAx>
        <c:axId val="49140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91407736"/>
        <c:crosses val="autoZero"/>
        <c:auto val="1"/>
        <c:lblAlgn val="ctr"/>
        <c:lblOffset val="100"/>
        <c:noMultiLvlLbl val="0"/>
      </c:catAx>
      <c:valAx>
        <c:axId val="491407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91408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000">
                <a:solidFill>
                  <a:schemeClr val="tx1"/>
                </a:solidFill>
                <a:latin typeface="Times New Roman" panose="02020603050405020304" pitchFamily="18" charset="0"/>
                <a:cs typeface="Times New Roman" panose="02020603050405020304" pitchFamily="18" charset="0"/>
              </a:rPr>
              <a:t>SAIFI (kopā, reizes)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spPr>
            <a:solidFill>
              <a:schemeClr val="accent6"/>
            </a:solidFill>
            <a:ln>
              <a:noFill/>
            </a:ln>
            <a:effectLst/>
          </c:spPr>
          <c:invertIfNegative val="0"/>
          <c:cat>
            <c:numRef>
              <c:f>Sheet9!$D$4:$M$4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Sheet9!$D$12:$M$12</c:f>
              <c:numCache>
                <c:formatCode>General</c:formatCode>
                <c:ptCount val="10"/>
                <c:pt idx="0">
                  <c:v>5.6</c:v>
                </c:pt>
                <c:pt idx="1">
                  <c:v>4.8</c:v>
                </c:pt>
                <c:pt idx="2" formatCode="0.00">
                  <c:v>4.5</c:v>
                </c:pt>
                <c:pt idx="3" formatCode="0.00">
                  <c:v>3.7589999999999999</c:v>
                </c:pt>
                <c:pt idx="4" formatCode="0.00">
                  <c:v>3.1789999999999998</c:v>
                </c:pt>
                <c:pt idx="5" formatCode="0.00">
                  <c:v>3.1239999999999997</c:v>
                </c:pt>
                <c:pt idx="6" formatCode="0.00">
                  <c:v>2.7810000000000001</c:v>
                </c:pt>
                <c:pt idx="7" formatCode="0.00">
                  <c:v>2.4779999999999998</c:v>
                </c:pt>
                <c:pt idx="8" formatCode="0.00">
                  <c:v>2.6569999999999996</c:v>
                </c:pt>
                <c:pt idx="9" formatCode="0.00">
                  <c:v>2.31</c:v>
                </c:pt>
              </c:numCache>
            </c:numRef>
          </c:val>
          <c:extLst>
            <c:ext xmlns:c16="http://schemas.microsoft.com/office/drawing/2014/chart" uri="{C3380CC4-5D6E-409C-BE32-E72D297353CC}">
              <c16:uniqueId val="{00000000-681A-42F0-9B23-D97EBA5B4DBA}"/>
            </c:ext>
          </c:extLst>
        </c:ser>
        <c:dLbls>
          <c:showLegendKey val="0"/>
          <c:showVal val="0"/>
          <c:showCatName val="0"/>
          <c:showSerName val="0"/>
          <c:showPercent val="0"/>
          <c:showBubbleSize val="0"/>
        </c:dLbls>
        <c:gapWidth val="219"/>
        <c:overlap val="-27"/>
        <c:axId val="399699552"/>
        <c:axId val="399697584"/>
      </c:barChart>
      <c:catAx>
        <c:axId val="399699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99697584"/>
        <c:crosses val="autoZero"/>
        <c:auto val="1"/>
        <c:lblAlgn val="ctr"/>
        <c:lblOffset val="100"/>
        <c:noMultiLvlLbl val="0"/>
      </c:catAx>
      <c:valAx>
        <c:axId val="399697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3996995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000">
                <a:solidFill>
                  <a:schemeClr val="tx1"/>
                </a:solidFill>
                <a:latin typeface="Times New Roman" panose="02020603050405020304" pitchFamily="18" charset="0"/>
                <a:cs typeface="Times New Roman" panose="02020603050405020304" pitchFamily="18" charset="0"/>
              </a:rPr>
              <a:t>SAIDI (kopā, minūtes)</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spPr>
            <a:solidFill>
              <a:schemeClr val="accent6"/>
            </a:solidFill>
            <a:ln>
              <a:noFill/>
            </a:ln>
            <a:effectLst/>
          </c:spPr>
          <c:invertIfNegative val="0"/>
          <c:cat>
            <c:numRef>
              <c:f>Sheet9!$D$4:$M$4</c:f>
              <c:numCache>
                <c:formatCode>General</c:formatCode>
                <c:ptCount val="10"/>
                <c:pt idx="0">
                  <c:v>2011</c:v>
                </c:pt>
                <c:pt idx="1">
                  <c:v>2012</c:v>
                </c:pt>
                <c:pt idx="2">
                  <c:v>2013</c:v>
                </c:pt>
                <c:pt idx="3">
                  <c:v>2014</c:v>
                </c:pt>
                <c:pt idx="4">
                  <c:v>2015</c:v>
                </c:pt>
                <c:pt idx="5">
                  <c:v>2016</c:v>
                </c:pt>
                <c:pt idx="6">
                  <c:v>2017</c:v>
                </c:pt>
                <c:pt idx="7">
                  <c:v>2018</c:v>
                </c:pt>
                <c:pt idx="8">
                  <c:v>2019</c:v>
                </c:pt>
                <c:pt idx="9">
                  <c:v>2020</c:v>
                </c:pt>
              </c:numCache>
            </c:numRef>
          </c:cat>
          <c:val>
            <c:numRef>
              <c:f>Sheet9!$D$8:$M$8</c:f>
              <c:numCache>
                <c:formatCode>General</c:formatCode>
                <c:ptCount val="10"/>
                <c:pt idx="0">
                  <c:v>945</c:v>
                </c:pt>
                <c:pt idx="1">
                  <c:v>636</c:v>
                </c:pt>
                <c:pt idx="2" formatCode="0">
                  <c:v>621</c:v>
                </c:pt>
                <c:pt idx="3" formatCode="0">
                  <c:v>466</c:v>
                </c:pt>
                <c:pt idx="4" formatCode="0">
                  <c:v>349</c:v>
                </c:pt>
                <c:pt idx="5" formatCode="0">
                  <c:v>286</c:v>
                </c:pt>
                <c:pt idx="6" formatCode="0">
                  <c:v>260</c:v>
                </c:pt>
                <c:pt idx="7" formatCode="0">
                  <c:v>228.3</c:v>
                </c:pt>
                <c:pt idx="8" formatCode="0">
                  <c:v>245.17</c:v>
                </c:pt>
                <c:pt idx="9" formatCode="0">
                  <c:v>219</c:v>
                </c:pt>
              </c:numCache>
            </c:numRef>
          </c:val>
          <c:extLst>
            <c:ext xmlns:c16="http://schemas.microsoft.com/office/drawing/2014/chart" uri="{C3380CC4-5D6E-409C-BE32-E72D297353CC}">
              <c16:uniqueId val="{00000000-B1CE-4966-94B7-E0891C3A6BCE}"/>
            </c:ext>
          </c:extLst>
        </c:ser>
        <c:dLbls>
          <c:showLegendKey val="0"/>
          <c:showVal val="0"/>
          <c:showCatName val="0"/>
          <c:showSerName val="0"/>
          <c:showPercent val="0"/>
          <c:showBubbleSize val="0"/>
        </c:dLbls>
        <c:gapWidth val="219"/>
        <c:overlap val="-27"/>
        <c:axId val="488683056"/>
        <c:axId val="488683384"/>
      </c:barChart>
      <c:catAx>
        <c:axId val="48868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88683384"/>
        <c:crosses val="autoZero"/>
        <c:auto val="1"/>
        <c:lblAlgn val="ctr"/>
        <c:lblOffset val="100"/>
        <c:noMultiLvlLbl val="0"/>
      </c:catAx>
      <c:valAx>
        <c:axId val="488683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88683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6">
  <a:schemeClr val="accent6"/>
</cs:colorStyle>
</file>

<file path=word/charts/colors2.xml><?xml version="1.0" encoding="utf-8"?>
<cs:colorStyle xmlns:cs="http://schemas.microsoft.com/office/drawing/2012/chartStyle" xmlns:a="http://schemas.openxmlformats.org/drawingml/2006/main" meth="withinLinear" id="19">
  <a:schemeClr val="accent6"/>
</cs:colorStyle>
</file>

<file path=word/charts/colors3.xml><?xml version="1.0" encoding="utf-8"?>
<cs:colorStyle xmlns:cs="http://schemas.microsoft.com/office/drawing/2012/chartStyle" xmlns:a="http://schemas.openxmlformats.org/drawingml/2006/main" meth="withinLinear" id="19">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5C57-1F3D-4CA0-9C2C-DF38D2FA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11669</Words>
  <Characters>6652</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IZ par el. pātraukumiem un kompensācijas uzlabojumiem</vt:lpstr>
    </vt:vector>
  </TitlesOfParts>
  <Company>EM, 67013069</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 par el. pātraukumiem un kompensācijas uzlabojumiem</dc:title>
  <dc:subject/>
  <dc:creator>Daira Armane</dc:creator>
  <cp:keywords/>
  <dc:description/>
  <cp:lastModifiedBy>Jekaterina Borovika</cp:lastModifiedBy>
  <cp:revision>2</cp:revision>
  <cp:lastPrinted>2021-05-05T10:12:00Z</cp:lastPrinted>
  <dcterms:created xsi:type="dcterms:W3CDTF">2021-08-10T09:48:00Z</dcterms:created>
  <dcterms:modified xsi:type="dcterms:W3CDTF">2021-08-10T09:48:00Z</dcterms:modified>
</cp:coreProperties>
</file>