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18CA5" w14:textId="77777777" w:rsidR="00906398" w:rsidRDefault="00386C7C" w:rsidP="003C01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7C">
        <w:rPr>
          <w:rFonts w:ascii="Times New Roman" w:hAnsi="Times New Roman" w:cs="Times New Roman"/>
          <w:b/>
          <w:sz w:val="24"/>
          <w:szCs w:val="24"/>
        </w:rPr>
        <w:t xml:space="preserve">Informatīvais ziņojums </w:t>
      </w:r>
    </w:p>
    <w:p w14:paraId="7BA52A99" w14:textId="77777777" w:rsidR="00906398" w:rsidRDefault="00906398" w:rsidP="009063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“P</w:t>
      </w:r>
      <w:r w:rsidR="00386C7C" w:rsidRPr="00386C7C">
        <w:rPr>
          <w:rFonts w:ascii="Times New Roman" w:hAnsi="Times New Roman" w:cs="Times New Roman"/>
          <w:b/>
          <w:sz w:val="24"/>
          <w:szCs w:val="24"/>
        </w:rPr>
        <w:t xml:space="preserve">ar </w:t>
      </w:r>
      <w:r>
        <w:rPr>
          <w:rFonts w:ascii="Times New Roman" w:hAnsi="Times New Roman" w:cs="Times New Roman"/>
          <w:b/>
          <w:sz w:val="24"/>
          <w:szCs w:val="24"/>
        </w:rPr>
        <w:t xml:space="preserve">dalībvalsts statusa maiņu </w:t>
      </w:r>
      <w:r w:rsidR="003F4AED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863376">
        <w:rPr>
          <w:rFonts w:ascii="Times New Roman" w:hAnsi="Times New Roman" w:cs="Times New Roman"/>
          <w:b/>
          <w:sz w:val="24"/>
          <w:szCs w:val="24"/>
        </w:rPr>
        <w:t>Republikai</w:t>
      </w:r>
      <w:r w:rsidR="00BA2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48EC8" w14:textId="4B96AF80" w:rsidR="00386C7C" w:rsidRPr="00386C7C" w:rsidRDefault="00386C7C" w:rsidP="003C01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7C">
        <w:rPr>
          <w:rFonts w:ascii="Times New Roman" w:hAnsi="Times New Roman" w:cs="Times New Roman"/>
          <w:b/>
          <w:sz w:val="24"/>
          <w:szCs w:val="24"/>
        </w:rPr>
        <w:t>Daudzpusējā investīciju garantiju aģentūrā</w:t>
      </w:r>
      <w:r w:rsidR="00906398">
        <w:rPr>
          <w:rFonts w:ascii="Times New Roman" w:hAnsi="Times New Roman" w:cs="Times New Roman"/>
          <w:b/>
          <w:sz w:val="24"/>
          <w:szCs w:val="24"/>
        </w:rPr>
        <w:t>”</w:t>
      </w:r>
    </w:p>
    <w:p w14:paraId="51565A7F" w14:textId="77777777" w:rsidR="00386C7C" w:rsidRDefault="00386C7C" w:rsidP="003C01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A8F2D" w14:textId="3F9EE886" w:rsidR="00D946D4" w:rsidRDefault="00D946D4" w:rsidP="003C01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Informatīvais ziņojums ir sagatavots, lai informētu par </w:t>
      </w:r>
      <w:r w:rsidR="00A74C9B">
        <w:rPr>
          <w:rFonts w:ascii="Times New Roman" w:hAnsi="Times New Roman" w:cs="Times New Roman"/>
          <w:sz w:val="24"/>
          <w:szCs w:val="24"/>
        </w:rPr>
        <w:t xml:space="preserve">dalībvalsts statusa maiņu </w:t>
      </w:r>
      <w:r>
        <w:rPr>
          <w:rFonts w:ascii="Times New Roman" w:hAnsi="Times New Roman" w:cs="Times New Roman"/>
          <w:sz w:val="24"/>
          <w:szCs w:val="24"/>
        </w:rPr>
        <w:t xml:space="preserve">Latvijas </w:t>
      </w:r>
      <w:r w:rsidR="00A74C9B">
        <w:rPr>
          <w:rFonts w:ascii="Times New Roman" w:hAnsi="Times New Roman" w:cs="Times New Roman"/>
          <w:sz w:val="24"/>
          <w:szCs w:val="24"/>
        </w:rPr>
        <w:t>Republikai</w:t>
      </w:r>
      <w:r w:rsidR="00BA2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Pasaules Bankas grupas Daudzpusējā</w:t>
      </w:r>
      <w:r w:rsidRPr="00B66D1B">
        <w:rPr>
          <w:rFonts w:ascii="Times New Roman" w:hAnsi="Times New Roman" w:cs="Times New Roman"/>
          <w:sz w:val="24"/>
          <w:szCs w:val="24"/>
        </w:rPr>
        <w:t xml:space="preserve"> </w:t>
      </w:r>
      <w:r w:rsidR="00B673CF">
        <w:rPr>
          <w:rFonts w:ascii="Times New Roman" w:hAnsi="Times New Roman" w:cs="Times New Roman"/>
          <w:sz w:val="24"/>
          <w:szCs w:val="24"/>
        </w:rPr>
        <w:t>i</w:t>
      </w:r>
      <w:r w:rsidRPr="00B66D1B">
        <w:rPr>
          <w:rFonts w:ascii="Times New Roman" w:hAnsi="Times New Roman" w:cs="Times New Roman"/>
          <w:sz w:val="24"/>
          <w:szCs w:val="24"/>
        </w:rPr>
        <w:t xml:space="preserve">nvestīciju </w:t>
      </w:r>
      <w:r w:rsidR="00B673CF">
        <w:rPr>
          <w:rFonts w:ascii="Times New Roman" w:hAnsi="Times New Roman" w:cs="Times New Roman"/>
          <w:sz w:val="24"/>
          <w:szCs w:val="24"/>
        </w:rPr>
        <w:t>g</w:t>
      </w:r>
      <w:r w:rsidRPr="00B66D1B">
        <w:rPr>
          <w:rFonts w:ascii="Times New Roman" w:hAnsi="Times New Roman" w:cs="Times New Roman"/>
          <w:sz w:val="24"/>
          <w:szCs w:val="24"/>
        </w:rPr>
        <w:t xml:space="preserve">arantiju </w:t>
      </w:r>
      <w:r w:rsidR="00B673CF">
        <w:rPr>
          <w:rFonts w:ascii="Times New Roman" w:hAnsi="Times New Roman" w:cs="Times New Roman"/>
          <w:sz w:val="24"/>
          <w:szCs w:val="24"/>
        </w:rPr>
        <w:t>a</w:t>
      </w:r>
      <w:r w:rsidRPr="00B66D1B">
        <w:rPr>
          <w:rFonts w:ascii="Times New Roman" w:hAnsi="Times New Roman" w:cs="Times New Roman"/>
          <w:sz w:val="24"/>
          <w:szCs w:val="24"/>
        </w:rPr>
        <w:t>ģentūr</w:t>
      </w:r>
      <w:r>
        <w:rPr>
          <w:rFonts w:ascii="Times New Roman" w:hAnsi="Times New Roman" w:cs="Times New Roman"/>
          <w:sz w:val="24"/>
          <w:szCs w:val="24"/>
        </w:rPr>
        <w:t>ā (MIGA)</w:t>
      </w:r>
      <w:r w:rsidR="00B673CF" w:rsidRPr="00B66D1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un lemtu par </w:t>
      </w:r>
      <w:r w:rsidR="00657A7C">
        <w:rPr>
          <w:rFonts w:ascii="Times New Roman" w:hAnsi="Times New Roman" w:cs="Times New Roman"/>
          <w:sz w:val="24"/>
          <w:szCs w:val="24"/>
        </w:rPr>
        <w:t>Latvijas</w:t>
      </w:r>
      <w:r w:rsidR="00BA2953">
        <w:rPr>
          <w:rFonts w:ascii="Times New Roman" w:hAnsi="Times New Roman" w:cs="Times New Roman"/>
          <w:sz w:val="24"/>
          <w:szCs w:val="24"/>
        </w:rPr>
        <w:t xml:space="preserve"> Republikas</w:t>
      </w:r>
      <w:r w:rsidR="00657A7C">
        <w:rPr>
          <w:rFonts w:ascii="Times New Roman" w:hAnsi="Times New Roman" w:cs="Times New Roman"/>
          <w:sz w:val="24"/>
          <w:szCs w:val="24"/>
        </w:rPr>
        <w:t xml:space="preserve"> </w:t>
      </w:r>
      <w:r w:rsidR="00863376">
        <w:rPr>
          <w:rFonts w:ascii="Times New Roman" w:hAnsi="Times New Roman" w:cs="Times New Roman"/>
          <w:sz w:val="24"/>
          <w:szCs w:val="24"/>
        </w:rPr>
        <w:t xml:space="preserve">statusa maiņu jeb </w:t>
      </w:r>
      <w:proofErr w:type="spellStart"/>
      <w:r w:rsidR="003F4AED">
        <w:rPr>
          <w:rFonts w:ascii="Times New Roman" w:hAnsi="Times New Roman" w:cs="Times New Roman"/>
          <w:sz w:val="24"/>
          <w:szCs w:val="24"/>
        </w:rPr>
        <w:t>gradu</w:t>
      </w:r>
      <w:r w:rsidR="0099349C">
        <w:rPr>
          <w:rFonts w:ascii="Times New Roman" w:hAnsi="Times New Roman" w:cs="Times New Roman"/>
          <w:sz w:val="24"/>
          <w:szCs w:val="24"/>
        </w:rPr>
        <w:t>ā</w:t>
      </w:r>
      <w:r w:rsidR="003F4AED">
        <w:rPr>
          <w:rFonts w:ascii="Times New Roman" w:hAnsi="Times New Roman" w:cs="Times New Roman"/>
          <w:sz w:val="24"/>
          <w:szCs w:val="24"/>
        </w:rPr>
        <w:t>ciju</w:t>
      </w:r>
      <w:proofErr w:type="spellEnd"/>
      <w:r w:rsidR="003F4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atbilstoši Latvijas attīstības līmenim un </w:t>
      </w:r>
      <w:r w:rsidR="006A3E5C">
        <w:rPr>
          <w:rFonts w:ascii="Times New Roman" w:hAnsi="Times New Roman" w:cs="Times New Roman"/>
          <w:sz w:val="24"/>
          <w:szCs w:val="24"/>
        </w:rPr>
        <w:t>statusam Pasaules Bankas grupā.</w:t>
      </w:r>
    </w:p>
    <w:p w14:paraId="73B3B7C4" w14:textId="77777777" w:rsidR="006A3E5C" w:rsidRDefault="006A3E5C" w:rsidP="003C01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DD54F" w14:textId="786CCB27" w:rsidR="00D946D4" w:rsidRDefault="00E63E79" w:rsidP="003C01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A3E5C" w:rsidRPr="006A3E5C">
        <w:rPr>
          <w:rFonts w:ascii="Times New Roman" w:hAnsi="Times New Roman" w:cs="Times New Roman"/>
          <w:b/>
          <w:sz w:val="24"/>
          <w:szCs w:val="24"/>
        </w:rPr>
        <w:t xml:space="preserve">Daudzpusējā </w:t>
      </w:r>
      <w:r w:rsidR="00B673CF">
        <w:rPr>
          <w:rFonts w:ascii="Times New Roman" w:hAnsi="Times New Roman" w:cs="Times New Roman"/>
          <w:b/>
          <w:sz w:val="24"/>
          <w:szCs w:val="24"/>
        </w:rPr>
        <w:t>i</w:t>
      </w:r>
      <w:r w:rsidR="006A3E5C" w:rsidRPr="006A3E5C">
        <w:rPr>
          <w:rFonts w:ascii="Times New Roman" w:hAnsi="Times New Roman" w:cs="Times New Roman"/>
          <w:b/>
          <w:sz w:val="24"/>
          <w:szCs w:val="24"/>
        </w:rPr>
        <w:t xml:space="preserve">nvestīciju </w:t>
      </w:r>
      <w:r w:rsidR="00B673CF">
        <w:rPr>
          <w:rFonts w:ascii="Times New Roman" w:hAnsi="Times New Roman" w:cs="Times New Roman"/>
          <w:b/>
          <w:sz w:val="24"/>
          <w:szCs w:val="24"/>
        </w:rPr>
        <w:t>g</w:t>
      </w:r>
      <w:r w:rsidR="006A3E5C" w:rsidRPr="006A3E5C">
        <w:rPr>
          <w:rFonts w:ascii="Times New Roman" w:hAnsi="Times New Roman" w:cs="Times New Roman"/>
          <w:b/>
          <w:sz w:val="24"/>
          <w:szCs w:val="24"/>
        </w:rPr>
        <w:t xml:space="preserve">arantiju </w:t>
      </w:r>
      <w:r w:rsidR="00B673CF">
        <w:rPr>
          <w:rFonts w:ascii="Times New Roman" w:hAnsi="Times New Roman" w:cs="Times New Roman"/>
          <w:b/>
          <w:sz w:val="24"/>
          <w:szCs w:val="24"/>
        </w:rPr>
        <w:t>a</w:t>
      </w:r>
      <w:r w:rsidR="006A3E5C" w:rsidRPr="006A3E5C">
        <w:rPr>
          <w:rFonts w:ascii="Times New Roman" w:hAnsi="Times New Roman" w:cs="Times New Roman"/>
          <w:b/>
          <w:sz w:val="24"/>
          <w:szCs w:val="24"/>
        </w:rPr>
        <w:t>ģentūra</w:t>
      </w:r>
    </w:p>
    <w:p w14:paraId="33F4002E" w14:textId="6C962BD8" w:rsidR="00617939" w:rsidRDefault="003F4AED" w:rsidP="003C01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MIGA</w:t>
      </w:r>
      <w:r w:rsidR="006A3E5C">
        <w:rPr>
          <w:rFonts w:ascii="Times New Roman" w:hAnsi="Times New Roman" w:cs="Times New Roman"/>
          <w:sz w:val="24"/>
          <w:szCs w:val="24"/>
        </w:rPr>
        <w:t xml:space="preserve"> ir viena no piecām </w:t>
      </w:r>
      <w:r w:rsidR="0099349C">
        <w:rPr>
          <w:rFonts w:ascii="Times New Roman" w:hAnsi="Times New Roman" w:cs="Times New Roman"/>
          <w:sz w:val="24"/>
          <w:szCs w:val="24"/>
        </w:rPr>
        <w:t>organizācijām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D1B" w:rsidRPr="00B66D1B">
        <w:rPr>
          <w:rFonts w:ascii="Times New Roman" w:hAnsi="Times New Roman" w:cs="Times New Roman"/>
          <w:sz w:val="24"/>
          <w:szCs w:val="24"/>
        </w:rPr>
        <w:t>Pasaules Bankas grup</w:t>
      </w:r>
      <w:r w:rsidR="0099349C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AF">
        <w:rPr>
          <w:rFonts w:ascii="Times New Roman" w:hAnsi="Times New Roman" w:cs="Times New Roman"/>
          <w:sz w:val="24"/>
          <w:szCs w:val="24"/>
        </w:rPr>
        <w:t>–</w:t>
      </w:r>
      <w:r w:rsidR="00B673CF">
        <w:rPr>
          <w:rFonts w:ascii="Times New Roman" w:hAnsi="Times New Roman" w:cs="Times New Roman"/>
          <w:sz w:val="24"/>
          <w:szCs w:val="24"/>
        </w:rPr>
        <w:t xml:space="preserve"> </w:t>
      </w:r>
      <w:r w:rsidR="00A125AF">
        <w:rPr>
          <w:rFonts w:ascii="Times New Roman" w:hAnsi="Times New Roman" w:cs="Times New Roman"/>
          <w:sz w:val="24"/>
          <w:szCs w:val="24"/>
        </w:rPr>
        <w:t xml:space="preserve">tā </w:t>
      </w:r>
      <w:r w:rsidR="00B673CF">
        <w:rPr>
          <w:rFonts w:ascii="Times New Roman" w:hAnsi="Times New Roman" w:cs="Times New Roman"/>
          <w:sz w:val="24"/>
          <w:szCs w:val="24"/>
        </w:rPr>
        <w:t>ietver arī</w:t>
      </w:r>
      <w:r w:rsidR="006A3E5C">
        <w:rPr>
          <w:rFonts w:ascii="Times New Roman" w:hAnsi="Times New Roman" w:cs="Times New Roman"/>
          <w:sz w:val="24"/>
          <w:szCs w:val="24"/>
        </w:rPr>
        <w:t xml:space="preserve"> </w:t>
      </w:r>
      <w:r w:rsidR="006A3E5C" w:rsidRPr="00B66D1B">
        <w:rPr>
          <w:rFonts w:ascii="Times New Roman" w:hAnsi="Times New Roman" w:cs="Times New Roman"/>
          <w:sz w:val="24"/>
          <w:szCs w:val="24"/>
        </w:rPr>
        <w:t>Starptautisk</w:t>
      </w:r>
      <w:r w:rsidR="00B673CF">
        <w:rPr>
          <w:rFonts w:ascii="Times New Roman" w:hAnsi="Times New Roman" w:cs="Times New Roman"/>
          <w:sz w:val="24"/>
          <w:szCs w:val="24"/>
        </w:rPr>
        <w:t>o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Rekonstrukcijas un attīstības bank</w:t>
      </w:r>
      <w:r w:rsidR="00B673CF">
        <w:rPr>
          <w:rFonts w:ascii="Times New Roman" w:hAnsi="Times New Roman" w:cs="Times New Roman"/>
          <w:sz w:val="24"/>
          <w:szCs w:val="24"/>
        </w:rPr>
        <w:t>u</w:t>
      </w:r>
      <w:r w:rsidR="006A3E5C" w:rsidRPr="00B66D1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(IBRD)</w:t>
      </w:r>
      <w:r w:rsidR="006A3E5C">
        <w:rPr>
          <w:rFonts w:ascii="Times New Roman" w:hAnsi="Times New Roman" w:cs="Times New Roman"/>
          <w:sz w:val="24"/>
          <w:szCs w:val="24"/>
        </w:rPr>
        <w:t>,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Starptautisk</w:t>
      </w:r>
      <w:r w:rsidR="00B673CF">
        <w:rPr>
          <w:rFonts w:ascii="Times New Roman" w:hAnsi="Times New Roman" w:cs="Times New Roman"/>
          <w:sz w:val="24"/>
          <w:szCs w:val="24"/>
        </w:rPr>
        <w:t>o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Attīstības </w:t>
      </w:r>
      <w:r w:rsidR="00B673CF">
        <w:rPr>
          <w:rFonts w:ascii="Times New Roman" w:hAnsi="Times New Roman" w:cs="Times New Roman"/>
          <w:sz w:val="24"/>
          <w:szCs w:val="24"/>
        </w:rPr>
        <w:t>a</w:t>
      </w:r>
      <w:r w:rsidR="006A3E5C" w:rsidRPr="00B66D1B">
        <w:rPr>
          <w:rFonts w:ascii="Times New Roman" w:hAnsi="Times New Roman" w:cs="Times New Roman"/>
          <w:sz w:val="24"/>
          <w:szCs w:val="24"/>
        </w:rPr>
        <w:t>sociācij</w:t>
      </w:r>
      <w:r w:rsidR="00B673CF">
        <w:rPr>
          <w:rFonts w:ascii="Times New Roman" w:hAnsi="Times New Roman" w:cs="Times New Roman"/>
          <w:sz w:val="24"/>
          <w:szCs w:val="24"/>
        </w:rPr>
        <w:t>u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(IDA)</w:t>
      </w:r>
      <w:r w:rsidR="006A3E5C" w:rsidRPr="00B66D1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A3E5C">
        <w:rPr>
          <w:rFonts w:ascii="Times New Roman" w:hAnsi="Times New Roman" w:cs="Times New Roman"/>
          <w:sz w:val="24"/>
          <w:szCs w:val="24"/>
        </w:rPr>
        <w:t>,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Starptautisk</w:t>
      </w:r>
      <w:r w:rsidR="00B673CF">
        <w:rPr>
          <w:rFonts w:ascii="Times New Roman" w:hAnsi="Times New Roman" w:cs="Times New Roman"/>
          <w:sz w:val="24"/>
          <w:szCs w:val="24"/>
        </w:rPr>
        <w:t>o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Finanšu </w:t>
      </w:r>
      <w:r w:rsidR="00B673CF">
        <w:rPr>
          <w:rFonts w:ascii="Times New Roman" w:hAnsi="Times New Roman" w:cs="Times New Roman"/>
          <w:sz w:val="24"/>
          <w:szCs w:val="24"/>
        </w:rPr>
        <w:t>k</w:t>
      </w:r>
      <w:r w:rsidR="006A3E5C" w:rsidRPr="00B66D1B">
        <w:rPr>
          <w:rFonts w:ascii="Times New Roman" w:hAnsi="Times New Roman" w:cs="Times New Roman"/>
          <w:sz w:val="24"/>
          <w:szCs w:val="24"/>
        </w:rPr>
        <w:t>orporācij</w:t>
      </w:r>
      <w:r w:rsidR="00B673CF">
        <w:rPr>
          <w:rFonts w:ascii="Times New Roman" w:hAnsi="Times New Roman" w:cs="Times New Roman"/>
          <w:sz w:val="24"/>
          <w:szCs w:val="24"/>
        </w:rPr>
        <w:t>u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(IFC),</w:t>
      </w:r>
      <w:r w:rsidR="006A3E5C" w:rsidRPr="00B66D1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un Starptautisko Inves</w:t>
      </w:r>
      <w:r w:rsidR="006A3E5C">
        <w:rPr>
          <w:rFonts w:ascii="Times New Roman" w:hAnsi="Times New Roman" w:cs="Times New Roman"/>
          <w:sz w:val="24"/>
          <w:szCs w:val="24"/>
        </w:rPr>
        <w:t xml:space="preserve">tīciju </w:t>
      </w:r>
      <w:r w:rsidR="00B673CF">
        <w:rPr>
          <w:rFonts w:ascii="Times New Roman" w:hAnsi="Times New Roman" w:cs="Times New Roman"/>
          <w:sz w:val="24"/>
          <w:szCs w:val="24"/>
        </w:rPr>
        <w:t>s</w:t>
      </w:r>
      <w:r w:rsidR="006A3E5C">
        <w:rPr>
          <w:rFonts w:ascii="Times New Roman" w:hAnsi="Times New Roman" w:cs="Times New Roman"/>
          <w:sz w:val="24"/>
          <w:szCs w:val="24"/>
        </w:rPr>
        <w:t xml:space="preserve">trīdu </w:t>
      </w:r>
      <w:r w:rsidR="00B673CF">
        <w:rPr>
          <w:rFonts w:ascii="Times New Roman" w:hAnsi="Times New Roman" w:cs="Times New Roman"/>
          <w:sz w:val="24"/>
          <w:szCs w:val="24"/>
        </w:rPr>
        <w:t>i</w:t>
      </w:r>
      <w:r w:rsidR="006A3E5C">
        <w:rPr>
          <w:rFonts w:ascii="Times New Roman" w:hAnsi="Times New Roman" w:cs="Times New Roman"/>
          <w:sz w:val="24"/>
          <w:szCs w:val="24"/>
        </w:rPr>
        <w:t xml:space="preserve">zšķiršanas </w:t>
      </w:r>
      <w:r w:rsidR="00B673CF">
        <w:rPr>
          <w:rFonts w:ascii="Times New Roman" w:hAnsi="Times New Roman" w:cs="Times New Roman"/>
          <w:sz w:val="24"/>
          <w:szCs w:val="24"/>
        </w:rPr>
        <w:t>c</w:t>
      </w:r>
      <w:r w:rsidR="006A3E5C">
        <w:rPr>
          <w:rFonts w:ascii="Times New Roman" w:hAnsi="Times New Roman" w:cs="Times New Roman"/>
          <w:sz w:val="24"/>
          <w:szCs w:val="24"/>
        </w:rPr>
        <w:t>entr</w:t>
      </w:r>
      <w:r w:rsidR="00B673CF">
        <w:rPr>
          <w:rFonts w:ascii="Times New Roman" w:hAnsi="Times New Roman" w:cs="Times New Roman"/>
          <w:sz w:val="24"/>
          <w:szCs w:val="24"/>
        </w:rPr>
        <w:t>u</w:t>
      </w:r>
      <w:r w:rsidR="006A3E5C" w:rsidRPr="00B66D1B">
        <w:rPr>
          <w:rFonts w:ascii="Times New Roman" w:hAnsi="Times New Roman" w:cs="Times New Roman"/>
          <w:sz w:val="24"/>
          <w:szCs w:val="24"/>
        </w:rPr>
        <w:t xml:space="preserve"> (ICSID)</w:t>
      </w:r>
      <w:r w:rsidR="006A3E5C">
        <w:rPr>
          <w:rFonts w:ascii="Times New Roman" w:hAnsi="Times New Roman" w:cs="Times New Roman"/>
          <w:sz w:val="24"/>
          <w:szCs w:val="24"/>
        </w:rPr>
        <w:t>.</w:t>
      </w:r>
      <w:r w:rsidR="006A3E5C" w:rsidRPr="00B66D1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A3E5C">
        <w:rPr>
          <w:rFonts w:ascii="Times New Roman" w:hAnsi="Times New Roman" w:cs="Times New Roman"/>
          <w:sz w:val="24"/>
          <w:szCs w:val="24"/>
        </w:rPr>
        <w:t xml:space="preserve"> Pasaules Bankas grupas mērķis ir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</w:t>
      </w:r>
      <w:r w:rsidR="0099349C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 xml:space="preserve">jas 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nabadzības </w:t>
      </w:r>
      <w:r w:rsidR="00B30554">
        <w:rPr>
          <w:rFonts w:ascii="Times New Roman" w:hAnsi="Times New Roman" w:cs="Times New Roman"/>
          <w:sz w:val="24"/>
          <w:szCs w:val="24"/>
        </w:rPr>
        <w:t>izskau</w:t>
      </w:r>
      <w:r w:rsidR="0099349C">
        <w:rPr>
          <w:rFonts w:ascii="Times New Roman" w:hAnsi="Times New Roman" w:cs="Times New Roman"/>
          <w:sz w:val="24"/>
          <w:szCs w:val="24"/>
        </w:rPr>
        <w:t>š</w:t>
      </w:r>
      <w:r w:rsidR="00B30554">
        <w:rPr>
          <w:rFonts w:ascii="Times New Roman" w:hAnsi="Times New Roman" w:cs="Times New Roman"/>
          <w:sz w:val="24"/>
          <w:szCs w:val="24"/>
        </w:rPr>
        <w:t xml:space="preserve">ana </w:t>
      </w:r>
      <w:r w:rsidR="00B66D1B" w:rsidRPr="00B66D1B">
        <w:rPr>
          <w:rFonts w:ascii="Times New Roman" w:hAnsi="Times New Roman" w:cs="Times New Roman"/>
          <w:sz w:val="24"/>
          <w:szCs w:val="24"/>
        </w:rPr>
        <w:t>un kopīgas labklājības</w:t>
      </w:r>
      <w:r w:rsidR="00EC2336">
        <w:rPr>
          <w:rFonts w:ascii="Times New Roman" w:hAnsi="Times New Roman" w:cs="Times New Roman"/>
          <w:sz w:val="24"/>
          <w:szCs w:val="24"/>
        </w:rPr>
        <w:t xml:space="preserve"> veicināšana attīstības valstīs</w:t>
      </w:r>
      <w:r w:rsidR="006A3E5C">
        <w:rPr>
          <w:rFonts w:ascii="Times New Roman" w:hAnsi="Times New Roman" w:cs="Times New Roman"/>
          <w:sz w:val="24"/>
          <w:szCs w:val="24"/>
        </w:rPr>
        <w:t>, un katrai no tās organizācijām ir konkrēts darbības mandāts: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 IBRD un IDA nodrošina finansējumu, sniedz konsultācijas un tehnisko atba</w:t>
      </w:r>
      <w:r w:rsidR="00C108D8">
        <w:rPr>
          <w:rFonts w:ascii="Times New Roman" w:hAnsi="Times New Roman" w:cs="Times New Roman"/>
          <w:sz w:val="24"/>
          <w:szCs w:val="24"/>
        </w:rPr>
        <w:t>lstu attīstības valstu valdībām</w:t>
      </w:r>
      <w:r w:rsidR="006A3E5C">
        <w:rPr>
          <w:rFonts w:ascii="Times New Roman" w:hAnsi="Times New Roman" w:cs="Times New Roman"/>
          <w:sz w:val="24"/>
          <w:szCs w:val="24"/>
        </w:rPr>
        <w:t xml:space="preserve"> jeb publiskajam sektoram</w:t>
      </w:r>
      <w:r w:rsidR="00C108D8">
        <w:rPr>
          <w:rFonts w:ascii="Times New Roman" w:hAnsi="Times New Roman" w:cs="Times New Roman"/>
          <w:sz w:val="24"/>
          <w:szCs w:val="24"/>
        </w:rPr>
        <w:t xml:space="preserve"> –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 IBRD</w:t>
      </w:r>
      <w:r w:rsidR="00C108D8">
        <w:rPr>
          <w:rFonts w:ascii="Times New Roman" w:hAnsi="Times New Roman" w:cs="Times New Roman"/>
          <w:sz w:val="24"/>
          <w:szCs w:val="24"/>
        </w:rPr>
        <w:t xml:space="preserve"> 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palīdz vidēja ienākuma un kredītspējīgām nabadzīgām valstīm, </w:t>
      </w:r>
      <w:r w:rsidR="006A3E5C">
        <w:rPr>
          <w:rFonts w:ascii="Times New Roman" w:hAnsi="Times New Roman" w:cs="Times New Roman"/>
          <w:sz w:val="24"/>
          <w:szCs w:val="24"/>
        </w:rPr>
        <w:t>bet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 IDA palīdz pasaules nabadzīgākajām valstīm. </w:t>
      </w:r>
      <w:r w:rsidR="00EC2336">
        <w:rPr>
          <w:rFonts w:ascii="Times New Roman" w:hAnsi="Times New Roman" w:cs="Times New Roman"/>
          <w:sz w:val="24"/>
          <w:szCs w:val="24"/>
        </w:rPr>
        <w:t xml:space="preserve">Savukārt </w:t>
      </w:r>
      <w:r w:rsidR="00B66D1B" w:rsidRPr="00B66D1B">
        <w:rPr>
          <w:rFonts w:ascii="Times New Roman" w:hAnsi="Times New Roman" w:cs="Times New Roman"/>
          <w:sz w:val="24"/>
          <w:szCs w:val="24"/>
        </w:rPr>
        <w:t>IFC, MIGA un ICSID loma ir privātā sektora stiprināšana</w:t>
      </w:r>
      <w:r w:rsidR="00D85333">
        <w:rPr>
          <w:rFonts w:ascii="Times New Roman" w:hAnsi="Times New Roman" w:cs="Times New Roman"/>
          <w:sz w:val="24"/>
          <w:szCs w:val="24"/>
        </w:rPr>
        <w:t xml:space="preserve"> attīstības valstīs – nodrošinot</w:t>
      </w:r>
      <w:r w:rsidR="00B66D1B" w:rsidRPr="00B66D1B">
        <w:rPr>
          <w:rFonts w:ascii="Times New Roman" w:hAnsi="Times New Roman" w:cs="Times New Roman"/>
          <w:sz w:val="24"/>
          <w:szCs w:val="24"/>
        </w:rPr>
        <w:t xml:space="preserve"> finansējumu, tehnisko atbalstu, politiskā riska apdrošināšanu un strīdu izšķiršanu privātajam sektoram, tai skaitā finanšu institūcijām.</w:t>
      </w:r>
      <w:r w:rsidR="00D91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A8FD6" w14:textId="453D6CB1" w:rsidR="00D85333" w:rsidRDefault="00D85333" w:rsidP="003C01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7C">
        <w:rPr>
          <w:rFonts w:ascii="Times New Roman" w:hAnsi="Times New Roman" w:cs="Times New Roman"/>
          <w:sz w:val="24"/>
          <w:szCs w:val="24"/>
        </w:rPr>
        <w:t xml:space="preserve">MIGA </w:t>
      </w:r>
      <w:r w:rsidR="00A125AF">
        <w:rPr>
          <w:rFonts w:ascii="Times New Roman" w:hAnsi="Times New Roman" w:cs="Times New Roman"/>
          <w:sz w:val="24"/>
          <w:szCs w:val="24"/>
        </w:rPr>
        <w:t xml:space="preserve">darbības </w:t>
      </w:r>
      <w:r w:rsidRPr="00386C7C">
        <w:rPr>
          <w:rFonts w:ascii="Times New Roman" w:hAnsi="Times New Roman" w:cs="Times New Roman"/>
          <w:sz w:val="24"/>
          <w:szCs w:val="24"/>
        </w:rPr>
        <w:t>mandāts ir veicināt pārrobežu</w:t>
      </w:r>
      <w:r w:rsidR="009C7870">
        <w:rPr>
          <w:rFonts w:ascii="Times New Roman" w:hAnsi="Times New Roman" w:cs="Times New Roman"/>
          <w:sz w:val="24"/>
          <w:szCs w:val="24"/>
        </w:rPr>
        <w:t xml:space="preserve"> privātās</w:t>
      </w:r>
      <w:r w:rsidRPr="00386C7C">
        <w:rPr>
          <w:rFonts w:ascii="Times New Roman" w:hAnsi="Times New Roman" w:cs="Times New Roman"/>
          <w:sz w:val="24"/>
          <w:szCs w:val="24"/>
        </w:rPr>
        <w:t xml:space="preserve"> investīcijas attīstības valstīs,</w:t>
      </w:r>
      <w:r w:rsidR="008F026A">
        <w:rPr>
          <w:rFonts w:ascii="Times New Roman" w:hAnsi="Times New Roman" w:cs="Times New Roman"/>
          <w:sz w:val="24"/>
          <w:szCs w:val="24"/>
        </w:rPr>
        <w:t xml:space="preserve"> </w:t>
      </w:r>
      <w:r w:rsidR="00B30554" w:rsidRPr="00386C7C">
        <w:rPr>
          <w:rFonts w:ascii="Times New Roman" w:hAnsi="Times New Roman" w:cs="Times New Roman"/>
          <w:sz w:val="24"/>
          <w:szCs w:val="24"/>
        </w:rPr>
        <w:t xml:space="preserve">nodrošinot garantijas </w:t>
      </w:r>
      <w:r w:rsidRPr="00386C7C">
        <w:rPr>
          <w:rFonts w:ascii="Times New Roman" w:hAnsi="Times New Roman" w:cs="Times New Roman"/>
          <w:sz w:val="24"/>
          <w:szCs w:val="24"/>
        </w:rPr>
        <w:t>investoriem un kreditoriem</w:t>
      </w:r>
      <w:r w:rsidR="00383FEF">
        <w:rPr>
          <w:rFonts w:ascii="Times New Roman" w:hAnsi="Times New Roman" w:cs="Times New Roman"/>
          <w:sz w:val="24"/>
          <w:szCs w:val="24"/>
        </w:rPr>
        <w:t>, sniedzot aizsardzību</w:t>
      </w:r>
      <w:r w:rsidR="0099349C">
        <w:rPr>
          <w:rFonts w:ascii="Times New Roman" w:hAnsi="Times New Roman" w:cs="Times New Roman"/>
          <w:sz w:val="24"/>
          <w:szCs w:val="24"/>
        </w:rPr>
        <w:t xml:space="preserve"> </w:t>
      </w:r>
      <w:r w:rsidR="00383FEF">
        <w:rPr>
          <w:rFonts w:ascii="Times New Roman" w:hAnsi="Times New Roman" w:cs="Times New Roman"/>
          <w:sz w:val="24"/>
          <w:szCs w:val="24"/>
        </w:rPr>
        <w:t>pret</w:t>
      </w:r>
      <w:r w:rsidR="00383FEF" w:rsidRPr="00386C7C">
        <w:rPr>
          <w:rFonts w:ascii="Times New Roman" w:hAnsi="Times New Roman" w:cs="Times New Roman"/>
          <w:sz w:val="24"/>
          <w:szCs w:val="24"/>
        </w:rPr>
        <w:t xml:space="preserve"> </w:t>
      </w:r>
      <w:r w:rsidR="00383FEF">
        <w:rPr>
          <w:rFonts w:ascii="Times New Roman" w:hAnsi="Times New Roman" w:cs="Times New Roman"/>
          <w:sz w:val="24"/>
          <w:szCs w:val="24"/>
        </w:rPr>
        <w:t>attīstības valstu valdību rīcību</w:t>
      </w:r>
      <w:r w:rsidR="00383FEF" w:rsidRPr="00386C7C">
        <w:rPr>
          <w:rFonts w:ascii="Times New Roman" w:hAnsi="Times New Roman" w:cs="Times New Roman"/>
          <w:sz w:val="24"/>
          <w:szCs w:val="24"/>
        </w:rPr>
        <w:t>, kas var ietekmēt projektu īstenošanu</w:t>
      </w:r>
      <w:r w:rsidR="00E15F72">
        <w:rPr>
          <w:rFonts w:ascii="Times New Roman" w:hAnsi="Times New Roman" w:cs="Times New Roman"/>
          <w:sz w:val="24"/>
          <w:szCs w:val="24"/>
        </w:rPr>
        <w:t>,</w:t>
      </w:r>
      <w:r w:rsidR="00383FEF">
        <w:rPr>
          <w:rFonts w:ascii="Times New Roman" w:hAnsi="Times New Roman" w:cs="Times New Roman"/>
          <w:sz w:val="24"/>
          <w:szCs w:val="24"/>
        </w:rPr>
        <w:t xml:space="preserve"> jeb </w:t>
      </w:r>
      <w:r w:rsidRPr="00386C7C">
        <w:rPr>
          <w:rFonts w:ascii="Times New Roman" w:hAnsi="Times New Roman" w:cs="Times New Roman"/>
          <w:sz w:val="24"/>
          <w:szCs w:val="24"/>
        </w:rPr>
        <w:t xml:space="preserve">politiskā riska apdrošināšanu, </w:t>
      </w:r>
      <w:r w:rsidR="00D0635B">
        <w:rPr>
          <w:rFonts w:ascii="Times New Roman" w:hAnsi="Times New Roman" w:cs="Times New Roman"/>
          <w:sz w:val="24"/>
          <w:szCs w:val="24"/>
        </w:rPr>
        <w:t xml:space="preserve">un </w:t>
      </w:r>
      <w:r w:rsidR="00383FEF">
        <w:rPr>
          <w:rFonts w:ascii="Times New Roman" w:hAnsi="Times New Roman" w:cs="Times New Roman"/>
          <w:sz w:val="24"/>
          <w:szCs w:val="24"/>
        </w:rPr>
        <w:t xml:space="preserve">izsniedzot </w:t>
      </w:r>
      <w:r w:rsidRPr="00386C7C">
        <w:rPr>
          <w:rFonts w:ascii="Times New Roman" w:hAnsi="Times New Roman" w:cs="Times New Roman"/>
          <w:sz w:val="24"/>
          <w:szCs w:val="24"/>
        </w:rPr>
        <w:t xml:space="preserve">kredīta garantijas. </w:t>
      </w:r>
      <w:r w:rsidR="0021007A">
        <w:rPr>
          <w:rFonts w:ascii="Times New Roman" w:hAnsi="Times New Roman" w:cs="Times New Roman"/>
          <w:sz w:val="24"/>
          <w:szCs w:val="24"/>
        </w:rPr>
        <w:t xml:space="preserve">MIGA atbalsts attiecas uz tādiem riskiem, kas saistīti ar valūtas konvertāciju un </w:t>
      </w:r>
      <w:proofErr w:type="spellStart"/>
      <w:r w:rsidR="0021007A">
        <w:rPr>
          <w:rFonts w:ascii="Times New Roman" w:hAnsi="Times New Roman" w:cs="Times New Roman"/>
          <w:sz w:val="24"/>
          <w:szCs w:val="24"/>
        </w:rPr>
        <w:t>pārskaitījumiem</w:t>
      </w:r>
      <w:proofErr w:type="spellEnd"/>
      <w:r w:rsidR="0021007A">
        <w:rPr>
          <w:rFonts w:ascii="Times New Roman" w:hAnsi="Times New Roman" w:cs="Times New Roman"/>
          <w:sz w:val="24"/>
          <w:szCs w:val="24"/>
        </w:rPr>
        <w:t>, valdību līgumu</w:t>
      </w:r>
      <w:r w:rsidR="0021007A" w:rsidRPr="00E07E10">
        <w:rPr>
          <w:rFonts w:ascii="Times New Roman" w:hAnsi="Times New Roman" w:cs="Times New Roman"/>
          <w:sz w:val="24"/>
          <w:szCs w:val="24"/>
        </w:rPr>
        <w:t xml:space="preserve"> laušanu, </w:t>
      </w:r>
      <w:r w:rsidR="0021007A">
        <w:rPr>
          <w:rFonts w:ascii="Times New Roman" w:hAnsi="Times New Roman" w:cs="Times New Roman"/>
          <w:sz w:val="24"/>
          <w:szCs w:val="24"/>
        </w:rPr>
        <w:t>atsavināšanu</w:t>
      </w:r>
      <w:r w:rsidR="0021007A" w:rsidRPr="00E07E10">
        <w:rPr>
          <w:rFonts w:ascii="Times New Roman" w:hAnsi="Times New Roman" w:cs="Times New Roman"/>
          <w:sz w:val="24"/>
          <w:szCs w:val="24"/>
        </w:rPr>
        <w:t xml:space="preserve">, karu un </w:t>
      </w:r>
      <w:r w:rsidR="0021007A">
        <w:rPr>
          <w:rFonts w:ascii="Times New Roman" w:hAnsi="Times New Roman" w:cs="Times New Roman"/>
          <w:sz w:val="24"/>
          <w:szCs w:val="24"/>
        </w:rPr>
        <w:t xml:space="preserve">pilsoņu nemieriem. </w:t>
      </w:r>
      <w:r w:rsidR="00A125AF">
        <w:rPr>
          <w:rFonts w:ascii="Times New Roman" w:hAnsi="Times New Roman" w:cs="Times New Roman"/>
          <w:sz w:val="24"/>
          <w:szCs w:val="24"/>
        </w:rPr>
        <w:t xml:space="preserve">Darbības </w:t>
      </w:r>
      <w:r w:rsidR="00E84467">
        <w:rPr>
          <w:rFonts w:ascii="Times New Roman" w:hAnsi="Times New Roman" w:cs="Times New Roman"/>
          <w:sz w:val="24"/>
          <w:szCs w:val="24"/>
        </w:rPr>
        <w:t xml:space="preserve">mandāta īstenošanā MIGA </w:t>
      </w:r>
      <w:r w:rsidR="00A125AF">
        <w:rPr>
          <w:rFonts w:ascii="Times New Roman" w:hAnsi="Times New Roman" w:cs="Times New Roman"/>
          <w:sz w:val="24"/>
          <w:szCs w:val="24"/>
        </w:rPr>
        <w:t xml:space="preserve">mērķis ir maksimāli veicināt </w:t>
      </w:r>
      <w:r w:rsidR="00383FEF">
        <w:rPr>
          <w:rFonts w:ascii="Times New Roman" w:hAnsi="Times New Roman" w:cs="Times New Roman"/>
          <w:sz w:val="24"/>
          <w:szCs w:val="24"/>
        </w:rPr>
        <w:t xml:space="preserve">saņēmējvalstu </w:t>
      </w:r>
      <w:r w:rsidR="00E84467">
        <w:rPr>
          <w:rFonts w:ascii="Times New Roman" w:hAnsi="Times New Roman" w:cs="Times New Roman"/>
          <w:sz w:val="24"/>
          <w:szCs w:val="24"/>
        </w:rPr>
        <w:t>attīstīb</w:t>
      </w:r>
      <w:r w:rsidR="00A125AF">
        <w:rPr>
          <w:rFonts w:ascii="Times New Roman" w:hAnsi="Times New Roman" w:cs="Times New Roman"/>
          <w:sz w:val="24"/>
          <w:szCs w:val="24"/>
        </w:rPr>
        <w:t>u, īstenojot</w:t>
      </w:r>
      <w:r w:rsidR="00E84467">
        <w:rPr>
          <w:rFonts w:ascii="Times New Roman" w:hAnsi="Times New Roman" w:cs="Times New Roman"/>
          <w:sz w:val="24"/>
          <w:szCs w:val="24"/>
        </w:rPr>
        <w:t xml:space="preserve"> </w:t>
      </w:r>
      <w:r w:rsidR="00E84467" w:rsidRPr="00E84467">
        <w:rPr>
          <w:rFonts w:ascii="Times New Roman" w:hAnsi="Times New Roman" w:cs="Times New Roman"/>
          <w:sz w:val="24"/>
          <w:szCs w:val="24"/>
        </w:rPr>
        <w:t>projektus, kas ir ekonomiski, ekoloģiski un sociāli ilgtspējīgi.</w:t>
      </w:r>
      <w:r w:rsidR="00E84467">
        <w:rPr>
          <w:rFonts w:ascii="Times New Roman" w:hAnsi="Times New Roman" w:cs="Times New Roman"/>
          <w:sz w:val="24"/>
          <w:szCs w:val="24"/>
        </w:rPr>
        <w:t xml:space="preserve"> </w:t>
      </w:r>
      <w:r w:rsidR="00210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A5D69" w14:textId="1DC3A3AA" w:rsidR="0000597F" w:rsidRDefault="00622577" w:rsidP="0000597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radītās nenoteiktības kontekstā</w:t>
      </w:r>
      <w:r w:rsidRPr="0021007A">
        <w:rPr>
          <w:rFonts w:ascii="Times New Roman" w:hAnsi="Times New Roman" w:cs="Times New Roman"/>
          <w:sz w:val="24"/>
          <w:szCs w:val="24"/>
        </w:rPr>
        <w:t xml:space="preserve"> </w:t>
      </w:r>
      <w:r w:rsidRPr="00C25EAA">
        <w:rPr>
          <w:rFonts w:ascii="Times New Roman" w:hAnsi="Times New Roman" w:cs="Times New Roman"/>
          <w:sz w:val="24"/>
          <w:szCs w:val="24"/>
        </w:rPr>
        <w:t>globālās ār</w:t>
      </w:r>
      <w:r>
        <w:rPr>
          <w:rFonts w:ascii="Times New Roman" w:hAnsi="Times New Roman" w:cs="Times New Roman"/>
          <w:sz w:val="24"/>
          <w:szCs w:val="24"/>
        </w:rPr>
        <w:t>valstu tiešās investīcijas</w:t>
      </w:r>
      <w:r w:rsidRPr="00C2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2020. </w:t>
      </w:r>
      <w:r w:rsidRPr="00C25EAA">
        <w:rPr>
          <w:rFonts w:ascii="Times New Roman" w:hAnsi="Times New Roman" w:cs="Times New Roman"/>
          <w:sz w:val="24"/>
          <w:szCs w:val="24"/>
        </w:rPr>
        <w:t>gadā samazinā</w:t>
      </w:r>
      <w:r>
        <w:rPr>
          <w:rFonts w:ascii="Times New Roman" w:hAnsi="Times New Roman" w:cs="Times New Roman"/>
          <w:sz w:val="24"/>
          <w:szCs w:val="24"/>
        </w:rPr>
        <w:t>jās</w:t>
      </w:r>
      <w:r w:rsidRPr="00C25EAA">
        <w:rPr>
          <w:rFonts w:ascii="Times New Roman" w:hAnsi="Times New Roman" w:cs="Times New Roman"/>
          <w:sz w:val="24"/>
          <w:szCs w:val="24"/>
        </w:rPr>
        <w:t xml:space="preserve"> līdz pat 40</w:t>
      </w:r>
      <w:r>
        <w:rPr>
          <w:rFonts w:ascii="Times New Roman" w:hAnsi="Times New Roman" w:cs="Times New Roman"/>
          <w:sz w:val="24"/>
          <w:szCs w:val="24"/>
        </w:rPr>
        <w:t xml:space="preserve">%, tādējādi </w:t>
      </w:r>
      <w:r w:rsidRPr="00C25EAA">
        <w:rPr>
          <w:rFonts w:ascii="Times New Roman" w:hAnsi="Times New Roman" w:cs="Times New Roman"/>
          <w:sz w:val="24"/>
          <w:szCs w:val="24"/>
        </w:rPr>
        <w:t xml:space="preserve">MIGA loma </w:t>
      </w:r>
      <w:r>
        <w:rPr>
          <w:rFonts w:ascii="Times New Roman" w:hAnsi="Times New Roman" w:cs="Times New Roman"/>
          <w:sz w:val="24"/>
          <w:szCs w:val="24"/>
        </w:rPr>
        <w:t>ir jo īpaši nozīmīga, sniedzot drošību privātajiem investoriem turpināt veikt inve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stīcijas un piedāvājot lielāku stabilitāti</w:t>
      </w:r>
      <w:r w:rsidR="00D0635B">
        <w:rPr>
          <w:rFonts w:ascii="Times New Roman" w:hAnsi="Times New Roman" w:cs="Times New Roman"/>
          <w:sz w:val="24"/>
          <w:szCs w:val="24"/>
        </w:rPr>
        <w:t>, palīdzot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35B">
        <w:rPr>
          <w:rFonts w:ascii="Times New Roman" w:hAnsi="Times New Roman" w:cs="Times New Roman"/>
          <w:sz w:val="24"/>
          <w:szCs w:val="24"/>
        </w:rPr>
        <w:t>vadīt un mazināt valstu</w:t>
      </w:r>
      <w:r>
        <w:rPr>
          <w:rFonts w:ascii="Times New Roman" w:hAnsi="Times New Roman" w:cs="Times New Roman"/>
          <w:sz w:val="24"/>
          <w:szCs w:val="24"/>
        </w:rPr>
        <w:t xml:space="preserve"> risku</w:t>
      </w:r>
      <w:r w:rsidR="00D063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97F">
        <w:rPr>
          <w:rFonts w:ascii="Times New Roman" w:hAnsi="Times New Roman" w:cs="Times New Roman"/>
          <w:sz w:val="24"/>
          <w:szCs w:val="24"/>
        </w:rPr>
        <w:t xml:space="preserve"> </w:t>
      </w:r>
      <w:r w:rsidR="0000597F">
        <w:rPr>
          <w:rFonts w:ascii="Times New Roman" w:hAnsi="Times New Roman" w:cs="Times New Roman"/>
          <w:sz w:val="24"/>
          <w:szCs w:val="24"/>
        </w:rPr>
        <w:t>Reaģējot uz pandēmijas izraisīto krīzi, 2020.</w:t>
      </w:r>
      <w:r w:rsidR="00E15F72">
        <w:rPr>
          <w:rFonts w:ascii="Times New Roman" w:hAnsi="Times New Roman" w:cs="Times New Roman"/>
          <w:sz w:val="24"/>
          <w:szCs w:val="24"/>
        </w:rPr>
        <w:t> </w:t>
      </w:r>
      <w:r w:rsidR="0000597F">
        <w:rPr>
          <w:rFonts w:ascii="Times New Roman" w:hAnsi="Times New Roman" w:cs="Times New Roman"/>
          <w:sz w:val="24"/>
          <w:szCs w:val="24"/>
        </w:rPr>
        <w:t>gada aprīlī MIGA apstiprināja USD</w:t>
      </w:r>
      <w:r w:rsidR="00E15F72">
        <w:rPr>
          <w:rFonts w:ascii="Times New Roman" w:hAnsi="Times New Roman" w:cs="Times New Roman"/>
          <w:sz w:val="24"/>
          <w:szCs w:val="24"/>
        </w:rPr>
        <w:t> </w:t>
      </w:r>
      <w:r w:rsidR="0000597F">
        <w:rPr>
          <w:rFonts w:ascii="Times New Roman" w:hAnsi="Times New Roman" w:cs="Times New Roman"/>
          <w:sz w:val="24"/>
          <w:szCs w:val="24"/>
        </w:rPr>
        <w:t>6.5</w:t>
      </w:r>
      <w:r w:rsidR="00E15F72">
        <w:rPr>
          <w:rFonts w:ascii="Times New Roman" w:hAnsi="Times New Roman" w:cs="Times New Roman"/>
          <w:sz w:val="24"/>
          <w:szCs w:val="24"/>
        </w:rPr>
        <w:t> </w:t>
      </w:r>
      <w:r w:rsidR="0000597F">
        <w:rPr>
          <w:rFonts w:ascii="Times New Roman" w:hAnsi="Times New Roman" w:cs="Times New Roman"/>
          <w:sz w:val="24"/>
          <w:szCs w:val="24"/>
        </w:rPr>
        <w:t>mljrd</w:t>
      </w:r>
      <w:r w:rsidR="00D0635B">
        <w:rPr>
          <w:rFonts w:ascii="Times New Roman" w:hAnsi="Times New Roman" w:cs="Times New Roman"/>
          <w:sz w:val="24"/>
          <w:szCs w:val="24"/>
        </w:rPr>
        <w:t>.</w:t>
      </w:r>
      <w:r w:rsidR="0000597F">
        <w:rPr>
          <w:rFonts w:ascii="Times New Roman" w:hAnsi="Times New Roman" w:cs="Times New Roman"/>
          <w:sz w:val="24"/>
          <w:szCs w:val="24"/>
        </w:rPr>
        <w:t xml:space="preserve"> krīzes finansējumu un pārorientēja savas darbības kapacitāti uz neatliekamu medicīnas iekārtu finansēšanu, apgrozāmā kapitāla nodrošināšanu mikro, maziem, vidējiem un lieliem uzņēmumiem, un individuāliem saimnieciskās darbības </w:t>
      </w:r>
      <w:r w:rsidR="0000597F">
        <w:rPr>
          <w:rFonts w:ascii="Times New Roman" w:hAnsi="Times New Roman" w:cs="Times New Roman"/>
          <w:sz w:val="24"/>
          <w:szCs w:val="24"/>
        </w:rPr>
        <w:lastRenderedPageBreak/>
        <w:t xml:space="preserve">veicējiem, kā arī sniedza atbalstu īstermiņa finansējuma vajadzībām attīstības valstu valdībām. Krīzes finansējums tika novirzīts četriem mērķiem: </w:t>
      </w:r>
    </w:p>
    <w:p w14:paraId="7EEE5BFC" w14:textId="77777777" w:rsidR="0000597F" w:rsidRDefault="0000597F" w:rsidP="0000597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atbalsts valdībām kredīta kvalitātes uzlabošanai (nodrošinājuma veidā), lai nodrošinātu iespēju aizņemties finanšu resursus medicīnas aprīkojuma, aizsargierīču, medikamentu un medicīnas pakalpojumu finansēšanai;</w:t>
      </w:r>
    </w:p>
    <w:p w14:paraId="194BC065" w14:textId="77777777" w:rsidR="0000597F" w:rsidRDefault="0000597F" w:rsidP="0000597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riska mazināšanas instrumenti kredītiestādēm un finanšu institūcijām, lai tās spētu turpināt kreditēšanu valstīs ar zemiem un vidējiem ienākumiem;</w:t>
      </w:r>
    </w:p>
    <w:p w14:paraId="0A20A143" w14:textId="77777777" w:rsidR="0000597F" w:rsidRDefault="0000597F" w:rsidP="0000597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atbalsts valdībām kredīta kvalitātes uzlabošanai (nodrošinājuma veidā), lai nodrošinātu to aizņemšanās spēju ekonomikas atlabšanas projektu īstenošanā;</w:t>
      </w:r>
    </w:p>
    <w:p w14:paraId="20D72E28" w14:textId="77777777" w:rsidR="0000597F" w:rsidRPr="00D84A4C" w:rsidRDefault="0000597F" w:rsidP="0000597F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atbalsts tirdzniecības finansēšanā, lai nodrošinātu preču piegādes nepārtrauktību caur globālajām piegāžu ķēdēm, jo īpaši valstīs ar zemiem ienākumiem un nestabilās valstīs.</w:t>
      </w:r>
    </w:p>
    <w:p w14:paraId="0FA671B3" w14:textId="6433E633" w:rsidR="0021007A" w:rsidRDefault="0000597F" w:rsidP="00FB3E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25E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 finanšu gada</w:t>
      </w:r>
      <w:r w:rsidRPr="00C25EAA">
        <w:rPr>
          <w:rFonts w:ascii="Times New Roman" w:hAnsi="Times New Roman" w:cs="Times New Roman"/>
          <w:sz w:val="24"/>
          <w:szCs w:val="24"/>
        </w:rPr>
        <w:t xml:space="preserve"> ietv</w:t>
      </w:r>
      <w:r>
        <w:rPr>
          <w:rFonts w:ascii="Times New Roman" w:hAnsi="Times New Roman" w:cs="Times New Roman"/>
          <w:sz w:val="24"/>
          <w:szCs w:val="24"/>
        </w:rPr>
        <w:t xml:space="preserve">aros MIGA pārrobežu privātajiem investoriem </w:t>
      </w:r>
      <w:r w:rsidR="00622577">
        <w:rPr>
          <w:rFonts w:ascii="Times New Roman" w:hAnsi="Times New Roman" w:cs="Times New Roman"/>
          <w:sz w:val="24"/>
          <w:szCs w:val="24"/>
        </w:rPr>
        <w:t xml:space="preserve">kopumā </w:t>
      </w:r>
      <w:r>
        <w:rPr>
          <w:rFonts w:ascii="Times New Roman" w:hAnsi="Times New Roman" w:cs="Times New Roman"/>
          <w:sz w:val="24"/>
          <w:szCs w:val="24"/>
        </w:rPr>
        <w:t>izsniedza USD 4 </w:t>
      </w:r>
      <w:r w:rsidRPr="00C25EA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ljrd.</w:t>
      </w:r>
      <w:r w:rsidRPr="00C25EAA">
        <w:rPr>
          <w:rFonts w:ascii="Times New Roman" w:hAnsi="Times New Roman" w:cs="Times New Roman"/>
          <w:sz w:val="24"/>
          <w:szCs w:val="24"/>
        </w:rPr>
        <w:t xml:space="preserve"> jaunās garantijās, palīdzot mobilizēt </w:t>
      </w:r>
      <w:r>
        <w:rPr>
          <w:rFonts w:ascii="Times New Roman" w:hAnsi="Times New Roman" w:cs="Times New Roman"/>
          <w:sz w:val="24"/>
          <w:szCs w:val="24"/>
        </w:rPr>
        <w:t>USD 7.3 mljrd.</w:t>
      </w:r>
      <w:r w:rsidRPr="00C25EAA">
        <w:rPr>
          <w:rFonts w:ascii="Times New Roman" w:hAnsi="Times New Roman" w:cs="Times New Roman"/>
          <w:sz w:val="24"/>
          <w:szCs w:val="24"/>
        </w:rPr>
        <w:t xml:space="preserve"> kopējā </w:t>
      </w:r>
      <w:r>
        <w:rPr>
          <w:rFonts w:ascii="Times New Roman" w:hAnsi="Times New Roman" w:cs="Times New Roman"/>
          <w:sz w:val="24"/>
          <w:szCs w:val="24"/>
        </w:rPr>
        <w:t xml:space="preserve">attīstības </w:t>
      </w:r>
      <w:r w:rsidRPr="00C25EAA">
        <w:rPr>
          <w:rFonts w:ascii="Times New Roman" w:hAnsi="Times New Roman" w:cs="Times New Roman"/>
          <w:sz w:val="24"/>
          <w:szCs w:val="24"/>
        </w:rPr>
        <w:t xml:space="preserve">finansējumā. </w:t>
      </w:r>
      <w:r>
        <w:rPr>
          <w:rFonts w:ascii="Times New Roman" w:hAnsi="Times New Roman" w:cs="Times New Roman"/>
          <w:sz w:val="24"/>
          <w:szCs w:val="24"/>
        </w:rPr>
        <w:t xml:space="preserve">Aptuveni puse no MIGA garantijām sniedza atbalstu projektu īstenošanai pasaules nabadzīgākajās jeb IDA valstīs un nestabilās valstīs, un vairāk kā 20% no izsniegtajām garantijām nodrošināja atbalstu ar klimata pārmaiņām saistītos projektos. Rezultātā ar MIGA nodrošinājuma palīdzību tiks nodrošināta </w:t>
      </w:r>
      <w:r w:rsidRPr="00C25EAA">
        <w:rPr>
          <w:rFonts w:ascii="Times New Roman" w:hAnsi="Times New Roman" w:cs="Times New Roman"/>
          <w:sz w:val="24"/>
          <w:szCs w:val="24"/>
        </w:rPr>
        <w:t>piekļuv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elektroenerģijai aptuveni 12,4 milj. cilvēku, novērsts aptuveni 3 milj. </w:t>
      </w:r>
      <w:r w:rsidRPr="00C25EAA">
        <w:rPr>
          <w:rFonts w:ascii="Times New Roman" w:hAnsi="Times New Roman" w:cs="Times New Roman"/>
          <w:sz w:val="24"/>
          <w:szCs w:val="24"/>
        </w:rPr>
        <w:t xml:space="preserve">tonnu oglekļa dioksīda </w:t>
      </w:r>
      <w:r>
        <w:rPr>
          <w:rFonts w:ascii="Times New Roman" w:hAnsi="Times New Roman" w:cs="Times New Roman"/>
          <w:sz w:val="24"/>
          <w:szCs w:val="24"/>
        </w:rPr>
        <w:t>emisiju</w:t>
      </w:r>
      <w:r w:rsidRPr="00C2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ekvivalenta</w:t>
      </w:r>
      <w:r w:rsidRPr="00C25EAA">
        <w:rPr>
          <w:rFonts w:ascii="Times New Roman" w:hAnsi="Times New Roman" w:cs="Times New Roman"/>
          <w:sz w:val="24"/>
          <w:szCs w:val="24"/>
        </w:rPr>
        <w:t xml:space="preserve"> gadā</w:t>
      </w:r>
      <w:r>
        <w:rPr>
          <w:rFonts w:ascii="Times New Roman" w:hAnsi="Times New Roman" w:cs="Times New Roman"/>
          <w:sz w:val="24"/>
          <w:szCs w:val="24"/>
        </w:rPr>
        <w:t xml:space="preserve">, atbalstīti aizdevumi USD 5,5 mljrd. apmērā, </w:t>
      </w:r>
      <w:r w:rsidRPr="00C25EAA">
        <w:rPr>
          <w:rFonts w:ascii="Times New Roman" w:hAnsi="Times New Roman" w:cs="Times New Roman"/>
          <w:sz w:val="24"/>
          <w:szCs w:val="24"/>
        </w:rPr>
        <w:t xml:space="preserve">preču </w:t>
      </w:r>
      <w:r>
        <w:rPr>
          <w:rFonts w:ascii="Times New Roman" w:hAnsi="Times New Roman" w:cs="Times New Roman"/>
          <w:sz w:val="24"/>
          <w:szCs w:val="24"/>
        </w:rPr>
        <w:t xml:space="preserve">iegāde </w:t>
      </w:r>
      <w:r w:rsidRPr="00C25EAA">
        <w:rPr>
          <w:rFonts w:ascii="Times New Roman" w:hAnsi="Times New Roman" w:cs="Times New Roman"/>
          <w:sz w:val="24"/>
          <w:szCs w:val="24"/>
        </w:rPr>
        <w:t xml:space="preserve">vietējā tirgū </w:t>
      </w:r>
      <w:r>
        <w:rPr>
          <w:rFonts w:ascii="Times New Roman" w:hAnsi="Times New Roman" w:cs="Times New Roman"/>
          <w:sz w:val="24"/>
          <w:szCs w:val="24"/>
        </w:rPr>
        <w:t xml:space="preserve">sasniegs USD 4.3 milj. gadā, un nodokļos un nodevās saņēmējvalstu valdības iekasēs USD 197 milj. Reģionālā griezumā vislielākais garantiju apjoms 2020.finanšu gadā izsniegts Latīņamerikas un Karību jūras reģionā – USD 1.480 mljrd.,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Subsahāras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Āfrikā – USD 1.282 mljrd., Eiropas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Centrālāzijas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reģionā – USD 499.2 milj., Dienvidāzijā – USD 444.2 milj., Tuvo Austrumu un Ziemeļāfrikas reģionā – USD 168 milj.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Austrumāzijas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Klusā okeāna reģionā – USD 88.1 milj. </w:t>
      </w:r>
    </w:p>
    <w:p w14:paraId="79B7C52E" w14:textId="77777777" w:rsidR="00E84467" w:rsidRPr="00EB5D94" w:rsidRDefault="00E84467" w:rsidP="00EB5D9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9905" w14:textId="5C23C958" w:rsidR="00B860C6" w:rsidRPr="00B860C6" w:rsidRDefault="00E63E79" w:rsidP="003C01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6272E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BA2953">
        <w:rPr>
          <w:rFonts w:ascii="Times New Roman" w:hAnsi="Times New Roman" w:cs="Times New Roman"/>
          <w:b/>
          <w:sz w:val="24"/>
          <w:szCs w:val="24"/>
        </w:rPr>
        <w:t xml:space="preserve">Republikas </w:t>
      </w:r>
      <w:r w:rsidR="00F6272E">
        <w:rPr>
          <w:rFonts w:ascii="Times New Roman" w:hAnsi="Times New Roman" w:cs="Times New Roman"/>
          <w:b/>
          <w:sz w:val="24"/>
          <w:szCs w:val="24"/>
        </w:rPr>
        <w:t>dalībvalsts statuss Pasaules Bankas grupā</w:t>
      </w:r>
      <w:r w:rsidR="006A3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CAB3E4" w14:textId="53AE5F1B" w:rsidR="00F513A2" w:rsidRDefault="007D4951" w:rsidP="003C01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F6272E">
        <w:rPr>
          <w:rFonts w:ascii="Times New Roman" w:hAnsi="Times New Roman" w:cs="Times New Roman"/>
          <w:sz w:val="24"/>
          <w:szCs w:val="24"/>
        </w:rPr>
        <w:t>Pasaules Bankas grupas</w:t>
      </w:r>
      <w:r>
        <w:rPr>
          <w:rFonts w:ascii="Times New Roman" w:hAnsi="Times New Roman" w:cs="Times New Roman"/>
          <w:sz w:val="24"/>
          <w:szCs w:val="24"/>
        </w:rPr>
        <w:t xml:space="preserve"> 1982.</w:t>
      </w:r>
      <w:r w:rsidR="003C01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gada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graduācijas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politikai valstis, kas sasniegušas </w:t>
      </w:r>
      <w:r w:rsidR="00F6272E">
        <w:rPr>
          <w:rFonts w:ascii="Times New Roman" w:hAnsi="Times New Roman" w:cs="Times New Roman"/>
          <w:sz w:val="24"/>
          <w:szCs w:val="24"/>
        </w:rPr>
        <w:t>konkrētu</w:t>
      </w:r>
      <w:r w:rsidR="008B6A99">
        <w:rPr>
          <w:rFonts w:ascii="Times New Roman" w:hAnsi="Times New Roman" w:cs="Times New Roman"/>
          <w:sz w:val="24"/>
          <w:szCs w:val="24"/>
        </w:rPr>
        <w:t xml:space="preserve"> valsts</w:t>
      </w:r>
      <w:r>
        <w:rPr>
          <w:rFonts w:ascii="Times New Roman" w:hAnsi="Times New Roman" w:cs="Times New Roman"/>
          <w:sz w:val="24"/>
          <w:szCs w:val="24"/>
        </w:rPr>
        <w:t xml:space="preserve"> attīstības </w:t>
      </w:r>
      <w:r w:rsidR="008F026A">
        <w:rPr>
          <w:rFonts w:ascii="Times New Roman" w:hAnsi="Times New Roman" w:cs="Times New Roman"/>
          <w:sz w:val="24"/>
          <w:szCs w:val="24"/>
        </w:rPr>
        <w:t xml:space="preserve">un kopējās ekonomiskās situācijas </w:t>
      </w:r>
      <w:r>
        <w:rPr>
          <w:rFonts w:ascii="Times New Roman" w:hAnsi="Times New Roman" w:cs="Times New Roman"/>
          <w:sz w:val="24"/>
          <w:szCs w:val="24"/>
        </w:rPr>
        <w:t>līmeni un kvalificējas noteiktiem kri</w:t>
      </w:r>
      <w:r w:rsidR="005803FE">
        <w:rPr>
          <w:rFonts w:ascii="Times New Roman" w:hAnsi="Times New Roman" w:cs="Times New Roman"/>
          <w:sz w:val="24"/>
          <w:szCs w:val="24"/>
        </w:rPr>
        <w:t>tērijiem, ir tiesīgas anulēt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A9">
        <w:rPr>
          <w:rFonts w:ascii="Times New Roman" w:hAnsi="Times New Roman" w:cs="Times New Roman"/>
          <w:sz w:val="24"/>
          <w:szCs w:val="24"/>
        </w:rPr>
        <w:t>kategorijas</w:t>
      </w:r>
      <w:r>
        <w:rPr>
          <w:rFonts w:ascii="Times New Roman" w:hAnsi="Times New Roman" w:cs="Times New Roman"/>
          <w:sz w:val="24"/>
          <w:szCs w:val="24"/>
        </w:rPr>
        <w:t xml:space="preserve"> (saņēmējvalsts) statusu. Balstoties uz šiem kritēriji</w:t>
      </w:r>
      <w:r w:rsidR="005803FE">
        <w:rPr>
          <w:rFonts w:ascii="Times New Roman" w:hAnsi="Times New Roman" w:cs="Times New Roman"/>
          <w:sz w:val="24"/>
          <w:szCs w:val="24"/>
        </w:rPr>
        <w:t>em, Latvija 20</w:t>
      </w:r>
      <w:r w:rsidR="000E0E98">
        <w:rPr>
          <w:rFonts w:ascii="Times New Roman" w:hAnsi="Times New Roman" w:cs="Times New Roman"/>
          <w:sz w:val="24"/>
          <w:szCs w:val="24"/>
        </w:rPr>
        <w:t>07</w:t>
      </w:r>
      <w:r w:rsidR="005803FE">
        <w:rPr>
          <w:rFonts w:ascii="Times New Roman" w:hAnsi="Times New Roman" w:cs="Times New Roman"/>
          <w:sz w:val="24"/>
          <w:szCs w:val="24"/>
        </w:rPr>
        <w:t>.</w:t>
      </w:r>
      <w:r w:rsidR="000E0E98">
        <w:rPr>
          <w:rFonts w:ascii="Times New Roman" w:hAnsi="Times New Roman" w:cs="Times New Roman"/>
          <w:sz w:val="24"/>
          <w:szCs w:val="24"/>
        </w:rPr>
        <w:t> </w:t>
      </w:r>
      <w:r w:rsidR="005803FE">
        <w:rPr>
          <w:rFonts w:ascii="Times New Roman" w:hAnsi="Times New Roman" w:cs="Times New Roman"/>
          <w:sz w:val="24"/>
          <w:szCs w:val="24"/>
        </w:rPr>
        <w:t>gadā anulēja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A9">
        <w:rPr>
          <w:rFonts w:ascii="Times New Roman" w:hAnsi="Times New Roman" w:cs="Times New Roman"/>
          <w:sz w:val="24"/>
          <w:szCs w:val="24"/>
        </w:rPr>
        <w:t>kategorijas</w:t>
      </w:r>
      <w:r>
        <w:rPr>
          <w:rFonts w:ascii="Times New Roman" w:hAnsi="Times New Roman" w:cs="Times New Roman"/>
          <w:sz w:val="24"/>
          <w:szCs w:val="24"/>
        </w:rPr>
        <w:t xml:space="preserve"> statusu IBRD,</w:t>
      </w:r>
      <w:r w:rsidR="005803F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pārejo</w:t>
      </w:r>
      <w:r w:rsidR="005803FE">
        <w:rPr>
          <w:rFonts w:ascii="Times New Roman" w:hAnsi="Times New Roman" w:cs="Times New Roman"/>
          <w:sz w:val="24"/>
          <w:szCs w:val="24"/>
        </w:rPr>
        <w:t>t uz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4A9">
        <w:rPr>
          <w:rFonts w:ascii="Times New Roman" w:hAnsi="Times New Roman" w:cs="Times New Roman"/>
          <w:sz w:val="24"/>
          <w:szCs w:val="24"/>
        </w:rPr>
        <w:t>kategorijas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3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803FE">
        <w:rPr>
          <w:rFonts w:ascii="Times New Roman" w:hAnsi="Times New Roman" w:cs="Times New Roman"/>
          <w:sz w:val="24"/>
          <w:szCs w:val="24"/>
        </w:rPr>
        <w:t>donorvalsts</w:t>
      </w:r>
      <w:proofErr w:type="spellEnd"/>
      <w:r w:rsidR="005803FE">
        <w:rPr>
          <w:rFonts w:ascii="Times New Roman" w:hAnsi="Times New Roman" w:cs="Times New Roman"/>
          <w:sz w:val="24"/>
          <w:szCs w:val="24"/>
        </w:rPr>
        <w:t xml:space="preserve">) </w:t>
      </w:r>
      <w:r w:rsidR="00FA1509">
        <w:rPr>
          <w:rFonts w:ascii="Times New Roman" w:hAnsi="Times New Roman" w:cs="Times New Roman"/>
          <w:sz w:val="24"/>
          <w:szCs w:val="24"/>
        </w:rPr>
        <w:t>statusu, ņemot vērā, ka</w:t>
      </w:r>
      <w:r>
        <w:rPr>
          <w:rFonts w:ascii="Times New Roman" w:hAnsi="Times New Roman" w:cs="Times New Roman"/>
          <w:sz w:val="24"/>
          <w:szCs w:val="24"/>
        </w:rPr>
        <w:t xml:space="preserve"> Latvijas </w:t>
      </w:r>
      <w:r w:rsidR="005803FE">
        <w:rPr>
          <w:rFonts w:ascii="Times New Roman" w:hAnsi="Times New Roman" w:cs="Times New Roman"/>
          <w:sz w:val="24"/>
          <w:szCs w:val="24"/>
        </w:rPr>
        <w:t>nacionāl</w:t>
      </w:r>
      <w:r w:rsidR="00FA1509">
        <w:rPr>
          <w:rFonts w:ascii="Times New Roman" w:hAnsi="Times New Roman" w:cs="Times New Roman"/>
          <w:sz w:val="24"/>
          <w:szCs w:val="24"/>
        </w:rPr>
        <w:t>ais</w:t>
      </w:r>
      <w:r w:rsidR="005803FE">
        <w:rPr>
          <w:rFonts w:ascii="Times New Roman" w:hAnsi="Times New Roman" w:cs="Times New Roman"/>
          <w:sz w:val="24"/>
          <w:szCs w:val="24"/>
        </w:rPr>
        <w:t xml:space="preserve"> kopienākum</w:t>
      </w:r>
      <w:r w:rsidR="00FA1509">
        <w:rPr>
          <w:rFonts w:ascii="Times New Roman" w:hAnsi="Times New Roman" w:cs="Times New Roman"/>
          <w:sz w:val="24"/>
          <w:szCs w:val="24"/>
        </w:rPr>
        <w:t>s</w:t>
      </w:r>
      <w:r w:rsidR="005803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NKI</w:t>
      </w:r>
      <w:r w:rsidR="00580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vienu iedzīvotāju pārsniedza </w:t>
      </w:r>
      <w:r w:rsidR="00D946D4">
        <w:rPr>
          <w:rFonts w:ascii="Times New Roman" w:hAnsi="Times New Roman" w:cs="Times New Roman"/>
          <w:sz w:val="24"/>
          <w:szCs w:val="24"/>
        </w:rPr>
        <w:t xml:space="preserve">tā brīža </w:t>
      </w:r>
      <w:r>
        <w:rPr>
          <w:rFonts w:ascii="Times New Roman" w:hAnsi="Times New Roman" w:cs="Times New Roman"/>
          <w:sz w:val="24"/>
          <w:szCs w:val="24"/>
        </w:rPr>
        <w:t>kritērijos izvirzīto USD</w:t>
      </w:r>
      <w:r w:rsidR="003C01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3C011E">
        <w:rPr>
          <w:rFonts w:ascii="Times New Roman" w:hAnsi="Times New Roman" w:cs="Times New Roman"/>
          <w:sz w:val="24"/>
          <w:szCs w:val="24"/>
        </w:rPr>
        <w:t> </w:t>
      </w:r>
      <w:r w:rsidR="005803FE">
        <w:rPr>
          <w:rFonts w:ascii="Times New Roman" w:hAnsi="Times New Roman" w:cs="Times New Roman"/>
          <w:sz w:val="24"/>
          <w:szCs w:val="24"/>
        </w:rPr>
        <w:t>055 slieksn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803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Latvijai bija brīva pieeja starptautiskajiem kapitāla tirgiem, </w:t>
      </w:r>
      <w:r w:rsidR="005803FE">
        <w:rPr>
          <w:rFonts w:ascii="Times New Roman" w:hAnsi="Times New Roman" w:cs="Times New Roman"/>
          <w:sz w:val="24"/>
          <w:szCs w:val="24"/>
        </w:rPr>
        <w:t>kā arī</w:t>
      </w:r>
      <w:r>
        <w:rPr>
          <w:rFonts w:ascii="Times New Roman" w:hAnsi="Times New Roman" w:cs="Times New Roman"/>
          <w:sz w:val="24"/>
          <w:szCs w:val="24"/>
        </w:rPr>
        <w:t xml:space="preserve"> spēja aizņemties uz izdevīgākiem nosacījumiem, salīdzinot ar IBRD piedāvātajiem. Vienlaikus tika vērtēts Latvijas progress ekonomisko un sociālo attīstību veicinošo institūciju izveidē un to kapacitātes nodrošināšanā. </w:t>
      </w:r>
      <w:r w:rsidR="005803FE">
        <w:rPr>
          <w:rFonts w:ascii="Times New Roman" w:hAnsi="Times New Roman" w:cs="Times New Roman"/>
          <w:sz w:val="24"/>
          <w:szCs w:val="24"/>
        </w:rPr>
        <w:t>Līdz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donorvalsts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statusa iegūšanu IBRD Latvija 20</w:t>
      </w:r>
      <w:r w:rsidR="00C13D2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1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gadā kļuva </w:t>
      </w:r>
      <w:r w:rsidR="00FA1509">
        <w:rPr>
          <w:rFonts w:ascii="Times New Roman" w:hAnsi="Times New Roman" w:cs="Times New Roman"/>
          <w:sz w:val="24"/>
          <w:szCs w:val="24"/>
        </w:rPr>
        <w:t xml:space="preserve">arī </w:t>
      </w: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5803FE">
        <w:rPr>
          <w:rFonts w:ascii="Times New Roman" w:hAnsi="Times New Roman" w:cs="Times New Roman"/>
          <w:sz w:val="24"/>
          <w:szCs w:val="24"/>
        </w:rPr>
        <w:t xml:space="preserve">Starptautiskās </w:t>
      </w:r>
      <w:r w:rsidR="005803FE">
        <w:rPr>
          <w:rFonts w:ascii="Times New Roman" w:hAnsi="Times New Roman" w:cs="Times New Roman"/>
          <w:sz w:val="24"/>
          <w:szCs w:val="24"/>
        </w:rPr>
        <w:lastRenderedPageBreak/>
        <w:t>Attīstības asociācijas</w:t>
      </w:r>
      <w:r w:rsidR="00FA1509">
        <w:rPr>
          <w:rFonts w:ascii="Times New Roman" w:hAnsi="Times New Roman" w:cs="Times New Roman"/>
          <w:sz w:val="24"/>
          <w:szCs w:val="24"/>
        </w:rPr>
        <w:t xml:space="preserve"> (IDA)</w:t>
      </w:r>
      <w:r w:rsidR="005803F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FA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509">
        <w:rPr>
          <w:rFonts w:ascii="Times New Roman" w:hAnsi="Times New Roman" w:cs="Times New Roman"/>
          <w:sz w:val="24"/>
          <w:szCs w:val="24"/>
        </w:rPr>
        <w:t>donorvalsti</w:t>
      </w:r>
      <w:proofErr w:type="spellEnd"/>
      <w:r w:rsidR="00FA1509">
        <w:rPr>
          <w:rFonts w:ascii="Times New Roman" w:hAnsi="Times New Roman" w:cs="Times New Roman"/>
          <w:sz w:val="24"/>
          <w:szCs w:val="24"/>
        </w:rPr>
        <w:t>, pārejot</w:t>
      </w:r>
      <w:r w:rsidR="00EC7AA7">
        <w:rPr>
          <w:rFonts w:ascii="Times New Roman" w:hAnsi="Times New Roman" w:cs="Times New Roman"/>
          <w:sz w:val="24"/>
          <w:szCs w:val="24"/>
        </w:rPr>
        <w:t xml:space="preserve"> no II grupas (saņēmējvalsts) uz</w:t>
      </w:r>
      <w:r w:rsidR="00FA1509">
        <w:rPr>
          <w:rFonts w:ascii="Times New Roman" w:hAnsi="Times New Roman" w:cs="Times New Roman"/>
          <w:sz w:val="24"/>
          <w:szCs w:val="24"/>
        </w:rPr>
        <w:t xml:space="preserve"> I grupu (</w:t>
      </w:r>
      <w:proofErr w:type="spellStart"/>
      <w:r w:rsidR="00FA1509">
        <w:rPr>
          <w:rFonts w:ascii="Times New Roman" w:hAnsi="Times New Roman" w:cs="Times New Roman"/>
          <w:sz w:val="24"/>
          <w:szCs w:val="24"/>
        </w:rPr>
        <w:t>donor</w:t>
      </w:r>
      <w:r w:rsidR="004B7562">
        <w:rPr>
          <w:rFonts w:ascii="Times New Roman" w:hAnsi="Times New Roman" w:cs="Times New Roman"/>
          <w:sz w:val="24"/>
          <w:szCs w:val="24"/>
        </w:rPr>
        <w:t>valst</w:t>
      </w:r>
      <w:r w:rsidR="00FA15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1509">
        <w:rPr>
          <w:rFonts w:ascii="Times New Roman" w:hAnsi="Times New Roman" w:cs="Times New Roman"/>
          <w:sz w:val="24"/>
          <w:szCs w:val="24"/>
        </w:rPr>
        <w:t xml:space="preserve">) un uzsākot regulāru iemaksu veikšanu </w:t>
      </w:r>
      <w:r w:rsidR="005803FE">
        <w:rPr>
          <w:rFonts w:ascii="Times New Roman" w:hAnsi="Times New Roman" w:cs="Times New Roman"/>
          <w:sz w:val="24"/>
          <w:szCs w:val="24"/>
        </w:rPr>
        <w:t xml:space="preserve">IDA resursu papildināšanā, piedaloties </w:t>
      </w:r>
      <w:r w:rsidR="005803FE" w:rsidRPr="005803FE">
        <w:rPr>
          <w:rFonts w:ascii="Times New Roman" w:hAnsi="Times New Roman" w:cs="Times New Roman"/>
          <w:sz w:val="24"/>
          <w:szCs w:val="24"/>
        </w:rPr>
        <w:t>Daudzpus</w:t>
      </w:r>
      <w:r w:rsidR="005803FE">
        <w:rPr>
          <w:rFonts w:ascii="Times New Roman" w:hAnsi="Times New Roman" w:cs="Times New Roman"/>
          <w:sz w:val="24"/>
          <w:szCs w:val="24"/>
        </w:rPr>
        <w:t>ējā parādu atlaišanas iniciatīvā, kā arī iesaistoties Pasaules Bankas politikas veidošanā nabadzīgo valstu atbalstam.</w:t>
      </w:r>
      <w:r w:rsidR="005803F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C57641">
        <w:rPr>
          <w:rFonts w:ascii="Times New Roman" w:hAnsi="Times New Roman" w:cs="Times New Roman"/>
          <w:sz w:val="24"/>
          <w:szCs w:val="24"/>
        </w:rPr>
        <w:t xml:space="preserve"> </w:t>
      </w:r>
      <w:r w:rsidR="00A876C7">
        <w:rPr>
          <w:rFonts w:ascii="Times New Roman" w:hAnsi="Times New Roman" w:cs="Times New Roman"/>
          <w:sz w:val="24"/>
          <w:szCs w:val="24"/>
        </w:rPr>
        <w:t xml:space="preserve">Savukārt </w:t>
      </w:r>
      <w:r w:rsidR="00C57641">
        <w:rPr>
          <w:rFonts w:ascii="Times New Roman" w:hAnsi="Times New Roman" w:cs="Times New Roman"/>
          <w:sz w:val="24"/>
          <w:szCs w:val="24"/>
        </w:rPr>
        <w:t>IFC un ICSID dalībvalstis formāli netiek iedalītas</w:t>
      </w:r>
      <w:r w:rsidR="005F6990">
        <w:rPr>
          <w:rFonts w:ascii="Times New Roman" w:hAnsi="Times New Roman" w:cs="Times New Roman"/>
          <w:sz w:val="24"/>
          <w:szCs w:val="24"/>
        </w:rPr>
        <w:t xml:space="preserve"> kategorijās.</w:t>
      </w:r>
      <w:r w:rsidR="00E409FA">
        <w:rPr>
          <w:rFonts w:ascii="Times New Roman" w:hAnsi="Times New Roman" w:cs="Times New Roman"/>
          <w:sz w:val="24"/>
          <w:szCs w:val="24"/>
        </w:rPr>
        <w:t xml:space="preserve"> </w:t>
      </w:r>
      <w:r w:rsidR="005F6990">
        <w:rPr>
          <w:rFonts w:ascii="Times New Roman" w:hAnsi="Times New Roman" w:cs="Times New Roman"/>
          <w:sz w:val="24"/>
          <w:szCs w:val="24"/>
        </w:rPr>
        <w:t xml:space="preserve">Līdz ar to vienīgā no Pasaules Bankas grupas institūcijām, kurā Latvija </w:t>
      </w:r>
      <w:r w:rsidR="003579AF">
        <w:rPr>
          <w:rFonts w:ascii="Times New Roman" w:hAnsi="Times New Roman" w:cs="Times New Roman"/>
          <w:sz w:val="24"/>
          <w:szCs w:val="24"/>
        </w:rPr>
        <w:t>joprojām atrodas</w:t>
      </w:r>
      <w:r w:rsidR="00BB1465">
        <w:rPr>
          <w:rFonts w:ascii="Times New Roman" w:hAnsi="Times New Roman" w:cs="Times New Roman"/>
          <w:sz w:val="24"/>
          <w:szCs w:val="24"/>
        </w:rPr>
        <w:t xml:space="preserve"> II grupas</w:t>
      </w:r>
      <w:r w:rsidR="003579AF">
        <w:rPr>
          <w:rFonts w:ascii="Times New Roman" w:hAnsi="Times New Roman" w:cs="Times New Roman"/>
          <w:sz w:val="24"/>
          <w:szCs w:val="24"/>
        </w:rPr>
        <w:t xml:space="preserve"> </w:t>
      </w:r>
      <w:r w:rsidR="00BB1465">
        <w:rPr>
          <w:rFonts w:ascii="Times New Roman" w:hAnsi="Times New Roman" w:cs="Times New Roman"/>
          <w:sz w:val="24"/>
          <w:szCs w:val="24"/>
        </w:rPr>
        <w:t>(</w:t>
      </w:r>
      <w:r w:rsidR="003579AF">
        <w:rPr>
          <w:rFonts w:ascii="Times New Roman" w:hAnsi="Times New Roman" w:cs="Times New Roman"/>
          <w:sz w:val="24"/>
          <w:szCs w:val="24"/>
        </w:rPr>
        <w:t>saņēmējvalsts</w:t>
      </w:r>
      <w:r w:rsidR="00BB1465">
        <w:rPr>
          <w:rFonts w:ascii="Times New Roman" w:hAnsi="Times New Roman" w:cs="Times New Roman"/>
          <w:sz w:val="24"/>
          <w:szCs w:val="24"/>
        </w:rPr>
        <w:t>)</w:t>
      </w:r>
      <w:r w:rsidR="003579AF">
        <w:rPr>
          <w:rFonts w:ascii="Times New Roman" w:hAnsi="Times New Roman" w:cs="Times New Roman"/>
          <w:sz w:val="24"/>
          <w:szCs w:val="24"/>
        </w:rPr>
        <w:t xml:space="preserve"> statusā </w:t>
      </w:r>
      <w:r w:rsidR="005F6990">
        <w:rPr>
          <w:rFonts w:ascii="Times New Roman" w:hAnsi="Times New Roman" w:cs="Times New Roman"/>
          <w:sz w:val="24"/>
          <w:szCs w:val="24"/>
        </w:rPr>
        <w:t xml:space="preserve">ir MIGA. </w:t>
      </w:r>
    </w:p>
    <w:p w14:paraId="3E9F06BC" w14:textId="3FAF7862" w:rsidR="00333A1C" w:rsidRDefault="00FA1509" w:rsidP="002D5CA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Iestājoties MIGA</w:t>
      </w:r>
      <w:r w:rsidR="00BB1465">
        <w:rPr>
          <w:rFonts w:ascii="Times New Roman" w:hAnsi="Times New Roman" w:cs="Times New Roman"/>
          <w:sz w:val="24"/>
          <w:szCs w:val="24"/>
        </w:rPr>
        <w:t xml:space="preserve"> </w:t>
      </w:r>
      <w:r w:rsidR="008F026A">
        <w:rPr>
          <w:rFonts w:ascii="Times New Roman" w:hAnsi="Times New Roman" w:cs="Times New Roman"/>
          <w:sz w:val="24"/>
          <w:szCs w:val="24"/>
        </w:rPr>
        <w:t>1998. gadā</w:t>
      </w:r>
      <w:r>
        <w:rPr>
          <w:rFonts w:ascii="Times New Roman" w:hAnsi="Times New Roman" w:cs="Times New Roman"/>
          <w:sz w:val="24"/>
          <w:szCs w:val="24"/>
        </w:rPr>
        <w:t xml:space="preserve">, Latvija tika klasificēta II kategorijā jeb </w:t>
      </w:r>
      <w:r w:rsidR="008F026A">
        <w:rPr>
          <w:rFonts w:ascii="Times New Roman" w:hAnsi="Times New Roman" w:cs="Times New Roman"/>
          <w:sz w:val="24"/>
          <w:szCs w:val="24"/>
        </w:rPr>
        <w:t>saņēmējvalsts</w:t>
      </w:r>
      <w:r w:rsidR="00BB14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attīstības valsts</w:t>
      </w:r>
      <w:r w:rsidR="00BB14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statusā.</w:t>
      </w:r>
      <w:r w:rsidR="006B00CB" w:rsidRPr="006B00CB">
        <w:rPr>
          <w:rFonts w:ascii="Times New Roman" w:hAnsi="Times New Roman" w:cs="Times New Roman"/>
          <w:sz w:val="24"/>
          <w:szCs w:val="24"/>
        </w:rPr>
        <w:t xml:space="preserve"> </w:t>
      </w:r>
      <w:r w:rsidR="00E409FA" w:rsidRPr="00CD04FA">
        <w:rPr>
          <w:rFonts w:ascii="Times New Roman" w:hAnsi="Times New Roman" w:cs="Times New Roman"/>
          <w:sz w:val="24"/>
          <w:szCs w:val="24"/>
        </w:rPr>
        <w:t>Līdz šim laika posmā no 2004. līdz 2009. gadam ar MIGA garantiju atbalstu Latvijā ir realizēti 4</w:t>
      </w:r>
      <w:r w:rsidR="00E409FA">
        <w:rPr>
          <w:rFonts w:ascii="Times New Roman" w:hAnsi="Times New Roman" w:cs="Times New Roman"/>
          <w:sz w:val="24"/>
          <w:szCs w:val="24"/>
        </w:rPr>
        <w:t xml:space="preserve"> finanšu sektora</w:t>
      </w:r>
      <w:r w:rsidR="00E409FA" w:rsidRPr="00CD04FA">
        <w:rPr>
          <w:rFonts w:ascii="Times New Roman" w:hAnsi="Times New Roman" w:cs="Times New Roman"/>
          <w:sz w:val="24"/>
          <w:szCs w:val="24"/>
        </w:rPr>
        <w:t xml:space="preserve"> projekti par kopējo </w:t>
      </w:r>
      <w:r w:rsidR="008F026A">
        <w:rPr>
          <w:rFonts w:ascii="Times New Roman" w:hAnsi="Times New Roman" w:cs="Times New Roman"/>
          <w:sz w:val="24"/>
          <w:szCs w:val="24"/>
        </w:rPr>
        <w:t>ieguldījumu</w:t>
      </w:r>
      <w:r w:rsidR="00BB1465">
        <w:rPr>
          <w:rFonts w:ascii="Times New Roman" w:hAnsi="Times New Roman" w:cs="Times New Roman"/>
          <w:sz w:val="24"/>
          <w:szCs w:val="24"/>
        </w:rPr>
        <w:t xml:space="preserve">  </w:t>
      </w:r>
      <w:r w:rsidR="00E409FA" w:rsidRPr="00CD04FA">
        <w:rPr>
          <w:rFonts w:ascii="Times New Roman" w:hAnsi="Times New Roman" w:cs="Times New Roman"/>
          <w:sz w:val="24"/>
          <w:szCs w:val="24"/>
        </w:rPr>
        <w:t>summu USD 179 milj. apmērā. Kopš 2009. gada</w:t>
      </w:r>
      <w:r w:rsidR="00E409FA">
        <w:rPr>
          <w:rFonts w:ascii="Times New Roman" w:hAnsi="Times New Roman" w:cs="Times New Roman"/>
          <w:sz w:val="24"/>
          <w:szCs w:val="24"/>
        </w:rPr>
        <w:t xml:space="preserve"> nav bijis neviens pieprasījums no privātā sektora pēc </w:t>
      </w:r>
      <w:r w:rsidR="00E409FA" w:rsidRPr="00CD04FA">
        <w:rPr>
          <w:rFonts w:ascii="Times New Roman" w:hAnsi="Times New Roman" w:cs="Times New Roman"/>
          <w:sz w:val="24"/>
          <w:szCs w:val="24"/>
        </w:rPr>
        <w:t>MIGA garantiju atbalsta investīcijām</w:t>
      </w:r>
      <w:r w:rsidR="00F513A2">
        <w:rPr>
          <w:rFonts w:ascii="Times New Roman" w:hAnsi="Times New Roman" w:cs="Times New Roman"/>
          <w:sz w:val="24"/>
          <w:szCs w:val="24"/>
        </w:rPr>
        <w:t xml:space="preserve"> Latvijā</w:t>
      </w:r>
      <w:r w:rsidR="00E409FA">
        <w:rPr>
          <w:rFonts w:ascii="Times New Roman" w:hAnsi="Times New Roman" w:cs="Times New Roman"/>
          <w:sz w:val="24"/>
          <w:szCs w:val="24"/>
        </w:rPr>
        <w:t xml:space="preserve">. </w:t>
      </w:r>
      <w:r w:rsidR="00F513A2" w:rsidRPr="003C011E">
        <w:rPr>
          <w:rFonts w:ascii="Times New Roman" w:hAnsi="Times New Roman" w:cs="Times New Roman"/>
          <w:sz w:val="24"/>
          <w:szCs w:val="24"/>
        </w:rPr>
        <w:t>Savukārt Igaunijā un Lietuvā MIGA līdz šim nav sniegusi garantiju atbalstu investīcijām</w:t>
      </w:r>
      <w:r w:rsidR="0054517F">
        <w:rPr>
          <w:rFonts w:ascii="Times New Roman" w:hAnsi="Times New Roman" w:cs="Times New Roman"/>
          <w:sz w:val="24"/>
          <w:szCs w:val="24"/>
        </w:rPr>
        <w:t xml:space="preserve">. </w:t>
      </w:r>
      <w:r w:rsidR="00F513A2">
        <w:rPr>
          <w:rFonts w:ascii="Times New Roman" w:hAnsi="Times New Roman" w:cs="Times New Roman"/>
          <w:sz w:val="24"/>
          <w:szCs w:val="24"/>
        </w:rPr>
        <w:t xml:space="preserve">Investoru zemais pieprasījums pēc MIGA garantijām investīcijām Baltijas valstīs skaidrojams ar to, ka politiskais risks Baltijas valstīs tiek uzskatīts par nebūtisku, ņemot vērā Baltijas valstu </w:t>
      </w:r>
      <w:r w:rsidR="00BB1465">
        <w:rPr>
          <w:rFonts w:ascii="Times New Roman" w:hAnsi="Times New Roman" w:cs="Times New Roman"/>
          <w:sz w:val="24"/>
          <w:szCs w:val="24"/>
        </w:rPr>
        <w:t xml:space="preserve">augsto </w:t>
      </w:r>
      <w:r w:rsidR="00F513A2">
        <w:rPr>
          <w:rFonts w:ascii="Times New Roman" w:hAnsi="Times New Roman" w:cs="Times New Roman"/>
          <w:sz w:val="24"/>
          <w:szCs w:val="24"/>
        </w:rPr>
        <w:t>attīstības līmeni un dalībvalst</w:t>
      </w:r>
      <w:r w:rsidR="00BB1465">
        <w:rPr>
          <w:rFonts w:ascii="Times New Roman" w:hAnsi="Times New Roman" w:cs="Times New Roman"/>
          <w:sz w:val="24"/>
          <w:szCs w:val="24"/>
        </w:rPr>
        <w:t>u</w:t>
      </w:r>
      <w:r w:rsidR="00F513A2">
        <w:rPr>
          <w:rFonts w:ascii="Times New Roman" w:hAnsi="Times New Roman" w:cs="Times New Roman"/>
          <w:sz w:val="24"/>
          <w:szCs w:val="24"/>
        </w:rPr>
        <w:t xml:space="preserve"> statusu OECD.</w:t>
      </w:r>
      <w:r w:rsidR="002D5CAA">
        <w:rPr>
          <w:rFonts w:ascii="Times New Roman" w:hAnsi="Times New Roman" w:cs="Times New Roman"/>
          <w:sz w:val="24"/>
          <w:szCs w:val="24"/>
        </w:rPr>
        <w:t xml:space="preserve"> Līdz ar to ir </w:t>
      </w:r>
      <w:r w:rsidR="0073118C">
        <w:rPr>
          <w:rFonts w:ascii="Times New Roman" w:hAnsi="Times New Roman" w:cs="Times New Roman"/>
          <w:sz w:val="24"/>
          <w:szCs w:val="24"/>
        </w:rPr>
        <w:t>uzs</w:t>
      </w:r>
      <w:r w:rsidR="0099349C">
        <w:rPr>
          <w:rFonts w:ascii="Times New Roman" w:hAnsi="Times New Roman" w:cs="Times New Roman"/>
          <w:sz w:val="24"/>
          <w:szCs w:val="24"/>
        </w:rPr>
        <w:t>ā</w:t>
      </w:r>
      <w:r w:rsidR="0073118C">
        <w:rPr>
          <w:rFonts w:ascii="Times New Roman" w:hAnsi="Times New Roman" w:cs="Times New Roman"/>
          <w:sz w:val="24"/>
          <w:szCs w:val="24"/>
        </w:rPr>
        <w:t xml:space="preserve">kts sarunu process par Baltijas valstu </w:t>
      </w:r>
      <w:r w:rsidR="002D5CAA" w:rsidRPr="00721A02">
        <w:rPr>
          <w:rFonts w:ascii="Times New Roman" w:hAnsi="Times New Roman" w:cs="Times New Roman"/>
          <w:sz w:val="24"/>
          <w:szCs w:val="24"/>
        </w:rPr>
        <w:t>statusa maiņu MIGA</w:t>
      </w:r>
      <w:r w:rsidR="002D5CAA">
        <w:rPr>
          <w:rFonts w:ascii="Times New Roman" w:hAnsi="Times New Roman" w:cs="Times New Roman"/>
          <w:sz w:val="24"/>
          <w:szCs w:val="24"/>
        </w:rPr>
        <w:t xml:space="preserve"> no II uz </w:t>
      </w:r>
      <w:r w:rsidR="0099349C">
        <w:rPr>
          <w:rFonts w:ascii="Times New Roman" w:hAnsi="Times New Roman" w:cs="Times New Roman"/>
          <w:sz w:val="24"/>
          <w:szCs w:val="24"/>
        </w:rPr>
        <w:t xml:space="preserve">I </w:t>
      </w:r>
      <w:r w:rsidR="002D5CAA">
        <w:rPr>
          <w:rFonts w:ascii="Times New Roman" w:hAnsi="Times New Roman" w:cs="Times New Roman"/>
          <w:sz w:val="24"/>
          <w:szCs w:val="24"/>
        </w:rPr>
        <w:t>kategoriju</w:t>
      </w:r>
      <w:r w:rsidR="002D5CAA" w:rsidRPr="009D7F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AC23ED" w14:textId="77777777" w:rsidR="00333A1C" w:rsidRDefault="00333A1C" w:rsidP="002D5CA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9B8D1" w14:textId="693E1D3A" w:rsidR="00333A1C" w:rsidRDefault="00E63E79" w:rsidP="00333A1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33A1C">
        <w:rPr>
          <w:rFonts w:ascii="Times New Roman" w:hAnsi="Times New Roman" w:cs="Times New Roman"/>
          <w:b/>
          <w:sz w:val="24"/>
          <w:szCs w:val="24"/>
        </w:rPr>
        <w:t xml:space="preserve">Latvijas </w:t>
      </w:r>
      <w:r w:rsidR="00BA2953">
        <w:rPr>
          <w:rFonts w:ascii="Times New Roman" w:hAnsi="Times New Roman" w:cs="Times New Roman"/>
          <w:b/>
          <w:sz w:val="24"/>
          <w:szCs w:val="24"/>
        </w:rPr>
        <w:t xml:space="preserve">Republikas </w:t>
      </w:r>
      <w:proofErr w:type="spellStart"/>
      <w:r w:rsidR="00333A1C">
        <w:rPr>
          <w:rFonts w:ascii="Times New Roman" w:hAnsi="Times New Roman" w:cs="Times New Roman"/>
          <w:b/>
          <w:sz w:val="24"/>
          <w:szCs w:val="24"/>
        </w:rPr>
        <w:t>gradu</w:t>
      </w:r>
      <w:r w:rsidR="0099349C">
        <w:rPr>
          <w:rFonts w:ascii="Times New Roman" w:hAnsi="Times New Roman" w:cs="Times New Roman"/>
          <w:b/>
          <w:sz w:val="24"/>
          <w:szCs w:val="24"/>
        </w:rPr>
        <w:t>ā</w:t>
      </w:r>
      <w:r w:rsidR="00333A1C">
        <w:rPr>
          <w:rFonts w:ascii="Times New Roman" w:hAnsi="Times New Roman" w:cs="Times New Roman"/>
          <w:b/>
          <w:sz w:val="24"/>
          <w:szCs w:val="24"/>
        </w:rPr>
        <w:t>cija</w:t>
      </w:r>
      <w:proofErr w:type="spellEnd"/>
      <w:r w:rsidR="00333A1C">
        <w:rPr>
          <w:rFonts w:ascii="Times New Roman" w:hAnsi="Times New Roman" w:cs="Times New Roman"/>
          <w:b/>
          <w:sz w:val="24"/>
          <w:szCs w:val="24"/>
        </w:rPr>
        <w:t xml:space="preserve"> MIGA </w:t>
      </w:r>
    </w:p>
    <w:p w14:paraId="25E70DC5" w14:textId="7597EE12" w:rsidR="00333A1C" w:rsidRPr="00333A1C" w:rsidRDefault="00333A1C" w:rsidP="00BA2953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F7A">
        <w:rPr>
          <w:rFonts w:ascii="Times New Roman" w:hAnsi="Times New Roman" w:cs="Times New Roman"/>
          <w:sz w:val="24"/>
          <w:szCs w:val="24"/>
        </w:rPr>
        <w:t>Kļūstot par MIGA</w:t>
      </w:r>
      <w:r>
        <w:rPr>
          <w:rFonts w:ascii="Times New Roman" w:hAnsi="Times New Roman" w:cs="Times New Roman"/>
          <w:sz w:val="24"/>
          <w:szCs w:val="24"/>
        </w:rPr>
        <w:t xml:space="preserve"> I kategorijas valsti</w:t>
      </w:r>
      <w:r w:rsidRPr="003B3F7A">
        <w:rPr>
          <w:rFonts w:ascii="Times New Roman" w:hAnsi="Times New Roman" w:cs="Times New Roman"/>
          <w:sz w:val="24"/>
          <w:szCs w:val="24"/>
        </w:rPr>
        <w:t>, Latvija</w:t>
      </w:r>
      <w:r>
        <w:rPr>
          <w:rFonts w:ascii="Times New Roman" w:hAnsi="Times New Roman" w:cs="Times New Roman"/>
          <w:sz w:val="24"/>
          <w:szCs w:val="24"/>
        </w:rPr>
        <w:t>i kopā ar pārējām Baltijas valstīm tiks nodrošināts</w:t>
      </w:r>
      <w:r w:rsidRPr="003B3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Ziemeļvalstīm līdzvērtīgs statuss -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donorvalsts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Vienota Baltijas valstu pāreja uz MIGA I kategoriju </w:t>
      </w:r>
      <w:r w:rsidRPr="00333A1C">
        <w:rPr>
          <w:rFonts w:ascii="Times New Roman" w:hAnsi="Times New Roman" w:cs="Times New Roman"/>
          <w:sz w:val="24"/>
          <w:szCs w:val="24"/>
        </w:rPr>
        <w:t xml:space="preserve">stiprinās Latvijas kā </w:t>
      </w:r>
      <w:proofErr w:type="spellStart"/>
      <w:r w:rsidRPr="00333A1C">
        <w:rPr>
          <w:rFonts w:ascii="Times New Roman" w:hAnsi="Times New Roman" w:cs="Times New Roman"/>
          <w:sz w:val="24"/>
          <w:szCs w:val="24"/>
        </w:rPr>
        <w:t>donorvalsts</w:t>
      </w:r>
      <w:proofErr w:type="spellEnd"/>
      <w:r w:rsidRPr="00333A1C">
        <w:rPr>
          <w:rFonts w:ascii="Times New Roman" w:hAnsi="Times New Roman" w:cs="Times New Roman"/>
          <w:sz w:val="24"/>
          <w:szCs w:val="24"/>
        </w:rPr>
        <w:t xml:space="preserve"> reputāciju un </w:t>
      </w:r>
      <w:r w:rsidR="00BA2953" w:rsidRPr="00495EF1">
        <w:rPr>
          <w:rFonts w:ascii="Times New Roman" w:hAnsi="Times New Roman" w:cs="Times New Roman"/>
          <w:sz w:val="24"/>
          <w:szCs w:val="24"/>
        </w:rPr>
        <w:t>pārstāvību</w:t>
      </w:r>
      <w:r w:rsidRPr="00495EF1">
        <w:rPr>
          <w:rFonts w:ascii="Times New Roman" w:hAnsi="Times New Roman" w:cs="Times New Roman"/>
          <w:sz w:val="24"/>
          <w:szCs w:val="24"/>
        </w:rPr>
        <w:t xml:space="preserve"> Pasaules Bankas grupā.</w:t>
      </w:r>
      <w:r>
        <w:rPr>
          <w:rFonts w:ascii="Times New Roman" w:hAnsi="Times New Roman" w:cs="Times New Roman"/>
          <w:sz w:val="24"/>
          <w:szCs w:val="24"/>
        </w:rPr>
        <w:t xml:space="preserve"> Atbilstoši MIGA konvencijas 39.</w:t>
      </w:r>
      <w:r w:rsidR="00BA29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pantam statusa maiņas gadījumā palielināsies arī Latvijas balsstiesību apjoms MIGA  – no pašreizējām 395 balsīm (0.18% no kopējā balsstiesību apjoma) uz 413 balsīm (0.19% no kopējā balsstiesību apjoma). Latviju kopā ar pārējām Ziemeļu un Baltijas valstīm Eiropā pārstāvēs MIGA reģionālais birojs Parīzē. </w:t>
      </w:r>
      <w:r w:rsidR="003A164F">
        <w:rPr>
          <w:rFonts w:ascii="Times New Roman" w:hAnsi="Times New Roman" w:cs="Times New Roman"/>
          <w:sz w:val="24"/>
          <w:szCs w:val="24"/>
        </w:rPr>
        <w:t>Jāpiemin, ka no 2019.gada 1.novembra Latvijas un pārējo Baltijas valstu</w:t>
      </w:r>
      <w:r w:rsidR="003A164F" w:rsidRPr="00740AA2">
        <w:rPr>
          <w:rFonts w:ascii="Times New Roman" w:hAnsi="Times New Roman" w:cs="Times New Roman"/>
          <w:sz w:val="24"/>
          <w:szCs w:val="24"/>
        </w:rPr>
        <w:t xml:space="preserve"> </w:t>
      </w:r>
      <w:r w:rsidR="003A164F">
        <w:rPr>
          <w:rFonts w:ascii="Times New Roman" w:hAnsi="Times New Roman" w:cs="Times New Roman"/>
          <w:sz w:val="24"/>
          <w:szCs w:val="24"/>
        </w:rPr>
        <w:t xml:space="preserve">turpmākas sadarbības organizēšana ar IFC </w:t>
      </w:r>
      <w:r w:rsidR="00C66635">
        <w:rPr>
          <w:rFonts w:ascii="Times New Roman" w:hAnsi="Times New Roman" w:cs="Times New Roman"/>
          <w:sz w:val="24"/>
          <w:szCs w:val="24"/>
        </w:rPr>
        <w:t>tika</w:t>
      </w:r>
      <w:r w:rsidR="00C66635" w:rsidRPr="00740AA2">
        <w:rPr>
          <w:rFonts w:ascii="Times New Roman" w:hAnsi="Times New Roman" w:cs="Times New Roman"/>
          <w:sz w:val="24"/>
          <w:szCs w:val="24"/>
        </w:rPr>
        <w:t xml:space="preserve"> pārcelta </w:t>
      </w:r>
      <w:r w:rsidR="003A164F" w:rsidRPr="00740AA2">
        <w:rPr>
          <w:rFonts w:ascii="Times New Roman" w:hAnsi="Times New Roman" w:cs="Times New Roman"/>
          <w:sz w:val="24"/>
          <w:szCs w:val="24"/>
        </w:rPr>
        <w:t xml:space="preserve">no </w:t>
      </w:r>
      <w:r w:rsidR="003A164F">
        <w:rPr>
          <w:rFonts w:ascii="Times New Roman" w:hAnsi="Times New Roman" w:cs="Times New Roman"/>
          <w:sz w:val="24"/>
          <w:szCs w:val="24"/>
        </w:rPr>
        <w:t xml:space="preserve">Pasaules Bankas grupas </w:t>
      </w:r>
      <w:r w:rsidR="003A164F" w:rsidRPr="00740AA2">
        <w:rPr>
          <w:rFonts w:ascii="Times New Roman" w:hAnsi="Times New Roman" w:cs="Times New Roman"/>
          <w:sz w:val="24"/>
          <w:szCs w:val="24"/>
        </w:rPr>
        <w:t xml:space="preserve">Eiropas un </w:t>
      </w:r>
      <w:proofErr w:type="spellStart"/>
      <w:r w:rsidR="003A164F" w:rsidRPr="00740AA2">
        <w:rPr>
          <w:rFonts w:ascii="Times New Roman" w:hAnsi="Times New Roman" w:cs="Times New Roman"/>
          <w:sz w:val="24"/>
          <w:szCs w:val="24"/>
        </w:rPr>
        <w:t>Centrālāzijas</w:t>
      </w:r>
      <w:proofErr w:type="spellEnd"/>
      <w:r w:rsidR="003A164F" w:rsidRPr="00740AA2">
        <w:rPr>
          <w:rFonts w:ascii="Times New Roman" w:hAnsi="Times New Roman" w:cs="Times New Roman"/>
          <w:sz w:val="24"/>
          <w:szCs w:val="24"/>
        </w:rPr>
        <w:t xml:space="preserve"> departamenta uz Rietumeiropas departamentu</w:t>
      </w:r>
      <w:r w:rsidR="003A164F">
        <w:rPr>
          <w:rFonts w:ascii="Times New Roman" w:hAnsi="Times New Roman" w:cs="Times New Roman"/>
          <w:sz w:val="24"/>
          <w:szCs w:val="24"/>
        </w:rPr>
        <w:t xml:space="preserve"> Parīzē</w:t>
      </w:r>
      <w:r w:rsidR="003A164F" w:rsidRPr="00740AA2">
        <w:rPr>
          <w:rFonts w:ascii="Times New Roman" w:hAnsi="Times New Roman" w:cs="Times New Roman"/>
          <w:sz w:val="24"/>
          <w:szCs w:val="24"/>
        </w:rPr>
        <w:t xml:space="preserve">, </w:t>
      </w:r>
      <w:r w:rsidR="003A164F">
        <w:rPr>
          <w:rFonts w:ascii="Times New Roman" w:hAnsi="Times New Roman" w:cs="Times New Roman"/>
          <w:sz w:val="24"/>
          <w:szCs w:val="24"/>
        </w:rPr>
        <w:t>kas strādā</w:t>
      </w:r>
      <w:r w:rsidR="003A164F" w:rsidRPr="00740AA2">
        <w:rPr>
          <w:rFonts w:ascii="Times New Roman" w:hAnsi="Times New Roman" w:cs="Times New Roman"/>
          <w:sz w:val="24"/>
          <w:szCs w:val="24"/>
        </w:rPr>
        <w:t xml:space="preserve"> </w:t>
      </w:r>
      <w:r w:rsidR="003A164F">
        <w:rPr>
          <w:rFonts w:ascii="Times New Roman" w:hAnsi="Times New Roman" w:cs="Times New Roman"/>
          <w:sz w:val="24"/>
          <w:szCs w:val="24"/>
        </w:rPr>
        <w:t>ar Ziemeļvalstīm</w:t>
      </w:r>
      <w:r w:rsidR="003A164F" w:rsidRPr="00740AA2">
        <w:rPr>
          <w:rFonts w:ascii="Times New Roman" w:hAnsi="Times New Roman" w:cs="Times New Roman"/>
          <w:sz w:val="24"/>
          <w:szCs w:val="24"/>
        </w:rPr>
        <w:t>.</w:t>
      </w:r>
      <w:r w:rsidR="003A164F">
        <w:rPr>
          <w:rFonts w:ascii="Times New Roman" w:hAnsi="Times New Roman" w:cs="Times New Roman"/>
          <w:sz w:val="24"/>
          <w:szCs w:val="24"/>
        </w:rPr>
        <w:t xml:space="preserve"> Ar šo pāreju stiprinātas Latvijas kā </w:t>
      </w:r>
      <w:proofErr w:type="spellStart"/>
      <w:r w:rsidR="003A164F">
        <w:rPr>
          <w:rFonts w:ascii="Times New Roman" w:hAnsi="Times New Roman" w:cs="Times New Roman"/>
          <w:sz w:val="24"/>
          <w:szCs w:val="24"/>
        </w:rPr>
        <w:t>donorvalsts</w:t>
      </w:r>
      <w:proofErr w:type="spellEnd"/>
      <w:r w:rsidR="003A164F">
        <w:rPr>
          <w:rFonts w:ascii="Times New Roman" w:hAnsi="Times New Roman" w:cs="Times New Roman"/>
          <w:sz w:val="24"/>
          <w:szCs w:val="24"/>
        </w:rPr>
        <w:t xml:space="preserve"> attiecības ar IFC, tādējādi veicinot Latvijas privātā sektora</w:t>
      </w:r>
      <w:r w:rsidR="003A164F" w:rsidRPr="00C0378F">
        <w:rPr>
          <w:rFonts w:ascii="Times New Roman" w:hAnsi="Times New Roman" w:cs="Times New Roman"/>
          <w:sz w:val="24"/>
          <w:szCs w:val="24"/>
        </w:rPr>
        <w:t xml:space="preserve"> iesaisti </w:t>
      </w:r>
      <w:r w:rsidR="00A82DCB" w:rsidRPr="00A82DCB">
        <w:rPr>
          <w:rFonts w:ascii="Times New Roman" w:hAnsi="Times New Roman" w:cs="Times New Roman"/>
          <w:sz w:val="24"/>
          <w:szCs w:val="24"/>
        </w:rPr>
        <w:t xml:space="preserve">un eksporta iespējas </w:t>
      </w:r>
      <w:r w:rsidR="003A164F" w:rsidRPr="00C0378F">
        <w:rPr>
          <w:rFonts w:ascii="Times New Roman" w:hAnsi="Times New Roman" w:cs="Times New Roman"/>
          <w:sz w:val="24"/>
          <w:szCs w:val="24"/>
        </w:rPr>
        <w:t>attīstības tirgos</w:t>
      </w:r>
      <w:r w:rsidR="003A164F">
        <w:rPr>
          <w:rFonts w:ascii="Times New Roman" w:hAnsi="Times New Roman" w:cs="Times New Roman"/>
          <w:sz w:val="24"/>
          <w:szCs w:val="24"/>
        </w:rPr>
        <w:t>.</w:t>
      </w:r>
      <w:r w:rsidR="003A164F" w:rsidRPr="00C0378F">
        <w:rPr>
          <w:rFonts w:ascii="Times New Roman" w:hAnsi="Times New Roman" w:cs="Times New Roman"/>
          <w:sz w:val="24"/>
          <w:szCs w:val="24"/>
        </w:rPr>
        <w:t xml:space="preserve"> </w:t>
      </w:r>
      <w:r w:rsidR="00BA2953">
        <w:rPr>
          <w:rFonts w:ascii="Times New Roman" w:hAnsi="Times New Roman" w:cs="Times New Roman"/>
          <w:sz w:val="24"/>
          <w:szCs w:val="24"/>
        </w:rPr>
        <w:t>Līdzīgi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57EED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953">
        <w:rPr>
          <w:rFonts w:ascii="Times New Roman" w:hAnsi="Times New Roman" w:cs="Times New Roman"/>
          <w:sz w:val="24"/>
          <w:szCs w:val="24"/>
        </w:rPr>
        <w:t>Ziemeļvalstis</w:t>
      </w:r>
      <w:r>
        <w:rPr>
          <w:rFonts w:ascii="Times New Roman" w:hAnsi="Times New Roman" w:cs="Times New Roman"/>
          <w:sz w:val="24"/>
          <w:szCs w:val="24"/>
        </w:rPr>
        <w:t>, ar</w:t>
      </w:r>
      <w:r w:rsidR="00BA2953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18C">
        <w:rPr>
          <w:rFonts w:ascii="Times New Roman" w:hAnsi="Times New Roman" w:cs="Times New Roman"/>
          <w:bCs/>
          <w:sz w:val="24"/>
          <w:szCs w:val="24"/>
        </w:rPr>
        <w:t xml:space="preserve">Latvija kā </w:t>
      </w:r>
      <w:proofErr w:type="spellStart"/>
      <w:r w:rsidRPr="0073118C">
        <w:rPr>
          <w:rFonts w:ascii="Times New Roman" w:hAnsi="Times New Roman" w:cs="Times New Roman"/>
          <w:bCs/>
          <w:sz w:val="24"/>
          <w:szCs w:val="24"/>
        </w:rPr>
        <w:t>donorvalsts</w:t>
      </w:r>
      <w:proofErr w:type="spellEnd"/>
      <w:r w:rsidRPr="0073118C">
        <w:rPr>
          <w:rFonts w:ascii="Times New Roman" w:hAnsi="Times New Roman" w:cs="Times New Roman"/>
          <w:bCs/>
          <w:sz w:val="24"/>
          <w:szCs w:val="24"/>
        </w:rPr>
        <w:t xml:space="preserve"> spēs efektīvāk stiprināt sadarbību ar MIGA, kas sniegs Latvijas uzņēmumiem iespēju saņemt MIGA atbalstu garantiju veidā investīcijām eksporta tirgos attīstības valstīs.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A2953">
        <w:rPr>
          <w:rFonts w:ascii="Times New Roman" w:hAnsi="Times New Roman" w:cs="Times New Roman"/>
          <w:sz w:val="24"/>
          <w:szCs w:val="24"/>
        </w:rPr>
        <w:t>ī</w:t>
      </w:r>
      <w:r>
        <w:rPr>
          <w:rFonts w:ascii="Times New Roman" w:hAnsi="Times New Roman" w:cs="Times New Roman"/>
          <w:sz w:val="24"/>
          <w:szCs w:val="24"/>
        </w:rPr>
        <w:t>dz ar Latvijas statusa mai</w:t>
      </w:r>
      <w:r w:rsidR="00BA2953">
        <w:rPr>
          <w:rFonts w:ascii="Times New Roman" w:hAnsi="Times New Roman" w:cs="Times New Roman"/>
          <w:sz w:val="24"/>
          <w:szCs w:val="24"/>
        </w:rPr>
        <w:t>ņ</w:t>
      </w:r>
      <w:r>
        <w:rPr>
          <w:rFonts w:ascii="Times New Roman" w:hAnsi="Times New Roman" w:cs="Times New Roman"/>
          <w:sz w:val="24"/>
          <w:szCs w:val="24"/>
        </w:rPr>
        <w:t>u, MIGA pl</w:t>
      </w:r>
      <w:r w:rsidR="00BA2953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no organiz</w:t>
      </w:r>
      <w:r w:rsidR="00BA2953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t pla</w:t>
      </w:r>
      <w:r w:rsidR="00BA2953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u biznesa pas</w:t>
      </w:r>
      <w:r w:rsidR="00BA2953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kumu Latvijā 2021.gada novembrī</w:t>
      </w:r>
      <w:r w:rsidR="00D11A33">
        <w:rPr>
          <w:rFonts w:ascii="Times New Roman" w:hAnsi="Times New Roman" w:cs="Times New Roman"/>
          <w:sz w:val="24"/>
          <w:szCs w:val="24"/>
        </w:rPr>
        <w:t xml:space="preserve">, </w:t>
      </w:r>
      <w:r w:rsidR="00A82DCB" w:rsidRPr="00A82DCB">
        <w:rPr>
          <w:rFonts w:ascii="Times New Roman" w:hAnsi="Times New Roman" w:cs="Times New Roman"/>
          <w:sz w:val="24"/>
          <w:szCs w:val="24"/>
        </w:rPr>
        <w:t>tiekoties ar publiskā un privātā sektora pārstāvjiem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3A1C">
        <w:rPr>
          <w:rFonts w:ascii="Times New Roman" w:hAnsi="Times New Roman" w:cs="Times New Roman"/>
          <w:b/>
          <w:bCs/>
          <w:sz w:val="24"/>
          <w:szCs w:val="24"/>
        </w:rPr>
        <w:t>Tādējādi, ņemot vērā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 augst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>k min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ē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tos </w:t>
      </w:r>
      <w:proofErr w:type="spellStart"/>
      <w:r w:rsidRPr="00A3363F">
        <w:rPr>
          <w:rFonts w:ascii="Times New Roman" w:hAnsi="Times New Roman" w:cs="Times New Roman"/>
          <w:b/>
          <w:bCs/>
          <w:sz w:val="24"/>
          <w:szCs w:val="24"/>
        </w:rPr>
        <w:t>gradu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>cijas</w:t>
      </w:r>
      <w:proofErr w:type="spellEnd"/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 ieguvumus un Latvijas valsts augsto attīstības līmeni (dalībvalst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 statusu OECD), </w:t>
      </w:r>
      <w:r w:rsidRPr="00333A1C">
        <w:rPr>
          <w:rFonts w:ascii="Times New Roman" w:hAnsi="Times New Roman" w:cs="Times New Roman"/>
          <w:b/>
          <w:bCs/>
          <w:sz w:val="24"/>
          <w:szCs w:val="24"/>
        </w:rPr>
        <w:t>kā arī to, ka pārējās Pasaules Bankas grupas instit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ūcijās (IBRD, IDA) Latvija ir </w:t>
      </w:r>
      <w:proofErr w:type="spellStart"/>
      <w:r w:rsidRPr="00A3363F">
        <w:rPr>
          <w:rFonts w:ascii="Times New Roman" w:hAnsi="Times New Roman" w:cs="Times New Roman"/>
          <w:b/>
          <w:bCs/>
          <w:sz w:val="24"/>
          <w:szCs w:val="24"/>
        </w:rPr>
        <w:t>donorvalsts</w:t>
      </w:r>
      <w:proofErr w:type="spellEnd"/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 līdzīgi kā citas Ziemeļ</w:t>
      </w:r>
      <w:r w:rsidR="006C1FFF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6C1F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 Baltijas 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 xml:space="preserve">valstis, ir nepieciešams mainīt Latvijas statusu MIGA no 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004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0041A">
        <w:rPr>
          <w:rFonts w:ascii="Times New Roman" w:hAnsi="Times New Roman" w:cs="Times New Roman"/>
          <w:b/>
          <w:bCs/>
          <w:sz w:val="24"/>
          <w:szCs w:val="24"/>
        </w:rPr>
        <w:t>ategorijas (saņēmējvalsts) uz I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 xml:space="preserve"> kategoriju </w:t>
      </w:r>
      <w:r w:rsidRPr="00A3363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63F">
        <w:rPr>
          <w:rFonts w:ascii="Times New Roman" w:hAnsi="Times New Roman" w:cs="Times New Roman"/>
          <w:b/>
          <w:bCs/>
          <w:sz w:val="24"/>
          <w:szCs w:val="24"/>
        </w:rPr>
        <w:t>donorvalsts</w:t>
      </w:r>
      <w:proofErr w:type="spellEnd"/>
      <w:r w:rsidRPr="00A3363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A29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041DD8" w14:textId="6FF6ABE9" w:rsidR="00A85758" w:rsidRPr="00A85758" w:rsidRDefault="00333A1C" w:rsidP="00333A1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Iestājoties MIGA, Latvija veica iemaksu MIGA kontā USD 78 716 apmērā un Latvijas Bankas kontā MIGA mērķiem USD 26 239 LVL ekvivalentā</w:t>
      </w:r>
      <w:r w:rsidR="00BA2953">
        <w:rPr>
          <w:rFonts w:ascii="Times New Roman" w:hAnsi="Times New Roman" w:cs="Times New Roman"/>
          <w:sz w:val="24"/>
          <w:szCs w:val="24"/>
        </w:rPr>
        <w:t xml:space="preserve"> (LVL 15 743)</w:t>
      </w:r>
      <w:r>
        <w:rPr>
          <w:rFonts w:ascii="Times New Roman" w:hAnsi="Times New Roman" w:cs="Times New Roman"/>
          <w:sz w:val="24"/>
          <w:szCs w:val="24"/>
        </w:rPr>
        <w:t xml:space="preserve">. Latvijai kļūstot par Eiropas Savienības (ES) dalībvalsti, šī summa tika automātiski konvertēta EUR valūtā. Atbilstoši MIGA procedūrai, ja valsts vēlas mainīt savu dalībvalsts statusu no II kategorijas uz I kategoriju, tai jākonvertē nacionālā valūtā veiktā iemaksa uz brīvi konvertējamu valūtu. </w:t>
      </w:r>
      <w:r w:rsidRPr="00BA2953">
        <w:rPr>
          <w:rFonts w:ascii="Times New Roman" w:hAnsi="Times New Roman" w:cs="Times New Roman"/>
          <w:bCs/>
          <w:sz w:val="24"/>
          <w:szCs w:val="24"/>
        </w:rPr>
        <w:t>Ņemot vērā, ka Latvija ir ES dalībvalsts un veiktā iemaksa Latvijas Bankas kontā MIGA mērķiem jau ir konvertēta EUR valūtā, šī prasība jau ir izpildīta.</w:t>
      </w:r>
      <w:r w:rsidR="00B527EE" w:rsidRPr="00B527EE">
        <w:t xml:space="preserve"> </w:t>
      </w:r>
      <w:r w:rsidR="00B527EE" w:rsidRPr="00B527EE">
        <w:rPr>
          <w:rFonts w:ascii="Times New Roman" w:hAnsi="Times New Roman" w:cs="Times New Roman"/>
          <w:bCs/>
          <w:sz w:val="24"/>
          <w:szCs w:val="24"/>
        </w:rPr>
        <w:t xml:space="preserve">Vienlaikus </w:t>
      </w:r>
      <w:r w:rsidR="00992D7F">
        <w:rPr>
          <w:rFonts w:ascii="Times New Roman" w:hAnsi="Times New Roman" w:cs="Times New Roman"/>
          <w:bCs/>
          <w:sz w:val="24"/>
          <w:szCs w:val="24"/>
        </w:rPr>
        <w:t>netiek</w:t>
      </w:r>
      <w:r w:rsidR="00B527EE" w:rsidRPr="00B527EE">
        <w:rPr>
          <w:rFonts w:ascii="Times New Roman" w:hAnsi="Times New Roman" w:cs="Times New Roman"/>
          <w:bCs/>
          <w:sz w:val="24"/>
          <w:szCs w:val="24"/>
        </w:rPr>
        <w:t xml:space="preserve"> plānotas </w:t>
      </w:r>
      <w:r w:rsidR="00992D7F">
        <w:rPr>
          <w:rFonts w:ascii="Times New Roman" w:hAnsi="Times New Roman" w:cs="Times New Roman"/>
          <w:bCs/>
          <w:sz w:val="24"/>
          <w:szCs w:val="24"/>
        </w:rPr>
        <w:t>iemaksas</w:t>
      </w:r>
      <w:r w:rsidR="00B527EE" w:rsidRPr="00B527EE">
        <w:rPr>
          <w:rFonts w:ascii="Times New Roman" w:hAnsi="Times New Roman" w:cs="Times New Roman"/>
          <w:bCs/>
          <w:sz w:val="24"/>
          <w:szCs w:val="24"/>
        </w:rPr>
        <w:t xml:space="preserve"> MIGA kapitālā</w:t>
      </w:r>
      <w:r w:rsidR="00B527EE">
        <w:rPr>
          <w:rFonts w:ascii="Times New Roman" w:hAnsi="Times New Roman" w:cs="Times New Roman"/>
          <w:bCs/>
          <w:sz w:val="24"/>
          <w:szCs w:val="24"/>
        </w:rPr>
        <w:t>.</w:t>
      </w:r>
      <w:r w:rsidRPr="00BA2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A1C">
        <w:rPr>
          <w:rFonts w:ascii="Times New Roman" w:hAnsi="Times New Roman" w:cs="Times New Roman"/>
          <w:b/>
          <w:sz w:val="24"/>
          <w:szCs w:val="24"/>
        </w:rPr>
        <w:t>Līdz ar to Latvijas pārejai uz I kategoriju</w:t>
      </w:r>
      <w:r w:rsidRPr="00495EF1">
        <w:rPr>
          <w:rFonts w:ascii="Times New Roman" w:hAnsi="Times New Roman" w:cs="Times New Roman"/>
          <w:b/>
          <w:sz w:val="24"/>
          <w:szCs w:val="24"/>
        </w:rPr>
        <w:t xml:space="preserve"> nebūs fiskāla ietekme.</w:t>
      </w:r>
      <w:r w:rsidR="00A85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49D29" w14:textId="29E581EC" w:rsidR="00333A1C" w:rsidRDefault="00333A1C" w:rsidP="00333A1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Dalībvalsts pāreja no II uz I kategoriju ir brīvprātīga un tiek iniciēta, balstoties uz dalībvalsts pieprasījumu pilnvarnieka vēstules formā. Saskaņā ar MIGA konvencijas 31. pantu MIGA pilnvarnieku valde ir pilnvarota mainīt dalībvalsts statusu uz I vai II kategoriju. Tas nozīmē, ka pēc Latvijas pilnvarnieka pieprasījuma mainīt tās statusu MIGA uz I kategoriju, MIGA direktoru valdei ir jāpieņem lēmums, kas tiks tālāk nosūtīts pilnvarniekiem apstiprināšanai. </w:t>
      </w:r>
      <w:r w:rsidRPr="00900021">
        <w:rPr>
          <w:rFonts w:ascii="Times New Roman" w:hAnsi="Times New Roman" w:cs="Times New Roman"/>
          <w:b/>
          <w:sz w:val="24"/>
          <w:szCs w:val="24"/>
        </w:rPr>
        <w:t>Latvijas statuss MIGA tiks mainīts, kolīdz stāsies spēkā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21">
        <w:rPr>
          <w:rFonts w:ascii="Times New Roman" w:hAnsi="Times New Roman" w:cs="Times New Roman"/>
          <w:b/>
          <w:sz w:val="24"/>
          <w:szCs w:val="24"/>
        </w:rPr>
        <w:t>pilnvarniek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00021">
        <w:rPr>
          <w:rFonts w:ascii="Times New Roman" w:hAnsi="Times New Roman" w:cs="Times New Roman"/>
          <w:b/>
          <w:sz w:val="24"/>
          <w:szCs w:val="24"/>
        </w:rPr>
        <w:t xml:space="preserve"> rezolūcija.</w:t>
      </w:r>
      <w:r>
        <w:rPr>
          <w:rFonts w:ascii="Times New Roman" w:hAnsi="Times New Roman" w:cs="Times New Roman"/>
          <w:b/>
          <w:sz w:val="24"/>
          <w:szCs w:val="24"/>
        </w:rPr>
        <w:t xml:space="preserve"> Plānots, ka Baltijas valstu statusa maiņa tiks veikta vienlaicīgi.</w:t>
      </w:r>
    </w:p>
    <w:p w14:paraId="28A7358A" w14:textId="77777777" w:rsidR="00D445EF" w:rsidRDefault="00D445EF" w:rsidP="003C01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DA874" w14:textId="383B7ADF" w:rsidR="00D445EF" w:rsidRDefault="00E63E79" w:rsidP="003C011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D445EF" w:rsidRPr="00D445EF">
        <w:rPr>
          <w:rFonts w:ascii="Times New Roman" w:hAnsi="Times New Roman" w:cs="Times New Roman"/>
          <w:b/>
          <w:sz w:val="24"/>
          <w:szCs w:val="24"/>
        </w:rPr>
        <w:t>Turpmākā rīcība</w:t>
      </w:r>
    </w:p>
    <w:p w14:paraId="29C5DED0" w14:textId="02F2EEF5" w:rsidR="004C3938" w:rsidRDefault="00D445EF" w:rsidP="008C4E85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3938">
        <w:rPr>
          <w:rFonts w:ascii="Times New Roman" w:hAnsi="Times New Roman" w:cs="Times New Roman"/>
          <w:sz w:val="24"/>
          <w:szCs w:val="24"/>
        </w:rPr>
        <w:t xml:space="preserve">Pieņemt zināšanai </w:t>
      </w:r>
      <w:r w:rsidR="007E4B32">
        <w:rPr>
          <w:rFonts w:ascii="Times New Roman" w:hAnsi="Times New Roman" w:cs="Times New Roman"/>
          <w:sz w:val="24"/>
          <w:szCs w:val="24"/>
        </w:rPr>
        <w:t>finanšu ministra</w:t>
      </w:r>
      <w:r w:rsidR="008C4E85" w:rsidRPr="008C4E85">
        <w:rPr>
          <w:rFonts w:ascii="Times New Roman" w:hAnsi="Times New Roman" w:cs="Times New Roman"/>
          <w:sz w:val="24"/>
          <w:szCs w:val="24"/>
        </w:rPr>
        <w:t xml:space="preserve"> iesniegto </w:t>
      </w:r>
      <w:r w:rsidRPr="004C3938">
        <w:rPr>
          <w:rFonts w:ascii="Times New Roman" w:hAnsi="Times New Roman" w:cs="Times New Roman"/>
          <w:sz w:val="24"/>
          <w:szCs w:val="24"/>
        </w:rPr>
        <w:t>informatīvo ziņojumu</w:t>
      </w:r>
      <w:r w:rsidR="004C3938">
        <w:rPr>
          <w:rFonts w:ascii="Times New Roman" w:hAnsi="Times New Roman" w:cs="Times New Roman"/>
          <w:sz w:val="24"/>
          <w:szCs w:val="24"/>
        </w:rPr>
        <w:t>.</w:t>
      </w:r>
    </w:p>
    <w:p w14:paraId="1EFFFE68" w14:textId="31BC25C6" w:rsidR="00DF71D1" w:rsidRDefault="004C3938" w:rsidP="00034FA1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45EF" w:rsidRPr="004C3938">
        <w:rPr>
          <w:rFonts w:ascii="Times New Roman" w:hAnsi="Times New Roman" w:cs="Times New Roman"/>
          <w:sz w:val="24"/>
          <w:szCs w:val="24"/>
        </w:rPr>
        <w:t xml:space="preserve">tbalstīt Latvijas </w:t>
      </w:r>
      <w:r w:rsidR="00DF71D1">
        <w:rPr>
          <w:rFonts w:ascii="Times New Roman" w:hAnsi="Times New Roman" w:cs="Times New Roman"/>
          <w:sz w:val="24"/>
          <w:szCs w:val="24"/>
        </w:rPr>
        <w:t xml:space="preserve">Republikas statusa maiņu </w:t>
      </w:r>
      <w:r w:rsidR="00034FA1" w:rsidRPr="00034FA1">
        <w:rPr>
          <w:rFonts w:ascii="Times New Roman" w:hAnsi="Times New Roman" w:cs="Times New Roman"/>
          <w:sz w:val="24"/>
          <w:szCs w:val="24"/>
        </w:rPr>
        <w:t>Daudzpusējā investīciju garantiju aģentūrā</w:t>
      </w:r>
      <w:r w:rsidR="00034FA1" w:rsidRPr="00034FA1" w:rsidDel="00034FA1">
        <w:rPr>
          <w:rFonts w:ascii="Times New Roman" w:hAnsi="Times New Roman" w:cs="Times New Roman"/>
          <w:sz w:val="24"/>
          <w:szCs w:val="24"/>
        </w:rPr>
        <w:t xml:space="preserve"> </w:t>
      </w:r>
      <w:r w:rsidR="00DF71D1">
        <w:rPr>
          <w:rFonts w:ascii="Times New Roman" w:hAnsi="Times New Roman" w:cs="Times New Roman"/>
          <w:sz w:val="24"/>
          <w:szCs w:val="24"/>
        </w:rPr>
        <w:t>no</w:t>
      </w:r>
      <w:r w:rsidR="00DF71D1" w:rsidRPr="00DF71D1">
        <w:rPr>
          <w:rFonts w:ascii="Times New Roman" w:hAnsi="Times New Roman" w:cs="Times New Roman"/>
          <w:sz w:val="24"/>
          <w:szCs w:val="24"/>
        </w:rPr>
        <w:t xml:space="preserve"> </w:t>
      </w:r>
      <w:r w:rsidR="00DF71D1">
        <w:rPr>
          <w:rFonts w:ascii="Times New Roman" w:hAnsi="Times New Roman" w:cs="Times New Roman"/>
          <w:sz w:val="24"/>
          <w:szCs w:val="24"/>
        </w:rPr>
        <w:t>II kategorijas (saņēmējvalsts) uz I kategoriju (</w:t>
      </w:r>
      <w:proofErr w:type="spellStart"/>
      <w:r w:rsidR="00DF71D1">
        <w:rPr>
          <w:rFonts w:ascii="Times New Roman" w:hAnsi="Times New Roman" w:cs="Times New Roman"/>
          <w:sz w:val="24"/>
          <w:szCs w:val="24"/>
        </w:rPr>
        <w:t>donorvalsts</w:t>
      </w:r>
      <w:proofErr w:type="spellEnd"/>
      <w:r w:rsidR="00DF71D1">
        <w:rPr>
          <w:rFonts w:ascii="Times New Roman" w:hAnsi="Times New Roman" w:cs="Times New Roman"/>
          <w:sz w:val="24"/>
          <w:szCs w:val="24"/>
        </w:rPr>
        <w:t>).</w:t>
      </w:r>
    </w:p>
    <w:p w14:paraId="5C9EA8D4" w14:textId="0EEBD3B1" w:rsidR="00175827" w:rsidRDefault="00DF71D1" w:rsidP="00034FA1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Finanšu ministrijai </w:t>
      </w:r>
      <w:r w:rsidR="00A937D6">
        <w:rPr>
          <w:rFonts w:ascii="Times New Roman" w:hAnsi="Times New Roman" w:cs="Times New Roman"/>
          <w:sz w:val="24"/>
          <w:szCs w:val="24"/>
        </w:rPr>
        <w:t xml:space="preserve">sagatavot un iesniegt pieteikumu </w:t>
      </w:r>
      <w:r w:rsidR="00034FA1" w:rsidRPr="00034FA1">
        <w:rPr>
          <w:rFonts w:ascii="Times New Roman" w:hAnsi="Times New Roman" w:cs="Times New Roman"/>
          <w:sz w:val="24"/>
          <w:szCs w:val="24"/>
        </w:rPr>
        <w:t>Daudzpusējā investīciju garantiju aģentūrā</w:t>
      </w:r>
      <w:r w:rsidR="00034FA1" w:rsidRPr="00034FA1" w:rsidDel="00034FA1">
        <w:rPr>
          <w:rFonts w:ascii="Times New Roman" w:hAnsi="Times New Roman" w:cs="Times New Roman"/>
          <w:sz w:val="24"/>
          <w:szCs w:val="24"/>
        </w:rPr>
        <w:t xml:space="preserve"> </w:t>
      </w:r>
      <w:r w:rsidR="00A937D6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Latvijas Republikas</w:t>
      </w:r>
      <w:r w:rsidRPr="004C3938">
        <w:rPr>
          <w:rFonts w:ascii="Times New Roman" w:hAnsi="Times New Roman" w:cs="Times New Roman"/>
          <w:sz w:val="24"/>
          <w:szCs w:val="24"/>
        </w:rPr>
        <w:t xml:space="preserve"> </w:t>
      </w:r>
      <w:r w:rsidR="00D445EF" w:rsidRPr="004C3938">
        <w:rPr>
          <w:rFonts w:ascii="Times New Roman" w:hAnsi="Times New Roman" w:cs="Times New Roman"/>
          <w:sz w:val="24"/>
          <w:szCs w:val="24"/>
        </w:rPr>
        <w:t xml:space="preserve">statusa </w:t>
      </w:r>
      <w:r>
        <w:rPr>
          <w:rFonts w:ascii="Times New Roman" w:hAnsi="Times New Roman" w:cs="Times New Roman"/>
          <w:sz w:val="24"/>
          <w:szCs w:val="24"/>
        </w:rPr>
        <w:t>maiņu no II kategorijas</w:t>
      </w:r>
      <w:r w:rsidR="00D445EF" w:rsidRPr="004C3938">
        <w:rPr>
          <w:rFonts w:ascii="Times New Roman" w:hAnsi="Times New Roman" w:cs="Times New Roman"/>
          <w:sz w:val="24"/>
          <w:szCs w:val="24"/>
        </w:rPr>
        <w:t xml:space="preserve"> uz I</w:t>
      </w:r>
      <w:r w:rsidR="00B673CF" w:rsidRPr="004C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kategoriju</w:t>
      </w:r>
      <w:r w:rsidR="00816D2C" w:rsidRPr="004C3938">
        <w:rPr>
          <w:rFonts w:ascii="Times New Roman" w:hAnsi="Times New Roman" w:cs="Times New Roman"/>
          <w:sz w:val="24"/>
          <w:szCs w:val="24"/>
        </w:rPr>
        <w:t>.</w:t>
      </w:r>
    </w:p>
    <w:p w14:paraId="0824EB0C" w14:textId="3B8CEA65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906A0" w14:textId="337E4A3B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28F88" w14:textId="4D067A0D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 Reirs</w:t>
      </w:r>
    </w:p>
    <w:p w14:paraId="0C852BE7" w14:textId="50671894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6D1D1" w14:textId="04D132E7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87E8" w14:textId="289FDE70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52DDB" w14:textId="74B6960D" w:rsidR="00E63E79" w:rsidRDefault="00E63E79" w:rsidP="00E63E7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E13D" w14:textId="77777777" w:rsidR="008F6C5A" w:rsidRDefault="00B022D3" w:rsidP="00E63E79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Vītola</w:t>
      </w:r>
      <w:r w:rsidR="008F6C5A">
        <w:rPr>
          <w:rFonts w:ascii="Times New Roman" w:hAnsi="Times New Roman" w:cs="Times New Roman"/>
          <w:sz w:val="20"/>
          <w:szCs w:val="24"/>
        </w:rPr>
        <w:t xml:space="preserve">, </w:t>
      </w:r>
      <w:r w:rsidRPr="00B022D3">
        <w:rPr>
          <w:rFonts w:ascii="Times New Roman" w:hAnsi="Times New Roman" w:cs="Times New Roman"/>
          <w:sz w:val="20"/>
          <w:szCs w:val="24"/>
        </w:rPr>
        <w:t>67083825</w:t>
      </w:r>
    </w:p>
    <w:p w14:paraId="7AABC02A" w14:textId="6FBD03B3" w:rsidR="00E63E79" w:rsidRPr="00E63E79" w:rsidRDefault="008F6C5A" w:rsidP="00E63E79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4"/>
        </w:rPr>
      </w:pPr>
      <w:hyperlink r:id="rId8" w:history="1">
        <w:r w:rsidR="00B022D3" w:rsidRPr="00E67A65">
          <w:rPr>
            <w:rStyle w:val="Hyperlink"/>
            <w:rFonts w:ascii="Times New Roman" w:hAnsi="Times New Roman" w:cs="Times New Roman"/>
            <w:sz w:val="20"/>
            <w:szCs w:val="24"/>
          </w:rPr>
          <w:t>Liene.Vitola@fm.gov.lv</w:t>
        </w:r>
      </w:hyperlink>
      <w:r w:rsidR="00E63E79"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E63E79" w:rsidRPr="00E63E79" w:rsidSect="00A210A9">
      <w:foot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6CA03" w16cex:dateUtc="2021-04-30T22:25:00Z"/>
  <w16cex:commentExtensible w16cex:durableId="2436C1DE" w16cex:dateUtc="2021-04-30T21:50:00Z"/>
  <w16cex:commentExtensible w16cex:durableId="2436C51F" w16cex:dateUtc="2021-04-30T22:04:00Z"/>
  <w16cex:commentExtensible w16cex:durableId="2436C927" w16cex:dateUtc="2021-04-30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3ED178" w16cid:durableId="2436CA03"/>
  <w16cid:commentId w16cid:paraId="6C8BF1FD" w16cid:durableId="244548A8"/>
  <w16cid:commentId w16cid:paraId="516675CC" w16cid:durableId="24461BE1"/>
  <w16cid:commentId w16cid:paraId="01B2A70B" w16cid:durableId="244548A9"/>
  <w16cid:commentId w16cid:paraId="0700AE3C" w16cid:durableId="2446263F"/>
  <w16cid:commentId w16cid:paraId="3D339D2A" w16cid:durableId="244548AA"/>
  <w16cid:commentId w16cid:paraId="1E507217" w16cid:durableId="2446255D"/>
  <w16cid:commentId w16cid:paraId="58D69A61" w16cid:durableId="244548AB"/>
  <w16cid:commentId w16cid:paraId="098C01BD" w16cid:durableId="2436C1DE"/>
  <w16cid:commentId w16cid:paraId="4AFC4D96" w16cid:durableId="2443BFAB"/>
  <w16cid:commentId w16cid:paraId="7D72CEC6" w16cid:durableId="2436C51F"/>
  <w16cid:commentId w16cid:paraId="136567DE" w16cid:durableId="2443BFAD"/>
  <w16cid:commentId w16cid:paraId="25F46E6C" w16cid:durableId="2436C927"/>
  <w16cid:commentId w16cid:paraId="2DBD14F3" w16cid:durableId="2443BF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7F6CD" w14:textId="77777777" w:rsidR="00D128D8" w:rsidRDefault="00D128D8" w:rsidP="00B66D1B">
      <w:r>
        <w:separator/>
      </w:r>
    </w:p>
  </w:endnote>
  <w:endnote w:type="continuationSeparator" w:id="0">
    <w:p w14:paraId="3962EA0B" w14:textId="77777777" w:rsidR="00D128D8" w:rsidRDefault="00D128D8" w:rsidP="00B6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1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D18C0" w14:textId="032FAFE3" w:rsidR="003579AF" w:rsidRDefault="00357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FFA65" w14:textId="0B7AD48D" w:rsidR="003579AF" w:rsidRPr="00E63E79" w:rsidRDefault="00E63E79">
    <w:pPr>
      <w:pStyle w:val="Footer"/>
      <w:rPr>
        <w:rFonts w:ascii="Times New Roman" w:hAnsi="Times New Roman" w:cs="Times New Roman"/>
      </w:rPr>
    </w:pPr>
    <w:r w:rsidRPr="00E63E79">
      <w:rPr>
        <w:rFonts w:ascii="Times New Roman" w:hAnsi="Times New Roman" w:cs="Times New Roman"/>
        <w:sz w:val="20"/>
      </w:rPr>
      <w:fldChar w:fldCharType="begin"/>
    </w:r>
    <w:r w:rsidRPr="00E63E79">
      <w:rPr>
        <w:rFonts w:ascii="Times New Roman" w:hAnsi="Times New Roman" w:cs="Times New Roman"/>
        <w:sz w:val="20"/>
      </w:rPr>
      <w:instrText xml:space="preserve"> FILENAME   \* MERGEFORMAT </w:instrText>
    </w:r>
    <w:r w:rsidRPr="00E63E79">
      <w:rPr>
        <w:rFonts w:ascii="Times New Roman" w:hAnsi="Times New Roman" w:cs="Times New Roman"/>
        <w:sz w:val="20"/>
      </w:rPr>
      <w:fldChar w:fldCharType="separate"/>
    </w:r>
    <w:r w:rsidR="00C210E2">
      <w:rPr>
        <w:rFonts w:ascii="Times New Roman" w:hAnsi="Times New Roman" w:cs="Times New Roman"/>
        <w:noProof/>
        <w:sz w:val="20"/>
      </w:rPr>
      <w:t>FMZin_010621_MIGA</w:t>
    </w:r>
    <w:r w:rsidRPr="00E63E79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2330" w14:textId="77777777" w:rsidR="00D128D8" w:rsidRDefault="00D128D8" w:rsidP="00B66D1B">
      <w:r>
        <w:separator/>
      </w:r>
    </w:p>
  </w:footnote>
  <w:footnote w:type="continuationSeparator" w:id="0">
    <w:p w14:paraId="42A49D81" w14:textId="77777777" w:rsidR="00D128D8" w:rsidRDefault="00D128D8" w:rsidP="00B66D1B">
      <w:r>
        <w:continuationSeparator/>
      </w:r>
    </w:p>
  </w:footnote>
  <w:footnote w:id="1">
    <w:p w14:paraId="7C093EC9" w14:textId="16E0A414" w:rsidR="00B673CF" w:rsidRPr="00C108D8" w:rsidRDefault="00B673CF" w:rsidP="00B673CF">
      <w:pPr>
        <w:pStyle w:val="FootnoteText"/>
        <w:jc w:val="both"/>
        <w:rPr>
          <w:sz w:val="18"/>
          <w:szCs w:val="16"/>
          <w:lang w:val="en-GB"/>
        </w:rPr>
      </w:pPr>
      <w:r w:rsidRPr="00C108D8">
        <w:rPr>
          <w:rStyle w:val="FootnoteReference"/>
          <w:sz w:val="18"/>
          <w:szCs w:val="16"/>
          <w:lang w:val="en-GB"/>
        </w:rPr>
        <w:footnoteRef/>
      </w:r>
      <w:r w:rsidRPr="00C108D8">
        <w:rPr>
          <w:sz w:val="18"/>
          <w:szCs w:val="16"/>
          <w:lang w:val="en-GB"/>
        </w:rPr>
        <w:t xml:space="preserve"> </w:t>
      </w:r>
      <w:r w:rsidRPr="00C108D8">
        <w:rPr>
          <w:i/>
          <w:sz w:val="18"/>
          <w:szCs w:val="16"/>
          <w:lang w:val="en-GB"/>
        </w:rPr>
        <w:t>Multilateral Investment Guarantee Agency</w:t>
      </w:r>
      <w:r w:rsidR="003C011E">
        <w:rPr>
          <w:sz w:val="18"/>
          <w:szCs w:val="16"/>
          <w:lang w:val="en-GB"/>
        </w:rPr>
        <w:t xml:space="preserve"> – MIGA.</w:t>
      </w:r>
    </w:p>
  </w:footnote>
  <w:footnote w:id="2">
    <w:p w14:paraId="592A8466" w14:textId="74D43C23" w:rsidR="006A3E5C" w:rsidRPr="00C108D8" w:rsidRDefault="006A3E5C" w:rsidP="006A3E5C">
      <w:pPr>
        <w:pStyle w:val="FootnoteText"/>
        <w:jc w:val="both"/>
        <w:rPr>
          <w:sz w:val="18"/>
          <w:szCs w:val="16"/>
          <w:lang w:val="en-GB"/>
        </w:rPr>
      </w:pPr>
      <w:r w:rsidRPr="00C108D8">
        <w:rPr>
          <w:rStyle w:val="FootnoteReference"/>
          <w:sz w:val="18"/>
          <w:szCs w:val="16"/>
        </w:rPr>
        <w:footnoteRef/>
      </w:r>
      <w:r w:rsidRPr="00C108D8">
        <w:rPr>
          <w:sz w:val="18"/>
          <w:szCs w:val="16"/>
        </w:rPr>
        <w:t xml:space="preserve"> </w:t>
      </w:r>
      <w:r w:rsidRPr="00C108D8">
        <w:rPr>
          <w:i/>
          <w:sz w:val="18"/>
          <w:szCs w:val="16"/>
          <w:lang w:val="en-GB"/>
        </w:rPr>
        <w:t>International Bank for Reconstruction and Development</w:t>
      </w:r>
      <w:r w:rsidR="003C011E">
        <w:rPr>
          <w:sz w:val="18"/>
          <w:szCs w:val="16"/>
          <w:lang w:val="en-GB"/>
        </w:rPr>
        <w:t xml:space="preserve"> – IBRD.</w:t>
      </w:r>
    </w:p>
  </w:footnote>
  <w:footnote w:id="3">
    <w:p w14:paraId="4F262FD8" w14:textId="088E7936" w:rsidR="006A3E5C" w:rsidRPr="00C108D8" w:rsidRDefault="006A3E5C" w:rsidP="006A3E5C">
      <w:pPr>
        <w:pStyle w:val="FootnoteText"/>
        <w:jc w:val="both"/>
        <w:rPr>
          <w:sz w:val="18"/>
          <w:szCs w:val="16"/>
          <w:lang w:val="en-GB"/>
        </w:rPr>
      </w:pPr>
      <w:r w:rsidRPr="00C108D8">
        <w:rPr>
          <w:rStyle w:val="FootnoteReference"/>
          <w:sz w:val="18"/>
          <w:szCs w:val="16"/>
          <w:lang w:val="en-GB"/>
        </w:rPr>
        <w:footnoteRef/>
      </w:r>
      <w:r w:rsidRPr="00C108D8">
        <w:rPr>
          <w:sz w:val="18"/>
          <w:szCs w:val="16"/>
          <w:lang w:val="en-GB"/>
        </w:rPr>
        <w:t xml:space="preserve"> </w:t>
      </w:r>
      <w:r w:rsidRPr="00C108D8">
        <w:rPr>
          <w:i/>
          <w:sz w:val="18"/>
          <w:szCs w:val="16"/>
          <w:lang w:val="en-GB"/>
        </w:rPr>
        <w:t>International Development Association</w:t>
      </w:r>
      <w:r w:rsidR="003C011E">
        <w:rPr>
          <w:sz w:val="18"/>
          <w:szCs w:val="16"/>
          <w:lang w:val="en-GB"/>
        </w:rPr>
        <w:t xml:space="preserve"> – IDA.</w:t>
      </w:r>
    </w:p>
  </w:footnote>
  <w:footnote w:id="4">
    <w:p w14:paraId="070655CD" w14:textId="5793AE0B" w:rsidR="006A3E5C" w:rsidRPr="00C108D8" w:rsidRDefault="006A3E5C" w:rsidP="006A3E5C">
      <w:pPr>
        <w:pStyle w:val="FootnoteText"/>
        <w:jc w:val="both"/>
        <w:rPr>
          <w:sz w:val="18"/>
          <w:szCs w:val="16"/>
          <w:lang w:val="en-GB"/>
        </w:rPr>
      </w:pPr>
      <w:r w:rsidRPr="00C108D8">
        <w:rPr>
          <w:rStyle w:val="FootnoteReference"/>
          <w:sz w:val="18"/>
          <w:szCs w:val="16"/>
          <w:lang w:val="en-GB"/>
        </w:rPr>
        <w:footnoteRef/>
      </w:r>
      <w:r w:rsidRPr="00C108D8">
        <w:rPr>
          <w:sz w:val="18"/>
          <w:szCs w:val="16"/>
          <w:lang w:val="en-GB"/>
        </w:rPr>
        <w:t xml:space="preserve"> </w:t>
      </w:r>
      <w:r w:rsidRPr="00C108D8">
        <w:rPr>
          <w:i/>
          <w:sz w:val="18"/>
          <w:szCs w:val="16"/>
          <w:lang w:val="en-GB"/>
        </w:rPr>
        <w:t>International Financial Corporation</w:t>
      </w:r>
      <w:r w:rsidR="003C011E">
        <w:rPr>
          <w:sz w:val="18"/>
          <w:szCs w:val="16"/>
          <w:lang w:val="en-GB"/>
        </w:rPr>
        <w:t xml:space="preserve"> – IFC.</w:t>
      </w:r>
    </w:p>
  </w:footnote>
  <w:footnote w:id="5">
    <w:p w14:paraId="19165545" w14:textId="77777777" w:rsidR="006A3E5C" w:rsidRPr="0031765B" w:rsidRDefault="006A3E5C" w:rsidP="006A3E5C">
      <w:pPr>
        <w:pStyle w:val="FootnoteText"/>
        <w:jc w:val="both"/>
        <w:rPr>
          <w:sz w:val="16"/>
          <w:szCs w:val="16"/>
        </w:rPr>
      </w:pPr>
      <w:r w:rsidRPr="00C108D8">
        <w:rPr>
          <w:rStyle w:val="FootnoteReference"/>
          <w:sz w:val="18"/>
          <w:szCs w:val="16"/>
          <w:lang w:val="en-GB"/>
        </w:rPr>
        <w:footnoteRef/>
      </w:r>
      <w:r w:rsidRPr="00C108D8">
        <w:rPr>
          <w:sz w:val="18"/>
          <w:szCs w:val="16"/>
          <w:lang w:val="en-GB"/>
        </w:rPr>
        <w:t xml:space="preserve"> </w:t>
      </w:r>
      <w:r w:rsidRPr="00C108D8">
        <w:rPr>
          <w:i/>
          <w:sz w:val="18"/>
          <w:szCs w:val="16"/>
          <w:lang w:val="en-GB"/>
        </w:rPr>
        <w:t>International Centre for Settlement of Investment Disputes</w:t>
      </w:r>
      <w:r w:rsidRPr="00C108D8">
        <w:rPr>
          <w:sz w:val="18"/>
          <w:szCs w:val="16"/>
          <w:lang w:val="en-GB"/>
        </w:rPr>
        <w:t xml:space="preserve"> – ICSID.</w:t>
      </w:r>
    </w:p>
  </w:footnote>
  <w:footnote w:id="6">
    <w:p w14:paraId="08D1E999" w14:textId="4C547D9B" w:rsidR="005803FE" w:rsidRDefault="005803FE" w:rsidP="005803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7611F">
        <w:rPr>
          <w:sz w:val="18"/>
        </w:rPr>
        <w:t>2007.gada 2</w:t>
      </w:r>
      <w:r w:rsidR="0087003B">
        <w:rPr>
          <w:sz w:val="18"/>
        </w:rPr>
        <w:t>9</w:t>
      </w:r>
      <w:r w:rsidRPr="0047611F">
        <w:rPr>
          <w:sz w:val="18"/>
        </w:rPr>
        <w:t xml:space="preserve">.janvāra Ministru kabineta </w:t>
      </w:r>
      <w:r w:rsidR="00B673CF">
        <w:rPr>
          <w:sz w:val="18"/>
        </w:rPr>
        <w:t>r</w:t>
      </w:r>
      <w:r w:rsidRPr="0047611F">
        <w:rPr>
          <w:sz w:val="18"/>
        </w:rPr>
        <w:t>īkojum</w:t>
      </w:r>
      <w:r w:rsidR="0087003B">
        <w:rPr>
          <w:sz w:val="18"/>
        </w:rPr>
        <w:t>s</w:t>
      </w:r>
      <w:r w:rsidRPr="0047611F">
        <w:rPr>
          <w:sz w:val="18"/>
        </w:rPr>
        <w:t xml:space="preserve"> </w:t>
      </w:r>
      <w:r w:rsidR="0047611F" w:rsidRPr="006434A9">
        <w:rPr>
          <w:sz w:val="18"/>
        </w:rPr>
        <w:t>Nr.</w:t>
      </w:r>
      <w:r w:rsidR="0087003B" w:rsidRPr="006434A9">
        <w:rPr>
          <w:sz w:val="18"/>
        </w:rPr>
        <w:t>65</w:t>
      </w:r>
      <w:r w:rsidR="0047611F">
        <w:rPr>
          <w:sz w:val="18"/>
        </w:rPr>
        <w:t xml:space="preserve"> “</w:t>
      </w:r>
      <w:r w:rsidRPr="0047611F">
        <w:rPr>
          <w:sz w:val="18"/>
        </w:rPr>
        <w:t xml:space="preserve">Par </w:t>
      </w:r>
      <w:proofErr w:type="spellStart"/>
      <w:r w:rsidRPr="0047611F">
        <w:rPr>
          <w:sz w:val="18"/>
        </w:rPr>
        <w:t>aizņēmējvalsts</w:t>
      </w:r>
      <w:proofErr w:type="spellEnd"/>
      <w:r w:rsidRPr="0047611F">
        <w:rPr>
          <w:sz w:val="18"/>
        </w:rPr>
        <w:t xml:space="preserve"> statusa anulēšanu Latvijas Republikai Starptautiskajā rekonstrukcijas un </w:t>
      </w:r>
      <w:r w:rsidR="0047611F">
        <w:rPr>
          <w:sz w:val="18"/>
        </w:rPr>
        <w:t>attīstības bankā”</w:t>
      </w:r>
      <w:r w:rsidR="0087003B">
        <w:rPr>
          <w:sz w:val="18"/>
        </w:rPr>
        <w:t xml:space="preserve"> (</w:t>
      </w:r>
      <w:r w:rsidR="0087003B" w:rsidRPr="0087003B">
        <w:rPr>
          <w:sz w:val="18"/>
        </w:rPr>
        <w:t>prot. Nr.6 9.§)</w:t>
      </w:r>
      <w:r w:rsidR="0087003B">
        <w:rPr>
          <w:sz w:val="18"/>
        </w:rPr>
        <w:t>.</w:t>
      </w:r>
    </w:p>
  </w:footnote>
  <w:footnote w:id="7">
    <w:p w14:paraId="77FB4887" w14:textId="426EC859" w:rsidR="005803FE" w:rsidRDefault="005803FE" w:rsidP="005803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803FE">
        <w:rPr>
          <w:sz w:val="18"/>
          <w:szCs w:val="24"/>
        </w:rPr>
        <w:t xml:space="preserve">IDA mērķis ir samazināt nabadzību, atbalstīt ekonomikas izaugsmi un uzlabot cilvēku dzīves apstākļus </w:t>
      </w:r>
      <w:r w:rsidRPr="005803FE">
        <w:rPr>
          <w:sz w:val="18"/>
        </w:rPr>
        <w:t xml:space="preserve">vismazāk attīstītajās </w:t>
      </w:r>
      <w:r w:rsidRPr="005803FE">
        <w:rPr>
          <w:sz w:val="18"/>
          <w:szCs w:val="24"/>
        </w:rPr>
        <w:t xml:space="preserve">pasaules valstīs. IDA ir lielākā attīstības palīdzības platforma pasaulē, kas sniedz </w:t>
      </w:r>
      <w:proofErr w:type="spellStart"/>
      <w:r w:rsidRPr="005803FE">
        <w:rPr>
          <w:sz w:val="18"/>
          <w:szCs w:val="24"/>
        </w:rPr>
        <w:t>grantus</w:t>
      </w:r>
      <w:proofErr w:type="spellEnd"/>
      <w:r w:rsidRPr="005803FE">
        <w:rPr>
          <w:sz w:val="18"/>
          <w:szCs w:val="24"/>
        </w:rPr>
        <w:t xml:space="preserve"> un aizdevumus uz atvieglotiem noteikumiem 76 </w:t>
      </w:r>
      <w:r w:rsidRPr="005803FE">
        <w:rPr>
          <w:sz w:val="18"/>
        </w:rPr>
        <w:t>vismazāk attīstītajās valstīs;</w:t>
      </w:r>
    </w:p>
  </w:footnote>
  <w:footnote w:id="8">
    <w:p w14:paraId="7E1A5ADA" w14:textId="725F44C4" w:rsidR="005803FE" w:rsidRDefault="005803FE" w:rsidP="005803F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8C2032" w:rsidRPr="008C2032">
        <w:rPr>
          <w:sz w:val="18"/>
        </w:rPr>
        <w:t>Daudzpusējā parādu atlaišanas iniciatīva (</w:t>
      </w:r>
      <w:proofErr w:type="spellStart"/>
      <w:r w:rsidRPr="005803FE">
        <w:rPr>
          <w:i/>
          <w:sz w:val="18"/>
        </w:rPr>
        <w:t>Multilateral</w:t>
      </w:r>
      <w:proofErr w:type="spellEnd"/>
      <w:r w:rsidRPr="005803FE">
        <w:rPr>
          <w:i/>
          <w:sz w:val="18"/>
        </w:rPr>
        <w:t xml:space="preserve"> </w:t>
      </w:r>
      <w:proofErr w:type="spellStart"/>
      <w:r w:rsidRPr="005803FE">
        <w:rPr>
          <w:i/>
          <w:sz w:val="18"/>
        </w:rPr>
        <w:t>Debt</w:t>
      </w:r>
      <w:proofErr w:type="spellEnd"/>
      <w:r w:rsidRPr="005803FE">
        <w:rPr>
          <w:i/>
          <w:sz w:val="18"/>
        </w:rPr>
        <w:t xml:space="preserve"> </w:t>
      </w:r>
      <w:proofErr w:type="spellStart"/>
      <w:r w:rsidRPr="005803FE">
        <w:rPr>
          <w:i/>
          <w:sz w:val="18"/>
        </w:rPr>
        <w:t>Relief</w:t>
      </w:r>
      <w:proofErr w:type="spellEnd"/>
      <w:r w:rsidRPr="005803FE">
        <w:rPr>
          <w:i/>
          <w:sz w:val="18"/>
        </w:rPr>
        <w:t xml:space="preserve"> </w:t>
      </w:r>
      <w:proofErr w:type="spellStart"/>
      <w:r w:rsidRPr="005803FE">
        <w:rPr>
          <w:i/>
          <w:sz w:val="18"/>
        </w:rPr>
        <w:t>Initiative</w:t>
      </w:r>
      <w:proofErr w:type="spellEnd"/>
      <w:r w:rsidRPr="005803FE">
        <w:rPr>
          <w:sz w:val="18"/>
        </w:rPr>
        <w:t xml:space="preserve"> </w:t>
      </w:r>
      <w:r w:rsidR="008C2032">
        <w:rPr>
          <w:sz w:val="18"/>
        </w:rPr>
        <w:t xml:space="preserve">- </w:t>
      </w:r>
      <w:r w:rsidRPr="005803FE">
        <w:rPr>
          <w:sz w:val="18"/>
        </w:rPr>
        <w:t>MDRI) tiek realizēta nabadzīgo valstu ar augstu parādu slogu</w:t>
      </w:r>
      <w:r w:rsidRPr="005803FE">
        <w:rPr>
          <w:sz w:val="18"/>
          <w:szCs w:val="24"/>
        </w:rPr>
        <w:t xml:space="preserve"> iniciatīvas ietvaros </w:t>
      </w:r>
      <w:r w:rsidR="008C2032">
        <w:rPr>
          <w:sz w:val="18"/>
          <w:szCs w:val="24"/>
        </w:rPr>
        <w:t>(</w:t>
      </w:r>
      <w:proofErr w:type="spellStart"/>
      <w:r w:rsidRPr="005803FE">
        <w:rPr>
          <w:i/>
          <w:sz w:val="18"/>
          <w:szCs w:val="24"/>
        </w:rPr>
        <w:t>Initiative</w:t>
      </w:r>
      <w:proofErr w:type="spellEnd"/>
      <w:r w:rsidRPr="005803FE">
        <w:rPr>
          <w:i/>
          <w:sz w:val="18"/>
          <w:szCs w:val="24"/>
        </w:rPr>
        <w:t xml:space="preserve"> </w:t>
      </w:r>
      <w:proofErr w:type="spellStart"/>
      <w:r w:rsidRPr="005803FE">
        <w:rPr>
          <w:i/>
          <w:sz w:val="18"/>
          <w:szCs w:val="24"/>
        </w:rPr>
        <w:t>for</w:t>
      </w:r>
      <w:proofErr w:type="spellEnd"/>
      <w:r w:rsidRPr="005803FE">
        <w:rPr>
          <w:i/>
          <w:sz w:val="18"/>
          <w:szCs w:val="24"/>
        </w:rPr>
        <w:t xml:space="preserve"> </w:t>
      </w:r>
      <w:proofErr w:type="spellStart"/>
      <w:r w:rsidRPr="005803FE">
        <w:rPr>
          <w:i/>
          <w:sz w:val="18"/>
          <w:szCs w:val="24"/>
        </w:rPr>
        <w:t>Heavily</w:t>
      </w:r>
      <w:proofErr w:type="spellEnd"/>
      <w:r w:rsidRPr="005803FE">
        <w:rPr>
          <w:i/>
          <w:sz w:val="18"/>
          <w:szCs w:val="24"/>
        </w:rPr>
        <w:t xml:space="preserve"> </w:t>
      </w:r>
      <w:proofErr w:type="spellStart"/>
      <w:r w:rsidRPr="005803FE">
        <w:rPr>
          <w:i/>
          <w:sz w:val="18"/>
          <w:szCs w:val="24"/>
        </w:rPr>
        <w:t>Indebted</w:t>
      </w:r>
      <w:proofErr w:type="spellEnd"/>
      <w:r w:rsidRPr="005803FE">
        <w:rPr>
          <w:i/>
          <w:sz w:val="18"/>
          <w:szCs w:val="24"/>
        </w:rPr>
        <w:t xml:space="preserve"> </w:t>
      </w:r>
      <w:proofErr w:type="spellStart"/>
      <w:r w:rsidRPr="005803FE">
        <w:rPr>
          <w:i/>
          <w:sz w:val="18"/>
          <w:szCs w:val="24"/>
        </w:rPr>
        <w:t>Poor</w:t>
      </w:r>
      <w:proofErr w:type="spellEnd"/>
      <w:r w:rsidRPr="005803FE">
        <w:rPr>
          <w:i/>
          <w:sz w:val="18"/>
          <w:szCs w:val="24"/>
        </w:rPr>
        <w:t xml:space="preserve"> </w:t>
      </w:r>
      <w:proofErr w:type="spellStart"/>
      <w:r w:rsidRPr="005803FE">
        <w:rPr>
          <w:i/>
          <w:sz w:val="18"/>
          <w:szCs w:val="24"/>
        </w:rPr>
        <w:t>Countries</w:t>
      </w:r>
      <w:proofErr w:type="spellEnd"/>
      <w:r w:rsidRPr="005803FE">
        <w:rPr>
          <w:i/>
          <w:sz w:val="18"/>
          <w:szCs w:val="24"/>
        </w:rPr>
        <w:t xml:space="preserve"> </w:t>
      </w:r>
      <w:r w:rsidR="008C2032">
        <w:rPr>
          <w:i/>
          <w:sz w:val="18"/>
          <w:szCs w:val="24"/>
        </w:rPr>
        <w:t xml:space="preserve">- </w:t>
      </w:r>
      <w:r w:rsidRPr="005803FE">
        <w:rPr>
          <w:i/>
          <w:sz w:val="18"/>
          <w:szCs w:val="24"/>
        </w:rPr>
        <w:t xml:space="preserve">HIPC </w:t>
      </w:r>
      <w:proofErr w:type="spellStart"/>
      <w:r w:rsidRPr="005803FE">
        <w:rPr>
          <w:i/>
          <w:sz w:val="18"/>
          <w:szCs w:val="24"/>
        </w:rPr>
        <w:t>Initiative</w:t>
      </w:r>
      <w:proofErr w:type="spellEnd"/>
      <w:r w:rsidRPr="005803FE">
        <w:rPr>
          <w:i/>
          <w:sz w:val="18"/>
          <w:szCs w:val="24"/>
        </w:rPr>
        <w:t>)</w:t>
      </w:r>
      <w:r w:rsidRPr="005803FE">
        <w:rPr>
          <w:sz w:val="18"/>
          <w:szCs w:val="24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179F"/>
    <w:multiLevelType w:val="hybridMultilevel"/>
    <w:tmpl w:val="50AEA074"/>
    <w:lvl w:ilvl="0" w:tplc="6E2C0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649D"/>
    <w:multiLevelType w:val="hybridMultilevel"/>
    <w:tmpl w:val="37E812B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5"/>
    <w:rsid w:val="0000597F"/>
    <w:rsid w:val="0001091B"/>
    <w:rsid w:val="00034FA1"/>
    <w:rsid w:val="00096251"/>
    <w:rsid w:val="000E0E98"/>
    <w:rsid w:val="000E27FE"/>
    <w:rsid w:val="00124D8E"/>
    <w:rsid w:val="00160B88"/>
    <w:rsid w:val="00175827"/>
    <w:rsid w:val="001A43C7"/>
    <w:rsid w:val="001F77CF"/>
    <w:rsid w:val="0021007A"/>
    <w:rsid w:val="002116AD"/>
    <w:rsid w:val="00281245"/>
    <w:rsid w:val="002879DB"/>
    <w:rsid w:val="002D5CAA"/>
    <w:rsid w:val="002F145E"/>
    <w:rsid w:val="003152B2"/>
    <w:rsid w:val="00333A1C"/>
    <w:rsid w:val="00354ECA"/>
    <w:rsid w:val="003579AF"/>
    <w:rsid w:val="00383FEF"/>
    <w:rsid w:val="00386C7C"/>
    <w:rsid w:val="003A164F"/>
    <w:rsid w:val="003A681A"/>
    <w:rsid w:val="003A7579"/>
    <w:rsid w:val="003B3F7A"/>
    <w:rsid w:val="003C011E"/>
    <w:rsid w:val="003F4AED"/>
    <w:rsid w:val="0047611F"/>
    <w:rsid w:val="00490717"/>
    <w:rsid w:val="00495EF1"/>
    <w:rsid w:val="004A664D"/>
    <w:rsid w:val="004B7562"/>
    <w:rsid w:val="004C3938"/>
    <w:rsid w:val="004D29BC"/>
    <w:rsid w:val="0050635D"/>
    <w:rsid w:val="0054517F"/>
    <w:rsid w:val="005536C1"/>
    <w:rsid w:val="005803FE"/>
    <w:rsid w:val="005A7517"/>
    <w:rsid w:val="005F6990"/>
    <w:rsid w:val="00617939"/>
    <w:rsid w:val="00622577"/>
    <w:rsid w:val="006434A9"/>
    <w:rsid w:val="00657A7C"/>
    <w:rsid w:val="00693DE8"/>
    <w:rsid w:val="006A3E5C"/>
    <w:rsid w:val="006B00CB"/>
    <w:rsid w:val="006C1FFF"/>
    <w:rsid w:val="006D671E"/>
    <w:rsid w:val="00717A04"/>
    <w:rsid w:val="00721F99"/>
    <w:rsid w:val="0073118C"/>
    <w:rsid w:val="00740AA2"/>
    <w:rsid w:val="00751221"/>
    <w:rsid w:val="00787E7B"/>
    <w:rsid w:val="007A19AA"/>
    <w:rsid w:val="007C51C2"/>
    <w:rsid w:val="007D4951"/>
    <w:rsid w:val="007D4CC9"/>
    <w:rsid w:val="007E4B32"/>
    <w:rsid w:val="008120A6"/>
    <w:rsid w:val="00816D2C"/>
    <w:rsid w:val="00830A01"/>
    <w:rsid w:val="00863376"/>
    <w:rsid w:val="0087003B"/>
    <w:rsid w:val="008B6A99"/>
    <w:rsid w:val="008C2032"/>
    <w:rsid w:val="008C4E85"/>
    <w:rsid w:val="008F026A"/>
    <w:rsid w:val="008F6C5A"/>
    <w:rsid w:val="00900021"/>
    <w:rsid w:val="00906398"/>
    <w:rsid w:val="00907A90"/>
    <w:rsid w:val="00992D7F"/>
    <w:rsid w:val="0099349C"/>
    <w:rsid w:val="009C7870"/>
    <w:rsid w:val="00A0041A"/>
    <w:rsid w:val="00A125AF"/>
    <w:rsid w:val="00A210A9"/>
    <w:rsid w:val="00A3528A"/>
    <w:rsid w:val="00A74C9B"/>
    <w:rsid w:val="00A82DCB"/>
    <w:rsid w:val="00A85758"/>
    <w:rsid w:val="00A876C7"/>
    <w:rsid w:val="00A937D6"/>
    <w:rsid w:val="00AC12D0"/>
    <w:rsid w:val="00AD5CB5"/>
    <w:rsid w:val="00B022D3"/>
    <w:rsid w:val="00B15AF6"/>
    <w:rsid w:val="00B30554"/>
    <w:rsid w:val="00B37B2A"/>
    <w:rsid w:val="00B527EE"/>
    <w:rsid w:val="00B66D1B"/>
    <w:rsid w:val="00B673CF"/>
    <w:rsid w:val="00B67799"/>
    <w:rsid w:val="00B860C6"/>
    <w:rsid w:val="00BA2953"/>
    <w:rsid w:val="00BA760A"/>
    <w:rsid w:val="00BB1465"/>
    <w:rsid w:val="00BB758E"/>
    <w:rsid w:val="00BC62ED"/>
    <w:rsid w:val="00C0378F"/>
    <w:rsid w:val="00C108D8"/>
    <w:rsid w:val="00C13D2A"/>
    <w:rsid w:val="00C168A2"/>
    <w:rsid w:val="00C210E2"/>
    <w:rsid w:val="00C25EAA"/>
    <w:rsid w:val="00C46F76"/>
    <w:rsid w:val="00C57641"/>
    <w:rsid w:val="00C62C95"/>
    <w:rsid w:val="00C66635"/>
    <w:rsid w:val="00CB5AC0"/>
    <w:rsid w:val="00CE406B"/>
    <w:rsid w:val="00D0635B"/>
    <w:rsid w:val="00D11A33"/>
    <w:rsid w:val="00D128D8"/>
    <w:rsid w:val="00D3721C"/>
    <w:rsid w:val="00D40661"/>
    <w:rsid w:val="00D445EF"/>
    <w:rsid w:val="00D6724F"/>
    <w:rsid w:val="00D675F6"/>
    <w:rsid w:val="00D85333"/>
    <w:rsid w:val="00D91B3F"/>
    <w:rsid w:val="00D946D4"/>
    <w:rsid w:val="00D966DE"/>
    <w:rsid w:val="00DF71D1"/>
    <w:rsid w:val="00E07E10"/>
    <w:rsid w:val="00E15F72"/>
    <w:rsid w:val="00E21F30"/>
    <w:rsid w:val="00E409FA"/>
    <w:rsid w:val="00E63E79"/>
    <w:rsid w:val="00E84467"/>
    <w:rsid w:val="00E85D02"/>
    <w:rsid w:val="00E95029"/>
    <w:rsid w:val="00EB5D94"/>
    <w:rsid w:val="00EC2336"/>
    <w:rsid w:val="00EC7AA7"/>
    <w:rsid w:val="00F02539"/>
    <w:rsid w:val="00F42653"/>
    <w:rsid w:val="00F513A2"/>
    <w:rsid w:val="00F57EED"/>
    <w:rsid w:val="00F6272E"/>
    <w:rsid w:val="00F93517"/>
    <w:rsid w:val="00FA1509"/>
    <w:rsid w:val="00FA64F1"/>
    <w:rsid w:val="00FB3EA1"/>
    <w:rsid w:val="00FC3056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99D683"/>
  <w15:chartTrackingRefBased/>
  <w15:docId w15:val="{E42FB54B-D2AC-4C62-AFF4-888A1925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45"/>
    <w:rPr>
      <w:rFonts w:ascii="Calibri" w:hAnsi="Calibri" w:cs="Calibri"/>
      <w:sz w:val="22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B305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1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245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245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45"/>
    <w:rPr>
      <w:rFonts w:ascii="Segoe UI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5A7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751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6D1B"/>
    <w:rPr>
      <w:rFonts w:ascii="Times New Roman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6D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D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53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3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9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AF"/>
    <w:rPr>
      <w:rFonts w:ascii="Calibri" w:hAnsi="Calibri" w:cs="Calibri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79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AF"/>
    <w:rPr>
      <w:rFonts w:ascii="Calibri" w:hAnsi="Calibri" w:cs="Calibri"/>
      <w:sz w:val="2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30554"/>
    <w:rPr>
      <w:rFonts w:eastAsia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Vitola@fm.gov.lv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9A0C-90E4-4D07-A61B-C5274DA5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dalībvalsts statusa maiņu Latvijas Republikai Daudzpusējā investīciju garantiju aģentūrā"</vt:lpstr>
    </vt:vector>
  </TitlesOfParts>
  <Company>Finanšu ministrija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dalībvalsts statusa maiņu Latvijas Republikai Daudzpusējā investīciju garantiju aģentūrā"</dc:title>
  <dc:subject>Informatīvais ziņojums</dc:subject>
  <dc:creator>Inga Forda</dc:creator>
  <cp:keywords/>
  <dc:description>67095585
Inga.Forda@fm.gov.lv</dc:description>
  <cp:lastModifiedBy>Liene Vītola</cp:lastModifiedBy>
  <cp:revision>9</cp:revision>
  <dcterms:created xsi:type="dcterms:W3CDTF">2021-06-08T13:56:00Z</dcterms:created>
  <dcterms:modified xsi:type="dcterms:W3CDTF">2021-06-22T05:59:00Z</dcterms:modified>
</cp:coreProperties>
</file>