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8D13" w14:textId="77777777" w:rsidR="001E6DEE" w:rsidRDefault="005A12E8" w:rsidP="00365000">
      <w:pPr>
        <w:jc w:val="center"/>
        <w:rPr>
          <w:b/>
        </w:rPr>
      </w:pPr>
      <w:r w:rsidRPr="00CC526C">
        <w:rPr>
          <w:b/>
        </w:rPr>
        <w:t>Izziņa par</w:t>
      </w:r>
      <w:r w:rsidR="003F6E75">
        <w:rPr>
          <w:b/>
        </w:rPr>
        <w:t xml:space="preserve"> </w:t>
      </w:r>
      <w:r w:rsidRPr="00CC526C">
        <w:rPr>
          <w:b/>
        </w:rPr>
        <w:t xml:space="preserve">atzinumos sniegtajiem iebildumiem par </w:t>
      </w:r>
    </w:p>
    <w:p w14:paraId="3BCF7F2A" w14:textId="2DA6A6C2" w:rsidR="001E6DEE" w:rsidRDefault="00365000" w:rsidP="00621409">
      <w:pPr>
        <w:jc w:val="center"/>
        <w:rPr>
          <w:b/>
          <w:color w:val="000000"/>
        </w:rPr>
      </w:pPr>
      <w:r w:rsidRPr="00365000">
        <w:rPr>
          <w:b/>
          <w:color w:val="000000"/>
        </w:rPr>
        <w:t>Ministru kabineta noteikumu projektu</w:t>
      </w:r>
      <w:r w:rsidR="001E6DEE">
        <w:rPr>
          <w:b/>
          <w:color w:val="000000"/>
        </w:rPr>
        <w:t xml:space="preserve"> </w:t>
      </w:r>
      <w:r w:rsidR="001E6DEE" w:rsidRPr="001E6DEE">
        <w:rPr>
          <w:b/>
          <w:color w:val="000000"/>
        </w:rPr>
        <w:t>“</w:t>
      </w:r>
      <w:r w:rsidR="00621409" w:rsidRPr="00621409">
        <w:rPr>
          <w:b/>
          <w:color w:val="000000"/>
        </w:rPr>
        <w:t xml:space="preserve">Grozījumi Ministru kabineta 2010. gada 23. marta noteikumos Nr.277 </w:t>
      </w:r>
      <w:r w:rsidR="00621409" w:rsidRPr="001E6DEE">
        <w:rPr>
          <w:b/>
          <w:color w:val="000000"/>
        </w:rPr>
        <w:t>“</w:t>
      </w:r>
      <w:r w:rsidR="00621409" w:rsidRPr="00621409">
        <w:rPr>
          <w:b/>
          <w:color w:val="000000"/>
        </w:rPr>
        <w:t>Kārtība, kādā nodrošināma izglītojamo profilaktiskā veselības aprūpe un pirmās palīdzības pieejamība izglītības iestādēs</w:t>
      </w:r>
      <w:r w:rsidR="00621409">
        <w:rPr>
          <w:b/>
          <w:color w:val="000000"/>
        </w:rPr>
        <w:t>”</w:t>
      </w:r>
      <w:r w:rsidR="001E6DEE" w:rsidRPr="001E6DEE">
        <w:rPr>
          <w:b/>
          <w:color w:val="000000"/>
        </w:rPr>
        <w:t xml:space="preserve">” </w:t>
      </w:r>
      <w:r w:rsidR="00C777BD">
        <w:rPr>
          <w:b/>
          <w:color w:val="000000"/>
        </w:rPr>
        <w:t>(VSS-4</w:t>
      </w:r>
      <w:r w:rsidR="00621409">
        <w:rPr>
          <w:b/>
          <w:color w:val="000000"/>
        </w:rPr>
        <w:t>88</w:t>
      </w:r>
      <w:r w:rsidR="00C777BD">
        <w:rPr>
          <w:b/>
          <w:color w:val="000000"/>
        </w:rPr>
        <w:t>)</w:t>
      </w:r>
    </w:p>
    <w:p w14:paraId="224E4135" w14:textId="77777777" w:rsidR="001E6DEE" w:rsidRDefault="001E6DEE" w:rsidP="001E6DEE">
      <w:pPr>
        <w:jc w:val="center"/>
        <w:rPr>
          <w:b/>
          <w:color w:val="000000"/>
        </w:rPr>
      </w:pPr>
    </w:p>
    <w:p w14:paraId="2F2844A7" w14:textId="77777777" w:rsidR="005A12E8" w:rsidRPr="00CC526C" w:rsidRDefault="005A12E8" w:rsidP="001E6DEE">
      <w:pPr>
        <w:jc w:val="center"/>
        <w:rPr>
          <w:b/>
        </w:rPr>
      </w:pPr>
      <w:r w:rsidRPr="00CC526C">
        <w:rPr>
          <w:b/>
        </w:rPr>
        <w:t>I. Jautājumi, par kuriem saskaņošanā vienošanās nav panākta</w:t>
      </w:r>
    </w:p>
    <w:p w14:paraId="36DE8F90" w14:textId="77777777" w:rsidR="005A12E8" w:rsidRPr="00CC526C" w:rsidRDefault="005A12E8" w:rsidP="005A12E8">
      <w:r w:rsidRPr="00CC526C">
        <w:tab/>
      </w:r>
      <w:r w:rsidRPr="00CC526C">
        <w:tab/>
      </w:r>
      <w:r w:rsidRPr="00CC526C">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3119"/>
        <w:gridCol w:w="2976"/>
      </w:tblGrid>
      <w:tr w:rsidR="005A12E8" w:rsidRPr="00CC526C" w14:paraId="646C7E9E" w14:textId="77777777" w:rsidTr="0025470B">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13365970" w14:textId="77777777" w:rsidR="005A12E8" w:rsidRPr="00CC526C" w:rsidRDefault="005A12E8">
            <w:pPr>
              <w:spacing w:before="58" w:after="58"/>
              <w:jc w:val="center"/>
            </w:pPr>
            <w:r w:rsidRPr="00CC526C">
              <w:t> Nr. p.k.</w:t>
            </w:r>
          </w:p>
        </w:tc>
        <w:tc>
          <w:tcPr>
            <w:tcW w:w="4020" w:type="dxa"/>
            <w:tcBorders>
              <w:top w:val="single" w:sz="4" w:space="0" w:color="000000"/>
              <w:left w:val="single" w:sz="4" w:space="0" w:color="000000"/>
              <w:bottom w:val="single" w:sz="4" w:space="0" w:color="000000"/>
              <w:right w:val="single" w:sz="4" w:space="0" w:color="000000"/>
            </w:tcBorders>
            <w:hideMark/>
          </w:tcPr>
          <w:p w14:paraId="2711D42A" w14:textId="77777777" w:rsidR="005A12E8" w:rsidRPr="00CC526C" w:rsidRDefault="005A12E8">
            <w:pPr>
              <w:spacing w:before="58" w:after="58"/>
            </w:pPr>
            <w:r w:rsidRPr="00CC526C">
              <w:t>Saskaņošanai nosūtītā projekta redakcija (konkrēta punkta (panta) redakcija)</w:t>
            </w:r>
          </w:p>
        </w:tc>
        <w:tc>
          <w:tcPr>
            <w:tcW w:w="3805" w:type="dxa"/>
            <w:tcBorders>
              <w:top w:val="single" w:sz="4" w:space="0" w:color="000000"/>
              <w:left w:val="single" w:sz="4" w:space="0" w:color="000000"/>
              <w:bottom w:val="single" w:sz="4" w:space="0" w:color="000000"/>
              <w:right w:val="single" w:sz="4" w:space="0" w:color="000000"/>
            </w:tcBorders>
            <w:hideMark/>
          </w:tcPr>
          <w:p w14:paraId="720504C1"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4594547A"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6679A99B" w14:textId="77777777" w:rsidR="005A12E8" w:rsidRPr="00CC526C" w:rsidRDefault="005A12E8">
            <w:pPr>
              <w:spacing w:before="58" w:after="58"/>
              <w:jc w:val="center"/>
            </w:pPr>
            <w:r w:rsidRPr="00CC526C">
              <w:t>Projekta attiecīgā punkta (panta) galīgā redakcija</w:t>
            </w:r>
          </w:p>
        </w:tc>
      </w:tr>
    </w:tbl>
    <w:p w14:paraId="31424F09" w14:textId="77777777" w:rsidR="005A12E8" w:rsidRDefault="005A12E8" w:rsidP="005A12E8"/>
    <w:p w14:paraId="57DEEBBA" w14:textId="77777777" w:rsidR="00F82E72" w:rsidRPr="00712B66" w:rsidRDefault="00F82E72" w:rsidP="00F82E72">
      <w:pPr>
        <w:pStyle w:val="naisf"/>
        <w:spacing w:before="0" w:after="0"/>
        <w:ind w:firstLine="0"/>
        <w:rPr>
          <w:b/>
        </w:rPr>
      </w:pPr>
      <w:r w:rsidRPr="00712B66">
        <w:rPr>
          <w:b/>
        </w:rPr>
        <w:t xml:space="preserve">Informācija par starpministriju (starpinstitūciju) sanāksmi vai </w:t>
      </w:r>
      <w:r w:rsidRPr="00B00C2F">
        <w:rPr>
          <w:b/>
          <w:u w:val="single"/>
        </w:rPr>
        <w:t>elektronisko saskaņošanu</w:t>
      </w:r>
    </w:p>
    <w:tbl>
      <w:tblPr>
        <w:tblW w:w="12798" w:type="dxa"/>
        <w:tblLook w:val="00A0" w:firstRow="1" w:lastRow="0" w:firstColumn="1" w:lastColumn="0" w:noHBand="0" w:noVBand="0"/>
      </w:tblPr>
      <w:tblGrid>
        <w:gridCol w:w="12798"/>
      </w:tblGrid>
      <w:tr w:rsidR="00F82E72" w:rsidRPr="00712B66" w14:paraId="31B3BF79" w14:textId="77777777" w:rsidTr="00162E7F">
        <w:trPr>
          <w:trHeight w:val="465"/>
        </w:trPr>
        <w:tc>
          <w:tcPr>
            <w:tcW w:w="12798" w:type="dxa"/>
          </w:tcPr>
          <w:p w14:paraId="1E062826" w14:textId="77777777" w:rsidR="00F82E72" w:rsidRDefault="00F82E72" w:rsidP="00162E7F">
            <w:pPr>
              <w:pStyle w:val="naisc"/>
              <w:spacing w:before="0" w:after="0"/>
              <w:jc w:val="left"/>
            </w:pPr>
          </w:p>
          <w:tbl>
            <w:tblPr>
              <w:tblW w:w="12582" w:type="dxa"/>
              <w:tblLook w:val="00A0" w:firstRow="1" w:lastRow="0" w:firstColumn="1" w:lastColumn="0" w:noHBand="0" w:noVBand="0"/>
            </w:tblPr>
            <w:tblGrid>
              <w:gridCol w:w="5310"/>
              <w:gridCol w:w="233"/>
              <w:gridCol w:w="5854"/>
              <w:gridCol w:w="249"/>
              <w:gridCol w:w="936"/>
            </w:tblGrid>
            <w:tr w:rsidR="00F82E72" w:rsidRPr="00712B66" w14:paraId="6E82884E" w14:textId="77777777" w:rsidTr="00EA741B">
              <w:trPr>
                <w:gridAfter w:val="1"/>
              </w:trPr>
              <w:tc>
                <w:tcPr>
                  <w:tcW w:w="6246" w:type="dxa"/>
                </w:tcPr>
                <w:p w14:paraId="6D3EEAA8" w14:textId="77777777" w:rsidR="00F82E72" w:rsidRPr="00712B66" w:rsidRDefault="00F82E72" w:rsidP="00162E7F">
                  <w:pPr>
                    <w:pStyle w:val="naisf"/>
                    <w:spacing w:before="0" w:after="0"/>
                    <w:ind w:firstLine="0"/>
                  </w:pPr>
                  <w:r w:rsidRPr="00712B66">
                    <w:t>Datums</w:t>
                  </w:r>
                </w:p>
              </w:tc>
              <w:tc>
                <w:tcPr>
                  <w:tcW w:w="6336" w:type="dxa"/>
                  <w:gridSpan w:val="3"/>
                  <w:tcBorders>
                    <w:bottom w:val="single" w:sz="4" w:space="0" w:color="auto"/>
                  </w:tcBorders>
                </w:tcPr>
                <w:p w14:paraId="21BD195B" w14:textId="5A49A1AD" w:rsidR="00F82E72" w:rsidRPr="00712B66" w:rsidRDefault="00F8435D" w:rsidP="00162E7F">
                  <w:pPr>
                    <w:pStyle w:val="NormalWeb"/>
                    <w:spacing w:before="0" w:beforeAutospacing="0" w:after="0" w:afterAutospacing="0"/>
                  </w:pPr>
                  <w:r>
                    <w:t xml:space="preserve">19.06.2021. (vēstule Nr. </w:t>
                  </w:r>
                  <w:r w:rsidRPr="00F8435D">
                    <w:t>4-3.2e/21/2367</w:t>
                  </w:r>
                  <w:r>
                    <w:t>)</w:t>
                  </w:r>
                </w:p>
              </w:tc>
            </w:tr>
            <w:tr w:rsidR="00F82E72" w:rsidRPr="00712B66" w14:paraId="63256AE1" w14:textId="77777777" w:rsidTr="00EA741B">
              <w:trPr>
                <w:gridAfter w:val="1"/>
              </w:trPr>
              <w:tc>
                <w:tcPr>
                  <w:tcW w:w="6246" w:type="dxa"/>
                </w:tcPr>
                <w:p w14:paraId="20B406C8" w14:textId="77777777" w:rsidR="00F82E72" w:rsidRPr="00712B66" w:rsidRDefault="00F82E72" w:rsidP="00162E7F">
                  <w:pPr>
                    <w:pStyle w:val="naisf"/>
                    <w:spacing w:before="0" w:after="0"/>
                    <w:ind w:firstLine="0"/>
                  </w:pPr>
                </w:p>
              </w:tc>
              <w:tc>
                <w:tcPr>
                  <w:tcW w:w="6336" w:type="dxa"/>
                  <w:gridSpan w:val="3"/>
                  <w:tcBorders>
                    <w:top w:val="single" w:sz="4" w:space="0" w:color="auto"/>
                  </w:tcBorders>
                </w:tcPr>
                <w:p w14:paraId="3574F69B" w14:textId="77777777" w:rsidR="00F82E72" w:rsidRPr="00712B66" w:rsidRDefault="00F82E72" w:rsidP="00162E7F">
                  <w:pPr>
                    <w:pStyle w:val="NormalWeb"/>
                    <w:spacing w:before="0" w:beforeAutospacing="0" w:after="0" w:afterAutospacing="0"/>
                    <w:ind w:firstLine="720"/>
                  </w:pPr>
                </w:p>
              </w:tc>
            </w:tr>
            <w:tr w:rsidR="00F82E72" w:rsidRPr="00712B66" w14:paraId="1992267B" w14:textId="77777777" w:rsidTr="00EA741B">
              <w:tc>
                <w:tcPr>
                  <w:tcW w:w="6246" w:type="dxa"/>
                </w:tcPr>
                <w:p w14:paraId="2D821A06" w14:textId="4983A3BA" w:rsidR="00B602CF" w:rsidRDefault="005677CF" w:rsidP="00551D9A">
                  <w:pPr>
                    <w:pStyle w:val="naiskr"/>
                    <w:spacing w:before="0" w:after="0"/>
                    <w:jc w:val="both"/>
                  </w:pPr>
                  <w:r>
                    <w:t>S</w:t>
                  </w:r>
                  <w:r w:rsidR="00F82E72">
                    <w:t>askaņošanas d</w:t>
                  </w:r>
                  <w:r w:rsidR="00F82E72" w:rsidRPr="00712B66">
                    <w:t>alībnieki</w:t>
                  </w:r>
                </w:p>
                <w:p w14:paraId="3DB99B46" w14:textId="77777777" w:rsidR="00B602CF" w:rsidRPr="00B602CF" w:rsidRDefault="00B602CF" w:rsidP="00B602CF"/>
                <w:p w14:paraId="5A2CF7FA" w14:textId="0AD3CBB1" w:rsidR="00B602CF" w:rsidRDefault="00B602CF" w:rsidP="00B602CF"/>
                <w:p w14:paraId="7A3A07C2" w14:textId="77777777" w:rsidR="00F82E72" w:rsidRPr="00B602CF" w:rsidRDefault="00F82E72" w:rsidP="00B602CF">
                  <w:pPr>
                    <w:jc w:val="right"/>
                  </w:pPr>
                </w:p>
              </w:tc>
              <w:tc>
                <w:tcPr>
                  <w:tcW w:w="6336" w:type="dxa"/>
                  <w:gridSpan w:val="3"/>
                </w:tcPr>
                <w:p w14:paraId="247DC2AD" w14:textId="3F5D5455" w:rsidR="00FB763A" w:rsidRPr="00712B66" w:rsidRDefault="00F82E72" w:rsidP="005C484A">
                  <w:pPr>
                    <w:pStyle w:val="NormalWeb"/>
                    <w:spacing w:before="0" w:beforeAutospacing="0" w:after="0" w:afterAutospacing="0"/>
                    <w:jc w:val="both"/>
                  </w:pPr>
                  <w:r w:rsidRPr="001D2AA5">
                    <w:t xml:space="preserve">Tieslietu ministrija, Finanšu ministrija, </w:t>
                  </w:r>
                  <w:r w:rsidR="00AA4C2A">
                    <w:t>Aizsardzības ministrija</w:t>
                  </w:r>
                  <w:r w:rsidR="001E6DEE" w:rsidRPr="001D2AA5">
                    <w:t xml:space="preserve">, </w:t>
                  </w:r>
                  <w:r w:rsidR="00F421E4" w:rsidRPr="001D2AA5">
                    <w:t xml:space="preserve">Labklājības ministrija, </w:t>
                  </w:r>
                  <w:r w:rsidR="00AA4C2A">
                    <w:t>Veselības ministrija</w:t>
                  </w:r>
                  <w:r w:rsidR="001E6DEE" w:rsidRPr="001D2AA5">
                    <w:t xml:space="preserve">, </w:t>
                  </w:r>
                  <w:r w:rsidR="00AA4C2A" w:rsidRPr="00AA4C2A">
                    <w:t>Latvijas Pašvaldību savienīb</w:t>
                  </w:r>
                  <w:r w:rsidR="00AA4C2A">
                    <w:t xml:space="preserve">a </w:t>
                  </w:r>
                  <w:r w:rsidR="00AA4C2A" w:rsidRPr="00AA4C2A">
                    <w:t>un Latvijas Brīvo arodbiedrību savienīb</w:t>
                  </w:r>
                  <w:r w:rsidR="005C484A">
                    <w:t>a</w:t>
                  </w:r>
                  <w:r w:rsidR="00AA4C2A" w:rsidRPr="00AA4C2A">
                    <w:t>.</w:t>
                  </w:r>
                  <w:r w:rsidR="00AA4C2A">
                    <w:t xml:space="preserve"> </w:t>
                  </w:r>
                  <w:r w:rsidR="00FB763A">
                    <w:t>___________________________________________________</w:t>
                  </w:r>
                </w:p>
              </w:tc>
              <w:tc>
                <w:tcPr>
                  <w:tcW w:w="0" w:type="auto"/>
                </w:tcPr>
                <w:p w14:paraId="07A22F02" w14:textId="1F48A21A" w:rsidR="00F82E72" w:rsidRPr="00712B66" w:rsidRDefault="00B602CF">
                  <w:r>
                    <w:tab/>
                  </w:r>
                  <w:r>
                    <w:tab/>
                  </w:r>
                </w:p>
              </w:tc>
            </w:tr>
            <w:tr w:rsidR="00F82E72" w:rsidRPr="00712B66" w14:paraId="758E432C" w14:textId="77777777" w:rsidTr="00162E7F">
              <w:trPr>
                <w:gridAfter w:val="1"/>
                <w:trHeight w:val="58"/>
              </w:trPr>
              <w:tc>
                <w:tcPr>
                  <w:tcW w:w="6479" w:type="dxa"/>
                  <w:gridSpan w:val="2"/>
                </w:tcPr>
                <w:p w14:paraId="73F21021" w14:textId="77777777" w:rsidR="00F82E72" w:rsidRPr="00F82E72" w:rsidRDefault="00F82E72" w:rsidP="00EA741B">
                  <w:pPr>
                    <w:pStyle w:val="naiskr"/>
                    <w:spacing w:before="0" w:after="0"/>
                  </w:pPr>
                  <w:r>
                    <w:br w:type="page"/>
                    <w:t>Saskaņošanas d</w:t>
                  </w:r>
                  <w:r w:rsidRPr="00712B66">
                    <w:t xml:space="preserve">alībnieki izskatīja šādu ministriju </w:t>
                  </w:r>
                  <w:r>
                    <w:t>(c</w:t>
                  </w:r>
                  <w:r w:rsidRPr="00712B66">
                    <w:t>itu institūciju</w:t>
                  </w:r>
                  <w:r>
                    <w:t>)</w:t>
                  </w:r>
                  <w:r w:rsidRPr="00712B66">
                    <w:t xml:space="preserve"> iebildumus</w:t>
                  </w:r>
                  <w:r w:rsidR="00EA741B">
                    <w:t xml:space="preserve"> </w:t>
                  </w:r>
                </w:p>
              </w:tc>
              <w:tc>
                <w:tcPr>
                  <w:tcW w:w="5854" w:type="dxa"/>
                </w:tcPr>
                <w:p w14:paraId="2861A8DE" w14:textId="70C59038" w:rsidR="00FB763A" w:rsidRPr="00712B66" w:rsidRDefault="00543ECD" w:rsidP="00AA4C2A">
                  <w:pPr>
                    <w:pStyle w:val="naiskr"/>
                    <w:spacing w:before="0" w:after="0"/>
                    <w:ind w:left="-32"/>
                  </w:pPr>
                  <w:r>
                    <w:t>Tieslietu ministrijas</w:t>
                  </w:r>
                </w:p>
              </w:tc>
              <w:tc>
                <w:tcPr>
                  <w:tcW w:w="249" w:type="dxa"/>
                  <w:tcBorders>
                    <w:left w:val="nil"/>
                  </w:tcBorders>
                </w:tcPr>
                <w:p w14:paraId="45980F42" w14:textId="77777777" w:rsidR="00F82E72" w:rsidRPr="00712B66" w:rsidRDefault="00F82E72" w:rsidP="00162E7F">
                  <w:pPr>
                    <w:pStyle w:val="naiskr"/>
                    <w:spacing w:before="0" w:after="0"/>
                    <w:ind w:firstLine="12"/>
                  </w:pPr>
                </w:p>
              </w:tc>
            </w:tr>
            <w:tr w:rsidR="00F82E72" w:rsidRPr="00712B66" w14:paraId="6866194E" w14:textId="77777777" w:rsidTr="00FB763A">
              <w:trPr>
                <w:gridAfter w:val="1"/>
                <w:trHeight w:val="853"/>
              </w:trPr>
              <w:tc>
                <w:tcPr>
                  <w:tcW w:w="6479" w:type="dxa"/>
                  <w:gridSpan w:val="2"/>
                </w:tcPr>
                <w:p w14:paraId="6DB3D3E9" w14:textId="77777777" w:rsidR="00F82E72" w:rsidRPr="00712B66" w:rsidRDefault="00F82E72" w:rsidP="00162E7F">
                  <w:pPr>
                    <w:pStyle w:val="naiskr"/>
                    <w:spacing w:before="0" w:after="0"/>
                  </w:pPr>
                  <w:r w:rsidRPr="00712B66">
                    <w:t>Ministrijas (citas institūcijas), kuras nav ieradušās uz sanāksmi vai kuras nav atbildējušas uz uzaicinājumu piedal</w:t>
                  </w:r>
                  <w:r w:rsidR="0012405E">
                    <w:t>īties elektroniskajā saskaņošan</w:t>
                  </w:r>
                  <w:r w:rsidR="007B1787">
                    <w:t>ā</w:t>
                  </w:r>
                </w:p>
              </w:tc>
              <w:tc>
                <w:tcPr>
                  <w:tcW w:w="6103" w:type="dxa"/>
                  <w:gridSpan w:val="2"/>
                </w:tcPr>
                <w:p w14:paraId="26D58543" w14:textId="77777777" w:rsidR="00F82E72" w:rsidRPr="006B40AC" w:rsidRDefault="00F82E72" w:rsidP="00162E7F"/>
              </w:tc>
            </w:tr>
            <w:tr w:rsidR="00F82E72" w:rsidRPr="00712B66" w14:paraId="6BBDAA11" w14:textId="77777777" w:rsidTr="00FB763A">
              <w:trPr>
                <w:gridAfter w:val="1"/>
              </w:trPr>
              <w:tc>
                <w:tcPr>
                  <w:tcW w:w="6479" w:type="dxa"/>
                  <w:gridSpan w:val="2"/>
                </w:tcPr>
                <w:p w14:paraId="2FE5A77E" w14:textId="77777777" w:rsidR="00F82E72" w:rsidRPr="00712B66" w:rsidRDefault="00F82E72" w:rsidP="00162E7F">
                  <w:pPr>
                    <w:pStyle w:val="naiskr"/>
                    <w:spacing w:before="0" w:after="0"/>
                    <w:ind w:firstLine="720"/>
                  </w:pPr>
                </w:p>
              </w:tc>
              <w:tc>
                <w:tcPr>
                  <w:tcW w:w="6103" w:type="dxa"/>
                  <w:gridSpan w:val="2"/>
                </w:tcPr>
                <w:p w14:paraId="185764AB" w14:textId="77777777" w:rsidR="00F82E72" w:rsidRPr="00712B66" w:rsidRDefault="00F82E72" w:rsidP="00162E7F">
                  <w:pPr>
                    <w:pStyle w:val="naiskr"/>
                    <w:spacing w:before="0" w:after="0"/>
                  </w:pPr>
                </w:p>
              </w:tc>
            </w:tr>
          </w:tbl>
          <w:p w14:paraId="663245FC" w14:textId="77777777" w:rsidR="00F82E72" w:rsidRPr="00712B66" w:rsidRDefault="00F82E72" w:rsidP="00162E7F">
            <w:pPr>
              <w:pStyle w:val="naisc"/>
              <w:spacing w:before="0" w:after="0"/>
              <w:ind w:left="4820" w:firstLine="720"/>
            </w:pPr>
          </w:p>
        </w:tc>
      </w:tr>
    </w:tbl>
    <w:p w14:paraId="57C54026" w14:textId="77777777" w:rsidR="00F82E72" w:rsidRPr="00CC526C" w:rsidRDefault="00F82E72" w:rsidP="005A12E8"/>
    <w:p w14:paraId="453ADEAD" w14:textId="77777777" w:rsidR="005A12E8" w:rsidRPr="00CC526C" w:rsidRDefault="005A12E8" w:rsidP="005A12E8">
      <w:pPr>
        <w:pStyle w:val="naisf"/>
        <w:spacing w:before="0" w:after="0"/>
        <w:ind w:firstLine="0"/>
        <w:jc w:val="center"/>
        <w:rPr>
          <w:b/>
        </w:rPr>
      </w:pPr>
      <w:r w:rsidRPr="00CC526C">
        <w:rPr>
          <w:b/>
        </w:rPr>
        <w:lastRenderedPageBreak/>
        <w:t>II. Jautājumi, par kuriem saskaņošanā vienošanās ir panākta</w:t>
      </w:r>
    </w:p>
    <w:p w14:paraId="7E7D69C3" w14:textId="77777777" w:rsidR="005A12E8" w:rsidRPr="00CC526C" w:rsidRDefault="005A12E8" w:rsidP="005A12E8">
      <w:pPr>
        <w:rPr>
          <w:b/>
        </w:rPr>
      </w:pPr>
      <w:r w:rsidRPr="00CC526C">
        <w:tab/>
      </w:r>
      <w:r w:rsidRPr="00CC526C">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4020"/>
        <w:gridCol w:w="3805"/>
        <w:gridCol w:w="2977"/>
        <w:gridCol w:w="2977"/>
      </w:tblGrid>
      <w:tr w:rsidR="005A12E8" w:rsidRPr="00CC526C" w14:paraId="48D60A8F" w14:textId="77777777" w:rsidTr="0033728E">
        <w:trPr>
          <w:trHeight w:val="1920"/>
        </w:trPr>
        <w:tc>
          <w:tcPr>
            <w:tcW w:w="930" w:type="dxa"/>
            <w:shd w:val="clear" w:color="auto" w:fill="auto"/>
            <w:hideMark/>
          </w:tcPr>
          <w:p w14:paraId="2C4F52A8" w14:textId="77777777" w:rsidR="005A12E8" w:rsidRPr="00CC526C" w:rsidRDefault="005A12E8">
            <w:pPr>
              <w:spacing w:before="58" w:after="58"/>
              <w:jc w:val="center"/>
            </w:pPr>
            <w:r w:rsidRPr="00CC526C">
              <w:t> Nr. p.k.</w:t>
            </w:r>
          </w:p>
        </w:tc>
        <w:tc>
          <w:tcPr>
            <w:tcW w:w="4020" w:type="dxa"/>
            <w:shd w:val="clear" w:color="auto" w:fill="auto"/>
            <w:hideMark/>
          </w:tcPr>
          <w:p w14:paraId="7A22B166" w14:textId="77777777" w:rsidR="005A12E8" w:rsidRPr="00CC526C" w:rsidRDefault="005A12E8">
            <w:pPr>
              <w:spacing w:before="58" w:after="58"/>
            </w:pPr>
            <w:r w:rsidRPr="00CC526C">
              <w:t>Saskaņošanai nosūtītā projekta redakcija (konkrēta punkta (panta) redakcija)</w:t>
            </w:r>
          </w:p>
        </w:tc>
        <w:tc>
          <w:tcPr>
            <w:tcW w:w="3805" w:type="dxa"/>
            <w:shd w:val="clear" w:color="auto" w:fill="auto"/>
            <w:hideMark/>
          </w:tcPr>
          <w:p w14:paraId="1FFC8301" w14:textId="77777777" w:rsidR="005A12E8" w:rsidRPr="00CC526C" w:rsidRDefault="005A12E8">
            <w:pPr>
              <w:spacing w:before="58" w:after="58"/>
            </w:pPr>
            <w:r w:rsidRPr="00CC526C">
              <w:t>Atzinumā norādītais ministrijas (citas institūcijas) iebildums, kā arī saskaņošanā papildus izteiktais iebildums par projekta konkrēto punktu (pantu)</w:t>
            </w:r>
          </w:p>
        </w:tc>
        <w:tc>
          <w:tcPr>
            <w:tcW w:w="2977" w:type="dxa"/>
            <w:shd w:val="clear" w:color="auto" w:fill="auto"/>
            <w:hideMark/>
          </w:tcPr>
          <w:p w14:paraId="353A7509" w14:textId="77777777" w:rsidR="005A12E8" w:rsidRPr="00CC526C" w:rsidRDefault="005A12E8">
            <w:pPr>
              <w:spacing w:before="58" w:after="58"/>
            </w:pPr>
            <w:r w:rsidRPr="00CC526C">
              <w:t>Atbildīgās ministrijas norāde par to, ka iebildums ir ņemts vērā, vai informācija par saskaņošanā panākto alternatīvo risinājumu</w:t>
            </w:r>
          </w:p>
        </w:tc>
        <w:tc>
          <w:tcPr>
            <w:tcW w:w="2977" w:type="dxa"/>
            <w:shd w:val="clear" w:color="auto" w:fill="auto"/>
            <w:hideMark/>
          </w:tcPr>
          <w:p w14:paraId="1EA8B28A" w14:textId="77777777" w:rsidR="005A12E8" w:rsidRPr="00CC526C" w:rsidRDefault="005A12E8">
            <w:pPr>
              <w:spacing w:before="58" w:after="58"/>
              <w:jc w:val="center"/>
            </w:pPr>
            <w:r w:rsidRPr="00CC526C">
              <w:t>Projekta attiecīgā punkta (panta) galīgā redakcija</w:t>
            </w:r>
          </w:p>
        </w:tc>
      </w:tr>
      <w:tr w:rsidR="00F421E4" w:rsidRPr="004B2DDF" w14:paraId="7DB8F033" w14:textId="77777777" w:rsidTr="0033728E">
        <w:trPr>
          <w:trHeight w:val="1266"/>
        </w:trPr>
        <w:tc>
          <w:tcPr>
            <w:tcW w:w="930" w:type="dxa"/>
            <w:shd w:val="clear" w:color="auto" w:fill="auto"/>
          </w:tcPr>
          <w:p w14:paraId="565FF327" w14:textId="77777777" w:rsidR="00F421E4" w:rsidRPr="004B2DDF" w:rsidRDefault="00813003">
            <w:pPr>
              <w:spacing w:before="58" w:after="58"/>
              <w:jc w:val="center"/>
            </w:pPr>
            <w:r>
              <w:t>1.</w:t>
            </w:r>
          </w:p>
        </w:tc>
        <w:tc>
          <w:tcPr>
            <w:tcW w:w="4020" w:type="dxa"/>
            <w:shd w:val="clear" w:color="auto" w:fill="auto"/>
          </w:tcPr>
          <w:p w14:paraId="3A000BE4" w14:textId="2CF1A424" w:rsidR="00F421E4" w:rsidRDefault="00F421E4" w:rsidP="00A86AC1">
            <w:pPr>
              <w:tabs>
                <w:tab w:val="left" w:pos="1134"/>
              </w:tabs>
              <w:jc w:val="both"/>
            </w:pPr>
          </w:p>
        </w:tc>
        <w:tc>
          <w:tcPr>
            <w:tcW w:w="3805" w:type="dxa"/>
            <w:shd w:val="clear" w:color="auto" w:fill="auto"/>
          </w:tcPr>
          <w:p w14:paraId="24B03E56" w14:textId="46C17631" w:rsidR="00AA4C2A" w:rsidRPr="00AA4C2A" w:rsidRDefault="00AA4C2A" w:rsidP="00AA4C2A">
            <w:pPr>
              <w:tabs>
                <w:tab w:val="left" w:pos="0"/>
                <w:tab w:val="left" w:pos="993"/>
              </w:tabs>
              <w:ind w:left="12"/>
              <w:jc w:val="both"/>
              <w:rPr>
                <w:b/>
              </w:rPr>
            </w:pPr>
            <w:r w:rsidRPr="00AA4C2A">
              <w:rPr>
                <w:b/>
              </w:rPr>
              <w:t xml:space="preserve">Tieslietu ministrija: </w:t>
            </w:r>
          </w:p>
          <w:p w14:paraId="21F2B6DC" w14:textId="77777777" w:rsidR="00AA4C2A" w:rsidRDefault="00AA4C2A" w:rsidP="00AA4C2A">
            <w:pPr>
              <w:tabs>
                <w:tab w:val="left" w:pos="0"/>
                <w:tab w:val="left" w:pos="993"/>
              </w:tabs>
              <w:ind w:left="12"/>
              <w:jc w:val="both"/>
            </w:pPr>
            <w:r>
              <w:t xml:space="preserve">1. Norādām, ka Cēsu 2.vakara (maiņu) vidusskola (turpmāk – vidusskola) ir Ieslodzījuma vietu pārvaldes Cēsu Audzināšanas iestādes nepilngadīgajiem struktūrvienība un vidusskolas nodarbinātie ir minētās ieslodzījuma vietas nodarbinātie.  Ieslodzījuma vietu nodarbināto rīcība, konstatējot narkotisko un psihotropo vielu neatļautu iegādāšanos, glabāšanu un realizēšanu vai narkotisko un psihotropo vielu lietošanu bez ārsta nozīmējuma, ir reglamentēta attiecīgos ārējos un iekšējos normatīvajos aktos, piemēram,  Ministru kabineta 2005. gada 6. decembra noteikumos Nr. 918 "Apcietināto un notiesāto personu apsekošanas kārtība ieslodzījuma </w:t>
            </w:r>
            <w:r>
              <w:lastRenderedPageBreak/>
              <w:t>vietās, lai konstatētu, vai tās ir lietojušas alkoholu, narkotiskas vai psihotropas vielas".</w:t>
            </w:r>
          </w:p>
          <w:p w14:paraId="775DD169" w14:textId="77777777" w:rsidR="00AA4C2A" w:rsidRDefault="00AA4C2A" w:rsidP="00AA4C2A">
            <w:pPr>
              <w:tabs>
                <w:tab w:val="left" w:pos="0"/>
                <w:tab w:val="left" w:pos="993"/>
              </w:tabs>
              <w:ind w:left="12"/>
              <w:jc w:val="both"/>
            </w:pPr>
            <w:r>
              <w:t xml:space="preserve">Ņemot vērā minēto, projektu nepieciešams papildināt ar attiecīgu punktu šādā redakcijā: </w:t>
            </w:r>
          </w:p>
          <w:p w14:paraId="4F126851" w14:textId="6537B1E3" w:rsidR="00F421E4" w:rsidRPr="00F421E4" w:rsidRDefault="00AA4C2A" w:rsidP="00AA4C2A">
            <w:pPr>
              <w:tabs>
                <w:tab w:val="left" w:pos="0"/>
                <w:tab w:val="left" w:pos="993"/>
              </w:tabs>
              <w:ind w:left="12"/>
              <w:jc w:val="both"/>
            </w:pPr>
            <w:r>
              <w:t>"Papildināt pielikuma 5.6. apakšpunktu aiz vārda "nozīmējuma" ar vārdiem "izņemot gadījumus, kad narkotisko un psihotropo vielu neatļauta iegādāšanās, glabāšana un realizēšana vai narkotisko un psihotropo vielu lietošana bez ārsta nozīmējuma ir konstatēta ieslodzījuma vietā esošajiem izglītojamajiem".</w:t>
            </w:r>
          </w:p>
        </w:tc>
        <w:tc>
          <w:tcPr>
            <w:tcW w:w="2977" w:type="dxa"/>
            <w:shd w:val="clear" w:color="auto" w:fill="auto"/>
          </w:tcPr>
          <w:p w14:paraId="0E07EF87" w14:textId="77777777" w:rsidR="00BA2AB7" w:rsidRDefault="0090163F" w:rsidP="00D73669">
            <w:pPr>
              <w:spacing w:before="58" w:after="58"/>
              <w:jc w:val="both"/>
              <w:rPr>
                <w:b/>
              </w:rPr>
            </w:pPr>
            <w:r>
              <w:rPr>
                <w:b/>
              </w:rPr>
              <w:lastRenderedPageBreak/>
              <w:t>Ņemts vērā.</w:t>
            </w:r>
          </w:p>
          <w:p w14:paraId="6FC2A2B0" w14:textId="77777777" w:rsidR="0090163F" w:rsidRDefault="0090163F" w:rsidP="00242E7B">
            <w:pPr>
              <w:spacing w:before="58" w:after="58"/>
              <w:jc w:val="both"/>
            </w:pPr>
            <w:r w:rsidRPr="0090163F">
              <w:t>MK noteikumu projekts papildināt</w:t>
            </w:r>
            <w:r w:rsidR="00496E7D">
              <w:t>s</w:t>
            </w:r>
            <w:r w:rsidRPr="0090163F">
              <w:t xml:space="preserve"> ar jaunu punktu.</w:t>
            </w:r>
            <w:r w:rsidR="00CD4D76">
              <w:t xml:space="preserve"> </w:t>
            </w:r>
            <w:r w:rsidR="00242E7B">
              <w:t>Papildināta</w:t>
            </w:r>
            <w:r w:rsidR="00CD4D76" w:rsidRPr="00CD4D76">
              <w:t xml:space="preserve"> anotācij</w:t>
            </w:r>
            <w:r w:rsidR="00242E7B">
              <w:t>a ar skaidrojumu</w:t>
            </w:r>
            <w:r w:rsidR="00CD4D76" w:rsidRPr="00CD4D76">
              <w:t>.</w:t>
            </w:r>
          </w:p>
          <w:p w14:paraId="50357131" w14:textId="66335AF4" w:rsidR="00A56B40" w:rsidRPr="0090163F" w:rsidRDefault="0038171D" w:rsidP="00486F0C">
            <w:pPr>
              <w:jc w:val="both"/>
            </w:pPr>
            <w:r w:rsidRPr="005069BF">
              <w:rPr>
                <w:lang w:eastAsia="en-US"/>
              </w:rPr>
              <w:t xml:space="preserve">Nepieciešams precizēt MK noteikumu Nr. 277 pielikuma 5.6. apakšpunktu, paredzot izņēmumu gadījumus, kad narkotisko un psihotropo vielu neatļauta iegādāšanās, glabāšana un realizēšana vai narkotisko un psihotropo vielu lietošana bez ārsta nozīmējuma ir konstatēta </w:t>
            </w:r>
            <w:r w:rsidR="009034FB">
              <w:rPr>
                <w:lang w:eastAsia="en-US"/>
              </w:rPr>
              <w:t>izglītojamam ieslodzījumā.</w:t>
            </w:r>
            <w:r w:rsidRPr="005069BF">
              <w:rPr>
                <w:lang w:eastAsia="en-US"/>
              </w:rPr>
              <w:t xml:space="preserve"> Cēsu 2.vakara (maiņu) vidusskola ir Ieslodzījuma vietu pārvaldes Cēsu Audzināšanas iestādes </w:t>
            </w:r>
            <w:r w:rsidRPr="005069BF">
              <w:rPr>
                <w:lang w:eastAsia="en-US"/>
              </w:rPr>
              <w:lastRenderedPageBreak/>
              <w:t xml:space="preserve">nepilngadīgajiem struktūrvienība un vidusskolas nodarbinātie ir minētās ieslodzījuma vietas nodarbinātie. Ieslodzījuma vietu nodarbināto rīcība, konstatējot narkotisko un psihotropo vielu neatļautu iegādāšanos, glabāšanu un realizēšanu vai narkotisko un psihotropo vielu lietošanu bez ārsta nozīmējuma, ir reglamentēta attiecīgos ārējos un iekšējos normatīvajos aktos, piemēram,  Ministru kabineta 2005. gada 6. decembra noteikumos Nr. 918 “Apcietināto un notiesāto personu apsekošanas kārtība ieslodzījuma vietās, lai konstatētu, vai tās ir lietojušas alkoholu, narkotiskas vai psihotropas vielas”.  </w:t>
            </w:r>
          </w:p>
        </w:tc>
        <w:tc>
          <w:tcPr>
            <w:tcW w:w="2977" w:type="dxa"/>
            <w:shd w:val="clear" w:color="auto" w:fill="auto"/>
          </w:tcPr>
          <w:p w14:paraId="2EE76275" w14:textId="4306872A" w:rsidR="00A56B40" w:rsidRPr="00111A16" w:rsidRDefault="006D503A" w:rsidP="003E61F9">
            <w:pPr>
              <w:spacing w:before="58" w:after="58"/>
              <w:jc w:val="both"/>
              <w:rPr>
                <w:color w:val="7030A0"/>
              </w:rPr>
            </w:pPr>
            <w:r w:rsidRPr="006D503A">
              <w:lastRenderedPageBreak/>
              <w:t xml:space="preserve">16. </w:t>
            </w:r>
            <w:r w:rsidR="00A56B40" w:rsidRPr="005069BF">
              <w:t>Papildināt pielikuma 5.6. apakšpunktu aiz vārda “nozīmējuma” ar vārdiem</w:t>
            </w:r>
            <w:r w:rsidR="003E61F9">
              <w:t xml:space="preserve"> </w:t>
            </w:r>
            <w:r w:rsidR="00A56B40" w:rsidRPr="005069BF">
              <w:t>“</w:t>
            </w:r>
            <w:r w:rsidR="006D1641" w:rsidRPr="006D1641">
              <w:t>izņemot, ja izglītojamais ir ieslodzītais.</w:t>
            </w:r>
            <w:r w:rsidR="00A56B40" w:rsidRPr="005069BF">
              <w:t>”.</w:t>
            </w:r>
          </w:p>
        </w:tc>
      </w:tr>
      <w:tr w:rsidR="00F421E4" w:rsidRPr="004B2DDF" w14:paraId="17265EAD" w14:textId="77777777" w:rsidTr="0033728E">
        <w:trPr>
          <w:trHeight w:val="1266"/>
        </w:trPr>
        <w:tc>
          <w:tcPr>
            <w:tcW w:w="930" w:type="dxa"/>
            <w:shd w:val="clear" w:color="auto" w:fill="auto"/>
          </w:tcPr>
          <w:p w14:paraId="3AE3E298" w14:textId="617CCD95" w:rsidR="00F421E4" w:rsidRPr="004B2DDF" w:rsidRDefault="001A394B">
            <w:pPr>
              <w:spacing w:before="58" w:after="58"/>
              <w:jc w:val="center"/>
            </w:pPr>
            <w:bookmarkStart w:id="0" w:name="_Hlk66275475"/>
            <w:r>
              <w:lastRenderedPageBreak/>
              <w:t>2.</w:t>
            </w:r>
          </w:p>
        </w:tc>
        <w:tc>
          <w:tcPr>
            <w:tcW w:w="4020" w:type="dxa"/>
            <w:shd w:val="clear" w:color="auto" w:fill="auto"/>
          </w:tcPr>
          <w:p w14:paraId="5378A3AE" w14:textId="5AC7693F" w:rsidR="00912C98" w:rsidRDefault="00912C98" w:rsidP="00912C98">
            <w:pPr>
              <w:tabs>
                <w:tab w:val="left" w:pos="1134"/>
              </w:tabs>
              <w:jc w:val="both"/>
            </w:pPr>
          </w:p>
        </w:tc>
        <w:tc>
          <w:tcPr>
            <w:tcW w:w="3805" w:type="dxa"/>
            <w:shd w:val="clear" w:color="auto" w:fill="auto"/>
          </w:tcPr>
          <w:p w14:paraId="0B13498D" w14:textId="77777777" w:rsidR="00CA0603" w:rsidRPr="00AA4C2A" w:rsidRDefault="00AA4C2A" w:rsidP="00CA0603">
            <w:pPr>
              <w:tabs>
                <w:tab w:val="left" w:pos="0"/>
                <w:tab w:val="left" w:pos="993"/>
              </w:tabs>
              <w:ind w:left="12"/>
              <w:jc w:val="both"/>
              <w:rPr>
                <w:b/>
              </w:rPr>
            </w:pPr>
            <w:r w:rsidRPr="00AA4C2A">
              <w:rPr>
                <w:b/>
              </w:rPr>
              <w:t xml:space="preserve">Tieslietu ministrija: </w:t>
            </w:r>
          </w:p>
          <w:p w14:paraId="7DF953C7" w14:textId="77777777" w:rsidR="00AA4C2A" w:rsidRPr="00EE2ACC" w:rsidRDefault="00AA4C2A" w:rsidP="00AA4C2A">
            <w:pPr>
              <w:pStyle w:val="NormalWeb"/>
              <w:shd w:val="clear" w:color="auto" w:fill="FFFFFF"/>
              <w:tabs>
                <w:tab w:val="left" w:pos="567"/>
              </w:tabs>
              <w:spacing w:before="0" w:beforeAutospacing="0" w:after="0" w:afterAutospacing="0"/>
              <w:jc w:val="both"/>
            </w:pPr>
            <w:r w:rsidRPr="00EE2ACC">
              <w:t xml:space="preserve">2. </w:t>
            </w:r>
            <w:r>
              <w:rPr>
                <w:bdr w:val="none" w:sz="0" w:space="0" w:color="auto" w:frame="1"/>
              </w:rPr>
              <w:t>N</w:t>
            </w:r>
            <w:r w:rsidRPr="00EE2ACC">
              <w:rPr>
                <w:bdr w:val="none" w:sz="0" w:space="0" w:color="auto" w:frame="1"/>
              </w:rPr>
              <w:t>orād</w:t>
            </w:r>
            <w:r>
              <w:rPr>
                <w:bdr w:val="none" w:sz="0" w:space="0" w:color="auto" w:frame="1"/>
              </w:rPr>
              <w:t>ām</w:t>
            </w:r>
            <w:r w:rsidRPr="00EE2ACC">
              <w:rPr>
                <w:bdr w:val="none" w:sz="0" w:space="0" w:color="auto" w:frame="1"/>
              </w:rPr>
              <w:t xml:space="preserve">, ka </w:t>
            </w:r>
            <w:r w:rsidRPr="00EE2ACC">
              <w:t xml:space="preserve">ieslodzītajiem sniedzamo veselības aprūpes pakalpojumu apjomu, kārtību, kādā ieslodzījuma vietās un Latvijas Cietumu slimnīcā sniedz šos pakalpojumus, un kārtību, kādā ieslodzīto nosūta veselības aprūpes pakalpojumu saņemšanai ārstniecības iestādē ārpus ieslodzījuma vietas nosaka Ministru kabineta 2015.gada 2.jūnija noteikumi Nr.276 "Apcietināto un notiesāto personu veselības aprūpes īstenošanas kārtība". </w:t>
            </w:r>
          </w:p>
          <w:p w14:paraId="610FE3EA" w14:textId="77777777" w:rsidR="00AA4C2A" w:rsidRPr="00EE2ACC" w:rsidRDefault="00AA4C2A" w:rsidP="000F490D">
            <w:r w:rsidRPr="00EE2ACC">
              <w:t xml:space="preserve">Ņemot vērā minēto, </w:t>
            </w:r>
            <w:r>
              <w:t>p</w:t>
            </w:r>
            <w:r w:rsidRPr="00EE2ACC">
              <w:t>rojektu nepieciešams papildināt ar attiecīg</w:t>
            </w:r>
            <w:r>
              <w:t>u</w:t>
            </w:r>
            <w:r w:rsidRPr="00EE2ACC">
              <w:t xml:space="preserve"> punktu šādā redakcijā: </w:t>
            </w:r>
          </w:p>
          <w:p w14:paraId="39A77421" w14:textId="77777777" w:rsidR="00AA4C2A" w:rsidRPr="00EE2ACC" w:rsidRDefault="00AA4C2A" w:rsidP="000F490D">
            <w:r w:rsidRPr="00EE2ACC">
              <w:t>"Izteikt 9.11.apakšpunktu šādā redakcijā:</w:t>
            </w:r>
          </w:p>
          <w:p w14:paraId="168193D2" w14:textId="2B3DB3EB" w:rsidR="00AA4C2A" w:rsidRPr="00CA0603" w:rsidRDefault="00AA4C2A" w:rsidP="000F490D">
            <w:pPr>
              <w:pStyle w:val="NormalWeb"/>
              <w:shd w:val="clear" w:color="auto" w:fill="FFFFFF"/>
              <w:tabs>
                <w:tab w:val="left" w:pos="567"/>
                <w:tab w:val="left" w:pos="709"/>
              </w:tabs>
              <w:spacing w:before="0" w:beforeAutospacing="0" w:after="0" w:afterAutospacing="0"/>
              <w:jc w:val="both"/>
            </w:pPr>
            <w:r w:rsidRPr="00EE2ACC">
              <w:t>"9.11. izglītojamo vakcināciju atbilstoši normatīvajos aktos noteiktajai kārtībai (izņemot ieslodzījuma vietā esošos izglītojamos) par vakcināciju un vecāku informēšanu par plānoto vakcināciju""</w:t>
            </w:r>
            <w:r>
              <w:t>.</w:t>
            </w:r>
          </w:p>
        </w:tc>
        <w:tc>
          <w:tcPr>
            <w:tcW w:w="2977" w:type="dxa"/>
            <w:shd w:val="clear" w:color="auto" w:fill="auto"/>
          </w:tcPr>
          <w:p w14:paraId="53787D52" w14:textId="77777777" w:rsidR="00076C90" w:rsidRDefault="00AA4C2A" w:rsidP="00956F81">
            <w:pPr>
              <w:spacing w:before="58" w:after="58"/>
              <w:jc w:val="both"/>
              <w:rPr>
                <w:b/>
              </w:rPr>
            </w:pPr>
            <w:r w:rsidRPr="00AA4C2A">
              <w:rPr>
                <w:b/>
              </w:rPr>
              <w:t>Ņemts vērā</w:t>
            </w:r>
            <w:r w:rsidR="0090163F">
              <w:rPr>
                <w:b/>
              </w:rPr>
              <w:t xml:space="preserve">. </w:t>
            </w:r>
          </w:p>
          <w:p w14:paraId="0C1A4C86" w14:textId="327EA85F" w:rsidR="0090163F" w:rsidRPr="0090163F" w:rsidRDefault="0090163F" w:rsidP="00956F81">
            <w:pPr>
              <w:spacing w:before="58" w:after="58"/>
              <w:jc w:val="both"/>
            </w:pPr>
            <w:r w:rsidRPr="0090163F">
              <w:t xml:space="preserve">MK noteikumu projektā 9.11.apakšpunkts svītrots. </w:t>
            </w:r>
          </w:p>
        </w:tc>
        <w:tc>
          <w:tcPr>
            <w:tcW w:w="2977" w:type="dxa"/>
            <w:shd w:val="clear" w:color="auto" w:fill="auto"/>
          </w:tcPr>
          <w:p w14:paraId="72CBFFEF" w14:textId="62E2AFDB" w:rsidR="00A63382" w:rsidRPr="001A394B" w:rsidRDefault="00A63382" w:rsidP="00573F8A">
            <w:pPr>
              <w:spacing w:before="58" w:after="58"/>
              <w:jc w:val="both"/>
            </w:pPr>
          </w:p>
        </w:tc>
      </w:tr>
      <w:bookmarkEnd w:id="0"/>
      <w:tr w:rsidR="00F421E4" w:rsidRPr="004B2DDF" w14:paraId="15422A4B" w14:textId="77777777" w:rsidTr="00CA3914">
        <w:trPr>
          <w:trHeight w:val="702"/>
        </w:trPr>
        <w:tc>
          <w:tcPr>
            <w:tcW w:w="930" w:type="dxa"/>
            <w:shd w:val="clear" w:color="auto" w:fill="auto"/>
          </w:tcPr>
          <w:p w14:paraId="360AC739" w14:textId="77777777" w:rsidR="00F421E4" w:rsidRPr="004B2DDF" w:rsidRDefault="00813003">
            <w:pPr>
              <w:spacing w:before="58" w:after="58"/>
              <w:jc w:val="center"/>
            </w:pPr>
            <w:r>
              <w:t>3.</w:t>
            </w:r>
          </w:p>
        </w:tc>
        <w:tc>
          <w:tcPr>
            <w:tcW w:w="4020" w:type="dxa"/>
            <w:shd w:val="clear" w:color="auto" w:fill="auto"/>
          </w:tcPr>
          <w:p w14:paraId="5689AE45" w14:textId="7653EF70" w:rsidR="00076C90" w:rsidRDefault="00076C90" w:rsidP="00A86AC1">
            <w:pPr>
              <w:tabs>
                <w:tab w:val="left" w:pos="1134"/>
              </w:tabs>
              <w:jc w:val="both"/>
            </w:pPr>
          </w:p>
        </w:tc>
        <w:tc>
          <w:tcPr>
            <w:tcW w:w="3805" w:type="dxa"/>
            <w:shd w:val="clear" w:color="auto" w:fill="auto"/>
          </w:tcPr>
          <w:p w14:paraId="792C13B6" w14:textId="77777777" w:rsidR="000F490D" w:rsidRPr="000F490D" w:rsidRDefault="000F490D" w:rsidP="000F490D">
            <w:pPr>
              <w:tabs>
                <w:tab w:val="left" w:pos="0"/>
                <w:tab w:val="left" w:pos="993"/>
              </w:tabs>
              <w:ind w:left="12"/>
              <w:jc w:val="both"/>
              <w:rPr>
                <w:b/>
              </w:rPr>
            </w:pPr>
            <w:r w:rsidRPr="000F490D">
              <w:rPr>
                <w:b/>
              </w:rPr>
              <w:t xml:space="preserve">Tieslietu ministrija: </w:t>
            </w:r>
          </w:p>
          <w:p w14:paraId="62B81776" w14:textId="2AFD290D" w:rsidR="000F490D" w:rsidRDefault="000F490D" w:rsidP="000F490D">
            <w:pPr>
              <w:tabs>
                <w:tab w:val="left" w:pos="0"/>
                <w:tab w:val="left" w:pos="993"/>
              </w:tabs>
              <w:ind w:left="12"/>
              <w:jc w:val="both"/>
            </w:pPr>
            <w:r>
              <w:lastRenderedPageBreak/>
              <w:t>3. Vēršam uzmanību, ka ieslodzījuma vietas nodarbinātajiem ne vienmēr ir pieejama informācija par nepilngadīgā ieslodzītā vecāku atrašanās vietu un kontaktinformāciju. Ja nepilngadīgo ieslodzīto vecāks(-i) ir ievietots(-i) brīvības atņemšanas soda izciešanai vai apcietinājuma izpildei ieslodzījuma vietā, viņa informēšana nav lietderīga un nevar būt uzskatāma par līdzekli, kas varētu pozitīvi ietekmēt nepilngadīgā ieslodzītā turpmāko uzvedību. Tāpat vēršam uzmanību, ka saskaņā ar Ieslodzījuma vietu pārvaldes likumā, Apcietinājumā turēšanas kārtības likumā un Latvijas Sodu izpildes kodeksā noteikto trešo personu iespēja apmeklēt ieslodzījuma vietu ir stingri reglamentēta un neparedz ieslodzījuma vietā esošā nepilngadīgā izglītojamā vecāku izsaukšanu un skolu.</w:t>
            </w:r>
          </w:p>
          <w:p w14:paraId="4B68F5D7" w14:textId="0AD7471C" w:rsidR="000F490D" w:rsidRDefault="000F490D" w:rsidP="000F490D">
            <w:pPr>
              <w:tabs>
                <w:tab w:val="left" w:pos="0"/>
                <w:tab w:val="left" w:pos="993"/>
              </w:tabs>
              <w:ind w:left="12"/>
              <w:jc w:val="both"/>
            </w:pPr>
            <w:r>
              <w:t xml:space="preserve">Ņemot vērā minēto, nepieciešams papildināt projektu ar attiecīgu punktu šādā redakcijā: </w:t>
            </w:r>
          </w:p>
          <w:p w14:paraId="14AC0922" w14:textId="5B9C3A4A" w:rsidR="000F490D" w:rsidRDefault="000F490D" w:rsidP="000F490D">
            <w:pPr>
              <w:tabs>
                <w:tab w:val="left" w:pos="0"/>
                <w:tab w:val="left" w:pos="993"/>
              </w:tabs>
              <w:ind w:left="12"/>
              <w:jc w:val="both"/>
            </w:pPr>
            <w:r>
              <w:t xml:space="preserve">"Papildināt pielikuma 5.5. apakšpunktu aiz vārda "skolu" ar vārdiem "izņemot nepilngadīgā </w:t>
            </w:r>
            <w:r>
              <w:lastRenderedPageBreak/>
              <w:t>ieslodzītā izglītojamā likumiskos pārstāvjus;".</w:t>
            </w:r>
          </w:p>
          <w:p w14:paraId="2B02CF68" w14:textId="77777777" w:rsidR="00CA0603" w:rsidRDefault="00CA0603" w:rsidP="00F421E4">
            <w:pPr>
              <w:tabs>
                <w:tab w:val="left" w:pos="0"/>
                <w:tab w:val="left" w:pos="993"/>
              </w:tabs>
              <w:ind w:left="12"/>
              <w:jc w:val="both"/>
            </w:pPr>
          </w:p>
          <w:p w14:paraId="5150B5A7" w14:textId="52A55034" w:rsidR="000F490D" w:rsidRPr="00CA0603" w:rsidRDefault="000F490D" w:rsidP="00F421E4">
            <w:pPr>
              <w:tabs>
                <w:tab w:val="left" w:pos="0"/>
                <w:tab w:val="left" w:pos="993"/>
              </w:tabs>
              <w:ind w:left="12"/>
              <w:jc w:val="both"/>
            </w:pPr>
          </w:p>
        </w:tc>
        <w:tc>
          <w:tcPr>
            <w:tcW w:w="2977" w:type="dxa"/>
            <w:shd w:val="clear" w:color="auto" w:fill="auto"/>
          </w:tcPr>
          <w:p w14:paraId="23A6A5ED" w14:textId="77777777" w:rsidR="00496E7D" w:rsidRDefault="0090163F" w:rsidP="0038171D">
            <w:pPr>
              <w:spacing w:before="58" w:after="58"/>
              <w:jc w:val="both"/>
              <w:rPr>
                <w:b/>
                <w:bCs/>
              </w:rPr>
            </w:pPr>
            <w:r w:rsidRPr="0090163F">
              <w:rPr>
                <w:b/>
                <w:bCs/>
              </w:rPr>
              <w:lastRenderedPageBreak/>
              <w:t>Ņemts vērā</w:t>
            </w:r>
            <w:r w:rsidR="00496E7D">
              <w:rPr>
                <w:b/>
                <w:bCs/>
              </w:rPr>
              <w:t xml:space="preserve">. </w:t>
            </w:r>
            <w:r w:rsidRPr="0090163F">
              <w:rPr>
                <w:b/>
                <w:bCs/>
              </w:rPr>
              <w:t xml:space="preserve"> </w:t>
            </w:r>
          </w:p>
          <w:p w14:paraId="52129177" w14:textId="77777777" w:rsidR="008A4CB8" w:rsidRDefault="00496E7D" w:rsidP="0038171D">
            <w:pPr>
              <w:spacing w:before="58" w:after="58"/>
              <w:jc w:val="both"/>
              <w:rPr>
                <w:bCs/>
              </w:rPr>
            </w:pPr>
            <w:r w:rsidRPr="00496E7D">
              <w:rPr>
                <w:bCs/>
              </w:rPr>
              <w:lastRenderedPageBreak/>
              <w:t xml:space="preserve">MK noteikumu projekts papildināts ar jaunu punktu. </w:t>
            </w:r>
            <w:r w:rsidR="00242E7B">
              <w:rPr>
                <w:bCs/>
              </w:rPr>
              <w:t>Pa</w:t>
            </w:r>
            <w:r w:rsidR="00A56B40">
              <w:rPr>
                <w:bCs/>
              </w:rPr>
              <w:t>pildi</w:t>
            </w:r>
            <w:r w:rsidR="00242E7B">
              <w:rPr>
                <w:bCs/>
              </w:rPr>
              <w:t xml:space="preserve">nāta anotācija ar skaidrojumu. </w:t>
            </w:r>
          </w:p>
          <w:p w14:paraId="132FA6BA" w14:textId="185A95D9" w:rsidR="0038171D" w:rsidRPr="00496E7D" w:rsidRDefault="0038171D" w:rsidP="00486F0C">
            <w:pPr>
              <w:jc w:val="both"/>
              <w:rPr>
                <w:bCs/>
              </w:rPr>
            </w:pPr>
            <w:r w:rsidRPr="005069BF">
              <w:t xml:space="preserve">MK noteikumu Nr. 277 pielikuma 5.5. apakšpunkts nosaka vecāku informēšanu un, ja nepieciešams, to izsaukšanu uz skolu. Saistībā ar to, ka Cēsu 2.vakara (maiņu) vidusskola ir Ieslodzījuma vietu pārvaldes Cēsu Audzināšanas iestādes nepilngadīgajiem struktūrvienība, ieslodzījuma vietas nodarbinātajiem ne vienmēr ir pieejama informācija par nepilngadīgā ieslodzītā vecāku atrašanās vietu un kontaktinformāciju. Ja nepilngadīgo ieslodzīto vecāks(-i) ir ievietots(-i) brīvības atņemšanas soda izciešanai vai apcietinājuma izpildei ieslodzījuma vietā, viņa informēšana nav lietderīga un nevar būt uzskatāma par līdzekli, kas </w:t>
            </w:r>
            <w:r w:rsidRPr="005069BF">
              <w:lastRenderedPageBreak/>
              <w:t>varētu pozitīvi ietekmēt nepilngadīgā ieslodzītā turpmāko uzvedību. Papildus jāņem vērā, ka saskaņā ar Ieslodzījuma vietu pārvaldes likumā, Apcietinājumā turēšanas kārtības likumā un Latvijas Sodu izpildes kodeksā noteikto trešo personu iespēja apmeklēt ieslodzījuma vietu ir stingri reglamentēta un neparedz ieslodzījuma vietā esošā nepilngadīgā izglītojamā vecāku izsaukšanu uz skolu. Ņemot vērā minēto, ir precizēts pielikuma 5.5.  apakšpunkts, paredzot izņēmumu attiecībā uz nepilngadīgā ieslodzītā izglītojamā likumiskajiem pā</w:t>
            </w:r>
            <w:r w:rsidR="005156DC">
              <w:t>rs</w:t>
            </w:r>
            <w:r w:rsidRPr="005069BF">
              <w:t>tāvjiem.</w:t>
            </w:r>
          </w:p>
        </w:tc>
        <w:tc>
          <w:tcPr>
            <w:tcW w:w="2977" w:type="dxa"/>
            <w:shd w:val="clear" w:color="auto" w:fill="auto"/>
          </w:tcPr>
          <w:p w14:paraId="261BD835" w14:textId="07DCEE9E" w:rsidR="00A63382" w:rsidRPr="00496E7D" w:rsidRDefault="006D503A" w:rsidP="00004233">
            <w:pPr>
              <w:shd w:val="clear" w:color="auto" w:fill="FFFFFF"/>
              <w:jc w:val="both"/>
            </w:pPr>
            <w:r w:rsidRPr="006D503A">
              <w:lastRenderedPageBreak/>
              <w:t xml:space="preserve">15. Papildināt pielikuma 5.5. apakšpunktu aiz vārda </w:t>
            </w:r>
            <w:r w:rsidRPr="006D503A">
              <w:lastRenderedPageBreak/>
              <w:t>“skolu” ar vārdiem “izņemot nepilngadīgā ieslodzītā izglītojamā likumiskos pārstāvjus;”.</w:t>
            </w:r>
          </w:p>
        </w:tc>
      </w:tr>
    </w:tbl>
    <w:p w14:paraId="7CB21603" w14:textId="77777777" w:rsidR="005A12E8" w:rsidRPr="004B2DDF" w:rsidRDefault="005A12E8" w:rsidP="005A12E8">
      <w:pPr>
        <w:jc w:val="both"/>
      </w:pPr>
    </w:p>
    <w:p w14:paraId="3999E1F1" w14:textId="16C9AAE5" w:rsidR="00FB763A" w:rsidRPr="00FB763A" w:rsidRDefault="00FB763A" w:rsidP="00FB763A">
      <w:pPr>
        <w:ind w:firstLine="720"/>
        <w:jc w:val="both"/>
      </w:pPr>
      <w:r w:rsidRPr="00FB763A">
        <w:t xml:space="preserve">Piezīme. * Dokumenta rekvizītu </w:t>
      </w:r>
      <w:r w:rsidR="00BF40D3" w:rsidRPr="00BF40D3">
        <w:t>“</w:t>
      </w:r>
      <w:r w:rsidRPr="00FB763A">
        <w:t>paraksts</w:t>
      </w:r>
      <w:r w:rsidR="00BF40D3">
        <w:t xml:space="preserve">” </w:t>
      </w:r>
      <w:r w:rsidRPr="00FB763A">
        <w:t>neaizpilda, ja elektroniskais dokuments ir sagatavots atbilstoši normatīvajiem aktiem par elektronisko dokumentu noformēšanu.</w:t>
      </w:r>
    </w:p>
    <w:p w14:paraId="5F7DB8A9" w14:textId="77777777" w:rsidR="00FB763A" w:rsidRPr="00FB763A" w:rsidRDefault="00FB763A" w:rsidP="00FB763A">
      <w:pPr>
        <w:ind w:firstLine="720"/>
        <w:jc w:val="both"/>
      </w:pPr>
    </w:p>
    <w:p w14:paraId="75220AA0" w14:textId="77777777" w:rsidR="00FB763A" w:rsidRDefault="00FB763A" w:rsidP="00FB763A">
      <w:pPr>
        <w:ind w:firstLine="720"/>
        <w:jc w:val="both"/>
      </w:pPr>
    </w:p>
    <w:p w14:paraId="5B353A86" w14:textId="77777777" w:rsidR="00486F0C" w:rsidRDefault="00486F0C" w:rsidP="00FB763A">
      <w:pPr>
        <w:ind w:firstLine="720"/>
        <w:jc w:val="both"/>
      </w:pPr>
    </w:p>
    <w:p w14:paraId="2413187F" w14:textId="77777777" w:rsidR="00486F0C" w:rsidRPr="00FB763A" w:rsidRDefault="00486F0C" w:rsidP="00FB763A">
      <w:pPr>
        <w:ind w:firstLine="720"/>
        <w:jc w:val="both"/>
      </w:pPr>
    </w:p>
    <w:p w14:paraId="35FE9729" w14:textId="77777777" w:rsidR="00FB763A" w:rsidRPr="00FB763A" w:rsidRDefault="00FB763A" w:rsidP="00FB763A">
      <w:pPr>
        <w:jc w:val="both"/>
      </w:pPr>
      <w:r>
        <w:lastRenderedPageBreak/>
        <w:t xml:space="preserve">  </w:t>
      </w:r>
      <w:r w:rsidRPr="00FB763A">
        <w:t>Līga Buceniece</w:t>
      </w:r>
    </w:p>
    <w:tbl>
      <w:tblPr>
        <w:tblW w:w="0" w:type="auto"/>
        <w:tblLook w:val="00A0" w:firstRow="1" w:lastRow="0" w:firstColumn="1" w:lastColumn="0" w:noHBand="0" w:noVBand="0"/>
      </w:tblPr>
      <w:tblGrid>
        <w:gridCol w:w="8268"/>
      </w:tblGrid>
      <w:tr w:rsidR="00FB763A" w:rsidRPr="00FB763A" w14:paraId="41DE841D" w14:textId="77777777" w:rsidTr="00162E7F">
        <w:tc>
          <w:tcPr>
            <w:tcW w:w="8268" w:type="dxa"/>
            <w:tcBorders>
              <w:top w:val="single" w:sz="4" w:space="0" w:color="000000"/>
            </w:tcBorders>
          </w:tcPr>
          <w:p w14:paraId="02F9BD44" w14:textId="77777777" w:rsidR="00FB763A" w:rsidRPr="00FB763A" w:rsidRDefault="00FB763A" w:rsidP="00FB763A">
            <w:pPr>
              <w:jc w:val="center"/>
            </w:pPr>
          </w:p>
        </w:tc>
      </w:tr>
      <w:tr w:rsidR="00FB763A" w:rsidRPr="00FB763A" w14:paraId="77D66638" w14:textId="77777777" w:rsidTr="00162E7F">
        <w:tc>
          <w:tcPr>
            <w:tcW w:w="8268" w:type="dxa"/>
            <w:tcBorders>
              <w:bottom w:val="single" w:sz="4" w:space="0" w:color="000000"/>
            </w:tcBorders>
          </w:tcPr>
          <w:p w14:paraId="107F1F09" w14:textId="77777777" w:rsidR="00FB763A" w:rsidRPr="00FB763A" w:rsidRDefault="00FB763A" w:rsidP="00FB763A">
            <w:r w:rsidRPr="00FB763A">
              <w:t>Izglītības un zinātnes ministrijas Izglītības departamenta direktore</w:t>
            </w:r>
          </w:p>
        </w:tc>
      </w:tr>
      <w:tr w:rsidR="00FB763A" w:rsidRPr="00FB763A" w14:paraId="1AFE4431" w14:textId="77777777" w:rsidTr="00162E7F">
        <w:tc>
          <w:tcPr>
            <w:tcW w:w="8268" w:type="dxa"/>
            <w:tcBorders>
              <w:top w:val="single" w:sz="4" w:space="0" w:color="000000"/>
            </w:tcBorders>
          </w:tcPr>
          <w:p w14:paraId="771C7D42" w14:textId="77777777" w:rsidR="00FB763A" w:rsidRPr="00FB763A" w:rsidRDefault="00FB763A" w:rsidP="00FB763A">
            <w:pPr>
              <w:jc w:val="center"/>
            </w:pPr>
          </w:p>
        </w:tc>
      </w:tr>
      <w:tr w:rsidR="00FB763A" w:rsidRPr="00FB763A" w14:paraId="10CD58FC" w14:textId="77777777" w:rsidTr="00162E7F">
        <w:tc>
          <w:tcPr>
            <w:tcW w:w="8268" w:type="dxa"/>
            <w:tcBorders>
              <w:bottom w:val="single" w:sz="4" w:space="0" w:color="000000"/>
            </w:tcBorders>
          </w:tcPr>
          <w:p w14:paraId="278ABEFB" w14:textId="77777777" w:rsidR="00FB763A" w:rsidRPr="00FB763A" w:rsidRDefault="00FB763A" w:rsidP="00FB763A">
            <w:r w:rsidRPr="00FB763A">
              <w:t>Tālrunis 67047830</w:t>
            </w:r>
          </w:p>
        </w:tc>
      </w:tr>
      <w:tr w:rsidR="00FB763A" w:rsidRPr="00FB763A" w14:paraId="6FA62F2C" w14:textId="77777777" w:rsidTr="00162E7F">
        <w:tc>
          <w:tcPr>
            <w:tcW w:w="8268" w:type="dxa"/>
            <w:tcBorders>
              <w:top w:val="single" w:sz="4" w:space="0" w:color="000000"/>
            </w:tcBorders>
          </w:tcPr>
          <w:p w14:paraId="30DB7F0F" w14:textId="77777777" w:rsidR="00FB763A" w:rsidRPr="00FB763A" w:rsidRDefault="00FB763A" w:rsidP="00FB763A">
            <w:pPr>
              <w:jc w:val="center"/>
            </w:pPr>
          </w:p>
        </w:tc>
      </w:tr>
      <w:tr w:rsidR="00FB763A" w:rsidRPr="00FB763A" w14:paraId="44F0222F" w14:textId="77777777" w:rsidTr="00FB763A">
        <w:tc>
          <w:tcPr>
            <w:tcW w:w="8268" w:type="dxa"/>
          </w:tcPr>
          <w:p w14:paraId="556CAB30" w14:textId="77777777" w:rsidR="00FB763A" w:rsidRPr="00FB763A" w:rsidRDefault="00FB763A" w:rsidP="00FB763A">
            <w:r w:rsidRPr="00FB763A">
              <w:t xml:space="preserve">liga.buceniece@izm.gov.lv </w:t>
            </w:r>
          </w:p>
        </w:tc>
      </w:tr>
      <w:tr w:rsidR="00FB763A" w:rsidRPr="00FB763A" w14:paraId="2DE07D6E" w14:textId="77777777" w:rsidTr="00162E7F">
        <w:tc>
          <w:tcPr>
            <w:tcW w:w="8268" w:type="dxa"/>
            <w:tcBorders>
              <w:bottom w:val="single" w:sz="4" w:space="0" w:color="000000"/>
            </w:tcBorders>
          </w:tcPr>
          <w:p w14:paraId="4B5C456E" w14:textId="77777777" w:rsidR="00FB763A" w:rsidRPr="00FB763A" w:rsidRDefault="00FB763A" w:rsidP="00FB763A"/>
        </w:tc>
      </w:tr>
    </w:tbl>
    <w:p w14:paraId="1838B117" w14:textId="77777777" w:rsidR="00847571" w:rsidRDefault="00847571" w:rsidP="00FB763A"/>
    <w:p w14:paraId="32EDEC12" w14:textId="77777777" w:rsidR="00F37BBC" w:rsidRDefault="00F37BBC" w:rsidP="00F37BBC"/>
    <w:p w14:paraId="62F87C0D" w14:textId="77777777" w:rsidR="002C6382" w:rsidRPr="001F62EA" w:rsidRDefault="002C6382" w:rsidP="002C6382">
      <w:pPr>
        <w:jc w:val="both"/>
      </w:pPr>
      <w:r w:rsidRPr="001F62EA">
        <w:t>Dz.Mergupe-Kutraite</w:t>
      </w:r>
    </w:p>
    <w:p w14:paraId="71BBF7CE" w14:textId="77777777" w:rsidR="002C6382" w:rsidRPr="001F62EA" w:rsidRDefault="002C6382" w:rsidP="002C6382">
      <w:pPr>
        <w:jc w:val="both"/>
      </w:pPr>
      <w:r w:rsidRPr="001F62EA">
        <w:t xml:space="preserve">Izglītības departamenta eksperte </w:t>
      </w:r>
    </w:p>
    <w:p w14:paraId="531E880E" w14:textId="77777777" w:rsidR="002C6382" w:rsidRPr="001F62EA" w:rsidRDefault="002C6382" w:rsidP="002C6382">
      <w:pPr>
        <w:tabs>
          <w:tab w:val="left" w:pos="5055"/>
        </w:tabs>
        <w:rPr>
          <w:rStyle w:val="Hyperlink"/>
          <w:color w:val="auto"/>
          <w:u w:val="none"/>
        </w:rPr>
      </w:pPr>
      <w:r w:rsidRPr="001F62EA">
        <w:t xml:space="preserve">67047817, </w:t>
      </w:r>
      <w:hyperlink r:id="rId8" w:history="1"/>
      <w:hyperlink r:id="rId9" w:history="1">
        <w:r w:rsidRPr="001F62EA">
          <w:rPr>
            <w:rStyle w:val="Hyperlink"/>
            <w:color w:val="auto"/>
            <w:u w:val="none"/>
          </w:rPr>
          <w:t>Dzintra.Mergupe-Kutraite@izm.gov.lv</w:t>
        </w:r>
      </w:hyperlink>
    </w:p>
    <w:sectPr w:rsidR="002C6382" w:rsidRPr="001F62EA" w:rsidSect="00861F96">
      <w:headerReference w:type="even" r:id="rId10"/>
      <w:headerReference w:type="default" r:id="rId11"/>
      <w:footerReference w:type="even" r:id="rId12"/>
      <w:footerReference w:type="default" r:id="rId13"/>
      <w:headerReference w:type="first" r:id="rId14"/>
      <w:footerReference w:type="first" r:id="rId15"/>
      <w:pgSz w:w="16838" w:h="11906" w:orient="landscape"/>
      <w:pgMar w:top="1800" w:right="1440" w:bottom="180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A777" w16cex:dateUtc="2021-06-10T12:00:00Z"/>
  <w16cex:commentExtensible w16cex:durableId="246C8FC3" w16cex:dateUtc="2021-06-10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20CB9E" w16cid:durableId="246C8FF8"/>
  <w16cid:commentId w16cid:paraId="2A825B29" w16cid:durableId="246CA777"/>
  <w16cid:commentId w16cid:paraId="2F3E8DFB" w16cid:durableId="246C8F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280B" w14:textId="77777777" w:rsidR="00575F5E" w:rsidRDefault="00575F5E" w:rsidP="005A12E8">
      <w:r>
        <w:separator/>
      </w:r>
    </w:p>
  </w:endnote>
  <w:endnote w:type="continuationSeparator" w:id="0">
    <w:p w14:paraId="3B381545" w14:textId="77777777" w:rsidR="00575F5E" w:rsidRDefault="00575F5E"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52CE6" w14:textId="77777777" w:rsidR="00F8435D" w:rsidRDefault="00F84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4187" w14:textId="1F6B9F52" w:rsidR="00FB2BB0" w:rsidRDefault="00FB2BB0" w:rsidP="001D565D">
    <w:pPr>
      <w:pStyle w:val="Footer"/>
    </w:pPr>
    <w:r w:rsidRPr="003F0E42">
      <w:t>IZMIzz_</w:t>
    </w:r>
    <w:r w:rsidR="00F8435D">
      <w:t>0107</w:t>
    </w:r>
    <w:r w:rsidR="00182B5B">
      <w:t>21</w:t>
    </w:r>
    <w:r w:rsidRPr="003F0E42">
      <w:t>_VSS_4</w:t>
    </w:r>
    <w:r w:rsidR="00AA4C2A">
      <w:t>88</w:t>
    </w:r>
    <w:r w:rsidRPr="003F0E42">
      <w:t xml:space="preserve">; </w:t>
    </w:r>
    <w:r w:rsidRPr="003F0E42">
      <w:tab/>
    </w:r>
  </w:p>
  <w:p w14:paraId="5DD99184" w14:textId="77777777" w:rsidR="00FB2BB0" w:rsidRPr="00BA2AB7" w:rsidRDefault="00FB2BB0" w:rsidP="00BA2A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10E3" w14:textId="0598FDFE" w:rsidR="00FB2BB0" w:rsidRDefault="00FB2BB0">
    <w:pPr>
      <w:pStyle w:val="Footer"/>
    </w:pPr>
    <w:r w:rsidRPr="003F0E42">
      <w:t>IZMIzz_</w:t>
    </w:r>
    <w:r w:rsidR="00F8435D">
      <w:t>0107</w:t>
    </w:r>
    <w:r w:rsidR="00182B5B">
      <w:t>21</w:t>
    </w:r>
    <w:r w:rsidRPr="003F0E42">
      <w:t>_VSS_4</w:t>
    </w:r>
    <w:r w:rsidR="00AA4C2A">
      <w:t>88</w:t>
    </w:r>
    <w:r w:rsidRPr="003F0E42">
      <w:t xml:space="preserve">; </w:t>
    </w:r>
    <w:r w:rsidRPr="003F0E4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5BD7" w14:textId="77777777" w:rsidR="00575F5E" w:rsidRDefault="00575F5E" w:rsidP="005A12E8">
      <w:r>
        <w:separator/>
      </w:r>
    </w:p>
  </w:footnote>
  <w:footnote w:type="continuationSeparator" w:id="0">
    <w:p w14:paraId="702E586E" w14:textId="77777777" w:rsidR="00575F5E" w:rsidRDefault="00575F5E"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8A085" w14:textId="77777777" w:rsidR="00F8435D" w:rsidRDefault="00F84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14:paraId="79D3E7BE" w14:textId="77777777" w:rsidR="00FB2BB0" w:rsidRDefault="00FB2BB0">
    <w:pPr>
      <w:pStyle w:val="Header"/>
      <w:jc w:val="center"/>
    </w:pPr>
    <w:r>
      <w:fldChar w:fldCharType="begin"/>
    </w:r>
    <w:r>
      <w:instrText xml:space="preserve"> PAGE   \* MERGEFORMAT </w:instrText>
    </w:r>
    <w:r>
      <w:fldChar w:fldCharType="separate"/>
    </w:r>
    <w:r w:rsidR="00F8435D">
      <w:rPr>
        <w:noProof/>
      </w:rPr>
      <w:t>7</w:t>
    </w:r>
    <w:r>
      <w:rPr>
        <w:noProof/>
      </w:rPr>
      <w:fldChar w:fldCharType="end"/>
    </w:r>
  </w:p>
  <w:p w14:paraId="516E66C6" w14:textId="77777777" w:rsidR="00FB2BB0" w:rsidRDefault="00FB2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6A3AF" w14:textId="77777777" w:rsidR="00F8435D" w:rsidRDefault="00F84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2"/>
  </w:num>
  <w:num w:numId="3">
    <w:abstractNumId w:val="8"/>
  </w:num>
  <w:num w:numId="4">
    <w:abstractNumId w:val="0"/>
  </w:num>
  <w:num w:numId="5">
    <w:abstractNumId w:val="3"/>
  </w:num>
  <w:num w:numId="6">
    <w:abstractNumId w:val="7"/>
  </w:num>
  <w:num w:numId="7">
    <w:abstractNumId w:val="6"/>
  </w:num>
  <w:num w:numId="8">
    <w:abstractNumId w:val="5"/>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4233"/>
    <w:rsid w:val="000046C2"/>
    <w:rsid w:val="00006416"/>
    <w:rsid w:val="00016789"/>
    <w:rsid w:val="00024029"/>
    <w:rsid w:val="00024421"/>
    <w:rsid w:val="000248F7"/>
    <w:rsid w:val="00026E67"/>
    <w:rsid w:val="00036D7F"/>
    <w:rsid w:val="00037D54"/>
    <w:rsid w:val="00040033"/>
    <w:rsid w:val="00040900"/>
    <w:rsid w:val="000526B5"/>
    <w:rsid w:val="00054C4B"/>
    <w:rsid w:val="0006038A"/>
    <w:rsid w:val="00060667"/>
    <w:rsid w:val="000727DD"/>
    <w:rsid w:val="000748E5"/>
    <w:rsid w:val="00076C90"/>
    <w:rsid w:val="0008199A"/>
    <w:rsid w:val="00087F20"/>
    <w:rsid w:val="000A6E4B"/>
    <w:rsid w:val="000B00B9"/>
    <w:rsid w:val="000B03EE"/>
    <w:rsid w:val="000B0824"/>
    <w:rsid w:val="000B6D27"/>
    <w:rsid w:val="000C3FF0"/>
    <w:rsid w:val="000D1FAE"/>
    <w:rsid w:val="000D3F51"/>
    <w:rsid w:val="000D5251"/>
    <w:rsid w:val="000E4714"/>
    <w:rsid w:val="000E47BA"/>
    <w:rsid w:val="000F3334"/>
    <w:rsid w:val="000F3540"/>
    <w:rsid w:val="000F490D"/>
    <w:rsid w:val="0010206B"/>
    <w:rsid w:val="0010308C"/>
    <w:rsid w:val="00111A16"/>
    <w:rsid w:val="001137FB"/>
    <w:rsid w:val="001166EB"/>
    <w:rsid w:val="0012063F"/>
    <w:rsid w:val="00120916"/>
    <w:rsid w:val="0012405E"/>
    <w:rsid w:val="00132E19"/>
    <w:rsid w:val="001331B9"/>
    <w:rsid w:val="001335F5"/>
    <w:rsid w:val="00134145"/>
    <w:rsid w:val="00147464"/>
    <w:rsid w:val="00147BAC"/>
    <w:rsid w:val="00162E7F"/>
    <w:rsid w:val="00166628"/>
    <w:rsid w:val="00167693"/>
    <w:rsid w:val="001679D0"/>
    <w:rsid w:val="00173AC4"/>
    <w:rsid w:val="0018066F"/>
    <w:rsid w:val="00182B5B"/>
    <w:rsid w:val="0018619C"/>
    <w:rsid w:val="001A394B"/>
    <w:rsid w:val="001A50D4"/>
    <w:rsid w:val="001C0035"/>
    <w:rsid w:val="001C6BF9"/>
    <w:rsid w:val="001D2AA5"/>
    <w:rsid w:val="001D565D"/>
    <w:rsid w:val="001D577A"/>
    <w:rsid w:val="001E538F"/>
    <w:rsid w:val="001E6DEE"/>
    <w:rsid w:val="001F4EB8"/>
    <w:rsid w:val="001F62EA"/>
    <w:rsid w:val="00204F9A"/>
    <w:rsid w:val="002054B5"/>
    <w:rsid w:val="002137E5"/>
    <w:rsid w:val="00217E62"/>
    <w:rsid w:val="0022767F"/>
    <w:rsid w:val="002372B1"/>
    <w:rsid w:val="002416E2"/>
    <w:rsid w:val="00242E7B"/>
    <w:rsid w:val="00252AF5"/>
    <w:rsid w:val="0025470B"/>
    <w:rsid w:val="002822CB"/>
    <w:rsid w:val="0029235B"/>
    <w:rsid w:val="002924AC"/>
    <w:rsid w:val="00293225"/>
    <w:rsid w:val="0029440B"/>
    <w:rsid w:val="002975B4"/>
    <w:rsid w:val="002A0FEC"/>
    <w:rsid w:val="002A5362"/>
    <w:rsid w:val="002B78B1"/>
    <w:rsid w:val="002C5993"/>
    <w:rsid w:val="002C6382"/>
    <w:rsid w:val="002D7AC5"/>
    <w:rsid w:val="002E20CA"/>
    <w:rsid w:val="002E5DDF"/>
    <w:rsid w:val="002F73CC"/>
    <w:rsid w:val="003160C3"/>
    <w:rsid w:val="003241A3"/>
    <w:rsid w:val="0033041A"/>
    <w:rsid w:val="00331C39"/>
    <w:rsid w:val="00334854"/>
    <w:rsid w:val="00335782"/>
    <w:rsid w:val="0033728E"/>
    <w:rsid w:val="003438F0"/>
    <w:rsid w:val="003461C9"/>
    <w:rsid w:val="00346BB8"/>
    <w:rsid w:val="00357377"/>
    <w:rsid w:val="003575A6"/>
    <w:rsid w:val="00365000"/>
    <w:rsid w:val="0036501C"/>
    <w:rsid w:val="00365626"/>
    <w:rsid w:val="003769BF"/>
    <w:rsid w:val="0038171D"/>
    <w:rsid w:val="003931B3"/>
    <w:rsid w:val="003A1346"/>
    <w:rsid w:val="003A7932"/>
    <w:rsid w:val="003C3BA8"/>
    <w:rsid w:val="003C669F"/>
    <w:rsid w:val="003C6E6A"/>
    <w:rsid w:val="003D0397"/>
    <w:rsid w:val="003D179F"/>
    <w:rsid w:val="003D28FF"/>
    <w:rsid w:val="003E2167"/>
    <w:rsid w:val="003E61F9"/>
    <w:rsid w:val="003E7699"/>
    <w:rsid w:val="003E797A"/>
    <w:rsid w:val="003F0CCB"/>
    <w:rsid w:val="003F0E42"/>
    <w:rsid w:val="003F124C"/>
    <w:rsid w:val="003F3A58"/>
    <w:rsid w:val="003F41A0"/>
    <w:rsid w:val="003F6E75"/>
    <w:rsid w:val="0040010E"/>
    <w:rsid w:val="004007BF"/>
    <w:rsid w:val="0040473C"/>
    <w:rsid w:val="00404CAB"/>
    <w:rsid w:val="00405F9E"/>
    <w:rsid w:val="0040607D"/>
    <w:rsid w:val="0041485F"/>
    <w:rsid w:val="00415356"/>
    <w:rsid w:val="004231CE"/>
    <w:rsid w:val="004329D3"/>
    <w:rsid w:val="00437ACF"/>
    <w:rsid w:val="00443169"/>
    <w:rsid w:val="00443BDE"/>
    <w:rsid w:val="00461C62"/>
    <w:rsid w:val="004672A7"/>
    <w:rsid w:val="00467CC8"/>
    <w:rsid w:val="00484EC9"/>
    <w:rsid w:val="00486F0C"/>
    <w:rsid w:val="004908C9"/>
    <w:rsid w:val="00492FB1"/>
    <w:rsid w:val="00496E7D"/>
    <w:rsid w:val="004A5FB5"/>
    <w:rsid w:val="004B2DDF"/>
    <w:rsid w:val="004C0B33"/>
    <w:rsid w:val="004D2FD2"/>
    <w:rsid w:val="004D3742"/>
    <w:rsid w:val="004E348F"/>
    <w:rsid w:val="004E698A"/>
    <w:rsid w:val="004E6D3F"/>
    <w:rsid w:val="004E7C1E"/>
    <w:rsid w:val="004F2130"/>
    <w:rsid w:val="004F3E73"/>
    <w:rsid w:val="004F77AB"/>
    <w:rsid w:val="005069BF"/>
    <w:rsid w:val="00511A0F"/>
    <w:rsid w:val="00512712"/>
    <w:rsid w:val="00514D7A"/>
    <w:rsid w:val="005156DC"/>
    <w:rsid w:val="00530DCF"/>
    <w:rsid w:val="00543D66"/>
    <w:rsid w:val="00543ECD"/>
    <w:rsid w:val="00544975"/>
    <w:rsid w:val="00551D9A"/>
    <w:rsid w:val="005530C2"/>
    <w:rsid w:val="00561E34"/>
    <w:rsid w:val="00562F03"/>
    <w:rsid w:val="00565749"/>
    <w:rsid w:val="005677CF"/>
    <w:rsid w:val="00573F8A"/>
    <w:rsid w:val="005740D1"/>
    <w:rsid w:val="00575F5E"/>
    <w:rsid w:val="00581DCF"/>
    <w:rsid w:val="00584AAE"/>
    <w:rsid w:val="005871B2"/>
    <w:rsid w:val="005927DD"/>
    <w:rsid w:val="00594AC9"/>
    <w:rsid w:val="005963A8"/>
    <w:rsid w:val="00596C48"/>
    <w:rsid w:val="00596E3E"/>
    <w:rsid w:val="00597D5A"/>
    <w:rsid w:val="005A12E8"/>
    <w:rsid w:val="005B2FA7"/>
    <w:rsid w:val="005B3E65"/>
    <w:rsid w:val="005B71B9"/>
    <w:rsid w:val="005C301E"/>
    <w:rsid w:val="005C3575"/>
    <w:rsid w:val="005C37AA"/>
    <w:rsid w:val="005C484A"/>
    <w:rsid w:val="005C5FB9"/>
    <w:rsid w:val="005D31F8"/>
    <w:rsid w:val="005E31EA"/>
    <w:rsid w:val="005F0A68"/>
    <w:rsid w:val="005F1B22"/>
    <w:rsid w:val="005F7BF8"/>
    <w:rsid w:val="00604C59"/>
    <w:rsid w:val="00606867"/>
    <w:rsid w:val="00621409"/>
    <w:rsid w:val="0062785F"/>
    <w:rsid w:val="0064081D"/>
    <w:rsid w:val="006409FE"/>
    <w:rsid w:val="00643DF3"/>
    <w:rsid w:val="0064609B"/>
    <w:rsid w:val="006468D3"/>
    <w:rsid w:val="00653CC2"/>
    <w:rsid w:val="00656EA4"/>
    <w:rsid w:val="00661346"/>
    <w:rsid w:val="0066216B"/>
    <w:rsid w:val="00665EA3"/>
    <w:rsid w:val="00667EDD"/>
    <w:rsid w:val="00675934"/>
    <w:rsid w:val="00676A6B"/>
    <w:rsid w:val="00690E1B"/>
    <w:rsid w:val="006A5491"/>
    <w:rsid w:val="006B2975"/>
    <w:rsid w:val="006B5D62"/>
    <w:rsid w:val="006B76F8"/>
    <w:rsid w:val="006D1641"/>
    <w:rsid w:val="006D503A"/>
    <w:rsid w:val="006D55A1"/>
    <w:rsid w:val="006E3BDC"/>
    <w:rsid w:val="006E4503"/>
    <w:rsid w:val="006F5605"/>
    <w:rsid w:val="00706048"/>
    <w:rsid w:val="007235F5"/>
    <w:rsid w:val="00730790"/>
    <w:rsid w:val="00734EE7"/>
    <w:rsid w:val="007362B8"/>
    <w:rsid w:val="00740AC7"/>
    <w:rsid w:val="00751D7D"/>
    <w:rsid w:val="00766784"/>
    <w:rsid w:val="0076764C"/>
    <w:rsid w:val="0078722F"/>
    <w:rsid w:val="007A10A0"/>
    <w:rsid w:val="007A75A1"/>
    <w:rsid w:val="007B1787"/>
    <w:rsid w:val="007C5850"/>
    <w:rsid w:val="007C6ED7"/>
    <w:rsid w:val="007D5A08"/>
    <w:rsid w:val="00813003"/>
    <w:rsid w:val="00830A1E"/>
    <w:rsid w:val="00835CE7"/>
    <w:rsid w:val="0084005D"/>
    <w:rsid w:val="0084449F"/>
    <w:rsid w:val="008450E9"/>
    <w:rsid w:val="00846056"/>
    <w:rsid w:val="00846927"/>
    <w:rsid w:val="00847571"/>
    <w:rsid w:val="00847F45"/>
    <w:rsid w:val="00855992"/>
    <w:rsid w:val="00856BA4"/>
    <w:rsid w:val="00861F96"/>
    <w:rsid w:val="0086662D"/>
    <w:rsid w:val="0087160A"/>
    <w:rsid w:val="0088337D"/>
    <w:rsid w:val="008867F4"/>
    <w:rsid w:val="00893ECA"/>
    <w:rsid w:val="008A4CB8"/>
    <w:rsid w:val="008A7477"/>
    <w:rsid w:val="008B1D73"/>
    <w:rsid w:val="008B2567"/>
    <w:rsid w:val="008B45E8"/>
    <w:rsid w:val="008B6E6F"/>
    <w:rsid w:val="008C23A5"/>
    <w:rsid w:val="008D4133"/>
    <w:rsid w:val="008E3D22"/>
    <w:rsid w:val="008E79CF"/>
    <w:rsid w:val="008F5D17"/>
    <w:rsid w:val="0090163F"/>
    <w:rsid w:val="00902954"/>
    <w:rsid w:val="009034FB"/>
    <w:rsid w:val="00903869"/>
    <w:rsid w:val="0091125E"/>
    <w:rsid w:val="009113E8"/>
    <w:rsid w:val="00912C98"/>
    <w:rsid w:val="0091370D"/>
    <w:rsid w:val="009179F0"/>
    <w:rsid w:val="00920793"/>
    <w:rsid w:val="00920D98"/>
    <w:rsid w:val="009328F5"/>
    <w:rsid w:val="00933C1C"/>
    <w:rsid w:val="0093555E"/>
    <w:rsid w:val="0094523F"/>
    <w:rsid w:val="0094731C"/>
    <w:rsid w:val="009507DE"/>
    <w:rsid w:val="00956F81"/>
    <w:rsid w:val="009654E6"/>
    <w:rsid w:val="00966385"/>
    <w:rsid w:val="00966E6A"/>
    <w:rsid w:val="00970164"/>
    <w:rsid w:val="00971958"/>
    <w:rsid w:val="0097559C"/>
    <w:rsid w:val="00995DE4"/>
    <w:rsid w:val="00997894"/>
    <w:rsid w:val="009A22A2"/>
    <w:rsid w:val="009A3E2F"/>
    <w:rsid w:val="009A5E65"/>
    <w:rsid w:val="009A5F66"/>
    <w:rsid w:val="009A7706"/>
    <w:rsid w:val="009B2A54"/>
    <w:rsid w:val="009C603D"/>
    <w:rsid w:val="009D681C"/>
    <w:rsid w:val="009E2969"/>
    <w:rsid w:val="009E2A85"/>
    <w:rsid w:val="009F1AD4"/>
    <w:rsid w:val="009F4C5D"/>
    <w:rsid w:val="00A110BF"/>
    <w:rsid w:val="00A15745"/>
    <w:rsid w:val="00A21009"/>
    <w:rsid w:val="00A22D49"/>
    <w:rsid w:val="00A23E89"/>
    <w:rsid w:val="00A251C0"/>
    <w:rsid w:val="00A30470"/>
    <w:rsid w:val="00A3338E"/>
    <w:rsid w:val="00A446C7"/>
    <w:rsid w:val="00A479EE"/>
    <w:rsid w:val="00A47EFF"/>
    <w:rsid w:val="00A50710"/>
    <w:rsid w:val="00A51318"/>
    <w:rsid w:val="00A53E54"/>
    <w:rsid w:val="00A56459"/>
    <w:rsid w:val="00A56B40"/>
    <w:rsid w:val="00A57285"/>
    <w:rsid w:val="00A57315"/>
    <w:rsid w:val="00A608DF"/>
    <w:rsid w:val="00A63382"/>
    <w:rsid w:val="00A6744F"/>
    <w:rsid w:val="00A7461F"/>
    <w:rsid w:val="00A74DA6"/>
    <w:rsid w:val="00A772FE"/>
    <w:rsid w:val="00A86AC1"/>
    <w:rsid w:val="00A91FC9"/>
    <w:rsid w:val="00A9260F"/>
    <w:rsid w:val="00AA04A7"/>
    <w:rsid w:val="00AA4C2A"/>
    <w:rsid w:val="00AB2E19"/>
    <w:rsid w:val="00AB52C2"/>
    <w:rsid w:val="00AC30BE"/>
    <w:rsid w:val="00AC3839"/>
    <w:rsid w:val="00AC5407"/>
    <w:rsid w:val="00AD3FB8"/>
    <w:rsid w:val="00AE0A40"/>
    <w:rsid w:val="00AE2F5D"/>
    <w:rsid w:val="00AF15E6"/>
    <w:rsid w:val="00AF5670"/>
    <w:rsid w:val="00AF78D9"/>
    <w:rsid w:val="00B0317A"/>
    <w:rsid w:val="00B03BDC"/>
    <w:rsid w:val="00B07E56"/>
    <w:rsid w:val="00B138C8"/>
    <w:rsid w:val="00B144DE"/>
    <w:rsid w:val="00B170F7"/>
    <w:rsid w:val="00B2156E"/>
    <w:rsid w:val="00B2372F"/>
    <w:rsid w:val="00B30E6C"/>
    <w:rsid w:val="00B31AC3"/>
    <w:rsid w:val="00B327BA"/>
    <w:rsid w:val="00B36AD2"/>
    <w:rsid w:val="00B37907"/>
    <w:rsid w:val="00B43746"/>
    <w:rsid w:val="00B56332"/>
    <w:rsid w:val="00B57328"/>
    <w:rsid w:val="00B602CF"/>
    <w:rsid w:val="00B6708C"/>
    <w:rsid w:val="00B67234"/>
    <w:rsid w:val="00B731CF"/>
    <w:rsid w:val="00B74657"/>
    <w:rsid w:val="00B815D6"/>
    <w:rsid w:val="00B871FA"/>
    <w:rsid w:val="00B87C75"/>
    <w:rsid w:val="00B93EE9"/>
    <w:rsid w:val="00BA2AB7"/>
    <w:rsid w:val="00BA53C0"/>
    <w:rsid w:val="00BA6B17"/>
    <w:rsid w:val="00BB0BF8"/>
    <w:rsid w:val="00BB1A96"/>
    <w:rsid w:val="00BB260E"/>
    <w:rsid w:val="00BB40FD"/>
    <w:rsid w:val="00BB59A0"/>
    <w:rsid w:val="00BB7397"/>
    <w:rsid w:val="00BC2A52"/>
    <w:rsid w:val="00BC3995"/>
    <w:rsid w:val="00BC5474"/>
    <w:rsid w:val="00BC6446"/>
    <w:rsid w:val="00BD1EC0"/>
    <w:rsid w:val="00BD4667"/>
    <w:rsid w:val="00BE20DF"/>
    <w:rsid w:val="00BE31DD"/>
    <w:rsid w:val="00BE3675"/>
    <w:rsid w:val="00BE593E"/>
    <w:rsid w:val="00BE693B"/>
    <w:rsid w:val="00BF02D1"/>
    <w:rsid w:val="00BF30E7"/>
    <w:rsid w:val="00BF3A2F"/>
    <w:rsid w:val="00BF40D3"/>
    <w:rsid w:val="00BF42C1"/>
    <w:rsid w:val="00C00FF8"/>
    <w:rsid w:val="00C300FE"/>
    <w:rsid w:val="00C36161"/>
    <w:rsid w:val="00C369F3"/>
    <w:rsid w:val="00C5168B"/>
    <w:rsid w:val="00C516E8"/>
    <w:rsid w:val="00C52817"/>
    <w:rsid w:val="00C536D8"/>
    <w:rsid w:val="00C54539"/>
    <w:rsid w:val="00C548E8"/>
    <w:rsid w:val="00C57382"/>
    <w:rsid w:val="00C73EBC"/>
    <w:rsid w:val="00C777BD"/>
    <w:rsid w:val="00C80E50"/>
    <w:rsid w:val="00C85EDC"/>
    <w:rsid w:val="00C90CA4"/>
    <w:rsid w:val="00CA0603"/>
    <w:rsid w:val="00CA3181"/>
    <w:rsid w:val="00CA3914"/>
    <w:rsid w:val="00CB248C"/>
    <w:rsid w:val="00CB5B26"/>
    <w:rsid w:val="00CC0E80"/>
    <w:rsid w:val="00CC0F0D"/>
    <w:rsid w:val="00CC1521"/>
    <w:rsid w:val="00CC3535"/>
    <w:rsid w:val="00CC526C"/>
    <w:rsid w:val="00CD127B"/>
    <w:rsid w:val="00CD4D76"/>
    <w:rsid w:val="00CD4DBD"/>
    <w:rsid w:val="00CD50EA"/>
    <w:rsid w:val="00CD5EB0"/>
    <w:rsid w:val="00D00C15"/>
    <w:rsid w:val="00D06358"/>
    <w:rsid w:val="00D138B7"/>
    <w:rsid w:val="00D15B72"/>
    <w:rsid w:val="00D21915"/>
    <w:rsid w:val="00D21BE8"/>
    <w:rsid w:val="00D22B28"/>
    <w:rsid w:val="00D26372"/>
    <w:rsid w:val="00D27F87"/>
    <w:rsid w:val="00D34A8F"/>
    <w:rsid w:val="00D35578"/>
    <w:rsid w:val="00D3767F"/>
    <w:rsid w:val="00D42500"/>
    <w:rsid w:val="00D44B4D"/>
    <w:rsid w:val="00D522B2"/>
    <w:rsid w:val="00D53A97"/>
    <w:rsid w:val="00D646D7"/>
    <w:rsid w:val="00D6629F"/>
    <w:rsid w:val="00D67116"/>
    <w:rsid w:val="00D73669"/>
    <w:rsid w:val="00D932AE"/>
    <w:rsid w:val="00D93699"/>
    <w:rsid w:val="00DA1AA6"/>
    <w:rsid w:val="00DA44F6"/>
    <w:rsid w:val="00DA64BC"/>
    <w:rsid w:val="00DA6DEA"/>
    <w:rsid w:val="00DB0634"/>
    <w:rsid w:val="00DB7687"/>
    <w:rsid w:val="00DC7293"/>
    <w:rsid w:val="00DC73EA"/>
    <w:rsid w:val="00DD0066"/>
    <w:rsid w:val="00DD2527"/>
    <w:rsid w:val="00DE1890"/>
    <w:rsid w:val="00DE3565"/>
    <w:rsid w:val="00DF29A5"/>
    <w:rsid w:val="00E01785"/>
    <w:rsid w:val="00E06E5B"/>
    <w:rsid w:val="00E10DD2"/>
    <w:rsid w:val="00E12334"/>
    <w:rsid w:val="00E257C6"/>
    <w:rsid w:val="00E2761B"/>
    <w:rsid w:val="00E358EB"/>
    <w:rsid w:val="00E3679F"/>
    <w:rsid w:val="00E44E8A"/>
    <w:rsid w:val="00E5111B"/>
    <w:rsid w:val="00E74890"/>
    <w:rsid w:val="00E74D80"/>
    <w:rsid w:val="00E85B1E"/>
    <w:rsid w:val="00E95F2B"/>
    <w:rsid w:val="00EA0931"/>
    <w:rsid w:val="00EA2E35"/>
    <w:rsid w:val="00EA31BC"/>
    <w:rsid w:val="00EA741B"/>
    <w:rsid w:val="00EB273E"/>
    <w:rsid w:val="00EC1BBD"/>
    <w:rsid w:val="00EE13E0"/>
    <w:rsid w:val="00EF46C7"/>
    <w:rsid w:val="00EF49CF"/>
    <w:rsid w:val="00F162D1"/>
    <w:rsid w:val="00F213DD"/>
    <w:rsid w:val="00F23BED"/>
    <w:rsid w:val="00F3197F"/>
    <w:rsid w:val="00F3270C"/>
    <w:rsid w:val="00F347BF"/>
    <w:rsid w:val="00F37BBC"/>
    <w:rsid w:val="00F4017D"/>
    <w:rsid w:val="00F421E4"/>
    <w:rsid w:val="00F469B9"/>
    <w:rsid w:val="00F50E5B"/>
    <w:rsid w:val="00F5226D"/>
    <w:rsid w:val="00F60B65"/>
    <w:rsid w:val="00F62184"/>
    <w:rsid w:val="00F6383C"/>
    <w:rsid w:val="00F66B9B"/>
    <w:rsid w:val="00F71617"/>
    <w:rsid w:val="00F729B4"/>
    <w:rsid w:val="00F75A11"/>
    <w:rsid w:val="00F803C4"/>
    <w:rsid w:val="00F82E03"/>
    <w:rsid w:val="00F82E72"/>
    <w:rsid w:val="00F8435D"/>
    <w:rsid w:val="00F93487"/>
    <w:rsid w:val="00F93624"/>
    <w:rsid w:val="00F940DE"/>
    <w:rsid w:val="00F95E1A"/>
    <w:rsid w:val="00F97D11"/>
    <w:rsid w:val="00FA563A"/>
    <w:rsid w:val="00FB2BB0"/>
    <w:rsid w:val="00FB56DF"/>
    <w:rsid w:val="00FB763A"/>
    <w:rsid w:val="00FC4709"/>
    <w:rsid w:val="00FD23F6"/>
    <w:rsid w:val="00FD4D62"/>
    <w:rsid w:val="00FE381E"/>
    <w:rsid w:val="00FE4064"/>
    <w:rsid w:val="00FE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133C"/>
  <w15:docId w15:val="{5423BA8C-74EA-467B-8907-7B6E591A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styleId="NormalWeb">
    <w:name w:val="Normal (Web)"/>
    <w:basedOn w:val="Normal"/>
    <w:uiPriority w:val="99"/>
    <w:rsid w:val="00F82E72"/>
    <w:pPr>
      <w:spacing w:before="100" w:beforeAutospacing="1" w:after="100" w:afterAutospacing="1"/>
    </w:pPr>
  </w:style>
  <w:style w:type="paragraph" w:customStyle="1" w:styleId="naiskr">
    <w:name w:val="naiskr"/>
    <w:basedOn w:val="Normal"/>
    <w:rsid w:val="00F82E72"/>
    <w:pPr>
      <w:spacing w:before="75" w:after="75"/>
    </w:pPr>
  </w:style>
  <w:style w:type="paragraph" w:customStyle="1" w:styleId="naisc">
    <w:name w:val="naisc"/>
    <w:basedOn w:val="Normal"/>
    <w:rsid w:val="00F82E72"/>
    <w:pPr>
      <w:spacing w:before="75" w:after="75"/>
      <w:jc w:val="center"/>
    </w:pPr>
  </w:style>
  <w:style w:type="paragraph" w:styleId="CommentText">
    <w:name w:val="annotation text"/>
    <w:basedOn w:val="Normal"/>
    <w:link w:val="CommentTextChar"/>
    <w:uiPriority w:val="99"/>
    <w:unhideWhenUsed/>
    <w:rsid w:val="00997894"/>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97894"/>
    <w:rPr>
      <w:lang w:eastAsia="en-US"/>
    </w:rPr>
  </w:style>
  <w:style w:type="character" w:styleId="CommentReference">
    <w:name w:val="annotation reference"/>
    <w:basedOn w:val="DefaultParagraphFont"/>
    <w:uiPriority w:val="99"/>
    <w:semiHidden/>
    <w:unhideWhenUsed/>
    <w:rsid w:val="0084449F"/>
    <w:rPr>
      <w:sz w:val="16"/>
      <w:szCs w:val="16"/>
    </w:rPr>
  </w:style>
  <w:style w:type="paragraph" w:styleId="CommentSubject">
    <w:name w:val="annotation subject"/>
    <w:basedOn w:val="CommentText"/>
    <w:next w:val="CommentText"/>
    <w:link w:val="CommentSubjectChar"/>
    <w:uiPriority w:val="99"/>
    <w:semiHidden/>
    <w:unhideWhenUsed/>
    <w:rsid w:val="0084449F"/>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84449F"/>
    <w:rPr>
      <w:rFonts w:ascii="Times New Roman" w:eastAsia="Times New Roman" w:hAnsi="Times New Roman"/>
      <w:b/>
      <w:bCs/>
      <w:lang w:eastAsia="en-US"/>
    </w:rPr>
  </w:style>
  <w:style w:type="character" w:customStyle="1" w:styleId="Neatrisintapieminana1">
    <w:name w:val="Neatrisināta pieminēšana1"/>
    <w:basedOn w:val="DefaultParagraphFont"/>
    <w:uiPriority w:val="99"/>
    <w:semiHidden/>
    <w:unhideWhenUsed/>
    <w:rsid w:val="005C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zintra.Mergupe-Kutraite@iz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B7C1-2CDB-4D00-9A31-EBF6F6A0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1202</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“Vispārējās izglītības iestāžu un profesionālās  izglītības iestāžu pedagoģiskā procesa un eksaminācijas centru profesionālās  kvalifikācijas ieguves organizēšanai  obligāti nepieciešamā  dokumentācija”</vt:lpstr>
      <vt:lpstr>Ministru kabineta noteikumu projektu “Vispārējās izglītības iestāžu un profesionālās  izglītības iestāžu pedagoģiskā procesa un eksaminācijas centru profesionālās  kvalifikācijas ieguves organizēšanai  obligāti nepieciešamā  dokumentācija”</vt:lpstr>
    </vt:vector>
  </TitlesOfParts>
  <Company> </Company>
  <LinksUpToDate>false</LinksUpToDate>
  <CharactersWithSpaces>8044</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“Vispārējās izglītības iestāžu un profesionālās  izglītības iestāžu pedagoģiskā procesa un eksaminācijas centru profesionālās  kvalifikācijas ieguves organizēšanai  obligāti nepieciešamā  dokumentācija”</dc:title>
  <dc:subject>Izziņa</dc:subject>
  <dc:creator>Dzintra Mergupe-Kutraite</dc:creator>
  <cp:keywords/>
  <dc:description/>
  <cp:lastModifiedBy>Dzintra Mergupe-Kutraite</cp:lastModifiedBy>
  <cp:revision>3</cp:revision>
  <cp:lastPrinted>2015-11-03T08:02:00Z</cp:lastPrinted>
  <dcterms:created xsi:type="dcterms:W3CDTF">2021-07-01T09:24:00Z</dcterms:created>
  <dcterms:modified xsi:type="dcterms:W3CDTF">2021-07-01T09:26:00Z</dcterms:modified>
</cp:coreProperties>
</file>