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1482"/>
      </w:tblGrid>
      <w:tr w:rsidR="003906EA" w:rsidRPr="00304460" w14:paraId="1CF19493" w14:textId="77777777" w:rsidTr="00113F59">
        <w:trPr>
          <w:jc w:val="center"/>
        </w:trPr>
        <w:tc>
          <w:tcPr>
            <w:tcW w:w="11482" w:type="dxa"/>
            <w:tcBorders>
              <w:bottom w:val="single" w:sz="6" w:space="0" w:color="000000"/>
            </w:tcBorders>
          </w:tcPr>
          <w:p w14:paraId="78CAF3A2" w14:textId="5BFD3F19" w:rsidR="00AE73EF" w:rsidRPr="00113F59" w:rsidRDefault="00D04BF4" w:rsidP="00113F59">
            <w:pPr>
              <w:jc w:val="center"/>
              <w:rPr>
                <w:rFonts w:ascii="Times New Roman" w:hAnsi="Times New Roman" w:cs="Times New Roman"/>
                <w:sz w:val="24"/>
                <w:szCs w:val="24"/>
                <w:lang w:val="lv-LV"/>
              </w:rPr>
            </w:pPr>
            <w:r w:rsidRPr="00113F59">
              <w:rPr>
                <w:rFonts w:ascii="Times New Roman" w:hAnsi="Times New Roman" w:cs="Times New Roman"/>
                <w:sz w:val="24"/>
                <w:szCs w:val="24"/>
                <w:lang w:val="lv-LV" w:eastAsia="lv-LV"/>
              </w:rPr>
              <w:t xml:space="preserve">Izziņa </w:t>
            </w:r>
            <w:r w:rsidR="00AE73EF" w:rsidRPr="00113F59">
              <w:rPr>
                <w:rFonts w:ascii="Times New Roman" w:hAnsi="Times New Roman" w:cs="Times New Roman"/>
                <w:sz w:val="24"/>
                <w:szCs w:val="24"/>
                <w:lang w:val="lv-LV" w:eastAsia="lv-LV"/>
              </w:rPr>
              <w:t xml:space="preserve">par </w:t>
            </w:r>
            <w:r w:rsidRPr="00113F59">
              <w:rPr>
                <w:rFonts w:ascii="Times New Roman" w:hAnsi="Times New Roman" w:cs="Times New Roman"/>
                <w:sz w:val="24"/>
                <w:szCs w:val="24"/>
                <w:lang w:val="lv-LV" w:eastAsia="lv-LV"/>
              </w:rPr>
              <w:t xml:space="preserve">atzinumos sniegtajiem </w:t>
            </w:r>
            <w:r w:rsidR="00A902A1" w:rsidRPr="00113F59">
              <w:rPr>
                <w:rFonts w:ascii="Times New Roman" w:hAnsi="Times New Roman" w:cs="Times New Roman"/>
                <w:sz w:val="24"/>
                <w:szCs w:val="24"/>
                <w:lang w:val="lv-LV" w:eastAsia="lv-LV"/>
              </w:rPr>
              <w:t xml:space="preserve">komentāriem </w:t>
            </w:r>
            <w:r w:rsidRPr="00113F59">
              <w:rPr>
                <w:rFonts w:ascii="Times New Roman" w:hAnsi="Times New Roman" w:cs="Times New Roman"/>
                <w:sz w:val="24"/>
                <w:szCs w:val="24"/>
                <w:lang w:val="lv-LV" w:eastAsia="lv-LV"/>
              </w:rPr>
              <w:t xml:space="preserve">par </w:t>
            </w:r>
            <w:r w:rsidR="00AE73EF" w:rsidRPr="00113F59">
              <w:rPr>
                <w:rFonts w:ascii="Times New Roman" w:hAnsi="Times New Roman" w:cs="Times New Roman"/>
                <w:sz w:val="24"/>
                <w:szCs w:val="24"/>
                <w:lang w:val="lv-LV" w:eastAsia="lv-LV"/>
              </w:rPr>
              <w:t>Ministru kabineta noteikumu projektu „</w:t>
            </w:r>
            <w:r w:rsidR="00113F59" w:rsidRPr="00113F59">
              <w:rPr>
                <w:rFonts w:ascii="Times New Roman" w:hAnsi="Times New Roman" w:cs="Times New Roman"/>
                <w:sz w:val="24"/>
                <w:szCs w:val="24"/>
                <w:lang w:val="lv-LV"/>
              </w:rPr>
              <w:t xml:space="preserve">Grozījumi Ministru kabineta 2016. gada 7. jūnija noteikumos Nr. 359 "Darbības programmas "Izaugsme un nodarbinātība" 8.3.5. specifiskā atbalsta mērķa "Uzlabot pieeju karjeras atbalstam izglītojamajiem vispārējās un profesionālās izglītības iestādēs" īstenošanas noteikumi" un </w:t>
            </w:r>
            <w:r w:rsidR="00E659F2" w:rsidRPr="00113F59">
              <w:rPr>
                <w:rFonts w:ascii="Times New Roman" w:hAnsi="Times New Roman" w:cs="Times New Roman"/>
                <w:sz w:val="24"/>
                <w:szCs w:val="24"/>
                <w:lang w:val="lv-LV" w:eastAsia="lv-LV"/>
              </w:rPr>
              <w:t xml:space="preserve">tā </w:t>
            </w:r>
            <w:r w:rsidR="00AE73EF" w:rsidRPr="00113F59">
              <w:rPr>
                <w:rFonts w:ascii="Times New Roman" w:hAnsi="Times New Roman" w:cs="Times New Roman"/>
                <w:sz w:val="24"/>
                <w:szCs w:val="24"/>
                <w:lang w:val="lv-LV" w:eastAsia="lv-LV"/>
              </w:rPr>
              <w:t>sākotnējās ietekmes novērtējuma ziņojumu (anotāciju)</w:t>
            </w:r>
          </w:p>
        </w:tc>
      </w:tr>
    </w:tbl>
    <w:p w14:paraId="7ADD95A7" w14:textId="77777777" w:rsidR="00AE73EF" w:rsidRPr="00304460"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(dokumenta veids un nosaukums)</w:t>
      </w:r>
    </w:p>
    <w:p w14:paraId="21C32819" w14:textId="77777777" w:rsidR="00AE73EF" w:rsidRPr="00304460"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304460"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790"/>
        <w:gridCol w:w="3367"/>
        <w:gridCol w:w="2605"/>
        <w:gridCol w:w="3489"/>
        <w:gridCol w:w="2073"/>
      </w:tblGrid>
      <w:tr w:rsidR="003906EA" w:rsidRPr="00304460" w14:paraId="10280AFD" w14:textId="77777777" w:rsidTr="001F3ED3">
        <w:trPr>
          <w:trHeight w:val="1230"/>
        </w:trPr>
        <w:tc>
          <w:tcPr>
            <w:tcW w:w="184" w:type="pct"/>
            <w:vAlign w:val="center"/>
          </w:tcPr>
          <w:p w14:paraId="51B87B60"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304460">
              <w:rPr>
                <w:rFonts w:ascii="Times New Roman" w:eastAsia="Times New Roman" w:hAnsi="Times New Roman" w:cs="Times New Roman"/>
                <w:sz w:val="24"/>
                <w:szCs w:val="24"/>
                <w:lang w:val="lv-LV" w:eastAsia="lv-LV"/>
              </w:rPr>
              <w:t>Nr.p.k</w:t>
            </w:r>
            <w:proofErr w:type="spellEnd"/>
            <w:r w:rsidRPr="00304460">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1132" w:type="pct"/>
            <w:vAlign w:val="center"/>
          </w:tcPr>
          <w:p w14:paraId="238DBB45"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876" w:type="pct"/>
            <w:vAlign w:val="center"/>
          </w:tcPr>
          <w:p w14:paraId="0F5619EA"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Atbildīgās ministrijas pamatojums iebilduma noraidījumam</w:t>
            </w:r>
          </w:p>
        </w:tc>
        <w:tc>
          <w:tcPr>
            <w:tcW w:w="1173" w:type="pct"/>
          </w:tcPr>
          <w:p w14:paraId="752CE34C"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697" w:type="pct"/>
            <w:vAlign w:val="center"/>
          </w:tcPr>
          <w:p w14:paraId="5618CAC7"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Projekta attiecīgā punkta (panta) galīgā redakcija</w:t>
            </w:r>
          </w:p>
        </w:tc>
      </w:tr>
      <w:tr w:rsidR="003906EA" w:rsidRPr="00304460" w14:paraId="42A44CCB" w14:textId="77777777" w:rsidTr="001F3ED3">
        <w:trPr>
          <w:trHeight w:val="285"/>
        </w:trPr>
        <w:tc>
          <w:tcPr>
            <w:tcW w:w="184" w:type="pct"/>
            <w:vAlign w:val="center"/>
          </w:tcPr>
          <w:p w14:paraId="6B3A4574"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2.</w:t>
            </w:r>
          </w:p>
        </w:tc>
        <w:tc>
          <w:tcPr>
            <w:tcW w:w="1132" w:type="pct"/>
            <w:vAlign w:val="center"/>
          </w:tcPr>
          <w:p w14:paraId="2580E9D3"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3.</w:t>
            </w:r>
          </w:p>
        </w:tc>
        <w:tc>
          <w:tcPr>
            <w:tcW w:w="876" w:type="pct"/>
            <w:vAlign w:val="center"/>
          </w:tcPr>
          <w:p w14:paraId="5D9710D4"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4.</w:t>
            </w:r>
          </w:p>
        </w:tc>
        <w:tc>
          <w:tcPr>
            <w:tcW w:w="1173" w:type="pct"/>
          </w:tcPr>
          <w:p w14:paraId="076D724E"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5.</w:t>
            </w:r>
          </w:p>
        </w:tc>
        <w:tc>
          <w:tcPr>
            <w:tcW w:w="697" w:type="pct"/>
            <w:vAlign w:val="center"/>
          </w:tcPr>
          <w:p w14:paraId="0CC6D349"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6.</w:t>
            </w:r>
          </w:p>
        </w:tc>
      </w:tr>
      <w:tr w:rsidR="003906EA" w:rsidRPr="00304460" w14:paraId="64873B7A" w14:textId="77777777" w:rsidTr="001F3ED3">
        <w:trPr>
          <w:trHeight w:val="475"/>
        </w:trPr>
        <w:tc>
          <w:tcPr>
            <w:tcW w:w="184" w:type="pct"/>
          </w:tcPr>
          <w:p w14:paraId="3422E735"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1.</w:t>
            </w:r>
          </w:p>
        </w:tc>
        <w:tc>
          <w:tcPr>
            <w:tcW w:w="938" w:type="pct"/>
          </w:tcPr>
          <w:p w14:paraId="3A0C9F77" w14:textId="77777777" w:rsidR="00AE73EF" w:rsidRPr="00304460"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c>
          <w:tcPr>
            <w:tcW w:w="1132" w:type="pct"/>
          </w:tcPr>
          <w:p w14:paraId="114E6F73" w14:textId="77777777" w:rsidR="00AE73EF" w:rsidRPr="00304460"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c>
          <w:tcPr>
            <w:tcW w:w="876" w:type="pct"/>
          </w:tcPr>
          <w:p w14:paraId="091652BE"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c>
          <w:tcPr>
            <w:tcW w:w="1173" w:type="pct"/>
          </w:tcPr>
          <w:p w14:paraId="3870ECD6" w14:textId="77777777" w:rsidR="00AE73EF" w:rsidRPr="00304460"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c>
          <w:tcPr>
            <w:tcW w:w="697" w:type="pct"/>
          </w:tcPr>
          <w:p w14:paraId="5F3A8EDA"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r>
    </w:tbl>
    <w:p w14:paraId="3301A1F2" w14:textId="77777777" w:rsidR="00AE73EF" w:rsidRPr="00304460"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304460"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t xml:space="preserve">Informācija par </w:t>
      </w:r>
      <w:proofErr w:type="spellStart"/>
      <w:r w:rsidRPr="00304460">
        <w:rPr>
          <w:rFonts w:ascii="Times New Roman" w:eastAsia="Times New Roman" w:hAnsi="Times New Roman" w:cs="Times New Roman"/>
          <w:b/>
          <w:sz w:val="24"/>
          <w:szCs w:val="24"/>
          <w:lang w:val="lv-LV" w:eastAsia="lv-LV"/>
        </w:rPr>
        <w:t>starpministriju</w:t>
      </w:r>
      <w:proofErr w:type="spellEnd"/>
      <w:r w:rsidRPr="00304460">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304460"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304460" w14:paraId="28C1FF02" w14:textId="77777777" w:rsidTr="00391F5B">
        <w:tc>
          <w:tcPr>
            <w:tcW w:w="5637" w:type="dxa"/>
          </w:tcPr>
          <w:p w14:paraId="022E46D3" w14:textId="77777777" w:rsidR="00AE73EF" w:rsidRPr="00304460" w:rsidRDefault="00AE73EF" w:rsidP="00AE73EF">
            <w:pPr>
              <w:spacing w:after="0" w:line="240" w:lineRule="auto"/>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24BE98BA"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p>
        </w:tc>
      </w:tr>
      <w:tr w:rsidR="003906EA" w:rsidRPr="00304460" w14:paraId="527CB65B" w14:textId="77777777" w:rsidTr="00391F5B">
        <w:tc>
          <w:tcPr>
            <w:tcW w:w="5637" w:type="dxa"/>
          </w:tcPr>
          <w:p w14:paraId="3560BEDA" w14:textId="77777777" w:rsidR="00AE73EF" w:rsidRPr="00304460"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304460"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304460" w14:paraId="3C6BAC9F" w14:textId="77777777" w:rsidTr="00391F5B">
        <w:tc>
          <w:tcPr>
            <w:tcW w:w="5637" w:type="dxa"/>
          </w:tcPr>
          <w:p w14:paraId="156CA671" w14:textId="77777777"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4B78B61C" w:rsidR="00AE73EF" w:rsidRPr="00304460" w:rsidRDefault="00714499" w:rsidP="00113F5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 xml:space="preserve">Tieslietu </w:t>
            </w:r>
            <w:r w:rsidR="00A52420" w:rsidRPr="00304460">
              <w:rPr>
                <w:rFonts w:ascii="Times New Roman" w:eastAsia="Times New Roman" w:hAnsi="Times New Roman" w:cs="Times New Roman"/>
                <w:sz w:val="24"/>
                <w:szCs w:val="24"/>
                <w:lang w:val="lv-LV" w:eastAsia="lv-LV"/>
              </w:rPr>
              <w:t>ministrija, Finanšu ministrija</w:t>
            </w:r>
            <w:r w:rsidR="00D773C8" w:rsidRPr="00304460">
              <w:rPr>
                <w:rFonts w:ascii="Times New Roman" w:eastAsia="Times New Roman" w:hAnsi="Times New Roman" w:cs="Times New Roman"/>
                <w:sz w:val="24"/>
                <w:szCs w:val="24"/>
                <w:lang w:val="lv-LV" w:eastAsia="lv-LV"/>
              </w:rPr>
              <w:t xml:space="preserve">, </w:t>
            </w:r>
            <w:r w:rsidR="00113F59">
              <w:rPr>
                <w:rFonts w:ascii="Times New Roman" w:eastAsia="Times New Roman" w:hAnsi="Times New Roman" w:cs="Times New Roman"/>
                <w:sz w:val="24"/>
                <w:szCs w:val="24"/>
                <w:lang w:val="lv-LV" w:eastAsia="lv-LV"/>
              </w:rPr>
              <w:t>Latvijas Pašvaldību savienība</w:t>
            </w:r>
          </w:p>
        </w:tc>
      </w:tr>
      <w:tr w:rsidR="003906EA" w:rsidRPr="00304460" w14:paraId="4D42A07E" w14:textId="77777777" w:rsidTr="00391F5B">
        <w:trPr>
          <w:trHeight w:val="285"/>
        </w:trPr>
        <w:tc>
          <w:tcPr>
            <w:tcW w:w="5637" w:type="dxa"/>
          </w:tcPr>
          <w:p w14:paraId="09CA3152" w14:textId="41AB7011" w:rsidR="00AE73EF" w:rsidRPr="00304460"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304460"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304460"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304460" w14:paraId="34AAB01F" w14:textId="77777777" w:rsidTr="00391F5B">
        <w:trPr>
          <w:trHeight w:val="285"/>
        </w:trPr>
        <w:tc>
          <w:tcPr>
            <w:tcW w:w="5637" w:type="dxa"/>
          </w:tcPr>
          <w:p w14:paraId="1013E26F" w14:textId="77777777"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304460"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37EB99DC" w:rsidR="00AE73EF" w:rsidRPr="00304460"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Finanšu ministrija</w:t>
            </w:r>
          </w:p>
        </w:tc>
      </w:tr>
      <w:tr w:rsidR="003906EA" w:rsidRPr="00304460" w14:paraId="552458A2" w14:textId="77777777" w:rsidTr="00391F5B">
        <w:tc>
          <w:tcPr>
            <w:tcW w:w="5637" w:type="dxa"/>
          </w:tcPr>
          <w:p w14:paraId="13335375" w14:textId="77777777"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304460"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p>
    <w:p w14:paraId="7E6FD503" w14:textId="647A4FAE" w:rsidR="001F3ED3" w:rsidRPr="00304460" w:rsidRDefault="001F3ED3" w:rsidP="00AE73EF">
      <w:pPr>
        <w:spacing w:after="0" w:line="240" w:lineRule="auto"/>
        <w:rPr>
          <w:rFonts w:ascii="Times New Roman" w:eastAsia="Times New Roman" w:hAnsi="Times New Roman" w:cs="Times New Roman"/>
          <w:sz w:val="24"/>
          <w:szCs w:val="24"/>
          <w:lang w:val="lv-LV" w:eastAsia="lv-LV"/>
        </w:rPr>
      </w:pPr>
    </w:p>
    <w:p w14:paraId="434FC058" w14:textId="6592CCA7" w:rsidR="003F1590" w:rsidRDefault="003F1590" w:rsidP="00AE73EF">
      <w:pPr>
        <w:spacing w:after="0" w:line="240" w:lineRule="auto"/>
        <w:rPr>
          <w:rFonts w:ascii="Times New Roman" w:eastAsia="Times New Roman" w:hAnsi="Times New Roman" w:cs="Times New Roman"/>
          <w:sz w:val="24"/>
          <w:szCs w:val="24"/>
          <w:lang w:val="lv-LV" w:eastAsia="lv-LV"/>
        </w:rPr>
      </w:pPr>
    </w:p>
    <w:p w14:paraId="53EC79BC" w14:textId="77777777" w:rsidR="00386103" w:rsidRDefault="00386103" w:rsidP="00AE73EF">
      <w:pPr>
        <w:spacing w:after="0" w:line="240" w:lineRule="auto"/>
        <w:rPr>
          <w:rFonts w:ascii="Times New Roman" w:eastAsia="Times New Roman" w:hAnsi="Times New Roman" w:cs="Times New Roman"/>
          <w:sz w:val="24"/>
          <w:szCs w:val="24"/>
          <w:lang w:val="lv-LV" w:eastAsia="lv-LV"/>
        </w:rPr>
      </w:pPr>
      <w:bookmarkStart w:id="0" w:name="_GoBack"/>
      <w:bookmarkEnd w:id="0"/>
    </w:p>
    <w:p w14:paraId="32070C5F" w14:textId="77777777" w:rsidR="00386103" w:rsidRPr="00304460" w:rsidRDefault="00386103" w:rsidP="00AE73EF">
      <w:pPr>
        <w:spacing w:after="0" w:line="240" w:lineRule="auto"/>
        <w:rPr>
          <w:rFonts w:ascii="Times New Roman" w:eastAsia="Times New Roman" w:hAnsi="Times New Roman" w:cs="Times New Roman"/>
          <w:sz w:val="24"/>
          <w:szCs w:val="24"/>
          <w:lang w:val="lv-LV" w:eastAsia="lv-LV"/>
        </w:rPr>
      </w:pPr>
    </w:p>
    <w:p w14:paraId="4BC216F5" w14:textId="77777777" w:rsidR="003F1590" w:rsidRPr="00304460" w:rsidRDefault="003F1590" w:rsidP="00AE73EF">
      <w:pPr>
        <w:spacing w:after="0" w:line="240" w:lineRule="auto"/>
        <w:rPr>
          <w:rFonts w:ascii="Times New Roman" w:eastAsia="Times New Roman" w:hAnsi="Times New Roman" w:cs="Times New Roman"/>
          <w:sz w:val="24"/>
          <w:szCs w:val="24"/>
          <w:lang w:val="lv-LV" w:eastAsia="lv-LV"/>
        </w:rPr>
      </w:pPr>
    </w:p>
    <w:p w14:paraId="234BDF29" w14:textId="77777777" w:rsidR="001F3ED3" w:rsidRPr="00304460" w:rsidRDefault="001F3ED3"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304460" w:rsidRDefault="00AE73EF" w:rsidP="00AE73EF">
      <w:pPr>
        <w:spacing w:after="0" w:line="240" w:lineRule="auto"/>
        <w:jc w:val="center"/>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546"/>
        <w:gridCol w:w="4428"/>
        <w:gridCol w:w="3312"/>
        <w:gridCol w:w="3810"/>
      </w:tblGrid>
      <w:tr w:rsidR="003906EA" w:rsidRPr="00304460" w14:paraId="17163A59" w14:textId="77777777" w:rsidTr="0034135A">
        <w:tc>
          <w:tcPr>
            <w:tcW w:w="959" w:type="dxa"/>
            <w:vAlign w:val="center"/>
          </w:tcPr>
          <w:p w14:paraId="2BD677C0"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proofErr w:type="spellStart"/>
            <w:r w:rsidRPr="00304460">
              <w:rPr>
                <w:rFonts w:ascii="Times New Roman" w:eastAsia="Times New Roman" w:hAnsi="Times New Roman" w:cs="Times New Roman"/>
                <w:sz w:val="24"/>
                <w:szCs w:val="24"/>
                <w:lang w:val="lv-LV" w:eastAsia="lv-LV"/>
              </w:rPr>
              <w:t>Nr.p.k</w:t>
            </w:r>
            <w:proofErr w:type="spellEnd"/>
            <w:r w:rsidRPr="00304460">
              <w:rPr>
                <w:rFonts w:ascii="Times New Roman" w:eastAsia="Times New Roman" w:hAnsi="Times New Roman" w:cs="Times New Roman"/>
                <w:sz w:val="24"/>
                <w:szCs w:val="24"/>
                <w:lang w:val="lv-LV" w:eastAsia="lv-LV"/>
              </w:rPr>
              <w:t>.</w:t>
            </w:r>
          </w:p>
        </w:tc>
        <w:tc>
          <w:tcPr>
            <w:tcW w:w="2546" w:type="dxa"/>
            <w:vAlign w:val="center"/>
          </w:tcPr>
          <w:p w14:paraId="5DBCC888"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p>
        </w:tc>
        <w:tc>
          <w:tcPr>
            <w:tcW w:w="4428" w:type="dxa"/>
            <w:vAlign w:val="center"/>
          </w:tcPr>
          <w:p w14:paraId="15DCF8C9"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312" w:type="dxa"/>
            <w:vAlign w:val="center"/>
          </w:tcPr>
          <w:p w14:paraId="5940F7AE"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10" w:type="dxa"/>
            <w:vAlign w:val="center"/>
          </w:tcPr>
          <w:p w14:paraId="2C6AC50C"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Projekta attiecīgā punkta (panta) galīgā redakcija</w:t>
            </w:r>
          </w:p>
        </w:tc>
      </w:tr>
      <w:tr w:rsidR="003906EA" w:rsidRPr="00304460" w14:paraId="7CBE62B6" w14:textId="77777777" w:rsidTr="0034135A">
        <w:trPr>
          <w:trHeight w:val="275"/>
        </w:trPr>
        <w:tc>
          <w:tcPr>
            <w:tcW w:w="959" w:type="dxa"/>
          </w:tcPr>
          <w:p w14:paraId="4AC92BC4" w14:textId="77777777" w:rsidR="00AE73EF" w:rsidRPr="00304460" w:rsidRDefault="00AE73EF"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1</w:t>
            </w:r>
          </w:p>
        </w:tc>
        <w:tc>
          <w:tcPr>
            <w:tcW w:w="2546" w:type="dxa"/>
          </w:tcPr>
          <w:p w14:paraId="22A0EA54" w14:textId="77777777" w:rsidR="00AE73EF" w:rsidRPr="00304460" w:rsidRDefault="00AE73EF" w:rsidP="00047649">
            <w:pPr>
              <w:tabs>
                <w:tab w:val="center" w:pos="1055"/>
              </w:tabs>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2</w:t>
            </w:r>
          </w:p>
        </w:tc>
        <w:tc>
          <w:tcPr>
            <w:tcW w:w="4428" w:type="dxa"/>
          </w:tcPr>
          <w:p w14:paraId="124A501E" w14:textId="77777777" w:rsidR="00AE73EF" w:rsidRPr="00304460" w:rsidRDefault="00AE73EF"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3</w:t>
            </w:r>
          </w:p>
        </w:tc>
        <w:tc>
          <w:tcPr>
            <w:tcW w:w="3312" w:type="dxa"/>
          </w:tcPr>
          <w:p w14:paraId="47F039D5" w14:textId="77777777" w:rsidR="00AE73EF" w:rsidRPr="00304460" w:rsidRDefault="00AE73EF"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4</w:t>
            </w:r>
          </w:p>
        </w:tc>
        <w:tc>
          <w:tcPr>
            <w:tcW w:w="3810" w:type="dxa"/>
          </w:tcPr>
          <w:p w14:paraId="65E77D4A" w14:textId="77777777" w:rsidR="00AE73EF" w:rsidRPr="00304460" w:rsidRDefault="00AE73EF"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5</w:t>
            </w:r>
          </w:p>
        </w:tc>
      </w:tr>
      <w:tr w:rsidR="003F1590" w:rsidRPr="00304460" w14:paraId="3E08ABF1" w14:textId="77777777" w:rsidTr="0034135A">
        <w:trPr>
          <w:trHeight w:val="275"/>
        </w:trPr>
        <w:tc>
          <w:tcPr>
            <w:tcW w:w="959" w:type="dxa"/>
          </w:tcPr>
          <w:p w14:paraId="30076742" w14:textId="1B20352F" w:rsidR="003F1590" w:rsidRPr="00304460" w:rsidRDefault="003F1590"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1.</w:t>
            </w:r>
          </w:p>
        </w:tc>
        <w:tc>
          <w:tcPr>
            <w:tcW w:w="2546" w:type="dxa"/>
          </w:tcPr>
          <w:p w14:paraId="271123A6" w14:textId="6795ECFE" w:rsidR="003F1590" w:rsidRPr="00304460" w:rsidRDefault="00304460" w:rsidP="00BF4D44">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Vispārīgs komentārs</w:t>
            </w:r>
          </w:p>
        </w:tc>
        <w:tc>
          <w:tcPr>
            <w:tcW w:w="4428" w:type="dxa"/>
          </w:tcPr>
          <w:p w14:paraId="6C05D38E" w14:textId="77777777" w:rsidR="00FC3743" w:rsidRPr="00FC3743" w:rsidRDefault="00FC3743" w:rsidP="00FC3743">
            <w:pPr>
              <w:spacing w:after="0" w:line="240" w:lineRule="auto"/>
              <w:jc w:val="both"/>
              <w:rPr>
                <w:rFonts w:ascii="Times New Roman" w:hAnsi="Times New Roman" w:cs="Times New Roman"/>
                <w:sz w:val="24"/>
                <w:szCs w:val="24"/>
                <w:lang w:val="lv-LV"/>
              </w:rPr>
            </w:pPr>
            <w:r w:rsidRPr="00FC3743">
              <w:rPr>
                <w:rFonts w:ascii="Times New Roman" w:hAnsi="Times New Roman" w:cs="Times New Roman"/>
                <w:sz w:val="24"/>
                <w:szCs w:val="24"/>
                <w:lang w:val="lv-LV"/>
              </w:rPr>
              <w:t>1.</w:t>
            </w:r>
            <w:r w:rsidRPr="00FC3743">
              <w:rPr>
                <w:rFonts w:ascii="Times New Roman" w:hAnsi="Times New Roman" w:cs="Times New Roman"/>
                <w:sz w:val="24"/>
                <w:szCs w:val="24"/>
                <w:lang w:val="lv-LV"/>
              </w:rPr>
              <w:tab/>
              <w:t xml:space="preserve">Ņemot vērā MK 2020.gada 22.septembra sēdes </w:t>
            </w:r>
            <w:proofErr w:type="spellStart"/>
            <w:r w:rsidRPr="00FC3743">
              <w:rPr>
                <w:rFonts w:ascii="Times New Roman" w:hAnsi="Times New Roman" w:cs="Times New Roman"/>
                <w:sz w:val="24"/>
                <w:szCs w:val="24"/>
                <w:lang w:val="lv-LV"/>
              </w:rPr>
              <w:t>protokollēmuma</w:t>
            </w:r>
            <w:proofErr w:type="spellEnd"/>
            <w:r w:rsidRPr="00FC3743">
              <w:rPr>
                <w:rFonts w:ascii="Times New Roman" w:hAnsi="Times New Roman" w:cs="Times New Roman"/>
                <w:sz w:val="24"/>
                <w:szCs w:val="24"/>
                <w:lang w:val="lv-LV"/>
              </w:rPr>
              <w:t xml:space="preserve"> Nr. 55 30. paragrāfa (turpmāk – protokols Nr.55; 30.§) 2.1. un 2.2. apakšpunktā noteikto atrunu par Eiropas Savienības struktūrfondu un Kohēzijas fonda (turpmāk – ES fondi) ietaupījumu </w:t>
            </w:r>
            <w:proofErr w:type="spellStart"/>
            <w:r w:rsidRPr="00FC3743">
              <w:rPr>
                <w:rFonts w:ascii="Times New Roman" w:hAnsi="Times New Roman" w:cs="Times New Roman"/>
                <w:sz w:val="24"/>
                <w:szCs w:val="24"/>
                <w:lang w:val="lv-LV"/>
              </w:rPr>
              <w:t>reciklēšanas</w:t>
            </w:r>
            <w:proofErr w:type="spellEnd"/>
            <w:r w:rsidRPr="00FC3743">
              <w:rPr>
                <w:rFonts w:ascii="Times New Roman" w:hAnsi="Times New Roman" w:cs="Times New Roman"/>
                <w:sz w:val="24"/>
                <w:szCs w:val="24"/>
                <w:lang w:val="lv-LV"/>
              </w:rPr>
              <w:t xml:space="preserve"> aizliegumu, lai nodrošinātu </w:t>
            </w:r>
            <w:proofErr w:type="spellStart"/>
            <w:r w:rsidRPr="00FC3743">
              <w:rPr>
                <w:rFonts w:ascii="Times New Roman" w:hAnsi="Times New Roman" w:cs="Times New Roman"/>
                <w:sz w:val="24"/>
                <w:szCs w:val="24"/>
                <w:lang w:val="lv-LV"/>
              </w:rPr>
              <w:t>virssaistību</w:t>
            </w:r>
            <w:proofErr w:type="spellEnd"/>
            <w:r w:rsidRPr="00FC3743">
              <w:rPr>
                <w:rFonts w:ascii="Times New Roman" w:hAnsi="Times New Roman" w:cs="Times New Roman"/>
                <w:sz w:val="24"/>
                <w:szCs w:val="24"/>
                <w:lang w:val="lv-LV"/>
              </w:rPr>
              <w:t xml:space="preserve"> neitrālu ietekmi uz valsts budžetu, jautājums par projekta Nr. 8.4.1.0/16/I/001 “Nodarbināto personu profesionālās kompetences pilnveide” ietaupījumu pārdali uz projektu Nr. 8.3.5.0/16/I/001 “Karjeras atbalsts vispārējās un profesionālās izglītības iestādēs” skatāms kontekstā ar potenciālo slogu valsts budžetam gadījumā, ja Eiropas Sociālā fonda (turpmāk – ESF) </w:t>
            </w:r>
            <w:proofErr w:type="spellStart"/>
            <w:r w:rsidRPr="00FC3743">
              <w:rPr>
                <w:rFonts w:ascii="Times New Roman" w:hAnsi="Times New Roman" w:cs="Times New Roman"/>
                <w:sz w:val="24"/>
                <w:szCs w:val="24"/>
                <w:lang w:val="lv-LV"/>
              </w:rPr>
              <w:t>virssaistības</w:t>
            </w:r>
            <w:proofErr w:type="spellEnd"/>
            <w:r w:rsidRPr="00FC3743">
              <w:rPr>
                <w:rFonts w:ascii="Times New Roman" w:hAnsi="Times New Roman" w:cs="Times New Roman"/>
                <w:sz w:val="24"/>
                <w:szCs w:val="24"/>
                <w:lang w:val="lv-LV"/>
              </w:rPr>
              <w:t xml:space="preserve"> tiktu pārceltas uz REACT-EU. Tādējādi gala lēmums par ESF atlikumu pārdali tiks pieņemts tajā brīdī, kad būs apzināti visi riski un MK apstiprināti darbības programmas “Izaugsme un nodarbinātība” (turpmāk – DP) grozījumi par REACT-EU finansējuma piesaisti (turpmāk – DP grozījumi Nr. 7 par REACT-EU).</w:t>
            </w:r>
          </w:p>
          <w:p w14:paraId="57915485" w14:textId="3691D65D" w:rsidR="003F1590" w:rsidRPr="00304460" w:rsidRDefault="00FC3743" w:rsidP="00FC3743">
            <w:pPr>
              <w:spacing w:after="0" w:line="240" w:lineRule="auto"/>
              <w:jc w:val="both"/>
              <w:rPr>
                <w:rFonts w:ascii="Times New Roman" w:hAnsi="Times New Roman" w:cs="Times New Roman"/>
                <w:sz w:val="24"/>
                <w:szCs w:val="24"/>
                <w:lang w:val="lv-LV"/>
              </w:rPr>
            </w:pPr>
            <w:r w:rsidRPr="00FC3743">
              <w:rPr>
                <w:rFonts w:ascii="Times New Roman" w:hAnsi="Times New Roman" w:cs="Times New Roman"/>
                <w:sz w:val="24"/>
                <w:szCs w:val="24"/>
                <w:lang w:val="lv-LV"/>
              </w:rPr>
              <w:lastRenderedPageBreak/>
              <w:t xml:space="preserve">Līdz ar to FM kā ES fondu vadošā iestāde (turpmāk – vadošā iestāde) aicina IZM pagaidām nevirzīt tālākai skaņošanai noteikumu projektu un sagaidīt DP grozījumu Nr. 7 par REACT-EU apstiprināšanu MK. Informējam, ka vienlaikus ar MK lēmumu par DP grozījumu Nr. 7 par REACT-EU apstiprināšanu (ja esošās ESF </w:t>
            </w:r>
            <w:proofErr w:type="spellStart"/>
            <w:r w:rsidRPr="00FC3743">
              <w:rPr>
                <w:rFonts w:ascii="Times New Roman" w:hAnsi="Times New Roman" w:cs="Times New Roman"/>
                <w:sz w:val="24"/>
                <w:szCs w:val="24"/>
                <w:lang w:val="lv-LV"/>
              </w:rPr>
              <w:t>virssaistības</w:t>
            </w:r>
            <w:proofErr w:type="spellEnd"/>
            <w:r w:rsidRPr="00FC3743">
              <w:rPr>
                <w:rFonts w:ascii="Times New Roman" w:hAnsi="Times New Roman" w:cs="Times New Roman"/>
                <w:sz w:val="24"/>
                <w:szCs w:val="24"/>
                <w:lang w:val="lv-LV"/>
              </w:rPr>
              <w:t xml:space="preserve"> tiks pārceltas uz REACT–EU), no vadošās iestādes puses plānojam MK </w:t>
            </w:r>
            <w:proofErr w:type="spellStart"/>
            <w:r w:rsidRPr="00FC3743">
              <w:rPr>
                <w:rFonts w:ascii="Times New Roman" w:hAnsi="Times New Roman" w:cs="Times New Roman"/>
                <w:sz w:val="24"/>
                <w:szCs w:val="24"/>
                <w:lang w:val="lv-LV"/>
              </w:rPr>
              <w:t>protokollēmuma</w:t>
            </w:r>
            <w:proofErr w:type="spellEnd"/>
            <w:r w:rsidRPr="00FC3743">
              <w:rPr>
                <w:rFonts w:ascii="Times New Roman" w:hAnsi="Times New Roman" w:cs="Times New Roman"/>
                <w:sz w:val="24"/>
                <w:szCs w:val="24"/>
                <w:lang w:val="lv-LV"/>
              </w:rPr>
              <w:t xml:space="preserve"> projektā rosināt atcelt  MK protokola Nr. 55 30.§) 2.1. un 2.2. apakšpunktā noteiktos ESF atlikumu </w:t>
            </w:r>
            <w:proofErr w:type="spellStart"/>
            <w:r w:rsidRPr="00FC3743">
              <w:rPr>
                <w:rFonts w:ascii="Times New Roman" w:hAnsi="Times New Roman" w:cs="Times New Roman"/>
                <w:sz w:val="24"/>
                <w:szCs w:val="24"/>
                <w:lang w:val="lv-LV"/>
              </w:rPr>
              <w:t>reciklēšanas</w:t>
            </w:r>
            <w:proofErr w:type="spellEnd"/>
            <w:r w:rsidRPr="00FC3743">
              <w:rPr>
                <w:rFonts w:ascii="Times New Roman" w:hAnsi="Times New Roman" w:cs="Times New Roman"/>
                <w:sz w:val="24"/>
                <w:szCs w:val="24"/>
                <w:lang w:val="lv-LV"/>
              </w:rPr>
              <w:t xml:space="preserve"> ierobežojumus</w:t>
            </w:r>
          </w:p>
        </w:tc>
        <w:tc>
          <w:tcPr>
            <w:tcW w:w="3312" w:type="dxa"/>
          </w:tcPr>
          <w:p w14:paraId="7DB1A9DB" w14:textId="77777777" w:rsidR="003F1590" w:rsidRDefault="003F1590" w:rsidP="00047649">
            <w:pPr>
              <w:spacing w:after="0" w:line="240" w:lineRule="auto"/>
              <w:jc w:val="both"/>
              <w:rPr>
                <w:rFonts w:ascii="Times New Roman" w:hAnsi="Times New Roman" w:cs="Times New Roman"/>
                <w:b/>
                <w:sz w:val="24"/>
                <w:szCs w:val="24"/>
                <w:lang w:val="lv-LV"/>
              </w:rPr>
            </w:pPr>
            <w:r w:rsidRPr="00304460">
              <w:rPr>
                <w:rFonts w:ascii="Times New Roman" w:hAnsi="Times New Roman" w:cs="Times New Roman"/>
                <w:b/>
                <w:sz w:val="24"/>
                <w:szCs w:val="24"/>
                <w:lang w:val="lv-LV"/>
              </w:rPr>
              <w:lastRenderedPageBreak/>
              <w:t>Ņemts vērā</w:t>
            </w:r>
          </w:p>
          <w:p w14:paraId="18C232FE" w14:textId="61B2FDA3" w:rsidR="00FC3743" w:rsidRDefault="00FC3743" w:rsidP="0034135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Noteikumu projekts netika virzīts tālākai saskaņošanai pēc 30.04.2021. FM atzinuma saņemšanas. S</w:t>
            </w:r>
            <w:r w:rsidRPr="00FC3743">
              <w:rPr>
                <w:rFonts w:ascii="Times New Roman" w:hAnsi="Times New Roman" w:cs="Times New Roman"/>
                <w:sz w:val="24"/>
                <w:szCs w:val="24"/>
                <w:lang w:val="lv-LV"/>
              </w:rPr>
              <w:t>askaņošana tik</w:t>
            </w:r>
            <w:r>
              <w:rPr>
                <w:rFonts w:ascii="Times New Roman" w:hAnsi="Times New Roman" w:cs="Times New Roman"/>
                <w:sz w:val="24"/>
                <w:szCs w:val="24"/>
                <w:lang w:val="lv-LV"/>
              </w:rPr>
              <w:t>a</w:t>
            </w:r>
            <w:r w:rsidRPr="00FC3743">
              <w:rPr>
                <w:rFonts w:ascii="Times New Roman" w:hAnsi="Times New Roman" w:cs="Times New Roman"/>
                <w:sz w:val="24"/>
                <w:szCs w:val="24"/>
                <w:lang w:val="lv-LV"/>
              </w:rPr>
              <w:t xml:space="preserve"> turpināta pēc </w:t>
            </w:r>
            <w:r w:rsidR="008D0EBC">
              <w:rPr>
                <w:rFonts w:ascii="Times New Roman" w:hAnsi="Times New Roman" w:cs="Times New Roman"/>
                <w:sz w:val="24"/>
                <w:szCs w:val="24"/>
                <w:lang w:val="lv-LV"/>
              </w:rPr>
              <w:t>08.06.2021. Ministru kabineta rīkojuma</w:t>
            </w:r>
            <w:r w:rsidR="008D0EBC" w:rsidRPr="008D0EBC">
              <w:rPr>
                <w:rFonts w:ascii="Times New Roman" w:hAnsi="Times New Roman" w:cs="Times New Roman"/>
                <w:sz w:val="24"/>
                <w:szCs w:val="24"/>
                <w:lang w:val="lv-LV"/>
              </w:rPr>
              <w:t xml:space="preserve"> Nr. 406</w:t>
            </w:r>
            <w:r w:rsidR="008D0EBC">
              <w:rPr>
                <w:rFonts w:ascii="Times New Roman" w:hAnsi="Times New Roman" w:cs="Times New Roman"/>
                <w:sz w:val="24"/>
                <w:szCs w:val="24"/>
                <w:lang w:val="lv-LV"/>
              </w:rPr>
              <w:t xml:space="preserve"> „</w:t>
            </w:r>
            <w:r w:rsidR="008D0EBC" w:rsidRPr="008D0EBC">
              <w:rPr>
                <w:rFonts w:ascii="Times New Roman" w:hAnsi="Times New Roman" w:cs="Times New Roman"/>
                <w:sz w:val="24"/>
                <w:szCs w:val="24"/>
                <w:lang w:val="lv-LV"/>
              </w:rPr>
              <w:t>Grozījumi Eiropas Savienības struktūrfondu un Kohēzijas fonda 2014.-2020. gada plānošanas perioda darbības pro</w:t>
            </w:r>
            <w:r w:rsidR="008D0EBC">
              <w:rPr>
                <w:rFonts w:ascii="Times New Roman" w:hAnsi="Times New Roman" w:cs="Times New Roman"/>
                <w:sz w:val="24"/>
                <w:szCs w:val="24"/>
                <w:lang w:val="lv-LV"/>
              </w:rPr>
              <w:t>grammā „</w:t>
            </w:r>
            <w:r w:rsidR="008D0EBC" w:rsidRPr="008D0EBC">
              <w:rPr>
                <w:rFonts w:ascii="Times New Roman" w:hAnsi="Times New Roman" w:cs="Times New Roman"/>
                <w:sz w:val="24"/>
                <w:szCs w:val="24"/>
                <w:lang w:val="lv-LV"/>
              </w:rPr>
              <w:t>Izaugsme un nodarbinātība</w:t>
            </w:r>
            <w:r w:rsidR="008D0EBC">
              <w:rPr>
                <w:rFonts w:ascii="Times New Roman" w:hAnsi="Times New Roman" w:cs="Times New Roman"/>
                <w:sz w:val="24"/>
                <w:szCs w:val="24"/>
                <w:lang w:val="lv-LV"/>
              </w:rPr>
              <w:t>”” stāšanās spēkā.</w:t>
            </w:r>
          </w:p>
          <w:p w14:paraId="6D2AFD55" w14:textId="77777777" w:rsidR="00FC3743" w:rsidRDefault="00FC3743" w:rsidP="0034135A">
            <w:pPr>
              <w:spacing w:after="0" w:line="240" w:lineRule="auto"/>
              <w:jc w:val="both"/>
              <w:rPr>
                <w:rFonts w:ascii="Times New Roman" w:hAnsi="Times New Roman" w:cs="Times New Roman"/>
                <w:sz w:val="24"/>
                <w:szCs w:val="24"/>
                <w:lang w:val="lv-LV"/>
              </w:rPr>
            </w:pPr>
          </w:p>
          <w:p w14:paraId="7D645B83" w14:textId="5C7D5F08" w:rsidR="00304460" w:rsidRPr="00304460" w:rsidRDefault="00304460" w:rsidP="0034135A">
            <w:pPr>
              <w:spacing w:after="0" w:line="240" w:lineRule="auto"/>
              <w:jc w:val="both"/>
              <w:rPr>
                <w:rFonts w:ascii="Times New Roman" w:eastAsia="Times New Roman" w:hAnsi="Times New Roman" w:cs="Times New Roman"/>
                <w:sz w:val="24"/>
                <w:szCs w:val="24"/>
                <w:lang w:val="lv-LV" w:eastAsia="lv-LV"/>
              </w:rPr>
            </w:pPr>
          </w:p>
        </w:tc>
        <w:tc>
          <w:tcPr>
            <w:tcW w:w="3810" w:type="dxa"/>
          </w:tcPr>
          <w:p w14:paraId="0E17B1B2" w14:textId="0DDFC460" w:rsidR="003F1590" w:rsidRPr="00304460" w:rsidRDefault="003F1590" w:rsidP="00BF4D44">
            <w:pPr>
              <w:spacing w:after="0" w:line="240" w:lineRule="auto"/>
              <w:jc w:val="both"/>
              <w:rPr>
                <w:rFonts w:ascii="Times New Roman" w:hAnsi="Times New Roman" w:cs="Times New Roman"/>
                <w:bCs/>
                <w:spacing w:val="-2"/>
                <w:sz w:val="24"/>
                <w:szCs w:val="24"/>
                <w:lang w:val="lv-LV"/>
              </w:rPr>
            </w:pPr>
          </w:p>
        </w:tc>
      </w:tr>
      <w:tr w:rsidR="0019396A" w:rsidRPr="00304460" w14:paraId="645E74C6" w14:textId="77777777" w:rsidTr="0034135A">
        <w:trPr>
          <w:trHeight w:val="275"/>
        </w:trPr>
        <w:tc>
          <w:tcPr>
            <w:tcW w:w="959" w:type="dxa"/>
          </w:tcPr>
          <w:p w14:paraId="4062BCD4" w14:textId="16B2CABD" w:rsidR="0019396A" w:rsidRPr="00304460" w:rsidRDefault="0019396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 xml:space="preserve">2. </w:t>
            </w:r>
          </w:p>
        </w:tc>
        <w:tc>
          <w:tcPr>
            <w:tcW w:w="2546" w:type="dxa"/>
          </w:tcPr>
          <w:p w14:paraId="59390807" w14:textId="2F22A77D" w:rsidR="0064550A" w:rsidRPr="0064550A" w:rsidRDefault="0064550A" w:rsidP="0064550A">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 xml:space="preserve">2. </w:t>
            </w:r>
            <w:r w:rsidRPr="0064550A">
              <w:rPr>
                <w:rFonts w:ascii="Times New Roman" w:hAnsi="Times New Roman" w:cs="Times New Roman"/>
                <w:bCs/>
                <w:spacing w:val="-2"/>
                <w:sz w:val="24"/>
                <w:szCs w:val="24"/>
                <w:lang w:val="lv-LV"/>
              </w:rPr>
              <w:t>Izteikt 5.punktu šādā redakcijā:</w:t>
            </w:r>
          </w:p>
          <w:p w14:paraId="26F2D940" w14:textId="6CD26F67" w:rsidR="0019396A" w:rsidRPr="00304460" w:rsidRDefault="0064550A" w:rsidP="0064550A">
            <w:pPr>
              <w:spacing w:after="0" w:line="240" w:lineRule="auto"/>
              <w:jc w:val="both"/>
              <w:rPr>
                <w:rFonts w:ascii="Times New Roman" w:hAnsi="Times New Roman" w:cs="Times New Roman"/>
                <w:bCs/>
                <w:spacing w:val="-2"/>
                <w:sz w:val="24"/>
                <w:szCs w:val="24"/>
                <w:lang w:val="lv-LV"/>
              </w:rPr>
            </w:pPr>
            <w:r w:rsidRPr="0064550A">
              <w:rPr>
                <w:rFonts w:ascii="Times New Roman" w:hAnsi="Times New Roman" w:cs="Times New Roman"/>
                <w:bCs/>
                <w:spacing w:val="-2"/>
                <w:sz w:val="24"/>
                <w:szCs w:val="24"/>
                <w:lang w:val="lv-LV"/>
              </w:rPr>
              <w:t xml:space="preserve">“5. Specifiskā atbalsta pieejamais kopējais attiecināmais finansējums ir 23 618 648 </w:t>
            </w:r>
            <w:proofErr w:type="spellStart"/>
            <w:r w:rsidRPr="0064550A">
              <w:rPr>
                <w:rFonts w:ascii="Times New Roman" w:hAnsi="Times New Roman" w:cs="Times New Roman"/>
                <w:bCs/>
                <w:spacing w:val="-2"/>
                <w:sz w:val="24"/>
                <w:szCs w:val="24"/>
                <w:lang w:val="lv-LV"/>
              </w:rPr>
              <w:t>euro</w:t>
            </w:r>
            <w:proofErr w:type="spellEnd"/>
            <w:r w:rsidRPr="0064550A">
              <w:rPr>
                <w:rFonts w:ascii="Times New Roman" w:hAnsi="Times New Roman" w:cs="Times New Roman"/>
                <w:bCs/>
                <w:spacing w:val="-2"/>
                <w:sz w:val="24"/>
                <w:szCs w:val="24"/>
                <w:lang w:val="lv-LV"/>
              </w:rPr>
              <w:t>, tai skai</w:t>
            </w:r>
            <w:r>
              <w:rPr>
                <w:rFonts w:ascii="Times New Roman" w:hAnsi="Times New Roman" w:cs="Times New Roman"/>
                <w:bCs/>
                <w:spacing w:val="-2"/>
                <w:sz w:val="24"/>
                <w:szCs w:val="24"/>
                <w:lang w:val="lv-LV"/>
              </w:rPr>
              <w:t xml:space="preserve">tā ESF finansējums – 20 075 </w:t>
            </w:r>
            <w:r w:rsidRPr="0064550A">
              <w:rPr>
                <w:rFonts w:ascii="Times New Roman" w:hAnsi="Times New Roman" w:cs="Times New Roman"/>
                <w:bCs/>
                <w:spacing w:val="-2"/>
                <w:sz w:val="24"/>
                <w:szCs w:val="24"/>
                <w:lang w:val="lv-LV"/>
              </w:rPr>
              <w:t>85</w:t>
            </w:r>
            <w:r>
              <w:rPr>
                <w:rFonts w:ascii="Times New Roman" w:hAnsi="Times New Roman" w:cs="Times New Roman"/>
                <w:bCs/>
                <w:spacing w:val="-2"/>
                <w:sz w:val="24"/>
                <w:szCs w:val="24"/>
                <w:lang w:val="lv-LV"/>
              </w:rPr>
              <w:t>1</w:t>
            </w:r>
            <w:r w:rsidRPr="0064550A">
              <w:rPr>
                <w:rFonts w:ascii="Times New Roman" w:hAnsi="Times New Roman" w:cs="Times New Roman"/>
                <w:bCs/>
                <w:spacing w:val="-2"/>
                <w:sz w:val="24"/>
                <w:szCs w:val="24"/>
                <w:lang w:val="lv-LV"/>
              </w:rPr>
              <w:t xml:space="preserve"> </w:t>
            </w:r>
            <w:proofErr w:type="spellStart"/>
            <w:r w:rsidRPr="0064550A">
              <w:rPr>
                <w:rFonts w:ascii="Times New Roman" w:hAnsi="Times New Roman" w:cs="Times New Roman"/>
                <w:bCs/>
                <w:spacing w:val="-2"/>
                <w:sz w:val="24"/>
                <w:szCs w:val="24"/>
                <w:lang w:val="lv-LV"/>
              </w:rPr>
              <w:t>euro</w:t>
            </w:r>
            <w:proofErr w:type="spellEnd"/>
            <w:r w:rsidRPr="0064550A">
              <w:rPr>
                <w:rFonts w:ascii="Times New Roman" w:hAnsi="Times New Roman" w:cs="Times New Roman"/>
                <w:bCs/>
                <w:spacing w:val="-2"/>
                <w:sz w:val="24"/>
                <w:szCs w:val="24"/>
                <w:lang w:val="lv-LV"/>
              </w:rPr>
              <w:t xml:space="preserve"> un valsts budž</w:t>
            </w:r>
            <w:r>
              <w:rPr>
                <w:rFonts w:ascii="Times New Roman" w:hAnsi="Times New Roman" w:cs="Times New Roman"/>
                <w:bCs/>
                <w:spacing w:val="-2"/>
                <w:sz w:val="24"/>
                <w:szCs w:val="24"/>
                <w:lang w:val="lv-LV"/>
              </w:rPr>
              <w:t>eta līdzfinansējums – 3 542 797</w:t>
            </w:r>
            <w:r w:rsidRPr="0064550A">
              <w:rPr>
                <w:rFonts w:ascii="Times New Roman" w:hAnsi="Times New Roman" w:cs="Times New Roman"/>
                <w:bCs/>
                <w:spacing w:val="-2"/>
                <w:sz w:val="24"/>
                <w:szCs w:val="24"/>
                <w:lang w:val="lv-LV"/>
              </w:rPr>
              <w:t xml:space="preserve"> </w:t>
            </w:r>
            <w:proofErr w:type="spellStart"/>
            <w:r w:rsidRPr="0064550A">
              <w:rPr>
                <w:rFonts w:ascii="Times New Roman" w:hAnsi="Times New Roman" w:cs="Times New Roman"/>
                <w:bCs/>
                <w:spacing w:val="-2"/>
                <w:sz w:val="24"/>
                <w:szCs w:val="24"/>
                <w:lang w:val="lv-LV"/>
              </w:rPr>
              <w:t>euro</w:t>
            </w:r>
            <w:proofErr w:type="spellEnd"/>
            <w:r w:rsidRPr="0064550A">
              <w:rPr>
                <w:rFonts w:ascii="Times New Roman" w:hAnsi="Times New Roman" w:cs="Times New Roman"/>
                <w:bCs/>
                <w:spacing w:val="-2"/>
                <w:sz w:val="24"/>
                <w:szCs w:val="24"/>
                <w:lang w:val="lv-LV"/>
              </w:rPr>
              <w:t>”.</w:t>
            </w:r>
          </w:p>
        </w:tc>
        <w:tc>
          <w:tcPr>
            <w:tcW w:w="4428" w:type="dxa"/>
          </w:tcPr>
          <w:p w14:paraId="4D85239F" w14:textId="55DE7888" w:rsidR="0019396A" w:rsidRPr="00304460" w:rsidRDefault="00F94788" w:rsidP="00047649">
            <w:pPr>
              <w:spacing w:after="0" w:line="240" w:lineRule="auto"/>
              <w:jc w:val="both"/>
              <w:rPr>
                <w:rFonts w:ascii="Times New Roman" w:hAnsi="Times New Roman" w:cs="Times New Roman"/>
                <w:sz w:val="24"/>
                <w:szCs w:val="24"/>
                <w:lang w:val="lv-LV"/>
              </w:rPr>
            </w:pPr>
            <w:r w:rsidRPr="00D42CD0">
              <w:rPr>
                <w:rFonts w:ascii="Times New Roman" w:hAnsi="Times New Roman" w:cs="Times New Roman"/>
                <w:sz w:val="24"/>
                <w:szCs w:val="24"/>
                <w:lang w:val="lv-LV"/>
              </w:rPr>
              <w:t>Lūdzam savstarpēji salāgot noteikumu projekta 2.punktā un anotācijā norādīto pārdalāmā finansējuma apmēru sadalījumā pa finansējuma avotiem</w:t>
            </w:r>
            <w:r w:rsidRPr="00F94788">
              <w:rPr>
                <w:rFonts w:ascii="Times New Roman" w:hAnsi="Times New Roman" w:cs="Times New Roman"/>
                <w:sz w:val="24"/>
                <w:szCs w:val="24"/>
                <w:lang w:val="lv-LV"/>
              </w:rPr>
              <w:t xml:space="preserve">. Tāpat vēršam uzmanību, ka noteikumu projekta 2.punktā norādītais pārdalāmā finansējuma apmērs atšķiras no IZM sagatavotā MK noteikumu projekta “Grozījumi Ministru kabineta 2016. gada 15. jūlija noteikumos Nr. 474 “Darbības programmas "Izaugsme un nodarbinātība” 8.4.1. specifiskā atbalsta mērķa “Pilnveidot nodarbināto personu profesionālo kompetenci” īstenošanas noteikumi”” 2.punktā un tam pievienotajā anotācijā norādītā finansējuma apmēra sadalījumā pa finansējuma avotiem (novirze 1 </w:t>
            </w:r>
            <w:proofErr w:type="spellStart"/>
            <w:r w:rsidRPr="00F94788">
              <w:rPr>
                <w:rFonts w:ascii="Times New Roman" w:hAnsi="Times New Roman" w:cs="Times New Roman"/>
                <w:sz w:val="24"/>
                <w:szCs w:val="24"/>
                <w:lang w:val="lv-LV"/>
              </w:rPr>
              <w:t>euro</w:t>
            </w:r>
            <w:proofErr w:type="spellEnd"/>
            <w:r w:rsidRPr="00F94788">
              <w:rPr>
                <w:rFonts w:ascii="Times New Roman" w:hAnsi="Times New Roman" w:cs="Times New Roman"/>
                <w:sz w:val="24"/>
                <w:szCs w:val="24"/>
                <w:lang w:val="lv-LV"/>
              </w:rPr>
              <w:t xml:space="preserve"> starp finansējuma avotiem).</w:t>
            </w:r>
          </w:p>
        </w:tc>
        <w:tc>
          <w:tcPr>
            <w:tcW w:w="3312" w:type="dxa"/>
          </w:tcPr>
          <w:p w14:paraId="07B46D85" w14:textId="13ED3390" w:rsidR="0019396A" w:rsidRPr="00304460" w:rsidRDefault="00510A58"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tc>
        <w:tc>
          <w:tcPr>
            <w:tcW w:w="3810" w:type="dxa"/>
          </w:tcPr>
          <w:p w14:paraId="5296501F" w14:textId="08CF4F92" w:rsidR="0064550A" w:rsidRPr="0064550A" w:rsidRDefault="0064550A" w:rsidP="0064550A">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2.</w:t>
            </w:r>
            <w:r w:rsidRPr="0064550A">
              <w:rPr>
                <w:rFonts w:ascii="Times New Roman" w:hAnsi="Times New Roman" w:cs="Times New Roman"/>
                <w:bCs/>
                <w:spacing w:val="-2"/>
                <w:sz w:val="24"/>
                <w:szCs w:val="24"/>
                <w:lang w:val="lv-LV"/>
              </w:rPr>
              <w:t xml:space="preserve"> Izteikt 5.punktu šādā redakcijā:</w:t>
            </w:r>
          </w:p>
          <w:p w14:paraId="2FDA4A3B" w14:textId="0D068FFF" w:rsidR="0019396A" w:rsidRPr="00304460" w:rsidRDefault="0064550A" w:rsidP="009F4C97">
            <w:pPr>
              <w:spacing w:after="0" w:line="240" w:lineRule="auto"/>
              <w:jc w:val="both"/>
              <w:rPr>
                <w:rFonts w:ascii="Times New Roman" w:hAnsi="Times New Roman" w:cs="Times New Roman"/>
                <w:bCs/>
                <w:spacing w:val="-2"/>
                <w:sz w:val="24"/>
                <w:szCs w:val="24"/>
                <w:lang w:val="lv-LV"/>
              </w:rPr>
            </w:pPr>
            <w:r w:rsidRPr="0064550A">
              <w:rPr>
                <w:rFonts w:ascii="Times New Roman" w:hAnsi="Times New Roman" w:cs="Times New Roman"/>
                <w:bCs/>
                <w:spacing w:val="-2"/>
                <w:sz w:val="24"/>
                <w:szCs w:val="24"/>
                <w:lang w:val="lv-LV"/>
              </w:rPr>
              <w:t xml:space="preserve">“5. </w:t>
            </w:r>
            <w:r w:rsidRPr="00493A8A">
              <w:rPr>
                <w:rFonts w:ascii="Times New Roman" w:hAnsi="Times New Roman" w:cs="Times New Roman"/>
                <w:bCs/>
                <w:spacing w:val="-2"/>
                <w:sz w:val="24"/>
                <w:szCs w:val="24"/>
                <w:lang w:val="lv-LV"/>
              </w:rPr>
              <w:t>Specifiskā atbalsta pieejamais kopējais attiecināmais finansējums ir 23 618 6</w:t>
            </w:r>
            <w:r w:rsidR="009F4C97" w:rsidRPr="00493A8A">
              <w:rPr>
                <w:rFonts w:ascii="Times New Roman" w:hAnsi="Times New Roman" w:cs="Times New Roman"/>
                <w:bCs/>
                <w:spacing w:val="-2"/>
                <w:sz w:val="24"/>
                <w:szCs w:val="24"/>
                <w:lang w:val="lv-LV"/>
              </w:rPr>
              <w:t>66</w:t>
            </w:r>
            <w:r w:rsidRPr="00493A8A">
              <w:rPr>
                <w:rFonts w:ascii="Times New Roman" w:hAnsi="Times New Roman" w:cs="Times New Roman"/>
                <w:bCs/>
                <w:spacing w:val="-2"/>
                <w:sz w:val="24"/>
                <w:szCs w:val="24"/>
                <w:lang w:val="lv-LV"/>
              </w:rPr>
              <w:t xml:space="preserve"> </w:t>
            </w:r>
            <w:proofErr w:type="spellStart"/>
            <w:r w:rsidRPr="00493A8A">
              <w:rPr>
                <w:rFonts w:ascii="Times New Roman" w:hAnsi="Times New Roman" w:cs="Times New Roman"/>
                <w:bCs/>
                <w:spacing w:val="-2"/>
                <w:sz w:val="24"/>
                <w:szCs w:val="24"/>
                <w:lang w:val="lv-LV"/>
              </w:rPr>
              <w:t>euro</w:t>
            </w:r>
            <w:proofErr w:type="spellEnd"/>
            <w:r w:rsidRPr="00493A8A">
              <w:rPr>
                <w:rFonts w:ascii="Times New Roman" w:hAnsi="Times New Roman" w:cs="Times New Roman"/>
                <w:bCs/>
                <w:spacing w:val="-2"/>
                <w:sz w:val="24"/>
                <w:szCs w:val="24"/>
                <w:lang w:val="lv-LV"/>
              </w:rPr>
              <w:t>, tai skaitā ESF finansējums – 20 075 8</w:t>
            </w:r>
            <w:r w:rsidR="009F4C97" w:rsidRPr="00493A8A">
              <w:rPr>
                <w:rFonts w:ascii="Times New Roman" w:hAnsi="Times New Roman" w:cs="Times New Roman"/>
                <w:bCs/>
                <w:spacing w:val="-2"/>
                <w:sz w:val="24"/>
                <w:szCs w:val="24"/>
                <w:lang w:val="lv-LV"/>
              </w:rPr>
              <w:t>65</w:t>
            </w:r>
            <w:r w:rsidRPr="00493A8A">
              <w:rPr>
                <w:rFonts w:ascii="Times New Roman" w:hAnsi="Times New Roman" w:cs="Times New Roman"/>
                <w:bCs/>
                <w:spacing w:val="-2"/>
                <w:sz w:val="24"/>
                <w:szCs w:val="24"/>
                <w:lang w:val="lv-LV"/>
              </w:rPr>
              <w:t xml:space="preserve"> </w:t>
            </w:r>
            <w:proofErr w:type="spellStart"/>
            <w:r w:rsidRPr="00493A8A">
              <w:rPr>
                <w:rFonts w:ascii="Times New Roman" w:hAnsi="Times New Roman" w:cs="Times New Roman"/>
                <w:bCs/>
                <w:spacing w:val="-2"/>
                <w:sz w:val="24"/>
                <w:szCs w:val="24"/>
                <w:lang w:val="lv-LV"/>
              </w:rPr>
              <w:t>euro</w:t>
            </w:r>
            <w:proofErr w:type="spellEnd"/>
            <w:r w:rsidRPr="00493A8A">
              <w:rPr>
                <w:rFonts w:ascii="Times New Roman" w:hAnsi="Times New Roman" w:cs="Times New Roman"/>
                <w:bCs/>
                <w:spacing w:val="-2"/>
                <w:sz w:val="24"/>
                <w:szCs w:val="24"/>
                <w:lang w:val="lv-LV"/>
              </w:rPr>
              <w:t xml:space="preserve"> un valsts budžeta līdzfinansējums – 3 542 </w:t>
            </w:r>
            <w:r w:rsidR="009F4C97" w:rsidRPr="00493A8A">
              <w:rPr>
                <w:rFonts w:ascii="Times New Roman" w:hAnsi="Times New Roman" w:cs="Times New Roman"/>
                <w:bCs/>
                <w:spacing w:val="-2"/>
                <w:sz w:val="24"/>
                <w:szCs w:val="24"/>
                <w:lang w:val="lv-LV"/>
              </w:rPr>
              <w:t>801</w:t>
            </w:r>
            <w:r w:rsidRPr="00493A8A">
              <w:rPr>
                <w:rFonts w:ascii="Times New Roman" w:hAnsi="Times New Roman" w:cs="Times New Roman"/>
                <w:bCs/>
                <w:spacing w:val="-2"/>
                <w:sz w:val="24"/>
                <w:szCs w:val="24"/>
                <w:lang w:val="lv-LV"/>
              </w:rPr>
              <w:t xml:space="preserve"> </w:t>
            </w:r>
            <w:proofErr w:type="spellStart"/>
            <w:r w:rsidRPr="00493A8A">
              <w:rPr>
                <w:rFonts w:ascii="Times New Roman" w:hAnsi="Times New Roman" w:cs="Times New Roman"/>
                <w:bCs/>
                <w:spacing w:val="-2"/>
                <w:sz w:val="24"/>
                <w:szCs w:val="24"/>
                <w:lang w:val="lv-LV"/>
              </w:rPr>
              <w:t>euro</w:t>
            </w:r>
            <w:proofErr w:type="spellEnd"/>
            <w:r w:rsidRPr="00493A8A">
              <w:rPr>
                <w:rFonts w:ascii="Times New Roman" w:hAnsi="Times New Roman" w:cs="Times New Roman"/>
                <w:bCs/>
                <w:spacing w:val="-2"/>
                <w:sz w:val="24"/>
                <w:szCs w:val="24"/>
                <w:lang w:val="lv-LV"/>
              </w:rPr>
              <w:t>”.</w:t>
            </w:r>
          </w:p>
        </w:tc>
      </w:tr>
      <w:tr w:rsidR="003F1590" w:rsidRPr="00304460" w14:paraId="7CAC8216" w14:textId="77777777" w:rsidTr="00A70948">
        <w:trPr>
          <w:trHeight w:val="2684"/>
        </w:trPr>
        <w:tc>
          <w:tcPr>
            <w:tcW w:w="959" w:type="dxa"/>
          </w:tcPr>
          <w:p w14:paraId="6C42E5D5" w14:textId="74D6B0BD" w:rsidR="003F1590" w:rsidRPr="00304460" w:rsidRDefault="00F94788"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w:t>
            </w:r>
            <w:r w:rsidR="00BF49ED" w:rsidRPr="00304460">
              <w:rPr>
                <w:rFonts w:ascii="Times New Roman" w:eastAsia="Times New Roman" w:hAnsi="Times New Roman" w:cs="Times New Roman"/>
                <w:sz w:val="24"/>
                <w:szCs w:val="24"/>
                <w:lang w:val="lv-LV" w:eastAsia="lv-LV"/>
              </w:rPr>
              <w:t>.</w:t>
            </w:r>
          </w:p>
        </w:tc>
        <w:tc>
          <w:tcPr>
            <w:tcW w:w="2546" w:type="dxa"/>
          </w:tcPr>
          <w:p w14:paraId="5D781F21" w14:textId="512DAB8C" w:rsidR="003F1590" w:rsidRPr="00304460" w:rsidRDefault="001A08C6" w:rsidP="00AC352E">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w:t>
            </w:r>
            <w:r w:rsidRPr="001A08C6">
              <w:rPr>
                <w:rFonts w:ascii="Times New Roman" w:hAnsi="Times New Roman" w:cs="Times New Roman"/>
                <w:bCs/>
                <w:spacing w:val="-2"/>
                <w:sz w:val="24"/>
                <w:szCs w:val="24"/>
                <w:lang w:val="lv-LV"/>
              </w:rPr>
              <w:t>23.2.5. pakalpojumu (ja pakalpojumu iepirkumu veic atbilstoši iepirkuma procedūru reglamentējošiem normatīvajiem aktiem), piegāžu līgumu un īres izmaksas šo noteikumu 21. punktā minēto atbalstāmo darbību īstenošanai</w:t>
            </w:r>
            <w:r>
              <w:rPr>
                <w:rFonts w:ascii="Times New Roman" w:hAnsi="Times New Roman" w:cs="Times New Roman"/>
                <w:bCs/>
                <w:spacing w:val="-2"/>
                <w:sz w:val="24"/>
                <w:szCs w:val="24"/>
                <w:lang w:val="lv-LV"/>
              </w:rPr>
              <w:t>”</w:t>
            </w:r>
          </w:p>
        </w:tc>
        <w:tc>
          <w:tcPr>
            <w:tcW w:w="4428" w:type="dxa"/>
          </w:tcPr>
          <w:p w14:paraId="644F0D7A" w14:textId="6498A576" w:rsidR="003F1590" w:rsidRPr="00304460" w:rsidRDefault="000F03BD" w:rsidP="00047649">
            <w:pPr>
              <w:spacing w:after="0" w:line="240" w:lineRule="auto"/>
              <w:jc w:val="both"/>
              <w:rPr>
                <w:rFonts w:ascii="Times New Roman" w:hAnsi="Times New Roman" w:cs="Times New Roman"/>
                <w:sz w:val="24"/>
                <w:szCs w:val="24"/>
                <w:lang w:val="lv-LV"/>
              </w:rPr>
            </w:pPr>
            <w:r w:rsidRPr="00F67E78">
              <w:rPr>
                <w:rFonts w:ascii="Times New Roman" w:hAnsi="Times New Roman" w:cs="Times New Roman"/>
                <w:sz w:val="24"/>
                <w:szCs w:val="24"/>
                <w:lang w:val="lv-LV"/>
              </w:rPr>
              <w:t>Lūdzam papildināt noteikumu projekta 23.2.5.punkta iekavās esošos vārdus ar vārdiem “nodrošinot atklātu, pārredzamu, nediskriminējošu un konkurenci nodrošinošu procedūru.”, ņemot vērā, ka finansējuma saņēmējam, īstenojot projektu, pakalpojuma sniedzējus jāizvēlas, īstenojot atklātu, pārredzamu, nediskriminējošu un konkurenci nodrošinošu procedūru, lai pakalpojumu sniedzēja līmenī netiktu sniegts komercdarbības atbalsts</w:t>
            </w:r>
          </w:p>
        </w:tc>
        <w:tc>
          <w:tcPr>
            <w:tcW w:w="3312" w:type="dxa"/>
          </w:tcPr>
          <w:p w14:paraId="47C4EF04" w14:textId="07D2F4CE" w:rsidR="00304460" w:rsidRPr="00F67E78" w:rsidRDefault="001A08C6" w:rsidP="0034135A">
            <w:pPr>
              <w:spacing w:after="0" w:line="240" w:lineRule="auto"/>
              <w:jc w:val="both"/>
              <w:rPr>
                <w:rFonts w:ascii="Times New Roman" w:eastAsia="Times New Roman" w:hAnsi="Times New Roman" w:cs="Times New Roman"/>
                <w:b/>
                <w:sz w:val="24"/>
                <w:szCs w:val="24"/>
                <w:lang w:val="lv-LV" w:eastAsia="lv-LV"/>
              </w:rPr>
            </w:pPr>
            <w:r w:rsidRPr="00F67E78">
              <w:rPr>
                <w:rFonts w:ascii="Times New Roman" w:eastAsia="Times New Roman" w:hAnsi="Times New Roman" w:cs="Times New Roman"/>
                <w:b/>
                <w:sz w:val="24"/>
                <w:szCs w:val="24"/>
                <w:lang w:val="lv-LV" w:eastAsia="lv-LV"/>
              </w:rPr>
              <w:t>Ņemts vērā</w:t>
            </w:r>
          </w:p>
        </w:tc>
        <w:tc>
          <w:tcPr>
            <w:tcW w:w="3810" w:type="dxa"/>
          </w:tcPr>
          <w:p w14:paraId="6912434B" w14:textId="5CB3E234" w:rsidR="003F1590" w:rsidRPr="00304460" w:rsidRDefault="00F67E78" w:rsidP="00F67E78">
            <w:pPr>
              <w:spacing w:after="0" w:line="240" w:lineRule="auto"/>
              <w:jc w:val="both"/>
              <w:rPr>
                <w:rFonts w:ascii="Times New Roman" w:hAnsi="Times New Roman" w:cs="Times New Roman"/>
                <w:bCs/>
                <w:spacing w:val="-2"/>
                <w:sz w:val="24"/>
                <w:szCs w:val="24"/>
                <w:lang w:val="lv-LV"/>
              </w:rPr>
            </w:pPr>
            <w:r w:rsidRPr="00F67E78">
              <w:rPr>
                <w:rFonts w:ascii="Times New Roman" w:hAnsi="Times New Roman" w:cs="Times New Roman"/>
                <w:bCs/>
                <w:spacing w:val="-2"/>
                <w:sz w:val="24"/>
                <w:szCs w:val="24"/>
                <w:lang w:val="lv-LV"/>
              </w:rPr>
              <w:t>„23.2.5. pakalpojumu (ja pakalpojumu iepirkumu veic atbilstoši iepirkuma procedūru reglamentējošiem normatīvajiem aktiem</w:t>
            </w:r>
            <w:r>
              <w:rPr>
                <w:rFonts w:ascii="Times New Roman" w:hAnsi="Times New Roman" w:cs="Times New Roman"/>
                <w:bCs/>
                <w:spacing w:val="-2"/>
                <w:sz w:val="24"/>
                <w:szCs w:val="24"/>
                <w:lang w:val="lv-LV"/>
              </w:rPr>
              <w:t>,</w:t>
            </w:r>
            <w:r w:rsidRPr="00F67E78">
              <w:rPr>
                <w:rFonts w:ascii="Times New Roman" w:hAnsi="Times New Roman" w:cs="Times New Roman"/>
                <w:bCs/>
                <w:spacing w:val="-2"/>
                <w:sz w:val="24"/>
                <w:szCs w:val="24"/>
                <w:lang w:val="lv-LV"/>
              </w:rPr>
              <w:t xml:space="preserve"> </w:t>
            </w:r>
            <w:r w:rsidRPr="00045140">
              <w:rPr>
                <w:rFonts w:ascii="Times New Roman" w:hAnsi="Times New Roman" w:cs="Times New Roman"/>
                <w:bCs/>
                <w:spacing w:val="-2"/>
                <w:sz w:val="24"/>
                <w:szCs w:val="24"/>
                <w:lang w:val="lv-LV"/>
              </w:rPr>
              <w:t xml:space="preserve">nodrošinot atklātu, pārredzamu, nediskriminējošu un konkurenci nodrošinošu procedūru), piegāžu </w:t>
            </w:r>
            <w:r w:rsidRPr="00F67E78">
              <w:rPr>
                <w:rFonts w:ascii="Times New Roman" w:hAnsi="Times New Roman" w:cs="Times New Roman"/>
                <w:bCs/>
                <w:spacing w:val="-2"/>
                <w:sz w:val="24"/>
                <w:szCs w:val="24"/>
                <w:lang w:val="lv-LV"/>
              </w:rPr>
              <w:t>līgumu un īres izmaksas šo noteikumu 21. punktā minēto atbalstāmo darbību īstenošanai”</w:t>
            </w:r>
            <w:r>
              <w:rPr>
                <w:rFonts w:ascii="Times New Roman" w:hAnsi="Times New Roman" w:cs="Times New Roman"/>
                <w:bCs/>
                <w:spacing w:val="-2"/>
                <w:sz w:val="24"/>
                <w:szCs w:val="24"/>
                <w:lang w:val="lv-LV"/>
              </w:rPr>
              <w:t xml:space="preserve"> </w:t>
            </w:r>
          </w:p>
        </w:tc>
      </w:tr>
      <w:tr w:rsidR="00972D3A" w:rsidRPr="00304460" w14:paraId="689D11AF" w14:textId="77777777" w:rsidTr="0034135A">
        <w:trPr>
          <w:trHeight w:val="275"/>
        </w:trPr>
        <w:tc>
          <w:tcPr>
            <w:tcW w:w="959" w:type="dxa"/>
          </w:tcPr>
          <w:p w14:paraId="3D17153F" w14:textId="29277B3C" w:rsidR="00972D3A" w:rsidRPr="00304460" w:rsidRDefault="00972D3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w:t>
            </w:r>
            <w:r w:rsidRPr="00304460">
              <w:rPr>
                <w:rFonts w:ascii="Times New Roman" w:eastAsia="Times New Roman" w:hAnsi="Times New Roman" w:cs="Times New Roman"/>
                <w:sz w:val="24"/>
                <w:szCs w:val="24"/>
                <w:lang w:val="lv-LV" w:eastAsia="lv-LV"/>
              </w:rPr>
              <w:t>.</w:t>
            </w:r>
          </w:p>
        </w:tc>
        <w:tc>
          <w:tcPr>
            <w:tcW w:w="2546" w:type="dxa"/>
            <w:vMerge w:val="restart"/>
          </w:tcPr>
          <w:p w14:paraId="3996F6BE" w14:textId="0A373E62" w:rsidR="00972D3A" w:rsidRPr="00304460" w:rsidRDefault="00972D3A" w:rsidP="00792ADC">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A</w:t>
            </w:r>
            <w:r w:rsidRPr="00792ADC">
              <w:rPr>
                <w:rFonts w:ascii="Times New Roman" w:hAnsi="Times New Roman" w:cs="Times New Roman"/>
                <w:bCs/>
                <w:spacing w:val="-2"/>
                <w:sz w:val="24"/>
                <w:szCs w:val="24"/>
                <w:lang w:val="lv-LV"/>
              </w:rPr>
              <w:t>notācijas I sadaļas “Tiesību akta projekta izstrādes nepieciešamība” 2.punkt</w:t>
            </w:r>
            <w:r>
              <w:rPr>
                <w:rFonts w:ascii="Times New Roman" w:hAnsi="Times New Roman" w:cs="Times New Roman"/>
                <w:bCs/>
                <w:spacing w:val="-2"/>
                <w:sz w:val="24"/>
                <w:szCs w:val="24"/>
                <w:lang w:val="lv-LV"/>
              </w:rPr>
              <w:t>s</w:t>
            </w:r>
          </w:p>
        </w:tc>
        <w:tc>
          <w:tcPr>
            <w:tcW w:w="4428" w:type="dxa"/>
          </w:tcPr>
          <w:p w14:paraId="6F84A8B1" w14:textId="7263F218" w:rsidR="00972D3A" w:rsidRPr="00304460" w:rsidRDefault="00972D3A" w:rsidP="00BF49ED">
            <w:pPr>
              <w:spacing w:after="0" w:line="240" w:lineRule="auto"/>
              <w:jc w:val="both"/>
              <w:rPr>
                <w:rFonts w:ascii="Times New Roman" w:hAnsi="Times New Roman" w:cs="Times New Roman"/>
                <w:sz w:val="24"/>
                <w:szCs w:val="24"/>
                <w:lang w:val="lv-LV"/>
              </w:rPr>
            </w:pPr>
            <w:r w:rsidRPr="000F03BD">
              <w:rPr>
                <w:rFonts w:ascii="Times New Roman" w:hAnsi="Times New Roman" w:cs="Times New Roman"/>
                <w:sz w:val="24"/>
                <w:szCs w:val="24"/>
                <w:lang w:val="lv-LV"/>
              </w:rPr>
              <w:t>Lūdzam skaidrot anotācijas I sadaļas “Tiesību akta projekta izstrādes nepieciešamība” 2.punktā minēto, ka “sadarbības partneru PKK tiks nodrošinātas apmācības par darbu ar pieaugušo mērķauditoriju un izstrādāts atbalsta materiāls izmantošanai darbā pieaugušo izglītībā”, ņemot vērā, ka 8.3.5. specifiskā atbalsta mērķa “Uzlabot pieeju karjeras atbalstam izglītojamajiem vispārējās un profesionālās izglītības iestādēs” (turpmāk – 8.3.5. SAM) mērķa grupa ir valsts un pašvaldību dibinātās vispārējās (tai skaitā speciālās) un profesionālās izglītības iestādes un to izglītojamie, nevis pieaugušie</w:t>
            </w:r>
          </w:p>
        </w:tc>
        <w:tc>
          <w:tcPr>
            <w:tcW w:w="3312" w:type="dxa"/>
          </w:tcPr>
          <w:p w14:paraId="3F3DC9D3" w14:textId="57F177EC" w:rsidR="00972D3A" w:rsidRPr="00780675" w:rsidRDefault="00972D3A" w:rsidP="0034135A">
            <w:pPr>
              <w:spacing w:after="0" w:line="240" w:lineRule="auto"/>
              <w:jc w:val="both"/>
              <w:rPr>
                <w:rFonts w:ascii="Times New Roman" w:eastAsia="Times New Roman" w:hAnsi="Times New Roman" w:cs="Times New Roman"/>
                <w:b/>
                <w:sz w:val="24"/>
                <w:szCs w:val="24"/>
                <w:lang w:val="lv-LV" w:eastAsia="lv-LV"/>
              </w:rPr>
            </w:pPr>
            <w:r w:rsidRPr="00780675">
              <w:rPr>
                <w:rFonts w:ascii="Times New Roman" w:eastAsia="Times New Roman" w:hAnsi="Times New Roman" w:cs="Times New Roman"/>
                <w:b/>
                <w:sz w:val="24"/>
                <w:szCs w:val="24"/>
                <w:lang w:val="lv-LV" w:eastAsia="lv-LV"/>
              </w:rPr>
              <w:t>Ņemts vērā</w:t>
            </w:r>
          </w:p>
          <w:p w14:paraId="4F488E0E" w14:textId="2AB931EE" w:rsidR="00972D3A" w:rsidRPr="00463944" w:rsidRDefault="00972D3A" w:rsidP="00B66F79">
            <w:pPr>
              <w:spacing w:after="0" w:line="240" w:lineRule="auto"/>
              <w:jc w:val="both"/>
              <w:rPr>
                <w:rFonts w:ascii="Times New Roman" w:eastAsia="Times New Roman" w:hAnsi="Times New Roman" w:cs="Times New Roman"/>
                <w:sz w:val="24"/>
                <w:szCs w:val="24"/>
                <w:highlight w:val="yellow"/>
                <w:lang w:val="lv-LV" w:eastAsia="lv-LV"/>
              </w:rPr>
            </w:pPr>
            <w:r w:rsidRPr="00780675">
              <w:rPr>
                <w:rFonts w:ascii="Times New Roman" w:eastAsia="Times New Roman" w:hAnsi="Times New Roman" w:cs="Times New Roman"/>
                <w:sz w:val="24"/>
                <w:szCs w:val="24"/>
                <w:lang w:val="lv-LV" w:eastAsia="lv-LV"/>
              </w:rPr>
              <w:t xml:space="preserve">Skaidrojam, ka vienlaikus tiks paplašināta sadarbība un darbs ar skolēnu vecākiem, sniedzot atbalstu ne tikai bērnu karjeras attīstības jautājumos, bet arī akcentējot mūžizglītības ideju, karjeras vadības prasmju attīstības iespējas visa mūža garumā un praktiski piedāvājot metodes un paņēmienus darbam ģimeņu karjeras attīstībā (un iesaistē mūžizglītībā). </w:t>
            </w:r>
            <w:r>
              <w:rPr>
                <w:rFonts w:ascii="Times New Roman" w:eastAsia="Times New Roman" w:hAnsi="Times New Roman" w:cs="Times New Roman"/>
                <w:sz w:val="24"/>
                <w:szCs w:val="24"/>
                <w:lang w:val="lv-LV" w:eastAsia="lv-LV"/>
              </w:rPr>
              <w:t>Kā rezultātā s</w:t>
            </w:r>
            <w:r w:rsidRPr="00780675">
              <w:rPr>
                <w:rFonts w:ascii="Times New Roman" w:eastAsia="Times New Roman" w:hAnsi="Times New Roman" w:cs="Times New Roman"/>
                <w:sz w:val="24"/>
                <w:szCs w:val="24"/>
                <w:lang w:val="lv-LV" w:eastAsia="lv-LV"/>
              </w:rPr>
              <w:t>adarbības partneru PKK tiks nodrošinātas apmācības un izstrādāts atbalsta materiāls darbam ar izglītojamo vecākiem</w:t>
            </w:r>
            <w:r>
              <w:rPr>
                <w:rFonts w:ascii="Times New Roman" w:eastAsia="Times New Roman" w:hAnsi="Times New Roman" w:cs="Times New Roman"/>
                <w:sz w:val="24"/>
                <w:szCs w:val="24"/>
                <w:lang w:val="lv-LV" w:eastAsia="lv-LV"/>
              </w:rPr>
              <w:t>.</w:t>
            </w:r>
          </w:p>
        </w:tc>
        <w:tc>
          <w:tcPr>
            <w:tcW w:w="3810" w:type="dxa"/>
          </w:tcPr>
          <w:p w14:paraId="2D7E7D63" w14:textId="1CA1FDEF" w:rsidR="00972D3A" w:rsidRPr="00463944" w:rsidRDefault="00972D3A" w:rsidP="00750197">
            <w:pPr>
              <w:spacing w:after="0" w:line="240" w:lineRule="auto"/>
              <w:jc w:val="both"/>
              <w:rPr>
                <w:rFonts w:ascii="Times New Roman" w:hAnsi="Times New Roman" w:cs="Times New Roman"/>
                <w:bCs/>
                <w:spacing w:val="-2"/>
                <w:sz w:val="24"/>
                <w:szCs w:val="24"/>
                <w:highlight w:val="yellow"/>
                <w:lang w:val="lv-LV"/>
              </w:rPr>
            </w:pPr>
          </w:p>
        </w:tc>
      </w:tr>
      <w:tr w:rsidR="00972D3A" w:rsidRPr="00304460" w14:paraId="0FF289EC" w14:textId="77777777" w:rsidTr="0034135A">
        <w:trPr>
          <w:trHeight w:val="275"/>
        </w:trPr>
        <w:tc>
          <w:tcPr>
            <w:tcW w:w="959" w:type="dxa"/>
          </w:tcPr>
          <w:p w14:paraId="0E3C15B5" w14:textId="53994F42" w:rsidR="00972D3A" w:rsidRDefault="00972D3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w:t>
            </w:r>
          </w:p>
        </w:tc>
        <w:tc>
          <w:tcPr>
            <w:tcW w:w="2546" w:type="dxa"/>
            <w:vMerge/>
          </w:tcPr>
          <w:p w14:paraId="32196D56" w14:textId="77777777" w:rsidR="00972D3A" w:rsidRPr="009F4437" w:rsidRDefault="00972D3A" w:rsidP="009F4437">
            <w:pPr>
              <w:spacing w:after="0" w:line="240" w:lineRule="auto"/>
              <w:jc w:val="both"/>
              <w:rPr>
                <w:rFonts w:ascii="Times New Roman" w:hAnsi="Times New Roman" w:cs="Times New Roman"/>
                <w:bCs/>
                <w:spacing w:val="-2"/>
                <w:sz w:val="24"/>
                <w:szCs w:val="24"/>
                <w:lang w:val="lv-LV"/>
              </w:rPr>
            </w:pPr>
          </w:p>
        </w:tc>
        <w:tc>
          <w:tcPr>
            <w:tcW w:w="4428" w:type="dxa"/>
          </w:tcPr>
          <w:p w14:paraId="5493022F" w14:textId="77777777" w:rsidR="00972D3A" w:rsidRPr="00750197" w:rsidRDefault="00972D3A" w:rsidP="00750197">
            <w:pPr>
              <w:spacing w:after="0" w:line="240" w:lineRule="auto"/>
              <w:jc w:val="both"/>
              <w:rPr>
                <w:rFonts w:ascii="Times New Roman" w:hAnsi="Times New Roman" w:cs="Times New Roman"/>
                <w:sz w:val="24"/>
                <w:szCs w:val="24"/>
                <w:lang w:val="lv-LV"/>
              </w:rPr>
            </w:pPr>
            <w:r w:rsidRPr="00750197">
              <w:rPr>
                <w:rFonts w:ascii="Times New Roman" w:hAnsi="Times New Roman" w:cs="Times New Roman"/>
                <w:sz w:val="24"/>
                <w:szCs w:val="24"/>
                <w:lang w:val="lv-LV"/>
              </w:rPr>
              <w:t xml:space="preserve">Lūdzam papildināt 8.3.5.SAM noteikumu projekta anotāciju: </w:t>
            </w:r>
          </w:p>
          <w:p w14:paraId="26C7A2E3" w14:textId="77777777" w:rsidR="00972D3A" w:rsidRPr="00750197" w:rsidRDefault="00972D3A" w:rsidP="00750197">
            <w:pPr>
              <w:spacing w:after="0" w:line="240" w:lineRule="auto"/>
              <w:jc w:val="both"/>
              <w:rPr>
                <w:rFonts w:ascii="Times New Roman" w:hAnsi="Times New Roman" w:cs="Times New Roman"/>
                <w:sz w:val="24"/>
                <w:szCs w:val="24"/>
                <w:lang w:val="lv-LV"/>
              </w:rPr>
            </w:pPr>
            <w:r w:rsidRPr="00750197">
              <w:rPr>
                <w:rFonts w:ascii="Times New Roman" w:hAnsi="Times New Roman" w:cs="Times New Roman"/>
                <w:sz w:val="24"/>
                <w:szCs w:val="24"/>
                <w:lang w:val="lv-LV"/>
              </w:rPr>
              <w:t>1)</w:t>
            </w:r>
            <w:r w:rsidRPr="00750197">
              <w:rPr>
                <w:rFonts w:ascii="Times New Roman" w:hAnsi="Times New Roman" w:cs="Times New Roman"/>
                <w:sz w:val="24"/>
                <w:szCs w:val="24"/>
                <w:lang w:val="lv-LV"/>
              </w:rPr>
              <w:tab/>
              <w:t xml:space="preserve">skaidrojot, vai plānotais 8.3.5.specifiskā atbalsta mērķa “Uzlabot pieeju karjeras atbalstam izglītojamajiem </w:t>
            </w:r>
            <w:r w:rsidRPr="00750197">
              <w:rPr>
                <w:rFonts w:ascii="Times New Roman" w:hAnsi="Times New Roman" w:cs="Times New Roman"/>
                <w:sz w:val="24"/>
                <w:szCs w:val="24"/>
                <w:lang w:val="lv-LV"/>
              </w:rPr>
              <w:lastRenderedPageBreak/>
              <w:t>vispārējās un profesionālās izglītības iestādēs” (turpmāk – 8.5.3.SAM) pagarinājums ir pietiekams, ņemot vērā, ka 8.5.3.SAM plānots īstenot līdz 2022.gada 31.decembrim, kas nav mācību gada noslēgums;</w:t>
            </w:r>
          </w:p>
          <w:p w14:paraId="14845902" w14:textId="571FE5A3" w:rsidR="00972D3A" w:rsidRPr="000F03BD" w:rsidRDefault="00972D3A" w:rsidP="00750197">
            <w:pPr>
              <w:spacing w:after="0" w:line="240" w:lineRule="auto"/>
              <w:jc w:val="both"/>
              <w:rPr>
                <w:rFonts w:ascii="Times New Roman" w:hAnsi="Times New Roman" w:cs="Times New Roman"/>
                <w:sz w:val="24"/>
                <w:szCs w:val="24"/>
                <w:lang w:val="lv-LV"/>
              </w:rPr>
            </w:pPr>
          </w:p>
        </w:tc>
        <w:tc>
          <w:tcPr>
            <w:tcW w:w="3312" w:type="dxa"/>
            <w:vMerge w:val="restart"/>
          </w:tcPr>
          <w:p w14:paraId="34575042" w14:textId="4715C5AE" w:rsidR="00972D3A" w:rsidRPr="00BF3B2C" w:rsidRDefault="00972D3A" w:rsidP="00BF3B2C">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tc>
        <w:tc>
          <w:tcPr>
            <w:tcW w:w="3810" w:type="dxa"/>
            <w:vMerge w:val="restart"/>
          </w:tcPr>
          <w:p w14:paraId="14AEC61A" w14:textId="566C571A" w:rsidR="00972D3A" w:rsidRDefault="00972D3A" w:rsidP="00C60E0F">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Skatīt precizēt</w:t>
            </w:r>
            <w:r>
              <w:rPr>
                <w:rFonts w:ascii="Times New Roman" w:hAnsi="Times New Roman" w:cs="Times New Roman"/>
                <w:bCs/>
                <w:spacing w:val="-2"/>
                <w:sz w:val="24"/>
                <w:szCs w:val="24"/>
                <w:lang w:val="lv-LV"/>
              </w:rPr>
              <w:t>o</w:t>
            </w:r>
            <w:r>
              <w:rPr>
                <w:rFonts w:ascii="Times New Roman" w:hAnsi="Times New Roman" w:cs="Times New Roman"/>
                <w:bCs/>
                <w:spacing w:val="-2"/>
                <w:sz w:val="24"/>
                <w:szCs w:val="24"/>
                <w:lang w:val="lv-LV"/>
              </w:rPr>
              <w:t xml:space="preserve"> anotācijas</w:t>
            </w:r>
            <w:r w:rsidRPr="00750197">
              <w:rPr>
                <w:rFonts w:ascii="Times New Roman" w:hAnsi="Times New Roman" w:cs="Times New Roman"/>
                <w:bCs/>
                <w:spacing w:val="-2"/>
                <w:sz w:val="24"/>
                <w:szCs w:val="24"/>
                <w:lang w:val="lv-LV"/>
              </w:rPr>
              <w:t xml:space="preserve"> I sadaļas “Tiesību akta projekta izstrādes nepieciešamība” 2.punkt</w:t>
            </w:r>
            <w:r>
              <w:rPr>
                <w:rFonts w:ascii="Times New Roman" w:hAnsi="Times New Roman" w:cs="Times New Roman"/>
                <w:bCs/>
                <w:spacing w:val="-2"/>
                <w:sz w:val="24"/>
                <w:szCs w:val="24"/>
                <w:lang w:val="lv-LV"/>
              </w:rPr>
              <w:t>u.</w:t>
            </w:r>
          </w:p>
        </w:tc>
      </w:tr>
      <w:tr w:rsidR="00972D3A" w:rsidRPr="00304460" w14:paraId="2D4FBC78" w14:textId="77777777" w:rsidTr="0034135A">
        <w:trPr>
          <w:trHeight w:val="275"/>
        </w:trPr>
        <w:tc>
          <w:tcPr>
            <w:tcW w:w="959" w:type="dxa"/>
          </w:tcPr>
          <w:p w14:paraId="4107F6E6" w14:textId="0B089A96" w:rsidR="00972D3A" w:rsidRDefault="00493A8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6.</w:t>
            </w:r>
          </w:p>
        </w:tc>
        <w:tc>
          <w:tcPr>
            <w:tcW w:w="2546" w:type="dxa"/>
            <w:vMerge/>
          </w:tcPr>
          <w:p w14:paraId="69979A56" w14:textId="77777777" w:rsidR="00972D3A" w:rsidRPr="009F4437" w:rsidRDefault="00972D3A" w:rsidP="009F4437">
            <w:pPr>
              <w:spacing w:after="0" w:line="240" w:lineRule="auto"/>
              <w:jc w:val="both"/>
              <w:rPr>
                <w:rFonts w:ascii="Times New Roman" w:hAnsi="Times New Roman" w:cs="Times New Roman"/>
                <w:bCs/>
                <w:spacing w:val="-2"/>
                <w:sz w:val="24"/>
                <w:szCs w:val="24"/>
                <w:lang w:val="lv-LV"/>
              </w:rPr>
            </w:pPr>
          </w:p>
        </w:tc>
        <w:tc>
          <w:tcPr>
            <w:tcW w:w="4428" w:type="dxa"/>
          </w:tcPr>
          <w:p w14:paraId="7808CBB3" w14:textId="19EA2E05" w:rsidR="00972D3A" w:rsidRPr="000F03BD" w:rsidRDefault="00972D3A" w:rsidP="00BF49ED">
            <w:pPr>
              <w:spacing w:after="0" w:line="240" w:lineRule="auto"/>
              <w:jc w:val="both"/>
              <w:rPr>
                <w:rFonts w:ascii="Times New Roman" w:hAnsi="Times New Roman" w:cs="Times New Roman"/>
                <w:sz w:val="24"/>
                <w:szCs w:val="24"/>
                <w:lang w:val="lv-LV"/>
              </w:rPr>
            </w:pPr>
            <w:r w:rsidRPr="00750197">
              <w:rPr>
                <w:rFonts w:ascii="Times New Roman" w:hAnsi="Times New Roman" w:cs="Times New Roman"/>
                <w:sz w:val="24"/>
                <w:szCs w:val="24"/>
                <w:lang w:val="lv-LV"/>
              </w:rPr>
              <w:t>2)</w:t>
            </w:r>
            <w:r w:rsidRPr="00750197">
              <w:rPr>
                <w:rFonts w:ascii="Times New Roman" w:hAnsi="Times New Roman" w:cs="Times New Roman"/>
                <w:sz w:val="24"/>
                <w:szCs w:val="24"/>
                <w:lang w:val="lv-LV"/>
              </w:rPr>
              <w:tab/>
              <w:t xml:space="preserve">ar </w:t>
            </w:r>
            <w:proofErr w:type="spellStart"/>
            <w:r w:rsidRPr="00750197">
              <w:rPr>
                <w:rFonts w:ascii="Times New Roman" w:hAnsi="Times New Roman" w:cs="Times New Roman"/>
                <w:sz w:val="24"/>
                <w:szCs w:val="24"/>
                <w:lang w:val="lv-LV"/>
              </w:rPr>
              <w:t>izvērtējumu</w:t>
            </w:r>
            <w:proofErr w:type="spellEnd"/>
            <w:r w:rsidRPr="00750197">
              <w:rPr>
                <w:rFonts w:ascii="Times New Roman" w:hAnsi="Times New Roman" w:cs="Times New Roman"/>
                <w:sz w:val="24"/>
                <w:szCs w:val="24"/>
                <w:lang w:val="lv-LV"/>
              </w:rPr>
              <w:t>, vai pandēmijas apstākļi nav ietekmējuši karjeras konsultantu darbu un paša 8.3.5.SAM īstenošanu, un vai ir iespējams nodrošināt, ka pārdalītais finansējums tiks izlietots plānotajam mērķim un plānotajā termiņā, ņemot vērā, ka 8.4.1.SAM noteikumu projekts paredz 8.3.5.SAM īstenošanai novirzīt 8.4.1.specifiskā atbalsta mērķa “Pilnveidot nodarbināto personu profesionālo kompetenci” (turpmāk – 8.4.1.SAM) attālinātās mācību kārtas ietvaros radušos finansējuma ietaupījumu, kas faktiski ir ar MK 2020.gada 16.jūnija noteikumiem Nr. 396  8.4.1.SAM papildus piešķirtais finansējums Covid-19 seku likvidēšanai, un kas rad</w:t>
            </w:r>
            <w:r>
              <w:rPr>
                <w:rFonts w:ascii="Times New Roman" w:hAnsi="Times New Roman" w:cs="Times New Roman"/>
                <w:sz w:val="24"/>
                <w:szCs w:val="24"/>
                <w:lang w:val="lv-LV"/>
              </w:rPr>
              <w:t>ies pandēmijas ierobežojumu dēļ.</w:t>
            </w:r>
          </w:p>
        </w:tc>
        <w:tc>
          <w:tcPr>
            <w:tcW w:w="3312" w:type="dxa"/>
            <w:vMerge/>
          </w:tcPr>
          <w:p w14:paraId="047B98E7" w14:textId="77777777" w:rsidR="00972D3A" w:rsidRPr="00BF3B2C" w:rsidRDefault="00972D3A" w:rsidP="00BF3B2C">
            <w:pPr>
              <w:spacing w:after="0" w:line="240" w:lineRule="auto"/>
              <w:jc w:val="both"/>
              <w:rPr>
                <w:rFonts w:ascii="Times New Roman" w:eastAsia="Times New Roman" w:hAnsi="Times New Roman" w:cs="Times New Roman"/>
                <w:b/>
                <w:sz w:val="24"/>
                <w:szCs w:val="24"/>
                <w:lang w:val="lv-LV" w:eastAsia="lv-LV"/>
              </w:rPr>
            </w:pPr>
          </w:p>
        </w:tc>
        <w:tc>
          <w:tcPr>
            <w:tcW w:w="3810" w:type="dxa"/>
            <w:vMerge/>
          </w:tcPr>
          <w:p w14:paraId="14A58799" w14:textId="77777777" w:rsidR="00972D3A" w:rsidRDefault="00972D3A" w:rsidP="00463944">
            <w:pPr>
              <w:spacing w:after="0" w:line="240" w:lineRule="auto"/>
              <w:jc w:val="both"/>
              <w:rPr>
                <w:rFonts w:ascii="Times New Roman" w:hAnsi="Times New Roman" w:cs="Times New Roman"/>
                <w:bCs/>
                <w:spacing w:val="-2"/>
                <w:sz w:val="24"/>
                <w:szCs w:val="24"/>
                <w:lang w:val="lv-LV"/>
              </w:rPr>
            </w:pPr>
          </w:p>
        </w:tc>
      </w:tr>
      <w:tr w:rsidR="00647FC4" w:rsidRPr="00304460" w14:paraId="65DDE8C1" w14:textId="77777777" w:rsidTr="0034135A">
        <w:trPr>
          <w:trHeight w:val="275"/>
        </w:trPr>
        <w:tc>
          <w:tcPr>
            <w:tcW w:w="959" w:type="dxa"/>
          </w:tcPr>
          <w:p w14:paraId="4D58AFCF" w14:textId="184E27F3" w:rsidR="00647FC4" w:rsidRPr="00304460" w:rsidRDefault="00493A8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7</w:t>
            </w:r>
            <w:r w:rsidR="00647FC4" w:rsidRPr="00304460">
              <w:rPr>
                <w:rFonts w:ascii="Times New Roman" w:eastAsia="Times New Roman" w:hAnsi="Times New Roman" w:cs="Times New Roman"/>
                <w:sz w:val="24"/>
                <w:szCs w:val="24"/>
                <w:lang w:val="lv-LV" w:eastAsia="lv-LV"/>
              </w:rPr>
              <w:t>.</w:t>
            </w:r>
          </w:p>
        </w:tc>
        <w:tc>
          <w:tcPr>
            <w:tcW w:w="2546" w:type="dxa"/>
            <w:vMerge w:val="restart"/>
          </w:tcPr>
          <w:p w14:paraId="5E5D71D0" w14:textId="1232D9CC" w:rsidR="00647FC4" w:rsidRPr="00304460" w:rsidRDefault="00647FC4" w:rsidP="009F4437">
            <w:pPr>
              <w:spacing w:after="0" w:line="240" w:lineRule="auto"/>
              <w:jc w:val="both"/>
              <w:rPr>
                <w:rFonts w:ascii="Times New Roman" w:hAnsi="Times New Roman" w:cs="Times New Roman"/>
                <w:bCs/>
                <w:spacing w:val="-2"/>
                <w:sz w:val="24"/>
                <w:szCs w:val="24"/>
                <w:lang w:val="lv-LV"/>
              </w:rPr>
            </w:pPr>
            <w:r w:rsidRPr="009F4437">
              <w:rPr>
                <w:rFonts w:ascii="Times New Roman" w:hAnsi="Times New Roman" w:cs="Times New Roman"/>
                <w:bCs/>
                <w:spacing w:val="-2"/>
                <w:sz w:val="24"/>
                <w:szCs w:val="24"/>
                <w:lang w:val="lv-LV"/>
              </w:rPr>
              <w:t>Anotācijas II sadaļas “Tiesību akta projekta ietekme uz sabiedrību, tautsaimniecības attīstību un administratīvo slogu” 5.punkt</w:t>
            </w:r>
            <w:r>
              <w:rPr>
                <w:rFonts w:ascii="Times New Roman" w:hAnsi="Times New Roman" w:cs="Times New Roman"/>
                <w:bCs/>
                <w:spacing w:val="-2"/>
                <w:sz w:val="24"/>
                <w:szCs w:val="24"/>
                <w:lang w:val="lv-LV"/>
              </w:rPr>
              <w:t>s</w:t>
            </w:r>
          </w:p>
        </w:tc>
        <w:tc>
          <w:tcPr>
            <w:tcW w:w="4428" w:type="dxa"/>
          </w:tcPr>
          <w:p w14:paraId="41E41BB1" w14:textId="203C63C6" w:rsidR="00647FC4" w:rsidRPr="00304460" w:rsidRDefault="00647FC4" w:rsidP="00BF49ED">
            <w:pPr>
              <w:spacing w:after="0" w:line="240" w:lineRule="auto"/>
              <w:jc w:val="both"/>
              <w:rPr>
                <w:rFonts w:ascii="Times New Roman" w:hAnsi="Times New Roman" w:cs="Times New Roman"/>
                <w:sz w:val="24"/>
                <w:szCs w:val="24"/>
                <w:lang w:val="lv-LV"/>
              </w:rPr>
            </w:pPr>
            <w:r w:rsidRPr="000F03BD">
              <w:rPr>
                <w:rFonts w:ascii="Times New Roman" w:hAnsi="Times New Roman" w:cs="Times New Roman"/>
                <w:sz w:val="24"/>
                <w:szCs w:val="24"/>
                <w:lang w:val="lv-LV"/>
              </w:rPr>
              <w:t xml:space="preserve">Anotācijas II sadaļas “Tiesību akta projekta ietekme uz sabiedrību, tautsaimniecības attīstību un administratīvo slogu” 5.punktā minēts, ka projekta īstenošanā iesaistītajām pašvaldībām un profesionālās izglītības kompetences centriem būs jānodrošina līdzfinansējums, lai ievērotu Latvijas normatīvajos aktos noteikto par darbinieka tiesībām uz ikgadēju apmaksātu </w:t>
            </w:r>
            <w:r w:rsidRPr="000F03BD">
              <w:rPr>
                <w:rFonts w:ascii="Times New Roman" w:hAnsi="Times New Roman" w:cs="Times New Roman"/>
                <w:sz w:val="24"/>
                <w:szCs w:val="24"/>
                <w:lang w:val="lv-LV"/>
              </w:rPr>
              <w:lastRenderedPageBreak/>
              <w:t>atvaļinājuma vai kompensāciju par neizmantoto atvaļinājumu, beidzoties darba attiecībām, kā arī lai nodrošinātu pedagogu karjeras konsultantu tīkla darbības nepārtrauktību. Lūdzam papildināt anotāciju ar informāciju, cik lielā apmērā un no kāda finansējuma avota to plānots nodrošināt</w:t>
            </w:r>
          </w:p>
        </w:tc>
        <w:tc>
          <w:tcPr>
            <w:tcW w:w="3312" w:type="dxa"/>
            <w:vMerge w:val="restart"/>
          </w:tcPr>
          <w:p w14:paraId="36C402D1" w14:textId="570E9715" w:rsidR="00647FC4" w:rsidRPr="00BF3B2C" w:rsidRDefault="00647FC4" w:rsidP="00BF3B2C">
            <w:pPr>
              <w:spacing w:after="0" w:line="240" w:lineRule="auto"/>
              <w:jc w:val="both"/>
              <w:rPr>
                <w:rFonts w:ascii="Times New Roman" w:eastAsia="Times New Roman" w:hAnsi="Times New Roman" w:cs="Times New Roman"/>
                <w:b/>
                <w:sz w:val="24"/>
                <w:szCs w:val="24"/>
                <w:lang w:val="lv-LV" w:eastAsia="lv-LV"/>
              </w:rPr>
            </w:pPr>
            <w:r w:rsidRPr="00BF3B2C">
              <w:rPr>
                <w:rFonts w:ascii="Times New Roman" w:eastAsia="Times New Roman" w:hAnsi="Times New Roman" w:cs="Times New Roman"/>
                <w:b/>
                <w:sz w:val="24"/>
                <w:szCs w:val="24"/>
                <w:lang w:val="lv-LV" w:eastAsia="lv-LV"/>
              </w:rPr>
              <w:lastRenderedPageBreak/>
              <w:t>Ņemts vērā</w:t>
            </w:r>
          </w:p>
          <w:p w14:paraId="67073B0D" w14:textId="5609C3B0" w:rsidR="00647FC4" w:rsidRPr="00BF3B2C" w:rsidRDefault="00647FC4" w:rsidP="00F903B8">
            <w:pPr>
              <w:spacing w:after="0" w:line="240" w:lineRule="auto"/>
              <w:jc w:val="both"/>
              <w:rPr>
                <w:rFonts w:ascii="Times New Roman" w:eastAsia="Times New Roman" w:hAnsi="Times New Roman" w:cs="Times New Roman"/>
                <w:sz w:val="24"/>
                <w:szCs w:val="24"/>
                <w:lang w:val="lv-LV" w:eastAsia="lv-LV"/>
              </w:rPr>
            </w:pPr>
          </w:p>
        </w:tc>
        <w:tc>
          <w:tcPr>
            <w:tcW w:w="3810" w:type="dxa"/>
            <w:vMerge w:val="restart"/>
          </w:tcPr>
          <w:p w14:paraId="23953047" w14:textId="77777777" w:rsidR="00647FC4" w:rsidRDefault="00647FC4" w:rsidP="00463944">
            <w:pPr>
              <w:spacing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bCs/>
                <w:spacing w:val="-2"/>
                <w:sz w:val="24"/>
                <w:szCs w:val="24"/>
                <w:lang w:val="lv-LV"/>
              </w:rPr>
              <w:t xml:space="preserve">Skatīt precizēto anotācijas </w:t>
            </w:r>
            <w:r w:rsidRPr="00463944">
              <w:rPr>
                <w:rFonts w:ascii="Times New Roman" w:hAnsi="Times New Roman" w:cs="Times New Roman"/>
                <w:bCs/>
                <w:spacing w:val="-2"/>
                <w:sz w:val="24"/>
                <w:szCs w:val="24"/>
                <w:lang w:val="lv-LV"/>
              </w:rPr>
              <w:t>II sadaļas “Tiesību akta projekta ietekme uz sabiedrību, tautsaimniecības attīstību un administratīvo slogu” 5.punkt</w:t>
            </w:r>
            <w:r>
              <w:rPr>
                <w:rFonts w:ascii="Times New Roman" w:hAnsi="Times New Roman" w:cs="Times New Roman"/>
                <w:bCs/>
                <w:spacing w:val="-2"/>
                <w:sz w:val="24"/>
                <w:szCs w:val="24"/>
                <w:lang w:val="lv-LV"/>
              </w:rPr>
              <w:t>u.</w:t>
            </w:r>
            <w:r w:rsidRPr="00BF3B2C">
              <w:rPr>
                <w:rFonts w:ascii="Times New Roman" w:eastAsia="Times New Roman" w:hAnsi="Times New Roman" w:cs="Times New Roman"/>
                <w:sz w:val="24"/>
                <w:szCs w:val="24"/>
                <w:lang w:val="lv-LV" w:eastAsia="lv-LV"/>
              </w:rPr>
              <w:t xml:space="preserve"> </w:t>
            </w:r>
          </w:p>
          <w:p w14:paraId="526401D1" w14:textId="77777777" w:rsidR="00647FC4" w:rsidRDefault="00647FC4" w:rsidP="00463944">
            <w:pPr>
              <w:spacing w:after="0" w:line="240" w:lineRule="auto"/>
              <w:jc w:val="both"/>
              <w:rPr>
                <w:rFonts w:ascii="Times New Roman" w:eastAsia="Times New Roman" w:hAnsi="Times New Roman" w:cs="Times New Roman"/>
                <w:sz w:val="24"/>
                <w:szCs w:val="24"/>
                <w:lang w:val="lv-LV" w:eastAsia="lv-LV"/>
              </w:rPr>
            </w:pPr>
          </w:p>
          <w:p w14:paraId="1B715531" w14:textId="4FF374AE" w:rsidR="00647FC4" w:rsidRPr="00304460" w:rsidRDefault="00647FC4" w:rsidP="00463944">
            <w:pPr>
              <w:spacing w:after="0" w:line="240" w:lineRule="auto"/>
              <w:jc w:val="both"/>
              <w:rPr>
                <w:rFonts w:ascii="Times New Roman" w:hAnsi="Times New Roman" w:cs="Times New Roman"/>
                <w:bCs/>
                <w:spacing w:val="-2"/>
                <w:sz w:val="24"/>
                <w:szCs w:val="24"/>
                <w:lang w:val="lv-LV"/>
              </w:rPr>
            </w:pPr>
          </w:p>
        </w:tc>
      </w:tr>
      <w:tr w:rsidR="00647FC4" w:rsidRPr="00304460" w14:paraId="61BBAEBD" w14:textId="77777777" w:rsidTr="0034135A">
        <w:trPr>
          <w:trHeight w:val="275"/>
        </w:trPr>
        <w:tc>
          <w:tcPr>
            <w:tcW w:w="959" w:type="dxa"/>
          </w:tcPr>
          <w:p w14:paraId="144CE5D8" w14:textId="2B005D0D" w:rsidR="00647FC4" w:rsidRDefault="00493A8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8</w:t>
            </w:r>
            <w:r w:rsidR="00647FC4">
              <w:rPr>
                <w:rFonts w:ascii="Times New Roman" w:eastAsia="Times New Roman" w:hAnsi="Times New Roman" w:cs="Times New Roman"/>
                <w:sz w:val="24"/>
                <w:szCs w:val="24"/>
                <w:lang w:val="lv-LV" w:eastAsia="lv-LV"/>
              </w:rPr>
              <w:t>.</w:t>
            </w:r>
          </w:p>
        </w:tc>
        <w:tc>
          <w:tcPr>
            <w:tcW w:w="2546" w:type="dxa"/>
            <w:vMerge/>
          </w:tcPr>
          <w:p w14:paraId="651A578C" w14:textId="77777777" w:rsidR="00647FC4" w:rsidRDefault="00647FC4" w:rsidP="00463944">
            <w:pPr>
              <w:spacing w:after="0" w:line="240" w:lineRule="auto"/>
              <w:jc w:val="both"/>
              <w:rPr>
                <w:rFonts w:ascii="Times New Roman" w:hAnsi="Times New Roman" w:cs="Times New Roman"/>
                <w:bCs/>
                <w:spacing w:val="-2"/>
                <w:sz w:val="24"/>
                <w:szCs w:val="24"/>
                <w:lang w:val="lv-LV"/>
              </w:rPr>
            </w:pPr>
          </w:p>
        </w:tc>
        <w:tc>
          <w:tcPr>
            <w:tcW w:w="4428" w:type="dxa"/>
          </w:tcPr>
          <w:p w14:paraId="3E9D8C06" w14:textId="6484EFA4" w:rsidR="00647FC4" w:rsidRPr="00AE45C0" w:rsidRDefault="00647FC4" w:rsidP="00047649">
            <w:pPr>
              <w:spacing w:after="0" w:line="240" w:lineRule="auto"/>
              <w:jc w:val="both"/>
              <w:rPr>
                <w:rFonts w:ascii="Times New Roman" w:hAnsi="Times New Roman" w:cs="Times New Roman"/>
                <w:sz w:val="24"/>
                <w:szCs w:val="24"/>
                <w:highlight w:val="yellow"/>
                <w:lang w:val="lv-LV"/>
              </w:rPr>
            </w:pPr>
            <w:r w:rsidRPr="00AD5FFA">
              <w:rPr>
                <w:rFonts w:ascii="Times New Roman" w:hAnsi="Times New Roman" w:cs="Times New Roman"/>
                <w:sz w:val="24"/>
                <w:szCs w:val="24"/>
                <w:lang w:val="lv-LV"/>
              </w:rPr>
              <w:t xml:space="preserve">Lūdzam papildināt anotācijas II sadaļas “Tiesību akta projekta ietekme uz sabiedrību, tautsaimniecības attīstību un administratīvo slogu” 5. punktu ar informāciju, ka projekta īstenošanā iesaistītās pašvaldības un profesionālās izglītības kompetences centri līdzfinansējumu nodrošinās tām </w:t>
            </w:r>
            <w:r w:rsidRPr="00AD5FFA">
              <w:rPr>
                <w:rFonts w:ascii="Times New Roman" w:hAnsi="Times New Roman" w:cs="Times New Roman"/>
                <w:sz w:val="24"/>
                <w:szCs w:val="24"/>
                <w:u w:val="single"/>
                <w:lang w:val="lv-LV"/>
              </w:rPr>
              <w:t>piešķirto</w:t>
            </w:r>
            <w:r w:rsidRPr="00AD5FFA">
              <w:rPr>
                <w:rFonts w:ascii="Times New Roman" w:hAnsi="Times New Roman" w:cs="Times New Roman"/>
                <w:sz w:val="24"/>
                <w:szCs w:val="24"/>
                <w:lang w:val="lv-LV"/>
              </w:rPr>
              <w:t xml:space="preserve"> valsts budžeta un pašvaldību budžeta līdzekļu ietvaros</w:t>
            </w:r>
          </w:p>
        </w:tc>
        <w:tc>
          <w:tcPr>
            <w:tcW w:w="3312" w:type="dxa"/>
            <w:vMerge/>
          </w:tcPr>
          <w:p w14:paraId="3D1186D1" w14:textId="533F7DE8" w:rsidR="00647FC4" w:rsidRDefault="00647FC4" w:rsidP="00D873D9">
            <w:pPr>
              <w:spacing w:after="0" w:line="240" w:lineRule="auto"/>
              <w:jc w:val="both"/>
              <w:rPr>
                <w:rFonts w:ascii="Times New Roman" w:eastAsia="Times New Roman" w:hAnsi="Times New Roman" w:cs="Times New Roman"/>
                <w:b/>
                <w:sz w:val="24"/>
                <w:szCs w:val="24"/>
                <w:lang w:val="lv-LV" w:eastAsia="lv-LV"/>
              </w:rPr>
            </w:pPr>
          </w:p>
        </w:tc>
        <w:tc>
          <w:tcPr>
            <w:tcW w:w="3810" w:type="dxa"/>
            <w:vMerge/>
          </w:tcPr>
          <w:p w14:paraId="646DC216" w14:textId="77777777" w:rsidR="00647FC4" w:rsidRDefault="00647FC4" w:rsidP="00463944">
            <w:pPr>
              <w:spacing w:after="0" w:line="240" w:lineRule="auto"/>
              <w:jc w:val="both"/>
              <w:rPr>
                <w:rFonts w:ascii="Times New Roman" w:hAnsi="Times New Roman" w:cs="Times New Roman"/>
                <w:bCs/>
                <w:spacing w:val="-2"/>
                <w:sz w:val="24"/>
                <w:szCs w:val="24"/>
                <w:lang w:val="lv-LV"/>
              </w:rPr>
            </w:pPr>
          </w:p>
        </w:tc>
      </w:tr>
      <w:tr w:rsidR="003F1590" w:rsidRPr="00304460" w14:paraId="3044F8A4" w14:textId="77777777" w:rsidTr="0034135A">
        <w:trPr>
          <w:trHeight w:val="275"/>
        </w:trPr>
        <w:tc>
          <w:tcPr>
            <w:tcW w:w="959" w:type="dxa"/>
          </w:tcPr>
          <w:p w14:paraId="7CE91FB4" w14:textId="07DA1F3F" w:rsidR="003F1590" w:rsidRPr="00304460" w:rsidRDefault="00493A8A" w:rsidP="000476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9</w:t>
            </w:r>
            <w:r w:rsidR="00BF49ED" w:rsidRPr="00304460">
              <w:rPr>
                <w:rFonts w:ascii="Times New Roman" w:eastAsia="Times New Roman" w:hAnsi="Times New Roman" w:cs="Times New Roman"/>
                <w:sz w:val="24"/>
                <w:szCs w:val="24"/>
                <w:lang w:val="lv-LV" w:eastAsia="lv-LV"/>
              </w:rPr>
              <w:t>.</w:t>
            </w:r>
          </w:p>
        </w:tc>
        <w:tc>
          <w:tcPr>
            <w:tcW w:w="2546" w:type="dxa"/>
          </w:tcPr>
          <w:p w14:paraId="167238A0" w14:textId="5FC1FFB5" w:rsidR="003F1590" w:rsidRPr="00304460" w:rsidRDefault="00836B79" w:rsidP="00463944">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A</w:t>
            </w:r>
            <w:r w:rsidRPr="00836B79">
              <w:rPr>
                <w:rFonts w:ascii="Times New Roman" w:hAnsi="Times New Roman" w:cs="Times New Roman"/>
                <w:bCs/>
                <w:spacing w:val="-2"/>
                <w:sz w:val="24"/>
                <w:szCs w:val="24"/>
                <w:lang w:val="lv-LV"/>
              </w:rPr>
              <w:t>notācijas III sadaļa “Tiesību akta projekta ietekme uz valsts budžetu un pašvaldību budžetiem”</w:t>
            </w:r>
          </w:p>
        </w:tc>
        <w:tc>
          <w:tcPr>
            <w:tcW w:w="4428" w:type="dxa"/>
          </w:tcPr>
          <w:p w14:paraId="36F30BE5" w14:textId="5E045C35" w:rsidR="003F1590" w:rsidRPr="00304460" w:rsidRDefault="000F03BD" w:rsidP="00047649">
            <w:pPr>
              <w:spacing w:after="0" w:line="240" w:lineRule="auto"/>
              <w:jc w:val="both"/>
              <w:rPr>
                <w:rFonts w:ascii="Times New Roman" w:hAnsi="Times New Roman" w:cs="Times New Roman"/>
                <w:sz w:val="24"/>
                <w:szCs w:val="24"/>
                <w:lang w:val="lv-LV"/>
              </w:rPr>
            </w:pPr>
            <w:r w:rsidRPr="000F03BD">
              <w:rPr>
                <w:rFonts w:ascii="Times New Roman" w:hAnsi="Times New Roman" w:cs="Times New Roman"/>
                <w:sz w:val="24"/>
                <w:szCs w:val="24"/>
                <w:lang w:val="lv-LV"/>
              </w:rPr>
              <w:t xml:space="preserve">Lūdzam redakcionāli precizēt anotācijas III sadaļas “Tiesību akta projekta ietekme uz valsts budžetu un pašvaldību budžetiem” aili “izmaiņas, salīdzinot ar vidēja termiņa budžeta ietvaru 2021.gadam” gadu “2021.” aizstājot ar gadu “2022.” un ailēs “izmaiņas, salīdzinot ar vidēja termiņa budžeta ietvaru 2022.gadam” gadu “2022.” aizstājot ar gadu “2023.”. </w:t>
            </w:r>
            <w:r w:rsidRPr="00124587">
              <w:rPr>
                <w:rFonts w:ascii="Times New Roman" w:hAnsi="Times New Roman" w:cs="Times New Roman"/>
                <w:sz w:val="24"/>
                <w:szCs w:val="24"/>
                <w:lang w:val="lv-LV"/>
              </w:rPr>
              <w:t>Vienlaikus lūdzam minēto sadaļu aizpildīt atbilstoši MK 2009.gada 15.decembra instrukcijā Nr.19 “Tiesību akta projekta sākotnējās ietekmes izvērtēšanas kārtība” noteiktajam, papildinot to ar trūkstošajām rindām</w:t>
            </w:r>
          </w:p>
        </w:tc>
        <w:tc>
          <w:tcPr>
            <w:tcW w:w="3312" w:type="dxa"/>
          </w:tcPr>
          <w:p w14:paraId="251C2BC1" w14:textId="0B24A4FF" w:rsidR="003F1590" w:rsidRPr="00304460" w:rsidRDefault="00463944" w:rsidP="00D873D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tc>
        <w:tc>
          <w:tcPr>
            <w:tcW w:w="3810" w:type="dxa"/>
          </w:tcPr>
          <w:p w14:paraId="44C7639B" w14:textId="41CA8169" w:rsidR="003F1590" w:rsidRPr="00304460" w:rsidRDefault="00463944" w:rsidP="00463944">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 xml:space="preserve">Skatīt precizēto anotācijas </w:t>
            </w:r>
            <w:r>
              <w:t xml:space="preserve"> </w:t>
            </w:r>
            <w:r w:rsidRPr="00463944">
              <w:rPr>
                <w:rFonts w:ascii="Times New Roman" w:hAnsi="Times New Roman" w:cs="Times New Roman"/>
                <w:bCs/>
                <w:spacing w:val="-2"/>
                <w:sz w:val="24"/>
                <w:szCs w:val="24"/>
                <w:lang w:val="lv-LV"/>
              </w:rPr>
              <w:t>III sadaļ</w:t>
            </w:r>
            <w:r>
              <w:rPr>
                <w:rFonts w:ascii="Times New Roman" w:hAnsi="Times New Roman" w:cs="Times New Roman"/>
                <w:bCs/>
                <w:spacing w:val="-2"/>
                <w:sz w:val="24"/>
                <w:szCs w:val="24"/>
                <w:lang w:val="lv-LV"/>
              </w:rPr>
              <w:t>u</w:t>
            </w:r>
            <w:r w:rsidRPr="00463944">
              <w:rPr>
                <w:rFonts w:ascii="Times New Roman" w:hAnsi="Times New Roman" w:cs="Times New Roman"/>
                <w:bCs/>
                <w:spacing w:val="-2"/>
                <w:sz w:val="24"/>
                <w:szCs w:val="24"/>
                <w:lang w:val="lv-LV"/>
              </w:rPr>
              <w:t xml:space="preserve"> “Tiesību akta projekta ietekme uz valsts budžetu un pašvaldību budžetiem”</w:t>
            </w:r>
          </w:p>
        </w:tc>
      </w:tr>
    </w:tbl>
    <w:p w14:paraId="7D44A512" w14:textId="77777777" w:rsidR="00DA67CF" w:rsidRPr="00304460" w:rsidRDefault="00DA67CF" w:rsidP="00CB7218">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4DF852F1" w14:textId="77777777" w:rsidR="00F94788" w:rsidRDefault="00F94788"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304460"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Atbildīgā amatpersona__________________________________________________</w:t>
      </w:r>
    </w:p>
    <w:p w14:paraId="4013C254" w14:textId="345B0992" w:rsidR="003906EA" w:rsidRPr="00304460" w:rsidRDefault="00C369D0" w:rsidP="00A341A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lastRenderedPageBreak/>
        <w:tab/>
      </w: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t>(paraksts</w:t>
      </w:r>
      <w:r w:rsidR="00DA682D" w:rsidRPr="00304460">
        <w:rPr>
          <w:rFonts w:ascii="Times New Roman" w:eastAsia="Times New Roman" w:hAnsi="Times New Roman" w:cs="Times New Roman"/>
          <w:sz w:val="24"/>
          <w:szCs w:val="24"/>
          <w:lang w:val="lv-LV" w:eastAsia="lv-LV"/>
        </w:rPr>
        <w:t>)</w:t>
      </w:r>
    </w:p>
    <w:p w14:paraId="62435245" w14:textId="5C6E62E9" w:rsidR="00AE73EF" w:rsidRPr="00304460" w:rsidRDefault="00113F59" w:rsidP="00AE73EF">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Zanda Rudene</w:t>
      </w:r>
    </w:p>
    <w:p w14:paraId="4BB80997" w14:textId="77777777" w:rsidR="00AE73EF" w:rsidRPr="00304460" w:rsidRDefault="00AE73EF" w:rsidP="00AE73EF">
      <w:pPr>
        <w:spacing w:after="0" w:line="240" w:lineRule="auto"/>
        <w:jc w:val="both"/>
        <w:rPr>
          <w:rFonts w:ascii="Times New Roman" w:eastAsia="Times New Roman" w:hAnsi="Times New Roman" w:cs="Times New Roman"/>
          <w:sz w:val="20"/>
          <w:szCs w:val="20"/>
          <w:lang w:val="lv-LV" w:eastAsia="lv-LV"/>
        </w:rPr>
      </w:pPr>
      <w:r w:rsidRPr="00304460">
        <w:rPr>
          <w:rFonts w:ascii="Times New Roman" w:eastAsia="Times New Roman" w:hAnsi="Times New Roman" w:cs="Times New Roman"/>
          <w:sz w:val="20"/>
          <w:szCs w:val="20"/>
          <w:lang w:val="lv-LV" w:eastAsia="lv-LV"/>
        </w:rPr>
        <w:lastRenderedPageBreak/>
        <w:t>Izglītības un zinātnes ministrijas</w:t>
      </w:r>
    </w:p>
    <w:p w14:paraId="6E54CE9A" w14:textId="77777777" w:rsidR="00AE73EF" w:rsidRPr="00113F59" w:rsidRDefault="00AE73EF" w:rsidP="00AE73EF">
      <w:pPr>
        <w:spacing w:after="0" w:line="240" w:lineRule="auto"/>
        <w:jc w:val="both"/>
        <w:rPr>
          <w:rFonts w:ascii="Times New Roman" w:eastAsia="Times New Roman" w:hAnsi="Times New Roman" w:cs="Times New Roman"/>
          <w:sz w:val="20"/>
          <w:szCs w:val="20"/>
          <w:lang w:val="lv-LV" w:eastAsia="lv-LV"/>
        </w:rPr>
      </w:pPr>
      <w:r w:rsidRPr="00113F59">
        <w:rPr>
          <w:rFonts w:ascii="Times New Roman" w:eastAsia="Times New Roman" w:hAnsi="Times New Roman" w:cs="Times New Roman"/>
          <w:sz w:val="20"/>
          <w:szCs w:val="20"/>
          <w:lang w:val="lv-LV" w:eastAsia="lv-LV"/>
        </w:rPr>
        <w:t>Struktūrfondu departamenta vecākā eksperte</w:t>
      </w:r>
    </w:p>
    <w:p w14:paraId="4686E79A" w14:textId="442CE22A" w:rsidR="004D24C1" w:rsidRPr="00113F59" w:rsidRDefault="00304528" w:rsidP="000D61B9">
      <w:pPr>
        <w:spacing w:after="0" w:line="240" w:lineRule="auto"/>
        <w:jc w:val="both"/>
        <w:rPr>
          <w:rFonts w:ascii="Times New Roman" w:eastAsia="Times New Roman" w:hAnsi="Times New Roman" w:cs="Times New Roman"/>
          <w:sz w:val="20"/>
          <w:szCs w:val="20"/>
          <w:lang w:val="lv-LV" w:eastAsia="lv-LV"/>
        </w:rPr>
      </w:pPr>
      <w:r w:rsidRPr="00113F59">
        <w:rPr>
          <w:rFonts w:ascii="Times New Roman" w:eastAsia="Times New Roman" w:hAnsi="Times New Roman" w:cs="Times New Roman"/>
          <w:sz w:val="20"/>
          <w:szCs w:val="20"/>
          <w:lang w:val="lv-LV" w:eastAsia="lv-LV"/>
        </w:rPr>
        <w:t>67047</w:t>
      </w:r>
      <w:r w:rsidR="00113F59" w:rsidRPr="00113F59">
        <w:rPr>
          <w:rFonts w:ascii="Times New Roman" w:eastAsia="Times New Roman" w:hAnsi="Times New Roman" w:cs="Times New Roman"/>
          <w:sz w:val="20"/>
          <w:szCs w:val="20"/>
          <w:lang w:val="lv-LV" w:eastAsia="lv-LV"/>
        </w:rPr>
        <w:t>992</w:t>
      </w:r>
      <w:r w:rsidR="00AE73EF" w:rsidRPr="00113F59">
        <w:rPr>
          <w:rFonts w:ascii="Times New Roman" w:eastAsia="Times New Roman" w:hAnsi="Times New Roman" w:cs="Times New Roman"/>
          <w:sz w:val="20"/>
          <w:szCs w:val="20"/>
          <w:lang w:val="lv-LV" w:eastAsia="lv-LV"/>
        </w:rPr>
        <w:t xml:space="preserve">, </w:t>
      </w:r>
      <w:hyperlink r:id="rId8" w:history="1">
        <w:r w:rsidR="00113F59" w:rsidRPr="00113F59">
          <w:rPr>
            <w:rStyle w:val="Hyperlink"/>
            <w:rFonts w:ascii="Times New Roman" w:hAnsi="Times New Roman" w:cs="Times New Roman"/>
          </w:rPr>
          <w:t>zanda.rudene@izm.gov.lv</w:t>
        </w:r>
      </w:hyperlink>
      <w:r w:rsidR="00113F59" w:rsidRPr="00113F59">
        <w:rPr>
          <w:rFonts w:ascii="Times New Roman" w:hAnsi="Times New Roman" w:cs="Times New Roman"/>
        </w:rPr>
        <w:t xml:space="preserve"> </w:t>
      </w:r>
    </w:p>
    <w:sectPr w:rsidR="004D24C1" w:rsidRPr="00113F59" w:rsidSect="004476B1">
      <w:headerReference w:type="default" r:id="rId9"/>
      <w:footerReference w:type="default" r:id="rId10"/>
      <w:footerReference w:type="first" r:id="rId11"/>
      <w:pgSz w:w="16838" w:h="11906" w:orient="landscape"/>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F532" w14:textId="77777777" w:rsidR="00F542B4" w:rsidRDefault="00F542B4" w:rsidP="00AE73EF">
      <w:pPr>
        <w:spacing w:after="0" w:line="240" w:lineRule="auto"/>
      </w:pPr>
      <w:r>
        <w:separator/>
      </w:r>
    </w:p>
  </w:endnote>
  <w:endnote w:type="continuationSeparator" w:id="0">
    <w:p w14:paraId="761463E8" w14:textId="77777777" w:rsidR="00F542B4" w:rsidRDefault="00F542B4"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5B429D7F" w:rsidR="00B93124" w:rsidRPr="00113F59" w:rsidRDefault="00113F59" w:rsidP="00113F59">
    <w:pPr>
      <w:pStyle w:val="Footer"/>
    </w:pPr>
    <w:r w:rsidRPr="00113F59">
      <w:rPr>
        <w:rFonts w:ascii="Times New Roman" w:hAnsi="Times New Roman" w:cs="Times New Roman"/>
        <w:sz w:val="20"/>
        <w:szCs w:val="20"/>
        <w:lang w:val="lv-LV"/>
      </w:rPr>
      <w:t>IZMIzz_</w:t>
    </w:r>
    <w:r w:rsidR="00D83787">
      <w:rPr>
        <w:rFonts w:ascii="Times New Roman" w:hAnsi="Times New Roman" w:cs="Times New Roman"/>
        <w:sz w:val="20"/>
        <w:szCs w:val="20"/>
        <w:lang w:val="lv-LV"/>
      </w:rPr>
      <w:t>1008</w:t>
    </w:r>
    <w:r w:rsidRPr="00113F59">
      <w:rPr>
        <w:rFonts w:ascii="Times New Roman" w:hAnsi="Times New Roman" w:cs="Times New Roman"/>
        <w:sz w:val="20"/>
        <w:szCs w:val="20"/>
        <w:lang w:val="lv-LV"/>
      </w:rPr>
      <w:t>2021_MKN359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4107" w14:textId="04794E10" w:rsidR="00B93124" w:rsidRPr="00C57FB4" w:rsidRDefault="00B93124" w:rsidP="00C57FB4">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IZMIzz_</w:t>
    </w:r>
    <w:r w:rsidR="00D83787">
      <w:rPr>
        <w:rFonts w:ascii="Times New Roman" w:hAnsi="Times New Roman" w:cs="Times New Roman"/>
        <w:noProof/>
        <w:sz w:val="20"/>
        <w:szCs w:val="20"/>
        <w:lang w:val="lv-LV"/>
      </w:rPr>
      <w:t>1008</w:t>
    </w:r>
    <w:r>
      <w:rPr>
        <w:rFonts w:ascii="Times New Roman" w:hAnsi="Times New Roman" w:cs="Times New Roman"/>
        <w:noProof/>
        <w:sz w:val="20"/>
        <w:szCs w:val="20"/>
        <w:lang w:val="lv-LV"/>
      </w:rPr>
      <w:t>2021_</w:t>
    </w:r>
    <w:r w:rsidRPr="00AE73EF">
      <w:rPr>
        <w:rFonts w:ascii="Times New Roman" w:hAnsi="Times New Roman" w:cs="Times New Roman"/>
        <w:sz w:val="20"/>
        <w:szCs w:val="20"/>
        <w:lang w:val="lv-LV"/>
      </w:rPr>
      <w:fldChar w:fldCharType="end"/>
    </w:r>
    <w:r w:rsidR="00113F59">
      <w:rPr>
        <w:rFonts w:ascii="Times New Roman" w:hAnsi="Times New Roman" w:cs="Times New Roman"/>
        <w:sz w:val="20"/>
        <w:szCs w:val="20"/>
        <w:lang w:val="lv-LV"/>
      </w:rPr>
      <w:t>MKN359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421C" w14:textId="77777777" w:rsidR="00F542B4" w:rsidRDefault="00F542B4" w:rsidP="00AE73EF">
      <w:pPr>
        <w:spacing w:after="0" w:line="240" w:lineRule="auto"/>
      </w:pPr>
      <w:r>
        <w:separator/>
      </w:r>
    </w:p>
  </w:footnote>
  <w:footnote w:type="continuationSeparator" w:id="0">
    <w:p w14:paraId="42CD4638" w14:textId="77777777" w:rsidR="00F542B4" w:rsidRDefault="00F542B4"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B93124" w:rsidRDefault="00B93124">
        <w:pPr>
          <w:pStyle w:val="Header"/>
          <w:jc w:val="center"/>
        </w:pPr>
        <w:r>
          <w:fldChar w:fldCharType="begin"/>
        </w:r>
        <w:r>
          <w:instrText xml:space="preserve"> PAGE   \* MERGEFORMAT </w:instrText>
        </w:r>
        <w:r>
          <w:fldChar w:fldCharType="separate"/>
        </w:r>
        <w:r w:rsidR="00D83787">
          <w:rPr>
            <w:noProof/>
          </w:rPr>
          <w:t>7</w:t>
        </w:r>
        <w:r>
          <w:rPr>
            <w:noProof/>
          </w:rPr>
          <w:fldChar w:fldCharType="end"/>
        </w:r>
      </w:p>
    </w:sdtContent>
  </w:sdt>
  <w:p w14:paraId="6106397C" w14:textId="77777777" w:rsidR="00B93124" w:rsidRDefault="00B9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83A5D"/>
    <w:multiLevelType w:val="hybridMultilevel"/>
    <w:tmpl w:val="A378D8DE"/>
    <w:lvl w:ilvl="0" w:tplc="A01AAB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747077D"/>
    <w:multiLevelType w:val="hybridMultilevel"/>
    <w:tmpl w:val="DA86D9B6"/>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D40ECA"/>
    <w:multiLevelType w:val="hybridMultilevel"/>
    <w:tmpl w:val="A068403C"/>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8">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10"/>
  </w:num>
  <w:num w:numId="4">
    <w:abstractNumId w:val="3"/>
  </w:num>
  <w:num w:numId="5">
    <w:abstractNumId w:val="16"/>
  </w:num>
  <w:num w:numId="6">
    <w:abstractNumId w:val="11"/>
  </w:num>
  <w:num w:numId="7">
    <w:abstractNumId w:val="14"/>
  </w:num>
  <w:num w:numId="8">
    <w:abstractNumId w:val="0"/>
  </w:num>
  <w:num w:numId="9">
    <w:abstractNumId w:val="18"/>
  </w:num>
  <w:num w:numId="10">
    <w:abstractNumId w:val="19"/>
  </w:num>
  <w:num w:numId="11">
    <w:abstractNumId w:val="17"/>
  </w:num>
  <w:num w:numId="12">
    <w:abstractNumId w:val="6"/>
  </w:num>
  <w:num w:numId="13">
    <w:abstractNumId w:val="15"/>
  </w:num>
  <w:num w:numId="14">
    <w:abstractNumId w:val="21"/>
  </w:num>
  <w:num w:numId="15">
    <w:abstractNumId w:val="12"/>
  </w:num>
  <w:num w:numId="16">
    <w:abstractNumId w:val="5"/>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15F25"/>
    <w:rsid w:val="00023B43"/>
    <w:rsid w:val="00033773"/>
    <w:rsid w:val="00040F77"/>
    <w:rsid w:val="00042870"/>
    <w:rsid w:val="00043CC6"/>
    <w:rsid w:val="0004472A"/>
    <w:rsid w:val="00045140"/>
    <w:rsid w:val="00047649"/>
    <w:rsid w:val="00053002"/>
    <w:rsid w:val="00062504"/>
    <w:rsid w:val="00062CC3"/>
    <w:rsid w:val="00066667"/>
    <w:rsid w:val="00071869"/>
    <w:rsid w:val="000775DF"/>
    <w:rsid w:val="00083D6D"/>
    <w:rsid w:val="0009159A"/>
    <w:rsid w:val="0009550A"/>
    <w:rsid w:val="000A2BE3"/>
    <w:rsid w:val="000A6159"/>
    <w:rsid w:val="000B3B2F"/>
    <w:rsid w:val="000B6598"/>
    <w:rsid w:val="000B7277"/>
    <w:rsid w:val="000B7C96"/>
    <w:rsid w:val="000C4F8B"/>
    <w:rsid w:val="000C6309"/>
    <w:rsid w:val="000D0193"/>
    <w:rsid w:val="000D27D5"/>
    <w:rsid w:val="000D61B9"/>
    <w:rsid w:val="000D7DBB"/>
    <w:rsid w:val="000E0F86"/>
    <w:rsid w:val="000E3DB2"/>
    <w:rsid w:val="000E5B77"/>
    <w:rsid w:val="000F03BD"/>
    <w:rsid w:val="000F641F"/>
    <w:rsid w:val="00101344"/>
    <w:rsid w:val="00102FD9"/>
    <w:rsid w:val="00113F59"/>
    <w:rsid w:val="00114FFA"/>
    <w:rsid w:val="001232F0"/>
    <w:rsid w:val="00124587"/>
    <w:rsid w:val="00124AA8"/>
    <w:rsid w:val="00127327"/>
    <w:rsid w:val="001335BA"/>
    <w:rsid w:val="00134BF3"/>
    <w:rsid w:val="00137EC6"/>
    <w:rsid w:val="00163773"/>
    <w:rsid w:val="00180F92"/>
    <w:rsid w:val="00186610"/>
    <w:rsid w:val="0019396A"/>
    <w:rsid w:val="00195D85"/>
    <w:rsid w:val="001967AD"/>
    <w:rsid w:val="00196FD0"/>
    <w:rsid w:val="001A08C6"/>
    <w:rsid w:val="001A0975"/>
    <w:rsid w:val="001A19A9"/>
    <w:rsid w:val="001B79A3"/>
    <w:rsid w:val="001C043D"/>
    <w:rsid w:val="001C5562"/>
    <w:rsid w:val="001C5984"/>
    <w:rsid w:val="001D0619"/>
    <w:rsid w:val="001D0914"/>
    <w:rsid w:val="001D4D18"/>
    <w:rsid w:val="001D5AD3"/>
    <w:rsid w:val="001E0DCD"/>
    <w:rsid w:val="001E1140"/>
    <w:rsid w:val="001E2C1F"/>
    <w:rsid w:val="001E3CC7"/>
    <w:rsid w:val="001F3ADF"/>
    <w:rsid w:val="001F3ED3"/>
    <w:rsid w:val="001F5141"/>
    <w:rsid w:val="00202940"/>
    <w:rsid w:val="00215F89"/>
    <w:rsid w:val="002207B5"/>
    <w:rsid w:val="0022266F"/>
    <w:rsid w:val="00223760"/>
    <w:rsid w:val="00226A81"/>
    <w:rsid w:val="002325D9"/>
    <w:rsid w:val="00236A60"/>
    <w:rsid w:val="002412BF"/>
    <w:rsid w:val="00242284"/>
    <w:rsid w:val="0024691A"/>
    <w:rsid w:val="00257114"/>
    <w:rsid w:val="00262C9F"/>
    <w:rsid w:val="00262EF4"/>
    <w:rsid w:val="00264293"/>
    <w:rsid w:val="002677E5"/>
    <w:rsid w:val="00267B40"/>
    <w:rsid w:val="002743FF"/>
    <w:rsid w:val="0027441A"/>
    <w:rsid w:val="00281A8E"/>
    <w:rsid w:val="002941D7"/>
    <w:rsid w:val="002A0985"/>
    <w:rsid w:val="002A76A8"/>
    <w:rsid w:val="002B668F"/>
    <w:rsid w:val="002B6E09"/>
    <w:rsid w:val="002B71B1"/>
    <w:rsid w:val="002C0DF7"/>
    <w:rsid w:val="002D1ADF"/>
    <w:rsid w:val="002D4CF9"/>
    <w:rsid w:val="002D76D4"/>
    <w:rsid w:val="002E278B"/>
    <w:rsid w:val="002E2AAD"/>
    <w:rsid w:val="002E64F3"/>
    <w:rsid w:val="002E7BCB"/>
    <w:rsid w:val="00304460"/>
    <w:rsid w:val="00304528"/>
    <w:rsid w:val="00305647"/>
    <w:rsid w:val="00306208"/>
    <w:rsid w:val="00311859"/>
    <w:rsid w:val="003126BB"/>
    <w:rsid w:val="00322B1A"/>
    <w:rsid w:val="0032450B"/>
    <w:rsid w:val="00324D83"/>
    <w:rsid w:val="00326400"/>
    <w:rsid w:val="00331FF9"/>
    <w:rsid w:val="003322B0"/>
    <w:rsid w:val="0033496A"/>
    <w:rsid w:val="00336AD9"/>
    <w:rsid w:val="0034135A"/>
    <w:rsid w:val="003505C7"/>
    <w:rsid w:val="00352663"/>
    <w:rsid w:val="003527AB"/>
    <w:rsid w:val="00361C0B"/>
    <w:rsid w:val="00364544"/>
    <w:rsid w:val="00367E20"/>
    <w:rsid w:val="00370F58"/>
    <w:rsid w:val="003749D3"/>
    <w:rsid w:val="00376706"/>
    <w:rsid w:val="00380346"/>
    <w:rsid w:val="00385EDB"/>
    <w:rsid w:val="00386103"/>
    <w:rsid w:val="003906EA"/>
    <w:rsid w:val="00391F5B"/>
    <w:rsid w:val="0039787E"/>
    <w:rsid w:val="003A2591"/>
    <w:rsid w:val="003A68ED"/>
    <w:rsid w:val="003B012C"/>
    <w:rsid w:val="003B60DD"/>
    <w:rsid w:val="003B7131"/>
    <w:rsid w:val="003D0CA2"/>
    <w:rsid w:val="003D1541"/>
    <w:rsid w:val="003E7AC8"/>
    <w:rsid w:val="003F07A9"/>
    <w:rsid w:val="003F1590"/>
    <w:rsid w:val="00403C95"/>
    <w:rsid w:val="00415D2A"/>
    <w:rsid w:val="004166A4"/>
    <w:rsid w:val="00420E3A"/>
    <w:rsid w:val="00423D7F"/>
    <w:rsid w:val="00427136"/>
    <w:rsid w:val="00434494"/>
    <w:rsid w:val="00442E71"/>
    <w:rsid w:val="00444FB2"/>
    <w:rsid w:val="00445C1A"/>
    <w:rsid w:val="004476B1"/>
    <w:rsid w:val="00463944"/>
    <w:rsid w:val="00463D29"/>
    <w:rsid w:val="00464867"/>
    <w:rsid w:val="00474C7E"/>
    <w:rsid w:val="00493A8A"/>
    <w:rsid w:val="004951A1"/>
    <w:rsid w:val="004B2AEA"/>
    <w:rsid w:val="004C5491"/>
    <w:rsid w:val="004D24C1"/>
    <w:rsid w:val="004D51DB"/>
    <w:rsid w:val="004D541F"/>
    <w:rsid w:val="004D7514"/>
    <w:rsid w:val="004D790D"/>
    <w:rsid w:val="004E5C21"/>
    <w:rsid w:val="004E7B6A"/>
    <w:rsid w:val="004F09FE"/>
    <w:rsid w:val="00507189"/>
    <w:rsid w:val="005104A5"/>
    <w:rsid w:val="00510A58"/>
    <w:rsid w:val="00511EB7"/>
    <w:rsid w:val="00512C84"/>
    <w:rsid w:val="0051442F"/>
    <w:rsid w:val="0051496C"/>
    <w:rsid w:val="00514DB2"/>
    <w:rsid w:val="005174EC"/>
    <w:rsid w:val="0052588A"/>
    <w:rsid w:val="0053352B"/>
    <w:rsid w:val="00533DA9"/>
    <w:rsid w:val="0054330F"/>
    <w:rsid w:val="0057485B"/>
    <w:rsid w:val="00584B29"/>
    <w:rsid w:val="00591223"/>
    <w:rsid w:val="005A5436"/>
    <w:rsid w:val="005A6A0A"/>
    <w:rsid w:val="005B05DD"/>
    <w:rsid w:val="005B1DD5"/>
    <w:rsid w:val="005B62AA"/>
    <w:rsid w:val="005C3807"/>
    <w:rsid w:val="005D389E"/>
    <w:rsid w:val="005E56E0"/>
    <w:rsid w:val="005F0B99"/>
    <w:rsid w:val="005F3E30"/>
    <w:rsid w:val="00600D0E"/>
    <w:rsid w:val="0060155A"/>
    <w:rsid w:val="00604684"/>
    <w:rsid w:val="00607B09"/>
    <w:rsid w:val="0062158E"/>
    <w:rsid w:val="006344BA"/>
    <w:rsid w:val="0064189B"/>
    <w:rsid w:val="0064550A"/>
    <w:rsid w:val="00647FC4"/>
    <w:rsid w:val="00656C53"/>
    <w:rsid w:val="00657D91"/>
    <w:rsid w:val="00660EA7"/>
    <w:rsid w:val="00674B70"/>
    <w:rsid w:val="00676B05"/>
    <w:rsid w:val="00683F99"/>
    <w:rsid w:val="00687754"/>
    <w:rsid w:val="0069423B"/>
    <w:rsid w:val="00695C50"/>
    <w:rsid w:val="006B181E"/>
    <w:rsid w:val="006B2AFD"/>
    <w:rsid w:val="006B4878"/>
    <w:rsid w:val="006C010F"/>
    <w:rsid w:val="006C2422"/>
    <w:rsid w:val="006C5E14"/>
    <w:rsid w:val="006D2186"/>
    <w:rsid w:val="006E3524"/>
    <w:rsid w:val="006F390E"/>
    <w:rsid w:val="00713A79"/>
    <w:rsid w:val="00714499"/>
    <w:rsid w:val="0072087D"/>
    <w:rsid w:val="0072329B"/>
    <w:rsid w:val="00730817"/>
    <w:rsid w:val="00736B15"/>
    <w:rsid w:val="007375DB"/>
    <w:rsid w:val="00742E32"/>
    <w:rsid w:val="00747405"/>
    <w:rsid w:val="00750197"/>
    <w:rsid w:val="00752C00"/>
    <w:rsid w:val="0075349B"/>
    <w:rsid w:val="00756190"/>
    <w:rsid w:val="00766511"/>
    <w:rsid w:val="00780675"/>
    <w:rsid w:val="00780E1F"/>
    <w:rsid w:val="00791E4D"/>
    <w:rsid w:val="0079277E"/>
    <w:rsid w:val="00792ADC"/>
    <w:rsid w:val="00794302"/>
    <w:rsid w:val="00794543"/>
    <w:rsid w:val="007A4D7D"/>
    <w:rsid w:val="007B04AF"/>
    <w:rsid w:val="007B0B4A"/>
    <w:rsid w:val="007B0C52"/>
    <w:rsid w:val="007B20C9"/>
    <w:rsid w:val="007C4247"/>
    <w:rsid w:val="007C4AE9"/>
    <w:rsid w:val="007D3838"/>
    <w:rsid w:val="007F05FE"/>
    <w:rsid w:val="00801A10"/>
    <w:rsid w:val="008066F4"/>
    <w:rsid w:val="00824241"/>
    <w:rsid w:val="008263EE"/>
    <w:rsid w:val="00830B18"/>
    <w:rsid w:val="0083131A"/>
    <w:rsid w:val="008337FD"/>
    <w:rsid w:val="008349E0"/>
    <w:rsid w:val="00836B79"/>
    <w:rsid w:val="00837D26"/>
    <w:rsid w:val="008420DC"/>
    <w:rsid w:val="008441EA"/>
    <w:rsid w:val="00850EE4"/>
    <w:rsid w:val="0085582D"/>
    <w:rsid w:val="0086643B"/>
    <w:rsid w:val="00876A73"/>
    <w:rsid w:val="0089414C"/>
    <w:rsid w:val="008B310E"/>
    <w:rsid w:val="008B6C89"/>
    <w:rsid w:val="008C7E1D"/>
    <w:rsid w:val="008D04E7"/>
    <w:rsid w:val="008D0EBC"/>
    <w:rsid w:val="008D1EB4"/>
    <w:rsid w:val="008F2FC0"/>
    <w:rsid w:val="008F7442"/>
    <w:rsid w:val="008F76F4"/>
    <w:rsid w:val="00934553"/>
    <w:rsid w:val="00940187"/>
    <w:rsid w:val="00941A52"/>
    <w:rsid w:val="009526B0"/>
    <w:rsid w:val="00965758"/>
    <w:rsid w:val="00971620"/>
    <w:rsid w:val="00971D36"/>
    <w:rsid w:val="00972D3A"/>
    <w:rsid w:val="00992DBB"/>
    <w:rsid w:val="009A285E"/>
    <w:rsid w:val="009B3B40"/>
    <w:rsid w:val="009C0117"/>
    <w:rsid w:val="009E00F3"/>
    <w:rsid w:val="009E219D"/>
    <w:rsid w:val="009E5921"/>
    <w:rsid w:val="009F4437"/>
    <w:rsid w:val="009F4C97"/>
    <w:rsid w:val="009F77C4"/>
    <w:rsid w:val="00A01D05"/>
    <w:rsid w:val="00A12D1B"/>
    <w:rsid w:val="00A150C7"/>
    <w:rsid w:val="00A22806"/>
    <w:rsid w:val="00A26A1F"/>
    <w:rsid w:val="00A31648"/>
    <w:rsid w:val="00A341AF"/>
    <w:rsid w:val="00A52420"/>
    <w:rsid w:val="00A615DF"/>
    <w:rsid w:val="00A70948"/>
    <w:rsid w:val="00A71B14"/>
    <w:rsid w:val="00A72982"/>
    <w:rsid w:val="00A815F8"/>
    <w:rsid w:val="00A902A1"/>
    <w:rsid w:val="00A93844"/>
    <w:rsid w:val="00AA2DFC"/>
    <w:rsid w:val="00AA6D3D"/>
    <w:rsid w:val="00AB1222"/>
    <w:rsid w:val="00AC352E"/>
    <w:rsid w:val="00AC73D9"/>
    <w:rsid w:val="00AD5FFA"/>
    <w:rsid w:val="00AD7DBC"/>
    <w:rsid w:val="00AE45C0"/>
    <w:rsid w:val="00AE47D9"/>
    <w:rsid w:val="00AE73EF"/>
    <w:rsid w:val="00AF2A3D"/>
    <w:rsid w:val="00AF32C7"/>
    <w:rsid w:val="00B0048A"/>
    <w:rsid w:val="00B02064"/>
    <w:rsid w:val="00B03ADF"/>
    <w:rsid w:val="00B10442"/>
    <w:rsid w:val="00B11433"/>
    <w:rsid w:val="00B13858"/>
    <w:rsid w:val="00B138B0"/>
    <w:rsid w:val="00B1433F"/>
    <w:rsid w:val="00B2290B"/>
    <w:rsid w:val="00B26616"/>
    <w:rsid w:val="00B3018E"/>
    <w:rsid w:val="00B3787E"/>
    <w:rsid w:val="00B37D7C"/>
    <w:rsid w:val="00B44CA6"/>
    <w:rsid w:val="00B51849"/>
    <w:rsid w:val="00B60805"/>
    <w:rsid w:val="00B66F79"/>
    <w:rsid w:val="00B707D5"/>
    <w:rsid w:val="00B743CA"/>
    <w:rsid w:val="00B7470C"/>
    <w:rsid w:val="00B747D9"/>
    <w:rsid w:val="00B766D4"/>
    <w:rsid w:val="00B93124"/>
    <w:rsid w:val="00BB7D1C"/>
    <w:rsid w:val="00BC791F"/>
    <w:rsid w:val="00BD1596"/>
    <w:rsid w:val="00BD4D15"/>
    <w:rsid w:val="00BE0C68"/>
    <w:rsid w:val="00BE536D"/>
    <w:rsid w:val="00BF3AD3"/>
    <w:rsid w:val="00BF3B2C"/>
    <w:rsid w:val="00BF49ED"/>
    <w:rsid w:val="00BF4D44"/>
    <w:rsid w:val="00C21A27"/>
    <w:rsid w:val="00C25A89"/>
    <w:rsid w:val="00C31EF2"/>
    <w:rsid w:val="00C3305A"/>
    <w:rsid w:val="00C369D0"/>
    <w:rsid w:val="00C43273"/>
    <w:rsid w:val="00C45F28"/>
    <w:rsid w:val="00C47677"/>
    <w:rsid w:val="00C54E8B"/>
    <w:rsid w:val="00C57FB4"/>
    <w:rsid w:val="00C60E0F"/>
    <w:rsid w:val="00C67FD2"/>
    <w:rsid w:val="00C72CD3"/>
    <w:rsid w:val="00C75C07"/>
    <w:rsid w:val="00C76FAB"/>
    <w:rsid w:val="00C770CA"/>
    <w:rsid w:val="00C80DF4"/>
    <w:rsid w:val="00C81FDE"/>
    <w:rsid w:val="00C909CA"/>
    <w:rsid w:val="00C909FD"/>
    <w:rsid w:val="00C91C41"/>
    <w:rsid w:val="00C925A9"/>
    <w:rsid w:val="00C93635"/>
    <w:rsid w:val="00CB7218"/>
    <w:rsid w:val="00CC790D"/>
    <w:rsid w:val="00CE082E"/>
    <w:rsid w:val="00CE3753"/>
    <w:rsid w:val="00CF277D"/>
    <w:rsid w:val="00CF6C0B"/>
    <w:rsid w:val="00D04BF4"/>
    <w:rsid w:val="00D0796A"/>
    <w:rsid w:val="00D12E50"/>
    <w:rsid w:val="00D15E08"/>
    <w:rsid w:val="00D17112"/>
    <w:rsid w:val="00D206CD"/>
    <w:rsid w:val="00D42CD0"/>
    <w:rsid w:val="00D439EB"/>
    <w:rsid w:val="00D44902"/>
    <w:rsid w:val="00D47F27"/>
    <w:rsid w:val="00D529D0"/>
    <w:rsid w:val="00D52B61"/>
    <w:rsid w:val="00D56F2A"/>
    <w:rsid w:val="00D6114A"/>
    <w:rsid w:val="00D61725"/>
    <w:rsid w:val="00D64F64"/>
    <w:rsid w:val="00D65C7A"/>
    <w:rsid w:val="00D675A4"/>
    <w:rsid w:val="00D77241"/>
    <w:rsid w:val="00D773C8"/>
    <w:rsid w:val="00D77625"/>
    <w:rsid w:val="00D80093"/>
    <w:rsid w:val="00D83787"/>
    <w:rsid w:val="00D873D9"/>
    <w:rsid w:val="00D95272"/>
    <w:rsid w:val="00DA43A7"/>
    <w:rsid w:val="00DA67CF"/>
    <w:rsid w:val="00DA682D"/>
    <w:rsid w:val="00DB5BE7"/>
    <w:rsid w:val="00DB6817"/>
    <w:rsid w:val="00DC63BE"/>
    <w:rsid w:val="00DF3547"/>
    <w:rsid w:val="00DF6369"/>
    <w:rsid w:val="00DF7186"/>
    <w:rsid w:val="00E045F5"/>
    <w:rsid w:val="00E132C4"/>
    <w:rsid w:val="00E21241"/>
    <w:rsid w:val="00E23FB9"/>
    <w:rsid w:val="00E363FB"/>
    <w:rsid w:val="00E413AA"/>
    <w:rsid w:val="00E473DD"/>
    <w:rsid w:val="00E50946"/>
    <w:rsid w:val="00E560F2"/>
    <w:rsid w:val="00E63F86"/>
    <w:rsid w:val="00E659C2"/>
    <w:rsid w:val="00E659F2"/>
    <w:rsid w:val="00E7051C"/>
    <w:rsid w:val="00E768C8"/>
    <w:rsid w:val="00E92042"/>
    <w:rsid w:val="00E92C61"/>
    <w:rsid w:val="00EA377D"/>
    <w:rsid w:val="00EA63FD"/>
    <w:rsid w:val="00EA7F9C"/>
    <w:rsid w:val="00EB4D2E"/>
    <w:rsid w:val="00EC1BA6"/>
    <w:rsid w:val="00EC38EC"/>
    <w:rsid w:val="00ED12CD"/>
    <w:rsid w:val="00ED2956"/>
    <w:rsid w:val="00ED316E"/>
    <w:rsid w:val="00EE040C"/>
    <w:rsid w:val="00EE5BD9"/>
    <w:rsid w:val="00EF4207"/>
    <w:rsid w:val="00F03DC2"/>
    <w:rsid w:val="00F1437C"/>
    <w:rsid w:val="00F164FE"/>
    <w:rsid w:val="00F22BD0"/>
    <w:rsid w:val="00F22D26"/>
    <w:rsid w:val="00F23061"/>
    <w:rsid w:val="00F2591E"/>
    <w:rsid w:val="00F27AC1"/>
    <w:rsid w:val="00F41008"/>
    <w:rsid w:val="00F41D5F"/>
    <w:rsid w:val="00F4746C"/>
    <w:rsid w:val="00F50CD5"/>
    <w:rsid w:val="00F5158D"/>
    <w:rsid w:val="00F51E9E"/>
    <w:rsid w:val="00F542B4"/>
    <w:rsid w:val="00F6067F"/>
    <w:rsid w:val="00F67E78"/>
    <w:rsid w:val="00F753A9"/>
    <w:rsid w:val="00F82A75"/>
    <w:rsid w:val="00F90CA0"/>
    <w:rsid w:val="00F94788"/>
    <w:rsid w:val="00FB0429"/>
    <w:rsid w:val="00FB12EE"/>
    <w:rsid w:val="00FC3129"/>
    <w:rsid w:val="00FC3743"/>
    <w:rsid w:val="00FD05A5"/>
    <w:rsid w:val="00FE3E9E"/>
    <w:rsid w:val="00FE7399"/>
    <w:rsid w:val="00FE7E47"/>
    <w:rsid w:val="00FF2929"/>
    <w:rsid w:val="00FF5193"/>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DD670"/>
  <w15:docId w15:val="{4AB0B150-C382-40AB-A0AA-F3381143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0EBC"/>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character" w:customStyle="1" w:styleId="ListParagraphChar">
    <w:name w:val="List Paragraph Char"/>
    <w:aliases w:val="H&amp;P List Paragraph Char,2 Char,Strip Char"/>
    <w:link w:val="ListParagraph"/>
    <w:uiPriority w:val="34"/>
    <w:locked/>
    <w:rsid w:val="002A0985"/>
  </w:style>
  <w:style w:type="character" w:customStyle="1" w:styleId="Heading3Char">
    <w:name w:val="Heading 3 Char"/>
    <w:basedOn w:val="DefaultParagraphFont"/>
    <w:link w:val="Heading3"/>
    <w:uiPriority w:val="9"/>
    <w:rsid w:val="008D0EBC"/>
    <w:rPr>
      <w:rFonts w:ascii="Times New Roman" w:eastAsia="Times New Roman" w:hAnsi="Times New Roman" w:cs="Times New Roman"/>
      <w:b/>
      <w:bCs/>
      <w:sz w:val="27"/>
      <w:szCs w:val="27"/>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8272">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28228097">
      <w:bodyDiv w:val="1"/>
      <w:marLeft w:val="0"/>
      <w:marRight w:val="0"/>
      <w:marTop w:val="0"/>
      <w:marBottom w:val="0"/>
      <w:divBdr>
        <w:top w:val="none" w:sz="0" w:space="0" w:color="auto"/>
        <w:left w:val="none" w:sz="0" w:space="0" w:color="auto"/>
        <w:bottom w:val="none" w:sz="0" w:space="0" w:color="auto"/>
        <w:right w:val="none" w:sz="0" w:space="0" w:color="auto"/>
      </w:divBdr>
    </w:div>
    <w:div w:id="1229193582">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rude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D608-C68C-427E-917E-4AE22137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Kristīne Grundmane</dc:creator>
  <cp:keywords>Izziņa_8322</cp:keywords>
  <cp:lastModifiedBy>Zanda Rudene</cp:lastModifiedBy>
  <cp:revision>17</cp:revision>
  <dcterms:created xsi:type="dcterms:W3CDTF">2021-07-22T09:08:00Z</dcterms:created>
  <dcterms:modified xsi:type="dcterms:W3CDTF">2021-08-08T14:22:00Z</dcterms:modified>
</cp:coreProperties>
</file>