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FDFE6" w14:textId="77777777" w:rsidR="008B0026" w:rsidRPr="00D22D16" w:rsidRDefault="008B0026" w:rsidP="008B0026">
      <w:pPr>
        <w:jc w:val="center"/>
        <w:rPr>
          <w:b/>
          <w:bCs/>
          <w:sz w:val="28"/>
          <w:szCs w:val="28"/>
        </w:rPr>
      </w:pPr>
      <w:r w:rsidRPr="00D22D16">
        <w:rPr>
          <w:b/>
          <w:bCs/>
          <w:sz w:val="28"/>
          <w:szCs w:val="28"/>
        </w:rPr>
        <w:t>Ministru kabineta rīkojuma projekta</w:t>
      </w:r>
    </w:p>
    <w:p w14:paraId="344D29E9" w14:textId="77777777" w:rsidR="008B0026" w:rsidRPr="00D22D16" w:rsidRDefault="008B0026" w:rsidP="008B0026">
      <w:pPr>
        <w:jc w:val="center"/>
        <w:rPr>
          <w:b/>
          <w:bCs/>
          <w:sz w:val="28"/>
          <w:szCs w:val="28"/>
        </w:rPr>
      </w:pPr>
      <w:r w:rsidRPr="00D22D16">
        <w:rPr>
          <w:b/>
          <w:bCs/>
          <w:sz w:val="28"/>
          <w:szCs w:val="28"/>
        </w:rPr>
        <w:t>„Par finanšu līdzekļu piešķiršanu no valsts budžeta programmas</w:t>
      </w:r>
    </w:p>
    <w:p w14:paraId="3040D92B" w14:textId="40A42D2D" w:rsidR="008B0026" w:rsidRPr="00D22D16" w:rsidRDefault="008B0026" w:rsidP="008B0026">
      <w:pPr>
        <w:jc w:val="center"/>
        <w:rPr>
          <w:sz w:val="28"/>
          <w:szCs w:val="28"/>
        </w:rPr>
      </w:pPr>
      <w:r w:rsidRPr="00D22D16">
        <w:rPr>
          <w:b/>
          <w:bCs/>
          <w:sz w:val="28"/>
          <w:szCs w:val="28"/>
        </w:rPr>
        <w:t>„Līdzekļi neparedzētiem gadījumiem”” sākotnējās ietekmes novērtējuma</w:t>
      </w:r>
      <w:r>
        <w:rPr>
          <w:b/>
          <w:bCs/>
          <w:sz w:val="28"/>
          <w:szCs w:val="28"/>
        </w:rPr>
        <w:t xml:space="preserve"> </w:t>
      </w:r>
      <w:r w:rsidRPr="00D22D16">
        <w:rPr>
          <w:b/>
          <w:bCs/>
          <w:sz w:val="28"/>
          <w:szCs w:val="28"/>
        </w:rPr>
        <w:t>ziņojums (anotācija)</w:t>
      </w:r>
    </w:p>
    <w:p w14:paraId="024E3A57" w14:textId="0E20CFE9" w:rsidR="008B0026" w:rsidRDefault="008B0026" w:rsidP="007C6502">
      <w:pPr>
        <w:rPr>
          <w:sz w:val="28"/>
          <w:szCs w:val="28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268"/>
        <w:gridCol w:w="5121"/>
      </w:tblGrid>
      <w:tr w:rsidR="008B0026" w:rsidRPr="008B0026" w14:paraId="71EF0A0B" w14:textId="77777777" w:rsidTr="00F54D7F">
        <w:trPr>
          <w:tblCellSpacing w:w="20" w:type="dxa"/>
        </w:trPr>
        <w:tc>
          <w:tcPr>
            <w:tcW w:w="5000" w:type="pct"/>
            <w:gridSpan w:val="2"/>
            <w:vAlign w:val="center"/>
          </w:tcPr>
          <w:p w14:paraId="779388AB" w14:textId="77777777" w:rsidR="008B0026" w:rsidRPr="008B0026" w:rsidRDefault="008B0026" w:rsidP="008B0026">
            <w:pPr>
              <w:spacing w:before="100" w:beforeAutospacing="1" w:after="100" w:afterAutospacing="1" w:line="228" w:lineRule="atLeast"/>
              <w:jc w:val="center"/>
              <w:rPr>
                <w:b/>
                <w:bCs/>
                <w:sz w:val="28"/>
                <w:szCs w:val="28"/>
              </w:rPr>
            </w:pPr>
            <w:r w:rsidRPr="008B0026">
              <w:rPr>
                <w:b/>
                <w:bCs/>
                <w:sz w:val="28"/>
                <w:szCs w:val="28"/>
              </w:rPr>
              <w:t>Tiesību akta projekta anotācijas kopsavilkums</w:t>
            </w:r>
          </w:p>
        </w:tc>
      </w:tr>
      <w:tr w:rsidR="008B0026" w:rsidRPr="008B0026" w14:paraId="5A08C31D" w14:textId="77777777" w:rsidTr="00F54D7F">
        <w:trPr>
          <w:trHeight w:val="1070"/>
          <w:tblCellSpacing w:w="20" w:type="dxa"/>
        </w:trPr>
        <w:tc>
          <w:tcPr>
            <w:tcW w:w="2270" w:type="pct"/>
          </w:tcPr>
          <w:p w14:paraId="7A6146FF" w14:textId="77777777" w:rsidR="008B0026" w:rsidRPr="008B0026" w:rsidRDefault="008B0026" w:rsidP="008B0026">
            <w:pPr>
              <w:rPr>
                <w:sz w:val="28"/>
                <w:szCs w:val="28"/>
              </w:rPr>
            </w:pPr>
            <w:r w:rsidRPr="008B0026">
              <w:rPr>
                <w:sz w:val="28"/>
                <w:szCs w:val="28"/>
              </w:rPr>
              <w:t>Mērķis, risinājums un projekta spēkā stāšanās laiks (500 zīmes bez atstarpēm)</w:t>
            </w:r>
          </w:p>
          <w:p w14:paraId="00EDA059" w14:textId="77777777" w:rsidR="008B0026" w:rsidRPr="008B0026" w:rsidRDefault="008B0026" w:rsidP="008B0026">
            <w:pPr>
              <w:tabs>
                <w:tab w:val="left" w:pos="426"/>
                <w:tab w:val="left" w:pos="7088"/>
              </w:tabs>
              <w:spacing w:after="100" w:afterAutospacing="1"/>
              <w:jc w:val="both"/>
              <w:rPr>
                <w:sz w:val="28"/>
                <w:szCs w:val="28"/>
                <w:lang w:eastAsia="lv-LV"/>
              </w:rPr>
            </w:pPr>
          </w:p>
        </w:tc>
        <w:tc>
          <w:tcPr>
            <w:tcW w:w="2730" w:type="pct"/>
          </w:tcPr>
          <w:p w14:paraId="372D259D" w14:textId="77777777" w:rsidR="008B0026" w:rsidRPr="008B0026" w:rsidRDefault="008B0026" w:rsidP="008B0026">
            <w:pPr>
              <w:ind w:right="108"/>
              <w:jc w:val="both"/>
              <w:rPr>
                <w:color w:val="000000"/>
                <w:sz w:val="28"/>
                <w:szCs w:val="28"/>
              </w:rPr>
            </w:pPr>
            <w:bookmarkStart w:id="0" w:name="_Hlk46929115"/>
            <w:r w:rsidRPr="008B0026">
              <w:rPr>
                <w:sz w:val="28"/>
                <w:szCs w:val="28"/>
              </w:rPr>
              <w:t>Ministru kabineta rīkojuma projekts „Par finanšu līdzekļu piešķiršanu no valsts budžeta programmas „Līdzekļi neparedzētiem gadījumiem”” (turpmāk – Projekts) šo jomu neskar.</w:t>
            </w:r>
            <w:bookmarkEnd w:id="0"/>
          </w:p>
        </w:tc>
      </w:tr>
    </w:tbl>
    <w:p w14:paraId="1BD4C8E2" w14:textId="77777777" w:rsidR="008B0026" w:rsidRDefault="008B0026" w:rsidP="007C6502">
      <w:pPr>
        <w:rPr>
          <w:sz w:val="28"/>
          <w:szCs w:val="28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93"/>
        <w:gridCol w:w="3695"/>
        <w:gridCol w:w="5101"/>
      </w:tblGrid>
      <w:tr w:rsidR="008B0026" w:rsidRPr="00D22D16" w14:paraId="38E3B490" w14:textId="77777777" w:rsidTr="00F54D7F">
        <w:trPr>
          <w:tblCellSpacing w:w="20" w:type="dxa"/>
        </w:trPr>
        <w:tc>
          <w:tcPr>
            <w:tcW w:w="5000" w:type="pct"/>
            <w:gridSpan w:val="3"/>
            <w:vAlign w:val="center"/>
          </w:tcPr>
          <w:p w14:paraId="710A72D1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b/>
                <w:bCs/>
                <w:sz w:val="28"/>
                <w:szCs w:val="28"/>
              </w:rPr>
            </w:pPr>
            <w:r w:rsidRPr="00D22D16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8B0026" w:rsidRPr="00D22D16" w14:paraId="48B5D4C7" w14:textId="77777777" w:rsidTr="00F54D7F">
        <w:trPr>
          <w:tblCellSpacing w:w="20" w:type="dxa"/>
        </w:trPr>
        <w:tc>
          <w:tcPr>
            <w:tcW w:w="289" w:type="pct"/>
          </w:tcPr>
          <w:p w14:paraId="1292BCE0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1.</w:t>
            </w:r>
          </w:p>
        </w:tc>
        <w:tc>
          <w:tcPr>
            <w:tcW w:w="1980" w:type="pct"/>
          </w:tcPr>
          <w:p w14:paraId="22649892" w14:textId="77777777" w:rsidR="008B0026" w:rsidRPr="00D22D16" w:rsidRDefault="008B0026" w:rsidP="00B266F0">
            <w:pPr>
              <w:jc w:val="both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Pamatojums</w:t>
            </w:r>
          </w:p>
        </w:tc>
        <w:tc>
          <w:tcPr>
            <w:tcW w:w="2731" w:type="pct"/>
          </w:tcPr>
          <w:p w14:paraId="083DDF8D" w14:textId="77777777" w:rsidR="008B0026" w:rsidRPr="00D22D16" w:rsidRDefault="008B0026" w:rsidP="00B266F0">
            <w:pPr>
              <w:jc w:val="both"/>
              <w:rPr>
                <w:sz w:val="28"/>
                <w:szCs w:val="28"/>
              </w:rPr>
            </w:pPr>
            <w:r w:rsidRPr="00D22D16">
              <w:rPr>
                <w:color w:val="000000"/>
                <w:sz w:val="28"/>
                <w:szCs w:val="28"/>
              </w:rPr>
              <w:t>Projekts sagatavots</w:t>
            </w:r>
            <w:r>
              <w:rPr>
                <w:color w:val="000000"/>
                <w:sz w:val="28"/>
                <w:szCs w:val="28"/>
              </w:rPr>
              <w:t>, pamatojoties uz</w:t>
            </w:r>
            <w:r w:rsidRPr="00D22D16">
              <w:rPr>
                <w:color w:val="000000"/>
                <w:sz w:val="28"/>
                <w:szCs w:val="28"/>
              </w:rPr>
              <w:t xml:space="preserve"> Ministru kabineta </w:t>
            </w:r>
            <w:proofErr w:type="gramStart"/>
            <w:r w:rsidRPr="00D22D16">
              <w:rPr>
                <w:color w:val="000000"/>
                <w:sz w:val="28"/>
                <w:szCs w:val="28"/>
              </w:rPr>
              <w:t>2018.gada</w:t>
            </w:r>
            <w:proofErr w:type="gramEnd"/>
            <w:r w:rsidRPr="00D22D16">
              <w:rPr>
                <w:color w:val="000000"/>
                <w:sz w:val="28"/>
                <w:szCs w:val="28"/>
              </w:rPr>
              <w:t xml:space="preserve"> 17.jūlija noteikumu Nr.421 </w:t>
            </w:r>
            <w:r w:rsidRPr="00D52E16">
              <w:rPr>
                <w:sz w:val="28"/>
                <w:szCs w:val="28"/>
              </w:rPr>
              <w:t>„</w:t>
            </w:r>
            <w:r w:rsidRPr="00D22D16">
              <w:rPr>
                <w:color w:val="000000"/>
                <w:sz w:val="28"/>
                <w:szCs w:val="28"/>
              </w:rPr>
              <w:t>Kārtība, kādā veic gadskārtējā valsts budžeta likumā noteiktās apropriācijas izmaiņas” 43.punktu.</w:t>
            </w:r>
          </w:p>
        </w:tc>
      </w:tr>
      <w:tr w:rsidR="008B0026" w:rsidRPr="00D22D16" w14:paraId="66525C3A" w14:textId="77777777" w:rsidTr="00F54D7F">
        <w:trPr>
          <w:tblCellSpacing w:w="20" w:type="dxa"/>
        </w:trPr>
        <w:tc>
          <w:tcPr>
            <w:tcW w:w="289" w:type="pct"/>
          </w:tcPr>
          <w:p w14:paraId="02B0A4BF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2.</w:t>
            </w:r>
          </w:p>
        </w:tc>
        <w:tc>
          <w:tcPr>
            <w:tcW w:w="1980" w:type="pct"/>
          </w:tcPr>
          <w:p w14:paraId="7E271230" w14:textId="43AB0E5A" w:rsidR="008B0026" w:rsidRPr="00D22D16" w:rsidRDefault="008B0026" w:rsidP="00F54D7F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731" w:type="pct"/>
          </w:tcPr>
          <w:p w14:paraId="3BF1B473" w14:textId="77777777" w:rsidR="008B0026" w:rsidRPr="00D22D16" w:rsidRDefault="008B0026" w:rsidP="00B266F0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D22D16">
              <w:rPr>
                <w:sz w:val="28"/>
                <w:szCs w:val="28"/>
              </w:rPr>
              <w:t>2021.gada</w:t>
            </w:r>
            <w:proofErr w:type="gramEnd"/>
            <w:r w:rsidRPr="00D22D16">
              <w:rPr>
                <w:sz w:val="28"/>
                <w:szCs w:val="28"/>
              </w:rPr>
              <w:t xml:space="preserve"> 1.janvārī stājās spēkā Sabiedrisko elektronisko plašsaziņas līdzekļu un to pārvaldības likums. Tas paredz Sabiedrisko elektronisko plašsaziņas līdzekļu padomes (turpmāk – SEPLP) izveidi Sabiedrisko elektronisko plašsaziņas līdzekļu un to pārvaldības likuma </w:t>
            </w:r>
            <w:proofErr w:type="gramStart"/>
            <w:r w:rsidRPr="00D22D16">
              <w:rPr>
                <w:sz w:val="28"/>
                <w:szCs w:val="28"/>
              </w:rPr>
              <w:t>17.pantā</w:t>
            </w:r>
            <w:proofErr w:type="gramEnd"/>
            <w:r w:rsidRPr="00D22D16">
              <w:rPr>
                <w:sz w:val="28"/>
                <w:szCs w:val="28"/>
              </w:rPr>
              <w:t xml:space="preserve"> minēto funkciju nodrošināšanai.</w:t>
            </w:r>
          </w:p>
          <w:p w14:paraId="42A460BE" w14:textId="13520D22" w:rsidR="008B0026" w:rsidRPr="00D22D16" w:rsidRDefault="008B0026" w:rsidP="00B266F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Kultūras ministrijas sagatavotais</w:t>
            </w:r>
            <w:r w:rsidRPr="00D22D16">
              <w:rPr>
                <w:sz w:val="28"/>
                <w:szCs w:val="28"/>
              </w:rPr>
              <w:t xml:space="preserve"> informatīvais ziņojums </w:t>
            </w:r>
            <w:bookmarkStart w:id="1" w:name="_Hlk61598363"/>
            <w:r w:rsidRPr="00D52E16">
              <w:rPr>
                <w:sz w:val="28"/>
                <w:szCs w:val="28"/>
              </w:rPr>
              <w:t>„</w:t>
            </w:r>
            <w:r w:rsidRPr="00D22D16">
              <w:rPr>
                <w:sz w:val="28"/>
                <w:szCs w:val="28"/>
              </w:rPr>
              <w:t>Par nepieciešamo finansējumu Sabiedrisko elektronisko plašsaziņas līdzekļu padomes izveidei</w:t>
            </w:r>
            <w:bookmarkEnd w:id="1"/>
            <w:r w:rsidRPr="00D22D16">
              <w:rPr>
                <w:sz w:val="28"/>
                <w:szCs w:val="28"/>
              </w:rPr>
              <w:t>” paredz precīzus aprēķinus gan attiecībā uz SEPLP izveidei nepieciešamo finansējumu (vienreizējās izveides izmaksas), gan arī attiecībā uz atlīdzības un uzturēšanas izdevumiem vienam mēnesim.</w:t>
            </w:r>
          </w:p>
          <w:p w14:paraId="37201F02" w14:textId="612B6BF1" w:rsidR="008B0026" w:rsidRPr="00D22D16" w:rsidRDefault="007E48E2" w:rsidP="00B266F0">
            <w:pPr>
              <w:ind w:firstLine="567"/>
              <w:jc w:val="both"/>
              <w:rPr>
                <w:sz w:val="28"/>
                <w:szCs w:val="28"/>
              </w:rPr>
            </w:pPr>
            <w:r w:rsidRPr="007E48E2">
              <w:rPr>
                <w:sz w:val="28"/>
                <w:szCs w:val="28"/>
              </w:rPr>
              <w:t xml:space="preserve">Saeimas </w:t>
            </w:r>
            <w:proofErr w:type="gramStart"/>
            <w:r w:rsidRPr="007E48E2">
              <w:rPr>
                <w:sz w:val="28"/>
                <w:szCs w:val="28"/>
              </w:rPr>
              <w:t>2021.gada</w:t>
            </w:r>
            <w:proofErr w:type="gramEnd"/>
            <w:r w:rsidRPr="007E48E2">
              <w:rPr>
                <w:sz w:val="28"/>
                <w:szCs w:val="28"/>
              </w:rPr>
              <w:t xml:space="preserve"> 4.augusta ārkārtas sesijas attālinātajā sēdē tika ievēlēti visi trīs padomes locekļi, līdz ar to jaunā iestāde ir </w:t>
            </w:r>
            <w:r w:rsidRPr="007E48E2">
              <w:rPr>
                <w:sz w:val="28"/>
                <w:szCs w:val="28"/>
              </w:rPr>
              <w:lastRenderedPageBreak/>
              <w:t xml:space="preserve">izveidota. Rezultātā </w:t>
            </w:r>
            <w:proofErr w:type="gramStart"/>
            <w:r w:rsidRPr="007E48E2">
              <w:rPr>
                <w:sz w:val="28"/>
                <w:szCs w:val="28"/>
              </w:rPr>
              <w:t>2021.gadā</w:t>
            </w:r>
            <w:proofErr w:type="gramEnd"/>
            <w:r w:rsidRPr="007E48E2">
              <w:rPr>
                <w:sz w:val="28"/>
                <w:szCs w:val="28"/>
              </w:rPr>
              <w:t xml:space="preserve"> SEPLP darbosies piecus mēnešus</w:t>
            </w:r>
            <w:r>
              <w:rPr>
                <w:sz w:val="28"/>
                <w:szCs w:val="28"/>
              </w:rPr>
              <w:t>, līdz ar to</w:t>
            </w:r>
            <w:r w:rsidR="008B0026" w:rsidRPr="007E48E2">
              <w:rPr>
                <w:sz w:val="28"/>
                <w:szCs w:val="28"/>
              </w:rPr>
              <w:t xml:space="preserve"> ir</w:t>
            </w:r>
            <w:r w:rsidR="008B0026" w:rsidRPr="008120E8">
              <w:rPr>
                <w:sz w:val="28"/>
                <w:szCs w:val="28"/>
              </w:rPr>
              <w:t xml:space="preserve"> iespējams precīzi</w:t>
            </w:r>
            <w:r w:rsidR="008B0026" w:rsidRPr="00D22D16">
              <w:rPr>
                <w:sz w:val="28"/>
                <w:szCs w:val="28"/>
              </w:rPr>
              <w:t xml:space="preserve"> aprēķināt 2021.gadā SEPLP izveidei</w:t>
            </w:r>
            <w:r w:rsidR="008B0026">
              <w:rPr>
                <w:sz w:val="28"/>
                <w:szCs w:val="28"/>
              </w:rPr>
              <w:t xml:space="preserve"> un</w:t>
            </w:r>
            <w:r w:rsidR="008B0026" w:rsidRPr="00D22D16">
              <w:rPr>
                <w:sz w:val="28"/>
                <w:szCs w:val="28"/>
              </w:rPr>
              <w:t xml:space="preserve"> </w:t>
            </w:r>
            <w:r w:rsidR="008B0026">
              <w:rPr>
                <w:sz w:val="28"/>
                <w:szCs w:val="28"/>
              </w:rPr>
              <w:t>piecu</w:t>
            </w:r>
            <w:r w:rsidR="008B0026" w:rsidRPr="00D22D16">
              <w:rPr>
                <w:sz w:val="28"/>
                <w:szCs w:val="28"/>
              </w:rPr>
              <w:t xml:space="preserve"> mēnešu darbības nodrošināšanai nepieciešam</w:t>
            </w:r>
            <w:r w:rsidR="008B0026">
              <w:rPr>
                <w:sz w:val="28"/>
                <w:szCs w:val="28"/>
              </w:rPr>
              <w:t>ā</w:t>
            </w:r>
            <w:r w:rsidR="008B0026" w:rsidRPr="00D22D16">
              <w:rPr>
                <w:sz w:val="28"/>
                <w:szCs w:val="28"/>
              </w:rPr>
              <w:t xml:space="preserve"> finansējum</w:t>
            </w:r>
            <w:r w:rsidR="008B0026">
              <w:rPr>
                <w:sz w:val="28"/>
                <w:szCs w:val="28"/>
              </w:rPr>
              <w:t>a kopsummu</w:t>
            </w:r>
            <w:r w:rsidR="008B0026" w:rsidRPr="00D22D16">
              <w:rPr>
                <w:sz w:val="28"/>
                <w:szCs w:val="28"/>
              </w:rPr>
              <w:t xml:space="preserve"> </w:t>
            </w:r>
            <w:r w:rsidR="00731987" w:rsidRPr="00731987">
              <w:rPr>
                <w:sz w:val="28"/>
                <w:szCs w:val="28"/>
              </w:rPr>
              <w:t>291</w:t>
            </w:r>
            <w:r w:rsidR="008F3851">
              <w:rPr>
                <w:sz w:val="28"/>
                <w:szCs w:val="28"/>
              </w:rPr>
              <w:t> </w:t>
            </w:r>
            <w:r w:rsidR="00731987" w:rsidRPr="00731987">
              <w:rPr>
                <w:sz w:val="28"/>
                <w:szCs w:val="28"/>
              </w:rPr>
              <w:t xml:space="preserve">345 </w:t>
            </w:r>
            <w:r w:rsidR="008B0026" w:rsidRPr="00D22D16">
              <w:rPr>
                <w:i/>
                <w:iCs/>
                <w:sz w:val="28"/>
                <w:szCs w:val="28"/>
              </w:rPr>
              <w:t>euro</w:t>
            </w:r>
            <w:r w:rsidR="008B0026">
              <w:rPr>
                <w:sz w:val="28"/>
                <w:szCs w:val="28"/>
              </w:rPr>
              <w:t xml:space="preserve"> apmērā</w:t>
            </w:r>
            <w:r w:rsidR="00A700FE">
              <w:rPr>
                <w:sz w:val="28"/>
                <w:szCs w:val="28"/>
              </w:rPr>
              <w:t>, tomēr ņemot vērā faktisko situāciju izmaksas var precizēties</w:t>
            </w:r>
            <w:r w:rsidR="008B0026" w:rsidRPr="00D22D16">
              <w:rPr>
                <w:sz w:val="28"/>
                <w:szCs w:val="28"/>
              </w:rPr>
              <w:t>.</w:t>
            </w:r>
          </w:p>
        </w:tc>
      </w:tr>
      <w:tr w:rsidR="008B0026" w:rsidRPr="00D22D16" w14:paraId="48E020EF" w14:textId="77777777" w:rsidTr="00F54D7F">
        <w:trPr>
          <w:tblCellSpacing w:w="20" w:type="dxa"/>
        </w:trPr>
        <w:tc>
          <w:tcPr>
            <w:tcW w:w="289" w:type="pct"/>
          </w:tcPr>
          <w:p w14:paraId="00A9085F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980" w:type="pct"/>
          </w:tcPr>
          <w:p w14:paraId="6FB2DC2E" w14:textId="77777777" w:rsidR="008B0026" w:rsidRPr="00D22D16" w:rsidRDefault="008B0026" w:rsidP="00B266F0">
            <w:pPr>
              <w:jc w:val="both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Projekta izstrādē iesaistītās institūcijas un publiskas personas kapitālsabiedrības</w:t>
            </w:r>
          </w:p>
        </w:tc>
        <w:tc>
          <w:tcPr>
            <w:tcW w:w="2731" w:type="pct"/>
          </w:tcPr>
          <w:p w14:paraId="3BB5CF57" w14:textId="77777777" w:rsidR="008B0026" w:rsidRPr="00D22D16" w:rsidRDefault="008B0026" w:rsidP="00B266F0">
            <w:pPr>
              <w:jc w:val="both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Nacionālā elektronisko plašsaziņas līdzekļu padome, Kultūras ministrija.</w:t>
            </w:r>
          </w:p>
        </w:tc>
      </w:tr>
      <w:tr w:rsidR="008B0026" w:rsidRPr="00D22D16" w14:paraId="1F84476E" w14:textId="77777777" w:rsidTr="00F54D7F">
        <w:trPr>
          <w:tblCellSpacing w:w="20" w:type="dxa"/>
        </w:trPr>
        <w:tc>
          <w:tcPr>
            <w:tcW w:w="289" w:type="pct"/>
          </w:tcPr>
          <w:p w14:paraId="595C52FB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4.</w:t>
            </w:r>
          </w:p>
        </w:tc>
        <w:tc>
          <w:tcPr>
            <w:tcW w:w="1980" w:type="pct"/>
          </w:tcPr>
          <w:p w14:paraId="45E83F13" w14:textId="77777777" w:rsidR="008B0026" w:rsidRPr="00D22D16" w:rsidRDefault="008B0026" w:rsidP="00B266F0">
            <w:pPr>
              <w:jc w:val="both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Cita informācija</w:t>
            </w:r>
          </w:p>
        </w:tc>
        <w:tc>
          <w:tcPr>
            <w:tcW w:w="2731" w:type="pct"/>
          </w:tcPr>
          <w:p w14:paraId="79C89836" w14:textId="77777777" w:rsidR="008B0026" w:rsidRPr="00D22D16" w:rsidRDefault="008B0026" w:rsidP="00B266F0">
            <w:pPr>
              <w:jc w:val="both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Nav</w:t>
            </w:r>
          </w:p>
        </w:tc>
      </w:tr>
    </w:tbl>
    <w:p w14:paraId="10A2998A" w14:textId="564BE64D" w:rsidR="008B0026" w:rsidRDefault="008B0026" w:rsidP="007C6502">
      <w:pPr>
        <w:rPr>
          <w:sz w:val="28"/>
          <w:szCs w:val="28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389"/>
      </w:tblGrid>
      <w:tr w:rsidR="008B0026" w:rsidRPr="00D22D16" w14:paraId="4C996D6E" w14:textId="77777777" w:rsidTr="00F54D7F">
        <w:trPr>
          <w:tblCellSpacing w:w="20" w:type="dxa"/>
        </w:trPr>
        <w:tc>
          <w:tcPr>
            <w:tcW w:w="5000" w:type="pct"/>
            <w:vAlign w:val="center"/>
          </w:tcPr>
          <w:p w14:paraId="53FC7B68" w14:textId="77777777" w:rsidR="008B0026" w:rsidRDefault="008B0026" w:rsidP="00B266F0">
            <w:pPr>
              <w:jc w:val="center"/>
              <w:rPr>
                <w:b/>
                <w:bCs/>
                <w:sz w:val="28"/>
                <w:szCs w:val="28"/>
              </w:rPr>
            </w:pPr>
            <w:r w:rsidRPr="00D22D16">
              <w:rPr>
                <w:b/>
                <w:bCs/>
                <w:sz w:val="28"/>
                <w:szCs w:val="28"/>
              </w:rPr>
              <w:t xml:space="preserve">II. Tiesību akta projekta ietekme uz sabiedrību, tautsaimniecības attīstību </w:t>
            </w:r>
          </w:p>
          <w:p w14:paraId="18173002" w14:textId="77777777" w:rsidR="008B0026" w:rsidRPr="00D22D16" w:rsidRDefault="008B0026" w:rsidP="00B266F0">
            <w:pPr>
              <w:jc w:val="center"/>
              <w:rPr>
                <w:b/>
                <w:bCs/>
                <w:sz w:val="28"/>
                <w:szCs w:val="28"/>
              </w:rPr>
            </w:pPr>
            <w:r w:rsidRPr="00D22D16">
              <w:rPr>
                <w:b/>
                <w:bCs/>
                <w:sz w:val="28"/>
                <w:szCs w:val="28"/>
              </w:rPr>
              <w:t>un administratīvo slogu</w:t>
            </w:r>
          </w:p>
        </w:tc>
      </w:tr>
      <w:tr w:rsidR="008B0026" w:rsidRPr="00D22D16" w14:paraId="0CC2BBC0" w14:textId="77777777" w:rsidTr="00F54D7F">
        <w:trPr>
          <w:tblCellSpacing w:w="20" w:type="dxa"/>
        </w:trPr>
        <w:tc>
          <w:tcPr>
            <w:tcW w:w="5000" w:type="pct"/>
          </w:tcPr>
          <w:p w14:paraId="3507F159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D22D16">
              <w:rPr>
                <w:bCs/>
                <w:iCs/>
                <w:sz w:val="28"/>
                <w:szCs w:val="28"/>
              </w:rPr>
              <w:t>Projekts šo jomu neskar.</w:t>
            </w:r>
          </w:p>
        </w:tc>
      </w:tr>
    </w:tbl>
    <w:p w14:paraId="38CEF9E8" w14:textId="7755FC44" w:rsidR="008B0026" w:rsidRDefault="008B0026" w:rsidP="007C6502">
      <w:pPr>
        <w:rPr>
          <w:sz w:val="28"/>
          <w:szCs w:val="28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790"/>
        <w:gridCol w:w="1053"/>
        <w:gridCol w:w="1156"/>
        <w:gridCol w:w="951"/>
        <w:gridCol w:w="1156"/>
        <w:gridCol w:w="951"/>
        <w:gridCol w:w="1156"/>
        <w:gridCol w:w="1176"/>
      </w:tblGrid>
      <w:tr w:rsidR="008B0026" w:rsidRPr="00D22D16" w14:paraId="6AA36D1C" w14:textId="77777777" w:rsidTr="00F54D7F">
        <w:trPr>
          <w:tblCellSpacing w:w="20" w:type="dxa"/>
        </w:trPr>
        <w:tc>
          <w:tcPr>
            <w:tcW w:w="5000" w:type="pct"/>
            <w:gridSpan w:val="8"/>
            <w:vAlign w:val="center"/>
          </w:tcPr>
          <w:p w14:paraId="35A4BBC1" w14:textId="77777777" w:rsidR="008B0026" w:rsidRDefault="008B0026" w:rsidP="00B266F0">
            <w:pPr>
              <w:jc w:val="center"/>
              <w:rPr>
                <w:b/>
                <w:bCs/>
                <w:sz w:val="28"/>
                <w:szCs w:val="28"/>
              </w:rPr>
            </w:pPr>
            <w:r w:rsidRPr="00D22D16">
              <w:rPr>
                <w:b/>
                <w:bCs/>
                <w:sz w:val="28"/>
                <w:szCs w:val="28"/>
              </w:rPr>
              <w:t xml:space="preserve">III. Tiesību akta projekta ietekme uz valsts budžetu un pašvaldību </w:t>
            </w:r>
          </w:p>
          <w:p w14:paraId="0BC39E7A" w14:textId="77777777" w:rsidR="008B0026" w:rsidRPr="00D22D16" w:rsidRDefault="008B0026" w:rsidP="00B266F0">
            <w:pPr>
              <w:jc w:val="center"/>
              <w:rPr>
                <w:b/>
                <w:bCs/>
                <w:sz w:val="28"/>
                <w:szCs w:val="28"/>
              </w:rPr>
            </w:pPr>
            <w:r w:rsidRPr="00D22D16">
              <w:rPr>
                <w:b/>
                <w:bCs/>
                <w:sz w:val="28"/>
                <w:szCs w:val="28"/>
              </w:rPr>
              <w:t>budžetiem</w:t>
            </w:r>
          </w:p>
        </w:tc>
      </w:tr>
      <w:tr w:rsidR="008B0026" w:rsidRPr="00D22D16" w14:paraId="0B68C5BD" w14:textId="77777777" w:rsidTr="00F54D7F">
        <w:trPr>
          <w:tblCellSpacing w:w="20" w:type="dxa"/>
        </w:trPr>
        <w:tc>
          <w:tcPr>
            <w:tcW w:w="963" w:type="pct"/>
            <w:vMerge w:val="restart"/>
            <w:vAlign w:val="center"/>
          </w:tcPr>
          <w:p w14:paraId="1A9DAD41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both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Rādītāji</w:t>
            </w:r>
          </w:p>
          <w:p w14:paraId="2E0C678A" w14:textId="77777777" w:rsidR="008B0026" w:rsidRPr="00D22D16" w:rsidRDefault="008B0026" w:rsidP="00B266F0">
            <w:pPr>
              <w:rPr>
                <w:sz w:val="28"/>
                <w:szCs w:val="28"/>
              </w:rPr>
            </w:pPr>
          </w:p>
        </w:tc>
        <w:tc>
          <w:tcPr>
            <w:tcW w:w="1170" w:type="pct"/>
            <w:gridSpan w:val="2"/>
            <w:vMerge w:val="restart"/>
            <w:vAlign w:val="center"/>
          </w:tcPr>
          <w:p w14:paraId="2CECD334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2021.</w:t>
            </w:r>
          </w:p>
        </w:tc>
        <w:tc>
          <w:tcPr>
            <w:tcW w:w="2867" w:type="pct"/>
            <w:gridSpan w:val="5"/>
            <w:vAlign w:val="center"/>
          </w:tcPr>
          <w:p w14:paraId="146F42F7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Turpmākie trīs gadi (</w:t>
            </w:r>
            <w:r w:rsidRPr="00D22D16">
              <w:rPr>
                <w:i/>
                <w:iCs/>
                <w:sz w:val="28"/>
                <w:szCs w:val="28"/>
              </w:rPr>
              <w:t>euro</w:t>
            </w:r>
            <w:r w:rsidRPr="00D22D16">
              <w:rPr>
                <w:sz w:val="28"/>
                <w:szCs w:val="28"/>
              </w:rPr>
              <w:t>)</w:t>
            </w:r>
          </w:p>
        </w:tc>
      </w:tr>
      <w:tr w:rsidR="008B0026" w:rsidRPr="00D22D16" w14:paraId="61C8F09D" w14:textId="77777777" w:rsidTr="00F54D7F">
        <w:trPr>
          <w:tblCellSpacing w:w="20" w:type="dxa"/>
        </w:trPr>
        <w:tc>
          <w:tcPr>
            <w:tcW w:w="963" w:type="pct"/>
            <w:vMerge/>
            <w:vAlign w:val="center"/>
          </w:tcPr>
          <w:p w14:paraId="4D76AC7D" w14:textId="77777777" w:rsidR="008B0026" w:rsidRPr="00D22D16" w:rsidRDefault="008B0026" w:rsidP="00B266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pct"/>
            <w:gridSpan w:val="2"/>
            <w:vMerge/>
            <w:vAlign w:val="center"/>
          </w:tcPr>
          <w:p w14:paraId="5CC42687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pct"/>
            <w:gridSpan w:val="2"/>
            <w:vAlign w:val="center"/>
          </w:tcPr>
          <w:p w14:paraId="6C06F131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2022.</w:t>
            </w:r>
          </w:p>
        </w:tc>
        <w:tc>
          <w:tcPr>
            <w:tcW w:w="1112" w:type="pct"/>
            <w:gridSpan w:val="2"/>
            <w:vAlign w:val="center"/>
          </w:tcPr>
          <w:p w14:paraId="615FD112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2023.</w:t>
            </w:r>
          </w:p>
        </w:tc>
        <w:tc>
          <w:tcPr>
            <w:tcW w:w="644" w:type="pct"/>
            <w:vAlign w:val="center"/>
          </w:tcPr>
          <w:p w14:paraId="33E48B83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2024.</w:t>
            </w:r>
          </w:p>
        </w:tc>
      </w:tr>
      <w:tr w:rsidR="008B0026" w:rsidRPr="00D22D16" w14:paraId="71DBCA6A" w14:textId="77777777" w:rsidTr="00F54D7F">
        <w:trPr>
          <w:tblCellSpacing w:w="20" w:type="dxa"/>
        </w:trPr>
        <w:tc>
          <w:tcPr>
            <w:tcW w:w="963" w:type="pct"/>
            <w:vMerge/>
            <w:vAlign w:val="center"/>
          </w:tcPr>
          <w:p w14:paraId="74C39092" w14:textId="77777777" w:rsidR="008B0026" w:rsidRPr="00D22D16" w:rsidRDefault="008B0026" w:rsidP="00B266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0D8E3391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saskaņā ar valsts budžetu kārtējam gadam</w:t>
            </w:r>
          </w:p>
        </w:tc>
        <w:tc>
          <w:tcPr>
            <w:tcW w:w="614" w:type="pct"/>
          </w:tcPr>
          <w:p w14:paraId="235D0557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izmaiņas kārtējā gadā, salīdzinot ar valsts budžetu kārtējam gadam</w:t>
            </w:r>
          </w:p>
        </w:tc>
        <w:tc>
          <w:tcPr>
            <w:tcW w:w="498" w:type="pct"/>
          </w:tcPr>
          <w:p w14:paraId="42A28EE8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saskaņā ar vidēja termiņa budžeta ietvaru</w:t>
            </w:r>
          </w:p>
        </w:tc>
        <w:tc>
          <w:tcPr>
            <w:tcW w:w="614" w:type="pct"/>
          </w:tcPr>
          <w:p w14:paraId="71512BE0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izmaiņas, salīdzinot ar vidēja termiņa budžeta ietvaru 2022. gadam</w:t>
            </w:r>
          </w:p>
        </w:tc>
        <w:tc>
          <w:tcPr>
            <w:tcW w:w="498" w:type="pct"/>
          </w:tcPr>
          <w:p w14:paraId="520D2929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saskaņā ar vidēja termiņa budžeta ietvaru</w:t>
            </w:r>
          </w:p>
        </w:tc>
        <w:tc>
          <w:tcPr>
            <w:tcW w:w="614" w:type="pct"/>
          </w:tcPr>
          <w:p w14:paraId="5DF0DC3D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izmaiņas, salīdzinot ar vidēja termiņa budžeta ietvaru 2023. gadam</w:t>
            </w:r>
          </w:p>
        </w:tc>
        <w:tc>
          <w:tcPr>
            <w:tcW w:w="644" w:type="pct"/>
          </w:tcPr>
          <w:p w14:paraId="7C3E01E6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izmaiņas, salīdzinot ar vidēja termiņa budžeta ietvaru 2023. gadam</w:t>
            </w:r>
          </w:p>
        </w:tc>
      </w:tr>
      <w:tr w:rsidR="008B0026" w:rsidRPr="00D22D16" w14:paraId="438EC084" w14:textId="77777777" w:rsidTr="00F54D7F">
        <w:trPr>
          <w:tblCellSpacing w:w="20" w:type="dxa"/>
        </w:trPr>
        <w:tc>
          <w:tcPr>
            <w:tcW w:w="963" w:type="pct"/>
            <w:vAlign w:val="center"/>
          </w:tcPr>
          <w:p w14:paraId="17F13A13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1</w:t>
            </w:r>
          </w:p>
        </w:tc>
        <w:tc>
          <w:tcPr>
            <w:tcW w:w="556" w:type="pct"/>
            <w:vAlign w:val="center"/>
          </w:tcPr>
          <w:p w14:paraId="1C4D9E3B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2</w:t>
            </w:r>
          </w:p>
        </w:tc>
        <w:tc>
          <w:tcPr>
            <w:tcW w:w="614" w:type="pct"/>
            <w:vAlign w:val="center"/>
          </w:tcPr>
          <w:p w14:paraId="68BC012B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3</w:t>
            </w:r>
          </w:p>
        </w:tc>
        <w:tc>
          <w:tcPr>
            <w:tcW w:w="498" w:type="pct"/>
            <w:vAlign w:val="center"/>
          </w:tcPr>
          <w:p w14:paraId="0F85B042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4</w:t>
            </w:r>
          </w:p>
        </w:tc>
        <w:tc>
          <w:tcPr>
            <w:tcW w:w="614" w:type="pct"/>
            <w:vAlign w:val="center"/>
          </w:tcPr>
          <w:p w14:paraId="16C77B18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5</w:t>
            </w:r>
          </w:p>
        </w:tc>
        <w:tc>
          <w:tcPr>
            <w:tcW w:w="498" w:type="pct"/>
            <w:vAlign w:val="center"/>
          </w:tcPr>
          <w:p w14:paraId="7DC9F426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6</w:t>
            </w:r>
          </w:p>
        </w:tc>
        <w:tc>
          <w:tcPr>
            <w:tcW w:w="614" w:type="pct"/>
            <w:vAlign w:val="center"/>
          </w:tcPr>
          <w:p w14:paraId="47A84AFE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7</w:t>
            </w:r>
          </w:p>
        </w:tc>
        <w:tc>
          <w:tcPr>
            <w:tcW w:w="644" w:type="pct"/>
            <w:vAlign w:val="center"/>
          </w:tcPr>
          <w:p w14:paraId="1E51CF69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8</w:t>
            </w:r>
          </w:p>
        </w:tc>
      </w:tr>
      <w:tr w:rsidR="008B0026" w:rsidRPr="00D22D16" w14:paraId="626118E8" w14:textId="77777777" w:rsidTr="00F54D7F">
        <w:trPr>
          <w:tblCellSpacing w:w="20" w:type="dxa"/>
        </w:trPr>
        <w:tc>
          <w:tcPr>
            <w:tcW w:w="963" w:type="pct"/>
          </w:tcPr>
          <w:p w14:paraId="567C6BD5" w14:textId="77777777" w:rsidR="008B0026" w:rsidRPr="00D22D16" w:rsidRDefault="008B0026" w:rsidP="00B266F0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1. Budžeta ieņēmumi</w:t>
            </w:r>
          </w:p>
        </w:tc>
        <w:tc>
          <w:tcPr>
            <w:tcW w:w="556" w:type="pct"/>
          </w:tcPr>
          <w:p w14:paraId="7E41A916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D22D16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14:paraId="3800A19C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8" w:type="pct"/>
          </w:tcPr>
          <w:p w14:paraId="0B44B7D0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14:paraId="664C6DBE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8" w:type="pct"/>
          </w:tcPr>
          <w:p w14:paraId="1D1B014B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14:paraId="300D69F9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4" w:type="pct"/>
          </w:tcPr>
          <w:p w14:paraId="0DA73320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8B0026" w:rsidRPr="00D22D16" w14:paraId="1C3D3AB4" w14:textId="77777777" w:rsidTr="00F54D7F">
        <w:trPr>
          <w:tblCellSpacing w:w="20" w:type="dxa"/>
        </w:trPr>
        <w:tc>
          <w:tcPr>
            <w:tcW w:w="963" w:type="pct"/>
          </w:tcPr>
          <w:p w14:paraId="420564A8" w14:textId="77777777" w:rsidR="008B0026" w:rsidRPr="00D22D16" w:rsidRDefault="008B0026" w:rsidP="00B266F0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lastRenderedPageBreak/>
              <w:t>1.1. valsts pamatbudžets, tajā skaitā ieņēmumi no maksas pakalpojumiem un citi pašu ieņēmumi</w:t>
            </w:r>
          </w:p>
        </w:tc>
        <w:tc>
          <w:tcPr>
            <w:tcW w:w="556" w:type="pct"/>
          </w:tcPr>
          <w:p w14:paraId="63F35BD8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D52E16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14:paraId="0A174D02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8" w:type="pct"/>
          </w:tcPr>
          <w:p w14:paraId="3AF1E98B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14:paraId="6D994C97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8" w:type="pct"/>
          </w:tcPr>
          <w:p w14:paraId="2D1C278E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14:paraId="2C263F3D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4" w:type="pct"/>
          </w:tcPr>
          <w:p w14:paraId="5254DA08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8B0026" w:rsidRPr="00D22D16" w14:paraId="7B5644C6" w14:textId="77777777" w:rsidTr="00F54D7F">
        <w:trPr>
          <w:tblCellSpacing w:w="20" w:type="dxa"/>
        </w:trPr>
        <w:tc>
          <w:tcPr>
            <w:tcW w:w="963" w:type="pct"/>
          </w:tcPr>
          <w:p w14:paraId="7401BE0A" w14:textId="77777777" w:rsidR="008B0026" w:rsidRPr="00D22D16" w:rsidRDefault="008B0026" w:rsidP="00B266F0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1.2. valsts speciālais budžets</w:t>
            </w:r>
          </w:p>
        </w:tc>
        <w:tc>
          <w:tcPr>
            <w:tcW w:w="556" w:type="pct"/>
          </w:tcPr>
          <w:p w14:paraId="01E47DBF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D52E16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14:paraId="35B8C275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8" w:type="pct"/>
          </w:tcPr>
          <w:p w14:paraId="0C08D395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14:paraId="49A9B3C6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8" w:type="pct"/>
          </w:tcPr>
          <w:p w14:paraId="0E62990F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14:paraId="77969E07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4" w:type="pct"/>
          </w:tcPr>
          <w:p w14:paraId="68395A9E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8B0026" w:rsidRPr="00D22D16" w14:paraId="23CC80AD" w14:textId="77777777" w:rsidTr="00F54D7F">
        <w:trPr>
          <w:tblCellSpacing w:w="20" w:type="dxa"/>
        </w:trPr>
        <w:tc>
          <w:tcPr>
            <w:tcW w:w="963" w:type="pct"/>
          </w:tcPr>
          <w:p w14:paraId="379956EB" w14:textId="77777777" w:rsidR="008B0026" w:rsidRPr="00D22D16" w:rsidRDefault="008B0026" w:rsidP="00B266F0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1.3. pašvaldību budžets</w:t>
            </w:r>
          </w:p>
        </w:tc>
        <w:tc>
          <w:tcPr>
            <w:tcW w:w="556" w:type="pct"/>
          </w:tcPr>
          <w:p w14:paraId="10A839EF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D52E16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14:paraId="20C34105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8" w:type="pct"/>
          </w:tcPr>
          <w:p w14:paraId="7DA22352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14:paraId="5031FE12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8" w:type="pct"/>
          </w:tcPr>
          <w:p w14:paraId="28ECC6FE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14:paraId="1E9AB892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4" w:type="pct"/>
          </w:tcPr>
          <w:p w14:paraId="30A778A8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8B0026" w:rsidRPr="00D22D16" w14:paraId="4FA43C8F" w14:textId="77777777" w:rsidTr="00F54D7F">
        <w:trPr>
          <w:tblCellSpacing w:w="20" w:type="dxa"/>
        </w:trPr>
        <w:tc>
          <w:tcPr>
            <w:tcW w:w="963" w:type="pct"/>
          </w:tcPr>
          <w:p w14:paraId="777136CC" w14:textId="77777777" w:rsidR="008B0026" w:rsidRPr="00D22D16" w:rsidRDefault="008B0026" w:rsidP="00B266F0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2. Budžeta izdevumi</w:t>
            </w:r>
          </w:p>
        </w:tc>
        <w:tc>
          <w:tcPr>
            <w:tcW w:w="556" w:type="pct"/>
            <w:vAlign w:val="center"/>
          </w:tcPr>
          <w:p w14:paraId="4D503B07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  <w:vAlign w:val="center"/>
          </w:tcPr>
          <w:p w14:paraId="19F54C65" w14:textId="452AFB72" w:rsidR="008B0026" w:rsidRPr="00D22D16" w:rsidRDefault="00731987" w:rsidP="00B266F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291 345</w:t>
            </w:r>
          </w:p>
        </w:tc>
        <w:tc>
          <w:tcPr>
            <w:tcW w:w="498" w:type="pct"/>
            <w:vAlign w:val="center"/>
          </w:tcPr>
          <w:p w14:paraId="728071CA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  <w:vAlign w:val="center"/>
          </w:tcPr>
          <w:p w14:paraId="449A4DF1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pct"/>
            <w:vAlign w:val="center"/>
          </w:tcPr>
          <w:p w14:paraId="6EACDE41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  <w:vAlign w:val="center"/>
          </w:tcPr>
          <w:p w14:paraId="78D75D4B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  <w:vAlign w:val="center"/>
          </w:tcPr>
          <w:p w14:paraId="792305D9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0026" w:rsidRPr="00D22D16" w14:paraId="5706033A" w14:textId="77777777" w:rsidTr="00F54D7F">
        <w:trPr>
          <w:tblCellSpacing w:w="20" w:type="dxa"/>
        </w:trPr>
        <w:tc>
          <w:tcPr>
            <w:tcW w:w="963" w:type="pct"/>
          </w:tcPr>
          <w:p w14:paraId="6AB414FC" w14:textId="77777777" w:rsidR="008B0026" w:rsidRPr="00D22D16" w:rsidRDefault="008B0026" w:rsidP="00B266F0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2.1. valsts pamatbudžets</w:t>
            </w:r>
          </w:p>
        </w:tc>
        <w:tc>
          <w:tcPr>
            <w:tcW w:w="556" w:type="pct"/>
            <w:vAlign w:val="center"/>
          </w:tcPr>
          <w:p w14:paraId="1995FBFD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  <w:vAlign w:val="center"/>
          </w:tcPr>
          <w:p w14:paraId="29F0D6BA" w14:textId="72B39FC1" w:rsidR="008B0026" w:rsidRPr="00D22D16" w:rsidRDefault="00731987" w:rsidP="00B266F0">
            <w:pPr>
              <w:spacing w:line="259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291 345</w:t>
            </w:r>
          </w:p>
        </w:tc>
        <w:tc>
          <w:tcPr>
            <w:tcW w:w="498" w:type="pct"/>
            <w:vAlign w:val="center"/>
          </w:tcPr>
          <w:p w14:paraId="176A71CB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  <w:vAlign w:val="center"/>
          </w:tcPr>
          <w:p w14:paraId="699C3283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pct"/>
            <w:vAlign w:val="center"/>
          </w:tcPr>
          <w:p w14:paraId="284ACD84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  <w:vAlign w:val="center"/>
          </w:tcPr>
          <w:p w14:paraId="58BB1971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  <w:vAlign w:val="center"/>
          </w:tcPr>
          <w:p w14:paraId="1CCBF1C0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0026" w:rsidRPr="00D22D16" w14:paraId="6DAE45DE" w14:textId="77777777" w:rsidTr="00F54D7F">
        <w:trPr>
          <w:tblCellSpacing w:w="20" w:type="dxa"/>
        </w:trPr>
        <w:tc>
          <w:tcPr>
            <w:tcW w:w="963" w:type="pct"/>
          </w:tcPr>
          <w:p w14:paraId="1CB6B5EB" w14:textId="77777777" w:rsidR="008B0026" w:rsidRPr="00D22D16" w:rsidRDefault="008B0026" w:rsidP="00B266F0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2.2. valsts speciālais budžets</w:t>
            </w:r>
          </w:p>
        </w:tc>
        <w:tc>
          <w:tcPr>
            <w:tcW w:w="556" w:type="pct"/>
          </w:tcPr>
          <w:p w14:paraId="286DB6CA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D52E16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14:paraId="140A22A0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8" w:type="pct"/>
          </w:tcPr>
          <w:p w14:paraId="63DF134A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14:paraId="7FF3DC70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8" w:type="pct"/>
          </w:tcPr>
          <w:p w14:paraId="495CBDBB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14:paraId="05E79151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4" w:type="pct"/>
          </w:tcPr>
          <w:p w14:paraId="1FBE96DC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8B0026" w:rsidRPr="00D22D16" w14:paraId="7F07B9B8" w14:textId="77777777" w:rsidTr="00F54D7F">
        <w:trPr>
          <w:tblCellSpacing w:w="20" w:type="dxa"/>
        </w:trPr>
        <w:tc>
          <w:tcPr>
            <w:tcW w:w="963" w:type="pct"/>
          </w:tcPr>
          <w:p w14:paraId="51BB4E95" w14:textId="77777777" w:rsidR="008B0026" w:rsidRPr="00D22D16" w:rsidRDefault="008B0026" w:rsidP="00B266F0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2.3. pašvaldību budžets</w:t>
            </w:r>
          </w:p>
        </w:tc>
        <w:tc>
          <w:tcPr>
            <w:tcW w:w="556" w:type="pct"/>
          </w:tcPr>
          <w:p w14:paraId="19C28A90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D52E16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14:paraId="574A8762" w14:textId="77777777" w:rsidR="008B0026" w:rsidRPr="00D22D16" w:rsidRDefault="008B0026" w:rsidP="00B266F0">
            <w:pPr>
              <w:jc w:val="center"/>
              <w:rPr>
                <w:sz w:val="28"/>
                <w:szCs w:val="28"/>
                <w:highlight w:val="yellow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8" w:type="pct"/>
          </w:tcPr>
          <w:p w14:paraId="6138A8F8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14:paraId="55B72149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8" w:type="pct"/>
          </w:tcPr>
          <w:p w14:paraId="6D84DCA3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14:paraId="1D11415E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4" w:type="pct"/>
          </w:tcPr>
          <w:p w14:paraId="3A057935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8B0026" w:rsidRPr="00D22D16" w14:paraId="63B0890E" w14:textId="77777777" w:rsidTr="00F54D7F">
        <w:trPr>
          <w:tblCellSpacing w:w="20" w:type="dxa"/>
        </w:trPr>
        <w:tc>
          <w:tcPr>
            <w:tcW w:w="963" w:type="pct"/>
          </w:tcPr>
          <w:p w14:paraId="666CD562" w14:textId="77777777" w:rsidR="008B0026" w:rsidRPr="00D22D16" w:rsidRDefault="008B0026" w:rsidP="00B266F0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3. Finansiālā ietekme</w:t>
            </w:r>
          </w:p>
        </w:tc>
        <w:tc>
          <w:tcPr>
            <w:tcW w:w="556" w:type="pct"/>
            <w:vAlign w:val="center"/>
          </w:tcPr>
          <w:p w14:paraId="7842EF15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  <w:vAlign w:val="center"/>
          </w:tcPr>
          <w:p w14:paraId="3ADAFAB4" w14:textId="4E7590DE" w:rsidR="008B0026" w:rsidRPr="00D22D16" w:rsidRDefault="008B0026" w:rsidP="00B266F0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-</w:t>
            </w:r>
            <w:r w:rsidR="00731987">
              <w:rPr>
                <w:sz w:val="28"/>
                <w:szCs w:val="28"/>
              </w:rPr>
              <w:t>291 345</w:t>
            </w:r>
          </w:p>
        </w:tc>
        <w:tc>
          <w:tcPr>
            <w:tcW w:w="498" w:type="pct"/>
            <w:vAlign w:val="center"/>
          </w:tcPr>
          <w:p w14:paraId="7DD0B1D0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  <w:vAlign w:val="center"/>
          </w:tcPr>
          <w:p w14:paraId="4A428461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pct"/>
            <w:vAlign w:val="center"/>
          </w:tcPr>
          <w:p w14:paraId="74DD54FA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  <w:vAlign w:val="center"/>
          </w:tcPr>
          <w:p w14:paraId="6A11EF8E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  <w:vAlign w:val="center"/>
          </w:tcPr>
          <w:p w14:paraId="4D201ACA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0026" w:rsidRPr="00D22D16" w14:paraId="0E924899" w14:textId="77777777" w:rsidTr="00F54D7F">
        <w:trPr>
          <w:tblCellSpacing w:w="20" w:type="dxa"/>
        </w:trPr>
        <w:tc>
          <w:tcPr>
            <w:tcW w:w="963" w:type="pct"/>
          </w:tcPr>
          <w:p w14:paraId="0686B77B" w14:textId="77777777" w:rsidR="008B0026" w:rsidRPr="00D22D16" w:rsidRDefault="008B0026" w:rsidP="00B266F0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3.1. valsts pamatbudžets</w:t>
            </w:r>
          </w:p>
        </w:tc>
        <w:tc>
          <w:tcPr>
            <w:tcW w:w="556" w:type="pct"/>
            <w:vAlign w:val="center"/>
          </w:tcPr>
          <w:p w14:paraId="7939918B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  <w:vAlign w:val="center"/>
          </w:tcPr>
          <w:p w14:paraId="3091739D" w14:textId="283648F1" w:rsidR="008B0026" w:rsidRPr="00D22D16" w:rsidRDefault="008B0026" w:rsidP="00B266F0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-</w:t>
            </w:r>
            <w:r w:rsidR="00731987">
              <w:rPr>
                <w:sz w:val="28"/>
                <w:szCs w:val="28"/>
              </w:rPr>
              <w:t>291 345</w:t>
            </w:r>
          </w:p>
        </w:tc>
        <w:tc>
          <w:tcPr>
            <w:tcW w:w="498" w:type="pct"/>
            <w:vAlign w:val="center"/>
          </w:tcPr>
          <w:p w14:paraId="570D1A16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  <w:vAlign w:val="center"/>
          </w:tcPr>
          <w:p w14:paraId="2CAEA5D8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pct"/>
            <w:vAlign w:val="center"/>
          </w:tcPr>
          <w:p w14:paraId="431D1FDE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  <w:vAlign w:val="center"/>
          </w:tcPr>
          <w:p w14:paraId="4F5C5DAA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  <w:vAlign w:val="center"/>
          </w:tcPr>
          <w:p w14:paraId="258230AE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0026" w:rsidRPr="00D22D16" w14:paraId="23C24E1C" w14:textId="77777777" w:rsidTr="00F54D7F">
        <w:trPr>
          <w:tblCellSpacing w:w="20" w:type="dxa"/>
        </w:trPr>
        <w:tc>
          <w:tcPr>
            <w:tcW w:w="963" w:type="pct"/>
          </w:tcPr>
          <w:p w14:paraId="1CF7D0B4" w14:textId="77777777" w:rsidR="008B0026" w:rsidRPr="00D22D16" w:rsidRDefault="008B0026" w:rsidP="00B266F0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3.2. speciālais budžets</w:t>
            </w:r>
          </w:p>
        </w:tc>
        <w:tc>
          <w:tcPr>
            <w:tcW w:w="556" w:type="pct"/>
          </w:tcPr>
          <w:p w14:paraId="6A0E48ED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D52E16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14:paraId="4110AD80" w14:textId="77777777" w:rsidR="008B0026" w:rsidRPr="00D22D16" w:rsidRDefault="008B0026" w:rsidP="00B266F0">
            <w:pPr>
              <w:jc w:val="center"/>
              <w:rPr>
                <w:sz w:val="28"/>
                <w:szCs w:val="28"/>
                <w:highlight w:val="yellow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8" w:type="pct"/>
          </w:tcPr>
          <w:p w14:paraId="37DCD593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14:paraId="2DFA4C95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8" w:type="pct"/>
          </w:tcPr>
          <w:p w14:paraId="7658C458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14:paraId="46716A77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4" w:type="pct"/>
          </w:tcPr>
          <w:p w14:paraId="080E32DF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8B0026" w:rsidRPr="00D22D16" w14:paraId="53D629A5" w14:textId="77777777" w:rsidTr="00F54D7F">
        <w:trPr>
          <w:tblCellSpacing w:w="20" w:type="dxa"/>
        </w:trPr>
        <w:tc>
          <w:tcPr>
            <w:tcW w:w="963" w:type="pct"/>
          </w:tcPr>
          <w:p w14:paraId="703B4B61" w14:textId="77777777" w:rsidR="008B0026" w:rsidRPr="00D22D16" w:rsidRDefault="008B0026" w:rsidP="00B266F0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3.3. pašvaldību budžets</w:t>
            </w:r>
          </w:p>
        </w:tc>
        <w:tc>
          <w:tcPr>
            <w:tcW w:w="556" w:type="pct"/>
          </w:tcPr>
          <w:p w14:paraId="2DC7C5D2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D52E16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14:paraId="63FCCD3F" w14:textId="77777777" w:rsidR="008B0026" w:rsidRPr="00D22D16" w:rsidRDefault="008B0026" w:rsidP="00B266F0">
            <w:pPr>
              <w:jc w:val="center"/>
              <w:rPr>
                <w:sz w:val="28"/>
                <w:szCs w:val="28"/>
                <w:highlight w:val="yellow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8" w:type="pct"/>
          </w:tcPr>
          <w:p w14:paraId="745AE06C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14:paraId="5D6076B5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8" w:type="pct"/>
          </w:tcPr>
          <w:p w14:paraId="58B6F81C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14:paraId="7E593BC2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4" w:type="pct"/>
          </w:tcPr>
          <w:p w14:paraId="40568FC4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8B0026" w:rsidRPr="00D22D16" w14:paraId="20F6D922" w14:textId="77777777" w:rsidTr="00F54D7F">
        <w:trPr>
          <w:tblCellSpacing w:w="20" w:type="dxa"/>
        </w:trPr>
        <w:tc>
          <w:tcPr>
            <w:tcW w:w="963" w:type="pct"/>
          </w:tcPr>
          <w:p w14:paraId="5A0877CE" w14:textId="77777777" w:rsidR="008B0026" w:rsidRPr="00D22D16" w:rsidRDefault="008B0026" w:rsidP="00B266F0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 xml:space="preserve">4. Finanšu līdzekļi papildu </w:t>
            </w:r>
            <w:r w:rsidRPr="00D22D16">
              <w:rPr>
                <w:sz w:val="28"/>
                <w:szCs w:val="28"/>
              </w:rPr>
              <w:lastRenderedPageBreak/>
              <w:t>izdevumu finansēšanai (kompensējošu izdevumu samazinājumu norāda ar "+" zīmi)</w:t>
            </w:r>
          </w:p>
        </w:tc>
        <w:tc>
          <w:tcPr>
            <w:tcW w:w="556" w:type="pct"/>
          </w:tcPr>
          <w:p w14:paraId="11E90403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614" w:type="pct"/>
          </w:tcPr>
          <w:p w14:paraId="334BA954" w14:textId="4A9D0D02" w:rsidR="008B0026" w:rsidRPr="00D22D16" w:rsidRDefault="00731987" w:rsidP="00B266F0">
            <w:pPr>
              <w:spacing w:line="259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291 345</w:t>
            </w:r>
          </w:p>
        </w:tc>
        <w:tc>
          <w:tcPr>
            <w:tcW w:w="498" w:type="pct"/>
          </w:tcPr>
          <w:p w14:paraId="78ABC4DE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14" w:type="pct"/>
          </w:tcPr>
          <w:p w14:paraId="70AC722E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pct"/>
          </w:tcPr>
          <w:p w14:paraId="22A54087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14" w:type="pct"/>
          </w:tcPr>
          <w:p w14:paraId="38A95196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14:paraId="52ABB977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0026" w:rsidRPr="00D22D16" w14:paraId="35482DF2" w14:textId="77777777" w:rsidTr="00F54D7F">
        <w:trPr>
          <w:tblCellSpacing w:w="20" w:type="dxa"/>
        </w:trPr>
        <w:tc>
          <w:tcPr>
            <w:tcW w:w="963" w:type="pct"/>
          </w:tcPr>
          <w:p w14:paraId="38F4AB18" w14:textId="77777777" w:rsidR="008B0026" w:rsidRPr="00D22D16" w:rsidRDefault="008B0026" w:rsidP="00B266F0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5. Precizēta finansiālā ietekme</w:t>
            </w:r>
          </w:p>
        </w:tc>
        <w:tc>
          <w:tcPr>
            <w:tcW w:w="556" w:type="pct"/>
            <w:vMerge w:val="restart"/>
          </w:tcPr>
          <w:p w14:paraId="1D5484F9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14" w:type="pct"/>
          </w:tcPr>
          <w:p w14:paraId="4E7E0259" w14:textId="77777777" w:rsidR="008B0026" w:rsidRPr="00D22D16" w:rsidRDefault="008B0026" w:rsidP="00B266F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pct"/>
            <w:vMerge w:val="restart"/>
          </w:tcPr>
          <w:p w14:paraId="532CEB85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14" w:type="pct"/>
          </w:tcPr>
          <w:p w14:paraId="7D542953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pct"/>
            <w:vMerge w:val="restart"/>
          </w:tcPr>
          <w:p w14:paraId="20C25774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14" w:type="pct"/>
          </w:tcPr>
          <w:p w14:paraId="5AA1D22F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14:paraId="0D093523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0026" w:rsidRPr="00D22D16" w14:paraId="5AEAA89D" w14:textId="77777777" w:rsidTr="00F54D7F">
        <w:trPr>
          <w:tblCellSpacing w:w="20" w:type="dxa"/>
        </w:trPr>
        <w:tc>
          <w:tcPr>
            <w:tcW w:w="963" w:type="pct"/>
          </w:tcPr>
          <w:p w14:paraId="2D177987" w14:textId="77777777" w:rsidR="008B0026" w:rsidRPr="00D22D16" w:rsidRDefault="008B0026" w:rsidP="00B266F0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5.1. valsts pamatbudžets</w:t>
            </w:r>
          </w:p>
        </w:tc>
        <w:tc>
          <w:tcPr>
            <w:tcW w:w="556" w:type="pct"/>
            <w:vMerge/>
            <w:vAlign w:val="center"/>
          </w:tcPr>
          <w:p w14:paraId="789DF6FF" w14:textId="77777777" w:rsidR="008B0026" w:rsidRPr="00D22D16" w:rsidRDefault="008B0026" w:rsidP="00B266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4" w:type="pct"/>
          </w:tcPr>
          <w:p w14:paraId="5F19955D" w14:textId="77777777" w:rsidR="008B0026" w:rsidRPr="00D22D16" w:rsidRDefault="008B0026" w:rsidP="00B266F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pct"/>
            <w:vMerge/>
            <w:vAlign w:val="center"/>
          </w:tcPr>
          <w:p w14:paraId="7383ED05" w14:textId="77777777" w:rsidR="008B0026" w:rsidRPr="00D22D16" w:rsidRDefault="008B0026" w:rsidP="00B266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4" w:type="pct"/>
          </w:tcPr>
          <w:p w14:paraId="2728C9A9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pct"/>
            <w:vMerge/>
            <w:vAlign w:val="center"/>
          </w:tcPr>
          <w:p w14:paraId="62CD2126" w14:textId="77777777" w:rsidR="008B0026" w:rsidRPr="00D22D16" w:rsidRDefault="008B0026" w:rsidP="00B266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4" w:type="pct"/>
          </w:tcPr>
          <w:p w14:paraId="727D96F4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14:paraId="5714FAE9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0026" w:rsidRPr="00D22D16" w14:paraId="2D33916E" w14:textId="77777777" w:rsidTr="00F54D7F">
        <w:trPr>
          <w:tblCellSpacing w:w="20" w:type="dxa"/>
        </w:trPr>
        <w:tc>
          <w:tcPr>
            <w:tcW w:w="963" w:type="pct"/>
          </w:tcPr>
          <w:p w14:paraId="7753856B" w14:textId="77777777" w:rsidR="008B0026" w:rsidRPr="00D22D16" w:rsidRDefault="008B0026" w:rsidP="00B266F0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5.2. speciālais budžets</w:t>
            </w:r>
          </w:p>
        </w:tc>
        <w:tc>
          <w:tcPr>
            <w:tcW w:w="556" w:type="pct"/>
            <w:vMerge/>
            <w:vAlign w:val="center"/>
          </w:tcPr>
          <w:p w14:paraId="5A3259C6" w14:textId="77777777" w:rsidR="008B0026" w:rsidRPr="00D22D16" w:rsidRDefault="008B0026" w:rsidP="00B266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4" w:type="pct"/>
          </w:tcPr>
          <w:p w14:paraId="58AADD2A" w14:textId="77777777" w:rsidR="008B0026" w:rsidRPr="00D22D16" w:rsidRDefault="008B0026" w:rsidP="00B266F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pct"/>
            <w:vMerge/>
            <w:vAlign w:val="center"/>
          </w:tcPr>
          <w:p w14:paraId="2DF3851A" w14:textId="77777777" w:rsidR="008B0026" w:rsidRPr="00D22D16" w:rsidRDefault="008B0026" w:rsidP="00B266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4" w:type="pct"/>
          </w:tcPr>
          <w:p w14:paraId="7245FF0C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pct"/>
            <w:vMerge/>
            <w:vAlign w:val="center"/>
          </w:tcPr>
          <w:p w14:paraId="02566FF1" w14:textId="77777777" w:rsidR="008B0026" w:rsidRPr="00D22D16" w:rsidRDefault="008B0026" w:rsidP="00B266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4" w:type="pct"/>
          </w:tcPr>
          <w:p w14:paraId="49111856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14:paraId="2FDF8665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0026" w:rsidRPr="00D22D16" w14:paraId="0622D5C4" w14:textId="77777777" w:rsidTr="00F54D7F">
        <w:trPr>
          <w:tblCellSpacing w:w="20" w:type="dxa"/>
        </w:trPr>
        <w:tc>
          <w:tcPr>
            <w:tcW w:w="963" w:type="pct"/>
          </w:tcPr>
          <w:p w14:paraId="2E5F0067" w14:textId="77777777" w:rsidR="008B0026" w:rsidRPr="00D22D16" w:rsidRDefault="008B0026" w:rsidP="00B266F0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5.3. pašvaldību budžets</w:t>
            </w:r>
          </w:p>
        </w:tc>
        <w:tc>
          <w:tcPr>
            <w:tcW w:w="556" w:type="pct"/>
            <w:vMerge/>
            <w:vAlign w:val="center"/>
          </w:tcPr>
          <w:p w14:paraId="0D9F4849" w14:textId="77777777" w:rsidR="008B0026" w:rsidRPr="00D22D16" w:rsidRDefault="008B0026" w:rsidP="00B266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4" w:type="pct"/>
          </w:tcPr>
          <w:p w14:paraId="32A4DC55" w14:textId="77777777" w:rsidR="008B0026" w:rsidRPr="00D22D16" w:rsidRDefault="008B0026" w:rsidP="00B266F0">
            <w:pPr>
              <w:jc w:val="center"/>
              <w:rPr>
                <w:sz w:val="28"/>
                <w:szCs w:val="28"/>
                <w:highlight w:val="yellow"/>
              </w:rPr>
            </w:pPr>
            <w:r w:rsidRPr="00D22D16">
              <w:rPr>
                <w:sz w:val="28"/>
                <w:szCs w:val="28"/>
              </w:rPr>
              <w:t>0</w:t>
            </w:r>
          </w:p>
        </w:tc>
        <w:tc>
          <w:tcPr>
            <w:tcW w:w="498" w:type="pct"/>
            <w:vMerge/>
            <w:vAlign w:val="center"/>
          </w:tcPr>
          <w:p w14:paraId="79A56B1D" w14:textId="77777777" w:rsidR="008B0026" w:rsidRPr="00D22D16" w:rsidRDefault="008B0026" w:rsidP="00B266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4" w:type="pct"/>
          </w:tcPr>
          <w:p w14:paraId="5A0B2741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pct"/>
            <w:vMerge/>
            <w:vAlign w:val="center"/>
          </w:tcPr>
          <w:p w14:paraId="78EDBBDB" w14:textId="77777777" w:rsidR="008B0026" w:rsidRPr="00D22D16" w:rsidRDefault="008B0026" w:rsidP="00B266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4" w:type="pct"/>
          </w:tcPr>
          <w:p w14:paraId="534CB931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D52E16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14:paraId="416977B9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D52E16">
              <w:rPr>
                <w:sz w:val="28"/>
                <w:szCs w:val="28"/>
              </w:rPr>
              <w:t>0</w:t>
            </w:r>
          </w:p>
        </w:tc>
      </w:tr>
      <w:tr w:rsidR="008B0026" w:rsidRPr="00D22D16" w14:paraId="5D6CE6B8" w14:textId="77777777" w:rsidTr="00F54D7F">
        <w:trPr>
          <w:trHeight w:val="3314"/>
          <w:tblCellSpacing w:w="20" w:type="dxa"/>
        </w:trPr>
        <w:tc>
          <w:tcPr>
            <w:tcW w:w="963" w:type="pct"/>
          </w:tcPr>
          <w:p w14:paraId="016F86B7" w14:textId="77777777" w:rsidR="008B0026" w:rsidRPr="00D22D16" w:rsidRDefault="008B0026" w:rsidP="00B266F0">
            <w:pPr>
              <w:rPr>
                <w:sz w:val="28"/>
                <w:szCs w:val="28"/>
                <w:highlight w:val="yellow"/>
              </w:rPr>
            </w:pPr>
            <w:r w:rsidRPr="00D22D16">
              <w:rPr>
                <w:sz w:val="28"/>
                <w:szCs w:val="28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4037" w:type="pct"/>
            <w:gridSpan w:val="7"/>
            <w:vMerge w:val="restart"/>
          </w:tcPr>
          <w:p w14:paraId="2E8FCB09" w14:textId="1AFC70BE" w:rsidR="00A700FE" w:rsidRPr="00D22D16" w:rsidRDefault="008B0026" w:rsidP="00B266F0">
            <w:pPr>
              <w:jc w:val="both"/>
              <w:rPr>
                <w:sz w:val="28"/>
                <w:szCs w:val="28"/>
                <w:highlight w:val="yellow"/>
              </w:rPr>
            </w:pPr>
            <w:r w:rsidRPr="00D22D16">
              <w:rPr>
                <w:iCs/>
                <w:sz w:val="28"/>
                <w:szCs w:val="28"/>
                <w:lang w:eastAsia="lv-LV"/>
              </w:rPr>
              <w:t>Detalizētāks aprēķins (ar paskaidrojumiem) ir sniegts informatīvajā ziņojumā „</w:t>
            </w:r>
            <w:r w:rsidRPr="00D22D16">
              <w:rPr>
                <w:sz w:val="28"/>
                <w:szCs w:val="28"/>
              </w:rPr>
              <w:t>Par nepieciešamo finansējumu Sabiedrisko elektronisko plašsaziņas līdzekļu padomes izveidei</w:t>
            </w:r>
            <w:r w:rsidRPr="00D22D16">
              <w:rPr>
                <w:iCs/>
                <w:sz w:val="28"/>
                <w:szCs w:val="28"/>
                <w:lang w:eastAsia="lv-LV"/>
              </w:rPr>
              <w:t>”.</w:t>
            </w:r>
            <w:r w:rsidR="00CE76B7">
              <w:rPr>
                <w:iCs/>
                <w:sz w:val="28"/>
                <w:szCs w:val="28"/>
              </w:rPr>
              <w:t xml:space="preserve"> </w:t>
            </w:r>
            <w:r w:rsidR="00A700FE" w:rsidRPr="00F30680">
              <w:rPr>
                <w:iCs/>
                <w:sz w:val="28"/>
                <w:szCs w:val="28"/>
              </w:rPr>
              <w:t>Ņemot vērā, ka izmaksas atbilstoši faktiskajai situācijai var mainīties</w:t>
            </w:r>
            <w:r w:rsidR="008A1738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="008A1738">
              <w:rPr>
                <w:iCs/>
                <w:sz w:val="28"/>
                <w:szCs w:val="28"/>
              </w:rPr>
              <w:t>un,</w:t>
            </w:r>
            <w:proofErr w:type="gramEnd"/>
            <w:r w:rsidR="008A1738">
              <w:rPr>
                <w:iCs/>
                <w:sz w:val="28"/>
                <w:szCs w:val="28"/>
              </w:rPr>
              <w:t xml:space="preserve"> lai nekavētu SEPLP darbības nodrošināšanu</w:t>
            </w:r>
            <w:r w:rsidR="00A700FE" w:rsidRPr="00F30680">
              <w:rPr>
                <w:iCs/>
                <w:sz w:val="28"/>
                <w:szCs w:val="28"/>
              </w:rPr>
              <w:t xml:space="preserve">, tad sākotnēji Kultūras ministrija pieprasīs </w:t>
            </w:r>
            <w:r w:rsidR="00A700FE" w:rsidRPr="00A700FE">
              <w:rPr>
                <w:iCs/>
                <w:sz w:val="28"/>
                <w:szCs w:val="28"/>
                <w:lang w:eastAsia="lv-LV"/>
              </w:rPr>
              <w:t>informatīvajā ziņojumā „</w:t>
            </w:r>
            <w:r w:rsidR="00A700FE" w:rsidRPr="008A1738">
              <w:rPr>
                <w:sz w:val="28"/>
                <w:szCs w:val="28"/>
              </w:rPr>
              <w:t>Par nepieciešamo finansējumu Sabiedrisko elektronisko plašsaziņas līdzekļu padomes izveidei</w:t>
            </w:r>
            <w:r w:rsidR="00A700FE" w:rsidRPr="008A1738">
              <w:rPr>
                <w:iCs/>
                <w:sz w:val="28"/>
                <w:szCs w:val="28"/>
                <w:lang w:eastAsia="lv-LV"/>
              </w:rPr>
              <w:t>”</w:t>
            </w:r>
            <w:r w:rsidR="008A1738">
              <w:rPr>
                <w:iCs/>
                <w:sz w:val="28"/>
                <w:szCs w:val="28"/>
                <w:lang w:eastAsia="lv-LV"/>
              </w:rPr>
              <w:t xml:space="preserve"> norādītās izmaksas </w:t>
            </w:r>
            <w:r w:rsidR="00CE76B7">
              <w:rPr>
                <w:iCs/>
                <w:sz w:val="28"/>
                <w:szCs w:val="28"/>
                <w:lang w:eastAsia="lv-LV"/>
              </w:rPr>
              <w:t xml:space="preserve">trīs </w:t>
            </w:r>
            <w:r w:rsidR="008A1738">
              <w:rPr>
                <w:iCs/>
                <w:sz w:val="28"/>
                <w:szCs w:val="28"/>
                <w:lang w:eastAsia="lv-LV"/>
              </w:rPr>
              <w:t>mēnešiem</w:t>
            </w:r>
            <w:bookmarkStart w:id="2" w:name="_Hlk78957542"/>
            <w:r w:rsidR="008708B2">
              <w:rPr>
                <w:iCs/>
                <w:sz w:val="28"/>
                <w:szCs w:val="28"/>
                <w:lang w:eastAsia="lv-LV"/>
              </w:rPr>
              <w:t>, t</w:t>
            </w:r>
            <w:r w:rsidR="00CE76B7">
              <w:rPr>
                <w:iCs/>
                <w:sz w:val="28"/>
                <w:szCs w:val="28"/>
                <w:lang w:eastAsia="lv-LV"/>
              </w:rPr>
              <w:t>ai skaitā</w:t>
            </w:r>
            <w:r w:rsidR="008708B2">
              <w:rPr>
                <w:iCs/>
                <w:sz w:val="28"/>
                <w:szCs w:val="28"/>
                <w:lang w:eastAsia="lv-LV"/>
              </w:rPr>
              <w:t xml:space="preserve"> darbinieku atlīdzības izmaksas, uzturēšanas un vienreizējās SEPLP darbības nodrošināšanas izmaksas</w:t>
            </w:r>
            <w:bookmarkEnd w:id="2"/>
            <w:r w:rsidR="00CE76B7">
              <w:rPr>
                <w:iCs/>
                <w:sz w:val="28"/>
                <w:szCs w:val="28"/>
                <w:lang w:eastAsia="lv-LV"/>
              </w:rPr>
              <w:t>,</w:t>
            </w:r>
            <w:r w:rsidR="008708B2">
              <w:rPr>
                <w:iCs/>
                <w:sz w:val="28"/>
                <w:szCs w:val="28"/>
                <w:lang w:eastAsia="lv-LV"/>
              </w:rPr>
              <w:t xml:space="preserve"> </w:t>
            </w:r>
            <w:r w:rsidR="008A1738">
              <w:rPr>
                <w:iCs/>
                <w:sz w:val="28"/>
                <w:szCs w:val="28"/>
                <w:lang w:eastAsia="lv-LV"/>
              </w:rPr>
              <w:t>un līdz 2021.gada oktobra vidum iesniegs otru finanšu</w:t>
            </w:r>
            <w:r w:rsidR="00CE76B7">
              <w:rPr>
                <w:iCs/>
                <w:sz w:val="28"/>
                <w:szCs w:val="28"/>
                <w:lang w:eastAsia="lv-LV"/>
              </w:rPr>
              <w:t xml:space="preserve"> līdzekļu</w:t>
            </w:r>
            <w:r w:rsidR="008A1738">
              <w:rPr>
                <w:iCs/>
                <w:sz w:val="28"/>
                <w:szCs w:val="28"/>
                <w:lang w:eastAsia="lv-LV"/>
              </w:rPr>
              <w:t xml:space="preserve"> pieprasījumu atbilstoši faktiskajām izmaksām, ko būs sagatavojusi SEPLP padome.</w:t>
            </w:r>
          </w:p>
        </w:tc>
      </w:tr>
      <w:tr w:rsidR="008B0026" w:rsidRPr="00D22D16" w14:paraId="4D6F459C" w14:textId="77777777" w:rsidTr="00F54D7F">
        <w:trPr>
          <w:trHeight w:val="964"/>
          <w:tblCellSpacing w:w="20" w:type="dxa"/>
        </w:trPr>
        <w:tc>
          <w:tcPr>
            <w:tcW w:w="963" w:type="pct"/>
          </w:tcPr>
          <w:p w14:paraId="35DC0D01" w14:textId="77777777" w:rsidR="008B0026" w:rsidRPr="00D22D16" w:rsidRDefault="008B0026" w:rsidP="00B266F0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6.1. detalizēts ieņēmumu aprēķins</w:t>
            </w:r>
          </w:p>
        </w:tc>
        <w:tc>
          <w:tcPr>
            <w:tcW w:w="4037" w:type="pct"/>
            <w:gridSpan w:val="7"/>
            <w:vMerge/>
            <w:vAlign w:val="center"/>
          </w:tcPr>
          <w:p w14:paraId="55EBAD96" w14:textId="77777777" w:rsidR="008B0026" w:rsidRPr="00D22D16" w:rsidRDefault="008B0026" w:rsidP="00B266F0">
            <w:pPr>
              <w:jc w:val="both"/>
              <w:rPr>
                <w:sz w:val="28"/>
                <w:szCs w:val="28"/>
              </w:rPr>
            </w:pPr>
          </w:p>
        </w:tc>
      </w:tr>
      <w:tr w:rsidR="008B0026" w:rsidRPr="00D22D16" w14:paraId="3A6807F5" w14:textId="77777777" w:rsidTr="00F54D7F">
        <w:trPr>
          <w:trHeight w:val="964"/>
          <w:tblCellSpacing w:w="20" w:type="dxa"/>
        </w:trPr>
        <w:tc>
          <w:tcPr>
            <w:tcW w:w="963" w:type="pct"/>
          </w:tcPr>
          <w:p w14:paraId="40CE3DA6" w14:textId="77777777" w:rsidR="008B0026" w:rsidRPr="00D22D16" w:rsidRDefault="008B0026" w:rsidP="00B266F0">
            <w:pPr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6.2. detalizēts izdevumu aprēķins</w:t>
            </w:r>
          </w:p>
        </w:tc>
        <w:tc>
          <w:tcPr>
            <w:tcW w:w="4037" w:type="pct"/>
            <w:gridSpan w:val="7"/>
            <w:vAlign w:val="center"/>
          </w:tcPr>
          <w:p w14:paraId="431FEA30" w14:textId="77777777" w:rsidR="008B0026" w:rsidRPr="00D22D16" w:rsidRDefault="008B0026" w:rsidP="00B266F0">
            <w:pPr>
              <w:jc w:val="both"/>
              <w:rPr>
                <w:sz w:val="28"/>
                <w:szCs w:val="28"/>
              </w:rPr>
            </w:pPr>
          </w:p>
        </w:tc>
      </w:tr>
      <w:tr w:rsidR="008B0026" w:rsidRPr="00D22D16" w14:paraId="1FEFB798" w14:textId="77777777" w:rsidTr="00F54D7F">
        <w:trPr>
          <w:tblCellSpacing w:w="20" w:type="dxa"/>
        </w:trPr>
        <w:tc>
          <w:tcPr>
            <w:tcW w:w="963" w:type="pct"/>
          </w:tcPr>
          <w:p w14:paraId="440617A6" w14:textId="77777777" w:rsidR="008B0026" w:rsidRPr="00D22D16" w:rsidRDefault="008B0026" w:rsidP="00B266F0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lastRenderedPageBreak/>
              <w:t>7. Amata vietu skaita izmaiņas</w:t>
            </w:r>
          </w:p>
        </w:tc>
        <w:tc>
          <w:tcPr>
            <w:tcW w:w="4037" w:type="pct"/>
            <w:gridSpan w:val="7"/>
          </w:tcPr>
          <w:p w14:paraId="38C60662" w14:textId="77777777" w:rsidR="008B0026" w:rsidRPr="00D22D16" w:rsidRDefault="008B0026" w:rsidP="00B266F0">
            <w:pPr>
              <w:jc w:val="both"/>
              <w:rPr>
                <w:sz w:val="28"/>
                <w:szCs w:val="28"/>
              </w:rPr>
            </w:pPr>
            <w:r w:rsidRPr="00D22D16">
              <w:rPr>
                <w:bCs/>
                <w:iCs/>
                <w:sz w:val="28"/>
                <w:szCs w:val="28"/>
              </w:rPr>
              <w:t>Projekts šo jomu neskar.</w:t>
            </w:r>
          </w:p>
        </w:tc>
      </w:tr>
      <w:tr w:rsidR="008B0026" w:rsidRPr="00D22D16" w14:paraId="71B937B0" w14:textId="77777777" w:rsidTr="00F54D7F">
        <w:trPr>
          <w:tblCellSpacing w:w="20" w:type="dxa"/>
        </w:trPr>
        <w:tc>
          <w:tcPr>
            <w:tcW w:w="963" w:type="pct"/>
          </w:tcPr>
          <w:p w14:paraId="4A62FB77" w14:textId="77777777" w:rsidR="008B0026" w:rsidRPr="00D22D16" w:rsidRDefault="008B0026" w:rsidP="00B266F0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8. Cita informācija</w:t>
            </w:r>
          </w:p>
        </w:tc>
        <w:tc>
          <w:tcPr>
            <w:tcW w:w="4037" w:type="pct"/>
            <w:gridSpan w:val="7"/>
          </w:tcPr>
          <w:p w14:paraId="6A3FE1EB" w14:textId="2FCAF3D3" w:rsidR="00277366" w:rsidRDefault="00277366" w:rsidP="00AA1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SEPLP izveidei un darbības nodrošināšanai </w:t>
            </w:r>
            <w:proofErr w:type="gramStart"/>
            <w:r>
              <w:rPr>
                <w:sz w:val="28"/>
                <w:szCs w:val="28"/>
              </w:rPr>
              <w:t>2021.gadā</w:t>
            </w:r>
            <w:proofErr w:type="gramEnd"/>
            <w:r>
              <w:rPr>
                <w:sz w:val="28"/>
                <w:szCs w:val="28"/>
              </w:rPr>
              <w:t xml:space="preserve"> finansējums tiks nodrošināts no </w:t>
            </w:r>
            <w:r w:rsidRPr="008A4E40">
              <w:rPr>
                <w:color w:val="000000"/>
                <w:sz w:val="28"/>
                <w:szCs w:val="28"/>
              </w:rPr>
              <w:t xml:space="preserve">valsts budžeta </w:t>
            </w:r>
            <w:r w:rsidRPr="00AD4752">
              <w:rPr>
                <w:color w:val="000000"/>
                <w:sz w:val="28"/>
                <w:szCs w:val="28"/>
              </w:rPr>
              <w:t>programmas 02.00.00 „Līdzekļi neparedzētiem gadījumiem”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41E7B937" w14:textId="40960C95" w:rsidR="008B0026" w:rsidRPr="00D22D16" w:rsidRDefault="008B0026" w:rsidP="00AA1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SEPLP izveidei un darbības nodrošināšanai </w:t>
            </w:r>
            <w:proofErr w:type="gramStart"/>
            <w:r>
              <w:rPr>
                <w:sz w:val="28"/>
                <w:szCs w:val="28"/>
              </w:rPr>
              <w:t>2021.gadā</w:t>
            </w:r>
            <w:proofErr w:type="gramEnd"/>
            <w:r>
              <w:rPr>
                <w:sz w:val="28"/>
                <w:szCs w:val="28"/>
              </w:rPr>
              <w:t xml:space="preserve"> finansējums</w:t>
            </w:r>
            <w:r w:rsidR="008A1738">
              <w:rPr>
                <w:sz w:val="28"/>
                <w:szCs w:val="28"/>
              </w:rPr>
              <w:t xml:space="preserve"> kā valsts budžeta transferts tiks pārdalīts uz </w:t>
            </w:r>
            <w:r w:rsidR="00673657">
              <w:rPr>
                <w:sz w:val="28"/>
                <w:szCs w:val="28"/>
              </w:rPr>
              <w:t xml:space="preserve">budžeta </w:t>
            </w:r>
            <w:r w:rsidR="008A1738">
              <w:rPr>
                <w:sz w:val="28"/>
                <w:szCs w:val="28"/>
              </w:rPr>
              <w:t xml:space="preserve">resora </w:t>
            </w:r>
            <w:r w:rsidR="00CE76B7" w:rsidRPr="00D52E16">
              <w:rPr>
                <w:sz w:val="28"/>
                <w:szCs w:val="28"/>
              </w:rPr>
              <w:t>„</w:t>
            </w:r>
            <w:r w:rsidR="008A1738">
              <w:rPr>
                <w:sz w:val="28"/>
                <w:szCs w:val="28"/>
              </w:rPr>
              <w:t>47. Radio un televīzija</w:t>
            </w:r>
            <w:r w:rsidR="00673657">
              <w:rPr>
                <w:sz w:val="28"/>
                <w:szCs w:val="28"/>
              </w:rPr>
              <w:t>”</w:t>
            </w:r>
            <w:r w:rsidR="008A1738">
              <w:rPr>
                <w:sz w:val="28"/>
                <w:szCs w:val="28"/>
              </w:rPr>
              <w:t xml:space="preserve"> </w:t>
            </w:r>
            <w:proofErr w:type="spellStart"/>
            <w:r w:rsidR="008A1738">
              <w:rPr>
                <w:sz w:val="28"/>
                <w:szCs w:val="28"/>
              </w:rPr>
              <w:t>jaunizveidojamo</w:t>
            </w:r>
            <w:proofErr w:type="spellEnd"/>
            <w:r w:rsidR="008A1738">
              <w:rPr>
                <w:sz w:val="28"/>
                <w:szCs w:val="28"/>
              </w:rPr>
              <w:t xml:space="preserve"> valsts budžeta programmu 06.0</w:t>
            </w:r>
            <w:r w:rsidR="00EB4CF2">
              <w:rPr>
                <w:sz w:val="28"/>
                <w:szCs w:val="28"/>
              </w:rPr>
              <w:t>0</w:t>
            </w:r>
            <w:r w:rsidR="008A1738">
              <w:rPr>
                <w:sz w:val="28"/>
                <w:szCs w:val="28"/>
              </w:rPr>
              <w:t xml:space="preserve">.00 </w:t>
            </w:r>
            <w:r w:rsidR="00CE76B7" w:rsidRPr="00D52E16">
              <w:rPr>
                <w:sz w:val="28"/>
                <w:szCs w:val="28"/>
              </w:rPr>
              <w:t>„</w:t>
            </w:r>
            <w:r w:rsidR="00277366">
              <w:rPr>
                <w:sz w:val="28"/>
                <w:szCs w:val="28"/>
              </w:rPr>
              <w:t>Sabiedrisko elektronisko plašsaziņas līdzekļu</w:t>
            </w:r>
            <w:r w:rsidR="008A1738">
              <w:rPr>
                <w:sz w:val="28"/>
                <w:szCs w:val="28"/>
              </w:rPr>
              <w:t>”</w:t>
            </w:r>
            <w:r w:rsidR="00EB4CF2">
              <w:rPr>
                <w:sz w:val="28"/>
                <w:szCs w:val="28"/>
              </w:rPr>
              <w:t xml:space="preserve"> apakšprogrammu 06.01.00 </w:t>
            </w:r>
            <w:r w:rsidR="00EB4CF2" w:rsidRPr="00D52E16">
              <w:rPr>
                <w:sz w:val="28"/>
                <w:szCs w:val="28"/>
              </w:rPr>
              <w:t>„</w:t>
            </w:r>
            <w:r w:rsidR="00EB4CF2">
              <w:rPr>
                <w:sz w:val="28"/>
                <w:szCs w:val="28"/>
              </w:rPr>
              <w:t>Sabiedrisko elektronisko plašsaziņas līdzekļu padomes darbības nodrošināšana”</w:t>
            </w:r>
            <w:r w:rsidR="00673657">
              <w:rPr>
                <w:sz w:val="28"/>
                <w:szCs w:val="28"/>
              </w:rPr>
              <w:t>.</w:t>
            </w:r>
            <w:r w:rsidR="008A1738">
              <w:rPr>
                <w:sz w:val="28"/>
                <w:szCs w:val="28"/>
              </w:rPr>
              <w:t xml:space="preserve"> </w:t>
            </w:r>
            <w:r w:rsidRPr="00D22D16">
              <w:rPr>
                <w:bCs/>
                <w:iCs/>
                <w:sz w:val="28"/>
                <w:szCs w:val="28"/>
              </w:rPr>
              <w:t xml:space="preserve">2022.gada budžetā pilnai SEPLP darbības nodrošināšanai būs nepieciešams finansējums </w:t>
            </w:r>
            <w:r w:rsidRPr="0092120E">
              <w:rPr>
                <w:bCs/>
                <w:iCs/>
                <w:sz w:val="28"/>
                <w:szCs w:val="28"/>
              </w:rPr>
              <w:t>6</w:t>
            </w:r>
            <w:r w:rsidR="008F2162">
              <w:rPr>
                <w:bCs/>
                <w:iCs/>
                <w:sz w:val="28"/>
                <w:szCs w:val="28"/>
              </w:rPr>
              <w:t>26</w:t>
            </w:r>
            <w:r w:rsidRPr="0092120E">
              <w:rPr>
                <w:bCs/>
                <w:iCs/>
                <w:sz w:val="28"/>
                <w:szCs w:val="28"/>
              </w:rPr>
              <w:t xml:space="preserve"> </w:t>
            </w:r>
            <w:r w:rsidR="008F2162">
              <w:rPr>
                <w:bCs/>
                <w:iCs/>
                <w:sz w:val="28"/>
                <w:szCs w:val="28"/>
              </w:rPr>
              <w:t>233</w:t>
            </w:r>
            <w:r w:rsidRPr="0092120E">
              <w:rPr>
                <w:bCs/>
                <w:iCs/>
                <w:sz w:val="28"/>
                <w:szCs w:val="28"/>
              </w:rPr>
              <w:t xml:space="preserve"> </w:t>
            </w:r>
            <w:r w:rsidRPr="00D22D16">
              <w:rPr>
                <w:bCs/>
                <w:i/>
                <w:sz w:val="28"/>
                <w:szCs w:val="28"/>
              </w:rPr>
              <w:t>euro</w:t>
            </w:r>
            <w:r w:rsidRPr="00D22D16">
              <w:rPr>
                <w:bCs/>
                <w:iCs/>
                <w:sz w:val="28"/>
                <w:szCs w:val="28"/>
              </w:rPr>
              <w:t xml:space="preserve"> apmērā</w:t>
            </w:r>
            <w:r w:rsidR="00B84BD9">
              <w:rPr>
                <w:bCs/>
                <w:iCs/>
                <w:sz w:val="28"/>
                <w:szCs w:val="28"/>
              </w:rPr>
              <w:t xml:space="preserve">, tai skaitā, </w:t>
            </w:r>
            <w:r w:rsidR="00B84BD9">
              <w:rPr>
                <w:bCs/>
                <w:iCs/>
                <w:sz w:val="28"/>
                <w:szCs w:val="28"/>
              </w:rPr>
              <w:t xml:space="preserve">SEPLP 603 959 </w:t>
            </w:r>
            <w:r w:rsidR="00B84BD9">
              <w:rPr>
                <w:bCs/>
                <w:i/>
                <w:iCs/>
                <w:sz w:val="28"/>
                <w:szCs w:val="28"/>
              </w:rPr>
              <w:t>euro</w:t>
            </w:r>
            <w:r w:rsidR="00B84BD9">
              <w:rPr>
                <w:bCs/>
                <w:iCs/>
                <w:sz w:val="28"/>
                <w:szCs w:val="28"/>
              </w:rPr>
              <w:t xml:space="preserve"> Finanšu ministrijai (Valsts kasei) 22 274 </w:t>
            </w:r>
            <w:r w:rsidR="00B84BD9">
              <w:rPr>
                <w:bCs/>
                <w:i/>
                <w:iCs/>
                <w:sz w:val="28"/>
                <w:szCs w:val="28"/>
              </w:rPr>
              <w:t>euro</w:t>
            </w:r>
            <w:bookmarkStart w:id="3" w:name="_GoBack"/>
            <w:bookmarkEnd w:id="3"/>
            <w:r w:rsidRPr="00D22D16">
              <w:rPr>
                <w:bCs/>
                <w:iCs/>
                <w:sz w:val="28"/>
                <w:szCs w:val="28"/>
              </w:rPr>
              <w:t xml:space="preserve">. </w:t>
            </w:r>
            <w:r w:rsidRPr="00D22D16">
              <w:rPr>
                <w:sz w:val="28"/>
                <w:szCs w:val="28"/>
              </w:rPr>
              <w:t xml:space="preserve">Par </w:t>
            </w:r>
            <w:r>
              <w:rPr>
                <w:sz w:val="28"/>
                <w:szCs w:val="28"/>
              </w:rPr>
              <w:t xml:space="preserve">finansējuma </w:t>
            </w:r>
            <w:r w:rsidRPr="00D22D16">
              <w:rPr>
                <w:sz w:val="28"/>
                <w:szCs w:val="28"/>
              </w:rPr>
              <w:t xml:space="preserve">piešķiršanu </w:t>
            </w:r>
            <w:r w:rsidRPr="00D52E16">
              <w:rPr>
                <w:bCs/>
                <w:iCs/>
                <w:sz w:val="28"/>
                <w:szCs w:val="28"/>
              </w:rPr>
              <w:t>SEPLP</w:t>
            </w:r>
            <w:r w:rsidRPr="00D22D16" w:rsidDel="00D22D16">
              <w:rPr>
                <w:sz w:val="28"/>
                <w:szCs w:val="28"/>
              </w:rPr>
              <w:t xml:space="preserve"> </w:t>
            </w:r>
            <w:r w:rsidRPr="00D22D16">
              <w:rPr>
                <w:sz w:val="28"/>
                <w:szCs w:val="28"/>
              </w:rPr>
              <w:t xml:space="preserve">darbības nodrošināšanai </w:t>
            </w:r>
            <w:proofErr w:type="gramStart"/>
            <w:r w:rsidRPr="00D22D16">
              <w:rPr>
                <w:sz w:val="28"/>
                <w:szCs w:val="28"/>
              </w:rPr>
              <w:t>2022.gadā</w:t>
            </w:r>
            <w:proofErr w:type="gramEnd"/>
            <w:r w:rsidRPr="00D22D16">
              <w:rPr>
                <w:sz w:val="28"/>
                <w:szCs w:val="28"/>
              </w:rPr>
              <w:t xml:space="preserve"> un turpmākajos gados </w:t>
            </w:r>
            <w:r>
              <w:rPr>
                <w:sz w:val="28"/>
                <w:szCs w:val="28"/>
              </w:rPr>
              <w:t xml:space="preserve">tiks </w:t>
            </w:r>
            <w:r w:rsidRPr="00D22D16">
              <w:rPr>
                <w:sz w:val="28"/>
                <w:szCs w:val="28"/>
              </w:rPr>
              <w:t>lemt</w:t>
            </w:r>
            <w:r>
              <w:rPr>
                <w:sz w:val="28"/>
                <w:szCs w:val="28"/>
              </w:rPr>
              <w:t>s</w:t>
            </w:r>
            <w:r w:rsidRPr="00D22D16">
              <w:rPr>
                <w:sz w:val="28"/>
                <w:szCs w:val="28"/>
              </w:rPr>
              <w:t xml:space="preserve"> likumprojekta </w:t>
            </w:r>
            <w:r w:rsidRPr="00D52E16">
              <w:rPr>
                <w:iCs/>
                <w:sz w:val="28"/>
                <w:szCs w:val="28"/>
                <w:lang w:eastAsia="lv-LV"/>
              </w:rPr>
              <w:t>„</w:t>
            </w:r>
            <w:r w:rsidRPr="00D22D16">
              <w:rPr>
                <w:sz w:val="28"/>
                <w:szCs w:val="28"/>
              </w:rPr>
              <w:t>Par valsts budžetu 2022.gadam</w:t>
            </w:r>
            <w:r>
              <w:rPr>
                <w:sz w:val="28"/>
                <w:szCs w:val="28"/>
              </w:rPr>
              <w:t>”</w:t>
            </w:r>
            <w:r w:rsidRPr="00D22D16">
              <w:rPr>
                <w:sz w:val="28"/>
                <w:szCs w:val="28"/>
              </w:rPr>
              <w:t xml:space="preserve"> un likumprojekta </w:t>
            </w:r>
            <w:r w:rsidRPr="00D52E16">
              <w:rPr>
                <w:iCs/>
                <w:sz w:val="28"/>
                <w:szCs w:val="28"/>
                <w:lang w:eastAsia="lv-LV"/>
              </w:rPr>
              <w:t>„</w:t>
            </w:r>
            <w:r w:rsidRPr="00D22D16">
              <w:rPr>
                <w:sz w:val="28"/>
                <w:szCs w:val="28"/>
              </w:rPr>
              <w:t>Par vidēja termiņa budžeta ietvaru 2022., 2023. un 2024.gadam</w:t>
            </w:r>
            <w:r>
              <w:rPr>
                <w:sz w:val="28"/>
                <w:szCs w:val="28"/>
              </w:rPr>
              <w:t>”</w:t>
            </w:r>
            <w:r w:rsidRPr="00D22D16">
              <w:rPr>
                <w:sz w:val="28"/>
                <w:szCs w:val="28"/>
              </w:rPr>
              <w:t xml:space="preserve"> sagatavošanas procesā kopā ar visu ministriju un citu </w:t>
            </w:r>
            <w:r w:rsidR="00673657">
              <w:rPr>
                <w:sz w:val="28"/>
                <w:szCs w:val="28"/>
              </w:rPr>
              <w:t xml:space="preserve">centrālo </w:t>
            </w:r>
            <w:r w:rsidRPr="00D22D16">
              <w:rPr>
                <w:sz w:val="28"/>
                <w:szCs w:val="28"/>
              </w:rPr>
              <w:t>valsts pārvaldes iestāžu prioritāro pasākumu pieteikumiem atbilstoši valsts budžeta finansiālajām iespējām.</w:t>
            </w:r>
          </w:p>
        </w:tc>
      </w:tr>
    </w:tbl>
    <w:p w14:paraId="38BBA561" w14:textId="77777777" w:rsidR="008B0026" w:rsidRDefault="008B0026" w:rsidP="007C6502">
      <w:pPr>
        <w:rPr>
          <w:sz w:val="28"/>
          <w:szCs w:val="28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94"/>
        <w:gridCol w:w="3554"/>
        <w:gridCol w:w="5241"/>
      </w:tblGrid>
      <w:tr w:rsidR="008B0026" w:rsidRPr="00D22D16" w14:paraId="3E1DA781" w14:textId="77777777" w:rsidTr="00F54D7F">
        <w:trPr>
          <w:tblCellSpacing w:w="20" w:type="dxa"/>
        </w:trPr>
        <w:tc>
          <w:tcPr>
            <w:tcW w:w="5000" w:type="pct"/>
            <w:gridSpan w:val="3"/>
            <w:vAlign w:val="center"/>
          </w:tcPr>
          <w:p w14:paraId="3CB31AF3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b/>
                <w:bCs/>
                <w:sz w:val="28"/>
                <w:szCs w:val="28"/>
              </w:rPr>
            </w:pPr>
            <w:r w:rsidRPr="00D22D16">
              <w:rPr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8B0026" w:rsidRPr="00D22D16" w14:paraId="6118023C" w14:textId="77777777" w:rsidTr="00F54D7F">
        <w:trPr>
          <w:tblCellSpacing w:w="20" w:type="dxa"/>
        </w:trPr>
        <w:tc>
          <w:tcPr>
            <w:tcW w:w="289" w:type="pct"/>
          </w:tcPr>
          <w:p w14:paraId="12AFE7CB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1.</w:t>
            </w:r>
          </w:p>
        </w:tc>
        <w:tc>
          <w:tcPr>
            <w:tcW w:w="1904" w:type="pct"/>
          </w:tcPr>
          <w:p w14:paraId="015C07C1" w14:textId="77777777" w:rsidR="008B0026" w:rsidRPr="00D22D16" w:rsidRDefault="008B0026" w:rsidP="00B266F0">
            <w:pPr>
              <w:jc w:val="both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Saistītie tiesību aktu projekti</w:t>
            </w:r>
          </w:p>
        </w:tc>
        <w:tc>
          <w:tcPr>
            <w:tcW w:w="2807" w:type="pct"/>
          </w:tcPr>
          <w:p w14:paraId="42A222A6" w14:textId="77777777" w:rsidR="008B0026" w:rsidRPr="00D22D16" w:rsidRDefault="008B0026" w:rsidP="00B266F0">
            <w:pPr>
              <w:jc w:val="both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 xml:space="preserve">Projekts tiek virzīts vienlaikus ar </w:t>
            </w:r>
            <w:r w:rsidRPr="00D22D16">
              <w:rPr>
                <w:iCs/>
                <w:sz w:val="28"/>
                <w:szCs w:val="28"/>
                <w:lang w:eastAsia="lv-LV"/>
              </w:rPr>
              <w:t>informatīvo ziņojumu „</w:t>
            </w:r>
            <w:r w:rsidRPr="00D22D16">
              <w:rPr>
                <w:sz w:val="28"/>
                <w:szCs w:val="28"/>
              </w:rPr>
              <w:t>Par nepieciešamo finansējumu Sabiedrisko elektronisko plašsaziņas līdzekļu padomes izveidei</w:t>
            </w:r>
            <w:r w:rsidRPr="00D22D16">
              <w:rPr>
                <w:iCs/>
                <w:sz w:val="28"/>
                <w:szCs w:val="28"/>
                <w:lang w:eastAsia="lv-LV"/>
              </w:rPr>
              <w:t>”.</w:t>
            </w:r>
          </w:p>
        </w:tc>
      </w:tr>
      <w:tr w:rsidR="008B0026" w:rsidRPr="00D22D16" w14:paraId="6CAD619B" w14:textId="77777777" w:rsidTr="00F54D7F">
        <w:trPr>
          <w:tblCellSpacing w:w="20" w:type="dxa"/>
        </w:trPr>
        <w:tc>
          <w:tcPr>
            <w:tcW w:w="289" w:type="pct"/>
          </w:tcPr>
          <w:p w14:paraId="711AAB7C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2.</w:t>
            </w:r>
          </w:p>
        </w:tc>
        <w:tc>
          <w:tcPr>
            <w:tcW w:w="1904" w:type="pct"/>
          </w:tcPr>
          <w:p w14:paraId="27319F45" w14:textId="77777777" w:rsidR="008B0026" w:rsidRPr="00D22D16" w:rsidRDefault="008B0026" w:rsidP="00B266F0">
            <w:pPr>
              <w:jc w:val="both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Atbildīgā institūcija</w:t>
            </w:r>
          </w:p>
        </w:tc>
        <w:tc>
          <w:tcPr>
            <w:tcW w:w="2807" w:type="pct"/>
          </w:tcPr>
          <w:p w14:paraId="35B7F135" w14:textId="77777777" w:rsidR="008B0026" w:rsidRPr="00D22D16" w:rsidRDefault="008B0026" w:rsidP="00B266F0">
            <w:pPr>
              <w:jc w:val="both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Kultūras ministrija.</w:t>
            </w:r>
          </w:p>
        </w:tc>
      </w:tr>
      <w:tr w:rsidR="008B0026" w:rsidRPr="00D22D16" w14:paraId="1F5C240C" w14:textId="77777777" w:rsidTr="00F54D7F">
        <w:trPr>
          <w:tblCellSpacing w:w="20" w:type="dxa"/>
        </w:trPr>
        <w:tc>
          <w:tcPr>
            <w:tcW w:w="289" w:type="pct"/>
          </w:tcPr>
          <w:p w14:paraId="528671F7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3.</w:t>
            </w:r>
          </w:p>
        </w:tc>
        <w:tc>
          <w:tcPr>
            <w:tcW w:w="1904" w:type="pct"/>
          </w:tcPr>
          <w:p w14:paraId="0ACEF7E9" w14:textId="77777777" w:rsidR="008B0026" w:rsidRPr="00D22D16" w:rsidRDefault="008B0026" w:rsidP="00B266F0">
            <w:pPr>
              <w:jc w:val="both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Cita informācija</w:t>
            </w:r>
          </w:p>
        </w:tc>
        <w:tc>
          <w:tcPr>
            <w:tcW w:w="2807" w:type="pct"/>
          </w:tcPr>
          <w:p w14:paraId="41095DB1" w14:textId="77777777" w:rsidR="008B0026" w:rsidRPr="00D22D16" w:rsidRDefault="008B0026" w:rsidP="00B266F0">
            <w:pPr>
              <w:jc w:val="both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Nav</w:t>
            </w:r>
          </w:p>
        </w:tc>
      </w:tr>
    </w:tbl>
    <w:p w14:paraId="2CDFA48C" w14:textId="77777777" w:rsidR="008B0026" w:rsidRPr="00D22D16" w:rsidRDefault="008B0026" w:rsidP="008B0026">
      <w:pPr>
        <w:jc w:val="both"/>
        <w:rPr>
          <w:sz w:val="28"/>
          <w:szCs w:val="28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389"/>
      </w:tblGrid>
      <w:tr w:rsidR="008B0026" w:rsidRPr="00D22D16" w14:paraId="2B84DB84" w14:textId="77777777" w:rsidTr="00F54D7F">
        <w:trPr>
          <w:tblCellSpacing w:w="20" w:type="dxa"/>
        </w:trPr>
        <w:tc>
          <w:tcPr>
            <w:tcW w:w="5000" w:type="pct"/>
            <w:vAlign w:val="center"/>
          </w:tcPr>
          <w:p w14:paraId="1AB84D94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b/>
                <w:sz w:val="28"/>
                <w:szCs w:val="28"/>
              </w:rPr>
            </w:pPr>
            <w:r w:rsidRPr="00D22D16">
              <w:rPr>
                <w:b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8B0026" w:rsidRPr="00D22D16" w14:paraId="7332B5B1" w14:textId="77777777" w:rsidTr="00F54D7F">
        <w:trPr>
          <w:tblCellSpacing w:w="20" w:type="dxa"/>
        </w:trPr>
        <w:tc>
          <w:tcPr>
            <w:tcW w:w="5000" w:type="pct"/>
          </w:tcPr>
          <w:p w14:paraId="22E62C00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D22D16">
              <w:rPr>
                <w:bCs/>
                <w:iCs/>
                <w:sz w:val="28"/>
                <w:szCs w:val="28"/>
              </w:rPr>
              <w:t>Projekts šo jomu neskar.</w:t>
            </w:r>
          </w:p>
        </w:tc>
      </w:tr>
    </w:tbl>
    <w:p w14:paraId="7B714241" w14:textId="77777777" w:rsidR="008B0026" w:rsidRPr="00D22D16" w:rsidRDefault="008B0026" w:rsidP="008B0026">
      <w:pPr>
        <w:jc w:val="both"/>
        <w:rPr>
          <w:sz w:val="28"/>
          <w:szCs w:val="28"/>
        </w:rPr>
      </w:pPr>
      <w:r w:rsidRPr="00D22D16">
        <w:rPr>
          <w:sz w:val="28"/>
          <w:szCs w:val="28"/>
        </w:rPr>
        <w:t>  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389"/>
      </w:tblGrid>
      <w:tr w:rsidR="008B0026" w:rsidRPr="00D22D16" w14:paraId="1A90D9C3" w14:textId="77777777" w:rsidTr="00F54D7F">
        <w:trPr>
          <w:tblCellSpacing w:w="20" w:type="dxa"/>
        </w:trPr>
        <w:tc>
          <w:tcPr>
            <w:tcW w:w="5000" w:type="pct"/>
            <w:vAlign w:val="center"/>
          </w:tcPr>
          <w:p w14:paraId="4307BAAA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b/>
                <w:sz w:val="28"/>
                <w:szCs w:val="28"/>
              </w:rPr>
            </w:pPr>
            <w:r w:rsidRPr="00D22D16">
              <w:rPr>
                <w:b/>
                <w:sz w:val="28"/>
                <w:szCs w:val="28"/>
              </w:rPr>
              <w:t>VI. Sabiedrības līdzdalība un komunikācijas aktivitātes</w:t>
            </w:r>
          </w:p>
        </w:tc>
      </w:tr>
      <w:tr w:rsidR="008B0026" w:rsidRPr="00D22D16" w14:paraId="65CC6C47" w14:textId="77777777" w:rsidTr="00F54D7F">
        <w:trPr>
          <w:tblCellSpacing w:w="20" w:type="dxa"/>
        </w:trPr>
        <w:tc>
          <w:tcPr>
            <w:tcW w:w="5000" w:type="pct"/>
          </w:tcPr>
          <w:p w14:paraId="41FEC4B0" w14:textId="77777777" w:rsidR="008B0026" w:rsidRPr="00D22D16" w:rsidRDefault="008B0026" w:rsidP="00B266F0">
            <w:pPr>
              <w:jc w:val="center"/>
              <w:rPr>
                <w:sz w:val="28"/>
                <w:szCs w:val="28"/>
              </w:rPr>
            </w:pPr>
            <w:r w:rsidRPr="00D22D16">
              <w:rPr>
                <w:bCs/>
                <w:iCs/>
                <w:sz w:val="28"/>
                <w:szCs w:val="28"/>
              </w:rPr>
              <w:lastRenderedPageBreak/>
              <w:t>Projekts šo jomu neskar.</w:t>
            </w:r>
          </w:p>
        </w:tc>
      </w:tr>
    </w:tbl>
    <w:p w14:paraId="6E62BF8C" w14:textId="77777777" w:rsidR="008B0026" w:rsidRPr="00D22D16" w:rsidRDefault="008B0026" w:rsidP="008B0026">
      <w:pPr>
        <w:jc w:val="both"/>
        <w:rPr>
          <w:sz w:val="28"/>
          <w:szCs w:val="28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94"/>
        <w:gridCol w:w="3554"/>
        <w:gridCol w:w="5241"/>
      </w:tblGrid>
      <w:tr w:rsidR="008B0026" w:rsidRPr="00D22D16" w14:paraId="15FD9482" w14:textId="77777777" w:rsidTr="00F54D7F">
        <w:trPr>
          <w:tblCellSpacing w:w="20" w:type="dxa"/>
        </w:trPr>
        <w:tc>
          <w:tcPr>
            <w:tcW w:w="5000" w:type="pct"/>
            <w:gridSpan w:val="3"/>
            <w:vAlign w:val="center"/>
          </w:tcPr>
          <w:p w14:paraId="5D5B634E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b/>
                <w:bCs/>
                <w:sz w:val="28"/>
                <w:szCs w:val="28"/>
              </w:rPr>
            </w:pPr>
            <w:r w:rsidRPr="00D22D16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8B0026" w:rsidRPr="00D22D16" w14:paraId="357CECA3" w14:textId="77777777" w:rsidTr="00F54D7F">
        <w:trPr>
          <w:tblCellSpacing w:w="20" w:type="dxa"/>
        </w:trPr>
        <w:tc>
          <w:tcPr>
            <w:tcW w:w="289" w:type="pct"/>
          </w:tcPr>
          <w:p w14:paraId="3C370BA7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1.</w:t>
            </w:r>
          </w:p>
        </w:tc>
        <w:tc>
          <w:tcPr>
            <w:tcW w:w="1904" w:type="pct"/>
          </w:tcPr>
          <w:p w14:paraId="26C6EA00" w14:textId="77777777" w:rsidR="008B0026" w:rsidRPr="00D22D16" w:rsidRDefault="008B0026" w:rsidP="00B266F0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2807" w:type="pct"/>
          </w:tcPr>
          <w:p w14:paraId="380BBDCB" w14:textId="77777777" w:rsidR="008B0026" w:rsidRPr="00D22D16" w:rsidRDefault="008B0026" w:rsidP="00B266F0">
            <w:pPr>
              <w:jc w:val="both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Nacionālā elektronisko plašsaziņas līdzekļu padome, Kultūras ministrija.</w:t>
            </w:r>
          </w:p>
        </w:tc>
      </w:tr>
      <w:tr w:rsidR="008B0026" w:rsidRPr="00D22D16" w14:paraId="10BB9191" w14:textId="77777777" w:rsidTr="00F54D7F">
        <w:trPr>
          <w:tblCellSpacing w:w="20" w:type="dxa"/>
        </w:trPr>
        <w:tc>
          <w:tcPr>
            <w:tcW w:w="289" w:type="pct"/>
          </w:tcPr>
          <w:p w14:paraId="148F0588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2.</w:t>
            </w:r>
          </w:p>
        </w:tc>
        <w:tc>
          <w:tcPr>
            <w:tcW w:w="1904" w:type="pct"/>
          </w:tcPr>
          <w:p w14:paraId="4DD3DD7D" w14:textId="77777777" w:rsidR="008B0026" w:rsidRPr="00D22D16" w:rsidRDefault="008B0026" w:rsidP="00B266F0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Projekta izpildes ietekme uz pārvaldes funkcijām un institucionālo struktūru.</w:t>
            </w:r>
            <w:r w:rsidRPr="00D22D16">
              <w:rPr>
                <w:sz w:val="28"/>
                <w:szCs w:val="28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807" w:type="pct"/>
          </w:tcPr>
          <w:p w14:paraId="53E4EF42" w14:textId="77777777" w:rsidR="008B0026" w:rsidRPr="00D22D16" w:rsidRDefault="008B0026" w:rsidP="00B266F0">
            <w:pPr>
              <w:jc w:val="both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Projekts šo jomu neskar.</w:t>
            </w:r>
          </w:p>
        </w:tc>
      </w:tr>
      <w:tr w:rsidR="008B0026" w:rsidRPr="00D22D16" w14:paraId="1DA20A05" w14:textId="77777777" w:rsidTr="00F54D7F">
        <w:trPr>
          <w:tblCellSpacing w:w="20" w:type="dxa"/>
        </w:trPr>
        <w:tc>
          <w:tcPr>
            <w:tcW w:w="289" w:type="pct"/>
          </w:tcPr>
          <w:p w14:paraId="06CC324F" w14:textId="77777777" w:rsidR="008B0026" w:rsidRPr="00D22D16" w:rsidRDefault="008B0026" w:rsidP="00B266F0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3.</w:t>
            </w:r>
          </w:p>
        </w:tc>
        <w:tc>
          <w:tcPr>
            <w:tcW w:w="1904" w:type="pct"/>
          </w:tcPr>
          <w:p w14:paraId="62B2B0E0" w14:textId="77777777" w:rsidR="008B0026" w:rsidRPr="00D22D16" w:rsidRDefault="008B0026" w:rsidP="00B266F0">
            <w:pPr>
              <w:jc w:val="both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Cita informācija</w:t>
            </w:r>
          </w:p>
        </w:tc>
        <w:tc>
          <w:tcPr>
            <w:tcW w:w="2807" w:type="pct"/>
          </w:tcPr>
          <w:p w14:paraId="7C3879B5" w14:textId="77777777" w:rsidR="008B0026" w:rsidRPr="00D22D16" w:rsidRDefault="008B0026" w:rsidP="00B266F0">
            <w:pPr>
              <w:jc w:val="both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Nav</w:t>
            </w:r>
          </w:p>
        </w:tc>
      </w:tr>
    </w:tbl>
    <w:p w14:paraId="2CD790D8" w14:textId="59D57285" w:rsidR="00D22D16" w:rsidRPr="008F3851" w:rsidRDefault="00D22D16" w:rsidP="007C6502"/>
    <w:p w14:paraId="6C974615" w14:textId="026897CE" w:rsidR="008B0026" w:rsidRPr="008F3851" w:rsidRDefault="008B0026" w:rsidP="007C6502"/>
    <w:p w14:paraId="72F0501D" w14:textId="1452717C" w:rsidR="005B46A4" w:rsidRPr="00D22D16" w:rsidRDefault="005B46A4" w:rsidP="00D22D16">
      <w:pPr>
        <w:tabs>
          <w:tab w:val="left" w:pos="6804"/>
        </w:tabs>
        <w:ind w:left="142"/>
        <w:jc w:val="both"/>
        <w:rPr>
          <w:sz w:val="28"/>
          <w:szCs w:val="28"/>
          <w:lang w:eastAsia="lv-LV"/>
        </w:rPr>
      </w:pPr>
      <w:r w:rsidRPr="00D22D16">
        <w:rPr>
          <w:sz w:val="28"/>
          <w:szCs w:val="28"/>
          <w:lang w:eastAsia="lv-LV"/>
        </w:rPr>
        <w:t>Kultūras ministrs</w:t>
      </w:r>
      <w:r w:rsidRPr="00D22D16">
        <w:rPr>
          <w:sz w:val="28"/>
          <w:szCs w:val="28"/>
          <w:lang w:eastAsia="lv-LV"/>
        </w:rPr>
        <w:tab/>
      </w:r>
      <w:r w:rsidRPr="00D22D16">
        <w:rPr>
          <w:sz w:val="28"/>
          <w:szCs w:val="28"/>
          <w:lang w:eastAsia="lv-LV"/>
        </w:rPr>
        <w:tab/>
        <w:t>N.Puntulis</w:t>
      </w:r>
    </w:p>
    <w:p w14:paraId="083E70C2" w14:textId="77777777" w:rsidR="005B46A4" w:rsidRPr="00D22D16" w:rsidRDefault="005B46A4" w:rsidP="00D22D16">
      <w:pPr>
        <w:ind w:left="142"/>
        <w:rPr>
          <w:sz w:val="28"/>
          <w:szCs w:val="28"/>
          <w:lang w:eastAsia="lv-LV"/>
        </w:rPr>
      </w:pPr>
    </w:p>
    <w:p w14:paraId="5E787EA4" w14:textId="258A6F27" w:rsidR="005B46A4" w:rsidRPr="00D22D16" w:rsidRDefault="005B46A4" w:rsidP="00D22D16">
      <w:pPr>
        <w:tabs>
          <w:tab w:val="left" w:pos="6120"/>
        </w:tabs>
        <w:ind w:left="142"/>
        <w:jc w:val="both"/>
        <w:rPr>
          <w:sz w:val="28"/>
          <w:szCs w:val="28"/>
          <w:lang w:eastAsia="lv-LV"/>
        </w:rPr>
      </w:pPr>
      <w:r w:rsidRPr="00D22D16">
        <w:rPr>
          <w:sz w:val="28"/>
          <w:szCs w:val="28"/>
          <w:lang w:eastAsia="lv-LV"/>
        </w:rPr>
        <w:t xml:space="preserve">Vīza: Valsts </w:t>
      </w:r>
      <w:r w:rsidR="008B0026" w:rsidRPr="00D22D16">
        <w:rPr>
          <w:sz w:val="28"/>
          <w:szCs w:val="28"/>
          <w:lang w:eastAsia="lv-LV"/>
        </w:rPr>
        <w:t>sekretār</w:t>
      </w:r>
      <w:r w:rsidR="008A1738">
        <w:rPr>
          <w:sz w:val="28"/>
          <w:szCs w:val="28"/>
          <w:lang w:eastAsia="lv-LV"/>
        </w:rPr>
        <w:t>e</w:t>
      </w:r>
      <w:r w:rsidRPr="00D22D16">
        <w:rPr>
          <w:sz w:val="28"/>
          <w:szCs w:val="28"/>
          <w:lang w:eastAsia="lv-LV"/>
        </w:rPr>
        <w:tab/>
      </w:r>
      <w:r w:rsidRPr="00D22D16">
        <w:rPr>
          <w:sz w:val="28"/>
          <w:szCs w:val="28"/>
          <w:lang w:eastAsia="lv-LV"/>
        </w:rPr>
        <w:tab/>
      </w:r>
      <w:r w:rsidRPr="00D22D16">
        <w:rPr>
          <w:sz w:val="28"/>
          <w:szCs w:val="28"/>
          <w:lang w:eastAsia="lv-LV"/>
        </w:rPr>
        <w:tab/>
      </w:r>
      <w:r w:rsidR="008A1738">
        <w:rPr>
          <w:sz w:val="28"/>
          <w:szCs w:val="28"/>
          <w:lang w:eastAsia="lv-LV"/>
        </w:rPr>
        <w:t>D.Vilsone</w:t>
      </w:r>
    </w:p>
    <w:p w14:paraId="4F9F544F" w14:textId="77777777" w:rsidR="005B46A4" w:rsidRPr="00D22D16" w:rsidRDefault="005B46A4" w:rsidP="009C2CFB">
      <w:pPr>
        <w:rPr>
          <w:sz w:val="28"/>
          <w:szCs w:val="28"/>
        </w:rPr>
      </w:pPr>
    </w:p>
    <w:p w14:paraId="2E7248C5" w14:textId="631531A9" w:rsidR="005B46A4" w:rsidRPr="00D22D16" w:rsidRDefault="005B46A4" w:rsidP="009C2CFB">
      <w:pPr>
        <w:tabs>
          <w:tab w:val="left" w:pos="720"/>
          <w:tab w:val="center" w:pos="4153"/>
          <w:tab w:val="right" w:pos="8306"/>
        </w:tabs>
        <w:rPr>
          <w:sz w:val="28"/>
          <w:szCs w:val="28"/>
        </w:rPr>
      </w:pPr>
    </w:p>
    <w:p w14:paraId="3F1F0BB1" w14:textId="25106356" w:rsidR="002D5DAB" w:rsidRDefault="002D5DAB" w:rsidP="009C2CFB">
      <w:pPr>
        <w:tabs>
          <w:tab w:val="left" w:pos="720"/>
          <w:tab w:val="center" w:pos="4153"/>
          <w:tab w:val="right" w:pos="8306"/>
        </w:tabs>
      </w:pPr>
    </w:p>
    <w:p w14:paraId="00BFB283" w14:textId="4FE19ECE" w:rsidR="002D5DAB" w:rsidRDefault="002D5DAB" w:rsidP="009C2CFB">
      <w:pPr>
        <w:tabs>
          <w:tab w:val="left" w:pos="720"/>
          <w:tab w:val="center" w:pos="4153"/>
          <w:tab w:val="right" w:pos="8306"/>
        </w:tabs>
      </w:pPr>
    </w:p>
    <w:p w14:paraId="1D961FE0" w14:textId="2351A274" w:rsidR="00AC1B36" w:rsidRDefault="00AC1B36" w:rsidP="009C2CFB">
      <w:pPr>
        <w:tabs>
          <w:tab w:val="left" w:pos="720"/>
          <w:tab w:val="center" w:pos="4153"/>
          <w:tab w:val="right" w:pos="8306"/>
        </w:tabs>
      </w:pPr>
    </w:p>
    <w:p w14:paraId="0DD1F9F6" w14:textId="4B6F0039" w:rsidR="00AC1B36" w:rsidRDefault="00AC1B36" w:rsidP="009C2CFB">
      <w:pPr>
        <w:tabs>
          <w:tab w:val="left" w:pos="720"/>
          <w:tab w:val="center" w:pos="4153"/>
          <w:tab w:val="right" w:pos="8306"/>
        </w:tabs>
      </w:pPr>
    </w:p>
    <w:p w14:paraId="15493D89" w14:textId="77777777" w:rsidR="008028A5" w:rsidRDefault="008028A5" w:rsidP="009C2CFB">
      <w:pPr>
        <w:tabs>
          <w:tab w:val="left" w:pos="720"/>
          <w:tab w:val="center" w:pos="4153"/>
          <w:tab w:val="right" w:pos="8306"/>
        </w:tabs>
      </w:pPr>
    </w:p>
    <w:p w14:paraId="059599C4" w14:textId="6ABB0EF4" w:rsidR="00AC1B36" w:rsidRDefault="00AC1B36" w:rsidP="009C2CFB">
      <w:pPr>
        <w:tabs>
          <w:tab w:val="left" w:pos="720"/>
          <w:tab w:val="center" w:pos="4153"/>
          <w:tab w:val="right" w:pos="8306"/>
        </w:tabs>
      </w:pPr>
    </w:p>
    <w:p w14:paraId="25399982" w14:textId="77777777" w:rsidR="00AC1B36" w:rsidRDefault="00AC1B36" w:rsidP="009C2CFB">
      <w:pPr>
        <w:tabs>
          <w:tab w:val="left" w:pos="720"/>
          <w:tab w:val="center" w:pos="4153"/>
          <w:tab w:val="right" w:pos="8306"/>
        </w:tabs>
      </w:pPr>
    </w:p>
    <w:p w14:paraId="32D637C6" w14:textId="77777777" w:rsidR="00AC1B36" w:rsidRDefault="00AC1B36" w:rsidP="009C2CFB">
      <w:pPr>
        <w:tabs>
          <w:tab w:val="left" w:pos="720"/>
          <w:tab w:val="center" w:pos="4153"/>
          <w:tab w:val="right" w:pos="8306"/>
        </w:tabs>
      </w:pPr>
    </w:p>
    <w:p w14:paraId="2D30C2A9" w14:textId="62BFB03C" w:rsidR="002D5DAB" w:rsidRDefault="002D5DAB" w:rsidP="009C2CFB">
      <w:pPr>
        <w:tabs>
          <w:tab w:val="left" w:pos="720"/>
          <w:tab w:val="center" w:pos="4153"/>
          <w:tab w:val="right" w:pos="8306"/>
        </w:tabs>
      </w:pPr>
    </w:p>
    <w:p w14:paraId="6ED8DE69" w14:textId="10D96293" w:rsidR="008F3851" w:rsidRDefault="008F3851" w:rsidP="009C2CFB">
      <w:pPr>
        <w:tabs>
          <w:tab w:val="left" w:pos="720"/>
          <w:tab w:val="center" w:pos="4153"/>
          <w:tab w:val="right" w:pos="8306"/>
        </w:tabs>
      </w:pPr>
    </w:p>
    <w:p w14:paraId="7EA761C3" w14:textId="765E772A" w:rsidR="008F3851" w:rsidRDefault="008F3851" w:rsidP="009C2CFB">
      <w:pPr>
        <w:tabs>
          <w:tab w:val="left" w:pos="720"/>
          <w:tab w:val="center" w:pos="4153"/>
          <w:tab w:val="right" w:pos="8306"/>
        </w:tabs>
      </w:pPr>
    </w:p>
    <w:p w14:paraId="210E73E1" w14:textId="42804EB0" w:rsidR="008F3851" w:rsidRDefault="008F3851" w:rsidP="009C2CFB">
      <w:pPr>
        <w:tabs>
          <w:tab w:val="left" w:pos="720"/>
          <w:tab w:val="center" w:pos="4153"/>
          <w:tab w:val="right" w:pos="8306"/>
        </w:tabs>
      </w:pPr>
    </w:p>
    <w:p w14:paraId="4F578882" w14:textId="6C1CC382" w:rsidR="008F3851" w:rsidRDefault="008F3851" w:rsidP="009C2CFB">
      <w:pPr>
        <w:tabs>
          <w:tab w:val="left" w:pos="720"/>
          <w:tab w:val="center" w:pos="4153"/>
          <w:tab w:val="right" w:pos="8306"/>
        </w:tabs>
      </w:pPr>
    </w:p>
    <w:p w14:paraId="26853BBA" w14:textId="60511ED1" w:rsidR="008F3851" w:rsidRDefault="008F3851" w:rsidP="009C2CFB">
      <w:pPr>
        <w:tabs>
          <w:tab w:val="left" w:pos="720"/>
          <w:tab w:val="center" w:pos="4153"/>
          <w:tab w:val="right" w:pos="8306"/>
        </w:tabs>
      </w:pPr>
    </w:p>
    <w:p w14:paraId="2318265F" w14:textId="7084DA4F" w:rsidR="008F3851" w:rsidRDefault="008F3851" w:rsidP="009C2CFB">
      <w:pPr>
        <w:tabs>
          <w:tab w:val="left" w:pos="720"/>
          <w:tab w:val="center" w:pos="4153"/>
          <w:tab w:val="right" w:pos="8306"/>
        </w:tabs>
      </w:pPr>
    </w:p>
    <w:p w14:paraId="33B7F3B3" w14:textId="77777777" w:rsidR="008F3851" w:rsidRPr="003F3829" w:rsidRDefault="008F3851" w:rsidP="009C2CFB">
      <w:pPr>
        <w:tabs>
          <w:tab w:val="left" w:pos="720"/>
          <w:tab w:val="center" w:pos="4153"/>
          <w:tab w:val="right" w:pos="8306"/>
        </w:tabs>
      </w:pPr>
    </w:p>
    <w:p w14:paraId="1C22E425" w14:textId="44E16195" w:rsidR="00657885" w:rsidRPr="000F6155" w:rsidRDefault="008A1738" w:rsidP="00657885">
      <w:pPr>
        <w:ind w:right="-69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CE76B7">
        <w:rPr>
          <w:sz w:val="20"/>
          <w:szCs w:val="20"/>
        </w:rPr>
        <w:t>ļ</w:t>
      </w:r>
      <w:r>
        <w:rPr>
          <w:sz w:val="20"/>
          <w:szCs w:val="20"/>
        </w:rPr>
        <w:t>ešakovs</w:t>
      </w:r>
      <w:r w:rsidRPr="000F6155">
        <w:rPr>
          <w:sz w:val="20"/>
          <w:szCs w:val="20"/>
        </w:rPr>
        <w:t xml:space="preserve"> </w:t>
      </w:r>
      <w:r w:rsidR="00657885">
        <w:rPr>
          <w:sz w:val="20"/>
          <w:szCs w:val="20"/>
        </w:rPr>
        <w:t>67330</w:t>
      </w:r>
      <w:r>
        <w:rPr>
          <w:sz w:val="20"/>
          <w:szCs w:val="20"/>
        </w:rPr>
        <w:t>336</w:t>
      </w:r>
    </w:p>
    <w:p w14:paraId="68478E17" w14:textId="0FB80699" w:rsidR="00657885" w:rsidRPr="003F3829" w:rsidRDefault="00B84BD9" w:rsidP="2EC0DF3C">
      <w:pPr>
        <w:rPr>
          <w:rStyle w:val="Hipersaite"/>
        </w:rPr>
      </w:pPr>
      <w:hyperlink r:id="rId11" w:history="1">
        <w:r w:rsidR="008A1738">
          <w:rPr>
            <w:rStyle w:val="Hipersaite"/>
            <w:sz w:val="20"/>
            <w:szCs w:val="20"/>
          </w:rPr>
          <w:t>Kristers.Plesakovs</w:t>
        </w:r>
        <w:r w:rsidR="008A1738" w:rsidRPr="003F66A8">
          <w:rPr>
            <w:rStyle w:val="Hipersaite"/>
            <w:sz w:val="20"/>
            <w:szCs w:val="20"/>
          </w:rPr>
          <w:t>@km.gov.lv</w:t>
        </w:r>
      </w:hyperlink>
    </w:p>
    <w:sectPr w:rsidR="00657885" w:rsidRPr="003F3829" w:rsidSect="00D22D16">
      <w:headerReference w:type="default" r:id="rId12"/>
      <w:footerReference w:type="default" r:id="rId13"/>
      <w:footerReference w:type="first" r:id="rId14"/>
      <w:pgSz w:w="12240" w:h="15840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3746B" w14:textId="77777777" w:rsidR="00634B20" w:rsidRDefault="00634B20">
      <w:r>
        <w:separator/>
      </w:r>
    </w:p>
  </w:endnote>
  <w:endnote w:type="continuationSeparator" w:id="0">
    <w:p w14:paraId="66C47993" w14:textId="77777777" w:rsidR="00634B20" w:rsidRDefault="00634B20">
      <w:r>
        <w:continuationSeparator/>
      </w:r>
    </w:p>
  </w:endnote>
  <w:endnote w:type="continuationNotice" w:id="1">
    <w:p w14:paraId="2B2F9E22" w14:textId="77777777" w:rsidR="00634B20" w:rsidRDefault="00634B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075BE" w14:textId="677A1275" w:rsidR="000C35A5" w:rsidRPr="00504F35" w:rsidRDefault="00877049" w:rsidP="00504F35">
    <w:pPr>
      <w:pStyle w:val="Kjene"/>
    </w:pPr>
    <w:r w:rsidRPr="00877049">
      <w:rPr>
        <w:sz w:val="20"/>
        <w:szCs w:val="20"/>
      </w:rPr>
      <w:t>KMAnot_0</w:t>
    </w:r>
    <w:r w:rsidR="001C0168">
      <w:rPr>
        <w:sz w:val="20"/>
        <w:szCs w:val="20"/>
      </w:rPr>
      <w:t>6</w:t>
    </w:r>
    <w:r w:rsidRPr="00877049">
      <w:rPr>
        <w:sz w:val="20"/>
        <w:szCs w:val="20"/>
      </w:rPr>
      <w:t>0821_LNG_SEPLP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07D3" w14:textId="0F638829" w:rsidR="000C35A5" w:rsidRPr="00504F35" w:rsidRDefault="00877049">
    <w:pPr>
      <w:pStyle w:val="Kjene"/>
      <w:rPr>
        <w:sz w:val="20"/>
        <w:szCs w:val="20"/>
      </w:rPr>
    </w:pPr>
    <w:r w:rsidRPr="00877049">
      <w:rPr>
        <w:sz w:val="20"/>
        <w:szCs w:val="20"/>
      </w:rPr>
      <w:t>KMAnot_0</w:t>
    </w:r>
    <w:r w:rsidR="001C0168">
      <w:rPr>
        <w:sz w:val="20"/>
        <w:szCs w:val="20"/>
      </w:rPr>
      <w:t>6</w:t>
    </w:r>
    <w:r w:rsidRPr="00877049">
      <w:rPr>
        <w:sz w:val="20"/>
        <w:szCs w:val="20"/>
      </w:rPr>
      <w:t>0821_LNG_SEPLP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427B7" w14:textId="77777777" w:rsidR="00634B20" w:rsidRDefault="00634B20">
      <w:r>
        <w:separator/>
      </w:r>
    </w:p>
  </w:footnote>
  <w:footnote w:type="continuationSeparator" w:id="0">
    <w:p w14:paraId="75F3B45B" w14:textId="77777777" w:rsidR="00634B20" w:rsidRDefault="00634B20">
      <w:r>
        <w:continuationSeparator/>
      </w:r>
    </w:p>
  </w:footnote>
  <w:footnote w:type="continuationNotice" w:id="1">
    <w:p w14:paraId="3B74AF9F" w14:textId="77777777" w:rsidR="00634B20" w:rsidRDefault="00634B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8108200"/>
      <w:docPartObj>
        <w:docPartGallery w:val="Page Numbers (Top of Page)"/>
        <w:docPartUnique/>
      </w:docPartObj>
    </w:sdtPr>
    <w:sdtEndPr/>
    <w:sdtContent>
      <w:p w14:paraId="30F4CA00" w14:textId="27BC04F7" w:rsidR="000C35A5" w:rsidRDefault="000C35A5" w:rsidP="00931258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25E5"/>
    <w:multiLevelType w:val="hybridMultilevel"/>
    <w:tmpl w:val="FFFFFFFF"/>
    <w:lvl w:ilvl="0" w:tplc="0B9468BC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A9A19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7EC07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5A4DCF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B6C9D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74BE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CE4807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A8CC4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14E7D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515830"/>
    <w:multiLevelType w:val="hybridMultilevel"/>
    <w:tmpl w:val="FFFFFFFF"/>
    <w:lvl w:ilvl="0" w:tplc="BFE098B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8CC958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22ED4D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32A683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C04DEE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4ECFDD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BAACE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F6A281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DD6019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5C4F02"/>
    <w:multiLevelType w:val="hybridMultilevel"/>
    <w:tmpl w:val="FFFFFFFF"/>
    <w:lvl w:ilvl="0" w:tplc="732A95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9D6A6A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9208E0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B80C2C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1380B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A845D1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DC0A2B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3B0433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DA21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CA02BE"/>
    <w:multiLevelType w:val="hybridMultilevel"/>
    <w:tmpl w:val="062077E4"/>
    <w:lvl w:ilvl="0" w:tplc="49CEC03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526409"/>
    <w:multiLevelType w:val="hybridMultilevel"/>
    <w:tmpl w:val="FFFFFFFF"/>
    <w:lvl w:ilvl="0" w:tplc="153619A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08824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9C0D0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91213F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BCB9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B2072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2D62F9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0F868D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C1024D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F0D"/>
    <w:rsid w:val="0000026A"/>
    <w:rsid w:val="000116C4"/>
    <w:rsid w:val="00015EFC"/>
    <w:rsid w:val="00017F7C"/>
    <w:rsid w:val="000243C4"/>
    <w:rsid w:val="00030537"/>
    <w:rsid w:val="000356C8"/>
    <w:rsid w:val="000371E7"/>
    <w:rsid w:val="00052487"/>
    <w:rsid w:val="00053805"/>
    <w:rsid w:val="00053DC1"/>
    <w:rsid w:val="00067342"/>
    <w:rsid w:val="00067955"/>
    <w:rsid w:val="00070014"/>
    <w:rsid w:val="00071860"/>
    <w:rsid w:val="0007218C"/>
    <w:rsid w:val="00072D9E"/>
    <w:rsid w:val="00081234"/>
    <w:rsid w:val="00082784"/>
    <w:rsid w:val="00083C28"/>
    <w:rsid w:val="000A0C66"/>
    <w:rsid w:val="000A0DCA"/>
    <w:rsid w:val="000A637A"/>
    <w:rsid w:val="000C0D3B"/>
    <w:rsid w:val="000C11E8"/>
    <w:rsid w:val="000C35A5"/>
    <w:rsid w:val="000D2FBC"/>
    <w:rsid w:val="000D50ED"/>
    <w:rsid w:val="000E12D8"/>
    <w:rsid w:val="000E3654"/>
    <w:rsid w:val="000F4EEC"/>
    <w:rsid w:val="000F50F7"/>
    <w:rsid w:val="00101A66"/>
    <w:rsid w:val="00113846"/>
    <w:rsid w:val="001171B7"/>
    <w:rsid w:val="001222F1"/>
    <w:rsid w:val="00143C95"/>
    <w:rsid w:val="001550F7"/>
    <w:rsid w:val="00155A5F"/>
    <w:rsid w:val="00161E0A"/>
    <w:rsid w:val="00174611"/>
    <w:rsid w:val="00174BF6"/>
    <w:rsid w:val="00184C37"/>
    <w:rsid w:val="001930CC"/>
    <w:rsid w:val="00196788"/>
    <w:rsid w:val="001970F5"/>
    <w:rsid w:val="001A154B"/>
    <w:rsid w:val="001A6E82"/>
    <w:rsid w:val="001C0168"/>
    <w:rsid w:val="001C19EF"/>
    <w:rsid w:val="001C6AC5"/>
    <w:rsid w:val="001C6E3F"/>
    <w:rsid w:val="001C6E64"/>
    <w:rsid w:val="001D2797"/>
    <w:rsid w:val="001E5155"/>
    <w:rsid w:val="001F6B6B"/>
    <w:rsid w:val="002159D2"/>
    <w:rsid w:val="002229F4"/>
    <w:rsid w:val="002230F8"/>
    <w:rsid w:val="002262A6"/>
    <w:rsid w:val="00237E2F"/>
    <w:rsid w:val="002438F7"/>
    <w:rsid w:val="00250A67"/>
    <w:rsid w:val="002566B3"/>
    <w:rsid w:val="00261FF4"/>
    <w:rsid w:val="0026220A"/>
    <w:rsid w:val="0027227B"/>
    <w:rsid w:val="00274E6B"/>
    <w:rsid w:val="00275A85"/>
    <w:rsid w:val="00276EC2"/>
    <w:rsid w:val="00277366"/>
    <w:rsid w:val="00277BCD"/>
    <w:rsid w:val="0028488D"/>
    <w:rsid w:val="002922CC"/>
    <w:rsid w:val="002A65D9"/>
    <w:rsid w:val="002B34A6"/>
    <w:rsid w:val="002B40D5"/>
    <w:rsid w:val="002C11AD"/>
    <w:rsid w:val="002C2440"/>
    <w:rsid w:val="002C3831"/>
    <w:rsid w:val="002D177B"/>
    <w:rsid w:val="002D357F"/>
    <w:rsid w:val="002D5DAB"/>
    <w:rsid w:val="002E66CD"/>
    <w:rsid w:val="002F1BCC"/>
    <w:rsid w:val="003018B3"/>
    <w:rsid w:val="003035CD"/>
    <w:rsid w:val="0030466E"/>
    <w:rsid w:val="00313831"/>
    <w:rsid w:val="00331231"/>
    <w:rsid w:val="00337BD6"/>
    <w:rsid w:val="00352F70"/>
    <w:rsid w:val="003617C1"/>
    <w:rsid w:val="00383E8E"/>
    <w:rsid w:val="003948DD"/>
    <w:rsid w:val="00397F8F"/>
    <w:rsid w:val="003A1DC6"/>
    <w:rsid w:val="003A4930"/>
    <w:rsid w:val="003B2CD3"/>
    <w:rsid w:val="003C1008"/>
    <w:rsid w:val="003C4635"/>
    <w:rsid w:val="003D0090"/>
    <w:rsid w:val="003D3175"/>
    <w:rsid w:val="003DCF7A"/>
    <w:rsid w:val="003E3849"/>
    <w:rsid w:val="003E4103"/>
    <w:rsid w:val="003E4EF5"/>
    <w:rsid w:val="003E7B0F"/>
    <w:rsid w:val="003F3829"/>
    <w:rsid w:val="00414A68"/>
    <w:rsid w:val="0041553A"/>
    <w:rsid w:val="00417C6F"/>
    <w:rsid w:val="004205D9"/>
    <w:rsid w:val="0042737A"/>
    <w:rsid w:val="00430B86"/>
    <w:rsid w:val="004346E9"/>
    <w:rsid w:val="0044340A"/>
    <w:rsid w:val="0044401A"/>
    <w:rsid w:val="00452BC9"/>
    <w:rsid w:val="00454026"/>
    <w:rsid w:val="00456610"/>
    <w:rsid w:val="00460C2D"/>
    <w:rsid w:val="00481CCA"/>
    <w:rsid w:val="0048604B"/>
    <w:rsid w:val="00494E47"/>
    <w:rsid w:val="004A6C7B"/>
    <w:rsid w:val="004C1A14"/>
    <w:rsid w:val="004E5C73"/>
    <w:rsid w:val="004F0641"/>
    <w:rsid w:val="004F313B"/>
    <w:rsid w:val="00504F35"/>
    <w:rsid w:val="005060E9"/>
    <w:rsid w:val="00514AFD"/>
    <w:rsid w:val="00523D34"/>
    <w:rsid w:val="00524DB4"/>
    <w:rsid w:val="00525427"/>
    <w:rsid w:val="00535406"/>
    <w:rsid w:val="00543140"/>
    <w:rsid w:val="00545D33"/>
    <w:rsid w:val="005462BD"/>
    <w:rsid w:val="00546607"/>
    <w:rsid w:val="00546CCB"/>
    <w:rsid w:val="00554427"/>
    <w:rsid w:val="00562321"/>
    <w:rsid w:val="005633F7"/>
    <w:rsid w:val="00571AB7"/>
    <w:rsid w:val="00580010"/>
    <w:rsid w:val="00584446"/>
    <w:rsid w:val="00593B2C"/>
    <w:rsid w:val="005A3C09"/>
    <w:rsid w:val="005B338A"/>
    <w:rsid w:val="005B46A4"/>
    <w:rsid w:val="005B6A44"/>
    <w:rsid w:val="005C3185"/>
    <w:rsid w:val="005D397F"/>
    <w:rsid w:val="005D4939"/>
    <w:rsid w:val="005F0DC3"/>
    <w:rsid w:val="005F1560"/>
    <w:rsid w:val="005F725D"/>
    <w:rsid w:val="00600D78"/>
    <w:rsid w:val="00622C36"/>
    <w:rsid w:val="00623C22"/>
    <w:rsid w:val="00626473"/>
    <w:rsid w:val="00631FFC"/>
    <w:rsid w:val="00634B20"/>
    <w:rsid w:val="00635B28"/>
    <w:rsid w:val="006418C8"/>
    <w:rsid w:val="006511AB"/>
    <w:rsid w:val="00654124"/>
    <w:rsid w:val="00656DB9"/>
    <w:rsid w:val="00657885"/>
    <w:rsid w:val="0067118B"/>
    <w:rsid w:val="00673657"/>
    <w:rsid w:val="006748EE"/>
    <w:rsid w:val="0069340D"/>
    <w:rsid w:val="006945B4"/>
    <w:rsid w:val="00695962"/>
    <w:rsid w:val="006A52C1"/>
    <w:rsid w:val="006B0095"/>
    <w:rsid w:val="006B1715"/>
    <w:rsid w:val="006B2F13"/>
    <w:rsid w:val="006C339A"/>
    <w:rsid w:val="006D5984"/>
    <w:rsid w:val="006E1CF9"/>
    <w:rsid w:val="006E4C63"/>
    <w:rsid w:val="006F3FB6"/>
    <w:rsid w:val="006F7822"/>
    <w:rsid w:val="00701065"/>
    <w:rsid w:val="00703C1B"/>
    <w:rsid w:val="0070530E"/>
    <w:rsid w:val="00705569"/>
    <w:rsid w:val="00711AF2"/>
    <w:rsid w:val="00713DFA"/>
    <w:rsid w:val="00717096"/>
    <w:rsid w:val="00731987"/>
    <w:rsid w:val="0073424F"/>
    <w:rsid w:val="00737C26"/>
    <w:rsid w:val="007453AB"/>
    <w:rsid w:val="00753C62"/>
    <w:rsid w:val="00775CFD"/>
    <w:rsid w:val="00775DDD"/>
    <w:rsid w:val="0077DED4"/>
    <w:rsid w:val="0079488B"/>
    <w:rsid w:val="007A2267"/>
    <w:rsid w:val="007A5BEC"/>
    <w:rsid w:val="007A6C7D"/>
    <w:rsid w:val="007B2511"/>
    <w:rsid w:val="007B3F0D"/>
    <w:rsid w:val="007B4B0B"/>
    <w:rsid w:val="007B5F37"/>
    <w:rsid w:val="007B6883"/>
    <w:rsid w:val="007C27E9"/>
    <w:rsid w:val="007C6502"/>
    <w:rsid w:val="007E48E2"/>
    <w:rsid w:val="008028A5"/>
    <w:rsid w:val="008120E8"/>
    <w:rsid w:val="00812ECE"/>
    <w:rsid w:val="00814334"/>
    <w:rsid w:val="008200A7"/>
    <w:rsid w:val="008251C6"/>
    <w:rsid w:val="00835FD0"/>
    <w:rsid w:val="008406D8"/>
    <w:rsid w:val="008618B9"/>
    <w:rsid w:val="0086340C"/>
    <w:rsid w:val="008708B2"/>
    <w:rsid w:val="00877049"/>
    <w:rsid w:val="00881580"/>
    <w:rsid w:val="00894930"/>
    <w:rsid w:val="008A1738"/>
    <w:rsid w:val="008A6099"/>
    <w:rsid w:val="008B0026"/>
    <w:rsid w:val="008B0AF7"/>
    <w:rsid w:val="008B2925"/>
    <w:rsid w:val="008B572B"/>
    <w:rsid w:val="008C0520"/>
    <w:rsid w:val="008C380B"/>
    <w:rsid w:val="008C4658"/>
    <w:rsid w:val="008C5C4C"/>
    <w:rsid w:val="008F1DBD"/>
    <w:rsid w:val="008F2162"/>
    <w:rsid w:val="008F3851"/>
    <w:rsid w:val="00900784"/>
    <w:rsid w:val="0092120E"/>
    <w:rsid w:val="00921AC1"/>
    <w:rsid w:val="00924A75"/>
    <w:rsid w:val="00931258"/>
    <w:rsid w:val="00931E90"/>
    <w:rsid w:val="0094328B"/>
    <w:rsid w:val="009453EC"/>
    <w:rsid w:val="00945C30"/>
    <w:rsid w:val="009541CF"/>
    <w:rsid w:val="00966D72"/>
    <w:rsid w:val="00973732"/>
    <w:rsid w:val="00980FA3"/>
    <w:rsid w:val="00982301"/>
    <w:rsid w:val="00986F04"/>
    <w:rsid w:val="009919DF"/>
    <w:rsid w:val="0099667B"/>
    <w:rsid w:val="00996861"/>
    <w:rsid w:val="009A08D3"/>
    <w:rsid w:val="009A5C62"/>
    <w:rsid w:val="009A6CF2"/>
    <w:rsid w:val="009B0AFD"/>
    <w:rsid w:val="009B21F4"/>
    <w:rsid w:val="009C1C3E"/>
    <w:rsid w:val="009C2CFB"/>
    <w:rsid w:val="009C7319"/>
    <w:rsid w:val="009D7CBD"/>
    <w:rsid w:val="009F5CCD"/>
    <w:rsid w:val="009F6533"/>
    <w:rsid w:val="00A00DD4"/>
    <w:rsid w:val="00A03BB8"/>
    <w:rsid w:val="00A05E1B"/>
    <w:rsid w:val="00A21295"/>
    <w:rsid w:val="00A2467B"/>
    <w:rsid w:val="00A357EC"/>
    <w:rsid w:val="00A460CF"/>
    <w:rsid w:val="00A46C02"/>
    <w:rsid w:val="00A66C0F"/>
    <w:rsid w:val="00A700FE"/>
    <w:rsid w:val="00A7193A"/>
    <w:rsid w:val="00A92AD7"/>
    <w:rsid w:val="00A94308"/>
    <w:rsid w:val="00A9784D"/>
    <w:rsid w:val="00AA08F4"/>
    <w:rsid w:val="00AA1B8F"/>
    <w:rsid w:val="00AC0CD7"/>
    <w:rsid w:val="00AC1B36"/>
    <w:rsid w:val="00AC32C0"/>
    <w:rsid w:val="00AD0A51"/>
    <w:rsid w:val="00AD6AD7"/>
    <w:rsid w:val="00AD75D5"/>
    <w:rsid w:val="00AE5F6F"/>
    <w:rsid w:val="00AE685F"/>
    <w:rsid w:val="00AE6A61"/>
    <w:rsid w:val="00AE6E01"/>
    <w:rsid w:val="00AF21D6"/>
    <w:rsid w:val="00AF65F7"/>
    <w:rsid w:val="00B04450"/>
    <w:rsid w:val="00B111AA"/>
    <w:rsid w:val="00B129BA"/>
    <w:rsid w:val="00B14CC0"/>
    <w:rsid w:val="00B31E85"/>
    <w:rsid w:val="00B3268F"/>
    <w:rsid w:val="00B50F13"/>
    <w:rsid w:val="00B5261F"/>
    <w:rsid w:val="00B632BB"/>
    <w:rsid w:val="00B656EA"/>
    <w:rsid w:val="00B723A6"/>
    <w:rsid w:val="00B758CF"/>
    <w:rsid w:val="00B77C8B"/>
    <w:rsid w:val="00B810D4"/>
    <w:rsid w:val="00B83DD6"/>
    <w:rsid w:val="00B84BD9"/>
    <w:rsid w:val="00B968A1"/>
    <w:rsid w:val="00BA4F0A"/>
    <w:rsid w:val="00BB14EC"/>
    <w:rsid w:val="00BB70A1"/>
    <w:rsid w:val="00BB7CF8"/>
    <w:rsid w:val="00BD4ABF"/>
    <w:rsid w:val="00BF391B"/>
    <w:rsid w:val="00C03834"/>
    <w:rsid w:val="00C044EF"/>
    <w:rsid w:val="00C50DC1"/>
    <w:rsid w:val="00C56049"/>
    <w:rsid w:val="00C612BA"/>
    <w:rsid w:val="00C86E44"/>
    <w:rsid w:val="00CA081C"/>
    <w:rsid w:val="00CA296A"/>
    <w:rsid w:val="00CA4F73"/>
    <w:rsid w:val="00CB13BC"/>
    <w:rsid w:val="00CB3993"/>
    <w:rsid w:val="00CB6E84"/>
    <w:rsid w:val="00CC136A"/>
    <w:rsid w:val="00CD0F21"/>
    <w:rsid w:val="00CD0F3D"/>
    <w:rsid w:val="00CE0331"/>
    <w:rsid w:val="00CE344D"/>
    <w:rsid w:val="00CE4410"/>
    <w:rsid w:val="00CE76B7"/>
    <w:rsid w:val="00D03E4E"/>
    <w:rsid w:val="00D1061C"/>
    <w:rsid w:val="00D159D0"/>
    <w:rsid w:val="00D16326"/>
    <w:rsid w:val="00D21AF1"/>
    <w:rsid w:val="00D22D16"/>
    <w:rsid w:val="00D27B3F"/>
    <w:rsid w:val="00D32EFF"/>
    <w:rsid w:val="00D331D7"/>
    <w:rsid w:val="00D33214"/>
    <w:rsid w:val="00D55591"/>
    <w:rsid w:val="00D55D4F"/>
    <w:rsid w:val="00D8630C"/>
    <w:rsid w:val="00D90E59"/>
    <w:rsid w:val="00DA601F"/>
    <w:rsid w:val="00DA6E98"/>
    <w:rsid w:val="00DC04EF"/>
    <w:rsid w:val="00DD43F3"/>
    <w:rsid w:val="00DE651C"/>
    <w:rsid w:val="00DF38FC"/>
    <w:rsid w:val="00E10EC6"/>
    <w:rsid w:val="00E1245B"/>
    <w:rsid w:val="00E14764"/>
    <w:rsid w:val="00E166A4"/>
    <w:rsid w:val="00E22689"/>
    <w:rsid w:val="00E23B69"/>
    <w:rsid w:val="00E241FE"/>
    <w:rsid w:val="00E249CD"/>
    <w:rsid w:val="00E2533A"/>
    <w:rsid w:val="00E26B7D"/>
    <w:rsid w:val="00E27199"/>
    <w:rsid w:val="00E33B7B"/>
    <w:rsid w:val="00E34B6E"/>
    <w:rsid w:val="00E424F9"/>
    <w:rsid w:val="00E46CE9"/>
    <w:rsid w:val="00E5059E"/>
    <w:rsid w:val="00E51162"/>
    <w:rsid w:val="00E55023"/>
    <w:rsid w:val="00E626C2"/>
    <w:rsid w:val="00E73D83"/>
    <w:rsid w:val="00EA3FC0"/>
    <w:rsid w:val="00EB47BE"/>
    <w:rsid w:val="00EB4CF2"/>
    <w:rsid w:val="00EB6FF7"/>
    <w:rsid w:val="00EC36B1"/>
    <w:rsid w:val="00ED4196"/>
    <w:rsid w:val="00EE1849"/>
    <w:rsid w:val="00EE28E8"/>
    <w:rsid w:val="00EE2E06"/>
    <w:rsid w:val="00EF15C5"/>
    <w:rsid w:val="00EF6193"/>
    <w:rsid w:val="00F1433B"/>
    <w:rsid w:val="00F20951"/>
    <w:rsid w:val="00F25C19"/>
    <w:rsid w:val="00F26C21"/>
    <w:rsid w:val="00F27C6F"/>
    <w:rsid w:val="00F27E7B"/>
    <w:rsid w:val="00F30680"/>
    <w:rsid w:val="00F367A2"/>
    <w:rsid w:val="00F54D7F"/>
    <w:rsid w:val="00F63676"/>
    <w:rsid w:val="00F64BC3"/>
    <w:rsid w:val="00F66B0A"/>
    <w:rsid w:val="00F7454F"/>
    <w:rsid w:val="00F75FEE"/>
    <w:rsid w:val="00F843B7"/>
    <w:rsid w:val="00F84462"/>
    <w:rsid w:val="00FB058D"/>
    <w:rsid w:val="00FC3029"/>
    <w:rsid w:val="00FE393C"/>
    <w:rsid w:val="00FE6FCC"/>
    <w:rsid w:val="013909AB"/>
    <w:rsid w:val="01C13257"/>
    <w:rsid w:val="01D6571E"/>
    <w:rsid w:val="01DFCC8F"/>
    <w:rsid w:val="01F491C2"/>
    <w:rsid w:val="02091EF5"/>
    <w:rsid w:val="0236D2B0"/>
    <w:rsid w:val="0272C1F0"/>
    <w:rsid w:val="02757AC3"/>
    <w:rsid w:val="02A8AAB1"/>
    <w:rsid w:val="02AA6DDE"/>
    <w:rsid w:val="02BD7DB8"/>
    <w:rsid w:val="02F39183"/>
    <w:rsid w:val="03B18919"/>
    <w:rsid w:val="0437F574"/>
    <w:rsid w:val="0452D176"/>
    <w:rsid w:val="04CFB262"/>
    <w:rsid w:val="04EE4A52"/>
    <w:rsid w:val="050383FD"/>
    <w:rsid w:val="05510844"/>
    <w:rsid w:val="0610542A"/>
    <w:rsid w:val="067701D0"/>
    <w:rsid w:val="06C30A71"/>
    <w:rsid w:val="06CF6D21"/>
    <w:rsid w:val="06E3D474"/>
    <w:rsid w:val="0716FFD2"/>
    <w:rsid w:val="075D53F3"/>
    <w:rsid w:val="079115A1"/>
    <w:rsid w:val="07A37018"/>
    <w:rsid w:val="07E633A4"/>
    <w:rsid w:val="07EDD36F"/>
    <w:rsid w:val="07F6B997"/>
    <w:rsid w:val="0801B86E"/>
    <w:rsid w:val="0825349A"/>
    <w:rsid w:val="082C23D8"/>
    <w:rsid w:val="0843DF3C"/>
    <w:rsid w:val="08722FEB"/>
    <w:rsid w:val="0889D68A"/>
    <w:rsid w:val="08D7E791"/>
    <w:rsid w:val="08EBF894"/>
    <w:rsid w:val="09252571"/>
    <w:rsid w:val="0987C816"/>
    <w:rsid w:val="0A6ACA01"/>
    <w:rsid w:val="0B24384B"/>
    <w:rsid w:val="0B79F536"/>
    <w:rsid w:val="0B9673AC"/>
    <w:rsid w:val="0BFD6ACB"/>
    <w:rsid w:val="0C5E4E7D"/>
    <w:rsid w:val="0CADC698"/>
    <w:rsid w:val="0D429D6D"/>
    <w:rsid w:val="0E498C8E"/>
    <w:rsid w:val="0EEBF1CC"/>
    <w:rsid w:val="0EF4880A"/>
    <w:rsid w:val="0EFA1784"/>
    <w:rsid w:val="0F91EE49"/>
    <w:rsid w:val="0FA28A5A"/>
    <w:rsid w:val="0FE3FAA5"/>
    <w:rsid w:val="1043F612"/>
    <w:rsid w:val="10595436"/>
    <w:rsid w:val="1083E49A"/>
    <w:rsid w:val="109DC99A"/>
    <w:rsid w:val="10F11692"/>
    <w:rsid w:val="111CD5D3"/>
    <w:rsid w:val="1123614C"/>
    <w:rsid w:val="11565E14"/>
    <w:rsid w:val="1175107D"/>
    <w:rsid w:val="117FCB8C"/>
    <w:rsid w:val="11B7DF57"/>
    <w:rsid w:val="11E37235"/>
    <w:rsid w:val="12129362"/>
    <w:rsid w:val="1257A21F"/>
    <w:rsid w:val="1261A61E"/>
    <w:rsid w:val="127B64F8"/>
    <w:rsid w:val="128DDAEF"/>
    <w:rsid w:val="12F66E26"/>
    <w:rsid w:val="132346F5"/>
    <w:rsid w:val="132C02E1"/>
    <w:rsid w:val="13D9AC56"/>
    <w:rsid w:val="14982F56"/>
    <w:rsid w:val="14F7EED3"/>
    <w:rsid w:val="150C3ED2"/>
    <w:rsid w:val="1514BE41"/>
    <w:rsid w:val="1524DC14"/>
    <w:rsid w:val="1562E5A7"/>
    <w:rsid w:val="159E0F3B"/>
    <w:rsid w:val="15C41F8B"/>
    <w:rsid w:val="1692B524"/>
    <w:rsid w:val="169F7FCA"/>
    <w:rsid w:val="16A747DF"/>
    <w:rsid w:val="16C1804F"/>
    <w:rsid w:val="16F253DE"/>
    <w:rsid w:val="16FAB429"/>
    <w:rsid w:val="177B2AFC"/>
    <w:rsid w:val="17A54146"/>
    <w:rsid w:val="181CCCC5"/>
    <w:rsid w:val="184A446F"/>
    <w:rsid w:val="18A3AF77"/>
    <w:rsid w:val="18B8F985"/>
    <w:rsid w:val="18E21780"/>
    <w:rsid w:val="18F631F1"/>
    <w:rsid w:val="19304530"/>
    <w:rsid w:val="19A6FA2E"/>
    <w:rsid w:val="19F0EFC6"/>
    <w:rsid w:val="19F64679"/>
    <w:rsid w:val="19FE6437"/>
    <w:rsid w:val="1A3317A1"/>
    <w:rsid w:val="1A90DE8D"/>
    <w:rsid w:val="1AE5AAAC"/>
    <w:rsid w:val="1B2E5F6E"/>
    <w:rsid w:val="1B334CA0"/>
    <w:rsid w:val="1B42CA8F"/>
    <w:rsid w:val="1C075C2E"/>
    <w:rsid w:val="1C16106B"/>
    <w:rsid w:val="1C3396EE"/>
    <w:rsid w:val="1C7B83BB"/>
    <w:rsid w:val="1C8FC9D0"/>
    <w:rsid w:val="1C9D9F87"/>
    <w:rsid w:val="1CB5021B"/>
    <w:rsid w:val="1D069DC4"/>
    <w:rsid w:val="1DC5D14D"/>
    <w:rsid w:val="1DF74140"/>
    <w:rsid w:val="1E2215AC"/>
    <w:rsid w:val="1E29DF5C"/>
    <w:rsid w:val="1E9FC888"/>
    <w:rsid w:val="1EDF93F2"/>
    <w:rsid w:val="1EF6630F"/>
    <w:rsid w:val="1FD237DC"/>
    <w:rsid w:val="1FEDE241"/>
    <w:rsid w:val="2068A0BD"/>
    <w:rsid w:val="208D0DDC"/>
    <w:rsid w:val="209709F8"/>
    <w:rsid w:val="20E851BF"/>
    <w:rsid w:val="21554BA2"/>
    <w:rsid w:val="216469E3"/>
    <w:rsid w:val="222F5837"/>
    <w:rsid w:val="2252471D"/>
    <w:rsid w:val="22836AC4"/>
    <w:rsid w:val="2284C099"/>
    <w:rsid w:val="22CDBDA6"/>
    <w:rsid w:val="22D7118F"/>
    <w:rsid w:val="22EA43DC"/>
    <w:rsid w:val="231330A0"/>
    <w:rsid w:val="23357BE6"/>
    <w:rsid w:val="239E24B4"/>
    <w:rsid w:val="23CB95D8"/>
    <w:rsid w:val="24804E75"/>
    <w:rsid w:val="24914108"/>
    <w:rsid w:val="24AB92DE"/>
    <w:rsid w:val="24F3225F"/>
    <w:rsid w:val="252E730B"/>
    <w:rsid w:val="26613AA5"/>
    <w:rsid w:val="2736B1B2"/>
    <w:rsid w:val="281A820B"/>
    <w:rsid w:val="2825D0A2"/>
    <w:rsid w:val="288248B7"/>
    <w:rsid w:val="289E4AE3"/>
    <w:rsid w:val="28ABD6C1"/>
    <w:rsid w:val="28C13442"/>
    <w:rsid w:val="28C52288"/>
    <w:rsid w:val="2914C889"/>
    <w:rsid w:val="293ADF1F"/>
    <w:rsid w:val="2972C278"/>
    <w:rsid w:val="29DA629E"/>
    <w:rsid w:val="29F3B82D"/>
    <w:rsid w:val="2A01EC32"/>
    <w:rsid w:val="2AAF2E14"/>
    <w:rsid w:val="2B084DCB"/>
    <w:rsid w:val="2BEFF9B3"/>
    <w:rsid w:val="2C0476A7"/>
    <w:rsid w:val="2C29FDEF"/>
    <w:rsid w:val="2C7C011B"/>
    <w:rsid w:val="2CD8A6A1"/>
    <w:rsid w:val="2E1E5699"/>
    <w:rsid w:val="2E69D584"/>
    <w:rsid w:val="2EAD3813"/>
    <w:rsid w:val="2EC0DF3C"/>
    <w:rsid w:val="2EE0E8B1"/>
    <w:rsid w:val="3153805B"/>
    <w:rsid w:val="31FB60B0"/>
    <w:rsid w:val="3267CFBE"/>
    <w:rsid w:val="32913170"/>
    <w:rsid w:val="3313702C"/>
    <w:rsid w:val="333AA6D4"/>
    <w:rsid w:val="33E2A924"/>
    <w:rsid w:val="34683E98"/>
    <w:rsid w:val="34B10A17"/>
    <w:rsid w:val="353119A7"/>
    <w:rsid w:val="3537E1E0"/>
    <w:rsid w:val="35426E3D"/>
    <w:rsid w:val="35530275"/>
    <w:rsid w:val="3578E3C1"/>
    <w:rsid w:val="365E5949"/>
    <w:rsid w:val="36757327"/>
    <w:rsid w:val="37086995"/>
    <w:rsid w:val="3732619C"/>
    <w:rsid w:val="3756C5D8"/>
    <w:rsid w:val="376797EB"/>
    <w:rsid w:val="379111D2"/>
    <w:rsid w:val="37C4E578"/>
    <w:rsid w:val="381A314A"/>
    <w:rsid w:val="382E5E67"/>
    <w:rsid w:val="3851370F"/>
    <w:rsid w:val="3852F61F"/>
    <w:rsid w:val="38AAFE45"/>
    <w:rsid w:val="38EBD120"/>
    <w:rsid w:val="38FC4C15"/>
    <w:rsid w:val="395EEF87"/>
    <w:rsid w:val="39AF4C04"/>
    <w:rsid w:val="3A6AFFD6"/>
    <w:rsid w:val="3A822C28"/>
    <w:rsid w:val="3B0A32E1"/>
    <w:rsid w:val="3B1BE04D"/>
    <w:rsid w:val="3B85410B"/>
    <w:rsid w:val="3BCFB5EB"/>
    <w:rsid w:val="3BDD8FC2"/>
    <w:rsid w:val="3C1795A5"/>
    <w:rsid w:val="3C1E7933"/>
    <w:rsid w:val="3C2E71A9"/>
    <w:rsid w:val="3C5CCA9E"/>
    <w:rsid w:val="3C85AB21"/>
    <w:rsid w:val="3CBC1B8D"/>
    <w:rsid w:val="3CD6F8B3"/>
    <w:rsid w:val="3CD70F69"/>
    <w:rsid w:val="3D33FCA3"/>
    <w:rsid w:val="3D5B9B48"/>
    <w:rsid w:val="3D699004"/>
    <w:rsid w:val="3D90ED07"/>
    <w:rsid w:val="3DA5577D"/>
    <w:rsid w:val="3DD1DA94"/>
    <w:rsid w:val="3DEA3273"/>
    <w:rsid w:val="3E79E64B"/>
    <w:rsid w:val="3EF10500"/>
    <w:rsid w:val="3F4C88A7"/>
    <w:rsid w:val="3F525BEE"/>
    <w:rsid w:val="3FE549B6"/>
    <w:rsid w:val="401E775D"/>
    <w:rsid w:val="404512FC"/>
    <w:rsid w:val="4087B79E"/>
    <w:rsid w:val="40BAA88D"/>
    <w:rsid w:val="40EBE66E"/>
    <w:rsid w:val="40F93606"/>
    <w:rsid w:val="4123D5EC"/>
    <w:rsid w:val="41818D9C"/>
    <w:rsid w:val="4190CFD9"/>
    <w:rsid w:val="41DA5593"/>
    <w:rsid w:val="42A823A0"/>
    <w:rsid w:val="42BD3B3C"/>
    <w:rsid w:val="42FBCC38"/>
    <w:rsid w:val="4313D513"/>
    <w:rsid w:val="4350F8B3"/>
    <w:rsid w:val="43733DEE"/>
    <w:rsid w:val="437A776F"/>
    <w:rsid w:val="43F21116"/>
    <w:rsid w:val="44B29302"/>
    <w:rsid w:val="44ECB4FC"/>
    <w:rsid w:val="450C161B"/>
    <w:rsid w:val="45475D0C"/>
    <w:rsid w:val="45866685"/>
    <w:rsid w:val="458EA30D"/>
    <w:rsid w:val="45F5AADF"/>
    <w:rsid w:val="46001515"/>
    <w:rsid w:val="462F91A1"/>
    <w:rsid w:val="4652DEA6"/>
    <w:rsid w:val="4712BEB6"/>
    <w:rsid w:val="47154FCF"/>
    <w:rsid w:val="47338B04"/>
    <w:rsid w:val="473884FF"/>
    <w:rsid w:val="47AEF2AF"/>
    <w:rsid w:val="47AF9710"/>
    <w:rsid w:val="4831EC3F"/>
    <w:rsid w:val="4870823A"/>
    <w:rsid w:val="48C6AB63"/>
    <w:rsid w:val="48D0ECAC"/>
    <w:rsid w:val="48DA929F"/>
    <w:rsid w:val="49915F62"/>
    <w:rsid w:val="49C86092"/>
    <w:rsid w:val="4A5D52F0"/>
    <w:rsid w:val="4A888A3B"/>
    <w:rsid w:val="4B2F64B1"/>
    <w:rsid w:val="4B6FC4F9"/>
    <w:rsid w:val="4BC4F745"/>
    <w:rsid w:val="4BE7BBE1"/>
    <w:rsid w:val="4C590755"/>
    <w:rsid w:val="4CCD07B1"/>
    <w:rsid w:val="4CD290F9"/>
    <w:rsid w:val="4CDA323E"/>
    <w:rsid w:val="4D26C79D"/>
    <w:rsid w:val="4D4AAACC"/>
    <w:rsid w:val="4D91516F"/>
    <w:rsid w:val="4DBB41AF"/>
    <w:rsid w:val="4E01E6C0"/>
    <w:rsid w:val="4E02A9E5"/>
    <w:rsid w:val="4E24C1B9"/>
    <w:rsid w:val="4E3DC4E7"/>
    <w:rsid w:val="4E4D8B69"/>
    <w:rsid w:val="4E552453"/>
    <w:rsid w:val="4E7CF08B"/>
    <w:rsid w:val="4E7E441A"/>
    <w:rsid w:val="4E97AD2D"/>
    <w:rsid w:val="4EEBDBF8"/>
    <w:rsid w:val="4F5CC3DC"/>
    <w:rsid w:val="4F70F5CF"/>
    <w:rsid w:val="4FAAF42A"/>
    <w:rsid w:val="4FD18327"/>
    <w:rsid w:val="517185A8"/>
    <w:rsid w:val="518310A9"/>
    <w:rsid w:val="524A7C30"/>
    <w:rsid w:val="52A24AEA"/>
    <w:rsid w:val="52C8681D"/>
    <w:rsid w:val="53093423"/>
    <w:rsid w:val="539871BE"/>
    <w:rsid w:val="5438301F"/>
    <w:rsid w:val="54942F08"/>
    <w:rsid w:val="55082A69"/>
    <w:rsid w:val="552C0C22"/>
    <w:rsid w:val="553CF752"/>
    <w:rsid w:val="55B77D02"/>
    <w:rsid w:val="55C25DBD"/>
    <w:rsid w:val="55D0DF76"/>
    <w:rsid w:val="55E7D5B9"/>
    <w:rsid w:val="5620F4D9"/>
    <w:rsid w:val="563276C3"/>
    <w:rsid w:val="564EB413"/>
    <w:rsid w:val="56C46757"/>
    <w:rsid w:val="5789D1E8"/>
    <w:rsid w:val="57DA0FF6"/>
    <w:rsid w:val="582FD430"/>
    <w:rsid w:val="583F2C02"/>
    <w:rsid w:val="588E13A7"/>
    <w:rsid w:val="58D7F1F1"/>
    <w:rsid w:val="5905839A"/>
    <w:rsid w:val="59299FDF"/>
    <w:rsid w:val="59E73845"/>
    <w:rsid w:val="59FEA49E"/>
    <w:rsid w:val="5A9E1A92"/>
    <w:rsid w:val="5AE0B349"/>
    <w:rsid w:val="5B1FC87E"/>
    <w:rsid w:val="5B258219"/>
    <w:rsid w:val="5B39CB95"/>
    <w:rsid w:val="5BABB5FA"/>
    <w:rsid w:val="5BAD20A2"/>
    <w:rsid w:val="5BC880EB"/>
    <w:rsid w:val="5BD9E5A4"/>
    <w:rsid w:val="5BF4B629"/>
    <w:rsid w:val="5CAA6B6C"/>
    <w:rsid w:val="5CD42548"/>
    <w:rsid w:val="5CD47813"/>
    <w:rsid w:val="5CD62B1B"/>
    <w:rsid w:val="5D5C6421"/>
    <w:rsid w:val="5DC50EC0"/>
    <w:rsid w:val="5DDD0DBB"/>
    <w:rsid w:val="5E8504B5"/>
    <w:rsid w:val="5EA91B5E"/>
    <w:rsid w:val="5EAD1456"/>
    <w:rsid w:val="5ED710D7"/>
    <w:rsid w:val="5F166A96"/>
    <w:rsid w:val="5F1CCCED"/>
    <w:rsid w:val="5F513FDE"/>
    <w:rsid w:val="5FCA7095"/>
    <w:rsid w:val="60087219"/>
    <w:rsid w:val="603A6134"/>
    <w:rsid w:val="607BE2BB"/>
    <w:rsid w:val="60F6F5CE"/>
    <w:rsid w:val="611E4821"/>
    <w:rsid w:val="613CD5E2"/>
    <w:rsid w:val="61F0B22B"/>
    <w:rsid w:val="61F9AC2F"/>
    <w:rsid w:val="621FDAB4"/>
    <w:rsid w:val="62705CB0"/>
    <w:rsid w:val="62A1AD26"/>
    <w:rsid w:val="62C130D8"/>
    <w:rsid w:val="630B4D52"/>
    <w:rsid w:val="631BFDE0"/>
    <w:rsid w:val="635F4339"/>
    <w:rsid w:val="63832C35"/>
    <w:rsid w:val="63BD4381"/>
    <w:rsid w:val="63D28747"/>
    <w:rsid w:val="6407E1FD"/>
    <w:rsid w:val="6465C575"/>
    <w:rsid w:val="64E47276"/>
    <w:rsid w:val="64E62713"/>
    <w:rsid w:val="6505CBC8"/>
    <w:rsid w:val="6528B3CA"/>
    <w:rsid w:val="65DE5E73"/>
    <w:rsid w:val="6629B08F"/>
    <w:rsid w:val="66598B00"/>
    <w:rsid w:val="665E243B"/>
    <w:rsid w:val="667FD584"/>
    <w:rsid w:val="6683A68A"/>
    <w:rsid w:val="66A3EA5C"/>
    <w:rsid w:val="678DBE25"/>
    <w:rsid w:val="67A540DB"/>
    <w:rsid w:val="67D1CD60"/>
    <w:rsid w:val="67DB4D41"/>
    <w:rsid w:val="67FC2E76"/>
    <w:rsid w:val="6806749C"/>
    <w:rsid w:val="6813E22A"/>
    <w:rsid w:val="6839956E"/>
    <w:rsid w:val="68633A49"/>
    <w:rsid w:val="68782CDB"/>
    <w:rsid w:val="696FB553"/>
    <w:rsid w:val="69A5BD31"/>
    <w:rsid w:val="6A59A68E"/>
    <w:rsid w:val="6A7249E8"/>
    <w:rsid w:val="6B6F16C4"/>
    <w:rsid w:val="6BBB7253"/>
    <w:rsid w:val="6C1128EE"/>
    <w:rsid w:val="6C2793EB"/>
    <w:rsid w:val="6C96A437"/>
    <w:rsid w:val="6CA23A97"/>
    <w:rsid w:val="6D3B90B6"/>
    <w:rsid w:val="6E6DAE05"/>
    <w:rsid w:val="6E88B5AC"/>
    <w:rsid w:val="6ECE7391"/>
    <w:rsid w:val="6FA0CB3D"/>
    <w:rsid w:val="6FA78C80"/>
    <w:rsid w:val="710FD689"/>
    <w:rsid w:val="714DD2C5"/>
    <w:rsid w:val="725E9B74"/>
    <w:rsid w:val="72BC4BD8"/>
    <w:rsid w:val="7372EC8A"/>
    <w:rsid w:val="73807E70"/>
    <w:rsid w:val="73C377F1"/>
    <w:rsid w:val="742144C9"/>
    <w:rsid w:val="74435316"/>
    <w:rsid w:val="74A7563B"/>
    <w:rsid w:val="74B0072E"/>
    <w:rsid w:val="74C666B3"/>
    <w:rsid w:val="74F9337F"/>
    <w:rsid w:val="751F57C0"/>
    <w:rsid w:val="752D3DF3"/>
    <w:rsid w:val="7531065C"/>
    <w:rsid w:val="75C0014D"/>
    <w:rsid w:val="75C6654E"/>
    <w:rsid w:val="75D67BEB"/>
    <w:rsid w:val="762C4D8F"/>
    <w:rsid w:val="76495714"/>
    <w:rsid w:val="76B3AD13"/>
    <w:rsid w:val="76C37DBB"/>
    <w:rsid w:val="77B254A2"/>
    <w:rsid w:val="77E227E1"/>
    <w:rsid w:val="77EB0A10"/>
    <w:rsid w:val="7803F979"/>
    <w:rsid w:val="781BCBD9"/>
    <w:rsid w:val="784E8AB1"/>
    <w:rsid w:val="78A9D303"/>
    <w:rsid w:val="79A2A3F3"/>
    <w:rsid w:val="79A71228"/>
    <w:rsid w:val="79C7DDE2"/>
    <w:rsid w:val="79C8EE16"/>
    <w:rsid w:val="7A11F8BB"/>
    <w:rsid w:val="7B083715"/>
    <w:rsid w:val="7B1BD426"/>
    <w:rsid w:val="7B8B41FF"/>
    <w:rsid w:val="7BEABBD9"/>
    <w:rsid w:val="7C00E428"/>
    <w:rsid w:val="7C546065"/>
    <w:rsid w:val="7D5D711C"/>
    <w:rsid w:val="7DA0DCC4"/>
    <w:rsid w:val="7EA5408B"/>
    <w:rsid w:val="7F275D8C"/>
    <w:rsid w:val="7F8F3A63"/>
    <w:rsid w:val="7FA64B02"/>
    <w:rsid w:val="7FBD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BCB1989"/>
  <w15:docId w15:val="{AD3E2D9C-64D3-45A6-9080-CE83F207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  <w:rsid w:val="00775DD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9C2CFB"/>
    <w:rPr>
      <w:rFonts w:cs="Times New Roman"/>
      <w:color w:val="0000FF"/>
      <w:u w:val="single"/>
    </w:rPr>
  </w:style>
  <w:style w:type="paragraph" w:styleId="Kjene">
    <w:name w:val="footer"/>
    <w:basedOn w:val="Parasts"/>
    <w:link w:val="KjeneRakstz"/>
    <w:uiPriority w:val="99"/>
    <w:rsid w:val="009C2CFB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9C2CFB"/>
    <w:rPr>
      <w:rFonts w:ascii="Times New Roman" w:hAnsi="Times New Roman" w:cs="Times New Roman"/>
      <w:lang w:val="lv-LV"/>
    </w:rPr>
  </w:style>
  <w:style w:type="paragraph" w:styleId="Pamatteksts3">
    <w:name w:val="Body Text 3"/>
    <w:basedOn w:val="Parasts"/>
    <w:link w:val="Pamatteksts3Rakstz"/>
    <w:uiPriority w:val="99"/>
    <w:rsid w:val="009C2CFB"/>
    <w:pPr>
      <w:spacing w:after="120"/>
    </w:pPr>
    <w:rPr>
      <w:sz w:val="16"/>
      <w:szCs w:val="16"/>
      <w:lang w:val="en-US"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9C2CFB"/>
    <w:rPr>
      <w:rFonts w:ascii="Times New Roman" w:hAnsi="Times New Roman" w:cs="Times New Roman"/>
      <w:sz w:val="16"/>
      <w:szCs w:val="16"/>
      <w:lang w:eastAsia="lv-LV"/>
    </w:rPr>
  </w:style>
  <w:style w:type="paragraph" w:styleId="Paraststmeklis">
    <w:name w:val="Normal (Web)"/>
    <w:basedOn w:val="Parasts"/>
    <w:uiPriority w:val="99"/>
    <w:rsid w:val="009C2C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uiPriority w:val="99"/>
    <w:rsid w:val="009C2CFB"/>
    <w:rPr>
      <w:rFonts w:cs="Times New Roman"/>
    </w:rPr>
  </w:style>
  <w:style w:type="paragraph" w:styleId="Galvene">
    <w:name w:val="header"/>
    <w:basedOn w:val="Parasts"/>
    <w:link w:val="GalveneRakstz"/>
    <w:uiPriority w:val="99"/>
    <w:rsid w:val="009C2CFB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C2CFB"/>
    <w:rPr>
      <w:rFonts w:ascii="Times New Roman" w:hAnsi="Times New Roman" w:cs="Times New Roman"/>
      <w:lang w:val="lv-LV"/>
    </w:rPr>
  </w:style>
  <w:style w:type="table" w:styleId="Reatabula">
    <w:name w:val="Table Grid"/>
    <w:basedOn w:val="Parastatabula"/>
    <w:uiPriority w:val="99"/>
    <w:locked/>
    <w:rsid w:val="00B723A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rsid w:val="00DE651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DE651C"/>
    <w:rPr>
      <w:rFonts w:ascii="Segoe UI" w:hAnsi="Segoe UI" w:cs="Segoe UI"/>
      <w:sz w:val="18"/>
      <w:szCs w:val="18"/>
      <w:lang w:eastAsia="en-US"/>
    </w:rPr>
  </w:style>
  <w:style w:type="paragraph" w:styleId="Prskatjums">
    <w:name w:val="Revision"/>
    <w:hidden/>
    <w:uiPriority w:val="99"/>
    <w:semiHidden/>
    <w:rsid w:val="001222F1"/>
    <w:rPr>
      <w:rFonts w:ascii="Times New Roman" w:eastAsia="Times New Roman" w:hAnsi="Times New Roman"/>
      <w:sz w:val="24"/>
      <w:szCs w:val="24"/>
      <w:lang w:eastAsia="en-US"/>
    </w:rPr>
  </w:style>
  <w:style w:type="paragraph" w:styleId="Vresteksts">
    <w:name w:val="footnote text"/>
    <w:aliases w:val="Footnote Text1,Char Char Char1,Char1,Char Char Char Char Char1,Char Char Char Char Char Char Char,Char Char Char Char Char Char Char Char Char,Char Char Char Char Char Char Char C Char"/>
    <w:basedOn w:val="Parasts"/>
    <w:link w:val="VrestekstsRakstz"/>
    <w:uiPriority w:val="99"/>
    <w:unhideWhenUsed/>
    <w:rsid w:val="001A6E82"/>
    <w:rPr>
      <w:rFonts w:ascii="Calibri" w:eastAsiaTheme="minorHAnsi" w:hAnsi="Calibri" w:cs="Calibri"/>
      <w:sz w:val="20"/>
      <w:szCs w:val="20"/>
      <w:lang w:eastAsia="lv-LV"/>
    </w:rPr>
  </w:style>
  <w:style w:type="character" w:customStyle="1" w:styleId="VrestekstsRakstz">
    <w:name w:val="Vēres teksts Rakstz."/>
    <w:aliases w:val="Footnote Text1 Rakstz.,Char Char Char1 Rakstz.,Char1 Rakstz.,Char Char Char Char Char1 Rakstz.,Char Char Char Char Char Char Char Rakstz.,Char Char Char Char Char Char Char Char Char Rakstz."/>
    <w:basedOn w:val="Noklusjumarindkopasfonts"/>
    <w:link w:val="Vresteksts"/>
    <w:uiPriority w:val="99"/>
    <w:rsid w:val="001A6E82"/>
    <w:rPr>
      <w:rFonts w:eastAsiaTheme="minorHAnsi" w:cs="Calibri"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D0090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CE34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E344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E344D"/>
    <w:rPr>
      <w:rFonts w:ascii="Times New Roman" w:eastAsia="Times New Roman" w:hAnsi="Times New Roman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E34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E344D"/>
    <w:rPr>
      <w:rFonts w:ascii="Times New Roman" w:eastAsia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01"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6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77B47C8F56360438D6393264B5F3568" ma:contentTypeVersion="13" ma:contentTypeDescription="Izveidot jaunu dokumentu." ma:contentTypeScope="" ma:versionID="908a560bd3a9a1eac1502e5b6ea6ec2a">
  <xsd:schema xmlns:xsd="http://www.w3.org/2001/XMLSchema" xmlns:xs="http://www.w3.org/2001/XMLSchema" xmlns:p="http://schemas.microsoft.com/office/2006/metadata/properties" xmlns:ns3="759328dd-0269-4ab1-9769-381686d40f78" xmlns:ns4="c4ac0050-f20e-4b84-adbf-5ea0a7eb78e7" targetNamespace="http://schemas.microsoft.com/office/2006/metadata/properties" ma:root="true" ma:fieldsID="c517f840f99a5f0dbd197c7712501bc2" ns3:_="" ns4:_="">
    <xsd:import namespace="759328dd-0269-4ab1-9769-381686d40f78"/>
    <xsd:import namespace="c4ac0050-f20e-4b84-adbf-5ea0a7eb7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328dd-0269-4ab1-9769-381686d40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c0050-f20e-4b84-adbf-5ea0a7eb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B9FBC-2A5E-4442-B770-8C200D304753}">
  <ds:schemaRefs>
    <ds:schemaRef ds:uri="c4ac0050-f20e-4b84-adbf-5ea0a7eb78e7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759328dd-0269-4ab1-9769-381686d40f78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909FBA-2D0B-4EF5-A604-0F57D0A4F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EFF0B-797D-453E-9839-FF5096D58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328dd-0269-4ab1-9769-381686d40f78"/>
    <ds:schemaRef ds:uri="c4ac0050-f20e-4b84-adbf-5ea0a7eb7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93C3F9-8A1B-4476-B6B2-A4F5988C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911</Words>
  <Characters>6025</Characters>
  <Application>Microsoft Office Word</Application>
  <DocSecurity>0</DocSecurity>
  <Lines>50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Tiesību akta projekta sākotnējās ietekmes novērtējuma ziņojums</vt:lpstr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projekta sākotnējās ietekmes novērtējuma ziņojums</dc:title>
  <dc:subject/>
  <dc:creator>Sandra Ķirse</dc:creator>
  <cp:keywords/>
  <dc:description/>
  <cp:lastModifiedBy>Baiba Zakevica</cp:lastModifiedBy>
  <cp:revision>13</cp:revision>
  <cp:lastPrinted>2020-07-14T20:52:00Z</cp:lastPrinted>
  <dcterms:created xsi:type="dcterms:W3CDTF">2021-08-04T05:47:00Z</dcterms:created>
  <dcterms:modified xsi:type="dcterms:W3CDTF">2021-08-06T12:29:00Z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0x010100F77B47C8F56360438D6393264B5F3568</vt:lpwstr>
  </property>
</Properties>
</file>