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FA44F" w14:textId="77777777" w:rsidR="0093027C" w:rsidRPr="00ED3A97" w:rsidRDefault="00663350">
      <w:pPr>
        <w:pStyle w:val="Title"/>
        <w:rPr>
          <w:rFonts w:ascii="Times New Roman" w:hAnsi="Times New Roman"/>
          <w:sz w:val="24"/>
          <w:szCs w:val="24"/>
        </w:rPr>
      </w:pPr>
      <w:r w:rsidRPr="00ED3A97">
        <w:rPr>
          <w:rFonts w:ascii="Times New Roman" w:hAnsi="Times New Roman"/>
          <w:sz w:val="24"/>
          <w:szCs w:val="24"/>
        </w:rPr>
        <w:t xml:space="preserve">Likumprojekta </w:t>
      </w:r>
    </w:p>
    <w:p w14:paraId="697F22E5" w14:textId="77777777" w:rsidR="0093027C" w:rsidRPr="00ED3A97" w:rsidRDefault="00663350">
      <w:pPr>
        <w:pStyle w:val="Title"/>
        <w:rPr>
          <w:rFonts w:ascii="Times New Roman" w:hAnsi="Times New Roman"/>
          <w:sz w:val="24"/>
          <w:szCs w:val="24"/>
        </w:rPr>
      </w:pPr>
      <w:r w:rsidRPr="00ED3A97">
        <w:rPr>
          <w:rFonts w:ascii="Times New Roman" w:hAnsi="Times New Roman"/>
          <w:color w:val="000000"/>
          <w:sz w:val="24"/>
          <w:szCs w:val="24"/>
        </w:rPr>
        <w:t xml:space="preserve">„Par </w:t>
      </w:r>
      <w:r w:rsidRPr="00ED3A97">
        <w:rPr>
          <w:rFonts w:ascii="Times New Roman" w:hAnsi="Times New Roman"/>
          <w:bCs/>
          <w:sz w:val="24"/>
          <w:szCs w:val="24"/>
        </w:rPr>
        <w:t>Kopējās aviācijas telpas nolīgumu starp Eiropas Savienību un tās dalībvalstīm, no vienas puses, un Armēnijas Republiku, no otras puses</w:t>
      </w:r>
      <w:r w:rsidRPr="00ED3A97">
        <w:rPr>
          <w:rFonts w:ascii="Times New Roman" w:hAnsi="Times New Roman"/>
          <w:sz w:val="24"/>
          <w:szCs w:val="24"/>
        </w:rPr>
        <w:t xml:space="preserve">” </w:t>
      </w:r>
    </w:p>
    <w:p w14:paraId="4D6A8DDF" w14:textId="77777777" w:rsidR="0093027C" w:rsidRDefault="00663350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sākotnējās ietekmes novērtējuma ziņojums (anotācija)</w:t>
      </w:r>
    </w:p>
    <w:p w14:paraId="0BD18652" w14:textId="77777777" w:rsidR="0093027C" w:rsidRDefault="0093027C">
      <w:pPr>
        <w:rPr>
          <w:rFonts w:ascii="Times New Roman" w:hAnsi="Times New Roman"/>
          <w:iCs/>
          <w:sz w:val="24"/>
          <w:szCs w:val="24"/>
          <w:lang w:eastAsia="lv-LV"/>
        </w:rPr>
      </w:pPr>
      <w:bookmarkStart w:id="0" w:name="_Hlk534208393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804"/>
      </w:tblGrid>
      <w:tr w:rsidR="0093027C" w14:paraId="22F467C6" w14:textId="77777777">
        <w:tc>
          <w:tcPr>
            <w:tcW w:w="9356" w:type="dxa"/>
            <w:gridSpan w:val="2"/>
          </w:tcPr>
          <w:p w14:paraId="001AB742" w14:textId="77777777" w:rsidR="0093027C" w:rsidRDefault="00663350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  <w:p w14:paraId="1BF50CAF" w14:textId="77777777" w:rsidR="0093027C" w:rsidRDefault="00930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3027C" w14:paraId="2CC3AEFF" w14:textId="77777777">
        <w:tc>
          <w:tcPr>
            <w:tcW w:w="2552" w:type="dxa"/>
          </w:tcPr>
          <w:p w14:paraId="153DE2C3" w14:textId="77777777" w:rsidR="0093027C" w:rsidRDefault="00663350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804" w:type="dxa"/>
          </w:tcPr>
          <w:p w14:paraId="0230FF6D" w14:textId="77777777" w:rsidR="0093027C" w:rsidRDefault="0066335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Neaizpilda atbilstoši Ministru kabineta 2009 gada 15 decembra instrukcijas Nr.19 “Tiesību akta projekta sākotnējās ietekmes izvērtēšanas kārtība” 5.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punktā noteiktajam.</w:t>
            </w:r>
          </w:p>
        </w:tc>
      </w:tr>
      <w:bookmarkEnd w:id="0"/>
    </w:tbl>
    <w:p w14:paraId="6A1D4188" w14:textId="77777777" w:rsidR="0093027C" w:rsidRDefault="009302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4968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2305"/>
        <w:gridCol w:w="6802"/>
      </w:tblGrid>
      <w:tr w:rsidR="0093027C" w14:paraId="502A202D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7F67E787" w14:textId="77777777" w:rsidR="0093027C" w:rsidRDefault="00663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93027C" w:rsidRPr="00D311E8" w14:paraId="453B1C64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13B2E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855F0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Pamatojums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5A657" w14:textId="77777777" w:rsidR="0093027C" w:rsidRPr="00D311E8" w:rsidRDefault="00663350">
            <w:pPr>
              <w:ind w:left="114" w:right="14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Deklarācija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 Artura Krišjāņa Kariņa vadītā Ministru kabineta iecerēto darbību 92.punkt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kurā noteikts: “Turpinot attīstīt Rīgu kā nozīmīgu Ziemeļeiropas aviācijas mezglu, veicināsim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Air Baltic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biznesa plāna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Destination 2025 </w:t>
            </w:r>
            <w:r>
              <w:rPr>
                <w:rFonts w:ascii="Times New Roman" w:hAnsi="Times New Roman"/>
                <w:sz w:val="24"/>
                <w:szCs w:val="24"/>
              </w:rPr>
              <w:t>sekmīgu īstenošanu un turpmāku lidostas infrastruktūras attīstību, kā arī celsim aviācijas nozarē strādājošo konkurētspēju”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27C" w14:paraId="47402428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CF86E" w14:textId="77777777" w:rsidR="0093027C" w:rsidRDefault="0066335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934E1A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2839D9" w14:textId="77777777" w:rsidR="0093027C" w:rsidRDefault="00663350">
            <w:pPr>
              <w:ind w:left="114" w:right="1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Likumprojekts sagatavots, lai pieņemtu un apstiprinātu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Kopējās aviācijas telpas nolīgumu starp Eiropas Savienību un tās dalībvalstīm, no vienas puses, un Armēnijas Republiku, no otras puses (turpmāk -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Nolīgum</w:t>
            </w:r>
            <w:r w:rsidRPr="00D311E8">
              <w:rPr>
                <w:rFonts w:ascii="Times New Roman" w:eastAsia="Arial Unicode MS" w:hAnsi="Times New Roman"/>
                <w:sz w:val="24"/>
                <w:szCs w:val="24"/>
              </w:rPr>
              <w:t>s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 Nolīguma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pamatā būs abpusēja piekļuve Pušu gaisa transporta tirgiem ar vienādiem konkurences nosacījumiem un vienotu noteikumu ievērošana, tostarp lidojumu drošuma, drošības, gaisa satiksmes pārvaldības, sociālo aspektu un vides jomā.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Eiropas Komisija pilnvarojumu uzsākt sarunas par  Nolīgum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saņēma no Eiropas Padomes 2015.gada 7.decembrī. Nolīguma projekts tika parafēts 2017.gada 24.novembrī.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/>
                <w:sz w:val="24"/>
                <w:szCs w:val="24"/>
              </w:rPr>
              <w:t>plānots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, ka Eiropas Savienības dalībvalstu pārstāvji </w:t>
            </w:r>
            <w:r>
              <w:rPr>
                <w:rFonts w:ascii="Times New Roman" w:hAnsi="Times New Roman"/>
                <w:sz w:val="24"/>
                <w:szCs w:val="24"/>
              </w:rPr>
              <w:t>Nolīgumu parakstī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š.g.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 un 29.septembrī COREPER II ietvaros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27C" w14:paraId="3147BE4E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B7E2B5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80FADD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4EA92" w14:textId="14C96C7F" w:rsidR="0093027C" w:rsidRDefault="00C865A7">
            <w:pPr>
              <w:pStyle w:val="BodyText2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Satiksmes ministrija</w:t>
            </w:r>
            <w:r w:rsidR="00663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27C" w14:paraId="5B740579" w14:textId="77777777">
        <w:tc>
          <w:tcPr>
            <w:tcW w:w="1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5C72F4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B2D274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40A7D9" w14:textId="77777777" w:rsidR="0093027C" w:rsidRDefault="00663350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Nav.</w:t>
            </w:r>
          </w:p>
        </w:tc>
      </w:tr>
    </w:tbl>
    <w:p w14:paraId="0D02E467" w14:textId="77777777" w:rsidR="0093027C" w:rsidRDefault="006633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566"/>
        <w:gridCol w:w="6506"/>
      </w:tblGrid>
      <w:tr w:rsidR="0093027C" w14:paraId="32454B75" w14:textId="77777777">
        <w:trPr>
          <w:trHeight w:val="1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F70B" w14:textId="77777777" w:rsidR="0093027C" w:rsidRDefault="00663350">
            <w:pPr>
              <w:suppressAutoHyphens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II. </w:t>
            </w: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Tiesību akta projekta ietekme uz sabiedrību, tautsaimniecības attīstību</w:t>
            </w:r>
          </w:p>
          <w:p w14:paraId="1712409B" w14:textId="77777777" w:rsidR="0093027C" w:rsidRDefault="0066335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un administratīvo slogu</w:t>
            </w:r>
          </w:p>
        </w:tc>
      </w:tr>
      <w:tr w:rsidR="0093027C" w14:paraId="234E0E0B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967B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165" w14:textId="77777777" w:rsidR="0093027C" w:rsidRDefault="0066335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Sabiedrības mērķgrupas, kuras tiesiskais regulējums ietekmē vai varētu ietekmēt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38D3" w14:textId="77777777" w:rsidR="0093027C" w:rsidRDefault="00663350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Sabiedrības mērķgrupa:</w:t>
            </w:r>
          </w:p>
          <w:p w14:paraId="36A7B4EB" w14:textId="77777777" w:rsidR="0093027C" w:rsidRDefault="00663350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gaisa transporta pasažieri, kuriem tiks nodrošināts plašāks lidojumu maršrutu piedāvājums;</w:t>
            </w:r>
          </w:p>
          <w:p w14:paraId="5AD47309" w14:textId="77777777" w:rsidR="0093027C" w:rsidRDefault="00663350">
            <w:pPr>
              <w:suppressAutoHyphens/>
              <w:snapToGrid w:val="0"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gaisa pārvadātāji, kuriem Nolīguma noslēgšana vienkāršos lidojumu uzsākšanu un veikšanu uz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Armēnij</w:t>
            </w:r>
            <w:r>
              <w:rPr>
                <w:rFonts w:ascii="Times New Roman" w:hAnsi="Times New Roman"/>
                <w:sz w:val="24"/>
                <w:szCs w:val="24"/>
              </w:rPr>
              <w:t>u, nodrošinās papildu maršrutus un garantēs līdzvērtīgus konkurences apstākļus.</w:t>
            </w:r>
          </w:p>
        </w:tc>
      </w:tr>
      <w:tr w:rsidR="0093027C" w14:paraId="273E8BB6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372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9FC6" w14:textId="77777777" w:rsidR="0093027C" w:rsidRDefault="0066335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Tiesiskā regulējuma ietekme uz tautsaimniecību un administratīvo slogu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415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Projekts šo jomu neskar.</w:t>
            </w:r>
          </w:p>
        </w:tc>
      </w:tr>
      <w:tr w:rsidR="0093027C" w14:paraId="155F7642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960B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DE11" w14:textId="77777777" w:rsidR="0093027C" w:rsidRDefault="00663350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Administratīvo izmaksu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monetārs novērtējums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33F" w14:textId="77777777" w:rsidR="0093027C" w:rsidRDefault="00663350">
            <w:pPr>
              <w:suppressAutoHyphens/>
              <w:ind w:right="1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Projekts šo jomu neskar.</w:t>
            </w:r>
          </w:p>
        </w:tc>
      </w:tr>
      <w:tr w:rsidR="0093027C" w14:paraId="0FEB70A8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8ACF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EFF5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Atbilstības izmaksu monetārs novērtējums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CB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Projekts šo jomu neskar.</w:t>
            </w:r>
          </w:p>
        </w:tc>
      </w:tr>
      <w:tr w:rsidR="0093027C" w14:paraId="6C941F27" w14:textId="77777777">
        <w:trPr>
          <w:trHeight w:val="1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A290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DBA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C99" w14:textId="77777777" w:rsidR="0093027C" w:rsidRDefault="00663350">
            <w:pPr>
              <w:suppressAutoHyphens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Nav.</w:t>
            </w:r>
          </w:p>
        </w:tc>
      </w:tr>
    </w:tbl>
    <w:p w14:paraId="097C1681" w14:textId="77777777" w:rsidR="0093027C" w:rsidRDefault="0093027C">
      <w:pPr>
        <w:rPr>
          <w:rFonts w:ascii="Times New Roman" w:hAnsi="Times New Roman"/>
          <w:sz w:val="24"/>
          <w:szCs w:val="24"/>
        </w:rPr>
      </w:pPr>
    </w:p>
    <w:tbl>
      <w:tblPr>
        <w:tblW w:w="4969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93027C" w14:paraId="2F810A50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5BD" w14:textId="77777777" w:rsidR="0093027C" w:rsidRDefault="00663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93027C" w14:paraId="28D1916C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04757336" w14:textId="77777777" w:rsidR="0093027C" w:rsidRDefault="0066335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0AC4958F" w14:textId="77777777" w:rsidR="0093027C" w:rsidRDefault="0093027C">
      <w:pPr>
        <w:rPr>
          <w:rFonts w:ascii="Times New Roman" w:hAnsi="Times New Roman"/>
          <w:sz w:val="24"/>
          <w:szCs w:val="24"/>
        </w:rPr>
      </w:pPr>
    </w:p>
    <w:tbl>
      <w:tblPr>
        <w:tblW w:w="5001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902"/>
        <w:gridCol w:w="6022"/>
      </w:tblGrid>
      <w:tr w:rsidR="0093027C" w14:paraId="4881043E" w14:textId="77777777">
        <w:trPr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AA40B4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93027C" w14:paraId="1FA97D12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CA9F9" w14:textId="77777777" w:rsidR="0093027C" w:rsidRDefault="0066335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17B10" w14:textId="77777777" w:rsidR="0093027C" w:rsidRDefault="0066335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B0B34" w14:textId="77777777" w:rsidR="0093027C" w:rsidRDefault="00663350">
            <w:pPr>
              <w:ind w:left="12" w:right="14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lv-LV"/>
              </w:rPr>
            </w:pPr>
            <w:r w:rsidRPr="00D311E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olīguma noteikumi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būs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noteicošie attiecībā pret atbilstošajiem noteikumiem līdz šim spēkā esošajos divpusējos gaisa satiksmes pakalpojumu nolīgumos starp Eiropas Savienības</w:t>
            </w:r>
            <w:r w:rsidRPr="00D311E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dalībvalstīm un Armēnijas Republiku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 (t.sk. </w:t>
            </w:r>
            <w:r>
              <w:rPr>
                <w:rFonts w:ascii="Times New Roman" w:hAnsi="Times New Roman"/>
                <w:sz w:val="24"/>
                <w:szCs w:val="24"/>
              </w:rPr>
              <w:t>Latvij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as Republikas vald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Armēnij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Republikas vald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bas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>līgum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s par gaisa satiksmi, kas tika parakst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ts 2009.gada 10.decembr</w:t>
            </w:r>
            <w:r>
              <w:rPr>
                <w:rFonts w:ascii="Times New Roman" w:hAnsi="Times New Roman"/>
                <w:sz w:val="24"/>
                <w:szCs w:val="24"/>
              </w:rPr>
              <w:t>ī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027C" w14:paraId="17A10168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FD156" w14:textId="77777777" w:rsidR="0093027C" w:rsidRDefault="0066335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7EBA1D" w14:textId="77777777" w:rsidR="0093027C" w:rsidRDefault="0066335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B6DDA1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Satiksmes ministrija.</w:t>
            </w:r>
          </w:p>
          <w:p w14:paraId="3B611CF7" w14:textId="77777777" w:rsidR="0093027C" w:rsidRDefault="0093027C">
            <w:pPr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93027C" w14:paraId="0E6B29AD" w14:textId="77777777">
        <w:trPr>
          <w:jc w:val="center"/>
        </w:trPr>
        <w:tc>
          <w:tcPr>
            <w:tcW w:w="2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BFA5CF" w14:textId="77777777" w:rsidR="0093027C" w:rsidRDefault="0066335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48C46C" w14:textId="77777777" w:rsidR="0093027C" w:rsidRDefault="0066335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A45559" w14:textId="77777777" w:rsidR="0093027C" w:rsidRDefault="00663350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B5D8669" w14:textId="77777777" w:rsidR="0093027C" w:rsidRDefault="0093027C">
      <w:pPr>
        <w:rPr>
          <w:rFonts w:ascii="Times New Roman" w:hAnsi="Times New Roman"/>
          <w:sz w:val="24"/>
          <w:szCs w:val="24"/>
        </w:rPr>
      </w:pPr>
    </w:p>
    <w:tbl>
      <w:tblPr>
        <w:tblW w:w="4969" w:type="pct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6663"/>
      </w:tblGrid>
      <w:tr w:rsidR="0093027C" w14:paraId="5331C1B0" w14:textId="7777777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DFA378D" w14:textId="77777777" w:rsidR="0093027C" w:rsidRDefault="00663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93027C" w14:paraId="56F292D5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04FE2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656DDD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348C2F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Parakstot Nolīgumu, Latvija kā viena no Eiropas Savienības</w:t>
            </w:r>
            <w:r w:rsidRPr="00D31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dalībvalstīm uzņemas saistības, ko nosaka Nolīguma nosacījumi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3027C" w14:paraId="5DFC8FCE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7D237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4863D7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2B2378" w14:textId="77777777" w:rsidR="0093027C" w:rsidRDefault="00663350">
            <w:pPr>
              <w:ind w:left="61"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3027C" w14:paraId="4FA979EC" w14:textId="77777777">
        <w:tc>
          <w:tcPr>
            <w:tcW w:w="2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5AA2D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E601B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35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9CAE6" w14:textId="77777777" w:rsidR="0093027C" w:rsidRDefault="00663350">
            <w:pPr>
              <w:ind w:left="62" w:right="11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17E7CD0B" w14:textId="36DB2F04" w:rsidR="0093027C" w:rsidRDefault="00663350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  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</w:tblGrid>
      <w:tr w:rsidR="0093027C" w14:paraId="6AB91F91" w14:textId="77777777">
        <w:trPr>
          <w:trHeight w:val="421"/>
          <w:jc w:val="center"/>
        </w:trPr>
        <w:tc>
          <w:tcPr>
            <w:tcW w:w="9361" w:type="dxa"/>
            <w:vAlign w:val="center"/>
          </w:tcPr>
          <w:p w14:paraId="32B1D159" w14:textId="77777777" w:rsidR="0093027C" w:rsidRDefault="00663350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715A6" w:rsidRPr="001715A6" w14:paraId="586D51B5" w14:textId="77777777">
        <w:trPr>
          <w:trHeight w:val="421"/>
          <w:jc w:val="center"/>
        </w:trPr>
        <w:tc>
          <w:tcPr>
            <w:tcW w:w="9361" w:type="dxa"/>
            <w:vAlign w:val="center"/>
          </w:tcPr>
          <w:p w14:paraId="2A173C34" w14:textId="6F13A8AA" w:rsidR="001715A6" w:rsidRPr="001715A6" w:rsidRDefault="001715A6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</w:pPr>
            <w:r w:rsidRPr="001715A6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FD3002F" w14:textId="77777777" w:rsidR="0093027C" w:rsidRDefault="0093027C">
      <w:pPr>
        <w:rPr>
          <w:rFonts w:ascii="Times New Roman" w:hAnsi="Times New Roman"/>
          <w:sz w:val="24"/>
          <w:szCs w:val="24"/>
        </w:rPr>
      </w:pPr>
    </w:p>
    <w:tbl>
      <w:tblPr>
        <w:tblW w:w="4976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6"/>
        <w:gridCol w:w="4310"/>
        <w:gridCol w:w="4763"/>
      </w:tblGrid>
      <w:tr w:rsidR="0093027C" w14:paraId="35DBF9FD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AD075" w14:textId="77777777" w:rsidR="0093027C" w:rsidRDefault="00663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93027C" w14:paraId="727C6054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21E73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6FCD0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BDAC00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Satiksmes ministrija.</w:t>
            </w:r>
          </w:p>
        </w:tc>
      </w:tr>
      <w:tr w:rsidR="0093027C" w14:paraId="3728885B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8858AC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BE9687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57A17CED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427FAA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Likumprojekts neparedz jaunu institūciju izveidi, likvidāciju vai reorganizāciju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3027C" w14:paraId="0A9C1310" w14:textId="77777777">
        <w:tc>
          <w:tcPr>
            <w:tcW w:w="1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03DE9B" w14:textId="77777777" w:rsidR="0093027C" w:rsidRDefault="00663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7FA818" w14:textId="77777777" w:rsidR="0093027C" w:rsidRDefault="00663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5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6054A6" w14:textId="77777777" w:rsidR="0093027C" w:rsidRDefault="006633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Nav.</w:t>
            </w:r>
          </w:p>
        </w:tc>
      </w:tr>
    </w:tbl>
    <w:p w14:paraId="6AD5E02B" w14:textId="77777777" w:rsidR="0093027C" w:rsidRDefault="0093027C">
      <w:pPr>
        <w:rPr>
          <w:rFonts w:ascii="Times New Roman" w:hAnsi="Times New Roman"/>
          <w:sz w:val="24"/>
          <w:szCs w:val="24"/>
        </w:rPr>
      </w:pPr>
    </w:p>
    <w:p w14:paraId="2A05C0EE" w14:textId="77777777" w:rsidR="0093027C" w:rsidRDefault="00663350">
      <w:pPr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24113069"/>
      <w:r>
        <w:rPr>
          <w:rFonts w:ascii="Times New Roman" w:hAnsi="Times New Roman"/>
          <w:color w:val="000000"/>
          <w:sz w:val="24"/>
          <w:szCs w:val="24"/>
        </w:rPr>
        <w:t xml:space="preserve">Satiksmes </w:t>
      </w:r>
      <w:r>
        <w:rPr>
          <w:rFonts w:ascii="Times New Roman" w:hAnsi="Times New Roman"/>
          <w:sz w:val="24"/>
          <w:szCs w:val="24"/>
        </w:rPr>
        <w:t xml:space="preserve">ministrs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T.Linkaits</w:t>
      </w:r>
    </w:p>
    <w:p w14:paraId="39C72A86" w14:textId="77777777" w:rsidR="0093027C" w:rsidRDefault="0093027C">
      <w:pPr>
        <w:tabs>
          <w:tab w:val="left" w:pos="18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73C22" w14:textId="756662E9" w:rsidR="0093027C" w:rsidRDefault="006633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Vīza: valsts sekretāre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I.Stepanova</w:t>
      </w:r>
      <w:bookmarkEnd w:id="1"/>
    </w:p>
    <w:p w14:paraId="1F0FB3C0" w14:textId="77777777" w:rsidR="00D311E8" w:rsidRDefault="00D311E8" w:rsidP="00D311E8">
      <w:pPr>
        <w:jc w:val="both"/>
        <w:rPr>
          <w:rFonts w:ascii="Times New Roman" w:hAnsi="Times New Roman"/>
          <w:sz w:val="24"/>
          <w:szCs w:val="24"/>
        </w:rPr>
      </w:pPr>
    </w:p>
    <w:p w14:paraId="1EEB2F29" w14:textId="0C227E77" w:rsidR="00D311E8" w:rsidRPr="00D311E8" w:rsidRDefault="00D311E8" w:rsidP="00D311E8">
      <w:pPr>
        <w:jc w:val="both"/>
        <w:rPr>
          <w:rFonts w:ascii="Times New Roman" w:hAnsi="Times New Roman"/>
          <w:sz w:val="20"/>
        </w:rPr>
      </w:pPr>
      <w:r w:rsidRPr="00D311E8">
        <w:rPr>
          <w:rFonts w:ascii="Times New Roman" w:hAnsi="Times New Roman"/>
          <w:sz w:val="20"/>
        </w:rPr>
        <w:t>Boļšija, 67028256</w:t>
      </w:r>
    </w:p>
    <w:p w14:paraId="5C920FA4" w14:textId="6EA2AF7F" w:rsidR="00D311E8" w:rsidRPr="00D311E8" w:rsidRDefault="00C865A7" w:rsidP="00D311E8">
      <w:pPr>
        <w:jc w:val="both"/>
        <w:rPr>
          <w:rFonts w:ascii="Times New Roman" w:hAnsi="Times New Roman"/>
          <w:sz w:val="20"/>
        </w:rPr>
      </w:pPr>
      <w:hyperlink r:id="rId6" w:history="1">
        <w:r w:rsidR="00D311E8" w:rsidRPr="00D311E8">
          <w:rPr>
            <w:rStyle w:val="Hyperlink"/>
            <w:rFonts w:ascii="Times New Roman" w:hAnsi="Times New Roman"/>
            <w:sz w:val="20"/>
          </w:rPr>
          <w:t>ilze.bolsija@sam.gov.lv</w:t>
        </w:r>
      </w:hyperlink>
      <w:r w:rsidR="00D311E8" w:rsidRPr="00D311E8">
        <w:rPr>
          <w:rFonts w:ascii="Times New Roman" w:hAnsi="Times New Roman"/>
          <w:sz w:val="20"/>
        </w:rPr>
        <w:t xml:space="preserve"> </w:t>
      </w:r>
    </w:p>
    <w:sectPr w:rsidR="00D311E8" w:rsidRPr="00D311E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05A1" w14:textId="77777777" w:rsidR="000135E2" w:rsidRDefault="000135E2">
      <w:r>
        <w:separator/>
      </w:r>
    </w:p>
  </w:endnote>
  <w:endnote w:type="continuationSeparator" w:id="0">
    <w:p w14:paraId="585F960F" w14:textId="77777777" w:rsidR="000135E2" w:rsidRDefault="0001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484C" w14:textId="77777777" w:rsidR="0093027C" w:rsidRDefault="00663350">
    <w:pPr>
      <w:pStyle w:val="Foot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10</w:t>
    </w:r>
    <w:r>
      <w:fldChar w:fldCharType="end"/>
    </w:r>
  </w:p>
  <w:p w14:paraId="529E5976" w14:textId="77777777" w:rsidR="0093027C" w:rsidRDefault="0093027C">
    <w:pPr>
      <w:pStyle w:val="Footer"/>
    </w:pPr>
  </w:p>
  <w:p w14:paraId="1FDAD325" w14:textId="77777777" w:rsidR="0093027C" w:rsidRDefault="009302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EE68" w14:textId="77777777" w:rsidR="0093027C" w:rsidRDefault="00663350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SM</w:t>
    </w:r>
    <w:r>
      <w:rPr>
        <w:rFonts w:ascii="Times New Roman" w:hAnsi="Times New Roman"/>
        <w:sz w:val="20"/>
        <w:lang w:val="en-US"/>
      </w:rPr>
      <w:t>a</w:t>
    </w:r>
    <w:r>
      <w:rPr>
        <w:rFonts w:ascii="Times New Roman" w:hAnsi="Times New Roman"/>
        <w:sz w:val="20"/>
      </w:rPr>
      <w:t>not_</w:t>
    </w:r>
    <w:r>
      <w:rPr>
        <w:rFonts w:ascii="Times New Roman" w:hAnsi="Times New Roman"/>
        <w:sz w:val="20"/>
        <w:lang w:val="en-US"/>
      </w:rPr>
      <w:t>3007</w:t>
    </w:r>
    <w:r>
      <w:rPr>
        <w:rFonts w:ascii="Times New Roman" w:hAnsi="Times New Roman"/>
        <w:sz w:val="20"/>
      </w:rPr>
      <w:t>21_</w:t>
    </w:r>
    <w:r>
      <w:rPr>
        <w:rFonts w:ascii="Times New Roman" w:hAnsi="Times New Roman"/>
        <w:sz w:val="20"/>
        <w:lang w:val="en-US"/>
      </w:rPr>
      <w:t>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8371" w14:textId="77777777" w:rsidR="0093027C" w:rsidRDefault="00663350">
    <w:pPr>
      <w:pStyle w:val="Footer"/>
      <w:rPr>
        <w:rFonts w:ascii="Times New Roman" w:hAnsi="Times New Roman"/>
        <w:sz w:val="20"/>
        <w:lang w:val="en-US"/>
      </w:rPr>
    </w:pPr>
    <w:r>
      <w:rPr>
        <w:rFonts w:ascii="Times New Roman" w:hAnsi="Times New Roman"/>
        <w:sz w:val="20"/>
      </w:rPr>
      <w:t>SM</w:t>
    </w:r>
    <w:r>
      <w:rPr>
        <w:rFonts w:ascii="Times New Roman" w:hAnsi="Times New Roman"/>
        <w:sz w:val="20"/>
        <w:lang w:val="en-US"/>
      </w:rPr>
      <w:t>a</w:t>
    </w:r>
    <w:r>
      <w:rPr>
        <w:rFonts w:ascii="Times New Roman" w:hAnsi="Times New Roman"/>
        <w:sz w:val="20"/>
      </w:rPr>
      <w:t>not_</w:t>
    </w:r>
    <w:r>
      <w:rPr>
        <w:rFonts w:ascii="Times New Roman" w:hAnsi="Times New Roman"/>
        <w:sz w:val="20"/>
        <w:lang w:val="en-US"/>
      </w:rPr>
      <w:t>3007</w:t>
    </w:r>
    <w:r>
      <w:rPr>
        <w:rFonts w:ascii="Times New Roman" w:hAnsi="Times New Roman"/>
        <w:sz w:val="20"/>
      </w:rPr>
      <w:t>21_</w:t>
    </w:r>
    <w:r>
      <w:rPr>
        <w:rFonts w:ascii="Times New Roman" w:hAnsi="Times New Roman"/>
        <w:sz w:val="20"/>
        <w:lang w:val="en-US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A4C5" w14:textId="77777777" w:rsidR="000135E2" w:rsidRDefault="000135E2">
      <w:r>
        <w:separator/>
      </w:r>
    </w:p>
  </w:footnote>
  <w:footnote w:type="continuationSeparator" w:id="0">
    <w:p w14:paraId="6F5D28C3" w14:textId="77777777" w:rsidR="000135E2" w:rsidRDefault="0001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7A0C" w14:textId="77777777" w:rsidR="0093027C" w:rsidRDefault="00663350">
    <w:pPr>
      <w:pStyle w:val="Header"/>
      <w:framePr w:wrap="around" w:hAnchor="text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21AFDA28" w14:textId="77777777" w:rsidR="0093027C" w:rsidRDefault="0093027C">
    <w:pPr>
      <w:pStyle w:val="Header"/>
    </w:pPr>
  </w:p>
  <w:p w14:paraId="7250E20E" w14:textId="77777777" w:rsidR="0093027C" w:rsidRDefault="009302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4B49" w14:textId="77777777" w:rsidR="0093027C" w:rsidRDefault="00663350">
    <w:pPr>
      <w:pStyle w:val="Header"/>
      <w:framePr w:wrap="around" w:hAnchor="text" w:xAlign="center" w:y="1"/>
      <w:rPr>
        <w:rStyle w:val="PageNumber"/>
        <w:sz w:val="24"/>
      </w:rPr>
    </w:pPr>
    <w:r>
      <w:rPr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PageNumber"/>
        <w:sz w:val="24"/>
        <w:lang w:val="en-US"/>
      </w:rPr>
      <w:t>6</w:t>
    </w:r>
    <w:r>
      <w:rPr>
        <w:sz w:val="24"/>
      </w:rPr>
      <w:fldChar w:fldCharType="end"/>
    </w:r>
  </w:p>
  <w:p w14:paraId="050562BE" w14:textId="77777777" w:rsidR="0093027C" w:rsidRDefault="009302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5751"/>
    <w:rsid w:val="000010B2"/>
    <w:rsid w:val="000055B3"/>
    <w:rsid w:val="00010AC5"/>
    <w:rsid w:val="00010BF1"/>
    <w:rsid w:val="00012AED"/>
    <w:rsid w:val="000135E2"/>
    <w:rsid w:val="000136FA"/>
    <w:rsid w:val="00020648"/>
    <w:rsid w:val="00027D2F"/>
    <w:rsid w:val="00030E07"/>
    <w:rsid w:val="00030EA7"/>
    <w:rsid w:val="0004266E"/>
    <w:rsid w:val="00051A3D"/>
    <w:rsid w:val="000564EB"/>
    <w:rsid w:val="0006070D"/>
    <w:rsid w:val="000628E8"/>
    <w:rsid w:val="00067B16"/>
    <w:rsid w:val="000707D7"/>
    <w:rsid w:val="00073B09"/>
    <w:rsid w:val="00081551"/>
    <w:rsid w:val="00087DC3"/>
    <w:rsid w:val="00096FD2"/>
    <w:rsid w:val="000A0791"/>
    <w:rsid w:val="000A32AA"/>
    <w:rsid w:val="000A5626"/>
    <w:rsid w:val="000B3666"/>
    <w:rsid w:val="000B472A"/>
    <w:rsid w:val="000C7FF7"/>
    <w:rsid w:val="000D06AE"/>
    <w:rsid w:val="000D1760"/>
    <w:rsid w:val="000D44C9"/>
    <w:rsid w:val="000F33DF"/>
    <w:rsid w:val="000F656E"/>
    <w:rsid w:val="00115C0D"/>
    <w:rsid w:val="001224A1"/>
    <w:rsid w:val="00124A15"/>
    <w:rsid w:val="00124A88"/>
    <w:rsid w:val="00126131"/>
    <w:rsid w:val="0013555F"/>
    <w:rsid w:val="00140F8C"/>
    <w:rsid w:val="001422EE"/>
    <w:rsid w:val="001562B7"/>
    <w:rsid w:val="00157FB8"/>
    <w:rsid w:val="0017095D"/>
    <w:rsid w:val="001715A6"/>
    <w:rsid w:val="0017327B"/>
    <w:rsid w:val="00181BD4"/>
    <w:rsid w:val="00184FCF"/>
    <w:rsid w:val="00194491"/>
    <w:rsid w:val="001950D1"/>
    <w:rsid w:val="00196E0C"/>
    <w:rsid w:val="001A4A1D"/>
    <w:rsid w:val="001A4B64"/>
    <w:rsid w:val="001B1146"/>
    <w:rsid w:val="001B16C5"/>
    <w:rsid w:val="001B5A06"/>
    <w:rsid w:val="001C15F8"/>
    <w:rsid w:val="001C180D"/>
    <w:rsid w:val="001C36D0"/>
    <w:rsid w:val="001C4C77"/>
    <w:rsid w:val="001D04CA"/>
    <w:rsid w:val="001E4AF2"/>
    <w:rsid w:val="001E5A95"/>
    <w:rsid w:val="001E5B26"/>
    <w:rsid w:val="00212DF4"/>
    <w:rsid w:val="0021686D"/>
    <w:rsid w:val="0022553D"/>
    <w:rsid w:val="00231B20"/>
    <w:rsid w:val="00232E32"/>
    <w:rsid w:val="00234B9A"/>
    <w:rsid w:val="00235B21"/>
    <w:rsid w:val="00235E51"/>
    <w:rsid w:val="00236508"/>
    <w:rsid w:val="00237CED"/>
    <w:rsid w:val="0025227F"/>
    <w:rsid w:val="00271788"/>
    <w:rsid w:val="00274C24"/>
    <w:rsid w:val="002851DA"/>
    <w:rsid w:val="00291E2E"/>
    <w:rsid w:val="002953B5"/>
    <w:rsid w:val="002A248F"/>
    <w:rsid w:val="002A4AC3"/>
    <w:rsid w:val="002A59A1"/>
    <w:rsid w:val="002B3444"/>
    <w:rsid w:val="002B3BB3"/>
    <w:rsid w:val="002B60B6"/>
    <w:rsid w:val="002B7E15"/>
    <w:rsid w:val="002C0940"/>
    <w:rsid w:val="002C44D1"/>
    <w:rsid w:val="002C6777"/>
    <w:rsid w:val="002C78AC"/>
    <w:rsid w:val="002C7A54"/>
    <w:rsid w:val="002D1CB0"/>
    <w:rsid w:val="002D6296"/>
    <w:rsid w:val="002E0B6F"/>
    <w:rsid w:val="002E3677"/>
    <w:rsid w:val="002F3062"/>
    <w:rsid w:val="00305C57"/>
    <w:rsid w:val="00305DAC"/>
    <w:rsid w:val="003064B0"/>
    <w:rsid w:val="00310D50"/>
    <w:rsid w:val="0031678C"/>
    <w:rsid w:val="003174FD"/>
    <w:rsid w:val="0032517E"/>
    <w:rsid w:val="00326228"/>
    <w:rsid w:val="00331CB1"/>
    <w:rsid w:val="00340CBF"/>
    <w:rsid w:val="00345DF8"/>
    <w:rsid w:val="00352E7D"/>
    <w:rsid w:val="00354385"/>
    <w:rsid w:val="00355D19"/>
    <w:rsid w:val="0036069A"/>
    <w:rsid w:val="00360E53"/>
    <w:rsid w:val="00361453"/>
    <w:rsid w:val="00366B23"/>
    <w:rsid w:val="0037477D"/>
    <w:rsid w:val="00377F37"/>
    <w:rsid w:val="003A3BF7"/>
    <w:rsid w:val="003A4082"/>
    <w:rsid w:val="003A4B73"/>
    <w:rsid w:val="003A5290"/>
    <w:rsid w:val="003A66D8"/>
    <w:rsid w:val="003A736B"/>
    <w:rsid w:val="003B15F0"/>
    <w:rsid w:val="003C0BAA"/>
    <w:rsid w:val="003C1A38"/>
    <w:rsid w:val="003C5BFB"/>
    <w:rsid w:val="003C614F"/>
    <w:rsid w:val="003C79C0"/>
    <w:rsid w:val="003D1A6B"/>
    <w:rsid w:val="003D1D9A"/>
    <w:rsid w:val="003D696D"/>
    <w:rsid w:val="003E0707"/>
    <w:rsid w:val="003E617C"/>
    <w:rsid w:val="003F4F27"/>
    <w:rsid w:val="003F5473"/>
    <w:rsid w:val="003F593F"/>
    <w:rsid w:val="003F6F22"/>
    <w:rsid w:val="0040163D"/>
    <w:rsid w:val="00401A28"/>
    <w:rsid w:val="00403484"/>
    <w:rsid w:val="00404781"/>
    <w:rsid w:val="00407B25"/>
    <w:rsid w:val="00411130"/>
    <w:rsid w:val="00420616"/>
    <w:rsid w:val="004458C5"/>
    <w:rsid w:val="00460813"/>
    <w:rsid w:val="00460B7B"/>
    <w:rsid w:val="004612DA"/>
    <w:rsid w:val="00461FB2"/>
    <w:rsid w:val="00462567"/>
    <w:rsid w:val="00465D8A"/>
    <w:rsid w:val="004709BC"/>
    <w:rsid w:val="00472C17"/>
    <w:rsid w:val="0047671D"/>
    <w:rsid w:val="004838A1"/>
    <w:rsid w:val="00492358"/>
    <w:rsid w:val="0049483B"/>
    <w:rsid w:val="004A4FBF"/>
    <w:rsid w:val="004A67CD"/>
    <w:rsid w:val="004A6D9C"/>
    <w:rsid w:val="004C403B"/>
    <w:rsid w:val="004C6373"/>
    <w:rsid w:val="004D0057"/>
    <w:rsid w:val="004D05BE"/>
    <w:rsid w:val="004D2D13"/>
    <w:rsid w:val="004D5B07"/>
    <w:rsid w:val="004E3136"/>
    <w:rsid w:val="004E3167"/>
    <w:rsid w:val="004E4E8C"/>
    <w:rsid w:val="004E6AD7"/>
    <w:rsid w:val="004F4761"/>
    <w:rsid w:val="00500D32"/>
    <w:rsid w:val="00501B24"/>
    <w:rsid w:val="00501EDF"/>
    <w:rsid w:val="00510831"/>
    <w:rsid w:val="0051198D"/>
    <w:rsid w:val="00512B37"/>
    <w:rsid w:val="0051326F"/>
    <w:rsid w:val="00513CCC"/>
    <w:rsid w:val="00513D00"/>
    <w:rsid w:val="005141D8"/>
    <w:rsid w:val="00525751"/>
    <w:rsid w:val="00527620"/>
    <w:rsid w:val="00533BAD"/>
    <w:rsid w:val="005340A5"/>
    <w:rsid w:val="00537D5E"/>
    <w:rsid w:val="005403A1"/>
    <w:rsid w:val="00543B5B"/>
    <w:rsid w:val="0055232E"/>
    <w:rsid w:val="00553B16"/>
    <w:rsid w:val="0056493E"/>
    <w:rsid w:val="005658A3"/>
    <w:rsid w:val="00566B22"/>
    <w:rsid w:val="00580257"/>
    <w:rsid w:val="005A6CD9"/>
    <w:rsid w:val="005A6EFE"/>
    <w:rsid w:val="005B00B5"/>
    <w:rsid w:val="005B01A6"/>
    <w:rsid w:val="005B04EF"/>
    <w:rsid w:val="005B50BF"/>
    <w:rsid w:val="005B6798"/>
    <w:rsid w:val="005C41FC"/>
    <w:rsid w:val="005C58FA"/>
    <w:rsid w:val="005C6794"/>
    <w:rsid w:val="005C689E"/>
    <w:rsid w:val="005D4DAA"/>
    <w:rsid w:val="005D610D"/>
    <w:rsid w:val="005D63D9"/>
    <w:rsid w:val="005E11F4"/>
    <w:rsid w:val="005E4EB9"/>
    <w:rsid w:val="005F2A31"/>
    <w:rsid w:val="005F3DB3"/>
    <w:rsid w:val="00601A5D"/>
    <w:rsid w:val="0061041D"/>
    <w:rsid w:val="0062698D"/>
    <w:rsid w:val="006307DA"/>
    <w:rsid w:val="00635A55"/>
    <w:rsid w:val="00635F4D"/>
    <w:rsid w:val="006458FB"/>
    <w:rsid w:val="00655E3D"/>
    <w:rsid w:val="0065633A"/>
    <w:rsid w:val="00663350"/>
    <w:rsid w:val="006644FD"/>
    <w:rsid w:val="0066588A"/>
    <w:rsid w:val="00673F25"/>
    <w:rsid w:val="00676CFA"/>
    <w:rsid w:val="00681D91"/>
    <w:rsid w:val="00690842"/>
    <w:rsid w:val="006947FB"/>
    <w:rsid w:val="006953A4"/>
    <w:rsid w:val="00697460"/>
    <w:rsid w:val="006A13B0"/>
    <w:rsid w:val="006A3D4C"/>
    <w:rsid w:val="006A746C"/>
    <w:rsid w:val="006B0B97"/>
    <w:rsid w:val="006B2793"/>
    <w:rsid w:val="006B558C"/>
    <w:rsid w:val="006B6B29"/>
    <w:rsid w:val="006C144F"/>
    <w:rsid w:val="006C1CEF"/>
    <w:rsid w:val="006D1355"/>
    <w:rsid w:val="006D1721"/>
    <w:rsid w:val="006D340C"/>
    <w:rsid w:val="006E0430"/>
    <w:rsid w:val="006E5F15"/>
    <w:rsid w:val="006F1701"/>
    <w:rsid w:val="006F303B"/>
    <w:rsid w:val="006F3C27"/>
    <w:rsid w:val="006F422C"/>
    <w:rsid w:val="006F43A5"/>
    <w:rsid w:val="006F5496"/>
    <w:rsid w:val="0072007E"/>
    <w:rsid w:val="007361BA"/>
    <w:rsid w:val="0074238E"/>
    <w:rsid w:val="007467DB"/>
    <w:rsid w:val="007507FB"/>
    <w:rsid w:val="00750EC3"/>
    <w:rsid w:val="0075447E"/>
    <w:rsid w:val="00764DD7"/>
    <w:rsid w:val="00767C6D"/>
    <w:rsid w:val="007733C2"/>
    <w:rsid w:val="00776F1D"/>
    <w:rsid w:val="00780035"/>
    <w:rsid w:val="00791EDF"/>
    <w:rsid w:val="00792296"/>
    <w:rsid w:val="007A25FC"/>
    <w:rsid w:val="007A5955"/>
    <w:rsid w:val="007B3BF1"/>
    <w:rsid w:val="007B48DF"/>
    <w:rsid w:val="007B49CB"/>
    <w:rsid w:val="007C0FCC"/>
    <w:rsid w:val="007C5276"/>
    <w:rsid w:val="007C61F0"/>
    <w:rsid w:val="007D431D"/>
    <w:rsid w:val="007E185B"/>
    <w:rsid w:val="007E68FB"/>
    <w:rsid w:val="007F3675"/>
    <w:rsid w:val="007F3FD2"/>
    <w:rsid w:val="007F7500"/>
    <w:rsid w:val="00801E09"/>
    <w:rsid w:val="00802A5B"/>
    <w:rsid w:val="00803E4A"/>
    <w:rsid w:val="008041D7"/>
    <w:rsid w:val="0081219F"/>
    <w:rsid w:val="00812D44"/>
    <w:rsid w:val="00827103"/>
    <w:rsid w:val="00834D81"/>
    <w:rsid w:val="008375BB"/>
    <w:rsid w:val="00840744"/>
    <w:rsid w:val="00840F82"/>
    <w:rsid w:val="008456CB"/>
    <w:rsid w:val="00845AA1"/>
    <w:rsid w:val="00853796"/>
    <w:rsid w:val="00856BA2"/>
    <w:rsid w:val="00866603"/>
    <w:rsid w:val="00867387"/>
    <w:rsid w:val="00870BC3"/>
    <w:rsid w:val="008729AC"/>
    <w:rsid w:val="00873197"/>
    <w:rsid w:val="00887CF8"/>
    <w:rsid w:val="0089025E"/>
    <w:rsid w:val="00890E32"/>
    <w:rsid w:val="0089168E"/>
    <w:rsid w:val="008A139A"/>
    <w:rsid w:val="008B2F79"/>
    <w:rsid w:val="008B59B0"/>
    <w:rsid w:val="008C0FDE"/>
    <w:rsid w:val="008C13AB"/>
    <w:rsid w:val="008C431E"/>
    <w:rsid w:val="008E20D2"/>
    <w:rsid w:val="008E79F7"/>
    <w:rsid w:val="008F1F5F"/>
    <w:rsid w:val="008F7352"/>
    <w:rsid w:val="00900C55"/>
    <w:rsid w:val="0090301C"/>
    <w:rsid w:val="0090513E"/>
    <w:rsid w:val="00906F93"/>
    <w:rsid w:val="0091024A"/>
    <w:rsid w:val="00912F2A"/>
    <w:rsid w:val="00917EA5"/>
    <w:rsid w:val="009276B4"/>
    <w:rsid w:val="0093027C"/>
    <w:rsid w:val="0093353F"/>
    <w:rsid w:val="00936774"/>
    <w:rsid w:val="00937569"/>
    <w:rsid w:val="009404B9"/>
    <w:rsid w:val="00940795"/>
    <w:rsid w:val="00941F7C"/>
    <w:rsid w:val="00946E8A"/>
    <w:rsid w:val="00947CD7"/>
    <w:rsid w:val="00963677"/>
    <w:rsid w:val="009655F7"/>
    <w:rsid w:val="00967E24"/>
    <w:rsid w:val="00972565"/>
    <w:rsid w:val="00983E75"/>
    <w:rsid w:val="00984E17"/>
    <w:rsid w:val="00990D47"/>
    <w:rsid w:val="0099264B"/>
    <w:rsid w:val="00995BA9"/>
    <w:rsid w:val="009A23BB"/>
    <w:rsid w:val="009A4E19"/>
    <w:rsid w:val="009A50C6"/>
    <w:rsid w:val="009A543A"/>
    <w:rsid w:val="009B7418"/>
    <w:rsid w:val="009C26B0"/>
    <w:rsid w:val="009D1311"/>
    <w:rsid w:val="009E188C"/>
    <w:rsid w:val="009E361B"/>
    <w:rsid w:val="009F2179"/>
    <w:rsid w:val="009F2816"/>
    <w:rsid w:val="009F396A"/>
    <w:rsid w:val="009F42E4"/>
    <w:rsid w:val="009F7F71"/>
    <w:rsid w:val="00A02280"/>
    <w:rsid w:val="00A0726C"/>
    <w:rsid w:val="00A07E7F"/>
    <w:rsid w:val="00A116F4"/>
    <w:rsid w:val="00A1400A"/>
    <w:rsid w:val="00A15990"/>
    <w:rsid w:val="00A1602F"/>
    <w:rsid w:val="00A260D2"/>
    <w:rsid w:val="00A36914"/>
    <w:rsid w:val="00A45B38"/>
    <w:rsid w:val="00A53D4C"/>
    <w:rsid w:val="00A53DD0"/>
    <w:rsid w:val="00A56F2F"/>
    <w:rsid w:val="00A64F9D"/>
    <w:rsid w:val="00A65C19"/>
    <w:rsid w:val="00A670AE"/>
    <w:rsid w:val="00A70B53"/>
    <w:rsid w:val="00A73174"/>
    <w:rsid w:val="00A76F0D"/>
    <w:rsid w:val="00A85489"/>
    <w:rsid w:val="00A85976"/>
    <w:rsid w:val="00A903C0"/>
    <w:rsid w:val="00A927A2"/>
    <w:rsid w:val="00A92837"/>
    <w:rsid w:val="00A951BE"/>
    <w:rsid w:val="00A96363"/>
    <w:rsid w:val="00AA29EC"/>
    <w:rsid w:val="00AA5EA9"/>
    <w:rsid w:val="00AB3B39"/>
    <w:rsid w:val="00AB426F"/>
    <w:rsid w:val="00AB56AC"/>
    <w:rsid w:val="00AB5F9C"/>
    <w:rsid w:val="00AB6144"/>
    <w:rsid w:val="00AC0F97"/>
    <w:rsid w:val="00AD6686"/>
    <w:rsid w:val="00AD681B"/>
    <w:rsid w:val="00AE049A"/>
    <w:rsid w:val="00AE289D"/>
    <w:rsid w:val="00AE729F"/>
    <w:rsid w:val="00B00BDD"/>
    <w:rsid w:val="00B03467"/>
    <w:rsid w:val="00B03F23"/>
    <w:rsid w:val="00B07615"/>
    <w:rsid w:val="00B07B30"/>
    <w:rsid w:val="00B12331"/>
    <w:rsid w:val="00B17335"/>
    <w:rsid w:val="00B25750"/>
    <w:rsid w:val="00B27708"/>
    <w:rsid w:val="00B300D7"/>
    <w:rsid w:val="00B366A5"/>
    <w:rsid w:val="00B55713"/>
    <w:rsid w:val="00B63662"/>
    <w:rsid w:val="00B63928"/>
    <w:rsid w:val="00B716DF"/>
    <w:rsid w:val="00B72CA2"/>
    <w:rsid w:val="00B82C48"/>
    <w:rsid w:val="00B8781F"/>
    <w:rsid w:val="00B95D04"/>
    <w:rsid w:val="00BB37A4"/>
    <w:rsid w:val="00BC68AA"/>
    <w:rsid w:val="00BD1DDE"/>
    <w:rsid w:val="00BD3093"/>
    <w:rsid w:val="00BD516B"/>
    <w:rsid w:val="00BD6380"/>
    <w:rsid w:val="00BE6281"/>
    <w:rsid w:val="00BF0E27"/>
    <w:rsid w:val="00C01BCF"/>
    <w:rsid w:val="00C020A1"/>
    <w:rsid w:val="00C047E4"/>
    <w:rsid w:val="00C10BA1"/>
    <w:rsid w:val="00C11425"/>
    <w:rsid w:val="00C11CD2"/>
    <w:rsid w:val="00C14301"/>
    <w:rsid w:val="00C26796"/>
    <w:rsid w:val="00C31159"/>
    <w:rsid w:val="00C47E4B"/>
    <w:rsid w:val="00C6128B"/>
    <w:rsid w:val="00C643B7"/>
    <w:rsid w:val="00C72D84"/>
    <w:rsid w:val="00C738DE"/>
    <w:rsid w:val="00C75F90"/>
    <w:rsid w:val="00C801BE"/>
    <w:rsid w:val="00C865A7"/>
    <w:rsid w:val="00C90E98"/>
    <w:rsid w:val="00C93A5E"/>
    <w:rsid w:val="00CA3F39"/>
    <w:rsid w:val="00CA7416"/>
    <w:rsid w:val="00CA7F0B"/>
    <w:rsid w:val="00CB4158"/>
    <w:rsid w:val="00CC2E10"/>
    <w:rsid w:val="00CC5A1B"/>
    <w:rsid w:val="00CC7EEA"/>
    <w:rsid w:val="00CE050D"/>
    <w:rsid w:val="00CE73C4"/>
    <w:rsid w:val="00CF1F7E"/>
    <w:rsid w:val="00CF5F15"/>
    <w:rsid w:val="00CF7AD4"/>
    <w:rsid w:val="00D06BC5"/>
    <w:rsid w:val="00D11580"/>
    <w:rsid w:val="00D169D9"/>
    <w:rsid w:val="00D204D3"/>
    <w:rsid w:val="00D20D57"/>
    <w:rsid w:val="00D25FBF"/>
    <w:rsid w:val="00D311E8"/>
    <w:rsid w:val="00D35BB9"/>
    <w:rsid w:val="00D42EF6"/>
    <w:rsid w:val="00D47F14"/>
    <w:rsid w:val="00D51233"/>
    <w:rsid w:val="00D548DE"/>
    <w:rsid w:val="00D54D8A"/>
    <w:rsid w:val="00D56E80"/>
    <w:rsid w:val="00D61806"/>
    <w:rsid w:val="00D622F6"/>
    <w:rsid w:val="00D630A7"/>
    <w:rsid w:val="00D65052"/>
    <w:rsid w:val="00D66A05"/>
    <w:rsid w:val="00D711C3"/>
    <w:rsid w:val="00D73781"/>
    <w:rsid w:val="00D75A66"/>
    <w:rsid w:val="00D807C2"/>
    <w:rsid w:val="00D87D73"/>
    <w:rsid w:val="00D95C99"/>
    <w:rsid w:val="00D97BF1"/>
    <w:rsid w:val="00DB61BC"/>
    <w:rsid w:val="00DB62F4"/>
    <w:rsid w:val="00DC369E"/>
    <w:rsid w:val="00DC6FA7"/>
    <w:rsid w:val="00DD0F18"/>
    <w:rsid w:val="00DD1DE0"/>
    <w:rsid w:val="00DD2546"/>
    <w:rsid w:val="00DD672E"/>
    <w:rsid w:val="00DE67D9"/>
    <w:rsid w:val="00DF1550"/>
    <w:rsid w:val="00DF391F"/>
    <w:rsid w:val="00E1070D"/>
    <w:rsid w:val="00E24090"/>
    <w:rsid w:val="00E26280"/>
    <w:rsid w:val="00E263D7"/>
    <w:rsid w:val="00E30778"/>
    <w:rsid w:val="00E40F09"/>
    <w:rsid w:val="00E431D5"/>
    <w:rsid w:val="00E45A0B"/>
    <w:rsid w:val="00E56E78"/>
    <w:rsid w:val="00E61AA8"/>
    <w:rsid w:val="00E6733B"/>
    <w:rsid w:val="00E67D0F"/>
    <w:rsid w:val="00E715AD"/>
    <w:rsid w:val="00E75804"/>
    <w:rsid w:val="00E81CBF"/>
    <w:rsid w:val="00E83609"/>
    <w:rsid w:val="00E916D5"/>
    <w:rsid w:val="00E953B6"/>
    <w:rsid w:val="00E953E3"/>
    <w:rsid w:val="00EA17E6"/>
    <w:rsid w:val="00EA30E2"/>
    <w:rsid w:val="00EA6940"/>
    <w:rsid w:val="00EA6F3D"/>
    <w:rsid w:val="00EA7D11"/>
    <w:rsid w:val="00EB5A5F"/>
    <w:rsid w:val="00EB7B96"/>
    <w:rsid w:val="00EC1917"/>
    <w:rsid w:val="00EC3780"/>
    <w:rsid w:val="00EC40AE"/>
    <w:rsid w:val="00EC697C"/>
    <w:rsid w:val="00ED3A97"/>
    <w:rsid w:val="00ED6D05"/>
    <w:rsid w:val="00EE3D10"/>
    <w:rsid w:val="00EF6A57"/>
    <w:rsid w:val="00EF725B"/>
    <w:rsid w:val="00F12E70"/>
    <w:rsid w:val="00F135E8"/>
    <w:rsid w:val="00F1521C"/>
    <w:rsid w:val="00F211E7"/>
    <w:rsid w:val="00F21962"/>
    <w:rsid w:val="00F25196"/>
    <w:rsid w:val="00F26AD0"/>
    <w:rsid w:val="00F26E85"/>
    <w:rsid w:val="00F41F80"/>
    <w:rsid w:val="00F43511"/>
    <w:rsid w:val="00F462E1"/>
    <w:rsid w:val="00F46347"/>
    <w:rsid w:val="00F63BE9"/>
    <w:rsid w:val="00F64A15"/>
    <w:rsid w:val="00F64E4E"/>
    <w:rsid w:val="00F724FA"/>
    <w:rsid w:val="00F82421"/>
    <w:rsid w:val="00F828D1"/>
    <w:rsid w:val="00F90912"/>
    <w:rsid w:val="00F92E9A"/>
    <w:rsid w:val="00F94240"/>
    <w:rsid w:val="00F94364"/>
    <w:rsid w:val="00F96A8F"/>
    <w:rsid w:val="00FA2412"/>
    <w:rsid w:val="00FB3AAC"/>
    <w:rsid w:val="00FC2BC8"/>
    <w:rsid w:val="00FC41D8"/>
    <w:rsid w:val="00FD3916"/>
    <w:rsid w:val="00FD7F41"/>
    <w:rsid w:val="00FE04FB"/>
    <w:rsid w:val="00FE087F"/>
    <w:rsid w:val="00FF573B"/>
    <w:rsid w:val="0EEB13BE"/>
    <w:rsid w:val="2B1F05D9"/>
    <w:rsid w:val="3B5052E4"/>
    <w:rsid w:val="450A18AC"/>
    <w:rsid w:val="50D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59C3"/>
  <w15:chartTrackingRefBased/>
  <w15:docId w15:val="{1827481D-1028-4E7E-9425-64D5D452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lv-LV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120"/>
      <w:ind w:firstLine="709"/>
      <w:jc w:val="both"/>
      <w:outlineLvl w:val="1"/>
    </w:pPr>
    <w:rPr>
      <w:rFonts w:cs="Arial"/>
      <w:b/>
      <w:bCs/>
      <w:iCs/>
      <w:szCs w:val="28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uiPriority w:val="99"/>
    <w:unhideWhenUsed/>
    <w:rPr>
      <w:color w:val="605E5C"/>
      <w:shd w:val="clear" w:color="auto" w:fill="E1DFDD"/>
    </w:rPr>
  </w:style>
  <w:style w:type="character" w:styleId="PageNumber">
    <w:name w:val="page number"/>
    <w:basedOn w:val="DefaultParagraphFont"/>
  </w:style>
  <w:style w:type="character" w:customStyle="1" w:styleId="BodyText2Char">
    <w:name w:val="Body Text 2 Char"/>
    <w:link w:val="BodyText2"/>
    <w:rPr>
      <w:sz w:val="28"/>
      <w:lang w:eastAsia="en-US"/>
    </w:rPr>
  </w:style>
  <w:style w:type="character" w:customStyle="1" w:styleId="Heading3Char">
    <w:name w:val="Heading 3 Char"/>
    <w:link w:val="Heading3"/>
    <w:rPr>
      <w:rFonts w:ascii="Arial" w:hAnsi="Arial" w:cs="Arial"/>
      <w:b/>
      <w:bCs/>
      <w:sz w:val="26"/>
      <w:szCs w:val="26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240"/>
      <w:ind w:firstLine="720"/>
    </w:p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customStyle="1" w:styleId="StyleHeading11">
    <w:name w:val="Style Heading 1 +1"/>
    <w:basedOn w:val="Heading1"/>
    <w:pPr>
      <w:spacing w:before="0" w:after="0"/>
      <w:ind w:left="4140"/>
      <w:jc w:val="right"/>
    </w:pPr>
    <w:rPr>
      <w:rFonts w:ascii="Times New Roman" w:hAnsi="Times New Roman"/>
      <w:kern w:val="0"/>
      <w:sz w:val="2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before="120" w:line="312" w:lineRule="auto"/>
      <w:jc w:val="both"/>
    </w:pPr>
    <w:rPr>
      <w:sz w:val="20"/>
      <w:lang w:val="en-GB"/>
    </w:rPr>
  </w:style>
  <w:style w:type="paragraph" w:styleId="BlockText">
    <w:name w:val="Block Text"/>
    <w:basedOn w:val="Normal"/>
    <w:pPr>
      <w:ind w:left="-57" w:right="-57"/>
    </w:pPr>
  </w:style>
  <w:style w:type="paragraph" w:styleId="BodyText">
    <w:name w:val="Body Text"/>
    <w:basedOn w:val="Normal"/>
    <w:pPr>
      <w:jc w:val="both"/>
    </w:pPr>
    <w:rPr>
      <w:lang w:val="en-AU"/>
    </w:rPr>
  </w:style>
  <w:style w:type="paragraph" w:customStyle="1" w:styleId="naisf">
    <w:name w:val="naisf"/>
    <w:basedOn w:val="Normal"/>
    <w:pPr>
      <w:spacing w:before="100" w:after="100"/>
      <w:jc w:val="both"/>
    </w:pPr>
    <w:rPr>
      <w:sz w:val="24"/>
      <w:lang w:val="en-GB"/>
    </w:rPr>
  </w:style>
  <w:style w:type="paragraph" w:customStyle="1" w:styleId="naisvisr">
    <w:name w:val="naisvisr"/>
    <w:basedOn w:val="Normal"/>
    <w:pPr>
      <w:spacing w:before="136" w:after="136"/>
      <w:jc w:val="center"/>
    </w:pPr>
    <w:rPr>
      <w:b/>
      <w:bCs/>
      <w:szCs w:val="28"/>
      <w:lang w:eastAsia="lv-LV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RimTimes" w:hAnsi="RimTimes"/>
      <w:snapToGrid w:val="0"/>
    </w:rPr>
  </w:style>
  <w:style w:type="paragraph" w:customStyle="1" w:styleId="RakstzRakstzRakstzRakstz">
    <w:name w:val="Rakstz. Rakstz. Rakstz. Rakstz."/>
    <w:basedOn w:val="Normal"/>
    <w:pPr>
      <w:spacing w:before="4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2768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
„Par Kopējās aviācijas telpas nolīgumu starp Eiropas Savienību un tās dalībvalstīm, no vienas puses, un Armēnijas Republiku, no otras puses”
sākotnējās ietekmes novērtējuma ziņojums (anotācija)</vt:lpstr>
    </vt:vector>
  </TitlesOfParts>
  <Company>Satiksmes ministrija</Company>
  <LinksUpToDate>false</LinksUpToDate>
  <CharactersWithSpaces>4338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mailto:ilze.bolsija@sam.gov.lv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
„Par Kopējās aviācijas telpas nolīgumu starp Eiropas Savienību un tās dalībvalstīm, no vienas puses, un Armēnijas Republiku, no otras puses”
sākotnējās ietekmes novērtējuma ziņojums (anotācija)</dc:title>
  <dc:subject>Anotācija</dc:subject>
  <dc:creator>I.Boļšija</dc:creator>
  <cp:keywords/>
  <dc:description>tālr. 67028256
ilze.bolsija@sam.gov.lv</dc:description>
  <cp:lastModifiedBy>Baiba Jirgena</cp:lastModifiedBy>
  <cp:revision>5</cp:revision>
  <cp:lastPrinted>2019-01-31T07:53:00Z</cp:lastPrinted>
  <dcterms:created xsi:type="dcterms:W3CDTF">2021-07-26T11:43:00Z</dcterms:created>
  <dcterms:modified xsi:type="dcterms:W3CDTF">2021-08-04T12:55:00Z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1033-11.2.0.9739</vt:lpwstr>
  </property>
</Properties>
</file>