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6"/>
        <w:rPr>
          <w:rFonts w:ascii="Times New Roman" w:hAnsi="Times New Roman"/>
          <w:sz w:val="24"/>
          <w:szCs w:val="24"/>
        </w:rPr>
      </w:pPr>
      <w:r>
        <w:rPr>
          <w:rFonts w:ascii="Times New Roman" w:hAnsi="Times New Roman"/>
          <w:sz w:val="24"/>
          <w:szCs w:val="24"/>
        </w:rPr>
        <w:t xml:space="preserve">Likumprojekta </w:t>
      </w:r>
    </w:p>
    <w:p>
      <w:pPr>
        <w:pStyle w:val="16"/>
        <w:rPr>
          <w:rFonts w:ascii="Times New Roman" w:hAnsi="Times New Roman"/>
          <w:sz w:val="24"/>
          <w:szCs w:val="24"/>
        </w:rPr>
      </w:pPr>
      <w:r>
        <w:rPr>
          <w:rFonts w:ascii="Times New Roman" w:hAnsi="Times New Roman"/>
          <w:color w:val="000000"/>
          <w:sz w:val="24"/>
          <w:szCs w:val="24"/>
        </w:rPr>
        <w:t xml:space="preserve">„Par </w:t>
      </w:r>
      <w:r>
        <w:rPr>
          <w:rFonts w:ascii="Times New Roman" w:hAnsi="Times New Roman"/>
          <w:bCs/>
          <w:sz w:val="24"/>
          <w:szCs w:val="24"/>
        </w:rPr>
        <w:t>Nolīgumu par gaisa transportu starp Eiropas Savienību un tās dalībvalstīm, no vienas puses, un Kataras Valsti, no otras puses</w:t>
      </w:r>
      <w:r>
        <w:rPr>
          <w:rFonts w:ascii="Times New Roman" w:hAnsi="Times New Roman"/>
          <w:sz w:val="24"/>
          <w:szCs w:val="24"/>
        </w:rPr>
        <w:t xml:space="preserve">” </w:t>
      </w:r>
    </w:p>
    <w:p>
      <w:pPr>
        <w:pStyle w:val="16"/>
        <w:rPr>
          <w:rFonts w:ascii="Times New Roman" w:hAnsi="Times New Roman"/>
          <w:sz w:val="24"/>
          <w:szCs w:val="24"/>
        </w:rPr>
      </w:pPr>
      <w:r>
        <w:rPr>
          <w:rFonts w:ascii="Times New Roman" w:hAnsi="Times New Roman"/>
          <w:sz w:val="24"/>
          <w:szCs w:val="24"/>
        </w:rPr>
        <w:t>sākotnējās ietekmes novērtējuma ziņojums (anotācija)</w:t>
      </w:r>
    </w:p>
    <w:p>
      <w:pPr>
        <w:rPr>
          <w:rFonts w:ascii="Times New Roman" w:hAnsi="Times New Roman"/>
          <w:iCs/>
          <w:sz w:val="24"/>
          <w:szCs w:val="24"/>
          <w:lang w:eastAsia="lv-LV"/>
        </w:rPr>
      </w:pPr>
      <w:bookmarkStart w:id="0" w:name="_Hlk534208393"/>
    </w:p>
    <w:tbl>
      <w:tblPr>
        <w:tblStyle w:val="23"/>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2"/>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56" w:type="dxa"/>
            <w:gridSpan w:val="2"/>
          </w:tcPr>
          <w:p>
            <w:pPr>
              <w:jc w:val="center"/>
              <w:rPr>
                <w:rFonts w:ascii="Times New Roman" w:hAnsi="Times New Roman"/>
                <w:b/>
                <w:bCs/>
                <w:iCs/>
                <w:sz w:val="24"/>
                <w:szCs w:val="24"/>
                <w:lang w:eastAsia="lv-LV"/>
              </w:rPr>
            </w:pPr>
            <w:r>
              <w:rPr>
                <w:rFonts w:ascii="Times New Roman" w:hAnsi="Times New Roman"/>
                <w:b/>
                <w:bCs/>
                <w:iCs/>
                <w:sz w:val="24"/>
                <w:szCs w:val="24"/>
                <w:lang w:eastAsia="lv-LV"/>
              </w:rPr>
              <w:t>Tiesību akta projekta anotācijas kopsavilkums</w:t>
            </w:r>
          </w:p>
          <w:p>
            <w:pPr>
              <w:jc w:val="center"/>
              <w:rPr>
                <w:rFonts w:ascii="Times New Roman" w:hAnsi="Times New Roman"/>
                <w:b/>
                <w:sz w:val="24"/>
                <w:szCs w:val="24"/>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tcPr>
          <w:p>
            <w:pPr>
              <w:rPr>
                <w:rFonts w:ascii="Times New Roman" w:hAnsi="Times New Roman"/>
                <w:b/>
                <w:sz w:val="24"/>
                <w:szCs w:val="24"/>
                <w:lang w:eastAsia="ar-SA"/>
              </w:rPr>
            </w:pPr>
            <w:r>
              <w:rPr>
                <w:rFonts w:ascii="Times New Roman" w:hAnsi="Times New Roman"/>
                <w:iCs/>
                <w:sz w:val="24"/>
                <w:szCs w:val="24"/>
                <w:lang w:eastAsia="lv-LV"/>
              </w:rPr>
              <w:t>Mērķis, risinājums un projekta spēkā stāšanās laiks (500 zīmes bez atstarpēm)</w:t>
            </w:r>
          </w:p>
        </w:tc>
        <w:tc>
          <w:tcPr>
            <w:tcW w:w="6804" w:type="dxa"/>
          </w:tcPr>
          <w:p>
            <w:pPr>
              <w:jc w:val="both"/>
              <w:rPr>
                <w:rFonts w:ascii="Times New Roman" w:hAnsi="Times New Roman"/>
                <w:b/>
                <w:sz w:val="24"/>
                <w:szCs w:val="24"/>
                <w:lang w:eastAsia="ar-SA"/>
              </w:rPr>
            </w:pPr>
            <w:r>
              <w:rPr>
                <w:rFonts w:ascii="Times New Roman" w:hAnsi="Times New Roman"/>
                <w:sz w:val="24"/>
                <w:szCs w:val="24"/>
              </w:rPr>
              <w:t>Neaizpilda atbilstoši Ministru kabineta 2009 gada 15 decembra instrukcijas Nr.19 “Tiesību akta projekta sākotnējās ietekmes izvērtēšanas kārtība” 5.</w:t>
            </w:r>
            <w:r>
              <w:rPr>
                <w:rFonts w:ascii="Times New Roman" w:hAnsi="Times New Roman"/>
                <w:sz w:val="24"/>
                <w:szCs w:val="24"/>
                <w:vertAlign w:val="superscript"/>
              </w:rPr>
              <w:t xml:space="preserve">1 </w:t>
            </w:r>
            <w:r>
              <w:rPr>
                <w:rFonts w:ascii="Times New Roman" w:hAnsi="Times New Roman"/>
                <w:sz w:val="24"/>
                <w:szCs w:val="24"/>
              </w:rPr>
              <w:t>punktā noteiktajam.</w:t>
            </w:r>
          </w:p>
        </w:tc>
      </w:tr>
      <w:bookmarkEnd w:id="0"/>
    </w:tbl>
    <w:p>
      <w:pPr>
        <w:jc w:val="center"/>
        <w:rPr>
          <w:rFonts w:ascii="Times New Roman" w:hAnsi="Times New Roman"/>
          <w:sz w:val="24"/>
          <w:szCs w:val="24"/>
        </w:rPr>
      </w:pPr>
    </w:p>
    <w:tbl>
      <w:tblPr>
        <w:tblStyle w:val="23"/>
        <w:tblW w:w="4968" w:type="pct"/>
        <w:tblInd w:w="3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30" w:type="dxa"/>
          <w:left w:w="30" w:type="dxa"/>
          <w:bottom w:w="30" w:type="dxa"/>
          <w:right w:w="30" w:type="dxa"/>
        </w:tblCellMar>
      </w:tblPr>
      <w:tblGrid>
        <w:gridCol w:w="247"/>
        <w:gridCol w:w="2305"/>
        <w:gridCol w:w="6802"/>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5000" w:type="pct"/>
            <w:gridSpan w:val="3"/>
            <w:tcBorders>
              <w:top w:val="single" w:color="auto" w:sz="4" w:space="0"/>
              <w:left w:val="single" w:color="auto" w:sz="4" w:space="0"/>
              <w:bottom w:val="outset" w:color="000000" w:sz="6" w:space="0"/>
              <w:right w:val="single" w:color="auto" w:sz="4" w:space="0"/>
            </w:tcBorders>
            <w:vAlign w:val="center"/>
          </w:tcPr>
          <w:p>
            <w:pPr>
              <w:jc w:val="center"/>
              <w:rPr>
                <w:rFonts w:ascii="Times New Roman" w:hAnsi="Times New Roman"/>
                <w:b/>
                <w:bCs/>
                <w:sz w:val="24"/>
                <w:szCs w:val="24"/>
              </w:rPr>
            </w:pPr>
            <w:r>
              <w:rPr>
                <w:rFonts w:ascii="Times New Roman" w:hAnsi="Times New Roman"/>
                <w:b/>
                <w:bCs/>
                <w:sz w:val="24"/>
                <w:szCs w:val="24"/>
              </w:rPr>
              <w:t>I. Tiesību akta projekta izstrādes nepieciešamība</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132" w:type="pct"/>
            <w:tcBorders>
              <w:top w:val="outset" w:color="000000" w:sz="6" w:space="0"/>
              <w:left w:val="outset" w:color="000000" w:sz="6" w:space="0"/>
              <w:bottom w:val="outset" w:color="000000" w:sz="6" w:space="0"/>
              <w:right w:val="outset" w:color="000000" w:sz="6" w:space="0"/>
            </w:tcBorders>
          </w:tcPr>
          <w:p>
            <w:pPr>
              <w:rPr>
                <w:rFonts w:ascii="Times New Roman" w:hAnsi="Times New Roman"/>
                <w:sz w:val="24"/>
                <w:szCs w:val="24"/>
              </w:rPr>
            </w:pPr>
            <w:r>
              <w:rPr>
                <w:rFonts w:ascii="Times New Roman" w:hAnsi="Times New Roman"/>
                <w:sz w:val="24"/>
                <w:szCs w:val="24"/>
              </w:rPr>
              <w:t>1.</w:t>
            </w:r>
          </w:p>
        </w:tc>
        <w:tc>
          <w:tcPr>
            <w:tcW w:w="1232" w:type="pct"/>
            <w:tcBorders>
              <w:top w:val="outset" w:color="000000" w:sz="6" w:space="0"/>
              <w:left w:val="outset" w:color="000000" w:sz="6" w:space="0"/>
              <w:bottom w:val="outset" w:color="000000" w:sz="6" w:space="0"/>
              <w:right w:val="outset" w:color="000000" w:sz="6" w:space="0"/>
            </w:tcBorders>
          </w:tcPr>
          <w:p>
            <w:pPr>
              <w:rPr>
                <w:rFonts w:ascii="Times New Roman" w:hAnsi="Times New Roman"/>
                <w:sz w:val="24"/>
                <w:szCs w:val="24"/>
              </w:rPr>
            </w:pPr>
            <w:r>
              <w:rPr>
                <w:rFonts w:ascii="Times New Roman" w:hAnsi="Times New Roman"/>
                <w:sz w:val="24"/>
                <w:szCs w:val="24"/>
              </w:rPr>
              <w:t>Pamatojums</w:t>
            </w:r>
          </w:p>
        </w:tc>
        <w:tc>
          <w:tcPr>
            <w:tcW w:w="3635" w:type="pct"/>
            <w:tcBorders>
              <w:top w:val="outset" w:color="000000" w:sz="6" w:space="0"/>
              <w:left w:val="outset" w:color="000000" w:sz="6" w:space="0"/>
              <w:bottom w:val="outset" w:color="000000" w:sz="6" w:space="0"/>
              <w:right w:val="outset" w:color="000000" w:sz="6" w:space="0"/>
            </w:tcBorders>
          </w:tcPr>
          <w:p>
            <w:pPr>
              <w:ind w:left="114" w:right="148"/>
              <w:jc w:val="both"/>
              <w:rPr>
                <w:rFonts w:ascii="Times New Roman" w:hAnsi="Times New Roman"/>
                <w:sz w:val="24"/>
                <w:szCs w:val="24"/>
                <w:highlight w:val="yellow"/>
              </w:rPr>
            </w:pPr>
            <w:r>
              <w:rPr>
                <w:rFonts w:ascii="Times New Roman" w:hAnsi="Times New Roman"/>
                <w:sz w:val="24"/>
                <w:szCs w:val="24"/>
              </w:rPr>
              <w:t xml:space="preserve">Deklarācijas par Artura Krišjāņa Kariņa vadītā Ministru kabineta iecerēto darbību 92.punkts, kurā noteikts: “Turpinot attīstīt Rīgu kā nozīmīgu Ziemeļeiropas aviācijas mezglu, veicināsim </w:t>
            </w:r>
            <w:r>
              <w:rPr>
                <w:rFonts w:ascii="Times New Roman" w:hAnsi="Times New Roman"/>
                <w:i/>
                <w:iCs/>
                <w:sz w:val="24"/>
                <w:szCs w:val="24"/>
              </w:rPr>
              <w:t xml:space="preserve">Air Baltic </w:t>
            </w:r>
            <w:r>
              <w:rPr>
                <w:rFonts w:ascii="Times New Roman" w:hAnsi="Times New Roman"/>
                <w:sz w:val="24"/>
                <w:szCs w:val="24"/>
              </w:rPr>
              <w:t xml:space="preserve">biznesa plāna </w:t>
            </w:r>
            <w:r>
              <w:rPr>
                <w:rFonts w:ascii="Times New Roman" w:hAnsi="Times New Roman"/>
                <w:i/>
                <w:iCs/>
                <w:sz w:val="24"/>
                <w:szCs w:val="24"/>
              </w:rPr>
              <w:t xml:space="preserve">Destination 2025 </w:t>
            </w:r>
            <w:r>
              <w:rPr>
                <w:rFonts w:ascii="Times New Roman" w:hAnsi="Times New Roman"/>
                <w:sz w:val="24"/>
                <w:szCs w:val="24"/>
              </w:rPr>
              <w:t>sekmīgu īstenošanu un turpmāku lidostas infrastruktūras attīstību, kā arī celsim aviācijas nozarē strādājošo konkurētspēju”.</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132" w:type="pct"/>
            <w:tcBorders>
              <w:top w:val="outset" w:color="000000" w:sz="6" w:space="0"/>
              <w:left w:val="outset" w:color="000000" w:sz="6" w:space="0"/>
              <w:bottom w:val="outset" w:color="000000" w:sz="6" w:space="0"/>
              <w:right w:val="outset" w:color="000000" w:sz="6" w:space="0"/>
            </w:tcBorders>
          </w:tcPr>
          <w:p>
            <w:pPr>
              <w:rPr>
                <w:rFonts w:ascii="Times New Roman" w:hAnsi="Times New Roman"/>
                <w:sz w:val="24"/>
                <w:szCs w:val="24"/>
                <w:lang w:val="en-US"/>
              </w:rPr>
            </w:pPr>
            <w:r>
              <w:rPr>
                <w:rFonts w:ascii="Times New Roman" w:hAnsi="Times New Roman"/>
                <w:sz w:val="24"/>
                <w:szCs w:val="24"/>
                <w:lang w:val="en-US"/>
              </w:rPr>
              <w:t>2.</w:t>
            </w:r>
          </w:p>
        </w:tc>
        <w:tc>
          <w:tcPr>
            <w:tcW w:w="1232" w:type="pct"/>
            <w:tcBorders>
              <w:top w:val="outset" w:color="000000" w:sz="6" w:space="0"/>
              <w:left w:val="outset" w:color="000000" w:sz="6" w:space="0"/>
              <w:bottom w:val="outset" w:color="000000" w:sz="6" w:space="0"/>
              <w:right w:val="outset" w:color="000000" w:sz="6" w:space="0"/>
            </w:tcBorders>
          </w:tcPr>
          <w:p>
            <w:pPr>
              <w:rPr>
                <w:rFonts w:ascii="Times New Roman" w:hAnsi="Times New Roman"/>
                <w:sz w:val="24"/>
                <w:szCs w:val="24"/>
              </w:rPr>
            </w:pPr>
            <w:r>
              <w:rPr>
                <w:rFonts w:ascii="Times New Roman" w:hAnsi="Times New Roman"/>
                <w:sz w:val="24"/>
                <w:szCs w:val="24"/>
              </w:rPr>
              <w:t>Pašreizējā situācija un problēmas, kuru risināšanai tiesību akta projekts izstrādāts, tiesiskā regulējuma mērķis un būtība</w:t>
            </w:r>
          </w:p>
        </w:tc>
        <w:tc>
          <w:tcPr>
            <w:tcW w:w="3635" w:type="pct"/>
            <w:tcBorders>
              <w:top w:val="outset" w:color="000000" w:sz="6" w:space="0"/>
              <w:left w:val="outset" w:color="000000" w:sz="6" w:space="0"/>
              <w:bottom w:val="outset" w:color="000000" w:sz="6" w:space="0"/>
              <w:right w:val="outset" w:color="000000" w:sz="6" w:space="0"/>
            </w:tcBorders>
          </w:tcPr>
          <w:p>
            <w:pPr>
              <w:ind w:left="114" w:right="148"/>
              <w:jc w:val="both"/>
              <w:rPr>
                <w:rFonts w:ascii="Times New Roman" w:hAnsi="Times New Roman"/>
                <w:sz w:val="24"/>
                <w:szCs w:val="24"/>
              </w:rPr>
            </w:pPr>
            <w:r>
              <w:rPr>
                <w:rFonts w:ascii="Times New Roman" w:hAnsi="Times New Roman"/>
                <w:sz w:val="24"/>
                <w:szCs w:val="24"/>
              </w:rPr>
              <w:t xml:space="preserve">Likumprojekts sagatavots, lai pieņemtu un apstiprinātu Nolīgumu par gaisa transportu starp Eiropas Savienību un tās dalībvalstīm, no vienas puses, un Kataras Valsti, no otras puses (turpmāk - </w:t>
            </w:r>
            <w:r>
              <w:rPr>
                <w:rFonts w:ascii="Times New Roman" w:hAnsi="Times New Roman" w:eastAsia="Arial Unicode MS"/>
                <w:sz w:val="24"/>
                <w:szCs w:val="24"/>
              </w:rPr>
              <w:t>Nolīgums</w:t>
            </w:r>
            <w:r>
              <w:rPr>
                <w:rFonts w:ascii="Times New Roman" w:hAnsi="Times New Roman"/>
                <w:sz w:val="24"/>
                <w:szCs w:val="24"/>
              </w:rPr>
              <w:t>)</w:t>
            </w:r>
            <w:r>
              <w:rPr>
                <w:rFonts w:ascii="Times New Roman" w:hAnsi="Times New Roman" w:eastAsia="Arial Unicode MS"/>
                <w:sz w:val="24"/>
                <w:szCs w:val="24"/>
              </w:rPr>
              <w:t>. Nolīguma</w:t>
            </w:r>
            <w:r>
              <w:rPr>
                <w:rFonts w:ascii="Times New Roman" w:hAnsi="Times New Roman"/>
                <w:sz w:val="24"/>
                <w:szCs w:val="24"/>
              </w:rPr>
              <w:t xml:space="preserve"> pamatā būs abpusēja piekļuve Pušu gaisa transporta tirgiem ar vienādiem konkurences nosacījumiem un vienotu noteikumu ievērošana, tostarp lidojumu drošuma, drošības, gaisa satiksmes pārvaldības, sociālo aspektu un vides jomā. Eiropas Komisija pilnvarojumu uzsākt sarunas par  Nolīgumu saņēma no Eiropas Padomes </w:t>
            </w:r>
            <w:r>
              <w:rPr>
                <w:rFonts w:ascii="Times New Roman" w:hAnsi="Times New Roman"/>
                <w:color w:val="000000"/>
                <w:sz w:val="24"/>
                <w:szCs w:val="24"/>
              </w:rPr>
              <w:t>2016.gada 7.jūnijā</w:t>
            </w:r>
            <w:r>
              <w:rPr>
                <w:rFonts w:ascii="Times New Roman" w:hAnsi="Times New Roman"/>
                <w:sz w:val="24"/>
                <w:szCs w:val="24"/>
              </w:rPr>
              <w:t>. Nolīguma projekts tika parafēts 2019.gada 4.martā. Ir plānots, ka Eiropas Savienības dalībvalstu pārstāvji Nolīgumu parakstīs š.g. 22. un 29.septembrī COREPER II ietvaros.</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132" w:type="pct"/>
            <w:tcBorders>
              <w:top w:val="outset" w:color="000000" w:sz="6" w:space="0"/>
              <w:left w:val="outset" w:color="000000" w:sz="6" w:space="0"/>
              <w:bottom w:val="outset" w:color="000000" w:sz="6" w:space="0"/>
              <w:right w:val="outset" w:color="000000" w:sz="6" w:space="0"/>
            </w:tcBorders>
          </w:tcPr>
          <w:p>
            <w:pPr>
              <w:rPr>
                <w:rFonts w:ascii="Times New Roman" w:hAnsi="Times New Roman"/>
                <w:sz w:val="24"/>
                <w:szCs w:val="24"/>
              </w:rPr>
            </w:pPr>
            <w:r>
              <w:rPr>
                <w:rFonts w:ascii="Times New Roman" w:hAnsi="Times New Roman"/>
                <w:sz w:val="24"/>
                <w:szCs w:val="24"/>
              </w:rPr>
              <w:t>3.</w:t>
            </w:r>
          </w:p>
        </w:tc>
        <w:tc>
          <w:tcPr>
            <w:tcW w:w="1232" w:type="pct"/>
            <w:tcBorders>
              <w:top w:val="outset" w:color="000000" w:sz="6" w:space="0"/>
              <w:left w:val="outset" w:color="000000" w:sz="6" w:space="0"/>
              <w:bottom w:val="outset" w:color="000000" w:sz="6" w:space="0"/>
              <w:right w:val="outset" w:color="000000" w:sz="6" w:space="0"/>
            </w:tcBorders>
          </w:tcPr>
          <w:p>
            <w:pPr>
              <w:rPr>
                <w:rFonts w:ascii="Times New Roman" w:hAnsi="Times New Roman"/>
                <w:sz w:val="24"/>
                <w:szCs w:val="24"/>
              </w:rPr>
            </w:pPr>
            <w:r>
              <w:rPr>
                <w:rFonts w:ascii="Times New Roman" w:hAnsi="Times New Roman"/>
                <w:sz w:val="24"/>
                <w:szCs w:val="24"/>
              </w:rPr>
              <w:t>Projekta izstrādē iesaistītās institūcijas un publiskas personas kapitālsabiedrības</w:t>
            </w:r>
          </w:p>
        </w:tc>
        <w:tc>
          <w:tcPr>
            <w:tcW w:w="3635" w:type="pct"/>
            <w:tcBorders>
              <w:top w:val="outset" w:color="000000" w:sz="6" w:space="0"/>
              <w:left w:val="outset" w:color="000000" w:sz="6" w:space="0"/>
              <w:bottom w:val="outset" w:color="000000" w:sz="6" w:space="0"/>
              <w:right w:val="outset" w:color="000000" w:sz="6" w:space="0"/>
            </w:tcBorders>
          </w:tcPr>
          <w:p>
            <w:pPr>
              <w:pStyle w:val="8"/>
              <w:ind w:firstLine="120" w:firstLineChars="50"/>
              <w:rPr>
                <w:rFonts w:ascii="Times New Roman" w:hAnsi="Times New Roman"/>
                <w:sz w:val="24"/>
                <w:szCs w:val="24"/>
              </w:rPr>
            </w:pPr>
            <w:r>
              <w:rPr>
                <w:rFonts w:hint="default" w:ascii="Times New Roman" w:hAnsi="Times New Roman"/>
                <w:sz w:val="24"/>
                <w:szCs w:val="24"/>
                <w:lang w:val="en-US"/>
              </w:rPr>
              <w:t>Satiksmes ministrija</w:t>
            </w:r>
            <w:r>
              <w:rPr>
                <w:rFonts w:ascii="Times New Roman" w:hAnsi="Times New Roman"/>
                <w:sz w:val="24"/>
                <w:szCs w:val="24"/>
              </w:rPr>
              <w:t>.</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132" w:type="pct"/>
            <w:tcBorders>
              <w:top w:val="outset" w:color="000000" w:sz="6" w:space="0"/>
              <w:left w:val="outset" w:color="000000" w:sz="6" w:space="0"/>
              <w:bottom w:val="outset" w:color="000000" w:sz="6" w:space="0"/>
              <w:right w:val="outset" w:color="000000" w:sz="6" w:space="0"/>
            </w:tcBorders>
          </w:tcPr>
          <w:p>
            <w:pPr>
              <w:rPr>
                <w:rFonts w:ascii="Times New Roman" w:hAnsi="Times New Roman"/>
                <w:sz w:val="24"/>
                <w:szCs w:val="24"/>
              </w:rPr>
            </w:pPr>
            <w:r>
              <w:rPr>
                <w:rFonts w:ascii="Times New Roman" w:hAnsi="Times New Roman"/>
                <w:sz w:val="24"/>
                <w:szCs w:val="24"/>
              </w:rPr>
              <w:t>4.</w:t>
            </w:r>
          </w:p>
        </w:tc>
        <w:tc>
          <w:tcPr>
            <w:tcW w:w="1232" w:type="pct"/>
            <w:tcBorders>
              <w:top w:val="outset" w:color="000000" w:sz="6" w:space="0"/>
              <w:left w:val="outset" w:color="000000" w:sz="6" w:space="0"/>
              <w:bottom w:val="outset" w:color="000000" w:sz="6" w:space="0"/>
              <w:right w:val="outset" w:color="000000" w:sz="6" w:space="0"/>
            </w:tcBorders>
          </w:tcPr>
          <w:p>
            <w:pPr>
              <w:rPr>
                <w:rFonts w:ascii="Times New Roman" w:hAnsi="Times New Roman"/>
                <w:sz w:val="24"/>
                <w:szCs w:val="24"/>
              </w:rPr>
            </w:pPr>
            <w:r>
              <w:rPr>
                <w:rFonts w:ascii="Times New Roman" w:hAnsi="Times New Roman"/>
                <w:sz w:val="24"/>
                <w:szCs w:val="24"/>
              </w:rPr>
              <w:t>Cita informācija</w:t>
            </w:r>
          </w:p>
        </w:tc>
        <w:tc>
          <w:tcPr>
            <w:tcW w:w="3635" w:type="pct"/>
            <w:tcBorders>
              <w:top w:val="outset" w:color="000000" w:sz="6" w:space="0"/>
              <w:left w:val="outset" w:color="000000" w:sz="6" w:space="0"/>
              <w:bottom w:val="outset" w:color="000000" w:sz="6" w:space="0"/>
              <w:right w:val="outset" w:color="000000" w:sz="6" w:space="0"/>
            </w:tcBorders>
          </w:tcPr>
          <w:p>
            <w:pPr>
              <w:ind w:firstLine="120" w:firstLineChars="50"/>
              <w:rPr>
                <w:rFonts w:ascii="Times New Roman" w:hAnsi="Times New Roman"/>
                <w:sz w:val="24"/>
                <w:szCs w:val="24"/>
              </w:rPr>
            </w:pPr>
            <w:r>
              <w:rPr>
                <w:rFonts w:ascii="Times New Roman" w:hAnsi="Times New Roman"/>
                <w:bCs/>
                <w:sz w:val="24"/>
                <w:szCs w:val="24"/>
              </w:rPr>
              <w:t>Nav.</w:t>
            </w:r>
          </w:p>
        </w:tc>
      </w:tr>
    </w:tbl>
    <w:p>
      <w:pPr>
        <w:rPr>
          <w:rFonts w:ascii="Times New Roman" w:hAnsi="Times New Roman"/>
          <w:sz w:val="24"/>
          <w:szCs w:val="24"/>
        </w:rPr>
      </w:pPr>
      <w:r>
        <w:rPr>
          <w:rFonts w:ascii="Times New Roman" w:hAnsi="Times New Roman"/>
          <w:sz w:val="24"/>
          <w:szCs w:val="24"/>
        </w:rPr>
        <w:t> </w:t>
      </w:r>
    </w:p>
    <w:tbl>
      <w:tblPr>
        <w:tblStyle w:val="23"/>
        <w:tblW w:w="9356" w:type="dxa"/>
        <w:tblInd w:w="30" w:type="dxa"/>
        <w:tblLayout w:type="fixed"/>
        <w:tblCellMar>
          <w:top w:w="30" w:type="dxa"/>
          <w:left w:w="30" w:type="dxa"/>
          <w:bottom w:w="30" w:type="dxa"/>
          <w:right w:w="30" w:type="dxa"/>
        </w:tblCellMar>
      </w:tblPr>
      <w:tblGrid>
        <w:gridCol w:w="284"/>
        <w:gridCol w:w="2566"/>
        <w:gridCol w:w="6506"/>
      </w:tblGrid>
      <w:tr>
        <w:trPr>
          <w:trHeight w:val="144" w:hRule="atLeast"/>
        </w:trPr>
        <w:tc>
          <w:tcPr>
            <w:tcW w:w="9356" w:type="dxa"/>
            <w:gridSpan w:val="3"/>
            <w:tcBorders>
              <w:top w:val="single" w:color="auto" w:sz="4" w:space="0"/>
              <w:left w:val="single" w:color="auto" w:sz="4" w:space="0"/>
              <w:bottom w:val="single" w:color="auto" w:sz="4" w:space="0"/>
              <w:right w:val="single" w:color="auto" w:sz="4" w:space="0"/>
            </w:tcBorders>
            <w:vAlign w:val="center"/>
          </w:tcPr>
          <w:p>
            <w:pPr>
              <w:suppressAutoHyphens/>
              <w:ind w:left="57" w:right="57"/>
              <w:jc w:val="center"/>
              <w:rPr>
                <w:rFonts w:ascii="Times New Roman" w:hAnsi="Times New Roman"/>
                <w:b/>
                <w:sz w:val="24"/>
                <w:szCs w:val="24"/>
                <w:lang w:eastAsia="lv-LV"/>
              </w:rPr>
            </w:pPr>
            <w:r>
              <w:rPr>
                <w:rFonts w:ascii="Times New Roman" w:hAnsi="Times New Roman"/>
                <w:b/>
                <w:bCs/>
                <w:color w:val="000000"/>
                <w:sz w:val="24"/>
                <w:szCs w:val="24"/>
                <w:lang w:eastAsia="ar-SA"/>
              </w:rPr>
              <w:t xml:space="preserve">II. </w:t>
            </w:r>
            <w:r>
              <w:rPr>
                <w:rFonts w:ascii="Times New Roman" w:hAnsi="Times New Roman"/>
                <w:b/>
                <w:sz w:val="24"/>
                <w:szCs w:val="24"/>
                <w:lang w:eastAsia="lv-LV"/>
              </w:rPr>
              <w:t>Tiesību akta projekta ietekme uz sabiedrību, tautsaimniecības attīstību</w:t>
            </w:r>
          </w:p>
          <w:p>
            <w:pPr>
              <w:suppressAutoHyphens/>
              <w:snapToGrid w:val="0"/>
              <w:jc w:val="center"/>
              <w:rPr>
                <w:rFonts w:ascii="Times New Roman" w:hAnsi="Times New Roman"/>
                <w:b/>
                <w:bCs/>
                <w:color w:val="000000"/>
                <w:sz w:val="24"/>
                <w:szCs w:val="24"/>
                <w:lang w:eastAsia="ar-SA"/>
              </w:rPr>
            </w:pPr>
            <w:r>
              <w:rPr>
                <w:rFonts w:ascii="Times New Roman" w:hAnsi="Times New Roman"/>
                <w:b/>
                <w:sz w:val="24"/>
                <w:szCs w:val="24"/>
                <w:lang w:eastAsia="lv-LV"/>
              </w:rPr>
              <w:t>un administratīvo slogu</w:t>
            </w:r>
          </w:p>
        </w:tc>
      </w:tr>
      <w:tr>
        <w:tblPrEx>
          <w:tblCellMar>
            <w:top w:w="30" w:type="dxa"/>
            <w:left w:w="30" w:type="dxa"/>
            <w:bottom w:w="30" w:type="dxa"/>
            <w:right w:w="30" w:type="dxa"/>
          </w:tblCellMar>
        </w:tblPrEx>
        <w:trPr>
          <w:trHeight w:val="144" w:hRule="atLeast"/>
        </w:trPr>
        <w:tc>
          <w:tcPr>
            <w:tcW w:w="284" w:type="dxa"/>
            <w:tcBorders>
              <w:top w:val="single" w:color="auto" w:sz="4" w:space="0"/>
              <w:left w:val="single" w:color="auto" w:sz="4" w:space="0"/>
              <w:bottom w:val="single" w:color="auto" w:sz="4" w:space="0"/>
              <w:right w:val="single" w:color="auto" w:sz="4" w:space="0"/>
            </w:tcBorders>
          </w:tcPr>
          <w:p>
            <w:pPr>
              <w:suppressAutoHyphens/>
              <w:snapToGrid w:val="0"/>
              <w:jc w:val="both"/>
              <w:rPr>
                <w:rFonts w:ascii="Times New Roman" w:hAnsi="Times New Roman"/>
                <w:color w:val="000000"/>
                <w:sz w:val="24"/>
                <w:szCs w:val="24"/>
                <w:lang w:eastAsia="ar-SA"/>
              </w:rPr>
            </w:pPr>
            <w:r>
              <w:rPr>
                <w:rFonts w:ascii="Times New Roman" w:hAnsi="Times New Roman"/>
                <w:color w:val="000000"/>
                <w:sz w:val="24"/>
                <w:szCs w:val="24"/>
                <w:lang w:eastAsia="ar-SA"/>
              </w:rPr>
              <w:t>1.</w:t>
            </w:r>
          </w:p>
        </w:tc>
        <w:tc>
          <w:tcPr>
            <w:tcW w:w="2566" w:type="dxa"/>
            <w:tcBorders>
              <w:top w:val="single" w:color="auto" w:sz="4" w:space="0"/>
              <w:left w:val="single" w:color="auto" w:sz="4" w:space="0"/>
              <w:bottom w:val="single" w:color="auto" w:sz="4" w:space="0"/>
              <w:right w:val="single" w:color="auto" w:sz="4" w:space="0"/>
            </w:tcBorders>
          </w:tcPr>
          <w:p>
            <w:pPr>
              <w:suppressAutoHyphens/>
              <w:rPr>
                <w:rFonts w:ascii="Times New Roman" w:hAnsi="Times New Roman"/>
                <w:sz w:val="24"/>
                <w:szCs w:val="24"/>
                <w:lang w:eastAsia="ar-SA"/>
              </w:rPr>
            </w:pPr>
            <w:r>
              <w:rPr>
                <w:rFonts w:ascii="Times New Roman" w:hAnsi="Times New Roman"/>
                <w:sz w:val="24"/>
                <w:szCs w:val="24"/>
                <w:lang w:eastAsia="ar-SA"/>
              </w:rPr>
              <w:t>Sabiedrības mērķgrupas, kuras tiesiskais regulējums ietekmē vai varētu ietekmēt</w:t>
            </w:r>
          </w:p>
        </w:tc>
        <w:tc>
          <w:tcPr>
            <w:tcW w:w="6506" w:type="dxa"/>
            <w:tcBorders>
              <w:top w:val="single" w:color="auto" w:sz="4" w:space="0"/>
              <w:left w:val="single" w:color="auto" w:sz="4" w:space="0"/>
              <w:bottom w:val="single" w:color="auto" w:sz="4" w:space="0"/>
              <w:right w:val="single" w:color="auto" w:sz="4" w:space="0"/>
            </w:tcBorders>
          </w:tcPr>
          <w:p>
            <w:pPr>
              <w:pStyle w:val="8"/>
              <w:rPr>
                <w:rFonts w:ascii="Times New Roman" w:hAnsi="Times New Roman"/>
                <w:sz w:val="24"/>
                <w:szCs w:val="24"/>
              </w:rPr>
            </w:pPr>
            <w:r>
              <w:rPr>
                <w:rFonts w:ascii="Times New Roman" w:hAnsi="Times New Roman"/>
                <w:sz w:val="24"/>
                <w:szCs w:val="24"/>
              </w:rPr>
              <w:t>Sabiedrības mērķgrupa:</w:t>
            </w:r>
          </w:p>
          <w:p>
            <w:pPr>
              <w:pStyle w:val="8"/>
              <w:rPr>
                <w:rFonts w:ascii="Times New Roman" w:hAnsi="Times New Roman"/>
                <w:sz w:val="24"/>
                <w:szCs w:val="24"/>
              </w:rPr>
            </w:pPr>
            <w:r>
              <w:rPr>
                <w:rFonts w:ascii="Times New Roman" w:hAnsi="Times New Roman"/>
                <w:sz w:val="24"/>
                <w:szCs w:val="24"/>
              </w:rPr>
              <w:t>1) gaisa transporta pasažieri, kuriem tiks nodrošināts plašāks lidojumu maršrutu piedāvājums;</w:t>
            </w:r>
          </w:p>
          <w:p>
            <w:pPr>
              <w:suppressAutoHyphens/>
              <w:snapToGrid w:val="0"/>
              <w:ind w:right="111"/>
              <w:jc w:val="both"/>
              <w:rPr>
                <w:rFonts w:ascii="Times New Roman" w:hAnsi="Times New Roman"/>
                <w:color w:val="000000"/>
                <w:sz w:val="24"/>
                <w:szCs w:val="24"/>
                <w:lang w:eastAsia="ar-SA"/>
              </w:rPr>
            </w:pPr>
            <w:r>
              <w:rPr>
                <w:rFonts w:ascii="Times New Roman" w:hAnsi="Times New Roman"/>
                <w:sz w:val="24"/>
                <w:szCs w:val="24"/>
              </w:rPr>
              <w:t>2) gaisa pārvadātāji, kuriem Nolīguma noslēgšana vienkāršos lidojumu uzsākšanu un veikšanu uz Kataru, nodrošinās papildu maršrutus un garantēs līdzvērtīgus konkurences apstākļus.</w:t>
            </w:r>
          </w:p>
        </w:tc>
      </w:tr>
      <w:tr>
        <w:tblPrEx>
          <w:tblCellMar>
            <w:top w:w="30" w:type="dxa"/>
            <w:left w:w="30" w:type="dxa"/>
            <w:bottom w:w="30" w:type="dxa"/>
            <w:right w:w="30" w:type="dxa"/>
          </w:tblCellMar>
        </w:tblPrEx>
        <w:trPr>
          <w:trHeight w:val="144" w:hRule="atLeast"/>
        </w:trPr>
        <w:tc>
          <w:tcPr>
            <w:tcW w:w="284" w:type="dxa"/>
            <w:tcBorders>
              <w:top w:val="single" w:color="auto" w:sz="4" w:space="0"/>
              <w:left w:val="single" w:color="auto" w:sz="4" w:space="0"/>
              <w:bottom w:val="single" w:color="auto" w:sz="4" w:space="0"/>
              <w:right w:val="single" w:color="auto" w:sz="4" w:space="0"/>
            </w:tcBorders>
          </w:tcPr>
          <w:p>
            <w:pPr>
              <w:suppressAutoHyphens/>
              <w:snapToGrid w:val="0"/>
              <w:jc w:val="both"/>
              <w:rPr>
                <w:rFonts w:ascii="Times New Roman" w:hAnsi="Times New Roman"/>
                <w:color w:val="000000"/>
                <w:sz w:val="24"/>
                <w:szCs w:val="24"/>
                <w:lang w:eastAsia="ar-SA"/>
              </w:rPr>
            </w:pPr>
            <w:r>
              <w:rPr>
                <w:rFonts w:ascii="Times New Roman" w:hAnsi="Times New Roman"/>
                <w:color w:val="000000"/>
                <w:sz w:val="24"/>
                <w:szCs w:val="24"/>
                <w:lang w:eastAsia="ar-SA"/>
              </w:rPr>
              <w:t>2.</w:t>
            </w:r>
          </w:p>
        </w:tc>
        <w:tc>
          <w:tcPr>
            <w:tcW w:w="2566" w:type="dxa"/>
            <w:tcBorders>
              <w:top w:val="single" w:color="auto" w:sz="4" w:space="0"/>
              <w:left w:val="single" w:color="auto" w:sz="4" w:space="0"/>
              <w:bottom w:val="single" w:color="auto" w:sz="4" w:space="0"/>
              <w:right w:val="single" w:color="auto" w:sz="4" w:space="0"/>
            </w:tcBorders>
          </w:tcPr>
          <w:p>
            <w:pPr>
              <w:suppressAutoHyphens/>
              <w:rPr>
                <w:rFonts w:ascii="Times New Roman" w:hAnsi="Times New Roman"/>
                <w:sz w:val="24"/>
                <w:szCs w:val="24"/>
                <w:lang w:eastAsia="ar-SA"/>
              </w:rPr>
            </w:pPr>
            <w:r>
              <w:rPr>
                <w:rFonts w:ascii="Times New Roman" w:hAnsi="Times New Roman"/>
                <w:sz w:val="24"/>
                <w:szCs w:val="24"/>
                <w:lang w:eastAsia="ar-SA"/>
              </w:rPr>
              <w:t>Tiesiskā regulējuma ietekme uz tautsaimniecību un administratīvo slogu</w:t>
            </w:r>
          </w:p>
        </w:tc>
        <w:tc>
          <w:tcPr>
            <w:tcW w:w="6506" w:type="dxa"/>
            <w:tcBorders>
              <w:top w:val="single" w:color="auto" w:sz="4" w:space="0"/>
              <w:left w:val="single" w:color="auto" w:sz="4" w:space="0"/>
              <w:bottom w:val="single" w:color="auto" w:sz="4" w:space="0"/>
              <w:right w:val="single" w:color="auto" w:sz="4" w:space="0"/>
            </w:tcBorders>
          </w:tcPr>
          <w:p>
            <w:pPr>
              <w:suppressAutoHyphens/>
              <w:snapToGrid w:val="0"/>
              <w:jc w:val="both"/>
              <w:rPr>
                <w:rFonts w:ascii="Times New Roman" w:hAnsi="Times New Roman"/>
                <w:color w:val="000000"/>
                <w:sz w:val="24"/>
                <w:szCs w:val="24"/>
                <w:lang w:eastAsia="ar-SA"/>
              </w:rPr>
            </w:pPr>
            <w:r>
              <w:rPr>
                <w:rFonts w:ascii="Times New Roman" w:hAnsi="Times New Roman"/>
                <w:sz w:val="24"/>
                <w:szCs w:val="24"/>
                <w:lang w:eastAsia="ar-SA"/>
              </w:rPr>
              <w:t>Projekts šo jomu neskar.</w:t>
            </w:r>
          </w:p>
        </w:tc>
      </w:tr>
      <w:tr>
        <w:tblPrEx>
          <w:tblCellMar>
            <w:top w:w="30" w:type="dxa"/>
            <w:left w:w="30" w:type="dxa"/>
            <w:bottom w:w="30" w:type="dxa"/>
            <w:right w:w="30" w:type="dxa"/>
          </w:tblCellMar>
        </w:tblPrEx>
        <w:trPr>
          <w:trHeight w:val="144" w:hRule="atLeast"/>
        </w:trPr>
        <w:tc>
          <w:tcPr>
            <w:tcW w:w="284" w:type="dxa"/>
            <w:tcBorders>
              <w:top w:val="single" w:color="auto" w:sz="4" w:space="0"/>
              <w:left w:val="single" w:color="auto" w:sz="4" w:space="0"/>
              <w:bottom w:val="single" w:color="auto" w:sz="4" w:space="0"/>
              <w:right w:val="single" w:color="auto" w:sz="4" w:space="0"/>
            </w:tcBorders>
          </w:tcPr>
          <w:p>
            <w:pPr>
              <w:suppressAutoHyphens/>
              <w:snapToGrid w:val="0"/>
              <w:jc w:val="both"/>
              <w:rPr>
                <w:rFonts w:ascii="Times New Roman" w:hAnsi="Times New Roman"/>
                <w:color w:val="000000"/>
                <w:sz w:val="24"/>
                <w:szCs w:val="24"/>
                <w:lang w:eastAsia="ar-SA"/>
              </w:rPr>
            </w:pPr>
            <w:r>
              <w:rPr>
                <w:rFonts w:ascii="Times New Roman" w:hAnsi="Times New Roman"/>
                <w:color w:val="000000"/>
                <w:sz w:val="24"/>
                <w:szCs w:val="24"/>
                <w:lang w:eastAsia="ar-SA"/>
              </w:rPr>
              <w:t>3.</w:t>
            </w:r>
          </w:p>
        </w:tc>
        <w:tc>
          <w:tcPr>
            <w:tcW w:w="2566" w:type="dxa"/>
            <w:tcBorders>
              <w:top w:val="single" w:color="auto" w:sz="4" w:space="0"/>
              <w:left w:val="single" w:color="auto" w:sz="4" w:space="0"/>
              <w:bottom w:val="single" w:color="auto" w:sz="4" w:space="0"/>
              <w:right w:val="single" w:color="auto" w:sz="4" w:space="0"/>
            </w:tcBorders>
          </w:tcPr>
          <w:p>
            <w:pPr>
              <w:suppressAutoHyphens/>
              <w:rPr>
                <w:rFonts w:ascii="Times New Roman" w:hAnsi="Times New Roman"/>
                <w:sz w:val="24"/>
                <w:szCs w:val="24"/>
                <w:lang w:eastAsia="ar-SA"/>
              </w:rPr>
            </w:pPr>
            <w:r>
              <w:rPr>
                <w:rFonts w:ascii="Times New Roman" w:hAnsi="Times New Roman"/>
                <w:sz w:val="24"/>
                <w:szCs w:val="24"/>
                <w:lang w:eastAsia="ar-SA"/>
              </w:rPr>
              <w:t>Administratīvo izmaksu monetārs novērtējums</w:t>
            </w:r>
          </w:p>
        </w:tc>
        <w:tc>
          <w:tcPr>
            <w:tcW w:w="6506" w:type="dxa"/>
            <w:tcBorders>
              <w:top w:val="single" w:color="auto" w:sz="4" w:space="0"/>
              <w:left w:val="single" w:color="auto" w:sz="4" w:space="0"/>
              <w:bottom w:val="single" w:color="auto" w:sz="4" w:space="0"/>
              <w:right w:val="single" w:color="auto" w:sz="4" w:space="0"/>
            </w:tcBorders>
          </w:tcPr>
          <w:p>
            <w:pPr>
              <w:suppressAutoHyphens/>
              <w:ind w:right="111"/>
              <w:jc w:val="both"/>
              <w:rPr>
                <w:rFonts w:ascii="Times New Roman" w:hAnsi="Times New Roman"/>
                <w:color w:val="000000"/>
                <w:sz w:val="24"/>
                <w:szCs w:val="24"/>
                <w:lang w:eastAsia="ar-SA"/>
              </w:rPr>
            </w:pPr>
            <w:r>
              <w:rPr>
                <w:rFonts w:ascii="Times New Roman" w:hAnsi="Times New Roman"/>
                <w:sz w:val="24"/>
                <w:szCs w:val="24"/>
                <w:lang w:eastAsia="ar-SA"/>
              </w:rPr>
              <w:t>Projekts šo jomu neskar.</w:t>
            </w:r>
          </w:p>
        </w:tc>
      </w:tr>
      <w:tr>
        <w:tblPrEx>
          <w:tblCellMar>
            <w:top w:w="30" w:type="dxa"/>
            <w:left w:w="30" w:type="dxa"/>
            <w:bottom w:w="30" w:type="dxa"/>
            <w:right w:w="30" w:type="dxa"/>
          </w:tblCellMar>
        </w:tblPrEx>
        <w:trPr>
          <w:trHeight w:val="144" w:hRule="atLeast"/>
        </w:trPr>
        <w:tc>
          <w:tcPr>
            <w:tcW w:w="284" w:type="dxa"/>
            <w:tcBorders>
              <w:top w:val="single" w:color="auto" w:sz="4" w:space="0"/>
              <w:left w:val="single" w:color="auto" w:sz="4" w:space="0"/>
              <w:bottom w:val="single" w:color="auto" w:sz="4" w:space="0"/>
              <w:right w:val="single" w:color="auto" w:sz="4" w:space="0"/>
            </w:tcBorders>
          </w:tcPr>
          <w:p>
            <w:pPr>
              <w:suppressAutoHyphens/>
              <w:snapToGrid w:val="0"/>
              <w:jc w:val="both"/>
              <w:rPr>
                <w:rFonts w:ascii="Times New Roman" w:hAnsi="Times New Roman"/>
                <w:color w:val="000000"/>
                <w:sz w:val="24"/>
                <w:szCs w:val="24"/>
                <w:lang w:eastAsia="ar-SA"/>
              </w:rPr>
            </w:pPr>
            <w:r>
              <w:rPr>
                <w:rFonts w:ascii="Times New Roman" w:hAnsi="Times New Roman"/>
                <w:color w:val="000000"/>
                <w:sz w:val="24"/>
                <w:szCs w:val="24"/>
                <w:lang w:eastAsia="ar-SA"/>
              </w:rPr>
              <w:t>4.</w:t>
            </w:r>
          </w:p>
        </w:tc>
        <w:tc>
          <w:tcPr>
            <w:tcW w:w="2566" w:type="dxa"/>
            <w:tcBorders>
              <w:top w:val="single" w:color="auto" w:sz="4" w:space="0"/>
              <w:left w:val="single" w:color="auto" w:sz="4" w:space="0"/>
              <w:bottom w:val="single" w:color="auto" w:sz="4" w:space="0"/>
              <w:right w:val="single" w:color="auto" w:sz="4" w:space="0"/>
            </w:tcBorders>
          </w:tcPr>
          <w:p>
            <w:pPr>
              <w:suppressAutoHyphens/>
              <w:snapToGrid w:val="0"/>
              <w:jc w:val="both"/>
              <w:rPr>
                <w:rFonts w:ascii="Times New Roman" w:hAnsi="Times New Roman"/>
                <w:color w:val="000000"/>
                <w:sz w:val="24"/>
                <w:szCs w:val="24"/>
                <w:lang w:eastAsia="ar-SA"/>
              </w:rPr>
            </w:pPr>
            <w:r>
              <w:rPr>
                <w:rFonts w:ascii="Times New Roman" w:hAnsi="Times New Roman"/>
                <w:color w:val="000000"/>
                <w:sz w:val="24"/>
                <w:szCs w:val="24"/>
                <w:lang w:eastAsia="ar-SA"/>
              </w:rPr>
              <w:t>Atbilstības izmaksu monetārs novērtējums</w:t>
            </w:r>
          </w:p>
        </w:tc>
        <w:tc>
          <w:tcPr>
            <w:tcW w:w="6506" w:type="dxa"/>
            <w:tcBorders>
              <w:top w:val="single" w:color="auto" w:sz="4" w:space="0"/>
              <w:left w:val="single" w:color="auto" w:sz="4" w:space="0"/>
              <w:bottom w:val="single" w:color="auto" w:sz="4" w:space="0"/>
              <w:right w:val="single" w:color="auto" w:sz="4" w:space="0"/>
            </w:tcBorders>
          </w:tcPr>
          <w:p>
            <w:pPr>
              <w:suppressAutoHyphens/>
              <w:snapToGrid w:val="0"/>
              <w:jc w:val="both"/>
              <w:rPr>
                <w:rFonts w:ascii="Times New Roman" w:hAnsi="Times New Roman"/>
                <w:color w:val="000000"/>
                <w:sz w:val="24"/>
                <w:szCs w:val="24"/>
                <w:lang w:eastAsia="ar-SA"/>
              </w:rPr>
            </w:pPr>
            <w:r>
              <w:rPr>
                <w:rFonts w:ascii="Times New Roman" w:hAnsi="Times New Roman"/>
                <w:color w:val="000000"/>
                <w:sz w:val="24"/>
                <w:szCs w:val="24"/>
                <w:lang w:eastAsia="ar-SA"/>
              </w:rPr>
              <w:t>Projekts šo jomu neskar.</w:t>
            </w:r>
          </w:p>
        </w:tc>
      </w:tr>
      <w:tr>
        <w:tblPrEx>
          <w:tblCellMar>
            <w:top w:w="30" w:type="dxa"/>
            <w:left w:w="30" w:type="dxa"/>
            <w:bottom w:w="30" w:type="dxa"/>
            <w:right w:w="30" w:type="dxa"/>
          </w:tblCellMar>
        </w:tblPrEx>
        <w:trPr>
          <w:trHeight w:val="144" w:hRule="atLeast"/>
        </w:trPr>
        <w:tc>
          <w:tcPr>
            <w:tcW w:w="284" w:type="dxa"/>
            <w:tcBorders>
              <w:top w:val="single" w:color="auto" w:sz="4" w:space="0"/>
              <w:left w:val="single" w:color="auto" w:sz="4" w:space="0"/>
              <w:bottom w:val="single" w:color="auto" w:sz="4" w:space="0"/>
              <w:right w:val="single" w:color="auto" w:sz="4" w:space="0"/>
            </w:tcBorders>
          </w:tcPr>
          <w:p>
            <w:pPr>
              <w:suppressAutoHyphens/>
              <w:snapToGrid w:val="0"/>
              <w:jc w:val="both"/>
              <w:rPr>
                <w:rFonts w:ascii="Times New Roman" w:hAnsi="Times New Roman"/>
                <w:color w:val="000000"/>
                <w:sz w:val="24"/>
                <w:szCs w:val="24"/>
                <w:lang w:eastAsia="ar-SA"/>
              </w:rPr>
            </w:pPr>
            <w:r>
              <w:rPr>
                <w:rFonts w:ascii="Times New Roman" w:hAnsi="Times New Roman"/>
                <w:color w:val="000000"/>
                <w:sz w:val="24"/>
                <w:szCs w:val="24"/>
                <w:lang w:eastAsia="ar-SA"/>
              </w:rPr>
              <w:t>5.</w:t>
            </w:r>
          </w:p>
        </w:tc>
        <w:tc>
          <w:tcPr>
            <w:tcW w:w="2566" w:type="dxa"/>
            <w:tcBorders>
              <w:top w:val="single" w:color="auto" w:sz="4" w:space="0"/>
              <w:left w:val="single" w:color="auto" w:sz="4" w:space="0"/>
              <w:bottom w:val="single" w:color="auto" w:sz="4" w:space="0"/>
              <w:right w:val="single" w:color="auto" w:sz="4" w:space="0"/>
            </w:tcBorders>
          </w:tcPr>
          <w:p>
            <w:pPr>
              <w:suppressAutoHyphens/>
              <w:snapToGrid w:val="0"/>
              <w:jc w:val="both"/>
              <w:rPr>
                <w:rFonts w:ascii="Times New Roman" w:hAnsi="Times New Roman"/>
                <w:color w:val="000000"/>
                <w:sz w:val="24"/>
                <w:szCs w:val="24"/>
                <w:lang w:eastAsia="ar-SA"/>
              </w:rPr>
            </w:pPr>
            <w:r>
              <w:rPr>
                <w:rFonts w:ascii="Times New Roman" w:hAnsi="Times New Roman"/>
                <w:color w:val="000000"/>
                <w:sz w:val="24"/>
                <w:szCs w:val="24"/>
                <w:lang w:eastAsia="ar-SA"/>
              </w:rPr>
              <w:t>Cita informācija</w:t>
            </w:r>
          </w:p>
        </w:tc>
        <w:tc>
          <w:tcPr>
            <w:tcW w:w="6506" w:type="dxa"/>
            <w:tcBorders>
              <w:top w:val="single" w:color="auto" w:sz="4" w:space="0"/>
              <w:left w:val="single" w:color="auto" w:sz="4" w:space="0"/>
              <w:bottom w:val="single" w:color="auto" w:sz="4" w:space="0"/>
              <w:right w:val="single" w:color="auto" w:sz="4" w:space="0"/>
            </w:tcBorders>
          </w:tcPr>
          <w:p>
            <w:pPr>
              <w:suppressAutoHyphens/>
              <w:snapToGrid w:val="0"/>
              <w:jc w:val="both"/>
              <w:rPr>
                <w:rFonts w:ascii="Times New Roman" w:hAnsi="Times New Roman"/>
                <w:color w:val="000000"/>
                <w:sz w:val="24"/>
                <w:szCs w:val="24"/>
                <w:lang w:eastAsia="ar-SA"/>
              </w:rPr>
            </w:pPr>
            <w:r>
              <w:rPr>
                <w:rFonts w:ascii="Times New Roman" w:hAnsi="Times New Roman"/>
                <w:sz w:val="24"/>
                <w:szCs w:val="24"/>
                <w:lang w:eastAsia="ar-SA"/>
              </w:rPr>
              <w:t>Nav.</w:t>
            </w:r>
          </w:p>
        </w:tc>
      </w:tr>
    </w:tbl>
    <w:p>
      <w:pPr>
        <w:rPr>
          <w:rFonts w:ascii="Times New Roman" w:hAnsi="Times New Roman"/>
          <w:sz w:val="24"/>
          <w:szCs w:val="24"/>
        </w:rPr>
      </w:pPr>
    </w:p>
    <w:tbl>
      <w:tblPr>
        <w:tblStyle w:val="23"/>
        <w:tblW w:w="4969" w:type="pct"/>
        <w:tblInd w:w="3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30" w:type="dxa"/>
          <w:left w:w="30" w:type="dxa"/>
          <w:bottom w:w="30" w:type="dxa"/>
          <w:right w:w="30" w:type="dxa"/>
        </w:tblCellMar>
      </w:tblPr>
      <w:tblGrid>
        <w:gridCol w:w="9356"/>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500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bCs/>
                <w:sz w:val="24"/>
                <w:szCs w:val="24"/>
              </w:rPr>
            </w:pPr>
            <w:r>
              <w:rPr>
                <w:rFonts w:ascii="Times New Roman" w:hAnsi="Times New Roman"/>
                <w:b/>
                <w:bCs/>
                <w:sz w:val="24"/>
                <w:szCs w:val="24"/>
              </w:rPr>
              <w:t>III. Tiesību akta projekta ietekme uz valsts budžetu un pašvaldību budžetiem</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5000" w:type="pct"/>
            <w:tcBorders>
              <w:top w:val="single" w:color="auto" w:sz="4" w:space="0"/>
              <w:left w:val="single" w:color="auto" w:sz="4" w:space="0"/>
              <w:bottom w:val="outset" w:color="000000" w:sz="6" w:space="0"/>
              <w:right w:val="single" w:color="auto" w:sz="4" w:space="0"/>
            </w:tcBorders>
            <w:vAlign w:val="center"/>
          </w:tcPr>
          <w:p>
            <w:pPr>
              <w:jc w:val="center"/>
              <w:rPr>
                <w:rFonts w:ascii="Times New Roman" w:hAnsi="Times New Roman"/>
                <w:bCs/>
                <w:sz w:val="24"/>
                <w:szCs w:val="24"/>
              </w:rPr>
            </w:pPr>
            <w:r>
              <w:rPr>
                <w:rFonts w:ascii="Times New Roman" w:hAnsi="Times New Roman"/>
                <w:bCs/>
                <w:sz w:val="24"/>
                <w:szCs w:val="24"/>
              </w:rPr>
              <w:t>Projekts šo jomu neskar.</w:t>
            </w:r>
          </w:p>
        </w:tc>
      </w:tr>
    </w:tbl>
    <w:p>
      <w:pPr>
        <w:rPr>
          <w:rFonts w:ascii="Times New Roman" w:hAnsi="Times New Roman"/>
          <w:sz w:val="24"/>
          <w:szCs w:val="24"/>
        </w:rPr>
      </w:pPr>
    </w:p>
    <w:tbl>
      <w:tblPr>
        <w:tblStyle w:val="23"/>
        <w:tblW w:w="5001" w:type="pct"/>
        <w:jc w:val="center"/>
        <w:tblBorders>
          <w:top w:val="outset" w:color="414142" w:sz="6" w:space="0"/>
          <w:left w:val="outset" w:color="414142" w:sz="6" w:space="0"/>
          <w:bottom w:val="outset" w:color="414142" w:sz="6" w:space="0"/>
          <w:right w:val="outset" w:color="414142" w:sz="6" w:space="0"/>
          <w:insideH w:val="none" w:color="auto" w:sz="0" w:space="0"/>
          <w:insideV w:val="none" w:color="auto" w:sz="0" w:space="0"/>
        </w:tblBorders>
        <w:tblLayout w:type="autofit"/>
        <w:tblCellMar>
          <w:top w:w="30" w:type="dxa"/>
          <w:left w:w="30" w:type="dxa"/>
          <w:bottom w:w="30" w:type="dxa"/>
          <w:right w:w="30" w:type="dxa"/>
        </w:tblCellMar>
      </w:tblPr>
      <w:tblGrid>
        <w:gridCol w:w="492"/>
        <w:gridCol w:w="2902"/>
        <w:gridCol w:w="6022"/>
      </w:tblGrid>
      <w:tr>
        <w:tblPrEx>
          <w:tblBorders>
            <w:top w:val="outset" w:color="414142" w:sz="6" w:space="0"/>
            <w:left w:val="outset" w:color="414142" w:sz="6" w:space="0"/>
            <w:bottom w:val="outset" w:color="414142" w:sz="6" w:space="0"/>
            <w:right w:val="outset" w:color="414142" w:sz="6" w:space="0"/>
            <w:insideH w:val="none" w:color="auto" w:sz="0" w:space="0"/>
            <w:insideV w:val="none" w:color="auto" w:sz="0" w:space="0"/>
          </w:tblBorders>
        </w:tblPrEx>
        <w:trPr>
          <w:jc w:val="center"/>
        </w:trPr>
        <w:tc>
          <w:tcPr>
            <w:tcW w:w="5000" w:type="pct"/>
            <w:gridSpan w:val="3"/>
            <w:tcBorders>
              <w:top w:val="outset" w:color="414142" w:sz="6" w:space="0"/>
              <w:left w:val="outset" w:color="414142" w:sz="6" w:space="0"/>
              <w:bottom w:val="outset" w:color="414142" w:sz="6" w:space="0"/>
              <w:right w:val="outset" w:color="414142" w:sz="6" w:space="0"/>
            </w:tcBorders>
          </w:tcPr>
          <w:p>
            <w:pPr>
              <w:jc w:val="center"/>
              <w:rPr>
                <w:rFonts w:ascii="Times New Roman" w:hAnsi="Times New Roman"/>
                <w:sz w:val="24"/>
                <w:szCs w:val="24"/>
                <w:highlight w:val="yellow"/>
                <w:lang w:eastAsia="lv-LV"/>
              </w:rPr>
            </w:pPr>
            <w:r>
              <w:rPr>
                <w:rFonts w:ascii="Times New Roman" w:hAnsi="Times New Roman"/>
                <w:b/>
                <w:bCs/>
                <w:sz w:val="24"/>
                <w:szCs w:val="24"/>
              </w:rPr>
              <w:t>IV. Tiesību akta projekta ietekme uz spēkā esošo tiesību normu sistēmu</w:t>
            </w:r>
          </w:p>
        </w:tc>
      </w:tr>
      <w:tr>
        <w:tblPrEx>
          <w:tblBorders>
            <w:top w:val="outset" w:color="414142" w:sz="6" w:space="0"/>
            <w:left w:val="outset" w:color="414142" w:sz="6" w:space="0"/>
            <w:bottom w:val="outset" w:color="414142" w:sz="6" w:space="0"/>
            <w:right w:val="outset" w:color="414142" w:sz="6" w:space="0"/>
            <w:insideH w:val="none" w:color="auto" w:sz="0" w:space="0"/>
            <w:insideV w:val="none" w:color="auto" w:sz="0" w:space="0"/>
          </w:tblBorders>
          <w:tblCellMar>
            <w:top w:w="30" w:type="dxa"/>
            <w:left w:w="30" w:type="dxa"/>
            <w:bottom w:w="30" w:type="dxa"/>
            <w:right w:w="30" w:type="dxa"/>
          </w:tblCellMar>
        </w:tblPrEx>
        <w:trPr>
          <w:jc w:val="center"/>
        </w:trPr>
        <w:tc>
          <w:tcPr>
            <w:tcW w:w="261" w:type="pct"/>
            <w:tcBorders>
              <w:top w:val="outset" w:color="414142" w:sz="6" w:space="0"/>
              <w:left w:val="outset" w:color="414142" w:sz="6" w:space="0"/>
              <w:bottom w:val="outset" w:color="414142" w:sz="6" w:space="0"/>
              <w:right w:val="outset" w:color="414142" w:sz="6" w:space="0"/>
            </w:tcBorders>
          </w:tcPr>
          <w:p>
            <w:pPr>
              <w:spacing w:after="120"/>
              <w:jc w:val="center"/>
              <w:rPr>
                <w:rFonts w:ascii="Times New Roman" w:hAnsi="Times New Roman"/>
                <w:sz w:val="24"/>
                <w:szCs w:val="24"/>
                <w:lang w:eastAsia="lv-LV"/>
              </w:rPr>
            </w:pPr>
            <w:r>
              <w:rPr>
                <w:rFonts w:ascii="Times New Roman" w:hAnsi="Times New Roman"/>
                <w:sz w:val="24"/>
                <w:szCs w:val="24"/>
                <w:lang w:eastAsia="lv-LV"/>
              </w:rPr>
              <w:t>1.</w:t>
            </w:r>
          </w:p>
        </w:tc>
        <w:tc>
          <w:tcPr>
            <w:tcW w:w="1541" w:type="pct"/>
            <w:tcBorders>
              <w:top w:val="outset" w:color="414142" w:sz="6" w:space="0"/>
              <w:left w:val="outset" w:color="414142" w:sz="6" w:space="0"/>
              <w:bottom w:val="outset" w:color="414142" w:sz="6" w:space="0"/>
              <w:right w:val="outset" w:color="414142" w:sz="6" w:space="0"/>
            </w:tcBorders>
          </w:tcPr>
          <w:p>
            <w:pPr>
              <w:spacing w:after="120"/>
              <w:jc w:val="both"/>
              <w:rPr>
                <w:rFonts w:ascii="Times New Roman" w:hAnsi="Times New Roman"/>
                <w:sz w:val="24"/>
                <w:szCs w:val="24"/>
                <w:lang w:eastAsia="lv-LV"/>
              </w:rPr>
            </w:pPr>
            <w:r>
              <w:rPr>
                <w:rFonts w:ascii="Times New Roman" w:hAnsi="Times New Roman"/>
                <w:sz w:val="24"/>
                <w:szCs w:val="24"/>
                <w:lang w:eastAsia="lv-LV"/>
              </w:rPr>
              <w:t>Saistītie tiesību aktu projekti</w:t>
            </w:r>
          </w:p>
        </w:tc>
        <w:tc>
          <w:tcPr>
            <w:tcW w:w="3198" w:type="pct"/>
            <w:tcBorders>
              <w:top w:val="outset" w:color="414142" w:sz="6" w:space="0"/>
              <w:left w:val="outset" w:color="414142" w:sz="6" w:space="0"/>
              <w:bottom w:val="outset" w:color="414142" w:sz="6" w:space="0"/>
              <w:right w:val="outset" w:color="414142" w:sz="6" w:space="0"/>
            </w:tcBorders>
          </w:tcPr>
          <w:p>
            <w:pPr>
              <w:ind w:left="12" w:right="147"/>
              <w:jc w:val="both"/>
              <w:rPr>
                <w:rFonts w:ascii="Times New Roman" w:hAnsi="Times New Roman"/>
                <w:sz w:val="24"/>
                <w:szCs w:val="24"/>
                <w:highlight w:val="yellow"/>
                <w:lang w:eastAsia="lv-LV"/>
              </w:rPr>
            </w:pPr>
            <w:r>
              <w:rPr>
                <w:rFonts w:ascii="Times New Roman" w:hAnsi="Times New Roman"/>
                <w:sz w:val="24"/>
                <w:szCs w:val="24"/>
              </w:rPr>
              <w:t xml:space="preserve">Nolīguma noteikumi būs noteicošie attiecībā pret atbilstošajiem noteikumiem līdz šim spēkā esošajos divpusējos gaisa satiksmes pakalpojumu nolīgumos starp Eiropas Savienības dalībvalstīm un Kataras Valsti (starp Latvijas Republiku un Kataras </w:t>
            </w:r>
            <w:r>
              <w:rPr>
                <w:rFonts w:ascii="Times New Roman" w:hAnsi="Times New Roman" w:eastAsia="SimSun"/>
                <w:sz w:val="24"/>
                <w:szCs w:val="24"/>
              </w:rPr>
              <w:t>Valsti</w:t>
            </w:r>
            <w:r>
              <w:rPr>
                <w:rFonts w:ascii="Times New Roman" w:hAnsi="Times New Roman"/>
                <w:sz w:val="24"/>
                <w:szCs w:val="24"/>
              </w:rPr>
              <w:t xml:space="preserve"> aviācijas jomā nav noslēgtu līgumu).</w:t>
            </w:r>
          </w:p>
        </w:tc>
      </w:tr>
      <w:tr>
        <w:tblPrEx>
          <w:tblBorders>
            <w:top w:val="outset" w:color="414142" w:sz="6" w:space="0"/>
            <w:left w:val="outset" w:color="414142" w:sz="6" w:space="0"/>
            <w:bottom w:val="outset" w:color="414142" w:sz="6" w:space="0"/>
            <w:right w:val="outset" w:color="414142" w:sz="6" w:space="0"/>
            <w:insideH w:val="none" w:color="auto" w:sz="0" w:space="0"/>
            <w:insideV w:val="none" w:color="auto" w:sz="0" w:space="0"/>
          </w:tblBorders>
          <w:tblCellMar>
            <w:top w:w="30" w:type="dxa"/>
            <w:left w:w="30" w:type="dxa"/>
            <w:bottom w:w="30" w:type="dxa"/>
            <w:right w:w="30" w:type="dxa"/>
          </w:tblCellMar>
        </w:tblPrEx>
        <w:trPr>
          <w:jc w:val="center"/>
        </w:trPr>
        <w:tc>
          <w:tcPr>
            <w:tcW w:w="261" w:type="pct"/>
            <w:tcBorders>
              <w:top w:val="outset" w:color="414142" w:sz="6" w:space="0"/>
              <w:left w:val="outset" w:color="414142" w:sz="6" w:space="0"/>
              <w:bottom w:val="outset" w:color="414142" w:sz="6" w:space="0"/>
              <w:right w:val="outset" w:color="414142" w:sz="6" w:space="0"/>
            </w:tcBorders>
          </w:tcPr>
          <w:p>
            <w:pPr>
              <w:spacing w:after="120"/>
              <w:jc w:val="center"/>
              <w:rPr>
                <w:rFonts w:ascii="Times New Roman" w:hAnsi="Times New Roman"/>
                <w:sz w:val="24"/>
                <w:szCs w:val="24"/>
                <w:lang w:eastAsia="lv-LV"/>
              </w:rPr>
            </w:pPr>
            <w:r>
              <w:rPr>
                <w:rFonts w:ascii="Times New Roman" w:hAnsi="Times New Roman"/>
                <w:sz w:val="24"/>
                <w:szCs w:val="24"/>
                <w:lang w:eastAsia="lv-LV"/>
              </w:rPr>
              <w:t>2.</w:t>
            </w:r>
          </w:p>
        </w:tc>
        <w:tc>
          <w:tcPr>
            <w:tcW w:w="1541" w:type="pct"/>
            <w:tcBorders>
              <w:top w:val="outset" w:color="414142" w:sz="6" w:space="0"/>
              <w:left w:val="outset" w:color="414142" w:sz="6" w:space="0"/>
              <w:bottom w:val="outset" w:color="414142" w:sz="6" w:space="0"/>
              <w:right w:val="outset" w:color="414142" w:sz="6" w:space="0"/>
            </w:tcBorders>
          </w:tcPr>
          <w:p>
            <w:pPr>
              <w:spacing w:after="120"/>
              <w:jc w:val="both"/>
              <w:rPr>
                <w:rFonts w:ascii="Times New Roman" w:hAnsi="Times New Roman"/>
                <w:sz w:val="24"/>
                <w:szCs w:val="24"/>
                <w:lang w:eastAsia="lv-LV"/>
              </w:rPr>
            </w:pPr>
            <w:r>
              <w:rPr>
                <w:rFonts w:ascii="Times New Roman" w:hAnsi="Times New Roman"/>
                <w:sz w:val="24"/>
                <w:szCs w:val="24"/>
                <w:lang w:eastAsia="lv-LV"/>
              </w:rPr>
              <w:t>Atbildīgā institūcija</w:t>
            </w:r>
          </w:p>
        </w:tc>
        <w:tc>
          <w:tcPr>
            <w:tcW w:w="3198" w:type="pct"/>
            <w:tcBorders>
              <w:top w:val="outset" w:color="414142" w:sz="6" w:space="0"/>
              <w:left w:val="outset" w:color="414142" w:sz="6" w:space="0"/>
              <w:bottom w:val="outset" w:color="414142" w:sz="6" w:space="0"/>
              <w:right w:val="outset" w:color="414142" w:sz="6" w:space="0"/>
            </w:tcBorders>
          </w:tcPr>
          <w:p>
            <w:pPr>
              <w:jc w:val="both"/>
              <w:rPr>
                <w:rFonts w:ascii="Times New Roman" w:hAnsi="Times New Roman"/>
                <w:sz w:val="24"/>
                <w:szCs w:val="24"/>
                <w:lang w:eastAsia="lv-LV"/>
              </w:rPr>
            </w:pPr>
            <w:r>
              <w:rPr>
                <w:rFonts w:ascii="Times New Roman" w:hAnsi="Times New Roman"/>
                <w:sz w:val="24"/>
                <w:szCs w:val="24"/>
                <w:lang w:eastAsia="lv-LV"/>
              </w:rPr>
              <w:t>Satiksmes ministrija.</w:t>
            </w:r>
          </w:p>
          <w:p>
            <w:pPr>
              <w:jc w:val="both"/>
              <w:rPr>
                <w:rFonts w:ascii="Times New Roman" w:hAnsi="Times New Roman"/>
                <w:sz w:val="24"/>
                <w:szCs w:val="24"/>
                <w:lang w:eastAsia="lv-LV"/>
              </w:rPr>
            </w:pPr>
          </w:p>
        </w:tc>
      </w:tr>
      <w:tr>
        <w:tblPrEx>
          <w:tblBorders>
            <w:top w:val="outset" w:color="414142" w:sz="6" w:space="0"/>
            <w:left w:val="outset" w:color="414142" w:sz="6" w:space="0"/>
            <w:bottom w:val="outset" w:color="414142" w:sz="6" w:space="0"/>
            <w:right w:val="outset" w:color="414142" w:sz="6" w:space="0"/>
            <w:insideH w:val="none" w:color="auto" w:sz="0" w:space="0"/>
            <w:insideV w:val="none" w:color="auto" w:sz="0" w:space="0"/>
          </w:tblBorders>
          <w:tblCellMar>
            <w:top w:w="30" w:type="dxa"/>
            <w:left w:w="30" w:type="dxa"/>
            <w:bottom w:w="30" w:type="dxa"/>
            <w:right w:w="30" w:type="dxa"/>
          </w:tblCellMar>
        </w:tblPrEx>
        <w:trPr>
          <w:jc w:val="center"/>
        </w:trPr>
        <w:tc>
          <w:tcPr>
            <w:tcW w:w="261" w:type="pct"/>
            <w:tcBorders>
              <w:top w:val="outset" w:color="414142" w:sz="6" w:space="0"/>
              <w:left w:val="outset" w:color="414142" w:sz="6" w:space="0"/>
              <w:bottom w:val="outset" w:color="414142" w:sz="6" w:space="0"/>
              <w:right w:val="outset" w:color="414142" w:sz="6" w:space="0"/>
            </w:tcBorders>
          </w:tcPr>
          <w:p>
            <w:pPr>
              <w:spacing w:after="120"/>
              <w:jc w:val="center"/>
              <w:rPr>
                <w:rFonts w:ascii="Times New Roman" w:hAnsi="Times New Roman"/>
                <w:sz w:val="24"/>
                <w:szCs w:val="24"/>
                <w:lang w:eastAsia="lv-LV"/>
              </w:rPr>
            </w:pPr>
            <w:r>
              <w:rPr>
                <w:rFonts w:ascii="Times New Roman" w:hAnsi="Times New Roman"/>
                <w:sz w:val="24"/>
                <w:szCs w:val="24"/>
                <w:lang w:eastAsia="lv-LV"/>
              </w:rPr>
              <w:t>3.</w:t>
            </w:r>
          </w:p>
        </w:tc>
        <w:tc>
          <w:tcPr>
            <w:tcW w:w="1541" w:type="pct"/>
            <w:tcBorders>
              <w:top w:val="outset" w:color="414142" w:sz="6" w:space="0"/>
              <w:left w:val="outset" w:color="414142" w:sz="6" w:space="0"/>
              <w:bottom w:val="outset" w:color="414142" w:sz="6" w:space="0"/>
              <w:right w:val="outset" w:color="414142" w:sz="6" w:space="0"/>
            </w:tcBorders>
          </w:tcPr>
          <w:p>
            <w:pPr>
              <w:spacing w:after="120"/>
              <w:jc w:val="both"/>
              <w:rPr>
                <w:rFonts w:ascii="Times New Roman" w:hAnsi="Times New Roman"/>
                <w:sz w:val="24"/>
                <w:szCs w:val="24"/>
                <w:lang w:eastAsia="lv-LV"/>
              </w:rPr>
            </w:pPr>
            <w:r>
              <w:rPr>
                <w:rFonts w:ascii="Times New Roman" w:hAnsi="Times New Roman"/>
                <w:sz w:val="24"/>
                <w:szCs w:val="24"/>
                <w:lang w:eastAsia="lv-LV"/>
              </w:rPr>
              <w:t>Cita informācija</w:t>
            </w:r>
          </w:p>
        </w:tc>
        <w:tc>
          <w:tcPr>
            <w:tcW w:w="3198" w:type="pct"/>
            <w:tcBorders>
              <w:top w:val="outset" w:color="414142" w:sz="6" w:space="0"/>
              <w:left w:val="outset" w:color="414142" w:sz="6" w:space="0"/>
              <w:bottom w:val="outset" w:color="414142" w:sz="6" w:space="0"/>
              <w:right w:val="outset" w:color="414142" w:sz="6" w:space="0"/>
            </w:tcBorders>
          </w:tcPr>
          <w:p>
            <w:pPr>
              <w:spacing w:after="120"/>
              <w:jc w:val="both"/>
              <w:rPr>
                <w:rFonts w:ascii="Times New Roman" w:hAnsi="Times New Roman"/>
                <w:sz w:val="24"/>
                <w:szCs w:val="24"/>
                <w:lang w:eastAsia="lv-LV"/>
              </w:rPr>
            </w:pPr>
            <w:r>
              <w:rPr>
                <w:rFonts w:ascii="Times New Roman" w:hAnsi="Times New Roman"/>
                <w:sz w:val="24"/>
                <w:szCs w:val="24"/>
                <w:lang w:eastAsia="lv-LV"/>
              </w:rPr>
              <w:t>Nav.</w:t>
            </w:r>
          </w:p>
        </w:tc>
      </w:tr>
    </w:tbl>
    <w:p>
      <w:pPr>
        <w:rPr>
          <w:rFonts w:ascii="Times New Roman" w:hAnsi="Times New Roman"/>
          <w:sz w:val="24"/>
          <w:szCs w:val="24"/>
        </w:rPr>
      </w:pPr>
    </w:p>
    <w:tbl>
      <w:tblPr>
        <w:tblStyle w:val="23"/>
        <w:tblW w:w="4969" w:type="pct"/>
        <w:tblInd w:w="3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
      <w:tblGrid>
        <w:gridCol w:w="425"/>
        <w:gridCol w:w="2268"/>
        <w:gridCol w:w="6663"/>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5000" w:type="pct"/>
            <w:gridSpan w:val="3"/>
            <w:tcBorders>
              <w:top w:val="single" w:color="auto" w:sz="4" w:space="0"/>
              <w:left w:val="single" w:color="auto" w:sz="4" w:space="0"/>
              <w:bottom w:val="outset" w:color="000000" w:sz="6" w:space="0"/>
              <w:right w:val="single" w:color="auto" w:sz="4" w:space="0"/>
            </w:tcBorders>
          </w:tcPr>
          <w:p>
            <w:pPr>
              <w:jc w:val="center"/>
              <w:rPr>
                <w:rFonts w:ascii="Times New Roman" w:hAnsi="Times New Roman"/>
                <w:b/>
                <w:bCs/>
                <w:sz w:val="24"/>
                <w:szCs w:val="24"/>
              </w:rPr>
            </w:pPr>
            <w:r>
              <w:rPr>
                <w:rFonts w:ascii="Times New Roman" w:hAnsi="Times New Roman"/>
                <w:b/>
                <w:bCs/>
                <w:sz w:val="24"/>
                <w:szCs w:val="24"/>
              </w:rPr>
              <w:t>V. Tiesību akta projekta atbilstība Latvijas Republikas starptautiskajām saistībām</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227" w:type="pct"/>
            <w:tcBorders>
              <w:top w:val="outset" w:color="000000" w:sz="6" w:space="0"/>
              <w:left w:val="outset" w:color="000000" w:sz="6" w:space="0"/>
              <w:bottom w:val="outset" w:color="000000" w:sz="6" w:space="0"/>
              <w:right w:val="outset" w:color="000000" w:sz="6" w:space="0"/>
            </w:tcBorders>
          </w:tcPr>
          <w:p>
            <w:pPr>
              <w:jc w:val="center"/>
              <w:rPr>
                <w:rFonts w:ascii="Times New Roman" w:hAnsi="Times New Roman"/>
                <w:sz w:val="24"/>
                <w:szCs w:val="24"/>
              </w:rPr>
            </w:pPr>
            <w:r>
              <w:rPr>
                <w:rFonts w:ascii="Times New Roman" w:hAnsi="Times New Roman"/>
                <w:sz w:val="24"/>
                <w:szCs w:val="24"/>
              </w:rPr>
              <w:t>1.</w:t>
            </w:r>
          </w:p>
        </w:tc>
        <w:tc>
          <w:tcPr>
            <w:tcW w:w="1212" w:type="pct"/>
            <w:tcBorders>
              <w:top w:val="outset" w:color="000000" w:sz="6" w:space="0"/>
              <w:left w:val="outset" w:color="000000" w:sz="6" w:space="0"/>
              <w:bottom w:val="outset" w:color="000000" w:sz="6" w:space="0"/>
              <w:right w:val="outset" w:color="000000" w:sz="6" w:space="0"/>
            </w:tcBorders>
          </w:tcPr>
          <w:p>
            <w:pPr>
              <w:rPr>
                <w:rFonts w:ascii="Times New Roman" w:hAnsi="Times New Roman"/>
                <w:sz w:val="24"/>
                <w:szCs w:val="24"/>
              </w:rPr>
            </w:pPr>
            <w:r>
              <w:rPr>
                <w:rFonts w:ascii="Times New Roman" w:hAnsi="Times New Roman"/>
                <w:sz w:val="24"/>
                <w:szCs w:val="24"/>
              </w:rPr>
              <w:t>Saistības pret Eiropas Savienību</w:t>
            </w:r>
          </w:p>
        </w:tc>
        <w:tc>
          <w:tcPr>
            <w:tcW w:w="3560" w:type="pct"/>
            <w:tcBorders>
              <w:top w:val="outset" w:color="000000" w:sz="6" w:space="0"/>
              <w:left w:val="outset" w:color="000000" w:sz="6" w:space="0"/>
              <w:bottom w:val="outset" w:color="000000" w:sz="6" w:space="0"/>
              <w:right w:val="outset" w:color="000000" w:sz="6" w:space="0"/>
            </w:tcBorders>
          </w:tcPr>
          <w:p>
            <w:pPr>
              <w:jc w:val="both"/>
              <w:rPr>
                <w:rFonts w:ascii="Times New Roman" w:hAnsi="Times New Roman"/>
                <w:sz w:val="24"/>
                <w:szCs w:val="24"/>
              </w:rPr>
            </w:pPr>
            <w:r>
              <w:rPr>
                <w:rFonts w:ascii="Times New Roman" w:hAnsi="Times New Roman"/>
                <w:sz w:val="24"/>
                <w:szCs w:val="24"/>
              </w:rPr>
              <w:t>Parakstot Nolīgumu, Latvija kā viena no Eiropas Savienības dalībvalstīm uzņemas saistības, ko nosaka Nolīguma nosacījumi</w:t>
            </w:r>
            <w:r>
              <w:rPr>
                <w:rFonts w:ascii="Times New Roman" w:hAnsi="Times New Roman"/>
                <w:bCs/>
                <w:sz w:val="24"/>
                <w:szCs w:val="24"/>
              </w:rPr>
              <w:t>.</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227" w:type="pct"/>
            <w:tcBorders>
              <w:top w:val="outset" w:color="000000" w:sz="6" w:space="0"/>
              <w:left w:val="outset" w:color="000000" w:sz="6" w:space="0"/>
              <w:bottom w:val="outset" w:color="000000" w:sz="6" w:space="0"/>
              <w:right w:val="outset" w:color="000000" w:sz="6" w:space="0"/>
            </w:tcBorders>
          </w:tcPr>
          <w:p>
            <w:pPr>
              <w:jc w:val="center"/>
              <w:rPr>
                <w:rFonts w:ascii="Times New Roman" w:hAnsi="Times New Roman"/>
                <w:sz w:val="24"/>
                <w:szCs w:val="24"/>
              </w:rPr>
            </w:pPr>
            <w:r>
              <w:rPr>
                <w:rFonts w:ascii="Times New Roman" w:hAnsi="Times New Roman"/>
                <w:sz w:val="24"/>
                <w:szCs w:val="24"/>
              </w:rPr>
              <w:t>2.</w:t>
            </w:r>
          </w:p>
        </w:tc>
        <w:tc>
          <w:tcPr>
            <w:tcW w:w="1212" w:type="pct"/>
            <w:tcBorders>
              <w:top w:val="outset" w:color="000000" w:sz="6" w:space="0"/>
              <w:left w:val="outset" w:color="000000" w:sz="6" w:space="0"/>
              <w:bottom w:val="outset" w:color="000000" w:sz="6" w:space="0"/>
              <w:right w:val="outset" w:color="000000" w:sz="6" w:space="0"/>
            </w:tcBorders>
          </w:tcPr>
          <w:p>
            <w:pPr>
              <w:rPr>
                <w:rFonts w:ascii="Times New Roman" w:hAnsi="Times New Roman"/>
                <w:sz w:val="24"/>
                <w:szCs w:val="24"/>
              </w:rPr>
            </w:pPr>
            <w:r>
              <w:rPr>
                <w:rFonts w:ascii="Times New Roman" w:hAnsi="Times New Roman"/>
                <w:sz w:val="24"/>
                <w:szCs w:val="24"/>
              </w:rPr>
              <w:t>Citas starptautiskās saistības</w:t>
            </w:r>
          </w:p>
        </w:tc>
        <w:tc>
          <w:tcPr>
            <w:tcW w:w="3560" w:type="pct"/>
            <w:tcBorders>
              <w:top w:val="outset" w:color="000000" w:sz="6" w:space="0"/>
              <w:left w:val="outset" w:color="000000" w:sz="6" w:space="0"/>
              <w:bottom w:val="outset" w:color="000000" w:sz="6" w:space="0"/>
              <w:right w:val="outset" w:color="000000" w:sz="6" w:space="0"/>
            </w:tcBorders>
          </w:tcPr>
          <w:p>
            <w:pPr>
              <w:ind w:left="61" w:right="77"/>
              <w:jc w:val="both"/>
              <w:rPr>
                <w:rFonts w:ascii="Times New Roman" w:hAnsi="Times New Roman"/>
                <w:sz w:val="24"/>
                <w:szCs w:val="24"/>
              </w:rPr>
            </w:pPr>
            <w:r>
              <w:rPr>
                <w:rFonts w:ascii="Times New Roman" w:hAnsi="Times New Roman"/>
                <w:color w:val="000000"/>
                <w:sz w:val="24"/>
                <w:szCs w:val="24"/>
                <w:lang w:val="en-US"/>
              </w:rPr>
              <w:t>Nav</w:t>
            </w:r>
            <w:r>
              <w:rPr>
                <w:rFonts w:ascii="Times New Roman" w:hAnsi="Times New Roman"/>
                <w:color w:val="000000"/>
                <w:sz w:val="24"/>
                <w:szCs w:val="24"/>
              </w:rPr>
              <w:t>.</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227" w:type="pct"/>
            <w:tcBorders>
              <w:top w:val="outset" w:color="000000" w:sz="6" w:space="0"/>
              <w:left w:val="outset" w:color="000000" w:sz="6" w:space="0"/>
              <w:bottom w:val="outset" w:color="000000" w:sz="6" w:space="0"/>
              <w:right w:val="outset" w:color="000000" w:sz="6" w:space="0"/>
            </w:tcBorders>
          </w:tcPr>
          <w:p>
            <w:pPr>
              <w:jc w:val="center"/>
              <w:rPr>
                <w:rFonts w:ascii="Times New Roman" w:hAnsi="Times New Roman"/>
                <w:sz w:val="24"/>
                <w:szCs w:val="24"/>
              </w:rPr>
            </w:pPr>
            <w:r>
              <w:rPr>
                <w:rFonts w:ascii="Times New Roman" w:hAnsi="Times New Roman"/>
                <w:sz w:val="24"/>
                <w:szCs w:val="24"/>
              </w:rPr>
              <w:t>3.</w:t>
            </w:r>
          </w:p>
        </w:tc>
        <w:tc>
          <w:tcPr>
            <w:tcW w:w="1212" w:type="pct"/>
            <w:tcBorders>
              <w:top w:val="outset" w:color="000000" w:sz="6" w:space="0"/>
              <w:left w:val="outset" w:color="000000" w:sz="6" w:space="0"/>
              <w:bottom w:val="outset" w:color="000000" w:sz="6" w:space="0"/>
              <w:right w:val="outset" w:color="000000" w:sz="6" w:space="0"/>
            </w:tcBorders>
          </w:tcPr>
          <w:p>
            <w:pPr>
              <w:rPr>
                <w:rFonts w:ascii="Times New Roman" w:hAnsi="Times New Roman"/>
                <w:sz w:val="24"/>
                <w:szCs w:val="24"/>
              </w:rPr>
            </w:pPr>
            <w:r>
              <w:rPr>
                <w:rFonts w:ascii="Times New Roman" w:hAnsi="Times New Roman"/>
                <w:sz w:val="24"/>
                <w:szCs w:val="24"/>
              </w:rPr>
              <w:t>Cita informācija</w:t>
            </w:r>
          </w:p>
        </w:tc>
        <w:tc>
          <w:tcPr>
            <w:tcW w:w="3560" w:type="pct"/>
            <w:tcBorders>
              <w:top w:val="outset" w:color="000000" w:sz="6" w:space="0"/>
              <w:left w:val="outset" w:color="000000" w:sz="6" w:space="0"/>
              <w:bottom w:val="outset" w:color="000000" w:sz="6" w:space="0"/>
              <w:right w:val="outset" w:color="000000" w:sz="6" w:space="0"/>
            </w:tcBorders>
          </w:tcPr>
          <w:p>
            <w:pPr>
              <w:ind w:left="62" w:right="112"/>
              <w:jc w:val="both"/>
              <w:rPr>
                <w:rFonts w:ascii="Times New Roman" w:hAnsi="Times New Roman"/>
                <w:sz w:val="24"/>
                <w:szCs w:val="24"/>
                <w:highlight w:val="yellow"/>
              </w:rPr>
            </w:pPr>
            <w:r>
              <w:rPr>
                <w:rFonts w:ascii="Times New Roman" w:hAnsi="Times New Roman"/>
                <w:sz w:val="24"/>
                <w:szCs w:val="24"/>
              </w:rPr>
              <w:t>Nav.</w:t>
            </w:r>
          </w:p>
        </w:tc>
      </w:tr>
    </w:tbl>
    <w:p>
      <w:pPr>
        <w:rPr>
          <w:rFonts w:ascii="Times New Roman" w:hAnsi="Times New Roman"/>
          <w:sz w:val="24"/>
          <w:szCs w:val="24"/>
          <w:lang w:eastAsia="lv-LV"/>
        </w:rPr>
      </w:pPr>
      <w:r>
        <w:rPr>
          <w:rFonts w:ascii="Times New Roman" w:hAnsi="Times New Roman"/>
          <w:sz w:val="24"/>
          <w:szCs w:val="24"/>
        </w:rPr>
        <w:t>  </w:t>
      </w:r>
    </w:p>
    <w:tbl>
      <w:tblPr>
        <w:tblStyle w:val="23"/>
        <w:tblW w:w="9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9361" w:type="dxa"/>
            <w:vAlign w:val="center"/>
          </w:tcPr>
          <w:p>
            <w:pPr>
              <w:ind w:left="57" w:right="57"/>
              <w:jc w:val="center"/>
              <w:rPr>
                <w:rFonts w:ascii="Times New Roman" w:hAnsi="Times New Roman"/>
                <w:sz w:val="24"/>
                <w:szCs w:val="24"/>
                <w:lang w:eastAsia="lv-LV"/>
              </w:rPr>
            </w:pPr>
            <w:r>
              <w:rPr>
                <w:rFonts w:ascii="Times New Roman" w:hAnsi="Times New Roman"/>
                <w:b/>
                <w:sz w:val="24"/>
                <w:szCs w:val="24"/>
                <w:lang w:eastAsia="lv-LV"/>
              </w:rPr>
              <w:t>VI. Sabiedrības līdzdalība un komunikācijas aktivitātes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4" w:hRule="atLeast"/>
          <w:jc w:val="center"/>
        </w:trPr>
        <w:tc>
          <w:tcPr>
            <w:tcW w:w="9361" w:type="dxa"/>
            <w:tcBorders/>
          </w:tcPr>
          <w:p>
            <w:pPr>
              <w:jc w:val="center"/>
              <w:rPr>
                <w:rFonts w:ascii="Times New Roman" w:hAnsi="Times New Roman"/>
                <w:sz w:val="24"/>
                <w:szCs w:val="24"/>
              </w:rPr>
            </w:pPr>
            <w:bookmarkStart w:id="1" w:name="p61"/>
            <w:bookmarkEnd w:id="1"/>
            <w:r>
              <w:rPr>
                <w:rFonts w:ascii="Times New Roman" w:hAnsi="Times New Roman"/>
                <w:bCs/>
                <w:sz w:val="24"/>
                <w:szCs w:val="24"/>
              </w:rPr>
              <w:t>Projekts šo jomu neskar.</w:t>
            </w:r>
          </w:p>
        </w:tc>
      </w:tr>
    </w:tbl>
    <w:p>
      <w:pPr>
        <w:rPr>
          <w:rFonts w:ascii="Times New Roman" w:hAnsi="Times New Roman"/>
          <w:sz w:val="24"/>
          <w:szCs w:val="24"/>
        </w:rPr>
      </w:pPr>
      <w:bookmarkStart w:id="2" w:name="p62"/>
      <w:bookmarkEnd w:id="2"/>
    </w:p>
    <w:tbl>
      <w:tblPr>
        <w:tblStyle w:val="23"/>
        <w:tblW w:w="4976" w:type="pct"/>
        <w:tblInd w:w="-8"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30" w:type="dxa"/>
          <w:left w:w="30" w:type="dxa"/>
          <w:bottom w:w="30" w:type="dxa"/>
          <w:right w:w="30" w:type="dxa"/>
        </w:tblCellMar>
      </w:tblPr>
      <w:tblGrid>
        <w:gridCol w:w="296"/>
        <w:gridCol w:w="4310"/>
        <w:gridCol w:w="4763"/>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5000" w:type="pct"/>
            <w:gridSpan w:val="3"/>
            <w:tcBorders>
              <w:top w:val="outset" w:color="000000" w:sz="6" w:space="0"/>
              <w:left w:val="outset" w:color="000000" w:sz="6" w:space="0"/>
              <w:bottom w:val="outset" w:color="000000" w:sz="6" w:space="0"/>
              <w:right w:val="outset" w:color="000000" w:sz="6" w:space="0"/>
            </w:tcBorders>
          </w:tcPr>
          <w:p>
            <w:pPr>
              <w:jc w:val="center"/>
              <w:rPr>
                <w:rFonts w:ascii="Times New Roman" w:hAnsi="Times New Roman"/>
                <w:b/>
                <w:bCs/>
                <w:sz w:val="24"/>
                <w:szCs w:val="24"/>
              </w:rPr>
            </w:pPr>
            <w:r>
              <w:rPr>
                <w:rFonts w:ascii="Times New Roman" w:hAnsi="Times New Roman"/>
                <w:b/>
                <w:bCs/>
                <w:sz w:val="24"/>
                <w:szCs w:val="24"/>
              </w:rPr>
              <w:t>VII. Tiesību akta projekta izpildes nodrošināšana un tās ietekme uz institūcijām</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158" w:type="pct"/>
            <w:tcBorders>
              <w:top w:val="outset" w:color="000000" w:sz="6" w:space="0"/>
              <w:left w:val="outset" w:color="000000" w:sz="6" w:space="0"/>
              <w:bottom w:val="outset" w:color="000000" w:sz="6" w:space="0"/>
              <w:right w:val="outset" w:color="000000" w:sz="6" w:space="0"/>
            </w:tcBorders>
          </w:tcPr>
          <w:p>
            <w:pPr>
              <w:jc w:val="center"/>
              <w:rPr>
                <w:rFonts w:ascii="Times New Roman" w:hAnsi="Times New Roman"/>
                <w:sz w:val="24"/>
                <w:szCs w:val="24"/>
              </w:rPr>
            </w:pPr>
            <w:r>
              <w:rPr>
                <w:rFonts w:ascii="Times New Roman" w:hAnsi="Times New Roman"/>
                <w:sz w:val="24"/>
                <w:szCs w:val="24"/>
              </w:rPr>
              <w:t>1.</w:t>
            </w:r>
          </w:p>
        </w:tc>
        <w:tc>
          <w:tcPr>
            <w:tcW w:w="2300" w:type="pct"/>
            <w:tcBorders>
              <w:top w:val="outset" w:color="000000" w:sz="6" w:space="0"/>
              <w:left w:val="outset" w:color="000000" w:sz="6" w:space="0"/>
              <w:bottom w:val="outset" w:color="000000" w:sz="6" w:space="0"/>
              <w:right w:val="outset" w:color="000000" w:sz="6" w:space="0"/>
            </w:tcBorders>
          </w:tcPr>
          <w:p>
            <w:pPr>
              <w:rPr>
                <w:rFonts w:ascii="Times New Roman" w:hAnsi="Times New Roman"/>
                <w:sz w:val="24"/>
                <w:szCs w:val="24"/>
              </w:rPr>
            </w:pPr>
            <w:r>
              <w:rPr>
                <w:rFonts w:ascii="Times New Roman" w:hAnsi="Times New Roman"/>
                <w:sz w:val="24"/>
                <w:szCs w:val="24"/>
              </w:rPr>
              <w:t>Projekta izpildē iesaistītās institūcijas</w:t>
            </w:r>
          </w:p>
        </w:tc>
        <w:tc>
          <w:tcPr>
            <w:tcW w:w="2541" w:type="pct"/>
            <w:tcBorders>
              <w:top w:val="outset" w:color="000000" w:sz="6" w:space="0"/>
              <w:left w:val="outset" w:color="000000" w:sz="6" w:space="0"/>
              <w:bottom w:val="outset" w:color="000000" w:sz="6" w:space="0"/>
              <w:right w:val="outset" w:color="000000" w:sz="6" w:space="0"/>
            </w:tcBorders>
          </w:tcPr>
          <w:p>
            <w:pPr>
              <w:jc w:val="both"/>
              <w:rPr>
                <w:rFonts w:ascii="Times New Roman" w:hAnsi="Times New Roman"/>
                <w:sz w:val="24"/>
                <w:szCs w:val="24"/>
              </w:rPr>
            </w:pPr>
            <w:r>
              <w:rPr>
                <w:rFonts w:ascii="Times New Roman" w:hAnsi="Times New Roman"/>
                <w:sz w:val="24"/>
                <w:szCs w:val="24"/>
              </w:rPr>
              <w:t>Satiksmes ministrija.</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158" w:type="pct"/>
            <w:tcBorders>
              <w:top w:val="outset" w:color="000000" w:sz="6" w:space="0"/>
              <w:left w:val="outset" w:color="000000" w:sz="6" w:space="0"/>
              <w:bottom w:val="outset" w:color="000000" w:sz="6" w:space="0"/>
              <w:right w:val="outset" w:color="000000" w:sz="6" w:space="0"/>
            </w:tcBorders>
          </w:tcPr>
          <w:p>
            <w:pPr>
              <w:jc w:val="center"/>
              <w:rPr>
                <w:rFonts w:ascii="Times New Roman" w:hAnsi="Times New Roman"/>
                <w:sz w:val="24"/>
                <w:szCs w:val="24"/>
              </w:rPr>
            </w:pPr>
            <w:r>
              <w:rPr>
                <w:rFonts w:ascii="Times New Roman" w:hAnsi="Times New Roman"/>
                <w:sz w:val="24"/>
                <w:szCs w:val="24"/>
              </w:rPr>
              <w:t>2.</w:t>
            </w:r>
          </w:p>
        </w:tc>
        <w:tc>
          <w:tcPr>
            <w:tcW w:w="2300" w:type="pct"/>
            <w:tcBorders>
              <w:top w:val="outset" w:color="000000" w:sz="6" w:space="0"/>
              <w:left w:val="outset" w:color="000000" w:sz="6" w:space="0"/>
              <w:bottom w:val="outset" w:color="000000" w:sz="6" w:space="0"/>
              <w:right w:val="outset" w:color="000000" w:sz="6" w:space="0"/>
            </w:tcBorders>
          </w:tcPr>
          <w:p>
            <w:pPr>
              <w:rPr>
                <w:rFonts w:ascii="Times New Roman" w:hAnsi="Times New Roman"/>
                <w:sz w:val="24"/>
                <w:szCs w:val="24"/>
              </w:rPr>
            </w:pPr>
            <w:r>
              <w:rPr>
                <w:rFonts w:ascii="Times New Roman" w:hAnsi="Times New Roman"/>
                <w:sz w:val="24"/>
                <w:szCs w:val="24"/>
              </w:rPr>
              <w:t>Projekta izpildes ietekme uz pārvaldes funkcijām un institucionālo struktūru.</w:t>
            </w:r>
          </w:p>
          <w:p>
            <w:pPr>
              <w:jc w:val="both"/>
              <w:rPr>
                <w:rFonts w:ascii="Times New Roman" w:hAnsi="Times New Roman"/>
                <w:sz w:val="24"/>
                <w:szCs w:val="24"/>
              </w:rPr>
            </w:pPr>
            <w:r>
              <w:rPr>
                <w:rFonts w:ascii="Times New Roman" w:hAnsi="Times New Roman"/>
                <w:sz w:val="24"/>
                <w:szCs w:val="24"/>
              </w:rPr>
              <w:t>Jaunu institūciju izveide, esošu institūciju likvidācija vai reorganizācija, to ietekme uz institūcijas cilvēkresursiem</w:t>
            </w:r>
          </w:p>
        </w:tc>
        <w:tc>
          <w:tcPr>
            <w:tcW w:w="2541" w:type="pct"/>
            <w:tcBorders>
              <w:top w:val="outset" w:color="000000" w:sz="6" w:space="0"/>
              <w:left w:val="outset" w:color="000000" w:sz="6" w:space="0"/>
              <w:bottom w:val="outset" w:color="000000" w:sz="6" w:space="0"/>
              <w:right w:val="outset" w:color="000000" w:sz="6" w:space="0"/>
            </w:tcBorders>
          </w:tcPr>
          <w:p>
            <w:pPr>
              <w:jc w:val="both"/>
              <w:rPr>
                <w:rFonts w:ascii="Times New Roman" w:hAnsi="Times New Roman"/>
                <w:sz w:val="24"/>
                <w:szCs w:val="24"/>
              </w:rPr>
            </w:pPr>
            <w:r>
              <w:rPr>
                <w:rFonts w:ascii="Times New Roman" w:hAnsi="Times New Roman" w:eastAsia="Times New Roman"/>
                <w:iCs/>
                <w:color w:val="000000"/>
                <w:sz w:val="24"/>
                <w:szCs w:val="24"/>
                <w:lang w:eastAsia="lv-LV"/>
              </w:rPr>
              <w:t>Likumprojekts neparedz jaunu institūciju izveidi, likvidāciju vai reorganizāciju</w:t>
            </w:r>
            <w:r>
              <w:rPr>
                <w:rFonts w:ascii="Times New Roman" w:hAnsi="Times New Roman"/>
                <w:bCs/>
                <w:sz w:val="24"/>
                <w:szCs w:val="24"/>
              </w:rPr>
              <w:t>.</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158" w:type="pct"/>
            <w:tcBorders>
              <w:top w:val="outset" w:color="000000" w:sz="6" w:space="0"/>
              <w:left w:val="outset" w:color="000000" w:sz="6" w:space="0"/>
              <w:bottom w:val="outset" w:color="000000" w:sz="6" w:space="0"/>
              <w:right w:val="outset" w:color="000000" w:sz="6" w:space="0"/>
            </w:tcBorders>
          </w:tcPr>
          <w:p>
            <w:pPr>
              <w:jc w:val="center"/>
              <w:rPr>
                <w:rFonts w:ascii="Times New Roman" w:hAnsi="Times New Roman"/>
                <w:sz w:val="24"/>
                <w:szCs w:val="24"/>
              </w:rPr>
            </w:pPr>
            <w:r>
              <w:rPr>
                <w:rFonts w:ascii="Times New Roman" w:hAnsi="Times New Roman"/>
                <w:sz w:val="24"/>
                <w:szCs w:val="24"/>
              </w:rPr>
              <w:t>3.</w:t>
            </w:r>
          </w:p>
        </w:tc>
        <w:tc>
          <w:tcPr>
            <w:tcW w:w="2300" w:type="pct"/>
            <w:tcBorders>
              <w:top w:val="outset" w:color="000000" w:sz="6" w:space="0"/>
              <w:left w:val="outset" w:color="000000" w:sz="6" w:space="0"/>
              <w:bottom w:val="outset" w:color="000000" w:sz="6" w:space="0"/>
              <w:right w:val="outset" w:color="000000" w:sz="6" w:space="0"/>
            </w:tcBorders>
          </w:tcPr>
          <w:p>
            <w:pPr>
              <w:rPr>
                <w:rFonts w:ascii="Times New Roman" w:hAnsi="Times New Roman"/>
                <w:sz w:val="24"/>
                <w:szCs w:val="24"/>
              </w:rPr>
            </w:pPr>
            <w:r>
              <w:rPr>
                <w:rFonts w:ascii="Times New Roman" w:hAnsi="Times New Roman"/>
                <w:sz w:val="24"/>
                <w:szCs w:val="24"/>
              </w:rPr>
              <w:t>Cita informācija</w:t>
            </w:r>
          </w:p>
        </w:tc>
        <w:tc>
          <w:tcPr>
            <w:tcW w:w="2541" w:type="pct"/>
            <w:tcBorders>
              <w:top w:val="outset" w:color="000000" w:sz="6" w:space="0"/>
              <w:left w:val="outset" w:color="000000" w:sz="6" w:space="0"/>
              <w:bottom w:val="outset" w:color="000000" w:sz="6" w:space="0"/>
              <w:right w:val="outset" w:color="000000" w:sz="6" w:space="0"/>
            </w:tcBorders>
          </w:tcPr>
          <w:p>
            <w:pPr>
              <w:jc w:val="both"/>
              <w:rPr>
                <w:rFonts w:ascii="Times New Roman" w:hAnsi="Times New Roman"/>
                <w:sz w:val="24"/>
                <w:szCs w:val="24"/>
              </w:rPr>
            </w:pPr>
            <w:r>
              <w:rPr>
                <w:rFonts w:ascii="Times New Roman" w:hAnsi="Times New Roman"/>
                <w:bCs/>
                <w:sz w:val="24"/>
                <w:szCs w:val="24"/>
              </w:rPr>
              <w:t>Nav.</w:t>
            </w:r>
          </w:p>
        </w:tc>
      </w:tr>
    </w:tbl>
    <w:p>
      <w:pPr>
        <w:rPr>
          <w:rFonts w:ascii="Times New Roman" w:hAnsi="Times New Roman"/>
          <w:sz w:val="24"/>
          <w:szCs w:val="24"/>
        </w:rPr>
      </w:pPr>
    </w:p>
    <w:p>
      <w:pPr>
        <w:tabs>
          <w:tab w:val="left" w:pos="1800"/>
        </w:tabs>
        <w:jc w:val="both"/>
        <w:rPr>
          <w:rFonts w:ascii="Times New Roman" w:hAnsi="Times New Roman"/>
          <w:color w:val="000000"/>
          <w:sz w:val="24"/>
          <w:szCs w:val="24"/>
        </w:rPr>
      </w:pPr>
      <w:bookmarkStart w:id="3" w:name="_Hlk24113069"/>
      <w:r>
        <w:rPr>
          <w:rFonts w:ascii="Times New Roman" w:hAnsi="Times New Roman"/>
          <w:color w:val="000000"/>
          <w:sz w:val="24"/>
          <w:szCs w:val="24"/>
        </w:rPr>
        <w:t xml:space="preserve">Satiksmes </w:t>
      </w:r>
      <w:r>
        <w:rPr>
          <w:rFonts w:ascii="Times New Roman" w:hAnsi="Times New Roman"/>
          <w:sz w:val="24"/>
          <w:szCs w:val="24"/>
        </w:rPr>
        <w:t xml:space="preserve">ministrs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T.Linkaits</w:t>
      </w:r>
    </w:p>
    <w:p>
      <w:pPr>
        <w:tabs>
          <w:tab w:val="left" w:pos="1800"/>
        </w:tabs>
        <w:jc w:val="both"/>
        <w:rPr>
          <w:rFonts w:ascii="Times New Roman" w:hAnsi="Times New Roman"/>
          <w:color w:val="000000"/>
          <w:sz w:val="24"/>
          <w:szCs w:val="24"/>
        </w:rPr>
      </w:pPr>
    </w:p>
    <w:p>
      <w:pPr>
        <w:jc w:val="both"/>
        <w:rPr>
          <w:rFonts w:ascii="Times New Roman" w:hAnsi="Times New Roman"/>
          <w:sz w:val="24"/>
          <w:szCs w:val="24"/>
        </w:rPr>
      </w:pPr>
      <w:r>
        <w:rPr>
          <w:rFonts w:ascii="Times New Roman" w:hAnsi="Times New Roman"/>
          <w:sz w:val="24"/>
          <w:szCs w:val="24"/>
        </w:rPr>
        <w:t>Vīza: valsts sekretāre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I.Stepanova</w:t>
      </w:r>
      <w:bookmarkEnd w:id="3"/>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0"/>
        </w:rPr>
      </w:pPr>
      <w:r>
        <w:rPr>
          <w:rFonts w:ascii="Times New Roman" w:hAnsi="Times New Roman"/>
          <w:sz w:val="20"/>
        </w:rPr>
        <w:t>Boļšija, 67028256</w:t>
      </w:r>
    </w:p>
    <w:p>
      <w:pPr>
        <w:jc w:val="both"/>
        <w:rPr>
          <w:rFonts w:ascii="Times New Roman" w:hAnsi="Times New Roman"/>
          <w:sz w:val="24"/>
          <w:szCs w:val="24"/>
        </w:rPr>
      </w:pPr>
      <w:r>
        <w:fldChar w:fldCharType="begin"/>
      </w:r>
      <w:r>
        <w:instrText xml:space="preserve"> HYPERLINK "mailto:ilze.bolsija@sam.gov.lv" </w:instrText>
      </w:r>
      <w:r>
        <w:fldChar w:fldCharType="separate"/>
      </w:r>
      <w:r>
        <w:rPr>
          <w:rStyle w:val="21"/>
          <w:rFonts w:ascii="Times New Roman" w:hAnsi="Times New Roman"/>
          <w:sz w:val="20"/>
        </w:rPr>
        <w:t>ilze.bolsija@sam.gov.lv</w:t>
      </w:r>
      <w:r>
        <w:rPr>
          <w:rStyle w:val="21"/>
          <w:rFonts w:ascii="Times New Roman" w:hAnsi="Times New Roman"/>
          <w:sz w:val="20"/>
        </w:rPr>
        <w:fldChar w:fldCharType="end"/>
      </w:r>
      <w:r>
        <w:rPr>
          <w:rFonts w:ascii="Times New Roman" w:hAnsi="Times New Roman"/>
          <w:sz w:val="20"/>
        </w:rPr>
        <w:t xml:space="preserve"> </w:t>
      </w:r>
      <w:bookmarkStart w:id="4" w:name="_GoBack"/>
      <w:bookmarkEnd w:id="4"/>
    </w:p>
    <w:sectPr>
      <w:footerReference r:id="rId7" w:type="first"/>
      <w:headerReference r:id="rId3" w:type="default"/>
      <w:footerReference r:id="rId5" w:type="default"/>
      <w:headerReference r:id="rId4" w:type="even"/>
      <w:footerReference r:id="rId6" w:type="even"/>
      <w:pgSz w:w="11906" w:h="16838"/>
      <w:pgMar w:top="1134" w:right="851" w:bottom="1134" w:left="1701" w:header="720" w:footer="720"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BA"/>
    <w:family w:val="swiss"/>
    <w:pitch w:val="default"/>
    <w:sig w:usb0="E4002EFF" w:usb1="C000247B" w:usb2="00000009" w:usb3="00000000" w:csb0="200001FF" w:csb1="00000000"/>
  </w:font>
  <w:font w:name="Arial">
    <w:panose1 w:val="020B0604020202020204"/>
    <w:charset w:val="BA"/>
    <w:family w:val="swiss"/>
    <w:pitch w:val="default"/>
    <w:sig w:usb0="E0002EFF" w:usb1="C000785B" w:usb2="00000009" w:usb3="00000000" w:csb0="400001FF" w:csb1="FFFF0000"/>
  </w:font>
  <w:font w:name="Arial Unicode MS">
    <w:altName w:val="Arial"/>
    <w:panose1 w:val="020B0604020202020204"/>
    <w:charset w:val="00"/>
    <w:family w:val="roman"/>
    <w:pitch w:val="default"/>
    <w:sig w:usb0="00000000" w:usb1="00000000" w:usb2="00000000" w:usb3="00000000" w:csb0="00000001" w:csb1="00000000"/>
  </w:font>
  <w:font w:name="RimTimes">
    <w:altName w:val="Times New Roman"/>
    <w:panose1 w:val="00000000000000000000"/>
    <w:charset w:val="00"/>
    <w:family w:val="auto"/>
    <w:pitch w:val="default"/>
    <w:sig w:usb0="00000000" w:usb1="00000000" w:usb2="00000000" w:usb3="00000000" w:csb0="00000001" w:csb1="00000000"/>
  </w:font>
  <w:font w:name="Tahoma">
    <w:panose1 w:val="020B0604030504040204"/>
    <w:charset w:val="BA"/>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Times New Roman" w:hAnsi="Times New Roman"/>
        <w:sz w:val="20"/>
        <w:lang w:val="en-US"/>
      </w:rPr>
    </w:pPr>
    <w:r>
      <w:rPr>
        <w:rFonts w:ascii="Times New Roman" w:hAnsi="Times New Roman"/>
        <w:sz w:val="20"/>
      </w:rPr>
      <w:t>SM</w:t>
    </w:r>
    <w:r>
      <w:rPr>
        <w:rFonts w:ascii="Times New Roman" w:hAnsi="Times New Roman"/>
        <w:sz w:val="20"/>
        <w:lang w:val="en-US"/>
      </w:rPr>
      <w:t>a</w:t>
    </w:r>
    <w:r>
      <w:rPr>
        <w:rFonts w:ascii="Times New Roman" w:hAnsi="Times New Roman"/>
        <w:sz w:val="20"/>
      </w:rPr>
      <w:t>not_</w:t>
    </w:r>
    <w:r>
      <w:rPr>
        <w:rFonts w:ascii="Times New Roman" w:hAnsi="Times New Roman"/>
        <w:sz w:val="20"/>
        <w:lang w:val="en-US"/>
      </w:rPr>
      <w:t>3007</w:t>
    </w:r>
    <w:r>
      <w:rPr>
        <w:rFonts w:ascii="Times New Roman" w:hAnsi="Times New Roman"/>
        <w:sz w:val="20"/>
      </w:rPr>
      <w:t>21_</w:t>
    </w:r>
    <w:r>
      <w:rPr>
        <w:rFonts w:ascii="Times New Roman" w:hAnsi="Times New Roman"/>
        <w:sz w:val="20"/>
        <w:lang w:val="en-US"/>
      </w:rPr>
      <w:t>Kat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margin" w:hAnchor="text" w:xAlign="center" w:y="1"/>
      <w:rPr>
        <w:rStyle w:val="22"/>
      </w:rPr>
    </w:pPr>
    <w:r>
      <w:fldChar w:fldCharType="begin"/>
    </w:r>
    <w:r>
      <w:rPr>
        <w:rStyle w:val="22"/>
      </w:rPr>
      <w:instrText xml:space="preserve">PAGE  </w:instrText>
    </w:r>
    <w:r>
      <w:fldChar w:fldCharType="separate"/>
    </w:r>
    <w:r>
      <w:rPr>
        <w:rStyle w:val="22"/>
      </w:rPr>
      <w:t>10</w:t>
    </w:r>
    <w:r>
      <w:fldChar w:fldCharType="end"/>
    </w:r>
  </w:p>
  <w:p>
    <w:pPr>
      <w:pStyle w:val="12"/>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Times New Roman" w:hAnsi="Times New Roman"/>
        <w:sz w:val="20"/>
        <w:lang w:val="en-US"/>
      </w:rPr>
    </w:pPr>
    <w:r>
      <w:rPr>
        <w:rFonts w:ascii="Times New Roman" w:hAnsi="Times New Roman"/>
        <w:sz w:val="20"/>
      </w:rPr>
      <w:t>SM</w:t>
    </w:r>
    <w:r>
      <w:rPr>
        <w:rFonts w:ascii="Times New Roman" w:hAnsi="Times New Roman"/>
        <w:sz w:val="20"/>
        <w:lang w:val="en-US"/>
      </w:rPr>
      <w:t>a</w:t>
    </w:r>
    <w:r>
      <w:rPr>
        <w:rFonts w:ascii="Times New Roman" w:hAnsi="Times New Roman"/>
        <w:sz w:val="20"/>
      </w:rPr>
      <w:t>not_</w:t>
    </w:r>
    <w:r>
      <w:rPr>
        <w:rFonts w:ascii="Times New Roman" w:hAnsi="Times New Roman"/>
        <w:sz w:val="20"/>
        <w:lang w:val="en-US"/>
      </w:rPr>
      <w:t>3007</w:t>
    </w:r>
    <w:r>
      <w:rPr>
        <w:rFonts w:ascii="Times New Roman" w:hAnsi="Times New Roman"/>
        <w:sz w:val="20"/>
      </w:rPr>
      <w:t>21_</w:t>
    </w:r>
    <w:r>
      <w:rPr>
        <w:rFonts w:ascii="Times New Roman" w:hAnsi="Times New Roman"/>
        <w:sz w:val="20"/>
        <w:lang w:val="en-US"/>
      </w:rPr>
      <w:t>Kat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margin" w:hAnchor="text" w:xAlign="center" w:y="1"/>
      <w:rPr>
        <w:rStyle w:val="22"/>
        <w:sz w:val="24"/>
      </w:rPr>
    </w:pPr>
    <w:r>
      <w:rPr>
        <w:sz w:val="24"/>
      </w:rPr>
      <w:fldChar w:fldCharType="begin"/>
    </w:r>
    <w:r>
      <w:rPr>
        <w:rStyle w:val="22"/>
        <w:sz w:val="24"/>
      </w:rPr>
      <w:instrText xml:space="preserve">PAGE  </w:instrText>
    </w:r>
    <w:r>
      <w:rPr>
        <w:sz w:val="24"/>
      </w:rPr>
      <w:fldChar w:fldCharType="separate"/>
    </w:r>
    <w:r>
      <w:rPr>
        <w:rStyle w:val="22"/>
        <w:sz w:val="24"/>
        <w:lang w:val="en-US" w:eastAsia="en-US"/>
      </w:rPr>
      <w:t>6</w:t>
    </w:r>
    <w:r>
      <w:rPr>
        <w:sz w:val="24"/>
      </w:rPr>
      <w:fldChar w:fldCharType="end"/>
    </w:r>
  </w:p>
  <w:p>
    <w:pPr>
      <w:pStyle w:val="14"/>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margin" w:hAnchor="text" w:xAlign="center" w:y="1"/>
      <w:rPr>
        <w:rStyle w:val="22"/>
      </w:rPr>
    </w:pPr>
    <w:r>
      <w:fldChar w:fldCharType="begin"/>
    </w:r>
    <w:r>
      <w:rPr>
        <w:rStyle w:val="22"/>
      </w:rPr>
      <w:instrText xml:space="preserve">PAGE  </w:instrText>
    </w:r>
    <w:r>
      <w:fldChar w:fldCharType="separate"/>
    </w:r>
    <w:r>
      <w:rPr>
        <w:rStyle w:val="22"/>
      </w:rPr>
      <w:t>1</w:t>
    </w:r>
    <w:r>
      <w:fldChar w:fldCharType="end"/>
    </w:r>
  </w:p>
  <w:p>
    <w:pPr>
      <w:pStyle w:val="14"/>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720"/>
  <w:noPunctuationKerning w:val="1"/>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751"/>
    <w:rsid w:val="000010B2"/>
    <w:rsid w:val="000055B3"/>
    <w:rsid w:val="00010AC5"/>
    <w:rsid w:val="00010BF1"/>
    <w:rsid w:val="00012AED"/>
    <w:rsid w:val="000136FA"/>
    <w:rsid w:val="00020648"/>
    <w:rsid w:val="00027D2F"/>
    <w:rsid w:val="00030E07"/>
    <w:rsid w:val="00030EA7"/>
    <w:rsid w:val="0004266E"/>
    <w:rsid w:val="00051A3D"/>
    <w:rsid w:val="000564EB"/>
    <w:rsid w:val="0006070D"/>
    <w:rsid w:val="000628E8"/>
    <w:rsid w:val="00067B16"/>
    <w:rsid w:val="000707D7"/>
    <w:rsid w:val="00073B09"/>
    <w:rsid w:val="00081551"/>
    <w:rsid w:val="00087DC3"/>
    <w:rsid w:val="00096FD2"/>
    <w:rsid w:val="000A0791"/>
    <w:rsid w:val="000A32AA"/>
    <w:rsid w:val="000A5626"/>
    <w:rsid w:val="000B3666"/>
    <w:rsid w:val="000B472A"/>
    <w:rsid w:val="000C7FF7"/>
    <w:rsid w:val="000D06AE"/>
    <w:rsid w:val="000D1760"/>
    <w:rsid w:val="000D44C9"/>
    <w:rsid w:val="000F33DF"/>
    <w:rsid w:val="000F656E"/>
    <w:rsid w:val="00115C0D"/>
    <w:rsid w:val="001224A1"/>
    <w:rsid w:val="00124A15"/>
    <w:rsid w:val="00124A88"/>
    <w:rsid w:val="00126131"/>
    <w:rsid w:val="0013555F"/>
    <w:rsid w:val="00140F8C"/>
    <w:rsid w:val="001422EE"/>
    <w:rsid w:val="001562B7"/>
    <w:rsid w:val="00157FB8"/>
    <w:rsid w:val="0017095D"/>
    <w:rsid w:val="0017327B"/>
    <w:rsid w:val="00181BD4"/>
    <w:rsid w:val="00184FCF"/>
    <w:rsid w:val="00194491"/>
    <w:rsid w:val="001950D1"/>
    <w:rsid w:val="00196E0C"/>
    <w:rsid w:val="001A4A1D"/>
    <w:rsid w:val="001A4B64"/>
    <w:rsid w:val="001B1146"/>
    <w:rsid w:val="001B16C5"/>
    <w:rsid w:val="001B5A06"/>
    <w:rsid w:val="001C15F8"/>
    <w:rsid w:val="001C180D"/>
    <w:rsid w:val="001C36D0"/>
    <w:rsid w:val="001C4C77"/>
    <w:rsid w:val="001D04CA"/>
    <w:rsid w:val="001E4AF2"/>
    <w:rsid w:val="001E5A95"/>
    <w:rsid w:val="001E5B26"/>
    <w:rsid w:val="00212DF4"/>
    <w:rsid w:val="0021686D"/>
    <w:rsid w:val="0022553D"/>
    <w:rsid w:val="00231B20"/>
    <w:rsid w:val="00232E32"/>
    <w:rsid w:val="00234B9A"/>
    <w:rsid w:val="00235B21"/>
    <w:rsid w:val="00235E51"/>
    <w:rsid w:val="00236508"/>
    <w:rsid w:val="00237CED"/>
    <w:rsid w:val="0025227F"/>
    <w:rsid w:val="00271788"/>
    <w:rsid w:val="00274C24"/>
    <w:rsid w:val="002851DA"/>
    <w:rsid w:val="00291E2E"/>
    <w:rsid w:val="002953B5"/>
    <w:rsid w:val="002A248F"/>
    <w:rsid w:val="002A4AC3"/>
    <w:rsid w:val="002A59A1"/>
    <w:rsid w:val="002B3444"/>
    <w:rsid w:val="002B3BB3"/>
    <w:rsid w:val="002B60B6"/>
    <w:rsid w:val="002B7E15"/>
    <w:rsid w:val="002C0940"/>
    <w:rsid w:val="002C44D1"/>
    <w:rsid w:val="002C6777"/>
    <w:rsid w:val="002C78AC"/>
    <w:rsid w:val="002C7A54"/>
    <w:rsid w:val="002D1CB0"/>
    <w:rsid w:val="002D6296"/>
    <w:rsid w:val="002E0B6F"/>
    <w:rsid w:val="002E3677"/>
    <w:rsid w:val="002F3062"/>
    <w:rsid w:val="00305C57"/>
    <w:rsid w:val="00305DAC"/>
    <w:rsid w:val="003064B0"/>
    <w:rsid w:val="00310D50"/>
    <w:rsid w:val="0031678C"/>
    <w:rsid w:val="003174FD"/>
    <w:rsid w:val="0032517E"/>
    <w:rsid w:val="00326228"/>
    <w:rsid w:val="00331CB1"/>
    <w:rsid w:val="00340CBF"/>
    <w:rsid w:val="00345DF8"/>
    <w:rsid w:val="00352E7D"/>
    <w:rsid w:val="00354385"/>
    <w:rsid w:val="00355D19"/>
    <w:rsid w:val="0036069A"/>
    <w:rsid w:val="00360E53"/>
    <w:rsid w:val="00361453"/>
    <w:rsid w:val="00366B23"/>
    <w:rsid w:val="0037477D"/>
    <w:rsid w:val="00377F37"/>
    <w:rsid w:val="003A3BF7"/>
    <w:rsid w:val="003A4082"/>
    <w:rsid w:val="003A4B73"/>
    <w:rsid w:val="003A5290"/>
    <w:rsid w:val="003A66D8"/>
    <w:rsid w:val="003A736B"/>
    <w:rsid w:val="003B15F0"/>
    <w:rsid w:val="003C0BAA"/>
    <w:rsid w:val="003C1A38"/>
    <w:rsid w:val="003C5BFB"/>
    <w:rsid w:val="003C614F"/>
    <w:rsid w:val="003C79C0"/>
    <w:rsid w:val="003D1A6B"/>
    <w:rsid w:val="003D1D9A"/>
    <w:rsid w:val="003D696D"/>
    <w:rsid w:val="003E0707"/>
    <w:rsid w:val="003E617C"/>
    <w:rsid w:val="003F4F27"/>
    <w:rsid w:val="003F5473"/>
    <w:rsid w:val="003F593F"/>
    <w:rsid w:val="003F6F22"/>
    <w:rsid w:val="0040163D"/>
    <w:rsid w:val="00403484"/>
    <w:rsid w:val="00404781"/>
    <w:rsid w:val="00407B25"/>
    <w:rsid w:val="00411130"/>
    <w:rsid w:val="00420616"/>
    <w:rsid w:val="004458C5"/>
    <w:rsid w:val="00460813"/>
    <w:rsid w:val="00460B7B"/>
    <w:rsid w:val="004612DA"/>
    <w:rsid w:val="00461FB2"/>
    <w:rsid w:val="00462567"/>
    <w:rsid w:val="00465D8A"/>
    <w:rsid w:val="004709BC"/>
    <w:rsid w:val="00472C17"/>
    <w:rsid w:val="0047671D"/>
    <w:rsid w:val="004838A1"/>
    <w:rsid w:val="00492358"/>
    <w:rsid w:val="0049483B"/>
    <w:rsid w:val="004A4FBF"/>
    <w:rsid w:val="004A67CD"/>
    <w:rsid w:val="004A6D9C"/>
    <w:rsid w:val="004C403B"/>
    <w:rsid w:val="004C6373"/>
    <w:rsid w:val="004D0057"/>
    <w:rsid w:val="004D05BE"/>
    <w:rsid w:val="004D2D13"/>
    <w:rsid w:val="004D5B07"/>
    <w:rsid w:val="004E3136"/>
    <w:rsid w:val="004E3167"/>
    <w:rsid w:val="004E4E8C"/>
    <w:rsid w:val="004E6AD7"/>
    <w:rsid w:val="004F4761"/>
    <w:rsid w:val="00500D32"/>
    <w:rsid w:val="00501B24"/>
    <w:rsid w:val="00501EDF"/>
    <w:rsid w:val="00510831"/>
    <w:rsid w:val="0051198D"/>
    <w:rsid w:val="00512B37"/>
    <w:rsid w:val="0051326F"/>
    <w:rsid w:val="00513CCC"/>
    <w:rsid w:val="00513D00"/>
    <w:rsid w:val="005141D8"/>
    <w:rsid w:val="00525751"/>
    <w:rsid w:val="00527620"/>
    <w:rsid w:val="00533BAD"/>
    <w:rsid w:val="005340A5"/>
    <w:rsid w:val="00537D5E"/>
    <w:rsid w:val="005403A1"/>
    <w:rsid w:val="00543B5B"/>
    <w:rsid w:val="0055232E"/>
    <w:rsid w:val="00553B16"/>
    <w:rsid w:val="0056493E"/>
    <w:rsid w:val="005658A3"/>
    <w:rsid w:val="00566B22"/>
    <w:rsid w:val="00580257"/>
    <w:rsid w:val="005A6CD9"/>
    <w:rsid w:val="005A6EFE"/>
    <w:rsid w:val="005B00B5"/>
    <w:rsid w:val="005B01A6"/>
    <w:rsid w:val="005B04EF"/>
    <w:rsid w:val="005B50BF"/>
    <w:rsid w:val="005B6798"/>
    <w:rsid w:val="005C41FC"/>
    <w:rsid w:val="005C58FA"/>
    <w:rsid w:val="005C6794"/>
    <w:rsid w:val="005C689E"/>
    <w:rsid w:val="005D4DAA"/>
    <w:rsid w:val="005D610D"/>
    <w:rsid w:val="005D63D9"/>
    <w:rsid w:val="005E11F4"/>
    <w:rsid w:val="005E4EB9"/>
    <w:rsid w:val="005F2A31"/>
    <w:rsid w:val="005F3DB3"/>
    <w:rsid w:val="00601A5D"/>
    <w:rsid w:val="0061041D"/>
    <w:rsid w:val="0062698D"/>
    <w:rsid w:val="006307DA"/>
    <w:rsid w:val="00635A55"/>
    <w:rsid w:val="00635F4D"/>
    <w:rsid w:val="006458FB"/>
    <w:rsid w:val="00655E3D"/>
    <w:rsid w:val="0065633A"/>
    <w:rsid w:val="006644FD"/>
    <w:rsid w:val="0066588A"/>
    <w:rsid w:val="00673F25"/>
    <w:rsid w:val="00676CFA"/>
    <w:rsid w:val="00681D91"/>
    <w:rsid w:val="00690842"/>
    <w:rsid w:val="006947FB"/>
    <w:rsid w:val="006953A4"/>
    <w:rsid w:val="006969B6"/>
    <w:rsid w:val="00697460"/>
    <w:rsid w:val="006A13B0"/>
    <w:rsid w:val="006A3D4C"/>
    <w:rsid w:val="006A746C"/>
    <w:rsid w:val="006B0B97"/>
    <w:rsid w:val="006B2793"/>
    <w:rsid w:val="006B558C"/>
    <w:rsid w:val="006B6B29"/>
    <w:rsid w:val="006C144F"/>
    <w:rsid w:val="006C1CEF"/>
    <w:rsid w:val="006D1355"/>
    <w:rsid w:val="006D1721"/>
    <w:rsid w:val="006D340C"/>
    <w:rsid w:val="006E0430"/>
    <w:rsid w:val="006E5F15"/>
    <w:rsid w:val="006F1701"/>
    <w:rsid w:val="006F303B"/>
    <w:rsid w:val="006F3C27"/>
    <w:rsid w:val="006F422C"/>
    <w:rsid w:val="006F43A5"/>
    <w:rsid w:val="006F5496"/>
    <w:rsid w:val="0072007E"/>
    <w:rsid w:val="007361BA"/>
    <w:rsid w:val="0074238E"/>
    <w:rsid w:val="007467DB"/>
    <w:rsid w:val="007507FB"/>
    <w:rsid w:val="00750EC3"/>
    <w:rsid w:val="0075447E"/>
    <w:rsid w:val="00764DD7"/>
    <w:rsid w:val="00767C6D"/>
    <w:rsid w:val="007733C2"/>
    <w:rsid w:val="00776F1D"/>
    <w:rsid w:val="00780035"/>
    <w:rsid w:val="00791EDF"/>
    <w:rsid w:val="00792296"/>
    <w:rsid w:val="007A25FC"/>
    <w:rsid w:val="007A5955"/>
    <w:rsid w:val="007B3BF1"/>
    <w:rsid w:val="007B48DF"/>
    <w:rsid w:val="007B49CB"/>
    <w:rsid w:val="007C0FCC"/>
    <w:rsid w:val="007C5276"/>
    <w:rsid w:val="007C61F0"/>
    <w:rsid w:val="007D431D"/>
    <w:rsid w:val="007E185B"/>
    <w:rsid w:val="007E68FB"/>
    <w:rsid w:val="007F3675"/>
    <w:rsid w:val="007F3FD2"/>
    <w:rsid w:val="007F7500"/>
    <w:rsid w:val="00801E09"/>
    <w:rsid w:val="00802A5B"/>
    <w:rsid w:val="00803E4A"/>
    <w:rsid w:val="008041D7"/>
    <w:rsid w:val="0081219F"/>
    <w:rsid w:val="00812D44"/>
    <w:rsid w:val="00827103"/>
    <w:rsid w:val="00834D81"/>
    <w:rsid w:val="008375BB"/>
    <w:rsid w:val="00840744"/>
    <w:rsid w:val="00840F82"/>
    <w:rsid w:val="008456CB"/>
    <w:rsid w:val="00845AA1"/>
    <w:rsid w:val="00853796"/>
    <w:rsid w:val="00856BA2"/>
    <w:rsid w:val="00866603"/>
    <w:rsid w:val="00867387"/>
    <w:rsid w:val="00870BC3"/>
    <w:rsid w:val="008729AC"/>
    <w:rsid w:val="00873197"/>
    <w:rsid w:val="00887CF8"/>
    <w:rsid w:val="0089025E"/>
    <w:rsid w:val="00890E32"/>
    <w:rsid w:val="0089168E"/>
    <w:rsid w:val="008A139A"/>
    <w:rsid w:val="008B2F79"/>
    <w:rsid w:val="008B59B0"/>
    <w:rsid w:val="008C0FDE"/>
    <w:rsid w:val="008C13AB"/>
    <w:rsid w:val="008C431E"/>
    <w:rsid w:val="008E20D2"/>
    <w:rsid w:val="008E79F7"/>
    <w:rsid w:val="008F1F5F"/>
    <w:rsid w:val="008F7352"/>
    <w:rsid w:val="00900C55"/>
    <w:rsid w:val="0090301C"/>
    <w:rsid w:val="0090513E"/>
    <w:rsid w:val="00906F93"/>
    <w:rsid w:val="0091024A"/>
    <w:rsid w:val="00912F2A"/>
    <w:rsid w:val="00917EA5"/>
    <w:rsid w:val="009276B4"/>
    <w:rsid w:val="0093353F"/>
    <w:rsid w:val="00936774"/>
    <w:rsid w:val="00937569"/>
    <w:rsid w:val="009404B9"/>
    <w:rsid w:val="00940795"/>
    <w:rsid w:val="00941F7C"/>
    <w:rsid w:val="00946E8A"/>
    <w:rsid w:val="00947CD7"/>
    <w:rsid w:val="00963677"/>
    <w:rsid w:val="009655F7"/>
    <w:rsid w:val="00967E24"/>
    <w:rsid w:val="00972565"/>
    <w:rsid w:val="00983E75"/>
    <w:rsid w:val="00984E17"/>
    <w:rsid w:val="00990D47"/>
    <w:rsid w:val="0099264B"/>
    <w:rsid w:val="00995BA9"/>
    <w:rsid w:val="009A23BB"/>
    <w:rsid w:val="009A4E19"/>
    <w:rsid w:val="009A50C6"/>
    <w:rsid w:val="009A543A"/>
    <w:rsid w:val="009B7418"/>
    <w:rsid w:val="009C26B0"/>
    <w:rsid w:val="009D1311"/>
    <w:rsid w:val="009E188C"/>
    <w:rsid w:val="009E361B"/>
    <w:rsid w:val="009F2179"/>
    <w:rsid w:val="009F2816"/>
    <w:rsid w:val="009F396A"/>
    <w:rsid w:val="009F42E4"/>
    <w:rsid w:val="009F7F71"/>
    <w:rsid w:val="00A02280"/>
    <w:rsid w:val="00A0726C"/>
    <w:rsid w:val="00A07E7F"/>
    <w:rsid w:val="00A116F4"/>
    <w:rsid w:val="00A1400A"/>
    <w:rsid w:val="00A15990"/>
    <w:rsid w:val="00A1602F"/>
    <w:rsid w:val="00A260D2"/>
    <w:rsid w:val="00A36914"/>
    <w:rsid w:val="00A45B38"/>
    <w:rsid w:val="00A53D4C"/>
    <w:rsid w:val="00A53DD0"/>
    <w:rsid w:val="00A56F2F"/>
    <w:rsid w:val="00A64F9D"/>
    <w:rsid w:val="00A65C19"/>
    <w:rsid w:val="00A670AE"/>
    <w:rsid w:val="00A70B53"/>
    <w:rsid w:val="00A73174"/>
    <w:rsid w:val="00A76F0D"/>
    <w:rsid w:val="00A85489"/>
    <w:rsid w:val="00A85976"/>
    <w:rsid w:val="00A903C0"/>
    <w:rsid w:val="00A927A2"/>
    <w:rsid w:val="00A92837"/>
    <w:rsid w:val="00A951BE"/>
    <w:rsid w:val="00A96363"/>
    <w:rsid w:val="00AA29EC"/>
    <w:rsid w:val="00AA5EA9"/>
    <w:rsid w:val="00AB3B39"/>
    <w:rsid w:val="00AB426F"/>
    <w:rsid w:val="00AB56AC"/>
    <w:rsid w:val="00AB5F9C"/>
    <w:rsid w:val="00AB6144"/>
    <w:rsid w:val="00AC0F97"/>
    <w:rsid w:val="00AD6686"/>
    <w:rsid w:val="00AD681B"/>
    <w:rsid w:val="00AE049A"/>
    <w:rsid w:val="00AE289D"/>
    <w:rsid w:val="00AE729F"/>
    <w:rsid w:val="00B00BDD"/>
    <w:rsid w:val="00B03467"/>
    <w:rsid w:val="00B03F23"/>
    <w:rsid w:val="00B07615"/>
    <w:rsid w:val="00B07B30"/>
    <w:rsid w:val="00B12331"/>
    <w:rsid w:val="00B17335"/>
    <w:rsid w:val="00B25750"/>
    <w:rsid w:val="00B27708"/>
    <w:rsid w:val="00B300D7"/>
    <w:rsid w:val="00B366A5"/>
    <w:rsid w:val="00B55713"/>
    <w:rsid w:val="00B63662"/>
    <w:rsid w:val="00B63928"/>
    <w:rsid w:val="00B716DF"/>
    <w:rsid w:val="00B72CA2"/>
    <w:rsid w:val="00B82C48"/>
    <w:rsid w:val="00B8781F"/>
    <w:rsid w:val="00B95D04"/>
    <w:rsid w:val="00BB37A4"/>
    <w:rsid w:val="00BC68AA"/>
    <w:rsid w:val="00BD1DDE"/>
    <w:rsid w:val="00BD3093"/>
    <w:rsid w:val="00BD516B"/>
    <w:rsid w:val="00BD6380"/>
    <w:rsid w:val="00BE6281"/>
    <w:rsid w:val="00BF0E27"/>
    <w:rsid w:val="00C01BCF"/>
    <w:rsid w:val="00C020A1"/>
    <w:rsid w:val="00C047E4"/>
    <w:rsid w:val="00C10BA1"/>
    <w:rsid w:val="00C11425"/>
    <w:rsid w:val="00C11CD2"/>
    <w:rsid w:val="00C14301"/>
    <w:rsid w:val="00C26796"/>
    <w:rsid w:val="00C31159"/>
    <w:rsid w:val="00C47E4B"/>
    <w:rsid w:val="00C6128B"/>
    <w:rsid w:val="00C643B7"/>
    <w:rsid w:val="00C72D84"/>
    <w:rsid w:val="00C738DE"/>
    <w:rsid w:val="00C75F90"/>
    <w:rsid w:val="00C801BE"/>
    <w:rsid w:val="00C90E98"/>
    <w:rsid w:val="00C93A5E"/>
    <w:rsid w:val="00CA3F39"/>
    <w:rsid w:val="00CA7416"/>
    <w:rsid w:val="00CA7F0B"/>
    <w:rsid w:val="00CB4158"/>
    <w:rsid w:val="00CC2E10"/>
    <w:rsid w:val="00CC5A1B"/>
    <w:rsid w:val="00CC7EEA"/>
    <w:rsid w:val="00CE050D"/>
    <w:rsid w:val="00CE73C4"/>
    <w:rsid w:val="00CF1F7E"/>
    <w:rsid w:val="00CF5F15"/>
    <w:rsid w:val="00CF7AD4"/>
    <w:rsid w:val="00D06BC5"/>
    <w:rsid w:val="00D11580"/>
    <w:rsid w:val="00D169D9"/>
    <w:rsid w:val="00D204D3"/>
    <w:rsid w:val="00D20D57"/>
    <w:rsid w:val="00D25FBF"/>
    <w:rsid w:val="00D35BB9"/>
    <w:rsid w:val="00D42EF6"/>
    <w:rsid w:val="00D47F14"/>
    <w:rsid w:val="00D51233"/>
    <w:rsid w:val="00D548DE"/>
    <w:rsid w:val="00D54D8A"/>
    <w:rsid w:val="00D56E80"/>
    <w:rsid w:val="00D61806"/>
    <w:rsid w:val="00D622F6"/>
    <w:rsid w:val="00D630A7"/>
    <w:rsid w:val="00D65052"/>
    <w:rsid w:val="00D66A05"/>
    <w:rsid w:val="00D711C3"/>
    <w:rsid w:val="00D73781"/>
    <w:rsid w:val="00D75A66"/>
    <w:rsid w:val="00D807C2"/>
    <w:rsid w:val="00D87D73"/>
    <w:rsid w:val="00D95C99"/>
    <w:rsid w:val="00D97BF1"/>
    <w:rsid w:val="00DB61BC"/>
    <w:rsid w:val="00DB62F4"/>
    <w:rsid w:val="00DC369E"/>
    <w:rsid w:val="00DC6FA7"/>
    <w:rsid w:val="00DD0F18"/>
    <w:rsid w:val="00DD1DE0"/>
    <w:rsid w:val="00DD2546"/>
    <w:rsid w:val="00DD672E"/>
    <w:rsid w:val="00DE67D9"/>
    <w:rsid w:val="00DF1550"/>
    <w:rsid w:val="00DF391F"/>
    <w:rsid w:val="00E1070D"/>
    <w:rsid w:val="00E24090"/>
    <w:rsid w:val="00E26280"/>
    <w:rsid w:val="00E263D7"/>
    <w:rsid w:val="00E30778"/>
    <w:rsid w:val="00E40F09"/>
    <w:rsid w:val="00E431D5"/>
    <w:rsid w:val="00E45A0B"/>
    <w:rsid w:val="00E56E78"/>
    <w:rsid w:val="00E61AA8"/>
    <w:rsid w:val="00E6733B"/>
    <w:rsid w:val="00E67D0F"/>
    <w:rsid w:val="00E715AD"/>
    <w:rsid w:val="00E75804"/>
    <w:rsid w:val="00E81CBF"/>
    <w:rsid w:val="00E82CDF"/>
    <w:rsid w:val="00E83609"/>
    <w:rsid w:val="00E916D5"/>
    <w:rsid w:val="00E953B6"/>
    <w:rsid w:val="00E953E3"/>
    <w:rsid w:val="00E97775"/>
    <w:rsid w:val="00EA17E6"/>
    <w:rsid w:val="00EA30E2"/>
    <w:rsid w:val="00EA6940"/>
    <w:rsid w:val="00EA6F3D"/>
    <w:rsid w:val="00EA7D11"/>
    <w:rsid w:val="00EB5A5F"/>
    <w:rsid w:val="00EB7B96"/>
    <w:rsid w:val="00EC1917"/>
    <w:rsid w:val="00EC3780"/>
    <w:rsid w:val="00EC40AE"/>
    <w:rsid w:val="00EC697C"/>
    <w:rsid w:val="00ED6D05"/>
    <w:rsid w:val="00EE3D10"/>
    <w:rsid w:val="00EF6A57"/>
    <w:rsid w:val="00EF725B"/>
    <w:rsid w:val="00F12E70"/>
    <w:rsid w:val="00F135E8"/>
    <w:rsid w:val="00F1521C"/>
    <w:rsid w:val="00F211E7"/>
    <w:rsid w:val="00F21962"/>
    <w:rsid w:val="00F25196"/>
    <w:rsid w:val="00F26AD0"/>
    <w:rsid w:val="00F26E85"/>
    <w:rsid w:val="00F41F80"/>
    <w:rsid w:val="00F43511"/>
    <w:rsid w:val="00F462E1"/>
    <w:rsid w:val="00F46347"/>
    <w:rsid w:val="00F63BE9"/>
    <w:rsid w:val="00F64A15"/>
    <w:rsid w:val="00F64E4E"/>
    <w:rsid w:val="00F724FA"/>
    <w:rsid w:val="00F82421"/>
    <w:rsid w:val="00F828D1"/>
    <w:rsid w:val="00F90912"/>
    <w:rsid w:val="00F92E9A"/>
    <w:rsid w:val="00F94240"/>
    <w:rsid w:val="00F94364"/>
    <w:rsid w:val="00F96A8F"/>
    <w:rsid w:val="00FA2412"/>
    <w:rsid w:val="00FB3AAC"/>
    <w:rsid w:val="00FC2BC8"/>
    <w:rsid w:val="00FC41D8"/>
    <w:rsid w:val="00FD3916"/>
    <w:rsid w:val="00FD7F41"/>
    <w:rsid w:val="00FE04FB"/>
    <w:rsid w:val="00FE087F"/>
    <w:rsid w:val="00FF573B"/>
    <w:rsid w:val="04B81C5A"/>
    <w:rsid w:val="0EEB13BE"/>
    <w:rsid w:val="1A1B4F1E"/>
    <w:rsid w:val="23131E03"/>
    <w:rsid w:val="2B1F05D9"/>
    <w:rsid w:val="3B5052E4"/>
    <w:rsid w:val="40042968"/>
    <w:rsid w:val="450A18AC"/>
    <w:rsid w:val="50DC0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Calibri" w:cs="Times New Roman"/>
      <w:sz w:val="28"/>
      <w:lang w:val="lv-LV" w:eastAsia="en-US" w:bidi="ar-SA"/>
    </w:rPr>
  </w:style>
  <w:style w:type="paragraph" w:styleId="2">
    <w:name w:val="heading 1"/>
    <w:basedOn w:val="1"/>
    <w:next w:val="1"/>
    <w:qFormat/>
    <w:uiPriority w:val="0"/>
    <w:pPr>
      <w:keepNext/>
      <w:spacing w:before="240" w:after="60"/>
      <w:outlineLvl w:val="0"/>
    </w:pPr>
    <w:rPr>
      <w:rFonts w:ascii="Arial" w:hAnsi="Arial" w:cs="Arial"/>
      <w:b/>
      <w:bCs/>
      <w:kern w:val="32"/>
      <w:sz w:val="32"/>
      <w:szCs w:val="32"/>
    </w:rPr>
  </w:style>
  <w:style w:type="paragraph" w:styleId="3">
    <w:name w:val="heading 2"/>
    <w:basedOn w:val="1"/>
    <w:next w:val="1"/>
    <w:qFormat/>
    <w:uiPriority w:val="0"/>
    <w:pPr>
      <w:keepNext/>
      <w:spacing w:after="120"/>
      <w:ind w:firstLine="709"/>
      <w:jc w:val="both"/>
      <w:outlineLvl w:val="1"/>
    </w:pPr>
    <w:rPr>
      <w:rFonts w:cs="Arial"/>
      <w:b/>
      <w:bCs/>
      <w:iCs/>
      <w:szCs w:val="28"/>
      <w:lang w:eastAsia="ru-RU"/>
    </w:rPr>
  </w:style>
  <w:style w:type="paragraph" w:styleId="4">
    <w:name w:val="heading 3"/>
    <w:basedOn w:val="1"/>
    <w:next w:val="1"/>
    <w:link w:val="25"/>
    <w:qFormat/>
    <w:uiPriority w:val="0"/>
    <w:pPr>
      <w:keepNext/>
      <w:spacing w:before="240" w:after="60"/>
      <w:outlineLvl w:val="2"/>
    </w:pPr>
    <w:rPr>
      <w:rFonts w:ascii="Arial" w:hAnsi="Arial" w:cs="Arial"/>
      <w:b/>
      <w:bCs/>
      <w:sz w:val="26"/>
      <w:szCs w:val="26"/>
    </w:rPr>
  </w:style>
  <w:style w:type="character" w:default="1" w:styleId="17">
    <w:name w:val="Default Paragraph Font"/>
    <w:link w:val="18"/>
    <w:semiHidden/>
    <w:uiPriority w:val="0"/>
  </w:style>
  <w:style w:type="table" w:default="1" w:styleId="23">
    <w:name w:val="Normal Table"/>
    <w:semiHidden/>
    <w:uiPriority w:val="0"/>
    <w:tblPr>
      <w:tblCellMar>
        <w:top w:w="0" w:type="dxa"/>
        <w:left w:w="108" w:type="dxa"/>
        <w:bottom w:w="0" w:type="dxa"/>
        <w:right w:w="108" w:type="dxa"/>
      </w:tblCellMar>
    </w:tblPr>
  </w:style>
  <w:style w:type="paragraph" w:styleId="5">
    <w:name w:val="Balloon Text"/>
    <w:basedOn w:val="1"/>
    <w:semiHidden/>
    <w:qFormat/>
    <w:uiPriority w:val="0"/>
    <w:rPr>
      <w:rFonts w:ascii="Tahoma" w:hAnsi="Tahoma" w:cs="Tahoma"/>
      <w:sz w:val="16"/>
      <w:szCs w:val="16"/>
    </w:rPr>
  </w:style>
  <w:style w:type="paragraph" w:styleId="6">
    <w:name w:val="Block Text"/>
    <w:basedOn w:val="1"/>
    <w:qFormat/>
    <w:uiPriority w:val="0"/>
    <w:pPr>
      <w:ind w:left="-57" w:right="-57"/>
    </w:pPr>
  </w:style>
  <w:style w:type="paragraph" w:styleId="7">
    <w:name w:val="Body Text"/>
    <w:basedOn w:val="1"/>
    <w:qFormat/>
    <w:uiPriority w:val="0"/>
    <w:pPr>
      <w:jc w:val="both"/>
    </w:pPr>
    <w:rPr>
      <w:lang w:val="en-AU"/>
    </w:rPr>
  </w:style>
  <w:style w:type="paragraph" w:styleId="8">
    <w:name w:val="Body Text 2"/>
    <w:basedOn w:val="1"/>
    <w:link w:val="26"/>
    <w:qFormat/>
    <w:uiPriority w:val="0"/>
    <w:pPr>
      <w:jc w:val="both"/>
    </w:pPr>
  </w:style>
  <w:style w:type="paragraph" w:styleId="9">
    <w:name w:val="Body Text Indent"/>
    <w:basedOn w:val="1"/>
    <w:qFormat/>
    <w:uiPriority w:val="0"/>
    <w:pPr>
      <w:spacing w:before="240"/>
      <w:ind w:firstLine="720"/>
    </w:pPr>
  </w:style>
  <w:style w:type="paragraph" w:styleId="10">
    <w:name w:val="annotation text"/>
    <w:basedOn w:val="1"/>
    <w:semiHidden/>
    <w:qFormat/>
    <w:uiPriority w:val="0"/>
    <w:rPr>
      <w:sz w:val="20"/>
    </w:rPr>
  </w:style>
  <w:style w:type="paragraph" w:styleId="11">
    <w:name w:val="annotation subject"/>
    <w:basedOn w:val="10"/>
    <w:next w:val="10"/>
    <w:semiHidden/>
    <w:qFormat/>
    <w:uiPriority w:val="0"/>
    <w:rPr>
      <w:b/>
      <w:bCs/>
    </w:rPr>
  </w:style>
  <w:style w:type="paragraph" w:styleId="12">
    <w:name w:val="footer"/>
    <w:basedOn w:val="1"/>
    <w:qFormat/>
    <w:uiPriority w:val="0"/>
    <w:pPr>
      <w:tabs>
        <w:tab w:val="center" w:pos="4153"/>
        <w:tab w:val="right" w:pos="8306"/>
      </w:tabs>
    </w:pPr>
    <w:rPr>
      <w:rFonts w:ascii="RimTimes" w:hAnsi="RimTimes"/>
      <w:snapToGrid w:val="0"/>
    </w:rPr>
  </w:style>
  <w:style w:type="paragraph" w:styleId="13">
    <w:name w:val="footnote text"/>
    <w:basedOn w:val="1"/>
    <w:semiHidden/>
    <w:qFormat/>
    <w:uiPriority w:val="0"/>
    <w:pPr>
      <w:spacing w:before="120" w:line="312" w:lineRule="auto"/>
      <w:jc w:val="both"/>
    </w:pPr>
    <w:rPr>
      <w:sz w:val="20"/>
      <w:lang w:val="en-GB"/>
    </w:rPr>
  </w:style>
  <w:style w:type="paragraph" w:styleId="14">
    <w:name w:val="header"/>
    <w:basedOn w:val="1"/>
    <w:qFormat/>
    <w:uiPriority w:val="0"/>
    <w:pPr>
      <w:tabs>
        <w:tab w:val="center" w:pos="4153"/>
        <w:tab w:val="right" w:pos="8306"/>
      </w:tabs>
    </w:pPr>
  </w:style>
  <w:style w:type="paragraph" w:styleId="15">
    <w:name w:val="Normal (Web)"/>
    <w:basedOn w:val="1"/>
    <w:qFormat/>
    <w:uiPriority w:val="0"/>
    <w:pPr>
      <w:spacing w:before="100" w:beforeAutospacing="1" w:after="100" w:afterAutospacing="1"/>
    </w:pPr>
    <w:rPr>
      <w:rFonts w:eastAsia="Arial Unicode MS"/>
      <w:sz w:val="24"/>
      <w:szCs w:val="24"/>
      <w:lang w:val="en-GB"/>
    </w:rPr>
  </w:style>
  <w:style w:type="paragraph" w:styleId="16">
    <w:name w:val="Title"/>
    <w:basedOn w:val="1"/>
    <w:qFormat/>
    <w:uiPriority w:val="0"/>
    <w:pPr>
      <w:jc w:val="center"/>
    </w:pPr>
    <w:rPr>
      <w:b/>
    </w:rPr>
  </w:style>
  <w:style w:type="paragraph" w:customStyle="1" w:styleId="18">
    <w:name w:val=" Rakstz. Rakstz. Rakstz. Rakstz."/>
    <w:basedOn w:val="1"/>
    <w:link w:val="17"/>
    <w:qFormat/>
    <w:uiPriority w:val="0"/>
    <w:pPr>
      <w:spacing w:before="40"/>
    </w:pPr>
  </w:style>
  <w:style w:type="character" w:styleId="19">
    <w:name w:val="annotation reference"/>
    <w:semiHidden/>
    <w:qFormat/>
    <w:uiPriority w:val="0"/>
    <w:rPr>
      <w:sz w:val="16"/>
      <w:szCs w:val="16"/>
    </w:rPr>
  </w:style>
  <w:style w:type="character" w:styleId="20">
    <w:name w:val="footnote reference"/>
    <w:semiHidden/>
    <w:qFormat/>
    <w:uiPriority w:val="0"/>
    <w:rPr>
      <w:vertAlign w:val="superscript"/>
    </w:rPr>
  </w:style>
  <w:style w:type="character" w:styleId="21">
    <w:name w:val="Hyperlink"/>
    <w:qFormat/>
    <w:uiPriority w:val="0"/>
    <w:rPr>
      <w:color w:val="0000FF"/>
      <w:u w:val="single"/>
    </w:rPr>
  </w:style>
  <w:style w:type="character" w:styleId="22">
    <w:name w:val="page number"/>
    <w:basedOn w:val="17"/>
    <w:uiPriority w:val="0"/>
  </w:style>
  <w:style w:type="table" w:styleId="24">
    <w:name w:val="Table Grid"/>
    <w:basedOn w:val="2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5">
    <w:name w:val="Heading 3 Char"/>
    <w:link w:val="4"/>
    <w:uiPriority w:val="0"/>
    <w:rPr>
      <w:rFonts w:ascii="Arial" w:hAnsi="Arial" w:cs="Arial"/>
      <w:b/>
      <w:bCs/>
      <w:sz w:val="26"/>
      <w:szCs w:val="26"/>
      <w:lang w:eastAsia="en-US"/>
    </w:rPr>
  </w:style>
  <w:style w:type="character" w:customStyle="1" w:styleId="26">
    <w:name w:val="Body Text 2 Char"/>
    <w:link w:val="8"/>
    <w:qFormat/>
    <w:uiPriority w:val="0"/>
    <w:rPr>
      <w:sz w:val="28"/>
      <w:lang w:eastAsia="en-US"/>
    </w:rPr>
  </w:style>
  <w:style w:type="character" w:customStyle="1" w:styleId="27">
    <w:name w:val="Unresolved Mention"/>
    <w:unhideWhenUsed/>
    <w:uiPriority w:val="99"/>
    <w:rPr>
      <w:color w:val="605E5C"/>
      <w:shd w:val="clear" w:color="auto" w:fill="E1DFDD"/>
    </w:rPr>
  </w:style>
  <w:style w:type="paragraph" w:customStyle="1" w:styleId="28">
    <w:name w:val="Style Heading 1 +1"/>
    <w:basedOn w:val="2"/>
    <w:uiPriority w:val="0"/>
    <w:pPr>
      <w:spacing w:before="0" w:after="0"/>
      <w:ind w:left="4140"/>
      <w:jc w:val="right"/>
    </w:pPr>
    <w:rPr>
      <w:rFonts w:ascii="Times New Roman" w:hAnsi="Times New Roman"/>
      <w:kern w:val="0"/>
      <w:sz w:val="28"/>
      <w:lang w:val="en-US"/>
    </w:rPr>
  </w:style>
  <w:style w:type="paragraph" w:customStyle="1" w:styleId="29">
    <w:name w:val="naisvisr"/>
    <w:basedOn w:val="1"/>
    <w:qFormat/>
    <w:uiPriority w:val="0"/>
    <w:pPr>
      <w:spacing w:before="136" w:after="136"/>
      <w:jc w:val="center"/>
    </w:pPr>
    <w:rPr>
      <w:b/>
      <w:bCs/>
      <w:szCs w:val="28"/>
      <w:lang w:eastAsia="lv-LV"/>
    </w:rPr>
  </w:style>
  <w:style w:type="paragraph" w:customStyle="1" w:styleId="30">
    <w:name w:val="naisc"/>
    <w:basedOn w:val="1"/>
    <w:qFormat/>
    <w:uiPriority w:val="0"/>
    <w:pPr>
      <w:spacing w:before="75" w:after="75"/>
      <w:jc w:val="center"/>
    </w:pPr>
    <w:rPr>
      <w:sz w:val="24"/>
      <w:szCs w:val="24"/>
      <w:lang w:eastAsia="lv-LV"/>
    </w:rPr>
  </w:style>
  <w:style w:type="paragraph" w:customStyle="1" w:styleId="31">
    <w:name w:val="naisf"/>
    <w:basedOn w:val="1"/>
    <w:uiPriority w:val="0"/>
    <w:pPr>
      <w:spacing w:before="100" w:after="100"/>
      <w:jc w:val="both"/>
    </w:pPr>
    <w:rPr>
      <w:sz w:val="24"/>
      <w:lang w:val="en-GB"/>
    </w:rPr>
  </w:style>
  <w:style w:type="paragraph" w:customStyle="1" w:styleId="32">
    <w:name w:val="naiskr"/>
    <w:basedOn w:val="1"/>
    <w:qFormat/>
    <w:uiPriority w:val="0"/>
    <w:pPr>
      <w:spacing w:before="75" w:after="75"/>
    </w:pPr>
    <w:rPr>
      <w:sz w:val="24"/>
      <w:szCs w:val="24"/>
      <w:lang w:eastAsia="lv-LV"/>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Satiksmes ministrija</Company>
  <Pages>3</Pages>
  <Words>674</Words>
  <Characters>3848</Characters>
  <Lines>32</Lines>
  <Paragraphs>9</Paragraphs>
  <TotalTime>1</TotalTime>
  <ScaleCrop>false</ScaleCrop>
  <LinksUpToDate>false</LinksUpToDate>
  <CharactersWithSpaces>4513</CharactersWithSpaces>
  <Application>WPS Office_11.2.0.9739_F1E327BC-269C-435d-A152-05C5408002CA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2021-07-26T12:05:00Z</dcterms:created>
  <dc:creator>I.Boļšija</dc:creator>
  <dc:description>tālr. 67028256
ilze.bolsija@sam.gov.lv</dc:description>
  <cp:lastModifiedBy>User</cp:lastModifiedBy>
  <cp:lastPrinted>2019-01-31T07:53:00Z</cp:lastPrinted>
  <dcterms:modified xsi:type="dcterms:W3CDTF">2021-08-04T14:45:24Z</dcterms:modified>
  <dc:subject>Anotācija</dc:subject>
  <dc:title>Likumprojekta
„Par Nolīgumu par gaisa transportu starp Eiropas Savienību un tās dalībvalstīm, no vienas puses, un Kataras Valsti, no otras puses” sākotnējās ietekmes novērtējuma ziņojums (anotācija)</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1033-11.2.0.9739</vt:lpwstr>
  </property>
</Properties>
</file>