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5865" w14:textId="378EE2CF" w:rsidR="001169A7" w:rsidRPr="0075382D" w:rsidRDefault="001169A7" w:rsidP="00D10F80">
      <w:pPr>
        <w:spacing w:after="0" w:line="240" w:lineRule="auto"/>
        <w:jc w:val="center"/>
        <w:rPr>
          <w:rFonts w:ascii="Times New Roman" w:hAnsi="Times New Roman" w:cs="Times New Roman"/>
          <w:b/>
          <w:bCs/>
          <w:sz w:val="28"/>
          <w:szCs w:val="28"/>
        </w:rPr>
      </w:pPr>
      <w:r w:rsidRPr="0075382D">
        <w:rPr>
          <w:rFonts w:ascii="Times New Roman" w:hAnsi="Times New Roman" w:cs="Times New Roman"/>
          <w:b/>
          <w:bCs/>
          <w:sz w:val="28"/>
          <w:szCs w:val="28"/>
        </w:rPr>
        <w:t>Informatīvais ziņojums</w:t>
      </w:r>
      <w:r w:rsidR="00AA3E13" w:rsidRPr="0075382D">
        <w:rPr>
          <w:rFonts w:ascii="Times New Roman" w:hAnsi="Times New Roman" w:cs="Times New Roman"/>
          <w:b/>
          <w:bCs/>
          <w:sz w:val="28"/>
          <w:szCs w:val="28"/>
        </w:rPr>
        <w:t xml:space="preserve"> </w:t>
      </w:r>
      <w:r w:rsidR="00B27681" w:rsidRPr="0075382D">
        <w:rPr>
          <w:rFonts w:ascii="Times New Roman" w:hAnsi="Times New Roman" w:cs="Times New Roman"/>
          <w:b/>
          <w:bCs/>
          <w:sz w:val="28"/>
          <w:szCs w:val="28"/>
        </w:rPr>
        <w:t>"P</w:t>
      </w:r>
      <w:r w:rsidR="00AA3E13" w:rsidRPr="0075382D">
        <w:rPr>
          <w:rFonts w:ascii="Times New Roman" w:hAnsi="Times New Roman" w:cs="Times New Roman"/>
          <w:b/>
          <w:bCs/>
          <w:sz w:val="28"/>
          <w:szCs w:val="28"/>
        </w:rPr>
        <w:t>ar juridisko personu maksātnespējas procesa</w:t>
      </w:r>
      <w:r w:rsidRPr="0075382D">
        <w:rPr>
          <w:rFonts w:ascii="Times New Roman" w:hAnsi="Times New Roman" w:cs="Times New Roman"/>
          <w:b/>
          <w:bCs/>
          <w:sz w:val="28"/>
          <w:szCs w:val="28"/>
        </w:rPr>
        <w:t xml:space="preserve"> dokumentu nodošanu </w:t>
      </w:r>
      <w:r w:rsidR="002C5976" w:rsidRPr="0075382D">
        <w:rPr>
          <w:rFonts w:ascii="Times New Roman" w:hAnsi="Times New Roman" w:cs="Times New Roman"/>
          <w:b/>
          <w:bCs/>
          <w:sz w:val="28"/>
          <w:szCs w:val="28"/>
        </w:rPr>
        <w:t>glabāšanā arhīvā</w:t>
      </w:r>
      <w:r w:rsidR="00B27681" w:rsidRPr="0075382D">
        <w:rPr>
          <w:rFonts w:ascii="Times New Roman" w:hAnsi="Times New Roman" w:cs="Times New Roman"/>
          <w:b/>
          <w:bCs/>
          <w:sz w:val="28"/>
          <w:szCs w:val="28"/>
        </w:rPr>
        <w:t>"</w:t>
      </w:r>
    </w:p>
    <w:p w14:paraId="0EC0BC1B" w14:textId="77777777" w:rsidR="00C71560" w:rsidRPr="0075382D" w:rsidRDefault="00C71560" w:rsidP="001169A7">
      <w:pPr>
        <w:spacing w:after="0" w:line="240" w:lineRule="auto"/>
        <w:rPr>
          <w:rFonts w:ascii="Times New Roman" w:hAnsi="Times New Roman" w:cs="Times New Roman"/>
          <w:b/>
          <w:bCs/>
          <w:sz w:val="24"/>
          <w:szCs w:val="24"/>
        </w:rPr>
      </w:pPr>
    </w:p>
    <w:p w14:paraId="29CA67B8" w14:textId="77777777" w:rsidR="002C0008" w:rsidRPr="00FC5F04" w:rsidRDefault="002C0008" w:rsidP="001169A7">
      <w:pPr>
        <w:spacing w:after="0" w:line="240" w:lineRule="auto"/>
        <w:rPr>
          <w:rFonts w:ascii="Times New Roman" w:hAnsi="Times New Roman" w:cs="Times New Roman"/>
          <w:b/>
          <w:bCs/>
          <w:sz w:val="24"/>
          <w:szCs w:val="24"/>
        </w:rPr>
      </w:pPr>
    </w:p>
    <w:p w14:paraId="7E3746BE" w14:textId="2FA6D36C" w:rsidR="005356E0" w:rsidRPr="0075382D" w:rsidRDefault="005356E0" w:rsidP="00D54B3C">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bCs/>
          <w:sz w:val="24"/>
          <w:szCs w:val="24"/>
        </w:rPr>
        <w:t xml:space="preserve">Saskaņā ar Maksātnespējas likuma </w:t>
      </w:r>
      <w:r w:rsidR="00AB7F0F" w:rsidRPr="0075382D">
        <w:rPr>
          <w:rFonts w:ascii="Times New Roman" w:hAnsi="Times New Roman" w:cs="Times New Roman"/>
          <w:bCs/>
          <w:sz w:val="24"/>
          <w:szCs w:val="24"/>
        </w:rPr>
        <w:t>6</w:t>
      </w:r>
      <w:r w:rsidRPr="0075382D">
        <w:rPr>
          <w:rFonts w:ascii="Times New Roman" w:hAnsi="Times New Roman" w:cs="Times New Roman"/>
          <w:bCs/>
          <w:sz w:val="24"/>
          <w:szCs w:val="24"/>
        </w:rPr>
        <w:t>5. panta 13. punktu p</w:t>
      </w:r>
      <w:r w:rsidRPr="0075382D">
        <w:rPr>
          <w:rFonts w:ascii="Times New Roman" w:hAnsi="Times New Roman" w:cs="Times New Roman"/>
          <w:sz w:val="24"/>
          <w:szCs w:val="24"/>
        </w:rPr>
        <w:t>ēc juridiskās personas maksātnespējas procesa pasludināšanas maksātnespējas procesa administrator</w:t>
      </w:r>
      <w:r w:rsidR="00B14B3F" w:rsidRPr="0075382D">
        <w:rPr>
          <w:rFonts w:ascii="Times New Roman" w:hAnsi="Times New Roman" w:cs="Times New Roman"/>
          <w:sz w:val="24"/>
          <w:szCs w:val="24"/>
        </w:rPr>
        <w:t>s</w:t>
      </w:r>
      <w:r w:rsidRPr="0075382D">
        <w:rPr>
          <w:rFonts w:ascii="Times New Roman" w:hAnsi="Times New Roman" w:cs="Times New Roman"/>
          <w:sz w:val="24"/>
          <w:szCs w:val="24"/>
        </w:rPr>
        <w:t xml:space="preserve"> (turpmāk – administrators)</w:t>
      </w:r>
      <w:r w:rsidRPr="0075382D">
        <w:rPr>
          <w:rFonts w:ascii="Times New Roman" w:hAnsi="Times New Roman" w:cs="Times New Roman"/>
          <w:szCs w:val="24"/>
        </w:rPr>
        <w:t xml:space="preserve"> </w:t>
      </w:r>
      <w:r w:rsidRPr="0075382D">
        <w:rPr>
          <w:rFonts w:ascii="Times New Roman" w:hAnsi="Times New Roman" w:cs="Times New Roman"/>
          <w:sz w:val="24"/>
          <w:szCs w:val="24"/>
        </w:rPr>
        <w:t>nodod glabāšanā valsts arhīvam parādnieka dokumentus, tajā skaitā parādnieka rīkojumus par personālsastāvu, parādnieka personālsastāva rīkojumu reģistrācijas žurnālu (reģistru), parādnieka darbinieku darba līgumus, ar kuriem izbeigtas darba tiesiskās attiecības, un darba grāmatiņas, parādnieka dokumentus par sociālā nodokļa maksājumiem līdz 1997. gada 1. janvārim un darbā notikušo nelaimes gadījumu izmeklēšanas aktus vai atzinumus un izmeklēšanas materiālus. Saskaņā ar Maksātnespējas likuma 1</w:t>
      </w:r>
      <w:r w:rsidR="00AB7F0F" w:rsidRPr="0075382D">
        <w:rPr>
          <w:rFonts w:ascii="Times New Roman" w:hAnsi="Times New Roman" w:cs="Times New Roman"/>
          <w:sz w:val="24"/>
          <w:szCs w:val="24"/>
        </w:rPr>
        <w:t>20</w:t>
      </w:r>
      <w:r w:rsidRPr="0075382D">
        <w:rPr>
          <w:rFonts w:ascii="Times New Roman" w:hAnsi="Times New Roman" w:cs="Times New Roman"/>
          <w:sz w:val="24"/>
          <w:szCs w:val="24"/>
        </w:rPr>
        <w:t xml:space="preserve">. panta ceturto daļu administratoram ir pienākums piecu dienu laikā pēc tam, kad saņemts tiesas lēmums par procesa pabeigšanu, valsts arhīva izziņu par parādnieka dokumentu nodošanu glabāšanā pievienot pieteikumam </w:t>
      </w:r>
      <w:r w:rsidR="00AE0E33" w:rsidRPr="0075382D">
        <w:rPr>
          <w:rFonts w:ascii="Times New Roman" w:hAnsi="Times New Roman" w:cs="Times New Roman"/>
          <w:sz w:val="24"/>
          <w:szCs w:val="24"/>
        </w:rPr>
        <w:t xml:space="preserve">Latvijas Republikas </w:t>
      </w:r>
      <w:r w:rsidRPr="0075382D">
        <w:rPr>
          <w:rFonts w:ascii="Times New Roman" w:hAnsi="Times New Roman" w:cs="Times New Roman"/>
          <w:sz w:val="24"/>
          <w:szCs w:val="24"/>
        </w:rPr>
        <w:t xml:space="preserve">Uzņēmumu reģistram </w:t>
      </w:r>
      <w:r w:rsidR="00AE0E33" w:rsidRPr="0075382D">
        <w:rPr>
          <w:rFonts w:ascii="Times New Roman" w:hAnsi="Times New Roman" w:cs="Times New Roman"/>
          <w:sz w:val="24"/>
          <w:szCs w:val="24"/>
        </w:rPr>
        <w:t xml:space="preserve">(turpmāk – Uzņēmumu reģistrs) </w:t>
      </w:r>
      <w:r w:rsidRPr="0075382D">
        <w:rPr>
          <w:rFonts w:ascii="Times New Roman" w:hAnsi="Times New Roman" w:cs="Times New Roman"/>
          <w:sz w:val="24"/>
          <w:szCs w:val="24"/>
        </w:rPr>
        <w:t>par parādnieka izslēgšanu no attiecīgā reģistra.</w:t>
      </w:r>
    </w:p>
    <w:p w14:paraId="29A1F324" w14:textId="3B828460" w:rsidR="005356E0" w:rsidRPr="0075382D" w:rsidRDefault="005356E0">
      <w:pPr>
        <w:spacing w:after="0" w:line="240" w:lineRule="auto"/>
        <w:ind w:firstLine="720"/>
        <w:jc w:val="both"/>
        <w:rPr>
          <w:rFonts w:ascii="Times New Roman" w:hAnsi="Times New Roman" w:cs="Times New Roman"/>
          <w:bCs/>
          <w:sz w:val="24"/>
          <w:szCs w:val="24"/>
        </w:rPr>
      </w:pPr>
      <w:r w:rsidRPr="0075382D">
        <w:rPr>
          <w:rFonts w:ascii="Times New Roman" w:hAnsi="Times New Roman" w:cs="Times New Roman"/>
          <w:bCs/>
          <w:sz w:val="24"/>
          <w:szCs w:val="24"/>
        </w:rPr>
        <w:t xml:space="preserve">Saskaņā ar Arhīvu likuma 22. panta 8. punktu Latvijas </w:t>
      </w:r>
      <w:r w:rsidR="008B2F99" w:rsidRPr="0075382D">
        <w:rPr>
          <w:rFonts w:ascii="Times New Roman" w:hAnsi="Times New Roman" w:cs="Times New Roman"/>
          <w:bCs/>
          <w:sz w:val="24"/>
          <w:szCs w:val="24"/>
        </w:rPr>
        <w:t>N</w:t>
      </w:r>
      <w:r w:rsidRPr="0075382D">
        <w:rPr>
          <w:rFonts w:ascii="Times New Roman" w:hAnsi="Times New Roman" w:cs="Times New Roman"/>
          <w:bCs/>
          <w:sz w:val="24"/>
          <w:szCs w:val="24"/>
        </w:rPr>
        <w:t xml:space="preserve">acionālajam arhīvam </w:t>
      </w:r>
      <w:r w:rsidR="00FF6C33" w:rsidRPr="0075382D">
        <w:rPr>
          <w:rFonts w:ascii="Times New Roman" w:hAnsi="Times New Roman" w:cs="Times New Roman"/>
          <w:bCs/>
          <w:sz w:val="24"/>
          <w:szCs w:val="24"/>
        </w:rPr>
        <w:t>(turpmāk</w:t>
      </w:r>
      <w:r w:rsidR="00D54B3C" w:rsidRPr="0075382D">
        <w:rPr>
          <w:rFonts w:ascii="Times New Roman" w:hAnsi="Times New Roman" w:cs="Times New Roman"/>
          <w:bCs/>
          <w:sz w:val="24"/>
          <w:szCs w:val="24"/>
        </w:rPr>
        <w:t> </w:t>
      </w:r>
      <w:r w:rsidR="00E1262A" w:rsidRPr="0075382D">
        <w:rPr>
          <w:rFonts w:ascii="Times New Roman" w:hAnsi="Times New Roman" w:cs="Times New Roman"/>
          <w:bCs/>
          <w:sz w:val="24"/>
          <w:szCs w:val="24"/>
        </w:rPr>
        <w:t>–</w:t>
      </w:r>
      <w:r w:rsidR="00D54B3C" w:rsidRPr="0075382D">
        <w:rPr>
          <w:rFonts w:ascii="Times New Roman" w:hAnsi="Times New Roman" w:cs="Times New Roman"/>
          <w:bCs/>
          <w:sz w:val="24"/>
          <w:szCs w:val="24"/>
        </w:rPr>
        <w:t> </w:t>
      </w:r>
      <w:r w:rsidR="00FF6C33" w:rsidRPr="0075382D">
        <w:rPr>
          <w:rFonts w:ascii="Times New Roman" w:hAnsi="Times New Roman" w:cs="Times New Roman"/>
          <w:bCs/>
          <w:sz w:val="24"/>
          <w:szCs w:val="24"/>
        </w:rPr>
        <w:t xml:space="preserve">arhīvs) </w:t>
      </w:r>
      <w:r w:rsidRPr="0075382D">
        <w:rPr>
          <w:rFonts w:ascii="Times New Roman" w:hAnsi="Times New Roman" w:cs="Times New Roman"/>
          <w:bCs/>
          <w:sz w:val="24"/>
          <w:szCs w:val="24"/>
        </w:rPr>
        <w:t>ir tiesības sniegt Ministru kabineta noteiktos maksas pakalpojumus</w:t>
      </w:r>
      <w:r w:rsidR="00AD184F" w:rsidRPr="0075382D">
        <w:rPr>
          <w:rFonts w:ascii="Times New Roman" w:hAnsi="Times New Roman" w:cs="Times New Roman"/>
          <w:bCs/>
          <w:sz w:val="24"/>
          <w:szCs w:val="24"/>
        </w:rPr>
        <w:t>,</w:t>
      </w:r>
      <w:r w:rsidRPr="0075382D">
        <w:rPr>
          <w:rFonts w:ascii="Times New Roman" w:hAnsi="Times New Roman" w:cs="Times New Roman"/>
          <w:bCs/>
          <w:sz w:val="24"/>
          <w:szCs w:val="24"/>
        </w:rPr>
        <w:t xml:space="preserve"> un to izcenojumus noteic Ministru kabineta 2013. gada 17. septembra noteikumi Nr. 857 "Latvijas Nacionālā arhīva publisko maksas pakalpojumu cenrādis"</w:t>
      </w:r>
      <w:r w:rsidR="002C5976" w:rsidRPr="0075382D">
        <w:rPr>
          <w:rFonts w:ascii="Times New Roman" w:hAnsi="Times New Roman" w:cs="Times New Roman"/>
          <w:bCs/>
          <w:sz w:val="24"/>
          <w:szCs w:val="24"/>
        </w:rPr>
        <w:t>.</w:t>
      </w:r>
    </w:p>
    <w:p w14:paraId="44F97954" w14:textId="2E09B52C" w:rsidR="005356E0" w:rsidRPr="0075382D" w:rsidRDefault="005356E0">
      <w:pPr>
        <w:spacing w:after="0" w:line="240" w:lineRule="auto"/>
        <w:ind w:firstLine="720"/>
        <w:jc w:val="both"/>
        <w:rPr>
          <w:rFonts w:ascii="Times New Roman" w:hAnsi="Times New Roman" w:cs="Times New Roman"/>
          <w:bCs/>
          <w:sz w:val="24"/>
          <w:szCs w:val="24"/>
        </w:rPr>
      </w:pPr>
      <w:r w:rsidRPr="0075382D">
        <w:rPr>
          <w:rFonts w:ascii="Times New Roman" w:hAnsi="Times New Roman" w:cs="Times New Roman"/>
          <w:bCs/>
          <w:sz w:val="24"/>
          <w:szCs w:val="24"/>
        </w:rPr>
        <w:t xml:space="preserve">Līdz ar to, nododot dokumentus </w:t>
      </w:r>
      <w:r w:rsidR="00FF6C33" w:rsidRPr="0075382D">
        <w:rPr>
          <w:rFonts w:ascii="Times New Roman" w:hAnsi="Times New Roman" w:cs="Times New Roman"/>
          <w:bCs/>
          <w:sz w:val="24"/>
          <w:szCs w:val="24"/>
        </w:rPr>
        <w:t>valsts glabāšanā arhīvā</w:t>
      </w:r>
      <w:r w:rsidRPr="0075382D">
        <w:rPr>
          <w:rFonts w:ascii="Times New Roman" w:hAnsi="Times New Roman" w:cs="Times New Roman"/>
          <w:bCs/>
          <w:sz w:val="24"/>
          <w:szCs w:val="24"/>
        </w:rPr>
        <w:t>, administratoram ir jāmaksā par dokumentu nodošanu un attiecīgas izziņas saņemšanu saskaņā ar norādītajā cenrādī not</w:t>
      </w:r>
      <w:r w:rsidR="006322B7" w:rsidRPr="0075382D">
        <w:rPr>
          <w:rFonts w:ascii="Times New Roman" w:hAnsi="Times New Roman" w:cs="Times New Roman"/>
          <w:bCs/>
          <w:sz w:val="24"/>
          <w:szCs w:val="24"/>
        </w:rPr>
        <w:t>e</w:t>
      </w:r>
      <w:r w:rsidRPr="0075382D">
        <w:rPr>
          <w:rFonts w:ascii="Times New Roman" w:hAnsi="Times New Roman" w:cs="Times New Roman"/>
          <w:bCs/>
          <w:sz w:val="24"/>
          <w:szCs w:val="24"/>
        </w:rPr>
        <w:t>ikto izcenojumu, jo normatīvais regulējums neparedz arhīva tiesības daļēji vai pilnīgi atbrīvot administratoru no normatīvajos aktos noteikto maksājumu veikšanas atkarībā no parādnieka aktīvu apmēra vai maksātnespējas procesa finansējuma apmēra un avotiem.</w:t>
      </w:r>
    </w:p>
    <w:p w14:paraId="31B06FC5" w14:textId="457811C8" w:rsidR="005356E0" w:rsidRPr="0075382D" w:rsidRDefault="005356E0">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bCs/>
          <w:sz w:val="24"/>
          <w:szCs w:val="24"/>
        </w:rPr>
        <w:t>Līdz ar to d</w:t>
      </w:r>
      <w:r w:rsidRPr="0075382D">
        <w:rPr>
          <w:rFonts w:ascii="Times New Roman" w:hAnsi="Times New Roman" w:cs="Times New Roman"/>
          <w:sz w:val="24"/>
          <w:szCs w:val="24"/>
        </w:rPr>
        <w:t xml:space="preserve">okumentu nodošanai glabāšanā </w:t>
      </w:r>
      <w:r w:rsidR="005D6176" w:rsidRPr="0075382D">
        <w:rPr>
          <w:rFonts w:ascii="Times New Roman" w:hAnsi="Times New Roman" w:cs="Times New Roman"/>
          <w:sz w:val="24"/>
          <w:szCs w:val="24"/>
        </w:rPr>
        <w:t xml:space="preserve">arhīvā </w:t>
      </w:r>
      <w:r w:rsidRPr="0075382D">
        <w:rPr>
          <w:rFonts w:ascii="Times New Roman" w:hAnsi="Times New Roman" w:cs="Times New Roman"/>
          <w:sz w:val="24"/>
          <w:szCs w:val="24"/>
        </w:rPr>
        <w:t>un arhīva izziņas saņemšanai ir nepieciešami finanšu līdzekļi. Atbilstoši Maksātnespējas likuma 170. panta otrās daļas 4. punktam izdevumus, kas saistīti ar lietu nodošanu arhīvā, iekļauj juridiskās personas maksātnespējas procesa izdevumos.</w:t>
      </w:r>
    </w:p>
    <w:p w14:paraId="58BCB3C1" w14:textId="77777777" w:rsidR="005356E0" w:rsidRPr="0075382D" w:rsidRDefault="005356E0">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Izdevumus, kas saistīti arī ar lietu nodošanu arhīvā, atbilstoši Maksātnespējas likuma 168. pantam jāsedz no parādnieka mantas vai no maksātnespējas procesa depozīta, ja no parādnieka mantas nav iespējams segt juridiskās personas maksātnespējas procesa izmaksas. Atbilstoši Maksātnespējas likuma 118. panta pirmajai daļai juridiskās personas maksātnespējas procesa izmaksas tiek segtas pirms kreditoru prasījumu apmierināšanas.</w:t>
      </w:r>
    </w:p>
    <w:p w14:paraId="5A48CF20" w14:textId="77777777" w:rsidR="005356E0" w:rsidRPr="00FC5F04" w:rsidRDefault="005356E0">
      <w:pPr>
        <w:spacing w:after="0" w:line="240" w:lineRule="auto"/>
        <w:ind w:firstLine="720"/>
        <w:jc w:val="both"/>
        <w:rPr>
          <w:rFonts w:ascii="Times New Roman" w:hAnsi="Times New Roman" w:cs="Times New Roman"/>
          <w:bCs/>
          <w:sz w:val="24"/>
          <w:szCs w:val="24"/>
        </w:rPr>
      </w:pPr>
      <w:r w:rsidRPr="0075382D">
        <w:rPr>
          <w:rFonts w:ascii="Times New Roman" w:hAnsi="Times New Roman" w:cs="Times New Roman"/>
          <w:bCs/>
          <w:sz w:val="24"/>
          <w:szCs w:val="24"/>
        </w:rPr>
        <w:t xml:space="preserve">Ar norādīto regulējumu </w:t>
      </w:r>
      <w:r w:rsidRPr="00FC5F04">
        <w:rPr>
          <w:rFonts w:ascii="Times New Roman" w:hAnsi="Times New Roman" w:cs="Times New Roman"/>
          <w:bCs/>
          <w:sz w:val="24"/>
          <w:szCs w:val="24"/>
        </w:rPr>
        <w:t>ir saistītas vairākas praktiskas problēmas.</w:t>
      </w:r>
    </w:p>
    <w:p w14:paraId="363EDA90" w14:textId="49EC29AB" w:rsidR="005356E0" w:rsidRPr="0075382D" w:rsidRDefault="00D06F56">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1. </w:t>
      </w:r>
      <w:r w:rsidR="005356E0" w:rsidRPr="0075382D">
        <w:rPr>
          <w:rFonts w:ascii="Times New Roman" w:hAnsi="Times New Roman" w:cs="Times New Roman"/>
          <w:sz w:val="24"/>
          <w:szCs w:val="24"/>
        </w:rPr>
        <w:t xml:space="preserve">Parādnieka naudas līdzekļi ne vienmēr ir pietiekoši, lai pilnībā segtu visus maksātnespējas procesa izdevumus, tostarp ar lietu nodošanu arhīvā saistītos, turklāt šie izdevumi var sasniegt ievērojamas summas (pat vairāku tūkstošu </w:t>
      </w:r>
      <w:r w:rsidR="005356E0" w:rsidRPr="0075382D">
        <w:rPr>
          <w:rFonts w:ascii="Times New Roman" w:hAnsi="Times New Roman" w:cs="Times New Roman"/>
          <w:i/>
          <w:sz w:val="24"/>
          <w:szCs w:val="24"/>
        </w:rPr>
        <w:t>euro</w:t>
      </w:r>
      <w:r w:rsidR="005356E0" w:rsidRPr="0075382D">
        <w:rPr>
          <w:rFonts w:ascii="Times New Roman" w:hAnsi="Times New Roman" w:cs="Times New Roman"/>
          <w:sz w:val="24"/>
          <w:szCs w:val="24"/>
        </w:rPr>
        <w:t xml:space="preserve"> apmērā)</w:t>
      </w:r>
      <w:r w:rsidR="005356E0" w:rsidRPr="00FC5F04">
        <w:rPr>
          <w:rFonts w:ascii="Times New Roman" w:hAnsi="Times New Roman" w:cs="Times New Roman"/>
          <w:sz w:val="24"/>
          <w:szCs w:val="24"/>
          <w:vertAlign w:val="superscript"/>
        </w:rPr>
        <w:footnoteReference w:id="2"/>
      </w:r>
      <w:r w:rsidR="005356E0" w:rsidRPr="00FC5F04">
        <w:rPr>
          <w:rFonts w:ascii="Times New Roman" w:hAnsi="Times New Roman" w:cs="Times New Roman"/>
          <w:sz w:val="24"/>
          <w:szCs w:val="24"/>
        </w:rPr>
        <w:t xml:space="preserve">. Atbilstoši </w:t>
      </w:r>
      <w:r w:rsidR="005356E0" w:rsidRPr="0075382D">
        <w:rPr>
          <w:rFonts w:ascii="Times New Roman" w:hAnsi="Times New Roman" w:cs="Times New Roman"/>
          <w:sz w:val="24"/>
          <w:szCs w:val="24"/>
        </w:rPr>
        <w:t xml:space="preserve">Maksātnespējas likumam administratoram no saviem personīgajiem līdzekļiem nav jāfinansē juridiskās personas maksātnespējas process. Līdz ar to galvenā problēma, nododot dokumentus </w:t>
      </w:r>
      <w:r w:rsidR="00DE1E9A" w:rsidRPr="0075382D">
        <w:rPr>
          <w:rFonts w:ascii="Times New Roman" w:hAnsi="Times New Roman" w:cs="Times New Roman"/>
          <w:sz w:val="24"/>
          <w:szCs w:val="24"/>
        </w:rPr>
        <w:t>glabāšanā arhīvā</w:t>
      </w:r>
      <w:r w:rsidR="005356E0" w:rsidRPr="0075382D">
        <w:rPr>
          <w:rFonts w:ascii="Times New Roman" w:hAnsi="Times New Roman" w:cs="Times New Roman"/>
          <w:sz w:val="24"/>
          <w:szCs w:val="24"/>
        </w:rPr>
        <w:t>, ir finanšu līdzekļu trūkums maksātnespējas procesā.</w:t>
      </w:r>
    </w:p>
    <w:p w14:paraId="24539B48" w14:textId="6AD57369" w:rsidR="005356E0" w:rsidRPr="00FC5F04" w:rsidRDefault="00D06F56">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lastRenderedPageBreak/>
        <w:t>2. </w:t>
      </w:r>
      <w:r w:rsidR="005356E0" w:rsidRPr="0075382D">
        <w:rPr>
          <w:rFonts w:ascii="Times New Roman" w:hAnsi="Times New Roman" w:cs="Times New Roman"/>
          <w:sz w:val="24"/>
          <w:szCs w:val="24"/>
        </w:rPr>
        <w:t xml:space="preserve">Vienlaikus arhīvu ne vienmēr apmierina tas, kā administratori ir sakārtojuši </w:t>
      </w:r>
      <w:r w:rsidR="005356E0" w:rsidRPr="0075382D">
        <w:rPr>
          <w:rFonts w:ascii="Times New Roman" w:hAnsi="Times New Roman" w:cs="Times New Roman"/>
          <w:bCs/>
          <w:sz w:val="24"/>
          <w:szCs w:val="24"/>
        </w:rPr>
        <w:t>valsts glabāšanā arhīvā nododamos dokumentus</w:t>
      </w:r>
      <w:r w:rsidR="005356E0" w:rsidRPr="0075382D">
        <w:rPr>
          <w:rFonts w:ascii="Times New Roman" w:hAnsi="Times New Roman" w:cs="Times New Roman"/>
          <w:sz w:val="24"/>
          <w:szCs w:val="24"/>
        </w:rPr>
        <w:t>, un arhīvs tos atkārtoti sakārto</w:t>
      </w:r>
      <w:r w:rsidR="005356E0" w:rsidRPr="0075382D">
        <w:rPr>
          <w:rFonts w:ascii="Times New Roman" w:hAnsi="Times New Roman" w:cs="Times New Roman"/>
          <w:bCs/>
          <w:sz w:val="24"/>
          <w:szCs w:val="24"/>
        </w:rPr>
        <w:t xml:space="preserve"> atbilstoši arhīvu jomu reglamentējošo normatīvo aktu prasībām, </w:t>
      </w:r>
      <w:r w:rsidR="005356E0" w:rsidRPr="0075382D">
        <w:rPr>
          <w:rFonts w:ascii="Times New Roman" w:hAnsi="Times New Roman" w:cs="Times New Roman"/>
          <w:sz w:val="24"/>
          <w:szCs w:val="24"/>
        </w:rPr>
        <w:t>par to prasot veikt attiecīgu samaksu</w:t>
      </w:r>
      <w:r w:rsidR="005356E0" w:rsidRPr="00FC5F04">
        <w:rPr>
          <w:rFonts w:ascii="Times New Roman" w:hAnsi="Times New Roman" w:cs="Times New Roman"/>
          <w:sz w:val="24"/>
          <w:szCs w:val="24"/>
          <w:vertAlign w:val="superscript"/>
        </w:rPr>
        <w:footnoteReference w:id="3"/>
      </w:r>
      <w:r w:rsidR="005356E0" w:rsidRPr="00FC5F04">
        <w:rPr>
          <w:rFonts w:ascii="Times New Roman" w:hAnsi="Times New Roman" w:cs="Times New Roman"/>
          <w:sz w:val="24"/>
          <w:szCs w:val="24"/>
        </w:rPr>
        <w:t>.</w:t>
      </w:r>
    </w:p>
    <w:p w14:paraId="1E23676D" w14:textId="77777777" w:rsidR="00C54981" w:rsidRDefault="00D06F56">
      <w:pPr>
        <w:spacing w:after="0" w:line="240" w:lineRule="auto"/>
        <w:ind w:firstLine="720"/>
        <w:jc w:val="both"/>
        <w:rPr>
          <w:rFonts w:ascii="Times New Roman" w:hAnsi="Times New Roman" w:cs="Times New Roman"/>
          <w:sz w:val="24"/>
          <w:szCs w:val="24"/>
          <w:shd w:val="clear" w:color="auto" w:fill="FFFFFF"/>
        </w:rPr>
      </w:pPr>
      <w:r w:rsidRPr="00FC5F04">
        <w:rPr>
          <w:rFonts w:ascii="Times New Roman" w:hAnsi="Times New Roman" w:cs="Times New Roman"/>
          <w:sz w:val="24"/>
          <w:szCs w:val="24"/>
          <w:shd w:val="clear" w:color="auto" w:fill="FFFFFF"/>
        </w:rPr>
        <w:t>3. </w:t>
      </w:r>
      <w:r w:rsidR="00F15CE3" w:rsidRPr="00FC5F04">
        <w:rPr>
          <w:rFonts w:ascii="Times New Roman" w:hAnsi="Times New Roman" w:cs="Times New Roman"/>
          <w:sz w:val="24"/>
          <w:szCs w:val="24"/>
          <w:shd w:val="clear" w:color="auto" w:fill="FFFFFF"/>
        </w:rPr>
        <w:t>J</w:t>
      </w:r>
      <w:r w:rsidR="00231010" w:rsidRPr="0075382D">
        <w:rPr>
          <w:rFonts w:ascii="Times New Roman" w:hAnsi="Times New Roman" w:cs="Times New Roman"/>
          <w:sz w:val="24"/>
          <w:szCs w:val="24"/>
          <w:shd w:val="clear" w:color="auto" w:fill="FFFFFF"/>
        </w:rPr>
        <w:t xml:space="preserve">a maksātnespējīgā uzņēmumā tika nodarbināts liels darbinieku skaits, dokumentu nodošanas glabāšanā </w:t>
      </w:r>
      <w:r w:rsidR="002C5976" w:rsidRPr="0075382D">
        <w:rPr>
          <w:rFonts w:ascii="Times New Roman" w:hAnsi="Times New Roman" w:cs="Times New Roman"/>
          <w:sz w:val="24"/>
          <w:szCs w:val="24"/>
          <w:shd w:val="clear" w:color="auto" w:fill="FFFFFF"/>
        </w:rPr>
        <w:t xml:space="preserve">arhīvā </w:t>
      </w:r>
      <w:r w:rsidR="00231010" w:rsidRPr="0075382D">
        <w:rPr>
          <w:rFonts w:ascii="Times New Roman" w:hAnsi="Times New Roman" w:cs="Times New Roman"/>
          <w:sz w:val="24"/>
          <w:szCs w:val="24"/>
          <w:shd w:val="clear" w:color="auto" w:fill="FFFFFF"/>
        </w:rPr>
        <w:t xml:space="preserve">izmaksas sastāda ievērojumu daļu no kopējām maksātnespējas procesa izmaksām, turklāt administratoram jāsedz dokumentu nodošanas glabāšanā izmaksas arī t.s. </w:t>
      </w:r>
      <w:r w:rsidR="00F773F5" w:rsidRPr="0075382D">
        <w:rPr>
          <w:rFonts w:ascii="Times New Roman" w:hAnsi="Times New Roman" w:cs="Times New Roman"/>
          <w:sz w:val="24"/>
          <w:szCs w:val="24"/>
          <w:shd w:val="clear" w:color="auto" w:fill="FFFFFF"/>
        </w:rPr>
        <w:t>"</w:t>
      </w:r>
      <w:r w:rsidR="00231010" w:rsidRPr="0075382D">
        <w:rPr>
          <w:rFonts w:ascii="Times New Roman" w:hAnsi="Times New Roman" w:cs="Times New Roman"/>
          <w:sz w:val="24"/>
          <w:szCs w:val="24"/>
          <w:shd w:val="clear" w:color="auto" w:fill="FFFFFF"/>
        </w:rPr>
        <w:t>tukšajos</w:t>
      </w:r>
      <w:r w:rsidR="00F773F5" w:rsidRPr="0075382D">
        <w:rPr>
          <w:rFonts w:ascii="Times New Roman" w:hAnsi="Times New Roman" w:cs="Times New Roman"/>
          <w:sz w:val="24"/>
          <w:szCs w:val="24"/>
          <w:shd w:val="clear" w:color="auto" w:fill="FFFFFF"/>
        </w:rPr>
        <w:t>"</w:t>
      </w:r>
      <w:r w:rsidR="00231010" w:rsidRPr="0075382D">
        <w:rPr>
          <w:rFonts w:ascii="Times New Roman" w:hAnsi="Times New Roman" w:cs="Times New Roman"/>
          <w:sz w:val="24"/>
          <w:szCs w:val="24"/>
          <w:shd w:val="clear" w:color="auto" w:fill="FFFFFF"/>
        </w:rPr>
        <w:t xml:space="preserve"> uzņēmumos, kuru vienīgais finansēšanas avots ir maksātnespējas procesa depozīts. </w:t>
      </w:r>
    </w:p>
    <w:p w14:paraId="6EC1EBC0" w14:textId="5F60C2F0" w:rsidR="00231010" w:rsidRPr="0075382D" w:rsidRDefault="00231010">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shd w:val="clear" w:color="auto" w:fill="FFFFFF"/>
        </w:rPr>
        <w:t xml:space="preserve">Jānorāda, ka maksātnespējas procesa depozīts juridiskās personas maksātnespējas procesā tiek novirzīts gan maksātnespējas procesa izmaksu, gan administratora atlīdzības segšanai. Līdz ar to esošā sistēma nemotivē administratoru nodot dokumentus </w:t>
      </w:r>
      <w:r w:rsidR="005C176B" w:rsidRPr="0075382D">
        <w:rPr>
          <w:rFonts w:ascii="Times New Roman" w:hAnsi="Times New Roman" w:cs="Times New Roman"/>
          <w:sz w:val="24"/>
          <w:szCs w:val="24"/>
          <w:shd w:val="clear" w:color="auto" w:fill="FFFFFF"/>
        </w:rPr>
        <w:t>glabāšanā arhīvā</w:t>
      </w:r>
      <w:r w:rsidRPr="0075382D">
        <w:rPr>
          <w:rFonts w:ascii="Times New Roman" w:hAnsi="Times New Roman" w:cs="Times New Roman"/>
          <w:sz w:val="24"/>
          <w:szCs w:val="24"/>
          <w:shd w:val="clear" w:color="auto" w:fill="FFFFFF"/>
        </w:rPr>
        <w:t xml:space="preserve">, kā rezultātā praksē bieži vien tiek konstatēti gadījumi, kad arhīvā nododamo dokumentu administratora rīcībā nav, jo atbilstoši administratora norādītajai informācijai tie sadeg, noslīkst vai nav nodoti administratoram. Šādi un citi iemesli tiek norādīti, lai saņemtu izziņu no arhīva, kas ir nepieciešama iesniegšanai Uzņēmumu reģistrā, lai izslēgtu subjektu no </w:t>
      </w:r>
      <w:r w:rsidR="007810F2" w:rsidRPr="0075382D">
        <w:rPr>
          <w:rFonts w:ascii="Times New Roman" w:hAnsi="Times New Roman" w:cs="Times New Roman"/>
          <w:sz w:val="24"/>
          <w:szCs w:val="24"/>
          <w:shd w:val="clear" w:color="auto" w:fill="FFFFFF"/>
        </w:rPr>
        <w:t xml:space="preserve">attiecīgā publiskā </w:t>
      </w:r>
      <w:r w:rsidRPr="0075382D">
        <w:rPr>
          <w:rFonts w:ascii="Times New Roman" w:hAnsi="Times New Roman" w:cs="Times New Roman"/>
          <w:sz w:val="24"/>
          <w:szCs w:val="24"/>
          <w:shd w:val="clear" w:color="auto" w:fill="FFFFFF"/>
        </w:rPr>
        <w:t xml:space="preserve">reģistra pēc maksātnespējas procesa pabeigšanas, procesā tiek iesaistīta arī Valsts policija. </w:t>
      </w:r>
      <w:r w:rsidRPr="0075382D">
        <w:rPr>
          <w:rFonts w:ascii="Times New Roman" w:hAnsi="Times New Roman" w:cs="Times New Roman"/>
          <w:sz w:val="24"/>
          <w:szCs w:val="24"/>
        </w:rPr>
        <w:t xml:space="preserve">Sekojoši policija atsaka uzsākt kriminālprocesu un ar šo lēmumu administrators vēršas arhīvā, uz kā pamata tiek izsniegta izziņa no arhīva. </w:t>
      </w:r>
      <w:r w:rsidRPr="0075382D">
        <w:rPr>
          <w:rFonts w:ascii="Times New Roman" w:hAnsi="Times New Roman" w:cs="Times New Roman"/>
          <w:sz w:val="24"/>
          <w:szCs w:val="24"/>
          <w:shd w:val="clear" w:color="auto" w:fill="FFFFFF"/>
        </w:rPr>
        <w:t>Valstij, arhīva personā, ir mērķis saglabāt šos dokumentus, lai nodrošinātu iedzīvotājiem tiesību un interešu aizsardzību, piemēram, lai darbinieks, aizejot pensijā, saņemtu aprēķinu, kas atbilst viņa nostrādātajam darba stāžam (jāņem vērā, ka maksātnespējīga uzņēmuma rīcībā var būt dokumenti, kas var būtiski ietekmēt personas vecuma pensijas apmēru).</w:t>
      </w:r>
    </w:p>
    <w:p w14:paraId="58F2339A" w14:textId="66F3FC79" w:rsidR="005356E0" w:rsidRPr="0075382D" w:rsidRDefault="005356E0">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Vienlaikus jāņem vērā, ka dokumenti, kuri ir nododami arhīvā, ir būtiski sociāli tiesiskās izziņas (t.sk. par darbu, mācībām) sagatavošanā pēc privātpersonu pieprasījuma, it īpaši par laiku līdz 1997. gada 1. janvārim veikto sociālo nodokļu maksājumiem. Līdz 2013. gada 31. decembrim radītie galvenie darba attiecību dokumenti nepieciešami sociālās apdrošināšanas stāža pierādīšanai un arodslimību konstatēšanai, jo atsevišķas šajos dokumentos iekļautās ziņas (par profesiju, amatu, specialitāti</w:t>
      </w:r>
      <w:r w:rsidR="007810F2" w:rsidRPr="0075382D">
        <w:rPr>
          <w:rFonts w:ascii="Times New Roman" w:hAnsi="Times New Roman" w:cs="Times New Roman"/>
          <w:sz w:val="24"/>
          <w:szCs w:val="24"/>
        </w:rPr>
        <w:t>)</w:t>
      </w:r>
      <w:r w:rsidRPr="0075382D">
        <w:rPr>
          <w:rFonts w:ascii="Times New Roman" w:hAnsi="Times New Roman" w:cs="Times New Roman"/>
          <w:sz w:val="24"/>
          <w:szCs w:val="24"/>
        </w:rPr>
        <w:t xml:space="preserve"> iepriekš privātpersonām nebija jāsniedz. Turklāt atsevišķi dokumenti var būt ar pastāvīgu arhīvisko vērtību, piemēram, uzņēmuma koplīgumi, kolektīvo darba strīdu lietas.</w:t>
      </w:r>
    </w:p>
    <w:p w14:paraId="5EB2772E" w14:textId="28BCC2E8" w:rsidR="005356E0" w:rsidRPr="0075382D" w:rsidRDefault="005356E0">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 xml:space="preserve">Līdz ar to arhīvs savu pienākumu izpildei aktīvi iesaistās dokumentu pieņemšanā no administratora, tostarp analizējot publiski pieejamo informāciju, izpēta, vai konkrētajam subjektam varētu būt dokumenti, kas nododami </w:t>
      </w:r>
      <w:r w:rsidR="002C5976" w:rsidRPr="0075382D">
        <w:rPr>
          <w:rFonts w:ascii="Times New Roman" w:hAnsi="Times New Roman" w:cs="Times New Roman"/>
          <w:sz w:val="24"/>
          <w:szCs w:val="24"/>
        </w:rPr>
        <w:t xml:space="preserve">glabāšanā </w:t>
      </w:r>
      <w:r w:rsidR="0033720D" w:rsidRPr="0075382D">
        <w:rPr>
          <w:rFonts w:ascii="Times New Roman" w:hAnsi="Times New Roman" w:cs="Times New Roman"/>
          <w:sz w:val="24"/>
          <w:szCs w:val="24"/>
        </w:rPr>
        <w:t xml:space="preserve">arhīvā </w:t>
      </w:r>
      <w:r w:rsidRPr="0075382D">
        <w:rPr>
          <w:rFonts w:ascii="Times New Roman" w:hAnsi="Times New Roman" w:cs="Times New Roman"/>
          <w:sz w:val="24"/>
          <w:szCs w:val="24"/>
        </w:rPr>
        <w:t>un pieprasa dokumentus no administratoriem.</w:t>
      </w:r>
    </w:p>
    <w:p w14:paraId="7F93108D" w14:textId="5B6A3BEA" w:rsidR="005356E0" w:rsidRPr="0075382D" w:rsidRDefault="005356E0">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Ņemot vērā norādīt</w:t>
      </w:r>
      <w:r w:rsidR="006560FF">
        <w:rPr>
          <w:rFonts w:ascii="Times New Roman" w:hAnsi="Times New Roman" w:cs="Times New Roman"/>
          <w:sz w:val="24"/>
          <w:szCs w:val="24"/>
        </w:rPr>
        <w:t>ās pienākumu izpildes problēmas</w:t>
      </w:r>
      <w:r w:rsidRPr="00FC5F04">
        <w:rPr>
          <w:rFonts w:ascii="Times New Roman" w:hAnsi="Times New Roman" w:cs="Times New Roman"/>
          <w:sz w:val="24"/>
          <w:szCs w:val="24"/>
        </w:rPr>
        <w:t>, esošā situācija nesasniedz mērķi, kādam noteikts regulējums attiecībā uz dokumentu nodošanu arhīvā, jo arhīvam dokumenti bieži tiek nodoti nepilnīgi vai netiek nodoti vispār, un personām nav iespējams saņemt tām nepieciešamo informācij</w:t>
      </w:r>
      <w:r w:rsidRPr="0075382D">
        <w:rPr>
          <w:rFonts w:ascii="Times New Roman" w:hAnsi="Times New Roman" w:cs="Times New Roman"/>
          <w:sz w:val="24"/>
          <w:szCs w:val="24"/>
        </w:rPr>
        <w:t>u, kas apliecinātu viņu profesionālās darbības laiku un darba gaitas pie konkrētā darba devēja.</w:t>
      </w:r>
    </w:p>
    <w:p w14:paraId="1CADDAB8" w14:textId="158972CD" w:rsidR="00801EC0" w:rsidRPr="0075382D" w:rsidRDefault="00801EC0" w:rsidP="0035157F">
      <w:pPr>
        <w:spacing w:after="0" w:line="240" w:lineRule="auto"/>
        <w:ind w:firstLine="720"/>
        <w:jc w:val="both"/>
        <w:rPr>
          <w:rFonts w:ascii="Times New Roman" w:hAnsi="Times New Roman" w:cs="Times New Roman"/>
          <w:sz w:val="24"/>
          <w:szCs w:val="24"/>
          <w:shd w:val="clear" w:color="auto" w:fill="FFFFFF"/>
        </w:rPr>
      </w:pPr>
      <w:r w:rsidRPr="0075382D">
        <w:rPr>
          <w:rFonts w:ascii="Times New Roman" w:hAnsi="Times New Roman" w:cs="Times New Roman"/>
          <w:sz w:val="24"/>
          <w:szCs w:val="24"/>
          <w:shd w:val="clear" w:color="auto" w:fill="FFFFFF"/>
        </w:rPr>
        <w:t xml:space="preserve">Izvērtējot esošo situāciju un iespējamos </w:t>
      </w:r>
      <w:r w:rsidR="00D06F56" w:rsidRPr="0075382D">
        <w:rPr>
          <w:rFonts w:ascii="Times New Roman" w:hAnsi="Times New Roman" w:cs="Times New Roman"/>
          <w:sz w:val="24"/>
          <w:szCs w:val="24"/>
          <w:shd w:val="clear" w:color="auto" w:fill="FFFFFF"/>
        </w:rPr>
        <w:t xml:space="preserve">problēmu </w:t>
      </w:r>
      <w:r w:rsidRPr="0075382D">
        <w:rPr>
          <w:rFonts w:ascii="Times New Roman" w:hAnsi="Times New Roman" w:cs="Times New Roman"/>
          <w:sz w:val="24"/>
          <w:szCs w:val="24"/>
          <w:shd w:val="clear" w:color="auto" w:fill="FFFFFF"/>
        </w:rPr>
        <w:t xml:space="preserve">risinājumus, </w:t>
      </w:r>
      <w:r w:rsidR="006D0944" w:rsidRPr="0075382D">
        <w:rPr>
          <w:rFonts w:ascii="Times New Roman" w:hAnsi="Times New Roman" w:cs="Times New Roman"/>
          <w:sz w:val="24"/>
          <w:szCs w:val="24"/>
          <w:shd w:val="clear" w:color="auto" w:fill="FFFFFF"/>
        </w:rPr>
        <w:t xml:space="preserve">tika </w:t>
      </w:r>
      <w:r w:rsidRPr="0075382D">
        <w:rPr>
          <w:rFonts w:ascii="Times New Roman" w:hAnsi="Times New Roman" w:cs="Times New Roman"/>
          <w:sz w:val="24"/>
          <w:szCs w:val="24"/>
          <w:shd w:val="clear" w:color="auto" w:fill="FFFFFF"/>
        </w:rPr>
        <w:t xml:space="preserve">secināts, ka vienīgais efektīvais risinājums </w:t>
      </w:r>
      <w:r w:rsidR="006D0944" w:rsidRPr="0075382D">
        <w:rPr>
          <w:rFonts w:ascii="Times New Roman" w:hAnsi="Times New Roman" w:cs="Times New Roman"/>
          <w:sz w:val="24"/>
          <w:szCs w:val="24"/>
          <w:shd w:val="clear" w:color="auto" w:fill="FFFFFF"/>
        </w:rPr>
        <w:t xml:space="preserve">šajā jautājumā </w:t>
      </w:r>
      <w:r w:rsidRPr="0075382D">
        <w:rPr>
          <w:rFonts w:ascii="Times New Roman" w:hAnsi="Times New Roman" w:cs="Times New Roman"/>
          <w:sz w:val="24"/>
          <w:szCs w:val="24"/>
          <w:shd w:val="clear" w:color="auto" w:fill="FFFFFF"/>
        </w:rPr>
        <w:t xml:space="preserve">ir tiesību piešķiršana administratoram </w:t>
      </w:r>
      <w:r w:rsidR="00E703D8" w:rsidRPr="0075382D">
        <w:rPr>
          <w:rFonts w:ascii="Times New Roman" w:hAnsi="Times New Roman" w:cs="Times New Roman"/>
          <w:sz w:val="24"/>
          <w:szCs w:val="24"/>
          <w:shd w:val="clear" w:color="auto" w:fill="FFFFFF"/>
        </w:rPr>
        <w:t xml:space="preserve">juridiskās personas </w:t>
      </w:r>
      <w:r w:rsidRPr="0075382D">
        <w:rPr>
          <w:rFonts w:ascii="Times New Roman" w:hAnsi="Times New Roman" w:cs="Times New Roman"/>
          <w:sz w:val="24"/>
          <w:szCs w:val="24"/>
          <w:shd w:val="clear" w:color="auto" w:fill="FFFFFF"/>
        </w:rPr>
        <w:t xml:space="preserve">maksātnespējas procesos nodot dokumentus </w:t>
      </w:r>
      <w:r w:rsidR="0033720D" w:rsidRPr="0075382D">
        <w:rPr>
          <w:rFonts w:ascii="Times New Roman" w:hAnsi="Times New Roman" w:cs="Times New Roman"/>
          <w:sz w:val="24"/>
          <w:szCs w:val="24"/>
          <w:shd w:val="clear" w:color="auto" w:fill="FFFFFF"/>
        </w:rPr>
        <w:t xml:space="preserve">glabāšanā arhīvā </w:t>
      </w:r>
      <w:r w:rsidRPr="0075382D">
        <w:rPr>
          <w:rFonts w:ascii="Times New Roman" w:hAnsi="Times New Roman" w:cs="Times New Roman"/>
          <w:sz w:val="24"/>
          <w:szCs w:val="24"/>
          <w:shd w:val="clear" w:color="auto" w:fill="FFFFFF"/>
        </w:rPr>
        <w:t>bez maksas.</w:t>
      </w:r>
    </w:p>
    <w:p w14:paraId="3E51D146" w14:textId="5D800AD8" w:rsidR="00DE7EF9" w:rsidRPr="0075382D" w:rsidRDefault="005820F0" w:rsidP="0035157F">
      <w:pPr>
        <w:spacing w:after="0" w:line="240" w:lineRule="auto"/>
        <w:ind w:firstLine="720"/>
        <w:jc w:val="both"/>
        <w:rPr>
          <w:rFonts w:ascii="Times New Roman" w:hAnsi="Times New Roman" w:cs="Times New Roman"/>
          <w:sz w:val="24"/>
          <w:szCs w:val="24"/>
          <w:lang w:eastAsia="lv-LV"/>
        </w:rPr>
      </w:pPr>
      <w:r w:rsidRPr="0075382D">
        <w:rPr>
          <w:rFonts w:ascii="Times New Roman" w:hAnsi="Times New Roman" w:cs="Times New Roman"/>
          <w:sz w:val="24"/>
          <w:szCs w:val="24"/>
        </w:rPr>
        <w:t>Tāpēc a</w:t>
      </w:r>
      <w:r w:rsidR="007810F2" w:rsidRPr="0075382D">
        <w:rPr>
          <w:rFonts w:ascii="Times New Roman" w:hAnsi="Times New Roman" w:cs="Times New Roman"/>
          <w:sz w:val="24"/>
          <w:szCs w:val="24"/>
        </w:rPr>
        <w:t>r 202</w:t>
      </w:r>
      <w:r w:rsidR="00FB7AC5" w:rsidRPr="0075382D">
        <w:rPr>
          <w:rFonts w:ascii="Times New Roman" w:hAnsi="Times New Roman" w:cs="Times New Roman"/>
          <w:sz w:val="24"/>
          <w:szCs w:val="24"/>
        </w:rPr>
        <w:t>1</w:t>
      </w:r>
      <w:r w:rsidR="007810F2" w:rsidRPr="0075382D">
        <w:rPr>
          <w:rFonts w:ascii="Times New Roman" w:hAnsi="Times New Roman" w:cs="Times New Roman"/>
          <w:sz w:val="24"/>
          <w:szCs w:val="24"/>
        </w:rPr>
        <w:t>. gada 15. jūnija likumu "Grozījumi Maksātnespējas likumā"</w:t>
      </w:r>
      <w:r w:rsidR="007810F2" w:rsidRPr="00FC5F04">
        <w:rPr>
          <w:rStyle w:val="Vresatsauce"/>
          <w:rFonts w:ascii="Times New Roman" w:hAnsi="Times New Roman" w:cs="Times New Roman"/>
          <w:sz w:val="24"/>
          <w:szCs w:val="24"/>
        </w:rPr>
        <w:footnoteReference w:id="4"/>
      </w:r>
      <w:r w:rsidR="007810F2" w:rsidRPr="00FC5F04">
        <w:rPr>
          <w:rFonts w:ascii="Times New Roman" w:hAnsi="Times New Roman" w:cs="Times New Roman"/>
          <w:sz w:val="24"/>
          <w:szCs w:val="24"/>
        </w:rPr>
        <w:t xml:space="preserve"> </w:t>
      </w:r>
      <w:r w:rsidR="00DE7EF9" w:rsidRPr="0075382D">
        <w:rPr>
          <w:rFonts w:ascii="Times New Roman" w:hAnsi="Times New Roman" w:cs="Times New Roman"/>
          <w:sz w:val="24"/>
          <w:szCs w:val="24"/>
        </w:rPr>
        <w:t>Maksātnespējas likum</w:t>
      </w:r>
      <w:r w:rsidR="007810F2" w:rsidRPr="0075382D">
        <w:rPr>
          <w:rFonts w:ascii="Times New Roman" w:hAnsi="Times New Roman" w:cs="Times New Roman"/>
          <w:sz w:val="24"/>
          <w:szCs w:val="24"/>
        </w:rPr>
        <w:t>a 27. panta pirmā daļa</w:t>
      </w:r>
      <w:r w:rsidR="00DE7EF9" w:rsidRPr="0075382D">
        <w:rPr>
          <w:rFonts w:ascii="Times New Roman" w:hAnsi="Times New Roman" w:cs="Times New Roman"/>
          <w:sz w:val="24"/>
          <w:szCs w:val="24"/>
        </w:rPr>
        <w:t xml:space="preserve"> papildināt</w:t>
      </w:r>
      <w:r w:rsidR="007810F2" w:rsidRPr="0075382D">
        <w:rPr>
          <w:rFonts w:ascii="Times New Roman" w:hAnsi="Times New Roman" w:cs="Times New Roman"/>
          <w:sz w:val="24"/>
          <w:szCs w:val="24"/>
        </w:rPr>
        <w:t>a</w:t>
      </w:r>
      <w:r w:rsidR="00DE7EF9" w:rsidRPr="0075382D">
        <w:rPr>
          <w:rFonts w:ascii="Times New Roman" w:hAnsi="Times New Roman" w:cs="Times New Roman"/>
          <w:sz w:val="24"/>
          <w:szCs w:val="24"/>
        </w:rPr>
        <w:t xml:space="preserve"> ar 5. punktu, nosakot, ka administratoram ir tiesības nodot glabāšanā valsts arhīvam parādnieka dokumentus bez maksas. </w:t>
      </w:r>
      <w:r w:rsidR="00DE7EF9" w:rsidRPr="0075382D">
        <w:rPr>
          <w:rFonts w:ascii="Times New Roman" w:hAnsi="Times New Roman" w:cs="Times New Roman"/>
          <w:sz w:val="24"/>
          <w:szCs w:val="24"/>
        </w:rPr>
        <w:lastRenderedPageBreak/>
        <w:t xml:space="preserve">Tāpat izslēgts 170. panta otrās daļas 4. punkts, līdz ar to </w:t>
      </w:r>
      <w:r w:rsidR="00DE7EF9" w:rsidRPr="0075382D">
        <w:rPr>
          <w:rFonts w:ascii="Times New Roman" w:hAnsi="Times New Roman" w:cs="Times New Roman"/>
          <w:sz w:val="24"/>
          <w:szCs w:val="24"/>
          <w:shd w:val="clear" w:color="auto" w:fill="FFFFFF"/>
        </w:rPr>
        <w:t>juridiskās personas maksātnespējas procesa izdevumos</w:t>
      </w:r>
      <w:r w:rsidR="00DE7EF9" w:rsidRPr="0075382D">
        <w:rPr>
          <w:rFonts w:ascii="Times New Roman" w:hAnsi="Times New Roman" w:cs="Times New Roman"/>
          <w:sz w:val="24"/>
          <w:szCs w:val="24"/>
        </w:rPr>
        <w:t xml:space="preserve"> vairs ne</w:t>
      </w:r>
      <w:r w:rsidR="00DE7EF9" w:rsidRPr="0075382D">
        <w:rPr>
          <w:rFonts w:ascii="Times New Roman" w:hAnsi="Times New Roman" w:cs="Times New Roman"/>
          <w:sz w:val="24"/>
          <w:szCs w:val="24"/>
          <w:shd w:val="clear" w:color="auto" w:fill="FFFFFF"/>
        </w:rPr>
        <w:t xml:space="preserve">iekļaujot izdevumus, kas saistīti ar lietu nodošanu arhīvā. </w:t>
      </w:r>
      <w:r w:rsidR="00DE7EF9" w:rsidRPr="0075382D">
        <w:rPr>
          <w:rFonts w:ascii="Times New Roman" w:hAnsi="Times New Roman" w:cs="Times New Roman"/>
          <w:sz w:val="24"/>
          <w:szCs w:val="24"/>
        </w:rPr>
        <w:t>Maksātnespējas likuma pārejas noteikumi papildināti ar 72. punktu, nosakot, ka grozījumi šā likuma 27. panta pirmās daļas 5. punktā un 170. pantā, ar kuriem noteiktas administratora tiesības nodot glabāšanā valsts arhīvam parādnieka dokumentus bez maksas, stājas spēkā 2022. gada 1. janvārī.</w:t>
      </w:r>
    </w:p>
    <w:p w14:paraId="21330241" w14:textId="44C7800A" w:rsidR="008F4520" w:rsidRPr="0075382D" w:rsidRDefault="006D0944" w:rsidP="0035157F">
      <w:pPr>
        <w:spacing w:after="0" w:line="240" w:lineRule="auto"/>
        <w:ind w:firstLine="720"/>
        <w:jc w:val="both"/>
        <w:rPr>
          <w:rFonts w:ascii="Times New Roman" w:hAnsi="Times New Roman" w:cs="Times New Roman"/>
          <w:sz w:val="24"/>
          <w:szCs w:val="24"/>
          <w:shd w:val="clear" w:color="auto" w:fill="FFFFFF"/>
        </w:rPr>
      </w:pPr>
      <w:r w:rsidRPr="0075382D">
        <w:rPr>
          <w:rFonts w:ascii="Times New Roman" w:hAnsi="Times New Roman" w:cs="Times New Roman"/>
          <w:sz w:val="24"/>
          <w:szCs w:val="24"/>
          <w:shd w:val="clear" w:color="auto" w:fill="FFFFFF"/>
        </w:rPr>
        <w:t xml:space="preserve">Ņemot vērā, ka arhīvam šo dokumentu </w:t>
      </w:r>
      <w:r w:rsidR="00C36A27" w:rsidRPr="0075382D">
        <w:rPr>
          <w:rFonts w:ascii="Times New Roman" w:hAnsi="Times New Roman" w:cs="Times New Roman"/>
          <w:sz w:val="24"/>
          <w:szCs w:val="24"/>
          <w:shd w:val="clear" w:color="auto" w:fill="FFFFFF"/>
        </w:rPr>
        <w:t xml:space="preserve">pieņemšana un </w:t>
      </w:r>
      <w:r w:rsidRPr="0075382D">
        <w:rPr>
          <w:rFonts w:ascii="Times New Roman" w:hAnsi="Times New Roman" w:cs="Times New Roman"/>
          <w:sz w:val="24"/>
          <w:szCs w:val="24"/>
          <w:shd w:val="clear" w:color="auto" w:fill="FFFFFF"/>
        </w:rPr>
        <w:t>saglabāšana rada izmaksas, ir nepieciešams rast šo izmaksu finansēšanas avotu.</w:t>
      </w:r>
    </w:p>
    <w:p w14:paraId="0EDC8A86" w14:textId="1FFE7EF3" w:rsidR="00AF0199" w:rsidRPr="0075382D" w:rsidRDefault="00AF0199" w:rsidP="0035157F">
      <w:pPr>
        <w:spacing w:after="0" w:line="240" w:lineRule="auto"/>
        <w:ind w:firstLine="720"/>
        <w:jc w:val="both"/>
        <w:rPr>
          <w:rFonts w:ascii="Times New Roman" w:hAnsi="Times New Roman" w:cs="Times New Roman"/>
          <w:sz w:val="24"/>
          <w:szCs w:val="24"/>
          <w:shd w:val="clear" w:color="auto" w:fill="FFFFFF"/>
        </w:rPr>
      </w:pPr>
      <w:r w:rsidRPr="0075382D">
        <w:rPr>
          <w:rFonts w:ascii="Times New Roman" w:hAnsi="Times New Roman" w:cs="Times New Roman"/>
          <w:sz w:val="24"/>
          <w:szCs w:val="24"/>
          <w:shd w:val="clear" w:color="auto" w:fill="FFFFFF"/>
        </w:rPr>
        <w:t>Saskaņā ar likuma </w:t>
      </w:r>
      <w:r w:rsidR="00034A5E" w:rsidRPr="0075382D">
        <w:rPr>
          <w:rFonts w:ascii="Times New Roman" w:hAnsi="Times New Roman" w:cs="Times New Roman"/>
          <w:sz w:val="24"/>
          <w:szCs w:val="24"/>
          <w:shd w:val="clear" w:color="auto" w:fill="FFFFFF"/>
        </w:rPr>
        <w:t>"</w:t>
      </w:r>
      <w:r w:rsidRPr="0075382D">
        <w:rPr>
          <w:rFonts w:ascii="Times New Roman" w:hAnsi="Times New Roman" w:cs="Times New Roman"/>
          <w:sz w:val="24"/>
          <w:szCs w:val="24"/>
          <w:shd w:val="clear" w:color="auto" w:fill="FFFFFF"/>
        </w:rPr>
        <w:t>Par darbinieku aizsardzību darba devēja maksātnespējas gadījumā</w:t>
      </w:r>
      <w:r w:rsidR="00034A5E" w:rsidRPr="0075382D">
        <w:rPr>
          <w:rFonts w:ascii="Times New Roman" w:hAnsi="Times New Roman" w:cs="Times New Roman"/>
          <w:sz w:val="24"/>
          <w:szCs w:val="24"/>
          <w:shd w:val="clear" w:color="auto" w:fill="FFFFFF"/>
        </w:rPr>
        <w:t>"</w:t>
      </w:r>
      <w:r w:rsidRPr="0075382D">
        <w:rPr>
          <w:rFonts w:ascii="Times New Roman" w:hAnsi="Times New Roman" w:cs="Times New Roman"/>
          <w:sz w:val="24"/>
          <w:szCs w:val="24"/>
          <w:shd w:val="clear" w:color="auto" w:fill="FFFFFF"/>
        </w:rPr>
        <w:t xml:space="preserve"> 6. panta otro daļu uzņēmējdarbības riska valsts nodevu (turpmāk – URVN) par nodrošinājumu darbinieku prasījumu apmierināšanai no darbinieku prasījumu garantiju fonda līdzekļiem, kā arī par maksātnespējas jomu regulējošā likumā noteiktiem mērķiem maksā visi darba devēji</w:t>
      </w:r>
      <w:r w:rsidR="00C36A27" w:rsidRPr="0075382D">
        <w:rPr>
          <w:rFonts w:ascii="Times New Roman" w:hAnsi="Times New Roman" w:cs="Times New Roman"/>
          <w:sz w:val="24"/>
          <w:szCs w:val="24"/>
          <w:shd w:val="clear" w:color="auto" w:fill="FFFFFF"/>
        </w:rPr>
        <w:t>, kuriem var tikt pasludināta maksātnespēja</w:t>
      </w:r>
      <w:r w:rsidRPr="0075382D">
        <w:rPr>
          <w:rFonts w:ascii="Times New Roman" w:hAnsi="Times New Roman" w:cs="Times New Roman"/>
          <w:sz w:val="24"/>
          <w:szCs w:val="24"/>
          <w:shd w:val="clear" w:color="auto" w:fill="FFFFFF"/>
        </w:rPr>
        <w:t>. Ņemot vērā minēto, URVN daļu ir iespējams novirzīt arhīvam minēto izmaksu segšanai.</w:t>
      </w:r>
    </w:p>
    <w:p w14:paraId="3438EE97" w14:textId="1201130C" w:rsidR="00C36A27" w:rsidRPr="0075382D" w:rsidRDefault="00C36A27" w:rsidP="0035157F">
      <w:pPr>
        <w:spacing w:after="0" w:line="240" w:lineRule="auto"/>
        <w:ind w:firstLine="720"/>
        <w:jc w:val="both"/>
        <w:rPr>
          <w:rFonts w:ascii="Times New Roman" w:hAnsi="Times New Roman" w:cs="Times New Roman"/>
          <w:sz w:val="24"/>
          <w:szCs w:val="24"/>
          <w:shd w:val="clear" w:color="auto" w:fill="FFFFFF"/>
        </w:rPr>
      </w:pPr>
      <w:r w:rsidRPr="0075382D">
        <w:rPr>
          <w:rFonts w:ascii="Times New Roman" w:hAnsi="Times New Roman" w:cs="Times New Roman"/>
          <w:sz w:val="24"/>
          <w:szCs w:val="24"/>
          <w:shd w:val="clear" w:color="auto" w:fill="FFFFFF"/>
        </w:rPr>
        <w:t xml:space="preserve">Tieslietu ministrijas budžeta apakšprogrammā 06.05.00 "Maksātnespējas procesa izmaksas", kas arī veidojās no URVN ieņēmumiem, ir izveidojies </w:t>
      </w:r>
      <w:r w:rsidR="00820526" w:rsidRPr="0075382D">
        <w:rPr>
          <w:rFonts w:ascii="Times New Roman" w:hAnsi="Times New Roman" w:cs="Times New Roman"/>
          <w:sz w:val="24"/>
          <w:szCs w:val="24"/>
          <w:shd w:val="clear" w:color="auto" w:fill="FFFFFF"/>
        </w:rPr>
        <w:t>maksas pakalpojum</w:t>
      </w:r>
      <w:r w:rsidR="004071DF" w:rsidRPr="0075382D">
        <w:rPr>
          <w:rFonts w:ascii="Times New Roman" w:hAnsi="Times New Roman" w:cs="Times New Roman"/>
          <w:sz w:val="24"/>
          <w:szCs w:val="24"/>
          <w:shd w:val="clear" w:color="auto" w:fill="FFFFFF"/>
        </w:rPr>
        <w:t>u</w:t>
      </w:r>
      <w:r w:rsidR="00820526" w:rsidRPr="0075382D">
        <w:rPr>
          <w:rFonts w:ascii="Times New Roman" w:hAnsi="Times New Roman" w:cs="Times New Roman"/>
          <w:sz w:val="24"/>
          <w:szCs w:val="24"/>
          <w:shd w:val="clear" w:color="auto" w:fill="FFFFFF"/>
        </w:rPr>
        <w:t xml:space="preserve"> un citu pašu ieņēmumu </w:t>
      </w:r>
      <w:r w:rsidR="004071DF" w:rsidRPr="0075382D">
        <w:rPr>
          <w:rFonts w:ascii="Times New Roman" w:hAnsi="Times New Roman" w:cs="Times New Roman"/>
          <w:sz w:val="24"/>
          <w:szCs w:val="24"/>
          <w:shd w:val="clear" w:color="auto" w:fill="FFFFFF"/>
        </w:rPr>
        <w:t xml:space="preserve">naudas līdzekļu </w:t>
      </w:r>
      <w:r w:rsidRPr="0075382D">
        <w:rPr>
          <w:rFonts w:ascii="Times New Roman" w:hAnsi="Times New Roman" w:cs="Times New Roman"/>
          <w:sz w:val="24"/>
          <w:szCs w:val="24"/>
          <w:shd w:val="clear" w:color="auto" w:fill="FFFFFF"/>
        </w:rPr>
        <w:t>atlikums</w:t>
      </w:r>
      <w:r w:rsidR="00597EA0" w:rsidRPr="0075382D">
        <w:rPr>
          <w:rFonts w:ascii="Times New Roman" w:hAnsi="Times New Roman" w:cs="Times New Roman"/>
          <w:sz w:val="24"/>
          <w:szCs w:val="24"/>
          <w:shd w:val="clear" w:color="auto" w:fill="FFFFFF"/>
        </w:rPr>
        <w:t xml:space="preserve"> </w:t>
      </w:r>
      <w:r w:rsidR="004071DF" w:rsidRPr="0075382D">
        <w:rPr>
          <w:rFonts w:ascii="Times New Roman" w:hAnsi="Times New Roman" w:cs="Times New Roman"/>
          <w:sz w:val="24"/>
          <w:szCs w:val="24"/>
          <w:shd w:val="clear" w:color="auto" w:fill="FFFFFF"/>
        </w:rPr>
        <w:t xml:space="preserve">(turpmāk – naudas līdzekļu atlikums) </w:t>
      </w:r>
      <w:r w:rsidR="00597EA0" w:rsidRPr="0075382D">
        <w:rPr>
          <w:rFonts w:ascii="Times New Roman" w:hAnsi="Times New Roman" w:cs="Times New Roman"/>
          <w:sz w:val="24"/>
          <w:szCs w:val="24"/>
          <w:shd w:val="clear" w:color="auto" w:fill="FFFFFF"/>
        </w:rPr>
        <w:t>840 664 </w:t>
      </w:r>
      <w:r w:rsidR="00597EA0" w:rsidRPr="0075382D">
        <w:rPr>
          <w:rFonts w:ascii="Times New Roman" w:hAnsi="Times New Roman" w:cs="Times New Roman"/>
          <w:i/>
          <w:iCs/>
          <w:sz w:val="24"/>
          <w:szCs w:val="24"/>
          <w:shd w:val="clear" w:color="auto" w:fill="FFFFFF"/>
        </w:rPr>
        <w:t>euro</w:t>
      </w:r>
      <w:r w:rsidR="00597EA0" w:rsidRPr="0075382D">
        <w:rPr>
          <w:rFonts w:ascii="Times New Roman" w:hAnsi="Times New Roman" w:cs="Times New Roman"/>
          <w:sz w:val="24"/>
          <w:szCs w:val="24"/>
          <w:shd w:val="clear" w:color="auto" w:fill="FFFFFF"/>
        </w:rPr>
        <w:t xml:space="preserve"> apmērā</w:t>
      </w:r>
      <w:r w:rsidRPr="0075382D">
        <w:rPr>
          <w:rFonts w:ascii="Times New Roman" w:hAnsi="Times New Roman" w:cs="Times New Roman"/>
          <w:sz w:val="24"/>
          <w:szCs w:val="24"/>
          <w:shd w:val="clear" w:color="auto" w:fill="FFFFFF"/>
        </w:rPr>
        <w:t xml:space="preserve">, kas paredzēts izmaksu segšanai procesos, kas pasludināti līdz 2010. gada 31. oktobrim, un uz 2021. gada </w:t>
      </w:r>
      <w:r w:rsidR="00316162" w:rsidRPr="0075382D">
        <w:rPr>
          <w:rFonts w:ascii="Times New Roman" w:hAnsi="Times New Roman" w:cs="Times New Roman"/>
          <w:sz w:val="24"/>
          <w:szCs w:val="24"/>
          <w:shd w:val="clear" w:color="auto" w:fill="FFFFFF"/>
        </w:rPr>
        <w:t>13. jūliju</w:t>
      </w:r>
      <w:r w:rsidRPr="0075382D">
        <w:rPr>
          <w:rFonts w:ascii="Times New Roman" w:hAnsi="Times New Roman" w:cs="Times New Roman"/>
          <w:sz w:val="24"/>
          <w:szCs w:val="24"/>
          <w:shd w:val="clear" w:color="auto" w:fill="FFFFFF"/>
        </w:rPr>
        <w:t xml:space="preserve"> tādi ir 1</w:t>
      </w:r>
      <w:r w:rsidR="00316162" w:rsidRPr="0075382D">
        <w:rPr>
          <w:rFonts w:ascii="Times New Roman" w:hAnsi="Times New Roman" w:cs="Times New Roman"/>
          <w:sz w:val="24"/>
          <w:szCs w:val="24"/>
          <w:shd w:val="clear" w:color="auto" w:fill="FFFFFF"/>
        </w:rPr>
        <w:t>0</w:t>
      </w:r>
      <w:r w:rsidRPr="0075382D">
        <w:rPr>
          <w:rFonts w:ascii="Times New Roman" w:hAnsi="Times New Roman" w:cs="Times New Roman"/>
          <w:sz w:val="24"/>
          <w:szCs w:val="24"/>
          <w:shd w:val="clear" w:color="auto" w:fill="FFFFFF"/>
        </w:rPr>
        <w:t> procesi. Pat pieņemot, ka visos 1</w:t>
      </w:r>
      <w:r w:rsidR="00316162" w:rsidRPr="0075382D">
        <w:rPr>
          <w:rFonts w:ascii="Times New Roman" w:hAnsi="Times New Roman" w:cs="Times New Roman"/>
          <w:sz w:val="24"/>
          <w:szCs w:val="24"/>
          <w:shd w:val="clear" w:color="auto" w:fill="FFFFFF"/>
        </w:rPr>
        <w:t>0</w:t>
      </w:r>
      <w:r w:rsidRPr="0075382D">
        <w:rPr>
          <w:rFonts w:ascii="Times New Roman" w:hAnsi="Times New Roman" w:cs="Times New Roman"/>
          <w:sz w:val="24"/>
          <w:szCs w:val="24"/>
          <w:shd w:val="clear" w:color="auto" w:fill="FFFFFF"/>
        </w:rPr>
        <w:t> procesos būs jāsedz maksātnespējas procesa izmaksas, attiecīgajā apakšprogrammā izveidojušais uzkrājums ir pietiekams, lai to varētu novirzīt citiem maksātnespējas jomu regulējošā likumā noteiktiem mērķiem.</w:t>
      </w:r>
    </w:p>
    <w:p w14:paraId="3CD3F9A1" w14:textId="5AA5479C" w:rsidR="006E1100" w:rsidRPr="0075382D" w:rsidRDefault="00C36A27" w:rsidP="00D54B3C">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 xml:space="preserve">Lai risinātu izveidojušos situāciju, ir iespējams </w:t>
      </w:r>
      <w:r w:rsidR="00597EA0" w:rsidRPr="0075382D">
        <w:rPr>
          <w:rFonts w:ascii="Times New Roman" w:hAnsi="Times New Roman" w:cs="Times New Roman"/>
          <w:sz w:val="24"/>
          <w:szCs w:val="24"/>
        </w:rPr>
        <w:t>no</w:t>
      </w:r>
      <w:r w:rsidRPr="0075382D">
        <w:rPr>
          <w:rFonts w:ascii="Times New Roman" w:hAnsi="Times New Roman" w:cs="Times New Roman"/>
          <w:sz w:val="24"/>
          <w:szCs w:val="24"/>
        </w:rPr>
        <w:t xml:space="preserve"> </w:t>
      </w:r>
      <w:r w:rsidR="004071DF" w:rsidRPr="0075382D">
        <w:rPr>
          <w:rFonts w:ascii="Times New Roman" w:hAnsi="Times New Roman" w:cs="Times New Roman"/>
          <w:sz w:val="24"/>
          <w:szCs w:val="24"/>
        </w:rPr>
        <w:t>budžeta apakšprogrammas 06.05.00 "Maksātnespējas procesa izmaksas" naudas līdzekļu atlikuma 100 000 </w:t>
      </w:r>
      <w:r w:rsidR="004071DF" w:rsidRPr="0075382D">
        <w:rPr>
          <w:rFonts w:ascii="Times New Roman" w:hAnsi="Times New Roman" w:cs="Times New Roman"/>
          <w:i/>
          <w:iCs/>
          <w:sz w:val="24"/>
          <w:szCs w:val="24"/>
        </w:rPr>
        <w:t>euro</w:t>
      </w:r>
      <w:r w:rsidR="004071DF" w:rsidRPr="0075382D">
        <w:rPr>
          <w:rFonts w:ascii="Times New Roman" w:hAnsi="Times New Roman" w:cs="Times New Roman"/>
          <w:sz w:val="24"/>
          <w:szCs w:val="24"/>
        </w:rPr>
        <w:t xml:space="preserve"> apmērā, katru </w:t>
      </w:r>
      <w:r w:rsidRPr="0075382D">
        <w:rPr>
          <w:rFonts w:ascii="Times New Roman" w:hAnsi="Times New Roman" w:cs="Times New Roman"/>
          <w:sz w:val="24"/>
          <w:szCs w:val="24"/>
        </w:rPr>
        <w:t>gadu</w:t>
      </w:r>
      <w:r w:rsidR="004071DF" w:rsidRPr="0075382D">
        <w:rPr>
          <w:rFonts w:ascii="Times New Roman" w:hAnsi="Times New Roman" w:cs="Times New Roman"/>
          <w:sz w:val="24"/>
          <w:szCs w:val="24"/>
        </w:rPr>
        <w:t xml:space="preserve"> no </w:t>
      </w:r>
      <w:r w:rsidRPr="0075382D">
        <w:rPr>
          <w:rFonts w:ascii="Times New Roman" w:hAnsi="Times New Roman" w:cs="Times New Roman"/>
          <w:sz w:val="24"/>
          <w:szCs w:val="24"/>
        </w:rPr>
        <w:t>2022. gad</w:t>
      </w:r>
      <w:r w:rsidR="00597EA0" w:rsidRPr="0075382D">
        <w:rPr>
          <w:rFonts w:ascii="Times New Roman" w:hAnsi="Times New Roman" w:cs="Times New Roman"/>
          <w:sz w:val="24"/>
          <w:szCs w:val="24"/>
        </w:rPr>
        <w:t>a līdz 2029.</w:t>
      </w:r>
      <w:r w:rsidR="00943A0C" w:rsidRPr="0075382D">
        <w:rPr>
          <w:rFonts w:ascii="Times New Roman" w:hAnsi="Times New Roman" w:cs="Times New Roman"/>
          <w:sz w:val="24"/>
          <w:szCs w:val="24"/>
        </w:rPr>
        <w:t> </w:t>
      </w:r>
      <w:r w:rsidR="00597EA0" w:rsidRPr="0075382D">
        <w:rPr>
          <w:rFonts w:ascii="Times New Roman" w:hAnsi="Times New Roman" w:cs="Times New Roman"/>
          <w:sz w:val="24"/>
          <w:szCs w:val="24"/>
        </w:rPr>
        <w:t>gadam</w:t>
      </w:r>
      <w:r w:rsidRPr="0075382D">
        <w:rPr>
          <w:rFonts w:ascii="Times New Roman" w:hAnsi="Times New Roman" w:cs="Times New Roman"/>
          <w:sz w:val="24"/>
          <w:szCs w:val="24"/>
        </w:rPr>
        <w:t xml:space="preserve"> novirzīt arhīvam (Kultūras ministrijas budžeta programma 21.00.00 "Kultūras mantojums"), lai nodrošinātu dokumentu pieņemšanu bez maksas no administratoriem juridisko personu maksātnespējas procesos.</w:t>
      </w:r>
    </w:p>
    <w:p w14:paraId="3A34E74E" w14:textId="142CD85D" w:rsidR="000878F5" w:rsidRPr="0075382D" w:rsidRDefault="006E1100" w:rsidP="000878F5">
      <w:pPr>
        <w:widowControl w:val="0"/>
        <w:spacing w:after="0" w:line="240" w:lineRule="auto"/>
        <w:ind w:firstLine="720"/>
        <w:jc w:val="both"/>
        <w:rPr>
          <w:rFonts w:ascii="Times New Roman" w:eastAsia="Calibri" w:hAnsi="Times New Roman" w:cs="Times New Roman"/>
          <w:sz w:val="24"/>
          <w:szCs w:val="24"/>
          <w:lang w:eastAsia="lv-LV"/>
        </w:rPr>
      </w:pPr>
      <w:r w:rsidRPr="0075382D">
        <w:rPr>
          <w:rFonts w:ascii="Times New Roman" w:hAnsi="Times New Roman" w:cs="Times New Roman"/>
          <w:sz w:val="24"/>
          <w:szCs w:val="24"/>
        </w:rPr>
        <w:t>Finansējums arhīva izdevumu segšanai tiks piešķirts transfertu veidā, pārskaitot līdzekļus no Tieslietu ministrijas budžeta apakšprogrammas 06.0</w:t>
      </w:r>
      <w:r w:rsidR="00DF2E43" w:rsidRPr="0075382D">
        <w:rPr>
          <w:rFonts w:ascii="Times New Roman" w:hAnsi="Times New Roman" w:cs="Times New Roman"/>
          <w:sz w:val="24"/>
          <w:szCs w:val="24"/>
        </w:rPr>
        <w:t>5</w:t>
      </w:r>
      <w:r w:rsidRPr="0075382D">
        <w:rPr>
          <w:rFonts w:ascii="Times New Roman" w:hAnsi="Times New Roman" w:cs="Times New Roman"/>
          <w:sz w:val="24"/>
          <w:szCs w:val="24"/>
        </w:rPr>
        <w:t xml:space="preserve">.00 "Maksātnespējas procesa </w:t>
      </w:r>
      <w:r w:rsidR="00DF2E43" w:rsidRPr="0075382D">
        <w:rPr>
          <w:rFonts w:ascii="Times New Roman" w:hAnsi="Times New Roman" w:cs="Times New Roman"/>
          <w:sz w:val="24"/>
          <w:szCs w:val="24"/>
        </w:rPr>
        <w:t>izmaksas</w:t>
      </w:r>
      <w:r w:rsidRPr="0075382D">
        <w:rPr>
          <w:rFonts w:ascii="Times New Roman" w:hAnsi="Times New Roman" w:cs="Times New Roman"/>
          <w:sz w:val="24"/>
          <w:szCs w:val="24"/>
        </w:rPr>
        <w:t>" uz Kultūras ministrijas budžeta programmu 21.00.00 "Kultūras mantojums", viena uzņēmuma dokumentu pieņemšanai 100 </w:t>
      </w:r>
      <w:r w:rsidRPr="0075382D">
        <w:rPr>
          <w:rFonts w:ascii="Times New Roman" w:hAnsi="Times New Roman" w:cs="Times New Roman"/>
          <w:i/>
          <w:iCs/>
          <w:sz w:val="24"/>
          <w:szCs w:val="24"/>
        </w:rPr>
        <w:t>euro</w:t>
      </w:r>
      <w:r w:rsidRPr="0075382D">
        <w:rPr>
          <w:rFonts w:ascii="Times New Roman" w:hAnsi="Times New Roman" w:cs="Times New Roman"/>
          <w:sz w:val="24"/>
          <w:szCs w:val="24"/>
        </w:rPr>
        <w:t xml:space="preserve"> apmērā, neatkarīgi no nododamo dokumentu skaita.</w:t>
      </w:r>
    </w:p>
    <w:p w14:paraId="5C11789A" w14:textId="657908E5" w:rsidR="00064E7E" w:rsidRPr="0075382D" w:rsidRDefault="006825E1" w:rsidP="00064E7E">
      <w:pPr>
        <w:widowControl w:val="0"/>
        <w:spacing w:after="0" w:line="240" w:lineRule="auto"/>
        <w:ind w:firstLine="720"/>
        <w:jc w:val="both"/>
        <w:rPr>
          <w:rFonts w:ascii="Times New Roman" w:eastAsia="Calibri" w:hAnsi="Times New Roman" w:cs="Times New Roman"/>
          <w:b/>
          <w:bCs/>
          <w:sz w:val="24"/>
          <w:szCs w:val="24"/>
        </w:rPr>
      </w:pPr>
      <w:r w:rsidRPr="0075382D">
        <w:rPr>
          <w:rFonts w:ascii="Times New Roman" w:eastAsia="Calibri" w:hAnsi="Times New Roman" w:cs="Times New Roman"/>
          <w:sz w:val="24"/>
          <w:szCs w:val="24"/>
          <w:lang w:eastAsia="lv-LV"/>
        </w:rPr>
        <w:t>Informatīvajā ziņojumā m</w:t>
      </w:r>
      <w:r w:rsidR="000878F5" w:rsidRPr="0075382D">
        <w:rPr>
          <w:rFonts w:ascii="Times New Roman" w:eastAsia="Calibri" w:hAnsi="Times New Roman" w:cs="Times New Roman"/>
          <w:sz w:val="24"/>
          <w:szCs w:val="24"/>
          <w:lang w:eastAsia="lv-LV"/>
        </w:rPr>
        <w:t xml:space="preserve">inētais nav </w:t>
      </w:r>
      <w:bookmarkStart w:id="0" w:name="_Hlk77232524"/>
      <w:r w:rsidR="000878F5" w:rsidRPr="0075382D">
        <w:rPr>
          <w:rFonts w:ascii="Times New Roman" w:eastAsia="Calibri" w:hAnsi="Times New Roman" w:cs="Times New Roman"/>
          <w:sz w:val="24"/>
          <w:szCs w:val="24"/>
          <w:lang w:eastAsia="lv-LV"/>
        </w:rPr>
        <w:t xml:space="preserve">attiecināms uz tādiem juridiskās personas maksātnespējas procesiem, kuros nav </w:t>
      </w:r>
      <w:r w:rsidR="000878F5" w:rsidRPr="0075382D">
        <w:rPr>
          <w:rFonts w:ascii="Times New Roman" w:eastAsia="Calibri" w:hAnsi="Times New Roman" w:cs="Times New Roman"/>
          <w:sz w:val="24"/>
          <w:szCs w:val="24"/>
        </w:rPr>
        <w:t>glabāšanā arhīv</w:t>
      </w:r>
      <w:r w:rsidRPr="0075382D">
        <w:rPr>
          <w:rFonts w:ascii="Times New Roman" w:eastAsia="Calibri" w:hAnsi="Times New Roman" w:cs="Times New Roman"/>
          <w:sz w:val="24"/>
          <w:szCs w:val="24"/>
        </w:rPr>
        <w:t>ā</w:t>
      </w:r>
      <w:r w:rsidR="000878F5" w:rsidRPr="0075382D">
        <w:rPr>
          <w:rFonts w:ascii="Times New Roman" w:eastAsia="Calibri" w:hAnsi="Times New Roman" w:cs="Times New Roman"/>
          <w:sz w:val="24"/>
          <w:szCs w:val="24"/>
          <w:lang w:eastAsia="lv-LV"/>
        </w:rPr>
        <w:t xml:space="preserve"> nododamu </w:t>
      </w:r>
      <w:r w:rsidR="000878F5" w:rsidRPr="0075382D">
        <w:rPr>
          <w:rFonts w:ascii="Times New Roman" w:eastAsia="Calibri" w:hAnsi="Times New Roman" w:cs="Times New Roman"/>
          <w:sz w:val="24"/>
          <w:szCs w:val="24"/>
        </w:rPr>
        <w:t>dokumentu</w:t>
      </w:r>
      <w:r w:rsidR="00064E7E" w:rsidRPr="0075382D">
        <w:rPr>
          <w:rFonts w:ascii="Times New Roman" w:eastAsia="Calibri" w:hAnsi="Times New Roman" w:cs="Times New Roman"/>
          <w:sz w:val="24"/>
          <w:szCs w:val="24"/>
        </w:rPr>
        <w:t>, bet ir nepieciešams saņemt arhīva izziņu, lai to iesniegtu Uzņēmumu reģistram parādnieka izslēgšanai no attiecīgā reģistra.</w:t>
      </w:r>
    </w:p>
    <w:bookmarkEnd w:id="0"/>
    <w:p w14:paraId="07F43F4A" w14:textId="1E8D60E5" w:rsidR="006E1100" w:rsidRPr="0075382D" w:rsidRDefault="006E1100">
      <w:pPr>
        <w:pStyle w:val="Komentrateksts"/>
        <w:spacing w:after="0"/>
        <w:ind w:firstLine="720"/>
        <w:jc w:val="both"/>
        <w:rPr>
          <w:rFonts w:ascii="Times New Roman" w:eastAsia="Calibri" w:hAnsi="Times New Roman" w:cs="Times New Roman"/>
          <w:sz w:val="24"/>
          <w:szCs w:val="24"/>
        </w:rPr>
      </w:pPr>
      <w:r w:rsidRPr="0075382D">
        <w:rPr>
          <w:rFonts w:ascii="Times New Roman" w:eastAsia="Calibri" w:hAnsi="Times New Roman" w:cs="Times New Roman"/>
          <w:sz w:val="24"/>
          <w:szCs w:val="24"/>
        </w:rPr>
        <w:t xml:space="preserve">Vienlaikus, lai nodrošinātu caurskatāmību līdzekļu izmantošanā saistībā ar dokumentu pieņemšanu glabāšanā arhīvā no administratoriem juridisko personu maksātnespējas procesos bez maksas, arhīvam </w:t>
      </w:r>
      <w:r w:rsidR="00EE5CB0" w:rsidRPr="0075382D">
        <w:rPr>
          <w:rFonts w:ascii="Times New Roman" w:eastAsia="Calibri" w:hAnsi="Times New Roman" w:cs="Times New Roman"/>
          <w:sz w:val="24"/>
          <w:szCs w:val="24"/>
        </w:rPr>
        <w:t xml:space="preserve">līdz nākamā gada </w:t>
      </w:r>
      <w:bookmarkStart w:id="1" w:name="_Hlk75862463"/>
      <w:r w:rsidR="00EE5CB0" w:rsidRPr="0075382D">
        <w:rPr>
          <w:rFonts w:ascii="Times New Roman" w:eastAsia="Calibri" w:hAnsi="Times New Roman" w:cs="Times New Roman"/>
          <w:sz w:val="24"/>
          <w:szCs w:val="24"/>
        </w:rPr>
        <w:t xml:space="preserve">janvāra beigām </w:t>
      </w:r>
      <w:bookmarkEnd w:id="1"/>
      <w:r w:rsidRPr="0075382D">
        <w:rPr>
          <w:rFonts w:ascii="Times New Roman" w:eastAsia="Calibri" w:hAnsi="Times New Roman" w:cs="Times New Roman"/>
          <w:sz w:val="24"/>
          <w:szCs w:val="24"/>
        </w:rPr>
        <w:t xml:space="preserve">būs jāiesniedz </w:t>
      </w:r>
      <w:r w:rsidR="00641239" w:rsidRPr="0075382D">
        <w:rPr>
          <w:rFonts w:ascii="Times New Roman" w:eastAsia="Calibri" w:hAnsi="Times New Roman" w:cs="Times New Roman"/>
          <w:sz w:val="24"/>
          <w:szCs w:val="24"/>
        </w:rPr>
        <w:t xml:space="preserve">Maksātnespējas kontroles dienestam </w:t>
      </w:r>
      <w:r w:rsidRPr="0075382D">
        <w:rPr>
          <w:rFonts w:ascii="Times New Roman" w:eastAsia="Calibri" w:hAnsi="Times New Roman" w:cs="Times New Roman"/>
          <w:sz w:val="24"/>
          <w:szCs w:val="24"/>
        </w:rPr>
        <w:t xml:space="preserve">atskaite par procesu skaitu, kuros ir pieņemti dokumenti. </w:t>
      </w:r>
      <w:r w:rsidR="00EE5CB0" w:rsidRPr="0075382D">
        <w:rPr>
          <w:rFonts w:ascii="Times New Roman" w:eastAsia="Calibri" w:hAnsi="Times New Roman" w:cs="Times New Roman"/>
          <w:sz w:val="24"/>
          <w:szCs w:val="24"/>
        </w:rPr>
        <w:t>Un, ja novirzītā summa ir lielāka par procesu skaitu (plānoti 1</w:t>
      </w:r>
      <w:r w:rsidR="00641239" w:rsidRPr="0075382D">
        <w:rPr>
          <w:rFonts w:ascii="Times New Roman" w:eastAsia="Calibri" w:hAnsi="Times New Roman" w:cs="Times New Roman"/>
          <w:sz w:val="24"/>
          <w:szCs w:val="24"/>
        </w:rPr>
        <w:t> </w:t>
      </w:r>
      <w:r w:rsidR="00EE5CB0" w:rsidRPr="0075382D">
        <w:rPr>
          <w:rFonts w:ascii="Times New Roman" w:eastAsia="Calibri" w:hAnsi="Times New Roman" w:cs="Times New Roman"/>
          <w:sz w:val="24"/>
          <w:szCs w:val="24"/>
        </w:rPr>
        <w:t>000</w:t>
      </w:r>
      <w:r w:rsidR="00641239" w:rsidRPr="0075382D">
        <w:rPr>
          <w:rFonts w:ascii="Times New Roman" w:eastAsia="Calibri" w:hAnsi="Times New Roman" w:cs="Times New Roman"/>
          <w:sz w:val="24"/>
          <w:szCs w:val="24"/>
        </w:rPr>
        <w:t> </w:t>
      </w:r>
      <w:r w:rsidR="00EE5CB0" w:rsidRPr="0075382D">
        <w:rPr>
          <w:rFonts w:ascii="Times New Roman" w:eastAsia="Calibri" w:hAnsi="Times New Roman" w:cs="Times New Roman"/>
          <w:sz w:val="24"/>
          <w:szCs w:val="24"/>
        </w:rPr>
        <w:t>procesi gadā), tad neiztērētais finansējums paliek kā avansa maksājums nākamaj</w:t>
      </w:r>
      <w:r w:rsidR="00960738" w:rsidRPr="0075382D">
        <w:rPr>
          <w:rFonts w:ascii="Times New Roman" w:eastAsia="Calibri" w:hAnsi="Times New Roman" w:cs="Times New Roman"/>
          <w:sz w:val="24"/>
          <w:szCs w:val="24"/>
        </w:rPr>
        <w:t>a</w:t>
      </w:r>
      <w:r w:rsidR="00EE5CB0" w:rsidRPr="0075382D">
        <w:rPr>
          <w:rFonts w:ascii="Times New Roman" w:eastAsia="Calibri" w:hAnsi="Times New Roman" w:cs="Times New Roman"/>
          <w:sz w:val="24"/>
          <w:szCs w:val="24"/>
        </w:rPr>
        <w:t>m gadam.</w:t>
      </w:r>
    </w:p>
    <w:p w14:paraId="1B83653F" w14:textId="215DCCF0" w:rsidR="00EE5CB0" w:rsidRPr="0075382D" w:rsidRDefault="00AF0199">
      <w:pPr>
        <w:pStyle w:val="Komentrateksts"/>
        <w:spacing w:after="0"/>
        <w:ind w:firstLine="720"/>
        <w:jc w:val="both"/>
        <w:rPr>
          <w:rFonts w:ascii="Times New Roman" w:eastAsia="Calibri" w:hAnsi="Times New Roman" w:cs="Times New Roman"/>
          <w:sz w:val="24"/>
          <w:szCs w:val="24"/>
        </w:rPr>
      </w:pPr>
      <w:r w:rsidRPr="0075382D">
        <w:rPr>
          <w:rFonts w:ascii="Times New Roman" w:eastAsia="Calibri" w:hAnsi="Times New Roman" w:cs="Times New Roman"/>
          <w:sz w:val="24"/>
          <w:szCs w:val="24"/>
        </w:rPr>
        <w:t>Papildu finansējums likumprojektā paredzēto normu īstenošanai nebūs nepieciešams, jo no 202</w:t>
      </w:r>
      <w:r w:rsidR="00EE5CB0" w:rsidRPr="0075382D">
        <w:rPr>
          <w:rFonts w:ascii="Times New Roman" w:eastAsia="Calibri" w:hAnsi="Times New Roman" w:cs="Times New Roman"/>
          <w:sz w:val="24"/>
          <w:szCs w:val="24"/>
        </w:rPr>
        <w:t>2</w:t>
      </w:r>
      <w:r w:rsidRPr="0075382D">
        <w:rPr>
          <w:rFonts w:ascii="Times New Roman" w:eastAsia="Calibri" w:hAnsi="Times New Roman" w:cs="Times New Roman"/>
          <w:sz w:val="24"/>
          <w:szCs w:val="24"/>
        </w:rPr>
        <w:t>. gada līdz 202</w:t>
      </w:r>
      <w:r w:rsidR="00EE5CB0" w:rsidRPr="0075382D">
        <w:rPr>
          <w:rFonts w:ascii="Times New Roman" w:eastAsia="Calibri" w:hAnsi="Times New Roman" w:cs="Times New Roman"/>
          <w:sz w:val="24"/>
          <w:szCs w:val="24"/>
        </w:rPr>
        <w:t>9</w:t>
      </w:r>
      <w:r w:rsidRPr="0075382D">
        <w:rPr>
          <w:rFonts w:ascii="Times New Roman" w:eastAsia="Calibri" w:hAnsi="Times New Roman" w:cs="Times New Roman"/>
          <w:sz w:val="24"/>
          <w:szCs w:val="24"/>
        </w:rPr>
        <w:t>. gadam Kultūras ministrijas budžeta programmai 21.00.00 </w:t>
      </w:r>
      <w:r w:rsidR="00171A80" w:rsidRPr="0075382D">
        <w:rPr>
          <w:rFonts w:ascii="Times New Roman" w:eastAsia="Calibri" w:hAnsi="Times New Roman" w:cs="Times New Roman"/>
          <w:sz w:val="24"/>
          <w:szCs w:val="24"/>
        </w:rPr>
        <w:t>"</w:t>
      </w:r>
      <w:r w:rsidRPr="0075382D">
        <w:rPr>
          <w:rFonts w:ascii="Times New Roman" w:eastAsia="Calibri" w:hAnsi="Times New Roman" w:cs="Times New Roman"/>
          <w:sz w:val="24"/>
          <w:szCs w:val="24"/>
        </w:rPr>
        <w:t>Kultūras mantojums</w:t>
      </w:r>
      <w:r w:rsidR="00171A80" w:rsidRPr="0075382D">
        <w:rPr>
          <w:rFonts w:ascii="Times New Roman" w:eastAsia="Calibri" w:hAnsi="Times New Roman" w:cs="Times New Roman"/>
          <w:sz w:val="24"/>
          <w:szCs w:val="24"/>
        </w:rPr>
        <w:t>"</w:t>
      </w:r>
      <w:r w:rsidRPr="0075382D">
        <w:rPr>
          <w:rFonts w:ascii="Times New Roman" w:eastAsia="Calibri" w:hAnsi="Times New Roman" w:cs="Times New Roman"/>
          <w:sz w:val="24"/>
          <w:szCs w:val="24"/>
        </w:rPr>
        <w:t xml:space="preserve"> </w:t>
      </w:r>
      <w:r w:rsidR="00960738" w:rsidRPr="0075382D">
        <w:rPr>
          <w:rFonts w:ascii="Times New Roman" w:eastAsia="Calibri" w:hAnsi="Times New Roman" w:cs="Times New Roman"/>
          <w:sz w:val="24"/>
          <w:szCs w:val="24"/>
        </w:rPr>
        <w:t xml:space="preserve">nepieciešamais </w:t>
      </w:r>
      <w:r w:rsidRPr="0075382D">
        <w:rPr>
          <w:rFonts w:ascii="Times New Roman" w:eastAsia="Calibri" w:hAnsi="Times New Roman" w:cs="Times New Roman"/>
          <w:sz w:val="24"/>
          <w:szCs w:val="24"/>
        </w:rPr>
        <w:t>finansējums arhīva izdevumu segšanai tiks no</w:t>
      </w:r>
      <w:r w:rsidR="00EE5CB0" w:rsidRPr="0075382D">
        <w:rPr>
          <w:rFonts w:ascii="Times New Roman" w:eastAsia="Calibri" w:hAnsi="Times New Roman" w:cs="Times New Roman"/>
          <w:sz w:val="24"/>
          <w:szCs w:val="24"/>
        </w:rPr>
        <w:t>drošināts</w:t>
      </w:r>
      <w:r w:rsidRPr="0075382D">
        <w:rPr>
          <w:rFonts w:ascii="Times New Roman" w:eastAsia="Calibri" w:hAnsi="Times New Roman" w:cs="Times New Roman"/>
          <w:sz w:val="24"/>
          <w:szCs w:val="24"/>
        </w:rPr>
        <w:t xml:space="preserve"> no Tieslietu ministrijas budžeta apakšprogrammas 06.05.00 </w:t>
      </w:r>
      <w:r w:rsidR="00171A80" w:rsidRPr="0075382D">
        <w:rPr>
          <w:rFonts w:ascii="Times New Roman" w:eastAsia="Calibri" w:hAnsi="Times New Roman" w:cs="Times New Roman"/>
          <w:sz w:val="24"/>
          <w:szCs w:val="24"/>
        </w:rPr>
        <w:t>"</w:t>
      </w:r>
      <w:r w:rsidRPr="0075382D">
        <w:rPr>
          <w:rFonts w:ascii="Times New Roman" w:eastAsia="Calibri" w:hAnsi="Times New Roman" w:cs="Times New Roman"/>
          <w:sz w:val="24"/>
          <w:szCs w:val="24"/>
        </w:rPr>
        <w:t>Maksātnespējas procesa izmaksas</w:t>
      </w:r>
      <w:r w:rsidR="00171A80" w:rsidRPr="0075382D">
        <w:rPr>
          <w:rFonts w:ascii="Times New Roman" w:eastAsia="Calibri" w:hAnsi="Times New Roman" w:cs="Times New Roman"/>
          <w:sz w:val="24"/>
          <w:szCs w:val="24"/>
        </w:rPr>
        <w:t>"</w:t>
      </w:r>
      <w:r w:rsidRPr="0075382D">
        <w:rPr>
          <w:rFonts w:ascii="Times New Roman" w:eastAsia="Calibri" w:hAnsi="Times New Roman" w:cs="Times New Roman"/>
          <w:sz w:val="24"/>
          <w:szCs w:val="24"/>
        </w:rPr>
        <w:t xml:space="preserve"> </w:t>
      </w:r>
      <w:r w:rsidR="00843A81" w:rsidRPr="0075382D">
        <w:rPr>
          <w:rFonts w:ascii="Times New Roman" w:eastAsia="Calibri" w:hAnsi="Times New Roman" w:cs="Times New Roman"/>
          <w:sz w:val="24"/>
          <w:szCs w:val="24"/>
        </w:rPr>
        <w:t>naudas līdzekļu atlikuma</w:t>
      </w:r>
      <w:r w:rsidRPr="0075382D">
        <w:rPr>
          <w:rFonts w:ascii="Times New Roman" w:eastAsia="Calibri" w:hAnsi="Times New Roman" w:cs="Times New Roman"/>
          <w:sz w:val="24"/>
          <w:szCs w:val="24"/>
        </w:rPr>
        <w:t>, bet turpmākos gadus no URVN</w:t>
      </w:r>
      <w:r w:rsidR="00960738" w:rsidRPr="0075382D">
        <w:rPr>
          <w:rFonts w:ascii="Times New Roman" w:eastAsia="Calibri" w:hAnsi="Times New Roman" w:cs="Times New Roman"/>
          <w:sz w:val="24"/>
          <w:szCs w:val="24"/>
        </w:rPr>
        <w:t xml:space="preserve"> daļas 100</w:t>
      </w:r>
      <w:r w:rsidR="00641239" w:rsidRPr="0075382D">
        <w:rPr>
          <w:rFonts w:ascii="Times New Roman" w:eastAsia="Calibri" w:hAnsi="Times New Roman" w:cs="Times New Roman"/>
          <w:sz w:val="24"/>
          <w:szCs w:val="24"/>
        </w:rPr>
        <w:t> </w:t>
      </w:r>
      <w:r w:rsidR="00960738" w:rsidRPr="0075382D">
        <w:rPr>
          <w:rFonts w:ascii="Times New Roman" w:eastAsia="Calibri" w:hAnsi="Times New Roman" w:cs="Times New Roman"/>
          <w:sz w:val="24"/>
          <w:szCs w:val="24"/>
        </w:rPr>
        <w:t>000</w:t>
      </w:r>
      <w:r w:rsidR="00641239" w:rsidRPr="0075382D">
        <w:rPr>
          <w:rFonts w:ascii="Times New Roman" w:eastAsia="Calibri" w:hAnsi="Times New Roman" w:cs="Times New Roman"/>
          <w:sz w:val="24"/>
          <w:szCs w:val="24"/>
        </w:rPr>
        <w:t> </w:t>
      </w:r>
      <w:r w:rsidR="00960738" w:rsidRPr="0075382D">
        <w:rPr>
          <w:rFonts w:ascii="Times New Roman" w:eastAsia="Calibri" w:hAnsi="Times New Roman" w:cs="Times New Roman"/>
          <w:i/>
          <w:iCs/>
          <w:sz w:val="24"/>
          <w:szCs w:val="24"/>
        </w:rPr>
        <w:t>euro</w:t>
      </w:r>
      <w:r w:rsidR="00960738" w:rsidRPr="0075382D">
        <w:rPr>
          <w:rFonts w:ascii="Times New Roman" w:eastAsia="Calibri" w:hAnsi="Times New Roman" w:cs="Times New Roman"/>
          <w:sz w:val="24"/>
          <w:szCs w:val="24"/>
        </w:rPr>
        <w:t xml:space="preserve"> apmērā gadā</w:t>
      </w:r>
      <w:r w:rsidRPr="0075382D">
        <w:rPr>
          <w:rFonts w:ascii="Times New Roman" w:eastAsia="Calibri" w:hAnsi="Times New Roman" w:cs="Times New Roman"/>
          <w:sz w:val="24"/>
          <w:szCs w:val="24"/>
        </w:rPr>
        <w:t>, kas būs jāņem vērā sagatavojot ikgadējo URVN noteikumu projektu turpmākajiem gadiem.</w:t>
      </w:r>
      <w:bookmarkStart w:id="2" w:name="_Hlk41639295"/>
    </w:p>
    <w:p w14:paraId="17B5F148" w14:textId="39F627EE" w:rsidR="001D1089" w:rsidRPr="0075382D" w:rsidRDefault="001D1089" w:rsidP="00943A0C">
      <w:pPr>
        <w:shd w:val="clear" w:color="auto" w:fill="FFFFFF"/>
        <w:spacing w:after="0" w:line="240" w:lineRule="auto"/>
        <w:rPr>
          <w:rFonts w:ascii="Times New Roman" w:eastAsia="Times New Roman" w:hAnsi="Times New Roman" w:cs="Times New Roman"/>
          <w:b/>
          <w:sz w:val="24"/>
          <w:szCs w:val="24"/>
        </w:rPr>
      </w:pPr>
    </w:p>
    <w:p w14:paraId="3366A7F5" w14:textId="04463B53" w:rsidR="001D1089" w:rsidRPr="0075382D" w:rsidRDefault="001D1089" w:rsidP="00943A0C">
      <w:pPr>
        <w:shd w:val="clear" w:color="auto" w:fill="FFFFFF"/>
        <w:spacing w:after="0" w:line="240" w:lineRule="auto"/>
        <w:rPr>
          <w:rFonts w:ascii="Times New Roman" w:eastAsia="Times New Roman" w:hAnsi="Times New Roman" w:cs="Times New Roman"/>
          <w:b/>
          <w:sz w:val="24"/>
          <w:szCs w:val="24"/>
        </w:rPr>
      </w:pPr>
    </w:p>
    <w:p w14:paraId="263EF567" w14:textId="0C3AE797" w:rsidR="001D1089" w:rsidRDefault="001D1089" w:rsidP="00943A0C">
      <w:pPr>
        <w:shd w:val="clear" w:color="auto" w:fill="FFFFFF"/>
        <w:spacing w:after="0" w:line="240" w:lineRule="auto"/>
        <w:rPr>
          <w:rFonts w:ascii="Times New Roman" w:eastAsia="Times New Roman" w:hAnsi="Times New Roman" w:cs="Times New Roman"/>
          <w:b/>
          <w:sz w:val="24"/>
          <w:szCs w:val="24"/>
        </w:rPr>
      </w:pPr>
    </w:p>
    <w:p w14:paraId="4AD33956" w14:textId="77777777" w:rsidR="00C54981" w:rsidRPr="0075382D" w:rsidRDefault="00C54981" w:rsidP="00943A0C">
      <w:pPr>
        <w:shd w:val="clear" w:color="auto" w:fill="FFFFFF"/>
        <w:spacing w:after="0" w:line="240" w:lineRule="auto"/>
        <w:rPr>
          <w:rFonts w:ascii="Times New Roman" w:eastAsia="Times New Roman" w:hAnsi="Times New Roman" w:cs="Times New Roman"/>
          <w:b/>
          <w:sz w:val="24"/>
          <w:szCs w:val="24"/>
        </w:rPr>
      </w:pPr>
    </w:p>
    <w:p w14:paraId="51325168" w14:textId="6BF5E9A4" w:rsidR="00B441F2" w:rsidRPr="0075382D" w:rsidRDefault="00B441F2" w:rsidP="00B441F2">
      <w:pPr>
        <w:shd w:val="clear" w:color="auto" w:fill="FFFFFF"/>
        <w:spacing w:after="0" w:line="240" w:lineRule="auto"/>
        <w:ind w:firstLine="708"/>
        <w:jc w:val="center"/>
        <w:rPr>
          <w:rFonts w:ascii="Times New Roman" w:eastAsia="Times New Roman" w:hAnsi="Times New Roman" w:cs="Times New Roman"/>
          <w:b/>
          <w:sz w:val="24"/>
          <w:szCs w:val="24"/>
        </w:rPr>
      </w:pPr>
      <w:r w:rsidRPr="0075382D">
        <w:rPr>
          <w:rFonts w:ascii="Times New Roman" w:eastAsia="Times New Roman" w:hAnsi="Times New Roman" w:cs="Times New Roman"/>
          <w:b/>
          <w:sz w:val="24"/>
          <w:szCs w:val="24"/>
        </w:rPr>
        <w:t>Finansiālais pamatojums</w:t>
      </w:r>
    </w:p>
    <w:p w14:paraId="5331901C" w14:textId="77777777" w:rsidR="00B441F2" w:rsidRPr="0075382D" w:rsidRDefault="00B441F2" w:rsidP="00641239">
      <w:pPr>
        <w:pStyle w:val="Komentrateksts"/>
        <w:spacing w:after="0"/>
        <w:jc w:val="both"/>
        <w:rPr>
          <w:rFonts w:ascii="Times New Roman" w:eastAsia="Calibri" w:hAnsi="Times New Roman" w:cs="Times New Roman"/>
          <w:sz w:val="24"/>
          <w:szCs w:val="24"/>
        </w:rPr>
      </w:pPr>
    </w:p>
    <w:p w14:paraId="6986C500" w14:textId="37D11E6B" w:rsidR="003F2F2F" w:rsidRPr="0075382D" w:rsidRDefault="00F23441" w:rsidP="00D10F80">
      <w:pPr>
        <w:pStyle w:val="Komentrateksts"/>
        <w:spacing w:after="0"/>
        <w:ind w:firstLine="720"/>
        <w:jc w:val="both"/>
        <w:rPr>
          <w:rFonts w:ascii="Times New Roman" w:eastAsia="Calibri" w:hAnsi="Times New Roman" w:cs="Times New Roman"/>
          <w:sz w:val="24"/>
          <w:szCs w:val="24"/>
        </w:rPr>
      </w:pPr>
      <w:r w:rsidRPr="0075382D">
        <w:rPr>
          <w:rFonts w:ascii="Times New Roman" w:eastAsia="Calibri" w:hAnsi="Times New Roman" w:cs="Times New Roman"/>
          <w:sz w:val="24"/>
          <w:szCs w:val="24"/>
        </w:rPr>
        <w:t xml:space="preserve">Finansiālais pamatojums </w:t>
      </w:r>
      <w:r w:rsidR="003841C3" w:rsidRPr="0075382D">
        <w:rPr>
          <w:rFonts w:ascii="Times New Roman" w:eastAsia="Calibri" w:hAnsi="Times New Roman" w:cs="Times New Roman"/>
          <w:sz w:val="24"/>
          <w:szCs w:val="24"/>
        </w:rPr>
        <w:t xml:space="preserve">augstāk minētajam </w:t>
      </w:r>
      <w:r w:rsidRPr="0075382D">
        <w:rPr>
          <w:rFonts w:ascii="Times New Roman" w:eastAsia="Calibri" w:hAnsi="Times New Roman" w:cs="Times New Roman"/>
          <w:sz w:val="24"/>
          <w:szCs w:val="24"/>
        </w:rPr>
        <w:t>ir naudas līdzekļi, kas ir uzkr</w:t>
      </w:r>
      <w:r w:rsidR="00C36A27" w:rsidRPr="0075382D">
        <w:rPr>
          <w:rFonts w:ascii="Times New Roman" w:eastAsia="Calibri" w:hAnsi="Times New Roman" w:cs="Times New Roman"/>
          <w:sz w:val="24"/>
          <w:szCs w:val="24"/>
        </w:rPr>
        <w:t>ā</w:t>
      </w:r>
      <w:r w:rsidRPr="0075382D">
        <w:rPr>
          <w:rFonts w:ascii="Times New Roman" w:eastAsia="Calibri" w:hAnsi="Times New Roman" w:cs="Times New Roman"/>
          <w:sz w:val="24"/>
          <w:szCs w:val="24"/>
        </w:rPr>
        <w:t>ti apakšprogrammas 06.05.00</w:t>
      </w:r>
      <w:r w:rsidR="00E33C49" w:rsidRPr="0075382D">
        <w:rPr>
          <w:rFonts w:ascii="Times New Roman" w:eastAsia="Calibri" w:hAnsi="Times New Roman" w:cs="Times New Roman"/>
          <w:sz w:val="24"/>
          <w:szCs w:val="24"/>
        </w:rPr>
        <w:t> </w:t>
      </w:r>
      <w:r w:rsidR="00CA406A" w:rsidRPr="0075382D">
        <w:rPr>
          <w:rFonts w:ascii="Times New Roman" w:eastAsia="Calibri" w:hAnsi="Times New Roman" w:cs="Times New Roman"/>
          <w:sz w:val="24"/>
          <w:szCs w:val="24"/>
        </w:rPr>
        <w:t>"</w:t>
      </w:r>
      <w:r w:rsidRPr="0075382D">
        <w:rPr>
          <w:rFonts w:ascii="Times New Roman" w:eastAsia="Calibri" w:hAnsi="Times New Roman" w:cs="Times New Roman"/>
          <w:sz w:val="24"/>
          <w:szCs w:val="24"/>
        </w:rPr>
        <w:t>Maksātnespējas procesa izmaksas</w:t>
      </w:r>
      <w:r w:rsidR="00CA406A" w:rsidRPr="0075382D">
        <w:rPr>
          <w:rFonts w:ascii="Times New Roman" w:eastAsia="Calibri" w:hAnsi="Times New Roman" w:cs="Times New Roman"/>
          <w:sz w:val="24"/>
          <w:szCs w:val="24"/>
        </w:rPr>
        <w:t>"</w:t>
      </w:r>
      <w:r w:rsidR="000F4434" w:rsidRPr="0075382D">
        <w:rPr>
          <w:rFonts w:ascii="Times New Roman" w:eastAsia="Calibri" w:hAnsi="Times New Roman" w:cs="Times New Roman"/>
          <w:sz w:val="24"/>
          <w:szCs w:val="24"/>
        </w:rPr>
        <w:t xml:space="preserve"> </w:t>
      </w:r>
      <w:r w:rsidRPr="0075382D">
        <w:rPr>
          <w:rFonts w:ascii="Times New Roman" w:eastAsia="Calibri" w:hAnsi="Times New Roman" w:cs="Times New Roman"/>
          <w:sz w:val="24"/>
          <w:szCs w:val="24"/>
        </w:rPr>
        <w:t>iepriekšējo gadu atlikumā. Uz 2021.</w:t>
      </w:r>
      <w:r w:rsidR="00641239" w:rsidRPr="0075382D">
        <w:rPr>
          <w:rFonts w:ascii="Times New Roman" w:eastAsia="Calibri" w:hAnsi="Times New Roman" w:cs="Times New Roman"/>
          <w:sz w:val="24"/>
          <w:szCs w:val="24"/>
        </w:rPr>
        <w:t> </w:t>
      </w:r>
      <w:r w:rsidRPr="0075382D">
        <w:rPr>
          <w:rFonts w:ascii="Times New Roman" w:eastAsia="Calibri" w:hAnsi="Times New Roman" w:cs="Times New Roman"/>
          <w:sz w:val="24"/>
          <w:szCs w:val="24"/>
        </w:rPr>
        <w:t>gada 1.</w:t>
      </w:r>
      <w:r w:rsidR="00641239" w:rsidRPr="0075382D">
        <w:rPr>
          <w:rFonts w:ascii="Times New Roman" w:eastAsia="Calibri" w:hAnsi="Times New Roman" w:cs="Times New Roman"/>
          <w:sz w:val="24"/>
          <w:szCs w:val="24"/>
        </w:rPr>
        <w:t> </w:t>
      </w:r>
      <w:r w:rsidRPr="0075382D">
        <w:rPr>
          <w:rFonts w:ascii="Times New Roman" w:eastAsia="Calibri" w:hAnsi="Times New Roman" w:cs="Times New Roman"/>
          <w:sz w:val="24"/>
          <w:szCs w:val="24"/>
        </w:rPr>
        <w:t xml:space="preserve">jūniju </w:t>
      </w:r>
      <w:r w:rsidR="00843A81" w:rsidRPr="0075382D">
        <w:rPr>
          <w:rFonts w:ascii="Times New Roman" w:eastAsia="Calibri" w:hAnsi="Times New Roman" w:cs="Times New Roman"/>
          <w:sz w:val="24"/>
          <w:szCs w:val="24"/>
        </w:rPr>
        <w:t>naudas līdzekļu atlikums</w:t>
      </w:r>
      <w:r w:rsidRPr="0075382D">
        <w:rPr>
          <w:rFonts w:ascii="Times New Roman" w:eastAsia="Calibri" w:hAnsi="Times New Roman" w:cs="Times New Roman"/>
          <w:sz w:val="24"/>
          <w:szCs w:val="24"/>
        </w:rPr>
        <w:t xml:space="preserve"> ir </w:t>
      </w:r>
      <w:bookmarkStart w:id="3" w:name="_Hlk75856862"/>
      <w:r w:rsidR="003841C3" w:rsidRPr="0075382D">
        <w:rPr>
          <w:rFonts w:ascii="Times New Roman" w:eastAsia="Calibri" w:hAnsi="Times New Roman" w:cs="Times New Roman"/>
          <w:sz w:val="24"/>
          <w:szCs w:val="24"/>
        </w:rPr>
        <w:t>840</w:t>
      </w:r>
      <w:r w:rsidR="00641239" w:rsidRPr="0075382D">
        <w:rPr>
          <w:rFonts w:ascii="Times New Roman" w:eastAsia="Calibri" w:hAnsi="Times New Roman" w:cs="Times New Roman"/>
          <w:sz w:val="24"/>
          <w:szCs w:val="24"/>
        </w:rPr>
        <w:t> </w:t>
      </w:r>
      <w:r w:rsidR="003841C3" w:rsidRPr="0075382D">
        <w:rPr>
          <w:rFonts w:ascii="Times New Roman" w:eastAsia="Calibri" w:hAnsi="Times New Roman" w:cs="Times New Roman"/>
          <w:sz w:val="24"/>
          <w:szCs w:val="24"/>
        </w:rPr>
        <w:t>664</w:t>
      </w:r>
      <w:r w:rsidR="00641239" w:rsidRPr="0075382D">
        <w:rPr>
          <w:rFonts w:ascii="Times New Roman" w:eastAsia="Calibri" w:hAnsi="Times New Roman" w:cs="Times New Roman"/>
          <w:sz w:val="24"/>
          <w:szCs w:val="24"/>
        </w:rPr>
        <w:t> </w:t>
      </w:r>
      <w:r w:rsidR="003841C3" w:rsidRPr="0075382D">
        <w:rPr>
          <w:rFonts w:ascii="Times New Roman" w:eastAsia="Calibri" w:hAnsi="Times New Roman" w:cs="Times New Roman"/>
          <w:i/>
          <w:iCs/>
          <w:sz w:val="24"/>
          <w:szCs w:val="24"/>
        </w:rPr>
        <w:t>euro</w:t>
      </w:r>
      <w:r w:rsidR="003841C3" w:rsidRPr="0075382D">
        <w:rPr>
          <w:rFonts w:ascii="Times New Roman" w:eastAsia="Calibri" w:hAnsi="Times New Roman" w:cs="Times New Roman"/>
          <w:sz w:val="24"/>
          <w:szCs w:val="24"/>
        </w:rPr>
        <w:t xml:space="preserve"> apmērā</w:t>
      </w:r>
      <w:bookmarkEnd w:id="3"/>
      <w:r w:rsidR="003841C3" w:rsidRPr="0075382D">
        <w:rPr>
          <w:rFonts w:ascii="Times New Roman" w:eastAsia="Calibri" w:hAnsi="Times New Roman" w:cs="Times New Roman"/>
          <w:sz w:val="24"/>
          <w:szCs w:val="24"/>
        </w:rPr>
        <w:t>.</w:t>
      </w:r>
    </w:p>
    <w:p w14:paraId="64A09A2B" w14:textId="542B7ABD" w:rsidR="005A61EC" w:rsidRPr="0075382D" w:rsidRDefault="003841C3" w:rsidP="00D10F80">
      <w:pPr>
        <w:pStyle w:val="Komentrateksts"/>
        <w:spacing w:after="0"/>
        <w:ind w:firstLine="720"/>
        <w:jc w:val="both"/>
        <w:rPr>
          <w:rFonts w:ascii="Times New Roman" w:hAnsi="Times New Roman" w:cs="Times New Roman"/>
          <w:bCs/>
          <w:sz w:val="24"/>
          <w:szCs w:val="24"/>
        </w:rPr>
      </w:pPr>
      <w:r w:rsidRPr="0075382D">
        <w:rPr>
          <w:rFonts w:ascii="Times New Roman" w:eastAsia="Calibri" w:hAnsi="Times New Roman" w:cs="Times New Roman"/>
          <w:sz w:val="24"/>
          <w:szCs w:val="24"/>
        </w:rPr>
        <w:t xml:space="preserve">Atbilstoši </w:t>
      </w:r>
      <w:r w:rsidR="000F4434" w:rsidRPr="0075382D">
        <w:rPr>
          <w:rFonts w:ascii="Times New Roman" w:eastAsia="Calibri" w:hAnsi="Times New Roman" w:cs="Times New Roman"/>
          <w:sz w:val="24"/>
          <w:szCs w:val="24"/>
        </w:rPr>
        <w:t>2020.</w:t>
      </w:r>
      <w:r w:rsidR="00641239" w:rsidRPr="0075382D">
        <w:rPr>
          <w:rFonts w:ascii="Times New Roman" w:eastAsia="Calibri" w:hAnsi="Times New Roman" w:cs="Times New Roman"/>
          <w:sz w:val="24"/>
          <w:szCs w:val="24"/>
        </w:rPr>
        <w:t> </w:t>
      </w:r>
      <w:r w:rsidR="000F4434" w:rsidRPr="0075382D">
        <w:rPr>
          <w:rFonts w:ascii="Times New Roman" w:eastAsia="Calibri" w:hAnsi="Times New Roman" w:cs="Times New Roman"/>
          <w:sz w:val="24"/>
          <w:szCs w:val="24"/>
        </w:rPr>
        <w:t>gada 25.</w:t>
      </w:r>
      <w:r w:rsidR="007539C2" w:rsidRPr="0075382D">
        <w:rPr>
          <w:rFonts w:ascii="Times New Roman" w:eastAsia="Calibri" w:hAnsi="Times New Roman" w:cs="Times New Roman"/>
          <w:sz w:val="24"/>
          <w:szCs w:val="24"/>
        </w:rPr>
        <w:t> </w:t>
      </w:r>
      <w:r w:rsidR="000F4434" w:rsidRPr="0075382D">
        <w:rPr>
          <w:rFonts w:ascii="Times New Roman" w:eastAsia="Calibri" w:hAnsi="Times New Roman" w:cs="Times New Roman"/>
          <w:sz w:val="24"/>
          <w:szCs w:val="24"/>
        </w:rPr>
        <w:t xml:space="preserve">augusta Ministru kabineta pieņemtajam </w:t>
      </w:r>
      <w:r w:rsidRPr="0075382D">
        <w:rPr>
          <w:rFonts w:ascii="Times New Roman" w:eastAsia="Calibri" w:hAnsi="Times New Roman" w:cs="Times New Roman"/>
          <w:sz w:val="24"/>
          <w:szCs w:val="24"/>
        </w:rPr>
        <w:t xml:space="preserve">informatīvajam ziņojumam </w:t>
      </w:r>
      <w:r w:rsidRPr="0075382D">
        <w:rPr>
          <w:rFonts w:ascii="Times New Roman" w:hAnsi="Times New Roman" w:cs="Times New Roman"/>
          <w:bCs/>
          <w:sz w:val="24"/>
          <w:szCs w:val="24"/>
        </w:rPr>
        <w:t>"Par uzņēmējdarbības riska valsts nodevas sadalījumu 2021. - 2023. gadam"</w:t>
      </w:r>
      <w:r w:rsidR="000F4434" w:rsidRPr="0075382D">
        <w:rPr>
          <w:rFonts w:ascii="Times New Roman" w:hAnsi="Times New Roman" w:cs="Times New Roman"/>
          <w:bCs/>
          <w:sz w:val="24"/>
          <w:szCs w:val="24"/>
        </w:rPr>
        <w:t xml:space="preserve">, </w:t>
      </w:r>
      <w:r w:rsidR="008040A2" w:rsidRPr="0075382D">
        <w:rPr>
          <w:rFonts w:ascii="Times New Roman" w:hAnsi="Times New Roman" w:cs="Times New Roman"/>
          <w:bCs/>
          <w:sz w:val="24"/>
          <w:szCs w:val="24"/>
        </w:rPr>
        <w:t>maksātnespējas procesu izmaksu</w:t>
      </w:r>
      <w:r w:rsidR="000F4434" w:rsidRPr="0075382D">
        <w:rPr>
          <w:rFonts w:ascii="Times New Roman" w:hAnsi="Times New Roman" w:cs="Times New Roman"/>
          <w:bCs/>
          <w:sz w:val="24"/>
          <w:szCs w:val="24"/>
        </w:rPr>
        <w:t xml:space="preserve"> turpmāko gadu nodrošinājums ir </w:t>
      </w:r>
      <w:r w:rsidR="008040A2" w:rsidRPr="0075382D">
        <w:rPr>
          <w:rFonts w:ascii="Times New Roman" w:eastAsia="Calibri" w:hAnsi="Times New Roman" w:cs="Times New Roman"/>
          <w:sz w:val="24"/>
          <w:szCs w:val="24"/>
        </w:rPr>
        <w:t>apakšprogrammas 06.05.00</w:t>
      </w:r>
      <w:r w:rsidR="007539C2" w:rsidRPr="0075382D">
        <w:rPr>
          <w:rFonts w:ascii="Times New Roman" w:eastAsia="Calibri" w:hAnsi="Times New Roman" w:cs="Times New Roman"/>
          <w:sz w:val="24"/>
          <w:szCs w:val="24"/>
        </w:rPr>
        <w:t> </w:t>
      </w:r>
      <w:r w:rsidR="00CA406A" w:rsidRPr="0075382D">
        <w:rPr>
          <w:rFonts w:ascii="Times New Roman" w:eastAsia="Calibri" w:hAnsi="Times New Roman" w:cs="Times New Roman"/>
          <w:sz w:val="24"/>
          <w:szCs w:val="24"/>
        </w:rPr>
        <w:t>"</w:t>
      </w:r>
      <w:r w:rsidR="008040A2" w:rsidRPr="0075382D">
        <w:rPr>
          <w:rFonts w:ascii="Times New Roman" w:eastAsia="Calibri" w:hAnsi="Times New Roman" w:cs="Times New Roman"/>
          <w:sz w:val="24"/>
          <w:szCs w:val="24"/>
        </w:rPr>
        <w:t>Maksātnespējas procesa izmaksas</w:t>
      </w:r>
      <w:r w:rsidR="00CA406A" w:rsidRPr="0075382D">
        <w:rPr>
          <w:rFonts w:ascii="Times New Roman" w:eastAsia="Calibri" w:hAnsi="Times New Roman" w:cs="Times New Roman"/>
          <w:sz w:val="24"/>
          <w:szCs w:val="24"/>
        </w:rPr>
        <w:t>"</w:t>
      </w:r>
      <w:r w:rsidR="008040A2" w:rsidRPr="0075382D">
        <w:rPr>
          <w:rFonts w:ascii="Times New Roman" w:eastAsia="Calibri" w:hAnsi="Times New Roman" w:cs="Times New Roman"/>
          <w:sz w:val="24"/>
          <w:szCs w:val="24"/>
        </w:rPr>
        <w:t xml:space="preserve"> </w:t>
      </w:r>
      <w:r w:rsidR="000F4434" w:rsidRPr="0075382D">
        <w:rPr>
          <w:rFonts w:ascii="Times New Roman" w:hAnsi="Times New Roman" w:cs="Times New Roman"/>
          <w:bCs/>
          <w:sz w:val="24"/>
          <w:szCs w:val="24"/>
        </w:rPr>
        <w:t xml:space="preserve">iepriekšējo gadu </w:t>
      </w:r>
      <w:r w:rsidR="000617B6" w:rsidRPr="0075382D">
        <w:rPr>
          <w:rFonts w:ascii="Times New Roman" w:hAnsi="Times New Roman" w:cs="Times New Roman"/>
          <w:bCs/>
          <w:sz w:val="24"/>
          <w:szCs w:val="24"/>
        </w:rPr>
        <w:t>atlikumus</w:t>
      </w:r>
      <w:r w:rsidR="00F97781" w:rsidRPr="0075382D">
        <w:rPr>
          <w:rFonts w:ascii="Times New Roman" w:hAnsi="Times New Roman" w:cs="Times New Roman"/>
          <w:bCs/>
          <w:sz w:val="24"/>
          <w:szCs w:val="24"/>
        </w:rPr>
        <w:t>,</w:t>
      </w:r>
      <w:r w:rsidR="000617B6" w:rsidRPr="0075382D">
        <w:rPr>
          <w:rFonts w:ascii="Times New Roman" w:hAnsi="Times New Roman" w:cs="Times New Roman"/>
          <w:bCs/>
          <w:sz w:val="24"/>
          <w:szCs w:val="24"/>
        </w:rPr>
        <w:t xml:space="preserve"> no kura 2022.</w:t>
      </w:r>
      <w:r w:rsidR="007539C2" w:rsidRPr="0075382D">
        <w:rPr>
          <w:rFonts w:ascii="Times New Roman" w:hAnsi="Times New Roman" w:cs="Times New Roman"/>
          <w:bCs/>
          <w:sz w:val="24"/>
          <w:szCs w:val="24"/>
        </w:rPr>
        <w:t> </w:t>
      </w:r>
      <w:r w:rsidR="000617B6" w:rsidRPr="0075382D">
        <w:rPr>
          <w:rFonts w:ascii="Times New Roman" w:hAnsi="Times New Roman" w:cs="Times New Roman"/>
          <w:bCs/>
          <w:sz w:val="24"/>
          <w:szCs w:val="24"/>
        </w:rPr>
        <w:t>gadā būs nepieciešami 4 216</w:t>
      </w:r>
      <w:r w:rsidR="007539C2" w:rsidRPr="0075382D">
        <w:rPr>
          <w:rFonts w:ascii="Times New Roman" w:hAnsi="Times New Roman" w:cs="Times New Roman"/>
          <w:bCs/>
          <w:sz w:val="24"/>
          <w:szCs w:val="24"/>
        </w:rPr>
        <w:t> </w:t>
      </w:r>
      <w:r w:rsidR="000617B6" w:rsidRPr="0075382D">
        <w:rPr>
          <w:rFonts w:ascii="Times New Roman" w:hAnsi="Times New Roman" w:cs="Times New Roman"/>
          <w:bCs/>
          <w:i/>
          <w:iCs/>
          <w:sz w:val="24"/>
          <w:szCs w:val="24"/>
        </w:rPr>
        <w:t>euro</w:t>
      </w:r>
      <w:r w:rsidR="000617B6" w:rsidRPr="0075382D">
        <w:rPr>
          <w:rFonts w:ascii="Times New Roman" w:hAnsi="Times New Roman" w:cs="Times New Roman"/>
          <w:bCs/>
          <w:sz w:val="24"/>
          <w:szCs w:val="24"/>
        </w:rPr>
        <w:t xml:space="preserve">, </w:t>
      </w:r>
      <w:r w:rsidR="000617B6" w:rsidRPr="0075382D">
        <w:rPr>
          <w:rFonts w:ascii="Times New Roman" w:hAnsi="Times New Roman"/>
          <w:sz w:val="24"/>
        </w:rPr>
        <w:t>2023.</w:t>
      </w:r>
      <w:r w:rsidR="00AE6675" w:rsidRPr="0075382D">
        <w:rPr>
          <w:rFonts w:ascii="Times New Roman" w:hAnsi="Times New Roman"/>
          <w:sz w:val="24"/>
        </w:rPr>
        <w:t> </w:t>
      </w:r>
      <w:r w:rsidR="000617B6" w:rsidRPr="0075382D">
        <w:rPr>
          <w:rFonts w:ascii="Times New Roman" w:hAnsi="Times New Roman"/>
          <w:sz w:val="24"/>
        </w:rPr>
        <w:t>gadā 3 505</w:t>
      </w:r>
      <w:r w:rsidR="007539C2" w:rsidRPr="0075382D">
        <w:rPr>
          <w:rFonts w:ascii="Times New Roman" w:hAnsi="Times New Roman"/>
          <w:sz w:val="24"/>
        </w:rPr>
        <w:t> </w:t>
      </w:r>
      <w:r w:rsidR="000617B6" w:rsidRPr="0075382D">
        <w:rPr>
          <w:rFonts w:ascii="Times New Roman" w:hAnsi="Times New Roman"/>
          <w:i/>
          <w:sz w:val="24"/>
        </w:rPr>
        <w:t>euro</w:t>
      </w:r>
      <w:r w:rsidR="00AE6675" w:rsidRPr="0075382D">
        <w:rPr>
          <w:rFonts w:ascii="Times New Roman" w:hAnsi="Times New Roman"/>
          <w:sz w:val="24"/>
        </w:rPr>
        <w:t>,</w:t>
      </w:r>
      <w:r w:rsidR="000617B6" w:rsidRPr="0075382D">
        <w:rPr>
          <w:rFonts w:ascii="Times New Roman" w:hAnsi="Times New Roman"/>
          <w:sz w:val="24"/>
        </w:rPr>
        <w:t xml:space="preserve"> </w:t>
      </w:r>
      <w:r w:rsidR="00BB1EA1" w:rsidRPr="0075382D">
        <w:rPr>
          <w:rFonts w:ascii="Times New Roman" w:hAnsi="Times New Roman"/>
          <w:sz w:val="24"/>
        </w:rPr>
        <w:t>2024.</w:t>
      </w:r>
      <w:r w:rsidR="00AE6675" w:rsidRPr="0075382D">
        <w:rPr>
          <w:rFonts w:ascii="Times New Roman" w:hAnsi="Times New Roman"/>
          <w:sz w:val="24"/>
        </w:rPr>
        <w:t> </w:t>
      </w:r>
      <w:r w:rsidR="00BB1EA1" w:rsidRPr="0075382D">
        <w:rPr>
          <w:rFonts w:ascii="Times New Roman" w:hAnsi="Times New Roman"/>
          <w:sz w:val="24"/>
        </w:rPr>
        <w:t>gadā 3</w:t>
      </w:r>
      <w:r w:rsidR="00AE6675" w:rsidRPr="0075382D">
        <w:rPr>
          <w:rFonts w:ascii="Times New Roman" w:hAnsi="Times New Roman"/>
          <w:sz w:val="24"/>
        </w:rPr>
        <w:t> </w:t>
      </w:r>
      <w:r w:rsidR="00BB1EA1" w:rsidRPr="0075382D">
        <w:rPr>
          <w:rFonts w:ascii="Times New Roman" w:hAnsi="Times New Roman"/>
          <w:sz w:val="24"/>
        </w:rPr>
        <w:t>505</w:t>
      </w:r>
      <w:r w:rsidR="00AE6675" w:rsidRPr="0075382D">
        <w:rPr>
          <w:rFonts w:ascii="Times New Roman" w:hAnsi="Times New Roman"/>
          <w:sz w:val="24"/>
        </w:rPr>
        <w:t> </w:t>
      </w:r>
      <w:r w:rsidR="00BB1EA1" w:rsidRPr="0075382D">
        <w:rPr>
          <w:rFonts w:ascii="Times New Roman" w:hAnsi="Times New Roman"/>
          <w:i/>
          <w:iCs/>
          <w:sz w:val="24"/>
        </w:rPr>
        <w:t>euro</w:t>
      </w:r>
      <w:r w:rsidR="00BB1EA1" w:rsidRPr="0075382D">
        <w:rPr>
          <w:rFonts w:ascii="Times New Roman" w:hAnsi="Times New Roman"/>
          <w:sz w:val="24"/>
        </w:rPr>
        <w:t>.</w:t>
      </w:r>
    </w:p>
    <w:p w14:paraId="1BA133B2" w14:textId="4EA42D83" w:rsidR="003841C3" w:rsidRPr="00C54981" w:rsidRDefault="000617B6" w:rsidP="00C54981">
      <w:pPr>
        <w:spacing w:after="0" w:line="240" w:lineRule="auto"/>
        <w:ind w:firstLine="720"/>
        <w:jc w:val="both"/>
        <w:rPr>
          <w:rFonts w:ascii="Times New Roman" w:hAnsi="Times New Roman"/>
          <w:sz w:val="24"/>
        </w:rPr>
      </w:pPr>
      <w:r w:rsidRPr="0075382D">
        <w:rPr>
          <w:rFonts w:ascii="Times New Roman" w:hAnsi="Times New Roman" w:cs="Times New Roman"/>
          <w:bCs/>
          <w:sz w:val="24"/>
          <w:szCs w:val="24"/>
        </w:rPr>
        <w:t xml:space="preserve">Starpību </w:t>
      </w:r>
      <w:r w:rsidR="00BB1EA1" w:rsidRPr="0075382D">
        <w:rPr>
          <w:rFonts w:ascii="Times New Roman" w:hAnsi="Times New Roman"/>
          <w:sz w:val="24"/>
        </w:rPr>
        <w:t>829</w:t>
      </w:r>
      <w:r w:rsidR="00AE6675" w:rsidRPr="0075382D">
        <w:rPr>
          <w:rFonts w:ascii="Times New Roman" w:hAnsi="Times New Roman"/>
          <w:sz w:val="24"/>
        </w:rPr>
        <w:t> </w:t>
      </w:r>
      <w:r w:rsidR="00BB1EA1" w:rsidRPr="0075382D">
        <w:rPr>
          <w:rFonts w:ascii="Times New Roman" w:hAnsi="Times New Roman"/>
          <w:sz w:val="24"/>
        </w:rPr>
        <w:t>438</w:t>
      </w:r>
      <w:r w:rsidR="007539C2" w:rsidRPr="0075382D">
        <w:rPr>
          <w:rFonts w:ascii="Times New Roman" w:hAnsi="Times New Roman"/>
          <w:sz w:val="24"/>
        </w:rPr>
        <w:t> </w:t>
      </w:r>
      <w:r w:rsidRPr="0075382D">
        <w:rPr>
          <w:rFonts w:ascii="Times New Roman" w:hAnsi="Times New Roman" w:cs="Times New Roman"/>
          <w:bCs/>
          <w:i/>
          <w:iCs/>
          <w:sz w:val="24"/>
          <w:szCs w:val="24"/>
        </w:rPr>
        <w:t>euro</w:t>
      </w:r>
      <w:r w:rsidRPr="0075382D">
        <w:rPr>
          <w:rFonts w:ascii="Times New Roman" w:hAnsi="Times New Roman" w:cs="Times New Roman"/>
          <w:bCs/>
          <w:sz w:val="24"/>
          <w:szCs w:val="24"/>
        </w:rPr>
        <w:t xml:space="preserve"> apmērā </w:t>
      </w:r>
      <w:r w:rsidR="0022406D" w:rsidRPr="0075382D">
        <w:rPr>
          <w:rFonts w:ascii="Times New Roman" w:hAnsi="Times New Roman" w:cs="Times New Roman"/>
          <w:bCs/>
          <w:sz w:val="24"/>
          <w:szCs w:val="24"/>
        </w:rPr>
        <w:t>sākot ar 2022.</w:t>
      </w:r>
      <w:r w:rsidR="007539C2" w:rsidRPr="0075382D">
        <w:rPr>
          <w:rFonts w:ascii="Times New Roman" w:hAnsi="Times New Roman" w:cs="Times New Roman"/>
          <w:bCs/>
          <w:sz w:val="24"/>
          <w:szCs w:val="24"/>
        </w:rPr>
        <w:t> </w:t>
      </w:r>
      <w:r w:rsidR="0022406D" w:rsidRPr="0075382D">
        <w:rPr>
          <w:rFonts w:ascii="Times New Roman" w:hAnsi="Times New Roman" w:cs="Times New Roman"/>
          <w:bCs/>
          <w:sz w:val="24"/>
          <w:szCs w:val="24"/>
        </w:rPr>
        <w:t xml:space="preserve">gadu </w:t>
      </w:r>
      <w:r w:rsidR="00E677E0" w:rsidRPr="0075382D">
        <w:rPr>
          <w:rFonts w:ascii="Times New Roman" w:hAnsi="Times New Roman" w:cs="Times New Roman"/>
          <w:bCs/>
          <w:sz w:val="24"/>
          <w:szCs w:val="24"/>
        </w:rPr>
        <w:t>un līdz 2029.</w:t>
      </w:r>
      <w:r w:rsidR="007539C2" w:rsidRPr="0075382D">
        <w:rPr>
          <w:rFonts w:ascii="Times New Roman" w:hAnsi="Times New Roman" w:cs="Times New Roman"/>
          <w:bCs/>
          <w:sz w:val="24"/>
          <w:szCs w:val="24"/>
        </w:rPr>
        <w:t> </w:t>
      </w:r>
      <w:r w:rsidR="00E677E0" w:rsidRPr="0075382D">
        <w:rPr>
          <w:rFonts w:ascii="Times New Roman" w:hAnsi="Times New Roman" w:cs="Times New Roman"/>
          <w:bCs/>
          <w:sz w:val="24"/>
          <w:szCs w:val="24"/>
        </w:rPr>
        <w:t xml:space="preserve">gadam </w:t>
      </w:r>
      <w:r w:rsidRPr="0075382D">
        <w:rPr>
          <w:rFonts w:ascii="Times New Roman" w:hAnsi="Times New Roman" w:cs="Times New Roman"/>
          <w:bCs/>
          <w:sz w:val="24"/>
          <w:szCs w:val="24"/>
        </w:rPr>
        <w:t>var novirzīt</w:t>
      </w:r>
      <w:r w:rsidR="008040A2" w:rsidRPr="0075382D">
        <w:rPr>
          <w:rFonts w:ascii="Times New Roman" w:hAnsi="Times New Roman" w:cs="Times New Roman"/>
          <w:bCs/>
          <w:sz w:val="24"/>
          <w:szCs w:val="24"/>
        </w:rPr>
        <w:t xml:space="preserve"> dokumentu nodošanai glabāšanā arhīvā</w:t>
      </w:r>
      <w:r w:rsidR="00CC5314" w:rsidRPr="0075382D">
        <w:rPr>
          <w:rFonts w:ascii="Times New Roman" w:hAnsi="Times New Roman" w:cs="Times New Roman"/>
          <w:bCs/>
          <w:sz w:val="24"/>
          <w:szCs w:val="24"/>
        </w:rPr>
        <w:t>,</w:t>
      </w:r>
      <w:r w:rsidRPr="0075382D">
        <w:rPr>
          <w:rFonts w:ascii="Times New Roman" w:hAnsi="Times New Roman" w:cs="Times New Roman"/>
          <w:bCs/>
          <w:sz w:val="24"/>
          <w:szCs w:val="24"/>
        </w:rPr>
        <w:t xml:space="preserve"> </w:t>
      </w:r>
      <w:r w:rsidR="00E677E0" w:rsidRPr="0075382D">
        <w:rPr>
          <w:rFonts w:ascii="Times New Roman" w:hAnsi="Times New Roman" w:cs="Times New Roman"/>
          <w:bCs/>
          <w:sz w:val="24"/>
          <w:szCs w:val="24"/>
        </w:rPr>
        <w:t>ik</w:t>
      </w:r>
      <w:r w:rsidR="008040A2" w:rsidRPr="0075382D">
        <w:rPr>
          <w:rFonts w:ascii="Times New Roman" w:hAnsi="Times New Roman" w:cs="Times New Roman"/>
          <w:bCs/>
          <w:sz w:val="24"/>
          <w:szCs w:val="24"/>
        </w:rPr>
        <w:t xml:space="preserve"> </w:t>
      </w:r>
      <w:r w:rsidR="00E677E0" w:rsidRPr="0075382D">
        <w:rPr>
          <w:rFonts w:ascii="Times New Roman" w:hAnsi="Times New Roman" w:cs="Times New Roman"/>
          <w:bCs/>
          <w:sz w:val="24"/>
          <w:szCs w:val="24"/>
        </w:rPr>
        <w:t>gadu 100 000</w:t>
      </w:r>
      <w:r w:rsidR="007539C2" w:rsidRPr="0075382D">
        <w:rPr>
          <w:rFonts w:ascii="Times New Roman" w:hAnsi="Times New Roman" w:cs="Times New Roman"/>
          <w:bCs/>
          <w:sz w:val="24"/>
          <w:szCs w:val="24"/>
        </w:rPr>
        <w:t> </w:t>
      </w:r>
      <w:r w:rsidR="00E677E0" w:rsidRPr="0075382D">
        <w:rPr>
          <w:rFonts w:ascii="Times New Roman" w:hAnsi="Times New Roman" w:cs="Times New Roman"/>
          <w:bCs/>
          <w:i/>
          <w:iCs/>
          <w:sz w:val="24"/>
          <w:szCs w:val="24"/>
        </w:rPr>
        <w:t>euro</w:t>
      </w:r>
      <w:r w:rsidR="00E677E0" w:rsidRPr="0075382D">
        <w:rPr>
          <w:rFonts w:ascii="Times New Roman" w:hAnsi="Times New Roman" w:cs="Times New Roman"/>
          <w:bCs/>
          <w:sz w:val="24"/>
          <w:szCs w:val="24"/>
        </w:rPr>
        <w:t xml:space="preserve"> </w:t>
      </w:r>
      <w:r w:rsidR="00E0401D" w:rsidRPr="0075382D">
        <w:rPr>
          <w:rFonts w:ascii="Times New Roman" w:hAnsi="Times New Roman" w:cs="Times New Roman"/>
          <w:bCs/>
          <w:sz w:val="24"/>
          <w:szCs w:val="24"/>
        </w:rPr>
        <w:t>apmērā</w:t>
      </w:r>
      <w:r w:rsidR="00A2286B" w:rsidRPr="0075382D">
        <w:rPr>
          <w:rFonts w:ascii="Times New Roman" w:hAnsi="Times New Roman" w:cs="Times New Roman"/>
          <w:sz w:val="24"/>
          <w:szCs w:val="24"/>
        </w:rPr>
        <w:t>.</w:t>
      </w:r>
    </w:p>
    <w:p w14:paraId="1925C2FA" w14:textId="77777777" w:rsidR="00583763" w:rsidRPr="0075382D" w:rsidRDefault="00583763" w:rsidP="00583763">
      <w:pPr>
        <w:pStyle w:val="Komentrateksts"/>
        <w:spacing w:after="0"/>
        <w:jc w:val="both"/>
        <w:rPr>
          <w:rFonts w:ascii="Times New Roman" w:eastAsia="Calibri" w:hAnsi="Times New Roman" w:cs="Times New Roman"/>
          <w:sz w:val="24"/>
          <w:szCs w:val="24"/>
        </w:rPr>
      </w:pPr>
    </w:p>
    <w:p w14:paraId="7E52575A" w14:textId="60CF8F54" w:rsidR="00583763" w:rsidRPr="0075382D" w:rsidRDefault="0033720D" w:rsidP="00583763">
      <w:pPr>
        <w:shd w:val="clear" w:color="auto" w:fill="FFFFFF"/>
        <w:spacing w:after="0" w:line="240" w:lineRule="auto"/>
        <w:ind w:firstLine="708"/>
        <w:jc w:val="right"/>
        <w:rPr>
          <w:rFonts w:ascii="Times New Roman" w:hAnsi="Times New Roman" w:cs="Times New Roman"/>
          <w:sz w:val="24"/>
          <w:szCs w:val="24"/>
          <w:highlight w:val="white"/>
        </w:rPr>
      </w:pPr>
      <w:r w:rsidRPr="0075382D">
        <w:rPr>
          <w:rFonts w:ascii="Times New Roman" w:hAnsi="Times New Roman" w:cs="Times New Roman"/>
          <w:sz w:val="24"/>
          <w:szCs w:val="24"/>
          <w:highlight w:val="white"/>
        </w:rPr>
        <w:t>T</w:t>
      </w:r>
      <w:r w:rsidR="00583763" w:rsidRPr="0075382D">
        <w:rPr>
          <w:rFonts w:ascii="Times New Roman" w:hAnsi="Times New Roman" w:cs="Times New Roman"/>
          <w:sz w:val="24"/>
          <w:szCs w:val="24"/>
          <w:highlight w:val="white"/>
        </w:rPr>
        <w:t>abula</w:t>
      </w:r>
    </w:p>
    <w:p w14:paraId="37EE0B50" w14:textId="77777777" w:rsidR="00583763" w:rsidRPr="0075382D" w:rsidRDefault="00583763" w:rsidP="00583763">
      <w:pPr>
        <w:shd w:val="clear" w:color="auto" w:fill="FFFFFF"/>
        <w:spacing w:after="0" w:line="240" w:lineRule="auto"/>
        <w:ind w:firstLine="708"/>
        <w:jc w:val="right"/>
        <w:rPr>
          <w:rFonts w:ascii="Times New Roman" w:hAnsi="Times New Roman" w:cs="Times New Roman"/>
          <w:sz w:val="24"/>
          <w:szCs w:val="24"/>
          <w:highlight w:val="white"/>
        </w:rPr>
      </w:pPr>
    </w:p>
    <w:p w14:paraId="4234C591" w14:textId="704A4A8C" w:rsidR="00583763" w:rsidRPr="0075382D" w:rsidRDefault="009922C9" w:rsidP="00583763">
      <w:pPr>
        <w:shd w:val="clear" w:color="auto" w:fill="FFFFFF"/>
        <w:spacing w:after="0" w:line="240" w:lineRule="auto"/>
        <w:ind w:firstLine="708"/>
        <w:jc w:val="center"/>
        <w:rPr>
          <w:rFonts w:ascii="Times New Roman" w:eastAsia="Times New Roman" w:hAnsi="Times New Roman" w:cs="Times New Roman"/>
          <w:b/>
          <w:bCs/>
          <w:sz w:val="24"/>
          <w:szCs w:val="24"/>
          <w:highlight w:val="red"/>
        </w:rPr>
      </w:pPr>
      <w:r w:rsidRPr="0075382D">
        <w:rPr>
          <w:rFonts w:ascii="Times New Roman" w:eastAsia="Times New Roman" w:hAnsi="Times New Roman" w:cs="Times New Roman"/>
          <w:b/>
          <w:bCs/>
          <w:sz w:val="24"/>
          <w:szCs w:val="24"/>
        </w:rPr>
        <w:t>B</w:t>
      </w:r>
      <w:r w:rsidR="00583763" w:rsidRPr="0075382D">
        <w:rPr>
          <w:rFonts w:ascii="Times New Roman" w:eastAsia="Times New Roman" w:hAnsi="Times New Roman" w:cs="Times New Roman"/>
          <w:b/>
          <w:bCs/>
          <w:sz w:val="24"/>
          <w:szCs w:val="24"/>
        </w:rPr>
        <w:t>udžeta apakšprogramm</w:t>
      </w:r>
      <w:r w:rsidR="003324E5" w:rsidRPr="0075382D">
        <w:rPr>
          <w:rFonts w:ascii="Times New Roman" w:eastAsia="Times New Roman" w:hAnsi="Times New Roman" w:cs="Times New Roman"/>
          <w:b/>
          <w:bCs/>
          <w:sz w:val="24"/>
          <w:szCs w:val="24"/>
        </w:rPr>
        <w:t xml:space="preserve">as </w:t>
      </w:r>
      <w:r w:rsidR="00583763" w:rsidRPr="0075382D">
        <w:rPr>
          <w:rFonts w:ascii="Times New Roman" w:eastAsia="Times New Roman" w:hAnsi="Times New Roman" w:cs="Times New Roman"/>
          <w:b/>
          <w:bCs/>
          <w:sz w:val="24"/>
          <w:szCs w:val="24"/>
        </w:rPr>
        <w:t>kopsavilkums 2022. – 2024. gadam</w:t>
      </w:r>
    </w:p>
    <w:p w14:paraId="7D8C2CC8" w14:textId="77777777" w:rsidR="00583763" w:rsidRPr="0075382D" w:rsidRDefault="00583763" w:rsidP="00583763">
      <w:pPr>
        <w:shd w:val="clear" w:color="auto" w:fill="FFFFFF"/>
        <w:spacing w:after="0" w:line="240" w:lineRule="auto"/>
        <w:ind w:firstLine="708"/>
        <w:jc w:val="center"/>
        <w:rPr>
          <w:rFonts w:ascii="Times New Roman" w:eastAsia="Times New Roman" w:hAnsi="Times New Roman" w:cs="Times New Roman"/>
          <w:sz w:val="24"/>
          <w:szCs w:val="24"/>
          <w:highlight w:val="red"/>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706"/>
        <w:gridCol w:w="704"/>
        <w:gridCol w:w="997"/>
        <w:gridCol w:w="851"/>
        <w:gridCol w:w="708"/>
        <w:gridCol w:w="850"/>
        <w:gridCol w:w="921"/>
        <w:gridCol w:w="776"/>
        <w:gridCol w:w="850"/>
        <w:gridCol w:w="851"/>
      </w:tblGrid>
      <w:tr w:rsidR="00501D78" w:rsidRPr="0075382D" w14:paraId="3ABA94FC" w14:textId="77777777" w:rsidTr="001E22BD">
        <w:trPr>
          <w:trHeight w:val="345"/>
          <w:jc w:val="center"/>
        </w:trPr>
        <w:tc>
          <w:tcPr>
            <w:tcW w:w="9214" w:type="dxa"/>
            <w:gridSpan w:val="10"/>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059EDE16" w14:textId="6BE73CFC" w:rsidR="00583763" w:rsidRPr="0075382D" w:rsidRDefault="00583763" w:rsidP="00707310">
            <w:pPr>
              <w:spacing w:after="0" w:line="240" w:lineRule="auto"/>
              <w:ind w:firstLine="720"/>
              <w:jc w:val="center"/>
              <w:rPr>
                <w:rFonts w:ascii="Times New Roman" w:hAnsi="Times New Roman" w:cs="Times New Roman"/>
                <w:b/>
                <w:sz w:val="18"/>
                <w:szCs w:val="18"/>
              </w:rPr>
            </w:pPr>
            <w:bookmarkStart w:id="4" w:name="_Hlk36735524"/>
            <w:r w:rsidRPr="0075382D">
              <w:rPr>
                <w:rFonts w:ascii="Times New Roman" w:hAnsi="Times New Roman" w:cs="Times New Roman"/>
                <w:b/>
                <w:sz w:val="18"/>
                <w:szCs w:val="18"/>
              </w:rPr>
              <w:t>Budžeta apakšprogramm</w:t>
            </w:r>
            <w:r w:rsidR="003324E5" w:rsidRPr="0075382D">
              <w:rPr>
                <w:rFonts w:ascii="Times New Roman" w:hAnsi="Times New Roman" w:cs="Times New Roman"/>
                <w:b/>
                <w:sz w:val="18"/>
                <w:szCs w:val="18"/>
              </w:rPr>
              <w:t xml:space="preserve">as </w:t>
            </w:r>
            <w:r w:rsidRPr="0075382D">
              <w:rPr>
                <w:rFonts w:ascii="Times New Roman" w:hAnsi="Times New Roman" w:cs="Times New Roman"/>
                <w:b/>
                <w:sz w:val="18"/>
                <w:szCs w:val="18"/>
              </w:rPr>
              <w:t>kopsavilkums 202</w:t>
            </w:r>
            <w:r w:rsidR="00567BF1" w:rsidRPr="0075382D">
              <w:rPr>
                <w:rFonts w:ascii="Times New Roman" w:hAnsi="Times New Roman" w:cs="Times New Roman"/>
                <w:b/>
                <w:sz w:val="18"/>
                <w:szCs w:val="18"/>
              </w:rPr>
              <w:t>2</w:t>
            </w:r>
            <w:r w:rsidRPr="0075382D">
              <w:rPr>
                <w:rFonts w:ascii="Times New Roman" w:hAnsi="Times New Roman" w:cs="Times New Roman"/>
                <w:b/>
                <w:sz w:val="18"/>
                <w:szCs w:val="18"/>
              </w:rPr>
              <w:t>. – 202</w:t>
            </w:r>
            <w:r w:rsidR="00567BF1" w:rsidRPr="0075382D">
              <w:rPr>
                <w:rFonts w:ascii="Times New Roman" w:hAnsi="Times New Roman" w:cs="Times New Roman"/>
                <w:b/>
                <w:sz w:val="18"/>
                <w:szCs w:val="18"/>
              </w:rPr>
              <w:t>4</w:t>
            </w:r>
            <w:r w:rsidRPr="0075382D">
              <w:rPr>
                <w:rFonts w:ascii="Times New Roman" w:hAnsi="Times New Roman" w:cs="Times New Roman"/>
                <w:b/>
                <w:sz w:val="18"/>
                <w:szCs w:val="18"/>
              </w:rPr>
              <w:t>. gadiem</w:t>
            </w:r>
            <w:bookmarkEnd w:id="4"/>
          </w:p>
        </w:tc>
      </w:tr>
      <w:tr w:rsidR="00583763" w:rsidRPr="0075382D" w14:paraId="7CCBA13C" w14:textId="77777777" w:rsidTr="001E22BD">
        <w:trPr>
          <w:trHeight w:val="517"/>
          <w:jc w:val="center"/>
        </w:trPr>
        <w:tc>
          <w:tcPr>
            <w:tcW w:w="1706" w:type="dxa"/>
            <w:vMerge w:val="restart"/>
            <w:shd w:val="clear" w:color="auto" w:fill="D9D9D9" w:themeFill="background1" w:themeFillShade="D9"/>
            <w:vAlign w:val="bottom"/>
            <w:hideMark/>
          </w:tcPr>
          <w:p w14:paraId="22F25AB8" w14:textId="77777777" w:rsidR="00583763" w:rsidRPr="0075382D" w:rsidRDefault="00583763" w:rsidP="00707310">
            <w:pPr>
              <w:spacing w:after="0" w:line="240" w:lineRule="auto"/>
              <w:ind w:left="-956"/>
              <w:rPr>
                <w:rFonts w:ascii="Times New Roman" w:hAnsi="Times New Roman" w:cs="Times New Roman"/>
                <w:sz w:val="18"/>
                <w:szCs w:val="18"/>
              </w:rPr>
            </w:pPr>
            <w:r w:rsidRPr="0075382D">
              <w:rPr>
                <w:rFonts w:ascii="Times New Roman" w:hAnsi="Times New Roman" w:cs="Times New Roman"/>
                <w:sz w:val="18"/>
                <w:szCs w:val="18"/>
              </w:rPr>
              <w:t> </w:t>
            </w:r>
          </w:p>
        </w:tc>
        <w:tc>
          <w:tcPr>
            <w:tcW w:w="704" w:type="dxa"/>
            <w:vMerge w:val="restart"/>
            <w:shd w:val="clear" w:color="auto" w:fill="D9D9D9" w:themeFill="background1" w:themeFillShade="D9"/>
            <w:textDirection w:val="btLr"/>
            <w:vAlign w:val="center"/>
            <w:hideMark/>
          </w:tcPr>
          <w:p w14:paraId="468F1026"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Pamatbudžeta bāze 2022. gadam</w:t>
            </w:r>
          </w:p>
        </w:tc>
        <w:tc>
          <w:tcPr>
            <w:tcW w:w="997" w:type="dxa"/>
            <w:vMerge w:val="restart"/>
            <w:shd w:val="clear" w:color="auto" w:fill="D9D9D9" w:themeFill="background1" w:themeFillShade="D9"/>
            <w:textDirection w:val="btLr"/>
            <w:vAlign w:val="center"/>
            <w:hideMark/>
          </w:tcPr>
          <w:p w14:paraId="796B4A55"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 xml:space="preserve">izmaiņas </w:t>
            </w:r>
          </w:p>
          <w:p w14:paraId="240F987D"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 -)</w:t>
            </w:r>
          </w:p>
        </w:tc>
        <w:tc>
          <w:tcPr>
            <w:tcW w:w="851" w:type="dxa"/>
            <w:vMerge w:val="restart"/>
            <w:shd w:val="clear" w:color="auto" w:fill="D9D9D9" w:themeFill="background1" w:themeFillShade="D9"/>
            <w:textDirection w:val="btLr"/>
            <w:vAlign w:val="center"/>
            <w:hideMark/>
          </w:tcPr>
          <w:p w14:paraId="0559C5C3"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Precizētais 2022. gada plāns</w:t>
            </w:r>
          </w:p>
        </w:tc>
        <w:tc>
          <w:tcPr>
            <w:tcW w:w="708" w:type="dxa"/>
            <w:vMerge w:val="restart"/>
            <w:shd w:val="clear" w:color="auto" w:fill="D9D9D9" w:themeFill="background1" w:themeFillShade="D9"/>
            <w:textDirection w:val="btLr"/>
            <w:vAlign w:val="center"/>
            <w:hideMark/>
          </w:tcPr>
          <w:p w14:paraId="60046EDA"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Pamatbudžeta bāze 2023. gadam</w:t>
            </w:r>
          </w:p>
        </w:tc>
        <w:tc>
          <w:tcPr>
            <w:tcW w:w="850" w:type="dxa"/>
            <w:vMerge w:val="restart"/>
            <w:shd w:val="clear" w:color="auto" w:fill="D9D9D9" w:themeFill="background1" w:themeFillShade="D9"/>
            <w:textDirection w:val="btLr"/>
            <w:vAlign w:val="center"/>
            <w:hideMark/>
          </w:tcPr>
          <w:p w14:paraId="251D970F"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izmaiņas (+, -)</w:t>
            </w:r>
          </w:p>
        </w:tc>
        <w:tc>
          <w:tcPr>
            <w:tcW w:w="921" w:type="dxa"/>
            <w:vMerge w:val="restart"/>
            <w:shd w:val="clear" w:color="auto" w:fill="D9D9D9" w:themeFill="background1" w:themeFillShade="D9"/>
            <w:textDirection w:val="btLr"/>
            <w:vAlign w:val="center"/>
            <w:hideMark/>
          </w:tcPr>
          <w:p w14:paraId="7B38E992"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Precizētais 2023. gada plāns</w:t>
            </w:r>
          </w:p>
        </w:tc>
        <w:tc>
          <w:tcPr>
            <w:tcW w:w="776" w:type="dxa"/>
            <w:vMerge w:val="restart"/>
            <w:shd w:val="clear" w:color="auto" w:fill="D9D9D9" w:themeFill="background1" w:themeFillShade="D9"/>
            <w:textDirection w:val="btLr"/>
            <w:vAlign w:val="center"/>
            <w:hideMark/>
          </w:tcPr>
          <w:p w14:paraId="51657F0C"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Pamatbudžeta bāze 2024. gadam</w:t>
            </w:r>
          </w:p>
        </w:tc>
        <w:tc>
          <w:tcPr>
            <w:tcW w:w="850" w:type="dxa"/>
            <w:vMerge w:val="restart"/>
            <w:shd w:val="clear" w:color="auto" w:fill="D9D9D9" w:themeFill="background1" w:themeFillShade="D9"/>
            <w:textDirection w:val="btLr"/>
            <w:vAlign w:val="center"/>
            <w:hideMark/>
          </w:tcPr>
          <w:p w14:paraId="3DC7D6B0" w14:textId="77777777" w:rsidR="00583763" w:rsidRPr="0075382D" w:rsidRDefault="00583763" w:rsidP="00707310">
            <w:pPr>
              <w:spacing w:after="0" w:line="240" w:lineRule="auto"/>
              <w:ind w:left="113" w:right="113"/>
              <w:jc w:val="center"/>
              <w:rPr>
                <w:rFonts w:ascii="Times New Roman" w:hAnsi="Times New Roman" w:cs="Times New Roman"/>
                <w:b/>
                <w:bCs/>
                <w:sz w:val="18"/>
                <w:szCs w:val="18"/>
              </w:rPr>
            </w:pPr>
            <w:r w:rsidRPr="0075382D">
              <w:rPr>
                <w:rFonts w:ascii="Times New Roman" w:hAnsi="Times New Roman" w:cs="Times New Roman"/>
                <w:b/>
                <w:bCs/>
                <w:sz w:val="18"/>
                <w:szCs w:val="18"/>
              </w:rPr>
              <w:t>izmaiņas (+, -)</w:t>
            </w:r>
          </w:p>
        </w:tc>
        <w:tc>
          <w:tcPr>
            <w:tcW w:w="851" w:type="dxa"/>
            <w:vMerge w:val="restart"/>
            <w:shd w:val="clear" w:color="auto" w:fill="D9D9D9" w:themeFill="background1" w:themeFillShade="D9"/>
            <w:textDirection w:val="btLr"/>
            <w:vAlign w:val="center"/>
            <w:hideMark/>
          </w:tcPr>
          <w:p w14:paraId="3683E3EC" w14:textId="77777777" w:rsidR="00583763" w:rsidRPr="0075382D" w:rsidRDefault="00583763" w:rsidP="00707310">
            <w:pPr>
              <w:spacing w:after="0" w:line="240" w:lineRule="auto"/>
              <w:ind w:left="113" w:right="113"/>
              <w:jc w:val="center"/>
              <w:rPr>
                <w:rFonts w:ascii="Times New Roman" w:hAnsi="Times New Roman" w:cs="Times New Roman"/>
                <w:b/>
                <w:bCs/>
                <w:sz w:val="20"/>
                <w:szCs w:val="20"/>
              </w:rPr>
            </w:pPr>
            <w:r w:rsidRPr="0075382D">
              <w:rPr>
                <w:rFonts w:ascii="Times New Roman" w:hAnsi="Times New Roman" w:cs="Times New Roman"/>
                <w:b/>
                <w:bCs/>
                <w:sz w:val="20"/>
                <w:szCs w:val="20"/>
              </w:rPr>
              <w:t>Precizētais 2024. gada plāns</w:t>
            </w:r>
          </w:p>
        </w:tc>
      </w:tr>
      <w:tr w:rsidR="00501D78" w:rsidRPr="0075382D" w14:paraId="4E1DBD1F" w14:textId="77777777" w:rsidTr="001E22BD">
        <w:trPr>
          <w:trHeight w:val="517"/>
          <w:jc w:val="center"/>
        </w:trPr>
        <w:tc>
          <w:tcPr>
            <w:tcW w:w="1706" w:type="dxa"/>
            <w:vMerge/>
            <w:vAlign w:val="center"/>
            <w:hideMark/>
          </w:tcPr>
          <w:p w14:paraId="2AF56619" w14:textId="77777777" w:rsidR="00583763" w:rsidRPr="0075382D" w:rsidRDefault="00583763" w:rsidP="00707310">
            <w:pPr>
              <w:spacing w:after="0" w:line="240" w:lineRule="auto"/>
              <w:rPr>
                <w:rFonts w:ascii="Times New Roman" w:hAnsi="Times New Roman" w:cs="Times New Roman"/>
                <w:sz w:val="18"/>
                <w:szCs w:val="18"/>
              </w:rPr>
            </w:pPr>
          </w:p>
        </w:tc>
        <w:tc>
          <w:tcPr>
            <w:tcW w:w="704" w:type="dxa"/>
            <w:vMerge/>
            <w:vAlign w:val="center"/>
            <w:hideMark/>
          </w:tcPr>
          <w:p w14:paraId="235A84C1" w14:textId="77777777" w:rsidR="00583763" w:rsidRPr="0075382D" w:rsidRDefault="00583763" w:rsidP="00707310">
            <w:pPr>
              <w:spacing w:after="0" w:line="240" w:lineRule="auto"/>
              <w:rPr>
                <w:rFonts w:ascii="Times New Roman" w:hAnsi="Times New Roman" w:cs="Times New Roman"/>
                <w:sz w:val="18"/>
                <w:szCs w:val="18"/>
              </w:rPr>
            </w:pPr>
          </w:p>
        </w:tc>
        <w:tc>
          <w:tcPr>
            <w:tcW w:w="997" w:type="dxa"/>
            <w:vMerge/>
            <w:vAlign w:val="center"/>
            <w:hideMark/>
          </w:tcPr>
          <w:p w14:paraId="62A3B861" w14:textId="77777777" w:rsidR="00583763" w:rsidRPr="0075382D" w:rsidRDefault="00583763" w:rsidP="00707310">
            <w:pPr>
              <w:spacing w:after="0" w:line="240" w:lineRule="auto"/>
              <w:rPr>
                <w:rFonts w:ascii="Times New Roman" w:hAnsi="Times New Roman" w:cs="Times New Roman"/>
                <w:sz w:val="18"/>
                <w:szCs w:val="18"/>
              </w:rPr>
            </w:pPr>
          </w:p>
        </w:tc>
        <w:tc>
          <w:tcPr>
            <w:tcW w:w="851" w:type="dxa"/>
            <w:vMerge/>
            <w:vAlign w:val="center"/>
            <w:hideMark/>
          </w:tcPr>
          <w:p w14:paraId="3DE53A07" w14:textId="77777777" w:rsidR="00583763" w:rsidRPr="0075382D" w:rsidRDefault="00583763" w:rsidP="00707310">
            <w:pPr>
              <w:spacing w:after="0" w:line="240" w:lineRule="auto"/>
              <w:rPr>
                <w:rFonts w:ascii="Times New Roman" w:hAnsi="Times New Roman" w:cs="Times New Roman"/>
                <w:sz w:val="18"/>
                <w:szCs w:val="18"/>
              </w:rPr>
            </w:pPr>
          </w:p>
        </w:tc>
        <w:tc>
          <w:tcPr>
            <w:tcW w:w="708" w:type="dxa"/>
            <w:vMerge/>
            <w:vAlign w:val="center"/>
            <w:hideMark/>
          </w:tcPr>
          <w:p w14:paraId="1DF001C0" w14:textId="77777777" w:rsidR="00583763" w:rsidRPr="0075382D" w:rsidRDefault="00583763" w:rsidP="00707310">
            <w:pPr>
              <w:spacing w:after="0" w:line="240" w:lineRule="auto"/>
              <w:rPr>
                <w:rFonts w:ascii="Times New Roman" w:hAnsi="Times New Roman" w:cs="Times New Roman"/>
                <w:sz w:val="18"/>
                <w:szCs w:val="18"/>
              </w:rPr>
            </w:pPr>
          </w:p>
        </w:tc>
        <w:tc>
          <w:tcPr>
            <w:tcW w:w="850" w:type="dxa"/>
            <w:vMerge/>
            <w:vAlign w:val="center"/>
            <w:hideMark/>
          </w:tcPr>
          <w:p w14:paraId="1B7FE91C" w14:textId="77777777" w:rsidR="00583763" w:rsidRPr="0075382D" w:rsidRDefault="00583763" w:rsidP="00707310">
            <w:pPr>
              <w:spacing w:after="0" w:line="240" w:lineRule="auto"/>
              <w:rPr>
                <w:rFonts w:ascii="Times New Roman" w:hAnsi="Times New Roman" w:cs="Times New Roman"/>
                <w:sz w:val="18"/>
                <w:szCs w:val="18"/>
              </w:rPr>
            </w:pPr>
          </w:p>
        </w:tc>
        <w:tc>
          <w:tcPr>
            <w:tcW w:w="921" w:type="dxa"/>
            <w:vMerge/>
            <w:vAlign w:val="center"/>
            <w:hideMark/>
          </w:tcPr>
          <w:p w14:paraId="151EA028" w14:textId="77777777" w:rsidR="00583763" w:rsidRPr="0075382D" w:rsidRDefault="00583763" w:rsidP="00707310">
            <w:pPr>
              <w:spacing w:after="0" w:line="240" w:lineRule="auto"/>
              <w:rPr>
                <w:rFonts w:ascii="Times New Roman" w:hAnsi="Times New Roman" w:cs="Times New Roman"/>
                <w:sz w:val="18"/>
                <w:szCs w:val="18"/>
              </w:rPr>
            </w:pPr>
          </w:p>
        </w:tc>
        <w:tc>
          <w:tcPr>
            <w:tcW w:w="776" w:type="dxa"/>
            <w:vMerge/>
            <w:vAlign w:val="center"/>
            <w:hideMark/>
          </w:tcPr>
          <w:p w14:paraId="52F2CEDC" w14:textId="77777777" w:rsidR="00583763" w:rsidRPr="0075382D" w:rsidRDefault="00583763" w:rsidP="00707310">
            <w:pPr>
              <w:spacing w:after="0" w:line="240" w:lineRule="auto"/>
              <w:rPr>
                <w:rFonts w:ascii="Times New Roman" w:hAnsi="Times New Roman" w:cs="Times New Roman"/>
                <w:sz w:val="18"/>
                <w:szCs w:val="18"/>
              </w:rPr>
            </w:pPr>
          </w:p>
        </w:tc>
        <w:tc>
          <w:tcPr>
            <w:tcW w:w="850" w:type="dxa"/>
            <w:vMerge/>
            <w:vAlign w:val="center"/>
            <w:hideMark/>
          </w:tcPr>
          <w:p w14:paraId="47F6ADD4" w14:textId="77777777" w:rsidR="00583763" w:rsidRPr="0075382D" w:rsidRDefault="00583763" w:rsidP="00707310">
            <w:pPr>
              <w:spacing w:after="0" w:line="240" w:lineRule="auto"/>
              <w:rPr>
                <w:rFonts w:ascii="Times New Roman" w:hAnsi="Times New Roman" w:cs="Times New Roman"/>
                <w:sz w:val="18"/>
                <w:szCs w:val="18"/>
              </w:rPr>
            </w:pPr>
          </w:p>
        </w:tc>
        <w:tc>
          <w:tcPr>
            <w:tcW w:w="851" w:type="dxa"/>
            <w:vMerge/>
            <w:vAlign w:val="center"/>
            <w:hideMark/>
          </w:tcPr>
          <w:p w14:paraId="5D778B09" w14:textId="77777777" w:rsidR="00583763" w:rsidRPr="0075382D" w:rsidRDefault="00583763" w:rsidP="00707310">
            <w:pPr>
              <w:spacing w:after="0" w:line="240" w:lineRule="auto"/>
              <w:rPr>
                <w:rFonts w:ascii="Times New Roman" w:hAnsi="Times New Roman" w:cs="Times New Roman"/>
                <w:sz w:val="20"/>
                <w:szCs w:val="20"/>
              </w:rPr>
            </w:pPr>
          </w:p>
        </w:tc>
      </w:tr>
      <w:tr w:rsidR="00501D78" w:rsidRPr="0075382D" w14:paraId="78DAA73C" w14:textId="77777777" w:rsidTr="001E22BD">
        <w:trPr>
          <w:trHeight w:val="610"/>
          <w:jc w:val="center"/>
        </w:trPr>
        <w:tc>
          <w:tcPr>
            <w:tcW w:w="1706" w:type="dxa"/>
            <w:vMerge/>
            <w:vAlign w:val="center"/>
            <w:hideMark/>
          </w:tcPr>
          <w:p w14:paraId="65ED3AD5" w14:textId="77777777" w:rsidR="00583763" w:rsidRPr="0075382D" w:rsidRDefault="00583763" w:rsidP="00707310">
            <w:pPr>
              <w:spacing w:after="0" w:line="240" w:lineRule="auto"/>
              <w:rPr>
                <w:rFonts w:ascii="Times New Roman" w:hAnsi="Times New Roman" w:cs="Times New Roman"/>
                <w:sz w:val="18"/>
                <w:szCs w:val="18"/>
              </w:rPr>
            </w:pPr>
          </w:p>
        </w:tc>
        <w:tc>
          <w:tcPr>
            <w:tcW w:w="704" w:type="dxa"/>
            <w:vMerge/>
            <w:vAlign w:val="center"/>
            <w:hideMark/>
          </w:tcPr>
          <w:p w14:paraId="58F6DEC9" w14:textId="77777777" w:rsidR="00583763" w:rsidRPr="0075382D" w:rsidRDefault="00583763" w:rsidP="00707310">
            <w:pPr>
              <w:spacing w:after="0" w:line="240" w:lineRule="auto"/>
              <w:rPr>
                <w:rFonts w:ascii="Times New Roman" w:hAnsi="Times New Roman" w:cs="Times New Roman"/>
                <w:sz w:val="18"/>
                <w:szCs w:val="18"/>
              </w:rPr>
            </w:pPr>
          </w:p>
        </w:tc>
        <w:tc>
          <w:tcPr>
            <w:tcW w:w="997" w:type="dxa"/>
            <w:vMerge/>
            <w:vAlign w:val="center"/>
            <w:hideMark/>
          </w:tcPr>
          <w:p w14:paraId="11CDA3F5" w14:textId="77777777" w:rsidR="00583763" w:rsidRPr="0075382D" w:rsidRDefault="00583763" w:rsidP="00707310">
            <w:pPr>
              <w:spacing w:after="0" w:line="240" w:lineRule="auto"/>
              <w:rPr>
                <w:rFonts w:ascii="Times New Roman" w:hAnsi="Times New Roman" w:cs="Times New Roman"/>
                <w:sz w:val="18"/>
                <w:szCs w:val="18"/>
              </w:rPr>
            </w:pPr>
          </w:p>
        </w:tc>
        <w:tc>
          <w:tcPr>
            <w:tcW w:w="851" w:type="dxa"/>
            <w:vMerge/>
            <w:vAlign w:val="center"/>
            <w:hideMark/>
          </w:tcPr>
          <w:p w14:paraId="1917A6CD" w14:textId="77777777" w:rsidR="00583763" w:rsidRPr="0075382D" w:rsidRDefault="00583763" w:rsidP="00707310">
            <w:pPr>
              <w:spacing w:after="0" w:line="240" w:lineRule="auto"/>
              <w:rPr>
                <w:rFonts w:ascii="Times New Roman" w:hAnsi="Times New Roman" w:cs="Times New Roman"/>
                <w:sz w:val="18"/>
                <w:szCs w:val="18"/>
              </w:rPr>
            </w:pPr>
          </w:p>
        </w:tc>
        <w:tc>
          <w:tcPr>
            <w:tcW w:w="708" w:type="dxa"/>
            <w:vMerge/>
            <w:vAlign w:val="center"/>
            <w:hideMark/>
          </w:tcPr>
          <w:p w14:paraId="3B66D42D" w14:textId="77777777" w:rsidR="00583763" w:rsidRPr="0075382D" w:rsidRDefault="00583763" w:rsidP="00707310">
            <w:pPr>
              <w:spacing w:after="0" w:line="240" w:lineRule="auto"/>
              <w:rPr>
                <w:rFonts w:ascii="Times New Roman" w:hAnsi="Times New Roman" w:cs="Times New Roman"/>
                <w:sz w:val="18"/>
                <w:szCs w:val="18"/>
              </w:rPr>
            </w:pPr>
          </w:p>
        </w:tc>
        <w:tc>
          <w:tcPr>
            <w:tcW w:w="850" w:type="dxa"/>
            <w:vMerge/>
            <w:vAlign w:val="center"/>
            <w:hideMark/>
          </w:tcPr>
          <w:p w14:paraId="72E683AF" w14:textId="77777777" w:rsidR="00583763" w:rsidRPr="0075382D" w:rsidRDefault="00583763" w:rsidP="00707310">
            <w:pPr>
              <w:spacing w:after="0" w:line="240" w:lineRule="auto"/>
              <w:rPr>
                <w:rFonts w:ascii="Times New Roman" w:hAnsi="Times New Roman" w:cs="Times New Roman"/>
                <w:sz w:val="18"/>
                <w:szCs w:val="18"/>
              </w:rPr>
            </w:pPr>
          </w:p>
        </w:tc>
        <w:tc>
          <w:tcPr>
            <w:tcW w:w="921" w:type="dxa"/>
            <w:vMerge/>
            <w:vAlign w:val="center"/>
            <w:hideMark/>
          </w:tcPr>
          <w:p w14:paraId="1056B967" w14:textId="77777777" w:rsidR="00583763" w:rsidRPr="0075382D" w:rsidRDefault="00583763" w:rsidP="00707310">
            <w:pPr>
              <w:spacing w:after="0" w:line="240" w:lineRule="auto"/>
              <w:rPr>
                <w:rFonts w:ascii="Times New Roman" w:hAnsi="Times New Roman" w:cs="Times New Roman"/>
                <w:sz w:val="18"/>
                <w:szCs w:val="18"/>
              </w:rPr>
            </w:pPr>
          </w:p>
        </w:tc>
        <w:tc>
          <w:tcPr>
            <w:tcW w:w="776" w:type="dxa"/>
            <w:vMerge/>
            <w:vAlign w:val="center"/>
            <w:hideMark/>
          </w:tcPr>
          <w:p w14:paraId="6A135C63" w14:textId="77777777" w:rsidR="00583763" w:rsidRPr="0075382D" w:rsidRDefault="00583763" w:rsidP="00707310">
            <w:pPr>
              <w:spacing w:after="0" w:line="240" w:lineRule="auto"/>
              <w:rPr>
                <w:rFonts w:ascii="Times New Roman" w:hAnsi="Times New Roman" w:cs="Times New Roman"/>
                <w:sz w:val="18"/>
                <w:szCs w:val="18"/>
              </w:rPr>
            </w:pPr>
          </w:p>
        </w:tc>
        <w:tc>
          <w:tcPr>
            <w:tcW w:w="850" w:type="dxa"/>
            <w:vMerge/>
            <w:vAlign w:val="center"/>
            <w:hideMark/>
          </w:tcPr>
          <w:p w14:paraId="03CC361C" w14:textId="77777777" w:rsidR="00583763" w:rsidRPr="0075382D" w:rsidRDefault="00583763" w:rsidP="00707310">
            <w:pPr>
              <w:spacing w:after="0" w:line="240" w:lineRule="auto"/>
              <w:rPr>
                <w:rFonts w:ascii="Times New Roman" w:hAnsi="Times New Roman" w:cs="Times New Roman"/>
                <w:sz w:val="18"/>
                <w:szCs w:val="18"/>
              </w:rPr>
            </w:pPr>
          </w:p>
        </w:tc>
        <w:tc>
          <w:tcPr>
            <w:tcW w:w="851" w:type="dxa"/>
            <w:vMerge/>
            <w:vAlign w:val="center"/>
            <w:hideMark/>
          </w:tcPr>
          <w:p w14:paraId="4C44721D" w14:textId="77777777" w:rsidR="00583763" w:rsidRPr="0075382D" w:rsidRDefault="00583763" w:rsidP="00707310">
            <w:pPr>
              <w:spacing w:after="0" w:line="240" w:lineRule="auto"/>
              <w:rPr>
                <w:rFonts w:ascii="Times New Roman" w:hAnsi="Times New Roman" w:cs="Times New Roman"/>
                <w:sz w:val="20"/>
                <w:szCs w:val="20"/>
              </w:rPr>
            </w:pPr>
          </w:p>
        </w:tc>
      </w:tr>
      <w:tr w:rsidR="00501D78" w:rsidRPr="0075382D" w14:paraId="57636E73" w14:textId="77777777" w:rsidTr="001E22BD">
        <w:trPr>
          <w:trHeight w:val="300"/>
          <w:jc w:val="center"/>
        </w:trPr>
        <w:tc>
          <w:tcPr>
            <w:tcW w:w="1706" w:type="dxa"/>
            <w:tcBorders>
              <w:bottom w:val="single" w:sz="4" w:space="0" w:color="auto"/>
            </w:tcBorders>
            <w:shd w:val="clear" w:color="auto" w:fill="auto"/>
            <w:vAlign w:val="center"/>
            <w:hideMark/>
          </w:tcPr>
          <w:p w14:paraId="774EADCB"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1</w:t>
            </w:r>
          </w:p>
        </w:tc>
        <w:tc>
          <w:tcPr>
            <w:tcW w:w="704" w:type="dxa"/>
            <w:tcBorders>
              <w:bottom w:val="single" w:sz="4" w:space="0" w:color="auto"/>
            </w:tcBorders>
            <w:shd w:val="clear" w:color="auto" w:fill="auto"/>
            <w:vAlign w:val="center"/>
            <w:hideMark/>
          </w:tcPr>
          <w:p w14:paraId="206E2E79"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2</w:t>
            </w:r>
          </w:p>
        </w:tc>
        <w:tc>
          <w:tcPr>
            <w:tcW w:w="997" w:type="dxa"/>
            <w:tcBorders>
              <w:bottom w:val="single" w:sz="4" w:space="0" w:color="auto"/>
            </w:tcBorders>
            <w:shd w:val="clear" w:color="auto" w:fill="auto"/>
            <w:vAlign w:val="center"/>
            <w:hideMark/>
          </w:tcPr>
          <w:p w14:paraId="3DF996D3"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3</w:t>
            </w:r>
          </w:p>
        </w:tc>
        <w:tc>
          <w:tcPr>
            <w:tcW w:w="851" w:type="dxa"/>
            <w:tcBorders>
              <w:bottom w:val="single" w:sz="4" w:space="0" w:color="auto"/>
            </w:tcBorders>
            <w:shd w:val="clear" w:color="auto" w:fill="auto"/>
            <w:vAlign w:val="center"/>
            <w:hideMark/>
          </w:tcPr>
          <w:p w14:paraId="2B1BDF57"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4</w:t>
            </w:r>
          </w:p>
        </w:tc>
        <w:tc>
          <w:tcPr>
            <w:tcW w:w="708" w:type="dxa"/>
            <w:tcBorders>
              <w:bottom w:val="single" w:sz="4" w:space="0" w:color="auto"/>
            </w:tcBorders>
            <w:shd w:val="clear" w:color="auto" w:fill="auto"/>
            <w:vAlign w:val="center"/>
            <w:hideMark/>
          </w:tcPr>
          <w:p w14:paraId="6753D968"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5</w:t>
            </w:r>
          </w:p>
        </w:tc>
        <w:tc>
          <w:tcPr>
            <w:tcW w:w="850" w:type="dxa"/>
            <w:tcBorders>
              <w:bottom w:val="single" w:sz="4" w:space="0" w:color="auto"/>
            </w:tcBorders>
            <w:shd w:val="clear" w:color="auto" w:fill="auto"/>
            <w:vAlign w:val="center"/>
            <w:hideMark/>
          </w:tcPr>
          <w:p w14:paraId="16C84B97"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6</w:t>
            </w:r>
          </w:p>
        </w:tc>
        <w:tc>
          <w:tcPr>
            <w:tcW w:w="921" w:type="dxa"/>
            <w:tcBorders>
              <w:bottom w:val="single" w:sz="4" w:space="0" w:color="auto"/>
            </w:tcBorders>
            <w:shd w:val="clear" w:color="auto" w:fill="auto"/>
            <w:vAlign w:val="center"/>
            <w:hideMark/>
          </w:tcPr>
          <w:p w14:paraId="1D08AD69"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7</w:t>
            </w:r>
          </w:p>
        </w:tc>
        <w:tc>
          <w:tcPr>
            <w:tcW w:w="776" w:type="dxa"/>
            <w:tcBorders>
              <w:bottom w:val="single" w:sz="4" w:space="0" w:color="auto"/>
            </w:tcBorders>
            <w:shd w:val="clear" w:color="auto" w:fill="auto"/>
            <w:vAlign w:val="center"/>
            <w:hideMark/>
          </w:tcPr>
          <w:p w14:paraId="70F1488B"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8</w:t>
            </w:r>
          </w:p>
        </w:tc>
        <w:tc>
          <w:tcPr>
            <w:tcW w:w="850" w:type="dxa"/>
            <w:tcBorders>
              <w:bottom w:val="single" w:sz="4" w:space="0" w:color="auto"/>
            </w:tcBorders>
            <w:shd w:val="clear" w:color="auto" w:fill="auto"/>
            <w:vAlign w:val="center"/>
            <w:hideMark/>
          </w:tcPr>
          <w:p w14:paraId="7378ED8F" w14:textId="77777777" w:rsidR="00583763" w:rsidRPr="001E22BD" w:rsidRDefault="00583763" w:rsidP="00707310">
            <w:pPr>
              <w:spacing w:after="0" w:line="240" w:lineRule="auto"/>
              <w:jc w:val="center"/>
              <w:rPr>
                <w:rFonts w:ascii="Times New Roman" w:hAnsi="Times New Roman" w:cs="Times New Roman"/>
                <w:sz w:val="20"/>
                <w:szCs w:val="20"/>
              </w:rPr>
            </w:pPr>
            <w:r w:rsidRPr="001E22BD">
              <w:rPr>
                <w:rFonts w:ascii="Times New Roman" w:hAnsi="Times New Roman" w:cs="Times New Roman"/>
                <w:sz w:val="20"/>
                <w:szCs w:val="20"/>
              </w:rPr>
              <w:t>9</w:t>
            </w:r>
          </w:p>
        </w:tc>
        <w:tc>
          <w:tcPr>
            <w:tcW w:w="851" w:type="dxa"/>
            <w:tcBorders>
              <w:bottom w:val="single" w:sz="4" w:space="0" w:color="auto"/>
            </w:tcBorders>
            <w:shd w:val="clear" w:color="auto" w:fill="auto"/>
            <w:vAlign w:val="center"/>
            <w:hideMark/>
          </w:tcPr>
          <w:p w14:paraId="013E8AE7" w14:textId="77777777" w:rsidR="00583763" w:rsidRPr="00FC5F04" w:rsidRDefault="00583763" w:rsidP="00707310">
            <w:pPr>
              <w:spacing w:after="0" w:line="240" w:lineRule="auto"/>
              <w:jc w:val="center"/>
              <w:rPr>
                <w:rFonts w:ascii="Times New Roman" w:hAnsi="Times New Roman" w:cs="Times New Roman"/>
                <w:sz w:val="20"/>
                <w:szCs w:val="20"/>
              </w:rPr>
            </w:pPr>
            <w:r w:rsidRPr="00FC5F04">
              <w:rPr>
                <w:rFonts w:ascii="Times New Roman" w:hAnsi="Times New Roman" w:cs="Times New Roman"/>
                <w:sz w:val="20"/>
                <w:szCs w:val="20"/>
              </w:rPr>
              <w:t>10</w:t>
            </w:r>
          </w:p>
        </w:tc>
      </w:tr>
      <w:tr w:rsidR="00501D78" w:rsidRPr="0075382D" w14:paraId="024F76DC" w14:textId="77777777" w:rsidTr="001E22BD">
        <w:trPr>
          <w:trHeight w:val="270"/>
          <w:jc w:val="center"/>
        </w:trPr>
        <w:tc>
          <w:tcPr>
            <w:tcW w:w="9214" w:type="dxa"/>
            <w:gridSpan w:val="10"/>
            <w:shd w:val="clear" w:color="auto" w:fill="F2F2F2" w:themeFill="background1" w:themeFillShade="F2"/>
            <w:vAlign w:val="bottom"/>
            <w:hideMark/>
          </w:tcPr>
          <w:p w14:paraId="1C9103E7" w14:textId="533390A6" w:rsidR="00583763" w:rsidRPr="0075382D" w:rsidRDefault="00583763" w:rsidP="00707310">
            <w:pPr>
              <w:spacing w:after="0" w:line="240" w:lineRule="auto"/>
              <w:jc w:val="center"/>
              <w:rPr>
                <w:rFonts w:ascii="Times New Roman" w:hAnsi="Times New Roman" w:cs="Times New Roman"/>
                <w:b/>
                <w:bCs/>
                <w:sz w:val="18"/>
                <w:szCs w:val="18"/>
              </w:rPr>
            </w:pPr>
            <w:r w:rsidRPr="00FC5F04">
              <w:rPr>
                <w:rFonts w:ascii="Times New Roman" w:hAnsi="Times New Roman" w:cs="Times New Roman"/>
                <w:b/>
                <w:bCs/>
                <w:sz w:val="18"/>
                <w:szCs w:val="18"/>
              </w:rPr>
              <w:t>06.0</w:t>
            </w:r>
            <w:r w:rsidR="00567BF1" w:rsidRPr="00FC5F04">
              <w:rPr>
                <w:rFonts w:ascii="Times New Roman" w:hAnsi="Times New Roman" w:cs="Times New Roman"/>
                <w:b/>
                <w:bCs/>
                <w:sz w:val="18"/>
                <w:szCs w:val="18"/>
              </w:rPr>
              <w:t>5</w:t>
            </w:r>
            <w:r w:rsidRPr="0075382D">
              <w:rPr>
                <w:rFonts w:ascii="Times New Roman" w:hAnsi="Times New Roman" w:cs="Times New Roman"/>
                <w:b/>
                <w:bCs/>
                <w:sz w:val="18"/>
                <w:szCs w:val="18"/>
              </w:rPr>
              <w:t xml:space="preserve">.00 "Maksātnespējas procesa </w:t>
            </w:r>
            <w:r w:rsidR="00567BF1" w:rsidRPr="0075382D">
              <w:rPr>
                <w:rFonts w:ascii="Times New Roman" w:hAnsi="Times New Roman" w:cs="Times New Roman"/>
                <w:b/>
                <w:bCs/>
                <w:sz w:val="18"/>
                <w:szCs w:val="18"/>
              </w:rPr>
              <w:t>izmaksas</w:t>
            </w:r>
            <w:r w:rsidRPr="0075382D">
              <w:rPr>
                <w:rFonts w:ascii="Times New Roman" w:hAnsi="Times New Roman" w:cs="Times New Roman"/>
                <w:b/>
                <w:bCs/>
                <w:sz w:val="18"/>
                <w:szCs w:val="18"/>
              </w:rPr>
              <w:t>"</w:t>
            </w:r>
          </w:p>
        </w:tc>
      </w:tr>
      <w:tr w:rsidR="00DE44E0" w:rsidRPr="0075382D" w14:paraId="4020A501" w14:textId="77777777" w:rsidTr="001E22BD">
        <w:trPr>
          <w:trHeight w:val="302"/>
          <w:jc w:val="center"/>
        </w:trPr>
        <w:tc>
          <w:tcPr>
            <w:tcW w:w="1706" w:type="dxa"/>
            <w:shd w:val="clear" w:color="auto" w:fill="auto"/>
            <w:vAlign w:val="center"/>
            <w:hideMark/>
          </w:tcPr>
          <w:p w14:paraId="3D8F8367" w14:textId="60C72AD1" w:rsidR="00DE44E0" w:rsidRPr="0075382D" w:rsidRDefault="00DE44E0" w:rsidP="00DE44E0">
            <w:pPr>
              <w:spacing w:after="0" w:line="240" w:lineRule="auto"/>
              <w:rPr>
                <w:rFonts w:ascii="Times New Roman" w:hAnsi="Times New Roman" w:cs="Times New Roman"/>
                <w:b/>
                <w:bCs/>
                <w:sz w:val="18"/>
                <w:szCs w:val="18"/>
              </w:rPr>
            </w:pPr>
            <w:r w:rsidRPr="0075382D">
              <w:rPr>
                <w:rFonts w:ascii="Times New Roman" w:hAnsi="Times New Roman" w:cs="Times New Roman"/>
                <w:b/>
                <w:bCs/>
                <w:sz w:val="20"/>
                <w:szCs w:val="20"/>
              </w:rPr>
              <w:t>Resursi izdevumu segšanai</w:t>
            </w:r>
          </w:p>
        </w:tc>
        <w:tc>
          <w:tcPr>
            <w:tcW w:w="704" w:type="dxa"/>
            <w:shd w:val="clear" w:color="auto" w:fill="auto"/>
            <w:vAlign w:val="center"/>
          </w:tcPr>
          <w:p w14:paraId="45B0EA13" w14:textId="5A9259D8" w:rsidR="00DE44E0" w:rsidRPr="001E22BD" w:rsidRDefault="00DE44E0" w:rsidP="00FC5F04">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50</w:t>
            </w:r>
          </w:p>
        </w:tc>
        <w:tc>
          <w:tcPr>
            <w:tcW w:w="997" w:type="dxa"/>
            <w:shd w:val="clear" w:color="auto" w:fill="auto"/>
            <w:vAlign w:val="center"/>
          </w:tcPr>
          <w:p w14:paraId="2F10BBB6" w14:textId="1C9810D7" w:rsidR="00DE44E0" w:rsidRPr="001E22BD" w:rsidRDefault="00DE44E0">
            <w:pPr>
              <w:spacing w:after="0" w:line="240" w:lineRule="auto"/>
              <w:jc w:val="center"/>
              <w:rPr>
                <w:rFonts w:ascii="Times New Roman" w:hAnsi="Times New Roman" w:cs="Times New Roman"/>
                <w:b/>
                <w:bCs/>
                <w:sz w:val="16"/>
                <w:szCs w:val="16"/>
              </w:rPr>
            </w:pPr>
          </w:p>
        </w:tc>
        <w:tc>
          <w:tcPr>
            <w:tcW w:w="851" w:type="dxa"/>
            <w:shd w:val="clear" w:color="auto" w:fill="auto"/>
            <w:vAlign w:val="center"/>
          </w:tcPr>
          <w:p w14:paraId="2FFE02AB" w14:textId="1FA570FB" w:rsidR="00DE44E0" w:rsidRPr="001E22BD" w:rsidRDefault="00DE44E0">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50</w:t>
            </w:r>
          </w:p>
        </w:tc>
        <w:tc>
          <w:tcPr>
            <w:tcW w:w="708" w:type="dxa"/>
            <w:shd w:val="clear" w:color="auto" w:fill="auto"/>
            <w:vAlign w:val="center"/>
          </w:tcPr>
          <w:p w14:paraId="3EB933E3" w14:textId="67914DEB" w:rsidR="00DE44E0" w:rsidRPr="001E22BD" w:rsidRDefault="00DE44E0">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50</w:t>
            </w:r>
          </w:p>
        </w:tc>
        <w:tc>
          <w:tcPr>
            <w:tcW w:w="850" w:type="dxa"/>
            <w:shd w:val="clear" w:color="auto" w:fill="auto"/>
            <w:vAlign w:val="center"/>
          </w:tcPr>
          <w:p w14:paraId="6208562B" w14:textId="2089E381" w:rsidR="00DE44E0" w:rsidRPr="001E22BD" w:rsidRDefault="00DE44E0">
            <w:pPr>
              <w:spacing w:after="0" w:line="240" w:lineRule="auto"/>
              <w:jc w:val="center"/>
              <w:rPr>
                <w:rFonts w:ascii="Times New Roman" w:hAnsi="Times New Roman" w:cs="Times New Roman"/>
                <w:b/>
                <w:bCs/>
                <w:sz w:val="16"/>
                <w:szCs w:val="16"/>
              </w:rPr>
            </w:pPr>
          </w:p>
        </w:tc>
        <w:tc>
          <w:tcPr>
            <w:tcW w:w="921" w:type="dxa"/>
            <w:shd w:val="clear" w:color="auto" w:fill="auto"/>
            <w:vAlign w:val="center"/>
          </w:tcPr>
          <w:p w14:paraId="74DE8D21" w14:textId="4C6713F3" w:rsidR="00DE44E0" w:rsidRPr="001E22BD" w:rsidRDefault="00DE44E0">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50</w:t>
            </w:r>
          </w:p>
        </w:tc>
        <w:tc>
          <w:tcPr>
            <w:tcW w:w="776" w:type="dxa"/>
            <w:shd w:val="clear" w:color="auto" w:fill="auto"/>
            <w:vAlign w:val="center"/>
          </w:tcPr>
          <w:p w14:paraId="18D91F34" w14:textId="29753A7A" w:rsidR="00DE44E0" w:rsidRPr="001E22BD" w:rsidRDefault="00DE44E0">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50</w:t>
            </w:r>
          </w:p>
        </w:tc>
        <w:tc>
          <w:tcPr>
            <w:tcW w:w="850" w:type="dxa"/>
            <w:shd w:val="clear" w:color="auto" w:fill="auto"/>
            <w:vAlign w:val="center"/>
          </w:tcPr>
          <w:p w14:paraId="5C8EDD3D" w14:textId="521F9787" w:rsidR="00DE44E0" w:rsidRPr="001E22BD" w:rsidRDefault="00DE44E0">
            <w:pPr>
              <w:spacing w:after="0" w:line="240" w:lineRule="auto"/>
              <w:jc w:val="center"/>
              <w:rPr>
                <w:rFonts w:ascii="Times New Roman" w:hAnsi="Times New Roman" w:cs="Times New Roman"/>
                <w:b/>
                <w:bCs/>
                <w:sz w:val="16"/>
                <w:szCs w:val="16"/>
              </w:rPr>
            </w:pPr>
          </w:p>
        </w:tc>
        <w:tc>
          <w:tcPr>
            <w:tcW w:w="851" w:type="dxa"/>
            <w:shd w:val="clear" w:color="auto" w:fill="auto"/>
            <w:vAlign w:val="center"/>
          </w:tcPr>
          <w:p w14:paraId="6FCA54B5" w14:textId="11513510" w:rsidR="00DE44E0" w:rsidRPr="001E22BD" w:rsidRDefault="00DE44E0">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50</w:t>
            </w:r>
          </w:p>
        </w:tc>
      </w:tr>
      <w:tr w:rsidR="00DE44E0" w:rsidRPr="0075382D" w14:paraId="49EF2CB5" w14:textId="77777777" w:rsidTr="001E22BD">
        <w:trPr>
          <w:trHeight w:val="525"/>
          <w:jc w:val="center"/>
        </w:trPr>
        <w:tc>
          <w:tcPr>
            <w:tcW w:w="1706" w:type="dxa"/>
            <w:shd w:val="clear" w:color="auto" w:fill="auto"/>
            <w:vAlign w:val="center"/>
            <w:hideMark/>
          </w:tcPr>
          <w:p w14:paraId="3F66FDF1" w14:textId="68B9DEAE" w:rsidR="00DE44E0" w:rsidRPr="0075382D" w:rsidRDefault="00DE44E0" w:rsidP="00DE44E0">
            <w:pPr>
              <w:spacing w:after="0" w:line="240" w:lineRule="auto"/>
              <w:rPr>
                <w:rFonts w:ascii="Times New Roman" w:hAnsi="Times New Roman" w:cs="Times New Roman"/>
                <w:sz w:val="18"/>
                <w:szCs w:val="18"/>
              </w:rPr>
            </w:pPr>
            <w:r w:rsidRPr="0075382D">
              <w:rPr>
                <w:rFonts w:ascii="Times New Roman" w:hAnsi="Times New Roman" w:cs="Times New Roman"/>
                <w:sz w:val="20"/>
                <w:szCs w:val="20"/>
              </w:rPr>
              <w:t>Ieņēmumi no maksas pakalpojumiem un citi pašu ieņēmumi – kopā, t.sk.</w:t>
            </w:r>
          </w:p>
        </w:tc>
        <w:tc>
          <w:tcPr>
            <w:tcW w:w="704" w:type="dxa"/>
            <w:shd w:val="clear" w:color="auto" w:fill="auto"/>
            <w:vAlign w:val="center"/>
          </w:tcPr>
          <w:p w14:paraId="6D28D393" w14:textId="3B8D963A" w:rsidR="00DE44E0" w:rsidRPr="001E22BD" w:rsidRDefault="00DE44E0"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997" w:type="dxa"/>
            <w:shd w:val="clear" w:color="auto" w:fill="auto"/>
            <w:vAlign w:val="center"/>
          </w:tcPr>
          <w:p w14:paraId="5249A41D" w14:textId="77777777" w:rsidR="00DE44E0" w:rsidRPr="001E22BD" w:rsidRDefault="00DE44E0">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6E29D429" w14:textId="28EC21A1"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708" w:type="dxa"/>
            <w:shd w:val="clear" w:color="auto" w:fill="auto"/>
            <w:vAlign w:val="center"/>
          </w:tcPr>
          <w:p w14:paraId="55BD0AC0" w14:textId="736D5903"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850" w:type="dxa"/>
            <w:shd w:val="clear" w:color="auto" w:fill="auto"/>
            <w:vAlign w:val="center"/>
          </w:tcPr>
          <w:p w14:paraId="50524A48" w14:textId="77777777" w:rsidR="00DE44E0" w:rsidRPr="001E22BD" w:rsidRDefault="00DE44E0">
            <w:pPr>
              <w:spacing w:after="0" w:line="240" w:lineRule="auto"/>
              <w:jc w:val="center"/>
              <w:rPr>
                <w:rFonts w:ascii="Times New Roman" w:hAnsi="Times New Roman" w:cs="Times New Roman"/>
                <w:sz w:val="16"/>
                <w:szCs w:val="16"/>
              </w:rPr>
            </w:pPr>
          </w:p>
        </w:tc>
        <w:tc>
          <w:tcPr>
            <w:tcW w:w="921" w:type="dxa"/>
            <w:shd w:val="clear" w:color="auto" w:fill="auto"/>
            <w:vAlign w:val="center"/>
          </w:tcPr>
          <w:p w14:paraId="7FF88086" w14:textId="44FCBCC1"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776" w:type="dxa"/>
            <w:shd w:val="clear" w:color="auto" w:fill="auto"/>
            <w:vAlign w:val="center"/>
          </w:tcPr>
          <w:p w14:paraId="7B6782BF" w14:textId="2EE20AE9"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850" w:type="dxa"/>
            <w:shd w:val="clear" w:color="auto" w:fill="auto"/>
            <w:vAlign w:val="center"/>
          </w:tcPr>
          <w:p w14:paraId="4D0FD325" w14:textId="77777777" w:rsidR="00DE44E0" w:rsidRPr="001E22BD" w:rsidRDefault="00DE44E0">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732412B9" w14:textId="30C95B78"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r>
      <w:tr w:rsidR="00DE44E0" w:rsidRPr="0075382D" w14:paraId="54E36CC5" w14:textId="77777777" w:rsidTr="001E22BD">
        <w:trPr>
          <w:trHeight w:val="300"/>
          <w:jc w:val="center"/>
        </w:trPr>
        <w:tc>
          <w:tcPr>
            <w:tcW w:w="1706" w:type="dxa"/>
            <w:shd w:val="clear" w:color="auto" w:fill="auto"/>
            <w:vAlign w:val="center"/>
            <w:hideMark/>
          </w:tcPr>
          <w:p w14:paraId="7792EC00" w14:textId="3DA0973F" w:rsidR="00DE44E0" w:rsidRPr="0075382D" w:rsidRDefault="00DE44E0" w:rsidP="00DE44E0">
            <w:pPr>
              <w:spacing w:after="0" w:line="240" w:lineRule="auto"/>
              <w:rPr>
                <w:rFonts w:ascii="Times New Roman" w:hAnsi="Times New Roman" w:cs="Times New Roman"/>
                <w:sz w:val="18"/>
                <w:szCs w:val="18"/>
              </w:rPr>
            </w:pPr>
            <w:r w:rsidRPr="0075382D">
              <w:rPr>
                <w:rFonts w:ascii="Times New Roman" w:hAnsi="Times New Roman" w:cs="Times New Roman"/>
                <w:sz w:val="20"/>
                <w:szCs w:val="20"/>
              </w:rPr>
              <w:t>Atgūtie līdzekļi</w:t>
            </w:r>
          </w:p>
        </w:tc>
        <w:tc>
          <w:tcPr>
            <w:tcW w:w="704" w:type="dxa"/>
            <w:shd w:val="clear" w:color="auto" w:fill="auto"/>
            <w:vAlign w:val="center"/>
          </w:tcPr>
          <w:p w14:paraId="5A74AA71" w14:textId="41C8F1FB" w:rsidR="00DE44E0" w:rsidRPr="001E22BD" w:rsidRDefault="00DE44E0"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997" w:type="dxa"/>
            <w:shd w:val="clear" w:color="auto" w:fill="auto"/>
            <w:vAlign w:val="center"/>
          </w:tcPr>
          <w:p w14:paraId="48BBA75D" w14:textId="10CAC267" w:rsidR="00DE44E0" w:rsidRPr="001E22BD" w:rsidRDefault="00DE44E0">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62106D5B" w14:textId="7ADFACB5"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708" w:type="dxa"/>
            <w:shd w:val="clear" w:color="auto" w:fill="auto"/>
            <w:vAlign w:val="center"/>
          </w:tcPr>
          <w:p w14:paraId="2B401C58" w14:textId="37C6E7BB"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850" w:type="dxa"/>
            <w:shd w:val="clear" w:color="auto" w:fill="auto"/>
            <w:vAlign w:val="center"/>
          </w:tcPr>
          <w:p w14:paraId="558C1F1A" w14:textId="64E98E9F" w:rsidR="00DE44E0" w:rsidRPr="001E22BD" w:rsidRDefault="00DE44E0">
            <w:pPr>
              <w:spacing w:after="0" w:line="240" w:lineRule="auto"/>
              <w:jc w:val="center"/>
              <w:rPr>
                <w:rFonts w:ascii="Times New Roman" w:hAnsi="Times New Roman" w:cs="Times New Roman"/>
                <w:sz w:val="16"/>
                <w:szCs w:val="16"/>
              </w:rPr>
            </w:pPr>
          </w:p>
        </w:tc>
        <w:tc>
          <w:tcPr>
            <w:tcW w:w="921" w:type="dxa"/>
            <w:shd w:val="clear" w:color="auto" w:fill="auto"/>
            <w:vAlign w:val="center"/>
          </w:tcPr>
          <w:p w14:paraId="7B921F0E" w14:textId="64B4C24E"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776" w:type="dxa"/>
            <w:shd w:val="clear" w:color="auto" w:fill="auto"/>
            <w:vAlign w:val="center"/>
          </w:tcPr>
          <w:p w14:paraId="2FBE4A88" w14:textId="058F0E38"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c>
          <w:tcPr>
            <w:tcW w:w="850" w:type="dxa"/>
            <w:shd w:val="clear" w:color="auto" w:fill="auto"/>
            <w:vAlign w:val="center"/>
          </w:tcPr>
          <w:p w14:paraId="323E135B" w14:textId="2104FC19" w:rsidR="00DE44E0" w:rsidRPr="001E22BD" w:rsidRDefault="00DE44E0">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12795CA2" w14:textId="5C2132B0" w:rsidR="00DE44E0" w:rsidRPr="001E22BD" w:rsidRDefault="00DE44E0">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50</w:t>
            </w:r>
          </w:p>
        </w:tc>
      </w:tr>
      <w:tr w:rsidR="00382026" w:rsidRPr="0075382D" w14:paraId="3F626AC7" w14:textId="77777777" w:rsidTr="001E22BD">
        <w:trPr>
          <w:trHeight w:val="300"/>
          <w:jc w:val="center"/>
        </w:trPr>
        <w:tc>
          <w:tcPr>
            <w:tcW w:w="1706" w:type="dxa"/>
            <w:shd w:val="clear" w:color="auto" w:fill="auto"/>
            <w:vAlign w:val="center"/>
            <w:hideMark/>
          </w:tcPr>
          <w:p w14:paraId="33D0AB11" w14:textId="54D72427" w:rsidR="00382026" w:rsidRPr="0075382D" w:rsidRDefault="00382026" w:rsidP="00382026">
            <w:pPr>
              <w:spacing w:after="0" w:line="240" w:lineRule="auto"/>
              <w:rPr>
                <w:rFonts w:ascii="Times New Roman" w:hAnsi="Times New Roman" w:cs="Times New Roman"/>
                <w:b/>
                <w:bCs/>
                <w:sz w:val="18"/>
                <w:szCs w:val="18"/>
              </w:rPr>
            </w:pPr>
            <w:r w:rsidRPr="0075382D">
              <w:rPr>
                <w:rFonts w:ascii="Times New Roman" w:hAnsi="Times New Roman" w:cs="Times New Roman"/>
                <w:sz w:val="20"/>
                <w:szCs w:val="20"/>
              </w:rPr>
              <w:t>Izdevumi – kopā</w:t>
            </w:r>
          </w:p>
        </w:tc>
        <w:tc>
          <w:tcPr>
            <w:tcW w:w="704" w:type="dxa"/>
            <w:shd w:val="clear" w:color="auto" w:fill="auto"/>
            <w:vAlign w:val="center"/>
          </w:tcPr>
          <w:p w14:paraId="673F7B6C" w14:textId="7F4F9775" w:rsidR="00382026" w:rsidRPr="001E22BD" w:rsidRDefault="00382026" w:rsidP="00FC5F04">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4</w:t>
            </w:r>
            <w:r w:rsidR="00943A0C" w:rsidRPr="001E22BD">
              <w:rPr>
                <w:rFonts w:ascii="Times New Roman" w:hAnsi="Times New Roman" w:cs="Times New Roman"/>
                <w:b/>
                <w:bCs/>
                <w:sz w:val="16"/>
                <w:szCs w:val="16"/>
              </w:rPr>
              <w:t> </w:t>
            </w:r>
            <w:r w:rsidRPr="001E22BD">
              <w:rPr>
                <w:rFonts w:ascii="Times New Roman" w:hAnsi="Times New Roman" w:cs="Times New Roman"/>
                <w:b/>
                <w:bCs/>
                <w:sz w:val="16"/>
                <w:szCs w:val="16"/>
              </w:rPr>
              <w:t>266</w:t>
            </w:r>
          </w:p>
        </w:tc>
        <w:tc>
          <w:tcPr>
            <w:tcW w:w="997" w:type="dxa"/>
            <w:shd w:val="clear" w:color="auto" w:fill="auto"/>
            <w:vAlign w:val="center"/>
          </w:tcPr>
          <w:p w14:paraId="096ECCAF" w14:textId="19D737D5" w:rsidR="00382026" w:rsidRPr="001E22BD" w:rsidRDefault="00382026">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100</w:t>
            </w:r>
            <w:r w:rsidR="00943A0C" w:rsidRPr="001E22BD">
              <w:rPr>
                <w:rFonts w:ascii="Times New Roman" w:hAnsi="Times New Roman" w:cs="Times New Roman"/>
                <w:b/>
                <w:bCs/>
                <w:sz w:val="16"/>
                <w:szCs w:val="16"/>
              </w:rPr>
              <w:t> </w:t>
            </w:r>
            <w:r w:rsidRPr="001E22BD">
              <w:rPr>
                <w:rFonts w:ascii="Times New Roman" w:hAnsi="Times New Roman" w:cs="Times New Roman"/>
                <w:b/>
                <w:bCs/>
                <w:sz w:val="16"/>
                <w:szCs w:val="16"/>
              </w:rPr>
              <w:t>000</w:t>
            </w:r>
          </w:p>
        </w:tc>
        <w:tc>
          <w:tcPr>
            <w:tcW w:w="851" w:type="dxa"/>
            <w:shd w:val="clear" w:color="auto" w:fill="auto"/>
            <w:vAlign w:val="center"/>
          </w:tcPr>
          <w:p w14:paraId="7AAEFF02" w14:textId="50E16199" w:rsidR="00382026" w:rsidRPr="001E22BD" w:rsidRDefault="00382026">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104</w:t>
            </w:r>
            <w:r w:rsidR="00943A0C" w:rsidRPr="001E22BD">
              <w:rPr>
                <w:rFonts w:ascii="Times New Roman" w:hAnsi="Times New Roman" w:cs="Times New Roman"/>
                <w:b/>
                <w:bCs/>
                <w:sz w:val="16"/>
                <w:szCs w:val="16"/>
              </w:rPr>
              <w:t> </w:t>
            </w:r>
            <w:r w:rsidRPr="001E22BD">
              <w:rPr>
                <w:rFonts w:ascii="Times New Roman" w:hAnsi="Times New Roman" w:cs="Times New Roman"/>
                <w:b/>
                <w:bCs/>
                <w:sz w:val="16"/>
                <w:szCs w:val="16"/>
              </w:rPr>
              <w:t>266</w:t>
            </w:r>
          </w:p>
        </w:tc>
        <w:tc>
          <w:tcPr>
            <w:tcW w:w="708" w:type="dxa"/>
            <w:shd w:val="clear" w:color="auto" w:fill="auto"/>
            <w:vAlign w:val="center"/>
          </w:tcPr>
          <w:p w14:paraId="2679DABA" w14:textId="58F0A0BE" w:rsidR="00382026" w:rsidRPr="001E22BD" w:rsidRDefault="00382026">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3</w:t>
            </w:r>
            <w:r w:rsidR="00943A0C" w:rsidRPr="001E22BD">
              <w:rPr>
                <w:rFonts w:ascii="Times New Roman" w:hAnsi="Times New Roman" w:cs="Times New Roman"/>
                <w:b/>
                <w:bCs/>
                <w:sz w:val="16"/>
                <w:szCs w:val="16"/>
              </w:rPr>
              <w:t> </w:t>
            </w:r>
            <w:r w:rsidRPr="001E22BD">
              <w:rPr>
                <w:rFonts w:ascii="Times New Roman" w:hAnsi="Times New Roman" w:cs="Times New Roman"/>
                <w:b/>
                <w:bCs/>
                <w:sz w:val="16"/>
                <w:szCs w:val="16"/>
              </w:rPr>
              <w:t>555</w:t>
            </w:r>
          </w:p>
        </w:tc>
        <w:tc>
          <w:tcPr>
            <w:tcW w:w="850" w:type="dxa"/>
            <w:shd w:val="clear" w:color="auto" w:fill="auto"/>
            <w:vAlign w:val="center"/>
          </w:tcPr>
          <w:p w14:paraId="2BC8D3BC" w14:textId="048EF3ED" w:rsidR="00382026" w:rsidRPr="001E22BD" w:rsidRDefault="00382026">
            <w:pPr>
              <w:spacing w:after="0" w:line="240" w:lineRule="auto"/>
              <w:jc w:val="center"/>
              <w:rPr>
                <w:rFonts w:ascii="Times New Roman" w:hAnsi="Times New Roman" w:cs="Times New Roman"/>
                <w:b/>
                <w:bCs/>
                <w:sz w:val="16"/>
                <w:szCs w:val="16"/>
                <w:u w:val="single"/>
              </w:rPr>
            </w:pPr>
            <w:r w:rsidRPr="001E22BD">
              <w:rPr>
                <w:rFonts w:ascii="Times New Roman" w:hAnsi="Times New Roman" w:cs="Times New Roman"/>
                <w:b/>
                <w:bCs/>
                <w:sz w:val="16"/>
                <w:szCs w:val="16"/>
                <w:u w:val="single"/>
              </w:rPr>
              <w:t>100</w:t>
            </w:r>
            <w:r w:rsidR="001D1089" w:rsidRPr="001E22BD">
              <w:rPr>
                <w:rFonts w:ascii="Times New Roman" w:hAnsi="Times New Roman" w:cs="Times New Roman"/>
                <w:b/>
                <w:bCs/>
                <w:sz w:val="16"/>
                <w:szCs w:val="16"/>
                <w:u w:val="single"/>
              </w:rPr>
              <w:t> </w:t>
            </w:r>
            <w:r w:rsidRPr="001E22BD">
              <w:rPr>
                <w:rFonts w:ascii="Times New Roman" w:hAnsi="Times New Roman" w:cs="Times New Roman"/>
                <w:b/>
                <w:bCs/>
                <w:sz w:val="16"/>
                <w:szCs w:val="16"/>
                <w:u w:val="single"/>
              </w:rPr>
              <w:t>000</w:t>
            </w:r>
          </w:p>
        </w:tc>
        <w:tc>
          <w:tcPr>
            <w:tcW w:w="921" w:type="dxa"/>
            <w:shd w:val="clear" w:color="auto" w:fill="auto"/>
            <w:vAlign w:val="center"/>
          </w:tcPr>
          <w:p w14:paraId="526F95AF" w14:textId="0245EE48" w:rsidR="00382026" w:rsidRPr="001E22BD" w:rsidRDefault="00382026">
            <w:pPr>
              <w:spacing w:after="0" w:line="240" w:lineRule="auto"/>
              <w:jc w:val="center"/>
              <w:rPr>
                <w:rFonts w:ascii="Times New Roman" w:hAnsi="Times New Roman" w:cs="Times New Roman"/>
                <w:b/>
                <w:bCs/>
                <w:sz w:val="16"/>
                <w:szCs w:val="16"/>
                <w:u w:val="single"/>
              </w:rPr>
            </w:pPr>
            <w:r w:rsidRPr="001E22BD">
              <w:rPr>
                <w:rFonts w:ascii="Times New Roman" w:hAnsi="Times New Roman" w:cs="Times New Roman"/>
                <w:b/>
                <w:bCs/>
                <w:sz w:val="16"/>
                <w:szCs w:val="16"/>
                <w:u w:val="single"/>
              </w:rPr>
              <w:t>103</w:t>
            </w:r>
            <w:r w:rsidR="001D1089" w:rsidRPr="001E22BD">
              <w:rPr>
                <w:rFonts w:ascii="Times New Roman" w:hAnsi="Times New Roman" w:cs="Times New Roman"/>
                <w:b/>
                <w:bCs/>
                <w:sz w:val="16"/>
                <w:szCs w:val="16"/>
                <w:u w:val="single"/>
              </w:rPr>
              <w:t> </w:t>
            </w:r>
            <w:r w:rsidRPr="001E22BD">
              <w:rPr>
                <w:rFonts w:ascii="Times New Roman" w:hAnsi="Times New Roman" w:cs="Times New Roman"/>
                <w:b/>
                <w:bCs/>
                <w:sz w:val="16"/>
                <w:szCs w:val="16"/>
                <w:u w:val="single"/>
              </w:rPr>
              <w:t>555</w:t>
            </w:r>
          </w:p>
        </w:tc>
        <w:tc>
          <w:tcPr>
            <w:tcW w:w="776" w:type="dxa"/>
            <w:shd w:val="clear" w:color="auto" w:fill="auto"/>
            <w:vAlign w:val="center"/>
          </w:tcPr>
          <w:p w14:paraId="1DCE31DE" w14:textId="6C0BCEAD" w:rsidR="00382026" w:rsidRPr="001E22BD" w:rsidRDefault="00382026">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rPr>
              <w:t>3</w:t>
            </w:r>
            <w:r w:rsidR="001D1089" w:rsidRPr="001E22BD">
              <w:rPr>
                <w:rFonts w:ascii="Times New Roman" w:hAnsi="Times New Roman" w:cs="Times New Roman"/>
                <w:b/>
                <w:bCs/>
                <w:sz w:val="16"/>
                <w:szCs w:val="16"/>
              </w:rPr>
              <w:t> </w:t>
            </w:r>
            <w:r w:rsidRPr="001E22BD">
              <w:rPr>
                <w:rFonts w:ascii="Times New Roman" w:hAnsi="Times New Roman" w:cs="Times New Roman"/>
                <w:b/>
                <w:bCs/>
                <w:sz w:val="16"/>
                <w:szCs w:val="16"/>
              </w:rPr>
              <w:t>555</w:t>
            </w:r>
          </w:p>
        </w:tc>
        <w:tc>
          <w:tcPr>
            <w:tcW w:w="850" w:type="dxa"/>
            <w:shd w:val="clear" w:color="auto" w:fill="auto"/>
            <w:vAlign w:val="center"/>
          </w:tcPr>
          <w:p w14:paraId="0A5BDC95" w14:textId="0BD81EE6" w:rsidR="00382026" w:rsidRPr="001E22BD" w:rsidRDefault="00382026">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u w:val="single"/>
              </w:rPr>
              <w:t>100</w:t>
            </w:r>
            <w:r w:rsidR="001D1089" w:rsidRPr="001E22BD">
              <w:rPr>
                <w:rFonts w:ascii="Times New Roman" w:hAnsi="Times New Roman" w:cs="Times New Roman"/>
                <w:b/>
                <w:bCs/>
                <w:sz w:val="16"/>
                <w:szCs w:val="16"/>
                <w:u w:val="single"/>
              </w:rPr>
              <w:t> </w:t>
            </w:r>
            <w:r w:rsidRPr="001E22BD">
              <w:rPr>
                <w:rFonts w:ascii="Times New Roman" w:hAnsi="Times New Roman" w:cs="Times New Roman"/>
                <w:b/>
                <w:bCs/>
                <w:sz w:val="16"/>
                <w:szCs w:val="16"/>
                <w:u w:val="single"/>
              </w:rPr>
              <w:t>000</w:t>
            </w:r>
          </w:p>
        </w:tc>
        <w:tc>
          <w:tcPr>
            <w:tcW w:w="851" w:type="dxa"/>
            <w:shd w:val="clear" w:color="auto" w:fill="auto"/>
            <w:vAlign w:val="center"/>
          </w:tcPr>
          <w:p w14:paraId="0129E5D2" w14:textId="4947E112" w:rsidR="00382026" w:rsidRPr="001E22BD" w:rsidRDefault="00382026">
            <w:pPr>
              <w:spacing w:after="0" w:line="240" w:lineRule="auto"/>
              <w:jc w:val="center"/>
              <w:rPr>
                <w:rFonts w:ascii="Times New Roman" w:hAnsi="Times New Roman" w:cs="Times New Roman"/>
                <w:b/>
                <w:bCs/>
                <w:sz w:val="16"/>
                <w:szCs w:val="16"/>
              </w:rPr>
            </w:pPr>
            <w:r w:rsidRPr="001E22BD">
              <w:rPr>
                <w:rFonts w:ascii="Times New Roman" w:hAnsi="Times New Roman" w:cs="Times New Roman"/>
                <w:b/>
                <w:bCs/>
                <w:sz w:val="16"/>
                <w:szCs w:val="16"/>
                <w:u w:val="single"/>
              </w:rPr>
              <w:t>103</w:t>
            </w:r>
            <w:r w:rsidR="001D1089" w:rsidRPr="001E22BD">
              <w:rPr>
                <w:rFonts w:ascii="Times New Roman" w:hAnsi="Times New Roman" w:cs="Times New Roman"/>
                <w:b/>
                <w:bCs/>
                <w:sz w:val="16"/>
                <w:szCs w:val="16"/>
                <w:u w:val="single"/>
              </w:rPr>
              <w:t> </w:t>
            </w:r>
            <w:r w:rsidRPr="001E22BD">
              <w:rPr>
                <w:rFonts w:ascii="Times New Roman" w:hAnsi="Times New Roman" w:cs="Times New Roman"/>
                <w:b/>
                <w:bCs/>
                <w:sz w:val="16"/>
                <w:szCs w:val="16"/>
                <w:u w:val="single"/>
              </w:rPr>
              <w:t>555</w:t>
            </w:r>
          </w:p>
        </w:tc>
      </w:tr>
      <w:tr w:rsidR="00382026" w:rsidRPr="0075382D" w14:paraId="349D51A4" w14:textId="77777777" w:rsidTr="001E22BD">
        <w:trPr>
          <w:trHeight w:val="217"/>
          <w:jc w:val="center"/>
        </w:trPr>
        <w:tc>
          <w:tcPr>
            <w:tcW w:w="1706" w:type="dxa"/>
            <w:shd w:val="clear" w:color="auto" w:fill="auto"/>
            <w:vAlign w:val="center"/>
          </w:tcPr>
          <w:p w14:paraId="3DA724B1" w14:textId="5C92C4F5" w:rsidR="00382026" w:rsidRPr="0075382D" w:rsidRDefault="00382026" w:rsidP="00382026">
            <w:pPr>
              <w:spacing w:after="0" w:line="240" w:lineRule="auto"/>
              <w:rPr>
                <w:rFonts w:ascii="Times New Roman" w:hAnsi="Times New Roman" w:cs="Times New Roman"/>
                <w:sz w:val="18"/>
                <w:szCs w:val="18"/>
              </w:rPr>
            </w:pPr>
            <w:r w:rsidRPr="0075382D">
              <w:rPr>
                <w:rFonts w:ascii="Times New Roman" w:hAnsi="Times New Roman" w:cs="Times New Roman"/>
                <w:sz w:val="20"/>
                <w:szCs w:val="20"/>
              </w:rPr>
              <w:t>Uzturēšanas izdevumi</w:t>
            </w:r>
          </w:p>
        </w:tc>
        <w:tc>
          <w:tcPr>
            <w:tcW w:w="704" w:type="dxa"/>
            <w:shd w:val="clear" w:color="auto" w:fill="auto"/>
            <w:vAlign w:val="center"/>
          </w:tcPr>
          <w:p w14:paraId="50377BC8" w14:textId="5D2E96AC" w:rsidR="00382026" w:rsidRPr="001E22BD" w:rsidRDefault="00382026"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266</w:t>
            </w:r>
          </w:p>
        </w:tc>
        <w:tc>
          <w:tcPr>
            <w:tcW w:w="997" w:type="dxa"/>
            <w:shd w:val="clear" w:color="auto" w:fill="auto"/>
            <w:vAlign w:val="center"/>
          </w:tcPr>
          <w:p w14:paraId="7B948D8E" w14:textId="54182DF1"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851" w:type="dxa"/>
            <w:shd w:val="clear" w:color="auto" w:fill="auto"/>
            <w:vAlign w:val="center"/>
          </w:tcPr>
          <w:p w14:paraId="0D0781FE" w14:textId="0D8B7A24"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266</w:t>
            </w:r>
          </w:p>
        </w:tc>
        <w:tc>
          <w:tcPr>
            <w:tcW w:w="708" w:type="dxa"/>
            <w:shd w:val="clear" w:color="auto" w:fill="auto"/>
            <w:vAlign w:val="center"/>
          </w:tcPr>
          <w:p w14:paraId="7412950F" w14:textId="77F71392"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850" w:type="dxa"/>
            <w:shd w:val="clear" w:color="auto" w:fill="auto"/>
            <w:vAlign w:val="center"/>
          </w:tcPr>
          <w:p w14:paraId="07ED4B9A" w14:textId="1057895A" w:rsidR="00382026" w:rsidRPr="001E22BD" w:rsidRDefault="00382026">
            <w:pPr>
              <w:spacing w:after="0" w:line="240" w:lineRule="auto"/>
              <w:jc w:val="center"/>
              <w:rPr>
                <w:rFonts w:ascii="Times New Roman" w:hAnsi="Times New Roman" w:cs="Times New Roman"/>
                <w:sz w:val="16"/>
                <w:szCs w:val="16"/>
                <w:u w:val="single"/>
              </w:rPr>
            </w:pPr>
            <w:r w:rsidRPr="001E22BD">
              <w:rPr>
                <w:rFonts w:ascii="Times New Roman" w:hAnsi="Times New Roman" w:cs="Times New Roman"/>
                <w:sz w:val="16"/>
                <w:szCs w:val="16"/>
                <w:u w:val="single"/>
              </w:rPr>
              <w:t>100</w:t>
            </w:r>
            <w:r w:rsidR="001D1089" w:rsidRPr="001E22BD">
              <w:rPr>
                <w:rFonts w:ascii="Times New Roman" w:hAnsi="Times New Roman" w:cs="Times New Roman"/>
                <w:sz w:val="16"/>
                <w:szCs w:val="16"/>
                <w:u w:val="single"/>
              </w:rPr>
              <w:t> </w:t>
            </w:r>
            <w:r w:rsidRPr="001E22BD">
              <w:rPr>
                <w:rFonts w:ascii="Times New Roman" w:hAnsi="Times New Roman" w:cs="Times New Roman"/>
                <w:sz w:val="16"/>
                <w:szCs w:val="16"/>
                <w:u w:val="single"/>
              </w:rPr>
              <w:t>000</w:t>
            </w:r>
          </w:p>
        </w:tc>
        <w:tc>
          <w:tcPr>
            <w:tcW w:w="921" w:type="dxa"/>
            <w:shd w:val="clear" w:color="auto" w:fill="auto"/>
            <w:vAlign w:val="center"/>
          </w:tcPr>
          <w:p w14:paraId="3579FCD5" w14:textId="6AD39FC8" w:rsidR="00382026" w:rsidRPr="001E22BD" w:rsidRDefault="00382026">
            <w:pPr>
              <w:spacing w:after="0" w:line="240" w:lineRule="auto"/>
              <w:jc w:val="center"/>
              <w:rPr>
                <w:rFonts w:ascii="Times New Roman" w:hAnsi="Times New Roman" w:cs="Times New Roman"/>
                <w:sz w:val="16"/>
                <w:szCs w:val="16"/>
                <w:u w:val="single"/>
              </w:rPr>
            </w:pPr>
            <w:r w:rsidRPr="001E22BD">
              <w:rPr>
                <w:rFonts w:ascii="Times New Roman" w:hAnsi="Times New Roman" w:cs="Times New Roman"/>
                <w:sz w:val="16"/>
                <w:szCs w:val="16"/>
                <w:u w:val="single"/>
              </w:rPr>
              <w:t>103</w:t>
            </w:r>
            <w:r w:rsidR="001D1089" w:rsidRPr="001E22BD">
              <w:rPr>
                <w:rFonts w:ascii="Times New Roman" w:hAnsi="Times New Roman" w:cs="Times New Roman"/>
                <w:sz w:val="16"/>
                <w:szCs w:val="16"/>
                <w:u w:val="single"/>
              </w:rPr>
              <w:t> </w:t>
            </w:r>
            <w:r w:rsidRPr="001E22BD">
              <w:rPr>
                <w:rFonts w:ascii="Times New Roman" w:hAnsi="Times New Roman" w:cs="Times New Roman"/>
                <w:sz w:val="16"/>
                <w:szCs w:val="16"/>
                <w:u w:val="single"/>
              </w:rPr>
              <w:t>555</w:t>
            </w:r>
          </w:p>
        </w:tc>
        <w:tc>
          <w:tcPr>
            <w:tcW w:w="776" w:type="dxa"/>
            <w:shd w:val="clear" w:color="auto" w:fill="auto"/>
            <w:vAlign w:val="center"/>
          </w:tcPr>
          <w:p w14:paraId="23E53F76" w14:textId="7996EB43"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850" w:type="dxa"/>
            <w:shd w:val="clear" w:color="auto" w:fill="auto"/>
            <w:vAlign w:val="center"/>
          </w:tcPr>
          <w:p w14:paraId="2CC061AB" w14:textId="37A1DA81"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u w:val="single"/>
              </w:rPr>
              <w:t>100</w:t>
            </w:r>
            <w:r w:rsidR="001D1089" w:rsidRPr="001E22BD">
              <w:rPr>
                <w:rFonts w:ascii="Times New Roman" w:hAnsi="Times New Roman" w:cs="Times New Roman"/>
                <w:sz w:val="16"/>
                <w:szCs w:val="16"/>
                <w:u w:val="single"/>
              </w:rPr>
              <w:t> </w:t>
            </w:r>
            <w:r w:rsidRPr="001E22BD">
              <w:rPr>
                <w:rFonts w:ascii="Times New Roman" w:hAnsi="Times New Roman" w:cs="Times New Roman"/>
                <w:sz w:val="16"/>
                <w:szCs w:val="16"/>
                <w:u w:val="single"/>
              </w:rPr>
              <w:t>000</w:t>
            </w:r>
          </w:p>
        </w:tc>
        <w:tc>
          <w:tcPr>
            <w:tcW w:w="851" w:type="dxa"/>
            <w:shd w:val="clear" w:color="auto" w:fill="auto"/>
            <w:vAlign w:val="center"/>
          </w:tcPr>
          <w:p w14:paraId="6B6FA1C1" w14:textId="367DB246"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u w:val="single"/>
              </w:rPr>
              <w:t>103</w:t>
            </w:r>
            <w:r w:rsidR="001D1089" w:rsidRPr="001E22BD">
              <w:rPr>
                <w:rFonts w:ascii="Times New Roman" w:hAnsi="Times New Roman" w:cs="Times New Roman"/>
                <w:sz w:val="16"/>
                <w:szCs w:val="16"/>
                <w:u w:val="single"/>
              </w:rPr>
              <w:t> </w:t>
            </w:r>
            <w:r w:rsidRPr="001E22BD">
              <w:rPr>
                <w:rFonts w:ascii="Times New Roman" w:hAnsi="Times New Roman" w:cs="Times New Roman"/>
                <w:sz w:val="16"/>
                <w:szCs w:val="16"/>
                <w:u w:val="single"/>
              </w:rPr>
              <w:t>555</w:t>
            </w:r>
          </w:p>
        </w:tc>
      </w:tr>
      <w:tr w:rsidR="00382026" w:rsidRPr="0075382D" w14:paraId="05C1866B" w14:textId="77777777" w:rsidTr="001E22BD">
        <w:trPr>
          <w:trHeight w:val="300"/>
          <w:jc w:val="center"/>
        </w:trPr>
        <w:tc>
          <w:tcPr>
            <w:tcW w:w="1706" w:type="dxa"/>
            <w:shd w:val="clear" w:color="auto" w:fill="auto"/>
            <w:vAlign w:val="center"/>
          </w:tcPr>
          <w:p w14:paraId="1251C30B" w14:textId="059ACE36" w:rsidR="00382026" w:rsidRPr="0075382D" w:rsidRDefault="00382026" w:rsidP="00382026">
            <w:pPr>
              <w:spacing w:after="0" w:line="240" w:lineRule="auto"/>
              <w:rPr>
                <w:rFonts w:ascii="Times New Roman" w:hAnsi="Times New Roman" w:cs="Times New Roman"/>
                <w:sz w:val="18"/>
                <w:szCs w:val="18"/>
              </w:rPr>
            </w:pPr>
            <w:r w:rsidRPr="0075382D">
              <w:rPr>
                <w:rFonts w:ascii="Times New Roman" w:hAnsi="Times New Roman" w:cs="Times New Roman"/>
                <w:sz w:val="20"/>
                <w:szCs w:val="20"/>
              </w:rPr>
              <w:t>Subsīdijas, dotācijas un sociālie pabalsti</w:t>
            </w:r>
          </w:p>
        </w:tc>
        <w:tc>
          <w:tcPr>
            <w:tcW w:w="704" w:type="dxa"/>
            <w:shd w:val="clear" w:color="auto" w:fill="auto"/>
            <w:vAlign w:val="center"/>
          </w:tcPr>
          <w:p w14:paraId="65B434E4" w14:textId="2C8C43D1" w:rsidR="00382026" w:rsidRPr="001E22BD" w:rsidRDefault="00382026"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266</w:t>
            </w:r>
          </w:p>
        </w:tc>
        <w:tc>
          <w:tcPr>
            <w:tcW w:w="997" w:type="dxa"/>
            <w:shd w:val="clear" w:color="auto" w:fill="auto"/>
            <w:vAlign w:val="center"/>
          </w:tcPr>
          <w:p w14:paraId="4D5DFC00" w14:textId="509ECFF6" w:rsidR="00382026" w:rsidRPr="001E22BD" w:rsidRDefault="00382026">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2999586E" w14:textId="406F6B8E"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266</w:t>
            </w:r>
          </w:p>
        </w:tc>
        <w:tc>
          <w:tcPr>
            <w:tcW w:w="708" w:type="dxa"/>
            <w:shd w:val="clear" w:color="auto" w:fill="auto"/>
            <w:vAlign w:val="center"/>
          </w:tcPr>
          <w:p w14:paraId="7AE231EC" w14:textId="6A6717DB"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850" w:type="dxa"/>
            <w:shd w:val="clear" w:color="auto" w:fill="auto"/>
            <w:vAlign w:val="center"/>
          </w:tcPr>
          <w:p w14:paraId="52A23341" w14:textId="63BD99BD" w:rsidR="00382026" w:rsidRPr="001E22BD" w:rsidRDefault="00382026">
            <w:pPr>
              <w:spacing w:after="0" w:line="240" w:lineRule="auto"/>
              <w:jc w:val="center"/>
              <w:rPr>
                <w:rFonts w:ascii="Times New Roman" w:hAnsi="Times New Roman" w:cs="Times New Roman"/>
                <w:sz w:val="16"/>
                <w:szCs w:val="16"/>
              </w:rPr>
            </w:pPr>
          </w:p>
        </w:tc>
        <w:tc>
          <w:tcPr>
            <w:tcW w:w="921" w:type="dxa"/>
            <w:shd w:val="clear" w:color="auto" w:fill="auto"/>
            <w:vAlign w:val="center"/>
          </w:tcPr>
          <w:p w14:paraId="33951CA8" w14:textId="170265CF"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776" w:type="dxa"/>
            <w:shd w:val="clear" w:color="auto" w:fill="auto"/>
            <w:vAlign w:val="center"/>
          </w:tcPr>
          <w:p w14:paraId="7A791CEA" w14:textId="15EB6BF8"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850" w:type="dxa"/>
            <w:shd w:val="clear" w:color="auto" w:fill="auto"/>
            <w:vAlign w:val="center"/>
          </w:tcPr>
          <w:p w14:paraId="13572C94" w14:textId="3F8B8C11" w:rsidR="00382026" w:rsidRPr="001E22BD" w:rsidRDefault="00382026">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1255EF14" w14:textId="4DFAF5B4"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r>
      <w:tr w:rsidR="00382026" w:rsidRPr="0075382D" w14:paraId="3FA44943" w14:textId="77777777" w:rsidTr="001E22BD">
        <w:trPr>
          <w:trHeight w:val="271"/>
          <w:jc w:val="center"/>
        </w:trPr>
        <w:tc>
          <w:tcPr>
            <w:tcW w:w="1706" w:type="dxa"/>
            <w:shd w:val="clear" w:color="auto" w:fill="auto"/>
            <w:vAlign w:val="center"/>
            <w:hideMark/>
          </w:tcPr>
          <w:p w14:paraId="6C4E7A87" w14:textId="1EE5B3FA" w:rsidR="00382026" w:rsidRPr="0075382D" w:rsidRDefault="00382026" w:rsidP="00382026">
            <w:pPr>
              <w:spacing w:after="0" w:line="240" w:lineRule="auto"/>
              <w:rPr>
                <w:rFonts w:ascii="Times New Roman" w:hAnsi="Times New Roman" w:cs="Times New Roman"/>
                <w:sz w:val="18"/>
                <w:szCs w:val="18"/>
              </w:rPr>
            </w:pPr>
            <w:r w:rsidRPr="0075382D">
              <w:rPr>
                <w:rFonts w:ascii="Times New Roman" w:hAnsi="Times New Roman" w:cs="Times New Roman"/>
                <w:sz w:val="20"/>
                <w:szCs w:val="20"/>
              </w:rPr>
              <w:t>Subsīdijas un dotācijas</w:t>
            </w:r>
          </w:p>
        </w:tc>
        <w:tc>
          <w:tcPr>
            <w:tcW w:w="704" w:type="dxa"/>
            <w:shd w:val="clear" w:color="auto" w:fill="auto"/>
            <w:vAlign w:val="center"/>
          </w:tcPr>
          <w:p w14:paraId="19BF8E12" w14:textId="0B386183" w:rsidR="00382026" w:rsidRPr="001E22BD" w:rsidRDefault="00382026"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266</w:t>
            </w:r>
          </w:p>
        </w:tc>
        <w:tc>
          <w:tcPr>
            <w:tcW w:w="997" w:type="dxa"/>
            <w:shd w:val="clear" w:color="auto" w:fill="auto"/>
            <w:vAlign w:val="center"/>
          </w:tcPr>
          <w:p w14:paraId="64BA1A49" w14:textId="779CF4EB" w:rsidR="00382026" w:rsidRPr="001E22BD" w:rsidRDefault="00382026">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528F42E0" w14:textId="3325C6D3"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266</w:t>
            </w:r>
          </w:p>
        </w:tc>
        <w:tc>
          <w:tcPr>
            <w:tcW w:w="708" w:type="dxa"/>
            <w:shd w:val="clear" w:color="auto" w:fill="auto"/>
            <w:vAlign w:val="center"/>
          </w:tcPr>
          <w:p w14:paraId="5D057BD7" w14:textId="16DDF0BB"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850" w:type="dxa"/>
            <w:shd w:val="clear" w:color="auto" w:fill="auto"/>
            <w:vAlign w:val="center"/>
          </w:tcPr>
          <w:p w14:paraId="366CD999" w14:textId="7BBFC4DE" w:rsidR="00382026" w:rsidRPr="001E22BD" w:rsidRDefault="00382026">
            <w:pPr>
              <w:spacing w:after="0" w:line="240" w:lineRule="auto"/>
              <w:jc w:val="center"/>
              <w:rPr>
                <w:rFonts w:ascii="Times New Roman" w:hAnsi="Times New Roman" w:cs="Times New Roman"/>
                <w:sz w:val="16"/>
                <w:szCs w:val="16"/>
              </w:rPr>
            </w:pPr>
          </w:p>
        </w:tc>
        <w:tc>
          <w:tcPr>
            <w:tcW w:w="921" w:type="dxa"/>
            <w:shd w:val="clear" w:color="auto" w:fill="auto"/>
            <w:vAlign w:val="center"/>
          </w:tcPr>
          <w:p w14:paraId="08E48B0B" w14:textId="28F2F633"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776" w:type="dxa"/>
            <w:shd w:val="clear" w:color="auto" w:fill="auto"/>
            <w:vAlign w:val="center"/>
          </w:tcPr>
          <w:p w14:paraId="42B6CAE9" w14:textId="3B402615"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c>
          <w:tcPr>
            <w:tcW w:w="850" w:type="dxa"/>
            <w:shd w:val="clear" w:color="auto" w:fill="auto"/>
            <w:vAlign w:val="center"/>
          </w:tcPr>
          <w:p w14:paraId="79932309" w14:textId="6789355A" w:rsidR="00382026" w:rsidRPr="001E22BD" w:rsidRDefault="00382026">
            <w:pPr>
              <w:spacing w:after="0" w:line="240" w:lineRule="auto"/>
              <w:jc w:val="center"/>
              <w:rPr>
                <w:rFonts w:ascii="Times New Roman" w:hAnsi="Times New Roman" w:cs="Times New Roman"/>
                <w:sz w:val="16"/>
                <w:szCs w:val="16"/>
              </w:rPr>
            </w:pPr>
          </w:p>
        </w:tc>
        <w:tc>
          <w:tcPr>
            <w:tcW w:w="851" w:type="dxa"/>
            <w:shd w:val="clear" w:color="auto" w:fill="auto"/>
            <w:vAlign w:val="center"/>
          </w:tcPr>
          <w:p w14:paraId="1CB3FAAC" w14:textId="2BE20318"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555</w:t>
            </w:r>
          </w:p>
        </w:tc>
      </w:tr>
      <w:tr w:rsidR="00382026" w:rsidRPr="0075382D" w14:paraId="61A6EA7F" w14:textId="77777777" w:rsidTr="001E22BD">
        <w:trPr>
          <w:trHeight w:val="300"/>
          <w:jc w:val="center"/>
        </w:trPr>
        <w:tc>
          <w:tcPr>
            <w:tcW w:w="1706" w:type="dxa"/>
            <w:shd w:val="clear" w:color="auto" w:fill="auto"/>
            <w:vAlign w:val="bottom"/>
          </w:tcPr>
          <w:p w14:paraId="40BB9571" w14:textId="77777777" w:rsidR="00382026" w:rsidRPr="0075382D" w:rsidRDefault="00382026" w:rsidP="00382026">
            <w:pPr>
              <w:spacing w:after="0" w:line="240" w:lineRule="auto"/>
              <w:rPr>
                <w:rFonts w:ascii="Times New Roman" w:hAnsi="Times New Roman" w:cs="Times New Roman"/>
                <w:sz w:val="18"/>
                <w:szCs w:val="18"/>
              </w:rPr>
            </w:pPr>
            <w:r w:rsidRPr="0075382D">
              <w:rPr>
                <w:rFonts w:ascii="Times New Roman" w:hAnsi="Times New Roman" w:cs="Times New Roman"/>
                <w:sz w:val="18"/>
                <w:szCs w:val="18"/>
              </w:rPr>
              <w:t>Transferti, uzturēšanas izdevumu transferti</w:t>
            </w:r>
          </w:p>
        </w:tc>
        <w:tc>
          <w:tcPr>
            <w:tcW w:w="704" w:type="dxa"/>
            <w:shd w:val="clear" w:color="auto" w:fill="auto"/>
            <w:vAlign w:val="center"/>
          </w:tcPr>
          <w:p w14:paraId="7760DA00" w14:textId="77777777" w:rsidR="00382026" w:rsidRPr="001E22BD" w:rsidRDefault="00382026" w:rsidP="00FC5F04">
            <w:pPr>
              <w:spacing w:after="0" w:line="240" w:lineRule="auto"/>
              <w:jc w:val="center"/>
              <w:rPr>
                <w:rFonts w:ascii="Times New Roman" w:hAnsi="Times New Roman" w:cs="Times New Roman"/>
                <w:sz w:val="16"/>
                <w:szCs w:val="16"/>
              </w:rPr>
            </w:pPr>
          </w:p>
        </w:tc>
        <w:tc>
          <w:tcPr>
            <w:tcW w:w="997" w:type="dxa"/>
            <w:shd w:val="clear" w:color="auto" w:fill="auto"/>
            <w:vAlign w:val="center"/>
          </w:tcPr>
          <w:p w14:paraId="59983CEA" w14:textId="32FAA70E"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851" w:type="dxa"/>
            <w:shd w:val="clear" w:color="auto" w:fill="auto"/>
            <w:vAlign w:val="center"/>
          </w:tcPr>
          <w:p w14:paraId="4065D438" w14:textId="5B12F441"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708" w:type="dxa"/>
            <w:shd w:val="clear" w:color="auto" w:fill="auto"/>
            <w:vAlign w:val="center"/>
          </w:tcPr>
          <w:p w14:paraId="1D8B41D0" w14:textId="77777777" w:rsidR="00382026" w:rsidRPr="001E22BD" w:rsidRDefault="00382026">
            <w:pPr>
              <w:spacing w:after="0" w:line="240" w:lineRule="auto"/>
              <w:jc w:val="center"/>
              <w:rPr>
                <w:rFonts w:ascii="Times New Roman" w:hAnsi="Times New Roman" w:cs="Times New Roman"/>
                <w:sz w:val="16"/>
                <w:szCs w:val="16"/>
              </w:rPr>
            </w:pPr>
          </w:p>
        </w:tc>
        <w:tc>
          <w:tcPr>
            <w:tcW w:w="850" w:type="dxa"/>
            <w:shd w:val="clear" w:color="auto" w:fill="auto"/>
            <w:vAlign w:val="center"/>
          </w:tcPr>
          <w:p w14:paraId="02687766" w14:textId="6589B363"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921" w:type="dxa"/>
            <w:shd w:val="clear" w:color="auto" w:fill="auto"/>
            <w:vAlign w:val="center"/>
          </w:tcPr>
          <w:p w14:paraId="7CB92552" w14:textId="0C31B8DE"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776" w:type="dxa"/>
            <w:shd w:val="clear" w:color="auto" w:fill="auto"/>
            <w:vAlign w:val="center"/>
          </w:tcPr>
          <w:p w14:paraId="65D9AD81" w14:textId="77777777" w:rsidR="00382026" w:rsidRPr="001E22BD" w:rsidRDefault="00382026">
            <w:pPr>
              <w:spacing w:after="0" w:line="240" w:lineRule="auto"/>
              <w:jc w:val="center"/>
              <w:rPr>
                <w:rFonts w:ascii="Times New Roman" w:hAnsi="Times New Roman" w:cs="Times New Roman"/>
                <w:sz w:val="16"/>
                <w:szCs w:val="16"/>
              </w:rPr>
            </w:pPr>
          </w:p>
        </w:tc>
        <w:tc>
          <w:tcPr>
            <w:tcW w:w="850" w:type="dxa"/>
            <w:shd w:val="clear" w:color="auto" w:fill="auto"/>
            <w:vAlign w:val="center"/>
          </w:tcPr>
          <w:p w14:paraId="6AE2223A" w14:textId="0B4312A4"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851" w:type="dxa"/>
            <w:shd w:val="clear" w:color="auto" w:fill="auto"/>
            <w:vAlign w:val="center"/>
          </w:tcPr>
          <w:p w14:paraId="0047E849" w14:textId="6A633648"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1D1089" w:rsidRPr="001E22BD">
              <w:rPr>
                <w:rFonts w:ascii="Times New Roman" w:hAnsi="Times New Roman" w:cs="Times New Roman"/>
                <w:sz w:val="16"/>
                <w:szCs w:val="16"/>
              </w:rPr>
              <w:t> </w:t>
            </w:r>
            <w:r w:rsidRPr="001E22BD">
              <w:rPr>
                <w:rFonts w:ascii="Times New Roman" w:hAnsi="Times New Roman" w:cs="Times New Roman"/>
                <w:sz w:val="16"/>
                <w:szCs w:val="16"/>
              </w:rPr>
              <w:t>000</w:t>
            </w:r>
          </w:p>
        </w:tc>
      </w:tr>
      <w:tr w:rsidR="00382026" w:rsidRPr="0075382D" w14:paraId="6501407B" w14:textId="77777777" w:rsidTr="001E22BD">
        <w:trPr>
          <w:trHeight w:val="300"/>
          <w:jc w:val="center"/>
        </w:trPr>
        <w:tc>
          <w:tcPr>
            <w:tcW w:w="1706" w:type="dxa"/>
            <w:shd w:val="clear" w:color="auto" w:fill="auto"/>
            <w:vAlign w:val="center"/>
            <w:hideMark/>
          </w:tcPr>
          <w:p w14:paraId="1C9B72B2" w14:textId="6D3646CC" w:rsidR="00382026" w:rsidRPr="0075382D" w:rsidRDefault="00382026" w:rsidP="00382026">
            <w:pPr>
              <w:spacing w:after="0" w:line="240" w:lineRule="auto"/>
              <w:rPr>
                <w:rFonts w:ascii="Times New Roman" w:hAnsi="Times New Roman" w:cs="Times New Roman"/>
                <w:sz w:val="18"/>
                <w:szCs w:val="18"/>
              </w:rPr>
            </w:pPr>
            <w:r w:rsidRPr="0075382D">
              <w:rPr>
                <w:rFonts w:ascii="Times New Roman" w:hAnsi="Times New Roman" w:cs="Times New Roman"/>
                <w:sz w:val="20"/>
                <w:szCs w:val="20"/>
              </w:rPr>
              <w:t>Finansiālā bilance</w:t>
            </w:r>
          </w:p>
        </w:tc>
        <w:tc>
          <w:tcPr>
            <w:tcW w:w="704" w:type="dxa"/>
            <w:shd w:val="clear" w:color="auto" w:fill="auto"/>
            <w:vAlign w:val="center"/>
          </w:tcPr>
          <w:p w14:paraId="128BEAF6" w14:textId="0D6D4C72" w:rsidR="00382026" w:rsidRPr="001E22BD" w:rsidRDefault="00382026"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-4</w:t>
            </w:r>
            <w:r w:rsidR="00943A0C" w:rsidRPr="001E22BD">
              <w:rPr>
                <w:rFonts w:ascii="Times New Roman" w:hAnsi="Times New Roman" w:cs="Times New Roman"/>
                <w:sz w:val="16"/>
                <w:szCs w:val="16"/>
              </w:rPr>
              <w:t> </w:t>
            </w:r>
            <w:r w:rsidRPr="001E22BD">
              <w:rPr>
                <w:rFonts w:ascii="Times New Roman" w:hAnsi="Times New Roman" w:cs="Times New Roman"/>
                <w:sz w:val="16"/>
                <w:szCs w:val="16"/>
              </w:rPr>
              <w:t>216</w:t>
            </w:r>
          </w:p>
        </w:tc>
        <w:tc>
          <w:tcPr>
            <w:tcW w:w="997" w:type="dxa"/>
            <w:shd w:val="clear" w:color="auto" w:fill="auto"/>
            <w:vAlign w:val="center"/>
          </w:tcPr>
          <w:p w14:paraId="1CC1A01C" w14:textId="57DCD17A" w:rsidR="00382026" w:rsidRPr="001E22BD" w:rsidRDefault="00382026" w:rsidP="001E22BD">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851" w:type="dxa"/>
            <w:shd w:val="clear" w:color="auto" w:fill="auto"/>
            <w:vAlign w:val="center"/>
          </w:tcPr>
          <w:p w14:paraId="4B280340" w14:textId="17751DBD" w:rsidR="00382026" w:rsidRPr="001E22BD" w:rsidRDefault="00382026" w:rsidP="00FC5F04">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-104</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2</w:t>
            </w:r>
            <w:r w:rsidR="00BC11A3" w:rsidRPr="001E22BD">
              <w:rPr>
                <w:rFonts w:ascii="Times New Roman" w:hAnsi="Times New Roman" w:cs="Times New Roman"/>
                <w:sz w:val="16"/>
                <w:szCs w:val="16"/>
              </w:rPr>
              <w:t>1</w:t>
            </w:r>
            <w:r w:rsidRPr="001E22BD">
              <w:rPr>
                <w:rFonts w:ascii="Times New Roman" w:hAnsi="Times New Roman" w:cs="Times New Roman"/>
                <w:sz w:val="16"/>
                <w:szCs w:val="16"/>
              </w:rPr>
              <w:t>6</w:t>
            </w:r>
          </w:p>
        </w:tc>
        <w:tc>
          <w:tcPr>
            <w:tcW w:w="708" w:type="dxa"/>
            <w:shd w:val="clear" w:color="auto" w:fill="auto"/>
            <w:vAlign w:val="center"/>
          </w:tcPr>
          <w:p w14:paraId="5911871D" w14:textId="030286BF"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505</w:t>
            </w:r>
          </w:p>
        </w:tc>
        <w:tc>
          <w:tcPr>
            <w:tcW w:w="850" w:type="dxa"/>
            <w:shd w:val="clear" w:color="auto" w:fill="auto"/>
            <w:vAlign w:val="center"/>
          </w:tcPr>
          <w:p w14:paraId="10794DB6" w14:textId="12F811E0"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921" w:type="dxa"/>
            <w:shd w:val="clear" w:color="auto" w:fill="auto"/>
            <w:vAlign w:val="center"/>
          </w:tcPr>
          <w:p w14:paraId="18A7015B" w14:textId="51D2729A"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-103</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505</w:t>
            </w:r>
          </w:p>
        </w:tc>
        <w:tc>
          <w:tcPr>
            <w:tcW w:w="776" w:type="dxa"/>
            <w:shd w:val="clear" w:color="auto" w:fill="auto"/>
            <w:vAlign w:val="center"/>
          </w:tcPr>
          <w:p w14:paraId="59EBC96A" w14:textId="11835F94"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-3</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505</w:t>
            </w:r>
          </w:p>
        </w:tc>
        <w:tc>
          <w:tcPr>
            <w:tcW w:w="850" w:type="dxa"/>
            <w:shd w:val="clear" w:color="auto" w:fill="auto"/>
            <w:vAlign w:val="center"/>
          </w:tcPr>
          <w:p w14:paraId="459ABAAE" w14:textId="77F67E3D"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-100</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000</w:t>
            </w:r>
          </w:p>
        </w:tc>
        <w:tc>
          <w:tcPr>
            <w:tcW w:w="851" w:type="dxa"/>
            <w:shd w:val="clear" w:color="auto" w:fill="auto"/>
            <w:vAlign w:val="center"/>
          </w:tcPr>
          <w:p w14:paraId="5BF87083" w14:textId="4655E352" w:rsidR="00382026" w:rsidRPr="001E22BD" w:rsidRDefault="00382026">
            <w:pPr>
              <w:spacing w:after="0" w:line="240" w:lineRule="auto"/>
              <w:jc w:val="center"/>
              <w:rPr>
                <w:rFonts w:ascii="Times New Roman" w:hAnsi="Times New Roman" w:cs="Times New Roman"/>
                <w:sz w:val="16"/>
                <w:szCs w:val="16"/>
              </w:rPr>
            </w:pPr>
            <w:r w:rsidRPr="001E22BD">
              <w:rPr>
                <w:rFonts w:ascii="Times New Roman" w:hAnsi="Times New Roman" w:cs="Times New Roman"/>
                <w:sz w:val="16"/>
                <w:szCs w:val="16"/>
              </w:rPr>
              <w:t>-103</w:t>
            </w:r>
            <w:r w:rsidR="0075382D" w:rsidRPr="001E22BD">
              <w:rPr>
                <w:rFonts w:ascii="Times New Roman" w:hAnsi="Times New Roman" w:cs="Times New Roman"/>
                <w:sz w:val="16"/>
                <w:szCs w:val="16"/>
              </w:rPr>
              <w:t> </w:t>
            </w:r>
            <w:r w:rsidRPr="001E22BD">
              <w:rPr>
                <w:rFonts w:ascii="Times New Roman" w:hAnsi="Times New Roman" w:cs="Times New Roman"/>
                <w:sz w:val="16"/>
                <w:szCs w:val="16"/>
              </w:rPr>
              <w:t>505</w:t>
            </w:r>
          </w:p>
        </w:tc>
      </w:tr>
    </w:tbl>
    <w:p w14:paraId="03A88E59" w14:textId="77777777" w:rsidR="00583763" w:rsidRPr="0075382D" w:rsidRDefault="00583763" w:rsidP="00583763">
      <w:pPr>
        <w:spacing w:after="0"/>
        <w:jc w:val="both"/>
        <w:rPr>
          <w:rFonts w:ascii="Times New Roman" w:hAnsi="Times New Roman" w:cs="Times New Roman"/>
          <w:b/>
          <w:sz w:val="24"/>
          <w:szCs w:val="24"/>
        </w:rPr>
        <w:sectPr w:rsidR="00583763" w:rsidRPr="0075382D" w:rsidSect="00583763">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p w14:paraId="30A8CB16" w14:textId="0E90F040" w:rsidR="000B17CB" w:rsidRPr="001E22BD" w:rsidRDefault="001E22BD" w:rsidP="000B17CB">
      <w:pPr>
        <w:spacing w:after="0"/>
        <w:jc w:val="center"/>
        <w:rPr>
          <w:rFonts w:ascii="Times New Roman" w:hAnsi="Times New Roman" w:cs="Times New Roman"/>
          <w:b/>
          <w:sz w:val="24"/>
          <w:szCs w:val="24"/>
        </w:rPr>
      </w:pPr>
      <w:r w:rsidRPr="001E22BD">
        <w:rPr>
          <w:rFonts w:ascii="Times New Roman" w:hAnsi="Times New Roman" w:cs="Times New Roman"/>
          <w:b/>
          <w:sz w:val="24"/>
          <w:szCs w:val="24"/>
        </w:rPr>
        <w:lastRenderedPageBreak/>
        <w:t>Nepieciešam</w:t>
      </w:r>
      <w:r w:rsidR="00863960">
        <w:rPr>
          <w:rFonts w:ascii="Times New Roman" w:hAnsi="Times New Roman" w:cs="Times New Roman"/>
          <w:b/>
          <w:sz w:val="24"/>
          <w:szCs w:val="24"/>
        </w:rPr>
        <w:t xml:space="preserve">ie </w:t>
      </w:r>
      <w:r w:rsidR="00863960" w:rsidRPr="001E22BD">
        <w:rPr>
          <w:rFonts w:ascii="Times New Roman" w:hAnsi="Times New Roman" w:cs="Times New Roman"/>
          <w:b/>
          <w:sz w:val="24"/>
          <w:szCs w:val="24"/>
        </w:rPr>
        <w:t xml:space="preserve">Ministru kabineta lēmumi </w:t>
      </w:r>
      <w:r w:rsidR="00863960">
        <w:rPr>
          <w:rFonts w:ascii="Times New Roman" w:hAnsi="Times New Roman" w:cs="Times New Roman"/>
          <w:b/>
          <w:sz w:val="24"/>
          <w:szCs w:val="24"/>
        </w:rPr>
        <w:t xml:space="preserve">un </w:t>
      </w:r>
      <w:r w:rsidRPr="001E22BD">
        <w:rPr>
          <w:rFonts w:ascii="Times New Roman" w:hAnsi="Times New Roman" w:cs="Times New Roman"/>
          <w:b/>
          <w:sz w:val="24"/>
          <w:szCs w:val="24"/>
        </w:rPr>
        <w:t>t</w:t>
      </w:r>
      <w:r w:rsidR="000B17CB" w:rsidRPr="001E22BD">
        <w:rPr>
          <w:rFonts w:ascii="Times New Roman" w:hAnsi="Times New Roman" w:cs="Times New Roman"/>
          <w:b/>
          <w:sz w:val="24"/>
          <w:szCs w:val="24"/>
        </w:rPr>
        <w:t>urpmākā rīcība</w:t>
      </w:r>
    </w:p>
    <w:p w14:paraId="5683E92D" w14:textId="433EFC88" w:rsidR="000B17CB" w:rsidRPr="0075382D" w:rsidRDefault="00206B46" w:rsidP="000B17CB">
      <w:pPr>
        <w:spacing w:after="0"/>
        <w:rPr>
          <w:rFonts w:ascii="Times New Roman" w:hAnsi="Times New Roman" w:cs="Times New Roman"/>
          <w:bCs/>
          <w:sz w:val="24"/>
          <w:szCs w:val="24"/>
        </w:rPr>
      </w:pPr>
      <w:r w:rsidRPr="0075382D">
        <w:rPr>
          <w:rFonts w:ascii="Times New Roman" w:hAnsi="Times New Roman" w:cs="Times New Roman"/>
          <w:bCs/>
          <w:sz w:val="24"/>
          <w:szCs w:val="24"/>
        </w:rPr>
        <w:tab/>
      </w:r>
    </w:p>
    <w:p w14:paraId="638F9758" w14:textId="70FBD37A" w:rsidR="00863960" w:rsidRPr="001E6AA6" w:rsidRDefault="00863960" w:rsidP="00D1167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Lai nodrošinātu </w:t>
      </w:r>
      <w:r w:rsidRPr="00863960">
        <w:rPr>
          <w:rFonts w:ascii="Times New Roman" w:hAnsi="Times New Roman" w:cs="Times New Roman"/>
          <w:sz w:val="24"/>
          <w:szCs w:val="24"/>
        </w:rPr>
        <w:t>juridisko personu maksātnespējas procesa dokumentu nodošanu glabāšanā arhīvā bez maksas</w:t>
      </w:r>
      <w:r w:rsidRPr="00F22F68">
        <w:rPr>
          <w:rFonts w:ascii="Times New Roman" w:hAnsi="Times New Roman" w:cs="Times New Roman"/>
          <w:bCs/>
          <w:sz w:val="24"/>
          <w:szCs w:val="24"/>
        </w:rPr>
        <w:t>, nepieciešams pieņemt šādus</w:t>
      </w:r>
      <w:r w:rsidRPr="00505ACA">
        <w:rPr>
          <w:rFonts w:ascii="Times New Roman" w:hAnsi="Times New Roman" w:cs="Times New Roman"/>
          <w:bCs/>
          <w:sz w:val="24"/>
          <w:szCs w:val="24"/>
        </w:rPr>
        <w:t xml:space="preserve"> Minist</w:t>
      </w:r>
      <w:r w:rsidRPr="001E6AA6">
        <w:rPr>
          <w:rFonts w:ascii="Times New Roman" w:hAnsi="Times New Roman" w:cs="Times New Roman"/>
          <w:bCs/>
          <w:sz w:val="24"/>
          <w:szCs w:val="24"/>
        </w:rPr>
        <w:t>ru kabineta lēmumus:</w:t>
      </w:r>
    </w:p>
    <w:p w14:paraId="1145FCAA" w14:textId="1A4B8705" w:rsidR="001E22BD" w:rsidRPr="001E22BD" w:rsidRDefault="001E22BD" w:rsidP="00D1167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1. </w:t>
      </w:r>
      <w:r w:rsidRPr="001E22BD">
        <w:rPr>
          <w:rFonts w:ascii="Times New Roman" w:hAnsi="Times New Roman" w:cs="Times New Roman"/>
          <w:bCs/>
          <w:sz w:val="24"/>
          <w:szCs w:val="24"/>
        </w:rPr>
        <w:t xml:space="preserve">Lai nodrošinātu dokumentu pieņemšanu bez maksas no administratoriem juridisko personu maksātnespējas procesos, </w:t>
      </w:r>
      <w:r w:rsidRPr="00863960">
        <w:rPr>
          <w:rFonts w:ascii="Times New Roman" w:hAnsi="Times New Roman" w:cs="Times New Roman"/>
          <w:bCs/>
          <w:sz w:val="24"/>
          <w:szCs w:val="24"/>
        </w:rPr>
        <w:t xml:space="preserve">atbalstīt </w:t>
      </w:r>
      <w:r w:rsidRPr="001E22BD">
        <w:rPr>
          <w:rFonts w:ascii="Times New Roman" w:hAnsi="Times New Roman" w:cs="Times New Roman"/>
          <w:bCs/>
          <w:sz w:val="24"/>
          <w:szCs w:val="24"/>
        </w:rPr>
        <w:t>Tieslietu ministrijas priekšlikumu noteiktās apropriācijas izmaiņām valsts budžeta izpildes procesā veikto valsts pamatbudžeta savstarpējo transfertu izmantošanai 100 000 </w:t>
      </w:r>
      <w:r w:rsidRPr="001E22BD">
        <w:rPr>
          <w:rFonts w:ascii="Times New Roman" w:hAnsi="Times New Roman" w:cs="Times New Roman"/>
          <w:bCs/>
          <w:i/>
          <w:iCs/>
          <w:sz w:val="24"/>
          <w:szCs w:val="24"/>
        </w:rPr>
        <w:t>euro</w:t>
      </w:r>
      <w:r w:rsidRPr="001E22BD">
        <w:rPr>
          <w:rFonts w:ascii="Times New Roman" w:hAnsi="Times New Roman" w:cs="Times New Roman"/>
          <w:bCs/>
          <w:sz w:val="24"/>
          <w:szCs w:val="24"/>
        </w:rPr>
        <w:t xml:space="preserve"> apmērā katru gadu no 2022. gada līdz 2029. gadam no Tieslietu ministrijas apakšprogrammas 06.05.00 "Maksātnespējas procesa izmaksas" tās ietvaros veicot pārdali starp izdevumu kodiem atbilstoši ekonomiskajām kategorijām, uz Kultūras ministrijas budžeta programmu 21.00.00 "Kultūras mantojums".</w:t>
      </w:r>
    </w:p>
    <w:p w14:paraId="1FB14E44" w14:textId="103F75E4" w:rsidR="00D11671" w:rsidRDefault="001E22BD" w:rsidP="00D11671">
      <w:pPr>
        <w:spacing w:after="0" w:line="240" w:lineRule="auto"/>
        <w:ind w:firstLine="720"/>
        <w:jc w:val="both"/>
        <w:rPr>
          <w:rFonts w:ascii="Times New Roman" w:hAnsi="Times New Roman"/>
          <w:sz w:val="24"/>
        </w:rPr>
      </w:pPr>
      <w:r w:rsidRPr="0075382D">
        <w:rPr>
          <w:rFonts w:ascii="Times New Roman" w:hAnsi="Times New Roman" w:cs="Times New Roman"/>
          <w:sz w:val="24"/>
          <w:szCs w:val="24"/>
        </w:rPr>
        <w:t>2.</w:t>
      </w:r>
      <w:r w:rsidRPr="00FC5F04">
        <w:rPr>
          <w:rFonts w:ascii="Times New Roman" w:hAnsi="Times New Roman" w:cs="Times New Roman"/>
          <w:sz w:val="24"/>
          <w:szCs w:val="24"/>
        </w:rPr>
        <w:t> Lai nodrošinātu līdzekļu izmantošanas caurskatāmību,</w:t>
      </w:r>
      <w:r w:rsidRPr="0075382D">
        <w:rPr>
          <w:rFonts w:ascii="Times New Roman" w:hAnsi="Times New Roman" w:cs="Times New Roman"/>
          <w:sz w:val="24"/>
          <w:szCs w:val="24"/>
        </w:rPr>
        <w:t xml:space="preserve"> nepieciešams uzdot </w:t>
      </w:r>
      <w:r w:rsidRPr="001E22BD">
        <w:rPr>
          <w:rFonts w:ascii="Times New Roman" w:hAnsi="Times New Roman" w:cs="Times New Roman"/>
          <w:sz w:val="24"/>
          <w:szCs w:val="24"/>
        </w:rPr>
        <w:t>Latvijas Nacionālajam arhīvam ar 2023. gadu un turpmāk katru gadu līdz janvāra beigām iesniegt Maksātnespējas kontroles dienestam atskaiti par juridiskās personas maksātnespējas procesu skaitu, kuros bez maksas ir pieņemti dokumenti no administratoriem.</w:t>
      </w:r>
      <w:r>
        <w:rPr>
          <w:rFonts w:ascii="Times New Roman" w:hAnsi="Times New Roman" w:cs="Times New Roman"/>
          <w:sz w:val="24"/>
          <w:szCs w:val="24"/>
        </w:rPr>
        <w:t xml:space="preserve"> </w:t>
      </w:r>
    </w:p>
    <w:p w14:paraId="02CC27C7" w14:textId="7548729B" w:rsidR="00D11671" w:rsidRDefault="00863960" w:rsidP="00D11671">
      <w:pPr>
        <w:spacing w:after="0" w:line="240" w:lineRule="auto"/>
        <w:ind w:firstLine="720"/>
        <w:jc w:val="both"/>
        <w:rPr>
          <w:rFonts w:ascii="Times New Roman" w:hAnsi="Times New Roman"/>
          <w:sz w:val="24"/>
        </w:rPr>
      </w:pPr>
      <w:r>
        <w:rPr>
          <w:rFonts w:ascii="Times New Roman" w:hAnsi="Times New Roman"/>
          <w:sz w:val="24"/>
        </w:rPr>
        <w:t xml:space="preserve">Turpmākā </w:t>
      </w:r>
      <w:r w:rsidR="001E22BD">
        <w:rPr>
          <w:rFonts w:ascii="Times New Roman" w:hAnsi="Times New Roman"/>
          <w:sz w:val="24"/>
        </w:rPr>
        <w:t>Tieslietu ministrijas rīcība pēc Ministru kabineta lēmumu pieņemšanas:</w:t>
      </w:r>
    </w:p>
    <w:p w14:paraId="5758F34B" w14:textId="25D83F10" w:rsidR="00D11671" w:rsidRPr="00F934B0" w:rsidRDefault="009922C9" w:rsidP="00F934B0">
      <w:pPr>
        <w:spacing w:after="0" w:line="240" w:lineRule="auto"/>
        <w:ind w:firstLine="720"/>
        <w:jc w:val="both"/>
        <w:rPr>
          <w:rFonts w:ascii="Times New Roman" w:hAnsi="Times New Roman" w:cs="Times New Roman"/>
          <w:sz w:val="24"/>
          <w:szCs w:val="24"/>
        </w:rPr>
      </w:pPr>
      <w:r w:rsidRPr="00FC5F04">
        <w:rPr>
          <w:rFonts w:ascii="Times New Roman" w:hAnsi="Times New Roman" w:cs="Times New Roman"/>
          <w:sz w:val="24"/>
          <w:szCs w:val="24"/>
        </w:rPr>
        <w:t>L</w:t>
      </w:r>
      <w:r w:rsidR="000B17CB" w:rsidRPr="00FC5F04">
        <w:rPr>
          <w:rFonts w:ascii="Times New Roman" w:hAnsi="Times New Roman" w:cs="Times New Roman"/>
          <w:sz w:val="24"/>
          <w:szCs w:val="24"/>
        </w:rPr>
        <w:t xml:space="preserve">ai </w:t>
      </w:r>
      <w:r w:rsidR="000B17CB" w:rsidRPr="0075382D">
        <w:rPr>
          <w:rFonts w:ascii="Times New Roman" w:hAnsi="Times New Roman" w:cs="Times New Roman"/>
          <w:sz w:val="24"/>
          <w:szCs w:val="24"/>
        </w:rPr>
        <w:t>nodrošinātu ar dokumentu nodošanu glabāšan</w:t>
      </w:r>
      <w:r w:rsidRPr="0075382D">
        <w:rPr>
          <w:rFonts w:ascii="Times New Roman" w:hAnsi="Times New Roman" w:cs="Times New Roman"/>
          <w:sz w:val="24"/>
          <w:szCs w:val="24"/>
        </w:rPr>
        <w:t>ā</w:t>
      </w:r>
      <w:r w:rsidR="000B17CB" w:rsidRPr="0075382D">
        <w:rPr>
          <w:rFonts w:ascii="Times New Roman" w:hAnsi="Times New Roman" w:cs="Times New Roman"/>
          <w:sz w:val="24"/>
          <w:szCs w:val="24"/>
        </w:rPr>
        <w:t xml:space="preserve"> arhīv</w:t>
      </w:r>
      <w:r w:rsidRPr="0075382D">
        <w:rPr>
          <w:rFonts w:ascii="Times New Roman" w:hAnsi="Times New Roman" w:cs="Times New Roman"/>
          <w:sz w:val="24"/>
          <w:szCs w:val="24"/>
        </w:rPr>
        <w:t>ā</w:t>
      </w:r>
      <w:r w:rsidR="000B17CB" w:rsidRPr="0075382D">
        <w:rPr>
          <w:rFonts w:ascii="Times New Roman" w:hAnsi="Times New Roman" w:cs="Times New Roman"/>
          <w:sz w:val="24"/>
          <w:szCs w:val="24"/>
        </w:rPr>
        <w:t xml:space="preserve"> saistīto izmaksu segšanu, Tieslietu ministrija </w:t>
      </w:r>
      <w:r w:rsidR="00344196" w:rsidRPr="0075382D">
        <w:rPr>
          <w:rFonts w:ascii="Times New Roman" w:hAnsi="Times New Roman" w:cs="Times New Roman"/>
          <w:sz w:val="24"/>
          <w:szCs w:val="24"/>
        </w:rPr>
        <w:t>iesnieg</w:t>
      </w:r>
      <w:r w:rsidR="004F2EF8">
        <w:rPr>
          <w:rFonts w:ascii="Times New Roman" w:hAnsi="Times New Roman" w:cs="Times New Roman"/>
          <w:sz w:val="24"/>
          <w:szCs w:val="24"/>
        </w:rPr>
        <w:t>s</w:t>
      </w:r>
      <w:r w:rsidR="00344196" w:rsidRPr="0075382D">
        <w:rPr>
          <w:rFonts w:ascii="Times New Roman" w:hAnsi="Times New Roman" w:cs="Times New Roman"/>
          <w:sz w:val="24"/>
          <w:szCs w:val="24"/>
        </w:rPr>
        <w:t xml:space="preserve"> Finanšu ministrijā priekšlikumu </w:t>
      </w:r>
      <w:bookmarkStart w:id="5" w:name="_Hlk75858707"/>
      <w:r w:rsidR="00344196" w:rsidRPr="0075382D">
        <w:rPr>
          <w:rFonts w:ascii="Times New Roman" w:hAnsi="Times New Roman" w:cs="Times New Roman"/>
          <w:sz w:val="24"/>
          <w:szCs w:val="24"/>
        </w:rPr>
        <w:t xml:space="preserve">palielināt maksas pakalpojumu un citu pašu ieņēmumu </w:t>
      </w:r>
      <w:bookmarkEnd w:id="5"/>
      <w:r w:rsidR="00344196" w:rsidRPr="0075382D">
        <w:rPr>
          <w:rFonts w:ascii="Times New Roman" w:hAnsi="Times New Roman" w:cs="Times New Roman"/>
          <w:sz w:val="24"/>
          <w:szCs w:val="24"/>
        </w:rPr>
        <w:t>naudas līdzekļu atlikumu izmantošan</w:t>
      </w:r>
      <w:r w:rsidR="00F23D06">
        <w:rPr>
          <w:rFonts w:ascii="Times New Roman" w:hAnsi="Times New Roman" w:cs="Times New Roman"/>
          <w:sz w:val="24"/>
          <w:szCs w:val="24"/>
        </w:rPr>
        <w:t>ai</w:t>
      </w:r>
      <w:r w:rsidR="00344196" w:rsidRPr="0075382D">
        <w:rPr>
          <w:rFonts w:ascii="Times New Roman" w:hAnsi="Times New Roman" w:cs="Times New Roman"/>
          <w:sz w:val="24"/>
          <w:szCs w:val="24"/>
        </w:rPr>
        <w:t xml:space="preserve"> apakšprogrammā 06.05.00</w:t>
      </w:r>
      <w:r w:rsidR="00E33C49" w:rsidRPr="0075382D">
        <w:rPr>
          <w:rFonts w:ascii="Times New Roman" w:hAnsi="Times New Roman" w:cs="Times New Roman"/>
          <w:sz w:val="24"/>
          <w:szCs w:val="24"/>
        </w:rPr>
        <w:t> </w:t>
      </w:r>
      <w:r w:rsidR="00344196" w:rsidRPr="0075382D">
        <w:rPr>
          <w:rFonts w:ascii="Times New Roman" w:hAnsi="Times New Roman" w:cs="Times New Roman"/>
          <w:sz w:val="24"/>
          <w:szCs w:val="24"/>
        </w:rPr>
        <w:t xml:space="preserve">"Maksātnespējas procesa izmaksas" </w:t>
      </w:r>
      <w:bookmarkStart w:id="6" w:name="_Hlk75862824"/>
      <w:r w:rsidR="00344196" w:rsidRPr="0075382D">
        <w:rPr>
          <w:rFonts w:ascii="Times New Roman" w:hAnsi="Times New Roman" w:cs="Times New Roman"/>
          <w:sz w:val="24"/>
          <w:szCs w:val="24"/>
        </w:rPr>
        <w:t>2022.-2029.</w:t>
      </w:r>
      <w:r w:rsidR="001D1089" w:rsidRPr="0075382D">
        <w:rPr>
          <w:rFonts w:ascii="Times New Roman" w:hAnsi="Times New Roman" w:cs="Times New Roman"/>
          <w:sz w:val="24"/>
          <w:szCs w:val="24"/>
        </w:rPr>
        <w:t> </w:t>
      </w:r>
      <w:r w:rsidR="00344196" w:rsidRPr="0075382D">
        <w:rPr>
          <w:rFonts w:ascii="Times New Roman" w:hAnsi="Times New Roman" w:cs="Times New Roman"/>
          <w:sz w:val="24"/>
          <w:szCs w:val="24"/>
        </w:rPr>
        <w:t>gadam 100 000 </w:t>
      </w:r>
      <w:r w:rsidR="00344196" w:rsidRPr="0075382D">
        <w:rPr>
          <w:rFonts w:ascii="Times New Roman" w:hAnsi="Times New Roman" w:cs="Times New Roman"/>
          <w:i/>
          <w:iCs/>
          <w:sz w:val="24"/>
          <w:szCs w:val="24"/>
        </w:rPr>
        <w:t>euro</w:t>
      </w:r>
      <w:r w:rsidR="00344196" w:rsidRPr="0075382D">
        <w:rPr>
          <w:rFonts w:ascii="Times New Roman" w:hAnsi="Times New Roman" w:cs="Times New Roman"/>
          <w:sz w:val="24"/>
          <w:szCs w:val="24"/>
        </w:rPr>
        <w:t xml:space="preserve"> apmērā, lai nodrošinātu transferta pārskaitījumu </w:t>
      </w:r>
      <w:bookmarkStart w:id="7" w:name="_Hlk75859326"/>
      <w:r w:rsidR="00344196" w:rsidRPr="0075382D">
        <w:rPr>
          <w:rFonts w:ascii="Times New Roman" w:hAnsi="Times New Roman" w:cs="Times New Roman"/>
          <w:sz w:val="24"/>
          <w:szCs w:val="24"/>
        </w:rPr>
        <w:t>Kultūras ministrijai (</w:t>
      </w:r>
      <w:r w:rsidR="00344196" w:rsidRPr="0075382D">
        <w:rPr>
          <w:rFonts w:ascii="Times New Roman" w:hAnsi="Times New Roman" w:cs="Times New Roman"/>
          <w:bCs/>
          <w:sz w:val="24"/>
          <w:szCs w:val="24"/>
        </w:rPr>
        <w:t>Latvijas Nacionālajam arhīvam)</w:t>
      </w:r>
      <w:bookmarkEnd w:id="7"/>
      <w:r w:rsidR="00344196" w:rsidRPr="0075382D">
        <w:rPr>
          <w:rFonts w:ascii="Times New Roman" w:hAnsi="Times New Roman" w:cs="Times New Roman"/>
          <w:bCs/>
          <w:sz w:val="24"/>
          <w:szCs w:val="24"/>
        </w:rPr>
        <w:t xml:space="preserve"> </w:t>
      </w:r>
      <w:r w:rsidR="00344196" w:rsidRPr="0075382D">
        <w:rPr>
          <w:rFonts w:ascii="Times New Roman" w:hAnsi="Times New Roman" w:cs="Times New Roman"/>
          <w:sz w:val="24"/>
          <w:szCs w:val="24"/>
        </w:rPr>
        <w:t>dokumentu pieņemšanai no administratoriem juridisko personu maksātnespējas procesos</w:t>
      </w:r>
      <w:r w:rsidR="00AF6D9F" w:rsidRPr="0075382D">
        <w:rPr>
          <w:rFonts w:ascii="Times New Roman" w:hAnsi="Times New Roman" w:cs="Times New Roman"/>
          <w:sz w:val="24"/>
          <w:szCs w:val="24"/>
        </w:rPr>
        <w:t xml:space="preserve"> bez maksas</w:t>
      </w:r>
      <w:r w:rsidR="00344196" w:rsidRPr="0075382D">
        <w:rPr>
          <w:rFonts w:ascii="Times New Roman" w:hAnsi="Times New Roman" w:cs="Times New Roman"/>
          <w:sz w:val="24"/>
          <w:szCs w:val="24"/>
        </w:rPr>
        <w:t>.</w:t>
      </w:r>
      <w:bookmarkEnd w:id="6"/>
      <w:r w:rsidR="00F934B0">
        <w:rPr>
          <w:rFonts w:ascii="Times New Roman" w:hAnsi="Times New Roman" w:cs="Times New Roman"/>
          <w:sz w:val="24"/>
          <w:szCs w:val="24"/>
        </w:rPr>
        <w:t xml:space="preserve"> </w:t>
      </w:r>
    </w:p>
    <w:p w14:paraId="72AEA4E7" w14:textId="031A5FC2" w:rsidR="000B17CB" w:rsidRPr="0075382D" w:rsidRDefault="000B17CB" w:rsidP="00D11671">
      <w:pPr>
        <w:spacing w:after="0" w:line="240" w:lineRule="auto"/>
        <w:ind w:firstLine="720"/>
        <w:jc w:val="both"/>
        <w:rPr>
          <w:rFonts w:ascii="Times New Roman" w:hAnsi="Times New Roman" w:cs="Times New Roman"/>
          <w:sz w:val="24"/>
          <w:szCs w:val="24"/>
        </w:rPr>
      </w:pPr>
      <w:r w:rsidRPr="0075382D">
        <w:rPr>
          <w:rFonts w:ascii="Times New Roman" w:hAnsi="Times New Roman" w:cs="Times New Roman"/>
          <w:sz w:val="24"/>
          <w:szCs w:val="24"/>
        </w:rPr>
        <w:t xml:space="preserve">Saistībā ar </w:t>
      </w:r>
      <w:r w:rsidR="00B15CF7" w:rsidRPr="0075382D">
        <w:rPr>
          <w:rFonts w:ascii="Times New Roman" w:hAnsi="Times New Roman" w:cs="Times New Roman"/>
          <w:sz w:val="24"/>
          <w:szCs w:val="24"/>
        </w:rPr>
        <w:t xml:space="preserve">nepieciešamajiem Ministru kabineta </w:t>
      </w:r>
      <w:r w:rsidR="00D45B76" w:rsidRPr="0075382D">
        <w:rPr>
          <w:rFonts w:ascii="Times New Roman" w:hAnsi="Times New Roman" w:cs="Times New Roman"/>
          <w:sz w:val="24"/>
          <w:szCs w:val="24"/>
        </w:rPr>
        <w:t xml:space="preserve">lēmumiem </w:t>
      </w:r>
      <w:r w:rsidRPr="0075382D">
        <w:rPr>
          <w:rFonts w:ascii="Times New Roman" w:hAnsi="Times New Roman" w:cs="Times New Roman"/>
          <w:sz w:val="24"/>
          <w:szCs w:val="24"/>
        </w:rPr>
        <w:t>ir sagatavots un informatīvajam ziņojumam pievienots Ministru kabineta sēdes protokollēmuma projekts.</w:t>
      </w:r>
    </w:p>
    <w:p w14:paraId="2DFBE2E6" w14:textId="77777777" w:rsidR="000B17CB" w:rsidRPr="0075382D" w:rsidRDefault="000B17CB" w:rsidP="00D11671">
      <w:pPr>
        <w:spacing w:after="0" w:line="240" w:lineRule="auto"/>
        <w:ind w:firstLine="567"/>
        <w:jc w:val="both"/>
        <w:rPr>
          <w:rFonts w:ascii="Times New Roman" w:hAnsi="Times New Roman" w:cs="Times New Roman"/>
        </w:rPr>
      </w:pPr>
    </w:p>
    <w:p w14:paraId="70A162BD" w14:textId="77777777" w:rsidR="00583763" w:rsidRPr="0075382D" w:rsidRDefault="00583763" w:rsidP="00D11671">
      <w:pPr>
        <w:spacing w:after="0" w:line="240" w:lineRule="auto"/>
        <w:rPr>
          <w:rFonts w:ascii="Times New Roman" w:eastAsia="Times New Roman" w:hAnsi="Times New Roman" w:cs="Times New Roman"/>
          <w:sz w:val="24"/>
          <w:szCs w:val="24"/>
        </w:rPr>
      </w:pPr>
    </w:p>
    <w:p w14:paraId="7A55D9E7" w14:textId="77777777" w:rsidR="00583763" w:rsidRPr="0075382D" w:rsidRDefault="00583763" w:rsidP="00D11671">
      <w:pPr>
        <w:spacing w:after="0" w:line="240" w:lineRule="auto"/>
        <w:jc w:val="both"/>
        <w:rPr>
          <w:rFonts w:ascii="Times New Roman" w:hAnsi="Times New Roman" w:cs="Times New Roman"/>
          <w:sz w:val="24"/>
          <w:szCs w:val="24"/>
        </w:rPr>
      </w:pPr>
      <w:r w:rsidRPr="0075382D">
        <w:rPr>
          <w:rFonts w:ascii="Times New Roman" w:hAnsi="Times New Roman" w:cs="Times New Roman"/>
          <w:sz w:val="24"/>
          <w:szCs w:val="24"/>
        </w:rPr>
        <w:t>Ministru prezidenta biedrs,</w:t>
      </w:r>
    </w:p>
    <w:p w14:paraId="4A956CD3" w14:textId="77777777" w:rsidR="00583763" w:rsidRPr="0075382D" w:rsidRDefault="00583763" w:rsidP="00D11671">
      <w:pPr>
        <w:spacing w:after="0" w:line="240" w:lineRule="auto"/>
        <w:jc w:val="both"/>
        <w:rPr>
          <w:rFonts w:ascii="Times New Roman" w:hAnsi="Times New Roman" w:cs="Times New Roman"/>
          <w:sz w:val="24"/>
          <w:szCs w:val="24"/>
        </w:rPr>
      </w:pPr>
      <w:r w:rsidRPr="0075382D">
        <w:rPr>
          <w:rFonts w:ascii="Times New Roman" w:hAnsi="Times New Roman" w:cs="Times New Roman"/>
          <w:sz w:val="24"/>
          <w:szCs w:val="24"/>
        </w:rPr>
        <w:t>tieslietu ministrs</w:t>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t>Jānis Bordāns</w:t>
      </w:r>
    </w:p>
    <w:p w14:paraId="617CC8DF" w14:textId="77777777" w:rsidR="00583763" w:rsidRPr="0075382D" w:rsidRDefault="00583763" w:rsidP="00D11671">
      <w:pPr>
        <w:spacing w:after="0" w:line="240" w:lineRule="auto"/>
        <w:jc w:val="both"/>
        <w:rPr>
          <w:rFonts w:ascii="Times New Roman" w:hAnsi="Times New Roman" w:cs="Times New Roman"/>
          <w:sz w:val="24"/>
          <w:szCs w:val="24"/>
        </w:rPr>
      </w:pPr>
    </w:p>
    <w:p w14:paraId="0B32F446" w14:textId="77777777" w:rsidR="00583763" w:rsidRPr="0075382D" w:rsidRDefault="00583763" w:rsidP="00D11671">
      <w:pPr>
        <w:spacing w:after="0" w:line="240" w:lineRule="auto"/>
        <w:jc w:val="both"/>
        <w:rPr>
          <w:rFonts w:ascii="Times New Roman" w:hAnsi="Times New Roman" w:cs="Times New Roman"/>
          <w:sz w:val="24"/>
          <w:szCs w:val="24"/>
        </w:rPr>
      </w:pPr>
      <w:r w:rsidRPr="0075382D">
        <w:rPr>
          <w:rFonts w:ascii="Times New Roman" w:hAnsi="Times New Roman" w:cs="Times New Roman"/>
          <w:sz w:val="24"/>
          <w:szCs w:val="24"/>
        </w:rPr>
        <w:t>Iesniedzējs:</w:t>
      </w:r>
    </w:p>
    <w:p w14:paraId="3CD1CC10" w14:textId="77777777" w:rsidR="00583763" w:rsidRPr="0075382D" w:rsidRDefault="00583763" w:rsidP="00D11671">
      <w:pPr>
        <w:spacing w:after="0" w:line="240" w:lineRule="auto"/>
        <w:jc w:val="both"/>
        <w:rPr>
          <w:rFonts w:ascii="Times New Roman" w:hAnsi="Times New Roman" w:cs="Times New Roman"/>
          <w:sz w:val="24"/>
          <w:szCs w:val="24"/>
        </w:rPr>
      </w:pPr>
      <w:r w:rsidRPr="0075382D">
        <w:rPr>
          <w:rFonts w:ascii="Times New Roman" w:hAnsi="Times New Roman" w:cs="Times New Roman"/>
          <w:sz w:val="24"/>
          <w:szCs w:val="24"/>
        </w:rPr>
        <w:t>Tieslietu ministrijas valsts sekretārs</w:t>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r>
      <w:r w:rsidRPr="0075382D">
        <w:rPr>
          <w:rFonts w:ascii="Times New Roman" w:hAnsi="Times New Roman" w:cs="Times New Roman"/>
          <w:sz w:val="24"/>
          <w:szCs w:val="24"/>
        </w:rPr>
        <w:tab/>
        <w:t>Raivis Kronbergs</w:t>
      </w:r>
    </w:p>
    <w:p w14:paraId="578E6936" w14:textId="77777777" w:rsidR="00583763" w:rsidRPr="0075382D" w:rsidRDefault="00583763" w:rsidP="00D11671">
      <w:pPr>
        <w:spacing w:after="0" w:line="240" w:lineRule="auto"/>
        <w:jc w:val="both"/>
        <w:rPr>
          <w:rFonts w:ascii="Times New Roman" w:hAnsi="Times New Roman" w:cs="Times New Roman"/>
          <w:sz w:val="24"/>
          <w:szCs w:val="24"/>
        </w:rPr>
      </w:pPr>
    </w:p>
    <w:p w14:paraId="0D672FEF" w14:textId="77777777" w:rsidR="00583763" w:rsidRPr="0075382D" w:rsidRDefault="00583763" w:rsidP="00D11671">
      <w:pPr>
        <w:spacing w:after="0" w:line="240" w:lineRule="auto"/>
        <w:jc w:val="both"/>
        <w:rPr>
          <w:rFonts w:ascii="Times New Roman" w:hAnsi="Times New Roman" w:cs="Times New Roman"/>
          <w:sz w:val="24"/>
          <w:szCs w:val="24"/>
        </w:rPr>
      </w:pPr>
    </w:p>
    <w:p w14:paraId="7729328F" w14:textId="77777777" w:rsidR="00583763" w:rsidRPr="0075382D" w:rsidRDefault="00583763" w:rsidP="00D11671">
      <w:pPr>
        <w:spacing w:after="0" w:line="240" w:lineRule="auto"/>
        <w:jc w:val="both"/>
        <w:rPr>
          <w:rFonts w:ascii="Times New Roman" w:hAnsi="Times New Roman" w:cs="Times New Roman"/>
          <w:sz w:val="24"/>
          <w:szCs w:val="24"/>
        </w:rPr>
      </w:pPr>
    </w:p>
    <w:p w14:paraId="1B7B9531" w14:textId="66CAEE0D" w:rsidR="00583763" w:rsidRPr="0075382D" w:rsidRDefault="00583763" w:rsidP="00D11671">
      <w:pPr>
        <w:spacing w:after="0" w:line="240" w:lineRule="auto"/>
        <w:rPr>
          <w:rFonts w:ascii="Times New Roman" w:hAnsi="Times New Roman" w:cs="Times New Roman"/>
          <w:sz w:val="20"/>
          <w:szCs w:val="20"/>
        </w:rPr>
      </w:pPr>
      <w:r w:rsidRPr="0075382D">
        <w:rPr>
          <w:rFonts w:ascii="Times New Roman" w:hAnsi="Times New Roman" w:cs="Times New Roman"/>
          <w:sz w:val="20"/>
          <w:szCs w:val="20"/>
        </w:rPr>
        <w:t>Priednieks 67099106</w:t>
      </w:r>
    </w:p>
    <w:p w14:paraId="44BD969E" w14:textId="39593E63" w:rsidR="00D10F80" w:rsidRPr="0075382D" w:rsidRDefault="00583763" w:rsidP="00D11671">
      <w:pPr>
        <w:spacing w:after="0" w:line="240" w:lineRule="auto"/>
      </w:pPr>
      <w:r w:rsidRPr="0075382D">
        <w:rPr>
          <w:rFonts w:ascii="Times New Roman" w:hAnsi="Times New Roman" w:cs="Times New Roman"/>
          <w:sz w:val="20"/>
          <w:szCs w:val="20"/>
        </w:rPr>
        <w:t>normunds.priednieks@mkd.gov.lv</w:t>
      </w:r>
      <w:bookmarkEnd w:id="2"/>
    </w:p>
    <w:sectPr w:rsidR="00D10F80" w:rsidRPr="0075382D" w:rsidSect="001E22BD">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6AEF" w14:textId="77777777" w:rsidR="00B8596C" w:rsidRDefault="00B8596C" w:rsidP="00D10F80">
      <w:pPr>
        <w:spacing w:after="0" w:line="240" w:lineRule="auto"/>
      </w:pPr>
      <w:r>
        <w:separator/>
      </w:r>
    </w:p>
  </w:endnote>
  <w:endnote w:type="continuationSeparator" w:id="0">
    <w:p w14:paraId="6F9A7A3C" w14:textId="77777777" w:rsidR="00B8596C" w:rsidRDefault="00B8596C" w:rsidP="00D10F80">
      <w:pPr>
        <w:spacing w:after="0" w:line="240" w:lineRule="auto"/>
      </w:pPr>
      <w:r>
        <w:continuationSeparator/>
      </w:r>
    </w:p>
  </w:endnote>
  <w:endnote w:type="continuationNotice" w:id="1">
    <w:p w14:paraId="6847DFAD" w14:textId="77777777" w:rsidR="00B8596C" w:rsidRDefault="00B85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E277" w14:textId="0FBAC565" w:rsidR="00345F66" w:rsidRDefault="0053270C" w:rsidP="0053270C">
    <w:pPr>
      <w:pStyle w:val="Kjene"/>
    </w:pPr>
    <w:r w:rsidRPr="00A86996">
      <w:rPr>
        <w:rFonts w:ascii="Times New Roman" w:hAnsi="Times New Roman" w:cs="Times New Roman"/>
        <w:sz w:val="20"/>
        <w:szCs w:val="20"/>
      </w:rPr>
      <w:fldChar w:fldCharType="begin"/>
    </w:r>
    <w:r w:rsidRPr="00A86996">
      <w:rPr>
        <w:rFonts w:ascii="Times New Roman" w:hAnsi="Times New Roman" w:cs="Times New Roman"/>
        <w:sz w:val="20"/>
        <w:szCs w:val="20"/>
      </w:rPr>
      <w:instrText xml:space="preserve"> FILENAME  \* MERGEFORMAT </w:instrText>
    </w:r>
    <w:r w:rsidRPr="00A86996">
      <w:rPr>
        <w:rFonts w:ascii="Times New Roman" w:hAnsi="Times New Roman" w:cs="Times New Roman"/>
        <w:sz w:val="20"/>
        <w:szCs w:val="20"/>
      </w:rPr>
      <w:fldChar w:fldCharType="separate"/>
    </w:r>
    <w:r w:rsidR="00F15CE3">
      <w:rPr>
        <w:rFonts w:ascii="Times New Roman" w:hAnsi="Times New Roman" w:cs="Times New Roman"/>
        <w:noProof/>
        <w:sz w:val="20"/>
        <w:szCs w:val="20"/>
      </w:rPr>
      <w:t>TMZin_</w:t>
    </w:r>
    <w:r w:rsidR="00D90E1F">
      <w:rPr>
        <w:rFonts w:ascii="Times New Roman" w:hAnsi="Times New Roman" w:cs="Times New Roman"/>
        <w:noProof/>
        <w:sz w:val="20"/>
        <w:szCs w:val="20"/>
      </w:rPr>
      <w:t>100821</w:t>
    </w:r>
    <w:r w:rsidR="00F15CE3">
      <w:rPr>
        <w:rFonts w:ascii="Times New Roman" w:hAnsi="Times New Roman" w:cs="Times New Roman"/>
        <w:noProof/>
        <w:sz w:val="20"/>
        <w:szCs w:val="20"/>
      </w:rPr>
      <w:t>_arhivs</w:t>
    </w:r>
    <w:r w:rsidRPr="00A8699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DDB9" w14:textId="42E4047B" w:rsidR="00D67B01" w:rsidRPr="0053270C" w:rsidRDefault="0053270C">
    <w:pPr>
      <w:pStyle w:val="Kjene"/>
      <w:rPr>
        <w:rFonts w:ascii="Times New Roman" w:hAnsi="Times New Roman" w:cs="Times New Roman"/>
        <w:sz w:val="20"/>
        <w:szCs w:val="20"/>
      </w:rPr>
    </w:pPr>
    <w:r w:rsidRPr="00A86996">
      <w:rPr>
        <w:rFonts w:ascii="Times New Roman" w:hAnsi="Times New Roman" w:cs="Times New Roman"/>
        <w:sz w:val="20"/>
        <w:szCs w:val="20"/>
      </w:rPr>
      <w:fldChar w:fldCharType="begin"/>
    </w:r>
    <w:r w:rsidRPr="00A86996">
      <w:rPr>
        <w:rFonts w:ascii="Times New Roman" w:hAnsi="Times New Roman" w:cs="Times New Roman"/>
        <w:sz w:val="20"/>
        <w:szCs w:val="20"/>
      </w:rPr>
      <w:instrText xml:space="preserve"> FILENAME  \* MERGEFORMAT </w:instrText>
    </w:r>
    <w:r w:rsidRPr="00A86996">
      <w:rPr>
        <w:rFonts w:ascii="Times New Roman" w:hAnsi="Times New Roman" w:cs="Times New Roman"/>
        <w:sz w:val="20"/>
        <w:szCs w:val="20"/>
      </w:rPr>
      <w:fldChar w:fldCharType="separate"/>
    </w:r>
    <w:r w:rsidR="00F15CE3">
      <w:rPr>
        <w:rFonts w:ascii="Times New Roman" w:hAnsi="Times New Roman" w:cs="Times New Roman"/>
        <w:noProof/>
        <w:sz w:val="20"/>
        <w:szCs w:val="20"/>
      </w:rPr>
      <w:t>TMZin_</w:t>
    </w:r>
    <w:r w:rsidR="00D90E1F">
      <w:rPr>
        <w:rFonts w:ascii="Times New Roman" w:hAnsi="Times New Roman" w:cs="Times New Roman"/>
        <w:noProof/>
        <w:sz w:val="20"/>
        <w:szCs w:val="20"/>
      </w:rPr>
      <w:t>100821</w:t>
    </w:r>
    <w:r w:rsidR="00F15CE3">
      <w:rPr>
        <w:rFonts w:ascii="Times New Roman" w:hAnsi="Times New Roman" w:cs="Times New Roman"/>
        <w:noProof/>
        <w:sz w:val="20"/>
        <w:szCs w:val="20"/>
      </w:rPr>
      <w:t>_arhivs</w:t>
    </w:r>
    <w:r w:rsidRPr="00A8699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694E" w14:textId="77777777" w:rsidR="00B8596C" w:rsidRDefault="00B8596C" w:rsidP="00D10F80">
      <w:pPr>
        <w:spacing w:after="0" w:line="240" w:lineRule="auto"/>
      </w:pPr>
      <w:r>
        <w:separator/>
      </w:r>
    </w:p>
  </w:footnote>
  <w:footnote w:type="continuationSeparator" w:id="0">
    <w:p w14:paraId="1E2EA493" w14:textId="77777777" w:rsidR="00B8596C" w:rsidRDefault="00B8596C" w:rsidP="00D10F80">
      <w:pPr>
        <w:spacing w:after="0" w:line="240" w:lineRule="auto"/>
      </w:pPr>
      <w:r>
        <w:continuationSeparator/>
      </w:r>
    </w:p>
  </w:footnote>
  <w:footnote w:type="continuationNotice" w:id="1">
    <w:p w14:paraId="1DB8CCCA" w14:textId="77777777" w:rsidR="00B8596C" w:rsidRDefault="00B8596C">
      <w:pPr>
        <w:spacing w:after="0" w:line="240" w:lineRule="auto"/>
      </w:pPr>
    </w:p>
  </w:footnote>
  <w:footnote w:id="2">
    <w:p w14:paraId="47EEE031" w14:textId="5A2A921A" w:rsidR="005356E0" w:rsidRDefault="005356E0" w:rsidP="005356E0">
      <w:pPr>
        <w:pStyle w:val="Vresteksts"/>
        <w:jc w:val="both"/>
      </w:pPr>
      <w:r>
        <w:rPr>
          <w:rStyle w:val="Vresatsauce"/>
        </w:rPr>
        <w:footnoteRef/>
      </w:r>
      <w:r>
        <w:t xml:space="preserve"> Piemēram, SIA "Ogres Televīzija"</w:t>
      </w:r>
      <w:r w:rsidRPr="00912562">
        <w:t xml:space="preserve"> </w:t>
      </w:r>
      <w:r>
        <w:t xml:space="preserve">maksātnespējas procesā arhīvs bija aicinājis administratoru nodot glabāšanai arhīvam </w:t>
      </w:r>
      <w:r w:rsidRPr="00912562">
        <w:rPr>
          <w:iCs/>
        </w:rPr>
        <w:t>saimnieciskās darbības rezultātā vairāku gadu garumā sagatavotos audiovizuālos materiālus</w:t>
      </w:r>
      <w:r>
        <w:rPr>
          <w:iCs/>
        </w:rPr>
        <w:t xml:space="preserve">, kas atbilstoši provizoriskajam aprēķinam sastādīja vairāk nekā tūkstoti eiro, ņemot vērā to, ka administratore pati veica sagatavošanas darbus ierakstu nodošanai arhīvam – iepirkusi datu nesējus un ar pārinieka pārstāvja palīdzību veica </w:t>
      </w:r>
      <w:r w:rsidRPr="00023415">
        <w:rPr>
          <w:iCs/>
        </w:rPr>
        <w:t>audiovizuālos materiālu</w:t>
      </w:r>
      <w:r>
        <w:rPr>
          <w:iCs/>
        </w:rPr>
        <w:t xml:space="preserve"> ierakstīšanu. Tāpat dokumentu nodošanas izmaksas VSIA</w:t>
      </w:r>
      <w:r w:rsidR="00426C22">
        <w:rPr>
          <w:iCs/>
        </w:rPr>
        <w:t> </w:t>
      </w:r>
      <w:r>
        <w:rPr>
          <w:iCs/>
        </w:rPr>
        <w:t>"Vides projekti" maksātnespējas procesā kopumā sastādīja ap 3000</w:t>
      </w:r>
      <w:r w:rsidR="00426C22">
        <w:rPr>
          <w:iCs/>
        </w:rPr>
        <w:t> </w:t>
      </w:r>
      <w:r>
        <w:rPr>
          <w:iCs/>
        </w:rPr>
        <w:t>eiro.</w:t>
      </w:r>
    </w:p>
  </w:footnote>
  <w:footnote w:id="3">
    <w:p w14:paraId="321B9217" w14:textId="77777777" w:rsidR="005356E0" w:rsidRDefault="005356E0" w:rsidP="005356E0">
      <w:pPr>
        <w:pStyle w:val="Vresteksts"/>
        <w:jc w:val="both"/>
      </w:pPr>
      <w:r>
        <w:rPr>
          <w:rStyle w:val="Vresatsauce"/>
        </w:rPr>
        <w:footnoteRef/>
      </w:r>
      <w:r>
        <w:t xml:space="preserve"> </w:t>
      </w:r>
      <w:r w:rsidRPr="00F074BA">
        <w:rPr>
          <w:bCs/>
        </w:rPr>
        <w:t>Ministru kabineta</w:t>
      </w:r>
      <w:r>
        <w:rPr>
          <w:bCs/>
        </w:rPr>
        <w:t xml:space="preserve"> 2012. gada 6. novembra noteikumu </w:t>
      </w:r>
      <w:r w:rsidRPr="00F074BA">
        <w:rPr>
          <w:bCs/>
        </w:rPr>
        <w:t>Nr.</w:t>
      </w:r>
      <w:r>
        <w:rPr>
          <w:bCs/>
        </w:rPr>
        <w:t> </w:t>
      </w:r>
      <w:r w:rsidRPr="00F074BA">
        <w:rPr>
          <w:bCs/>
        </w:rPr>
        <w:t>749</w:t>
      </w:r>
      <w:r>
        <w:rPr>
          <w:bCs/>
        </w:rPr>
        <w:t xml:space="preserve"> "</w:t>
      </w:r>
      <w:r w:rsidRPr="00F074BA">
        <w:rPr>
          <w:bCs/>
        </w:rPr>
        <w:t>Kārtība, kādā nodod dokumentus pastāvīgā valsts glabāšanā Latvijas Nacionālajā arhīvā</w:t>
      </w:r>
      <w:r>
        <w:rPr>
          <w:bCs/>
        </w:rPr>
        <w:t>" 15. punkts noteic, j</w:t>
      </w:r>
      <w:r w:rsidRPr="00F074BA">
        <w:rPr>
          <w:bCs/>
        </w:rPr>
        <w:t>a valsts glabāšanā arhīvā nododamie dokumenti nav sakārtoti un aprakstīti atbilstoši arhīvu jomu reglamentējošo normatīvo aktu prasībām, attiecīgā institūcija vai privātpersona sedz izdevumus par pastāvīgā valsts glabāšanā nododamo dokumentu sakārtošanu un aprakstīšanu.</w:t>
      </w:r>
    </w:p>
  </w:footnote>
  <w:footnote w:id="4">
    <w:p w14:paraId="37B4259E" w14:textId="08B47DC8" w:rsidR="007810F2" w:rsidRDefault="007810F2" w:rsidP="007810F2">
      <w:pPr>
        <w:pStyle w:val="Vresteksts"/>
        <w:jc w:val="both"/>
      </w:pPr>
      <w:r>
        <w:rPr>
          <w:rStyle w:val="Vresatsauce"/>
        </w:rPr>
        <w:footnoteRef/>
      </w:r>
      <w:r>
        <w:t xml:space="preserve"> </w:t>
      </w:r>
      <w:r w:rsidRPr="007810F2">
        <w:t>2021.</w:t>
      </w:r>
      <w:r>
        <w:t> </w:t>
      </w:r>
      <w:r w:rsidRPr="007810F2">
        <w:t>gada 15.</w:t>
      </w:r>
      <w:r>
        <w:t> </w:t>
      </w:r>
      <w:r w:rsidRPr="007810F2">
        <w:t xml:space="preserve">jūnija likums "Grozījumi Maksātnespējas likumā". Publicēts oficiālajā izdevumā "Latvijas Vēstnesis", 28.06.2021., Nr. 121B </w:t>
      </w:r>
      <w:hyperlink r:id="rId1" w:history="1">
        <w:r w:rsidRPr="00983FD1">
          <w:rPr>
            <w:rStyle w:val="Hipersaite"/>
          </w:rPr>
          <w:t>https://www.vestnesis.lv/op/2021/121B.16</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352215"/>
      <w:docPartObj>
        <w:docPartGallery w:val="Page Numbers (Top of Page)"/>
        <w:docPartUnique/>
      </w:docPartObj>
    </w:sdtPr>
    <w:sdtEndPr/>
    <w:sdtContent>
      <w:p w14:paraId="15CA6A88" w14:textId="0B677D6F" w:rsidR="00413ED6" w:rsidRDefault="00413ED6">
        <w:pPr>
          <w:pStyle w:val="Galvene"/>
          <w:jc w:val="center"/>
        </w:pPr>
        <w:r>
          <w:fldChar w:fldCharType="begin"/>
        </w:r>
        <w:r>
          <w:instrText>PAGE   \* MERGEFORMAT</w:instrText>
        </w:r>
        <w:r>
          <w:fldChar w:fldCharType="separate"/>
        </w:r>
        <w:r>
          <w:t>2</w:t>
        </w:r>
        <w:r>
          <w:fldChar w:fldCharType="end"/>
        </w:r>
      </w:p>
    </w:sdtContent>
  </w:sdt>
  <w:p w14:paraId="3FDAB7D3" w14:textId="237B201D" w:rsidR="00345F66" w:rsidRDefault="00345F6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10554"/>
    <w:multiLevelType w:val="hybridMultilevel"/>
    <w:tmpl w:val="CB9A692C"/>
    <w:lvl w:ilvl="0" w:tplc="9DC285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BF6301"/>
    <w:multiLevelType w:val="hybridMultilevel"/>
    <w:tmpl w:val="F5401DA8"/>
    <w:lvl w:ilvl="0" w:tplc="DA46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80"/>
    <w:rsid w:val="00026859"/>
    <w:rsid w:val="00034A5E"/>
    <w:rsid w:val="00052D71"/>
    <w:rsid w:val="0005479F"/>
    <w:rsid w:val="000617B6"/>
    <w:rsid w:val="00064E7E"/>
    <w:rsid w:val="00077499"/>
    <w:rsid w:val="000878F5"/>
    <w:rsid w:val="000A349F"/>
    <w:rsid w:val="000A76A2"/>
    <w:rsid w:val="000B036F"/>
    <w:rsid w:val="000B17CB"/>
    <w:rsid w:val="000D0C79"/>
    <w:rsid w:val="000D671A"/>
    <w:rsid w:val="000F07AA"/>
    <w:rsid w:val="000F3538"/>
    <w:rsid w:val="000F4434"/>
    <w:rsid w:val="000F6BF9"/>
    <w:rsid w:val="00110585"/>
    <w:rsid w:val="001169A7"/>
    <w:rsid w:val="001451DD"/>
    <w:rsid w:val="0015680D"/>
    <w:rsid w:val="00162657"/>
    <w:rsid w:val="00171A80"/>
    <w:rsid w:val="001745A8"/>
    <w:rsid w:val="0017617A"/>
    <w:rsid w:val="001A5944"/>
    <w:rsid w:val="001C27B3"/>
    <w:rsid w:val="001C4E64"/>
    <w:rsid w:val="001D044E"/>
    <w:rsid w:val="001D1089"/>
    <w:rsid w:val="001D6B8D"/>
    <w:rsid w:val="001E22BD"/>
    <w:rsid w:val="00206518"/>
    <w:rsid w:val="00206B46"/>
    <w:rsid w:val="0022406D"/>
    <w:rsid w:val="00231010"/>
    <w:rsid w:val="002400F4"/>
    <w:rsid w:val="00283BCE"/>
    <w:rsid w:val="00291BDF"/>
    <w:rsid w:val="002A608C"/>
    <w:rsid w:val="002C0008"/>
    <w:rsid w:val="002C1E16"/>
    <w:rsid w:val="002C5976"/>
    <w:rsid w:val="002D78EA"/>
    <w:rsid w:val="002E076B"/>
    <w:rsid w:val="002E0FA0"/>
    <w:rsid w:val="00307EA4"/>
    <w:rsid w:val="0031476B"/>
    <w:rsid w:val="00316162"/>
    <w:rsid w:val="0032193A"/>
    <w:rsid w:val="003303CB"/>
    <w:rsid w:val="003324E5"/>
    <w:rsid w:val="00332AFA"/>
    <w:rsid w:val="0033720D"/>
    <w:rsid w:val="0034313A"/>
    <w:rsid w:val="00344196"/>
    <w:rsid w:val="00345F66"/>
    <w:rsid w:val="0035157F"/>
    <w:rsid w:val="003603F7"/>
    <w:rsid w:val="00362D07"/>
    <w:rsid w:val="00380166"/>
    <w:rsid w:val="00382026"/>
    <w:rsid w:val="003841C3"/>
    <w:rsid w:val="00391B2C"/>
    <w:rsid w:val="0039585A"/>
    <w:rsid w:val="003A6BDA"/>
    <w:rsid w:val="003B34E1"/>
    <w:rsid w:val="003B3886"/>
    <w:rsid w:val="003D0CD6"/>
    <w:rsid w:val="003D7A35"/>
    <w:rsid w:val="003F2F2F"/>
    <w:rsid w:val="0040262F"/>
    <w:rsid w:val="004071DF"/>
    <w:rsid w:val="00413ED6"/>
    <w:rsid w:val="00414726"/>
    <w:rsid w:val="00421D87"/>
    <w:rsid w:val="00426C22"/>
    <w:rsid w:val="0043276A"/>
    <w:rsid w:val="00436CB8"/>
    <w:rsid w:val="0044053B"/>
    <w:rsid w:val="004408A9"/>
    <w:rsid w:val="004641F2"/>
    <w:rsid w:val="0046605D"/>
    <w:rsid w:val="00480045"/>
    <w:rsid w:val="004A3206"/>
    <w:rsid w:val="004A4469"/>
    <w:rsid w:val="004A726D"/>
    <w:rsid w:val="004B1D38"/>
    <w:rsid w:val="004C0DE7"/>
    <w:rsid w:val="004D06C8"/>
    <w:rsid w:val="004E4989"/>
    <w:rsid w:val="004F2EF8"/>
    <w:rsid w:val="00501D78"/>
    <w:rsid w:val="00505F26"/>
    <w:rsid w:val="0051410C"/>
    <w:rsid w:val="0053137B"/>
    <w:rsid w:val="0053270C"/>
    <w:rsid w:val="005356E0"/>
    <w:rsid w:val="005413B2"/>
    <w:rsid w:val="00546F9F"/>
    <w:rsid w:val="00556B82"/>
    <w:rsid w:val="00567BF1"/>
    <w:rsid w:val="0057021F"/>
    <w:rsid w:val="005820F0"/>
    <w:rsid w:val="00583763"/>
    <w:rsid w:val="00597EA0"/>
    <w:rsid w:val="005A5D89"/>
    <w:rsid w:val="005A61EC"/>
    <w:rsid w:val="005C176B"/>
    <w:rsid w:val="005C4176"/>
    <w:rsid w:val="005C5F13"/>
    <w:rsid w:val="005D5630"/>
    <w:rsid w:val="005D6176"/>
    <w:rsid w:val="005E3187"/>
    <w:rsid w:val="005F7912"/>
    <w:rsid w:val="00600C03"/>
    <w:rsid w:val="00611C43"/>
    <w:rsid w:val="00625993"/>
    <w:rsid w:val="00630932"/>
    <w:rsid w:val="006322B7"/>
    <w:rsid w:val="006365F3"/>
    <w:rsid w:val="00641239"/>
    <w:rsid w:val="006560FF"/>
    <w:rsid w:val="00670CF5"/>
    <w:rsid w:val="0068083D"/>
    <w:rsid w:val="006825E1"/>
    <w:rsid w:val="006D0944"/>
    <w:rsid w:val="006E1100"/>
    <w:rsid w:val="006E7462"/>
    <w:rsid w:val="006F3B97"/>
    <w:rsid w:val="006F7D48"/>
    <w:rsid w:val="0070599E"/>
    <w:rsid w:val="00710703"/>
    <w:rsid w:val="00725829"/>
    <w:rsid w:val="00737595"/>
    <w:rsid w:val="00751B2A"/>
    <w:rsid w:val="0075382D"/>
    <w:rsid w:val="007539C2"/>
    <w:rsid w:val="00780230"/>
    <w:rsid w:val="007810F2"/>
    <w:rsid w:val="007902C5"/>
    <w:rsid w:val="00792E54"/>
    <w:rsid w:val="00795D20"/>
    <w:rsid w:val="007B1646"/>
    <w:rsid w:val="007B4779"/>
    <w:rsid w:val="007E159A"/>
    <w:rsid w:val="007F15C5"/>
    <w:rsid w:val="00801EC0"/>
    <w:rsid w:val="008040A2"/>
    <w:rsid w:val="00814F0D"/>
    <w:rsid w:val="00820526"/>
    <w:rsid w:val="00823849"/>
    <w:rsid w:val="008367C9"/>
    <w:rsid w:val="008373CF"/>
    <w:rsid w:val="00843A81"/>
    <w:rsid w:val="00847801"/>
    <w:rsid w:val="008545EA"/>
    <w:rsid w:val="00863960"/>
    <w:rsid w:val="00864710"/>
    <w:rsid w:val="008B2F99"/>
    <w:rsid w:val="008F4520"/>
    <w:rsid w:val="008F7FBF"/>
    <w:rsid w:val="0090292E"/>
    <w:rsid w:val="00922B8A"/>
    <w:rsid w:val="009260C1"/>
    <w:rsid w:val="00936F08"/>
    <w:rsid w:val="009375EA"/>
    <w:rsid w:val="00943A0C"/>
    <w:rsid w:val="00950961"/>
    <w:rsid w:val="00957E44"/>
    <w:rsid w:val="00960738"/>
    <w:rsid w:val="009753D5"/>
    <w:rsid w:val="00987C82"/>
    <w:rsid w:val="0099035F"/>
    <w:rsid w:val="009922C9"/>
    <w:rsid w:val="009B1CA5"/>
    <w:rsid w:val="009C1FDD"/>
    <w:rsid w:val="009D173F"/>
    <w:rsid w:val="009E1245"/>
    <w:rsid w:val="009F4902"/>
    <w:rsid w:val="009F7EFC"/>
    <w:rsid w:val="00A12F4A"/>
    <w:rsid w:val="00A16C80"/>
    <w:rsid w:val="00A17437"/>
    <w:rsid w:val="00A2286B"/>
    <w:rsid w:val="00A765E3"/>
    <w:rsid w:val="00A86996"/>
    <w:rsid w:val="00A87CB2"/>
    <w:rsid w:val="00A916DC"/>
    <w:rsid w:val="00AA3E13"/>
    <w:rsid w:val="00AB7F0F"/>
    <w:rsid w:val="00AD184F"/>
    <w:rsid w:val="00AE0E33"/>
    <w:rsid w:val="00AE6675"/>
    <w:rsid w:val="00AF0199"/>
    <w:rsid w:val="00AF6D9F"/>
    <w:rsid w:val="00B04836"/>
    <w:rsid w:val="00B070CF"/>
    <w:rsid w:val="00B13F01"/>
    <w:rsid w:val="00B14B3F"/>
    <w:rsid w:val="00B15CF7"/>
    <w:rsid w:val="00B27681"/>
    <w:rsid w:val="00B37159"/>
    <w:rsid w:val="00B441F2"/>
    <w:rsid w:val="00B52498"/>
    <w:rsid w:val="00B60776"/>
    <w:rsid w:val="00B7026D"/>
    <w:rsid w:val="00B8022D"/>
    <w:rsid w:val="00B8596C"/>
    <w:rsid w:val="00B9396A"/>
    <w:rsid w:val="00BA1787"/>
    <w:rsid w:val="00BA2834"/>
    <w:rsid w:val="00BB1BE0"/>
    <w:rsid w:val="00BB1EA1"/>
    <w:rsid w:val="00BC11A3"/>
    <w:rsid w:val="00C174BB"/>
    <w:rsid w:val="00C324C6"/>
    <w:rsid w:val="00C3373B"/>
    <w:rsid w:val="00C36A27"/>
    <w:rsid w:val="00C41DCA"/>
    <w:rsid w:val="00C5162F"/>
    <w:rsid w:val="00C54981"/>
    <w:rsid w:val="00C71560"/>
    <w:rsid w:val="00CA406A"/>
    <w:rsid w:val="00CC5314"/>
    <w:rsid w:val="00CE19CA"/>
    <w:rsid w:val="00CE5953"/>
    <w:rsid w:val="00CF5236"/>
    <w:rsid w:val="00D03C47"/>
    <w:rsid w:val="00D06F56"/>
    <w:rsid w:val="00D10F80"/>
    <w:rsid w:val="00D11671"/>
    <w:rsid w:val="00D158D5"/>
    <w:rsid w:val="00D33F48"/>
    <w:rsid w:val="00D34CE8"/>
    <w:rsid w:val="00D44180"/>
    <w:rsid w:val="00D45B76"/>
    <w:rsid w:val="00D53166"/>
    <w:rsid w:val="00D54B3C"/>
    <w:rsid w:val="00D67B01"/>
    <w:rsid w:val="00D75086"/>
    <w:rsid w:val="00D90C00"/>
    <w:rsid w:val="00D90DC6"/>
    <w:rsid w:val="00D90E1F"/>
    <w:rsid w:val="00D93ACB"/>
    <w:rsid w:val="00D96CA7"/>
    <w:rsid w:val="00DB5BCF"/>
    <w:rsid w:val="00DD371C"/>
    <w:rsid w:val="00DD57CD"/>
    <w:rsid w:val="00DE1E9A"/>
    <w:rsid w:val="00DE44E0"/>
    <w:rsid w:val="00DE7EF9"/>
    <w:rsid w:val="00DF2E43"/>
    <w:rsid w:val="00E0401D"/>
    <w:rsid w:val="00E1262A"/>
    <w:rsid w:val="00E33C49"/>
    <w:rsid w:val="00E426A5"/>
    <w:rsid w:val="00E50653"/>
    <w:rsid w:val="00E677E0"/>
    <w:rsid w:val="00E703D8"/>
    <w:rsid w:val="00E767D6"/>
    <w:rsid w:val="00E77E13"/>
    <w:rsid w:val="00E8726E"/>
    <w:rsid w:val="00EB06D1"/>
    <w:rsid w:val="00EB37D0"/>
    <w:rsid w:val="00ED510E"/>
    <w:rsid w:val="00EE5CB0"/>
    <w:rsid w:val="00F15CE3"/>
    <w:rsid w:val="00F23441"/>
    <w:rsid w:val="00F23D06"/>
    <w:rsid w:val="00F23F39"/>
    <w:rsid w:val="00F24C6F"/>
    <w:rsid w:val="00F53EC8"/>
    <w:rsid w:val="00F574D5"/>
    <w:rsid w:val="00F67C5C"/>
    <w:rsid w:val="00F715A5"/>
    <w:rsid w:val="00F773F5"/>
    <w:rsid w:val="00F934B0"/>
    <w:rsid w:val="00F97781"/>
    <w:rsid w:val="00FA103C"/>
    <w:rsid w:val="00FB7AC5"/>
    <w:rsid w:val="00FC5F04"/>
    <w:rsid w:val="00FE007F"/>
    <w:rsid w:val="00FE7F4A"/>
    <w:rsid w:val="00FF6C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2D31"/>
  <w15:chartTrackingRefBased/>
  <w15:docId w15:val="{50F07101-FC94-461C-B02D-93367D54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0F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Char Char Char Char Char Char Rakstz. Rakstz. Char Char Rakstz. Rakstz.,Fußnote Char Char Char Char Char Char,Fußnote Char,Char,Fußnote Ch,Char1"/>
    <w:basedOn w:val="Parasts"/>
    <w:link w:val="VrestekstsRakstz"/>
    <w:uiPriority w:val="99"/>
    <w:semiHidden/>
    <w:unhideWhenUsed/>
    <w:rsid w:val="00D10F80"/>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aliases w:val="Footnote Rakstz.,Fußnote Rakstz.,Char Char Char Char Char Char Rakstz. Rakstz. Char Char Rakstz. Rakstz. Rakstz.,Fußnote Char Char Char Char Char Char Rakstz.,Fußnote Char Rakstz.,Char Rakstz.,Fußnote Ch Rakstz.,Char1 Rakstz."/>
    <w:basedOn w:val="Noklusjumarindkopasfonts"/>
    <w:link w:val="Vresteksts"/>
    <w:uiPriority w:val="99"/>
    <w:semiHidden/>
    <w:rsid w:val="00D10F80"/>
    <w:rPr>
      <w:rFonts w:ascii="Times New Roman" w:eastAsia="Times New Roman" w:hAnsi="Times New Roman"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D10F80"/>
    <w:rPr>
      <w:vertAlign w:val="superscript"/>
    </w:rPr>
  </w:style>
  <w:style w:type="character" w:styleId="Hipersaite">
    <w:name w:val="Hyperlink"/>
    <w:uiPriority w:val="99"/>
    <w:rsid w:val="00D10F80"/>
    <w:rPr>
      <w:color w:val="0000FF"/>
      <w:u w:val="single"/>
    </w:rPr>
  </w:style>
  <w:style w:type="paragraph" w:styleId="Komentrateksts">
    <w:name w:val="annotation text"/>
    <w:basedOn w:val="Parasts"/>
    <w:link w:val="KomentratekstsRakstz"/>
    <w:uiPriority w:val="99"/>
    <w:unhideWhenUsed/>
    <w:rsid w:val="00D10F80"/>
    <w:pPr>
      <w:spacing w:line="240" w:lineRule="auto"/>
    </w:pPr>
    <w:rPr>
      <w:sz w:val="20"/>
      <w:szCs w:val="20"/>
    </w:rPr>
  </w:style>
  <w:style w:type="character" w:customStyle="1" w:styleId="KomentratekstsRakstz">
    <w:name w:val="Komentāra teksts Rakstz."/>
    <w:basedOn w:val="Noklusjumarindkopasfonts"/>
    <w:link w:val="Komentrateksts"/>
    <w:uiPriority w:val="99"/>
    <w:rsid w:val="00D10F80"/>
    <w:rPr>
      <w:sz w:val="20"/>
      <w:szCs w:val="20"/>
    </w:rPr>
  </w:style>
  <w:style w:type="character" w:styleId="Komentraatsauce">
    <w:name w:val="annotation reference"/>
    <w:basedOn w:val="Noklusjumarindkopasfonts"/>
    <w:uiPriority w:val="99"/>
    <w:semiHidden/>
    <w:unhideWhenUsed/>
    <w:rsid w:val="00583763"/>
    <w:rPr>
      <w:sz w:val="16"/>
      <w:szCs w:val="16"/>
    </w:rPr>
  </w:style>
  <w:style w:type="paragraph" w:styleId="Komentratma">
    <w:name w:val="annotation subject"/>
    <w:basedOn w:val="Komentrateksts"/>
    <w:next w:val="Komentrateksts"/>
    <w:link w:val="KomentratmaRakstz"/>
    <w:uiPriority w:val="99"/>
    <w:semiHidden/>
    <w:unhideWhenUsed/>
    <w:rsid w:val="00AF0199"/>
    <w:rPr>
      <w:b/>
      <w:bCs/>
    </w:rPr>
  </w:style>
  <w:style w:type="character" w:customStyle="1" w:styleId="KomentratmaRakstz">
    <w:name w:val="Komentāra tēma Rakstz."/>
    <w:basedOn w:val="KomentratekstsRakstz"/>
    <w:link w:val="Komentratma"/>
    <w:uiPriority w:val="99"/>
    <w:semiHidden/>
    <w:rsid w:val="00AF0199"/>
    <w:rPr>
      <w:b/>
      <w:bCs/>
      <w:sz w:val="20"/>
      <w:szCs w:val="20"/>
    </w:rPr>
  </w:style>
  <w:style w:type="paragraph" w:styleId="Galvene">
    <w:name w:val="header"/>
    <w:basedOn w:val="Parasts"/>
    <w:link w:val="GalveneRakstz"/>
    <w:uiPriority w:val="99"/>
    <w:unhideWhenUsed/>
    <w:rsid w:val="00345F6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45F66"/>
  </w:style>
  <w:style w:type="paragraph" w:styleId="Kjene">
    <w:name w:val="footer"/>
    <w:basedOn w:val="Parasts"/>
    <w:link w:val="KjeneRakstz"/>
    <w:uiPriority w:val="99"/>
    <w:unhideWhenUsed/>
    <w:rsid w:val="00345F6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45F66"/>
  </w:style>
  <w:style w:type="paragraph" w:styleId="Sarakstarindkopa">
    <w:name w:val="List Paragraph"/>
    <w:basedOn w:val="Parasts"/>
    <w:uiPriority w:val="34"/>
    <w:qFormat/>
    <w:rsid w:val="0070599E"/>
    <w:pPr>
      <w:ind w:left="720"/>
      <w:contextualSpacing/>
    </w:pPr>
  </w:style>
  <w:style w:type="character" w:styleId="Izmantotahipersaite">
    <w:name w:val="FollowedHyperlink"/>
    <w:basedOn w:val="Noklusjumarindkopasfonts"/>
    <w:uiPriority w:val="99"/>
    <w:semiHidden/>
    <w:unhideWhenUsed/>
    <w:rsid w:val="00B13F01"/>
    <w:rPr>
      <w:color w:val="954F72" w:themeColor="followedHyperlink"/>
      <w:u w:val="single"/>
    </w:rPr>
  </w:style>
  <w:style w:type="character" w:styleId="Neatrisintapieminana">
    <w:name w:val="Unresolved Mention"/>
    <w:basedOn w:val="Noklusjumarindkopasfonts"/>
    <w:uiPriority w:val="99"/>
    <w:semiHidden/>
    <w:unhideWhenUsed/>
    <w:rsid w:val="007810F2"/>
    <w:rPr>
      <w:color w:val="605E5C"/>
      <w:shd w:val="clear" w:color="auto" w:fill="E1DFDD"/>
    </w:rPr>
  </w:style>
  <w:style w:type="paragraph" w:customStyle="1" w:styleId="tv213">
    <w:name w:val="tv213"/>
    <w:basedOn w:val="Parasts"/>
    <w:rsid w:val="00F715A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1E2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22822">
      <w:bodyDiv w:val="1"/>
      <w:marLeft w:val="0"/>
      <w:marRight w:val="0"/>
      <w:marTop w:val="0"/>
      <w:marBottom w:val="0"/>
      <w:divBdr>
        <w:top w:val="none" w:sz="0" w:space="0" w:color="auto"/>
        <w:left w:val="none" w:sz="0" w:space="0" w:color="auto"/>
        <w:bottom w:val="none" w:sz="0" w:space="0" w:color="auto"/>
        <w:right w:val="none" w:sz="0" w:space="0" w:color="auto"/>
      </w:divBdr>
    </w:div>
    <w:div w:id="14064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vestnesis.lv/op/2021/121B.1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0FFB-8A37-4A9B-9C38-8F907BFD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9333</Words>
  <Characters>5320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Informatīvais ziņojums "Informatīvais ziņojums par juridisko personu maksātnespējas procesa dokumentu nodošanu glabāšanā arhīvā"</vt:lpstr>
    </vt:vector>
  </TitlesOfParts>
  <Company>Tieslietu ministrija (Maksātnespējas kontroles dienests)</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"Informatīvais ziņojums par juridisko personu maksātnespējas procesa dokumentu nodošanu glabāšanā arhīvā"</dc:title>
  <dc:subject>Informatīvais ziņojums ar turpmāko rīcību</dc:subject>
  <dc:creator>Normunds Priednieks</dc:creator>
  <cp:keywords/>
  <dc:description>67099106, normunds.priednieks@mkd.gov.lv</dc:description>
  <cp:lastModifiedBy>Ilze Grandsberga</cp:lastModifiedBy>
  <cp:revision>7</cp:revision>
  <dcterms:created xsi:type="dcterms:W3CDTF">2021-08-10T06:14:00Z</dcterms:created>
  <dcterms:modified xsi:type="dcterms:W3CDTF">2021-08-10T08:13:00Z</dcterms:modified>
</cp:coreProperties>
</file>