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1EA24269" w:rsidR="000E4698" w:rsidRPr="00475925" w:rsidRDefault="003148AF" w:rsidP="00CE75AF">
            <w:pPr>
              <w:ind w:left="223"/>
              <w:jc w:val="center"/>
              <w:rPr>
                <w:color w:val="000000"/>
              </w:rPr>
            </w:pPr>
            <w:r w:rsidRPr="003148AF">
              <w:rPr>
                <w:color w:val="000000"/>
              </w:rPr>
              <w:t>Ministru kabineta rīkojuma projekta „</w:t>
            </w:r>
            <w:r w:rsidR="00496EE3">
              <w:t xml:space="preserve"> </w:t>
            </w:r>
            <w:r w:rsidR="00EF0DA9" w:rsidRPr="00EF0DA9">
              <w:rPr>
                <w:color w:val="000000"/>
              </w:rPr>
              <w:t>Par valstij piekrītošā nekustamā īpašuma “</w:t>
            </w:r>
            <w:r w:rsidR="00CE75AF">
              <w:rPr>
                <w:color w:val="000000"/>
              </w:rPr>
              <w:t xml:space="preserve">Dālderi”, </w:t>
            </w:r>
            <w:proofErr w:type="spellStart"/>
            <w:r w:rsidR="00CE75AF">
              <w:rPr>
                <w:color w:val="000000"/>
              </w:rPr>
              <w:t>Sudas</w:t>
            </w:r>
            <w:proofErr w:type="spellEnd"/>
            <w:r w:rsidR="00CE75AF">
              <w:rPr>
                <w:color w:val="000000"/>
              </w:rPr>
              <w:t xml:space="preserve"> ielā 9, Mālpilī, Mālpils </w:t>
            </w:r>
            <w:r w:rsidR="00EF0DA9" w:rsidRPr="00EF0DA9">
              <w:rPr>
                <w:color w:val="000000"/>
              </w:rPr>
              <w:t xml:space="preserve">pagastā, </w:t>
            </w:r>
            <w:r w:rsidR="00CE75AF">
              <w:rPr>
                <w:color w:val="000000"/>
              </w:rPr>
              <w:t>Siguldas</w:t>
            </w:r>
            <w:r w:rsidR="00EF0DA9" w:rsidRPr="00EF0DA9">
              <w:rPr>
                <w:color w:val="000000"/>
              </w:rPr>
              <w:t xml:space="preserve"> novadā nodošanu </w:t>
            </w:r>
            <w:r w:rsidR="00CE75AF">
              <w:rPr>
                <w:color w:val="000000"/>
              </w:rPr>
              <w:t>Siguldas</w:t>
            </w:r>
            <w:r w:rsidR="00EF0DA9" w:rsidRPr="00EF0DA9">
              <w:rPr>
                <w:color w:val="000000"/>
              </w:rPr>
              <w:t xml:space="preserve"> novada pašvaldības īpašumā</w:t>
            </w:r>
            <w:r w:rsidRPr="003148AF">
              <w:rPr>
                <w:color w:val="000000"/>
              </w:rPr>
              <w:t>”</w:t>
            </w:r>
            <w:r w:rsidR="00526450">
              <w:rPr>
                <w:color w:val="000000"/>
              </w:rPr>
              <w:t xml:space="preserve"> VSS-</w:t>
            </w:r>
            <w:r w:rsidR="00423838">
              <w:rPr>
                <w:color w:val="000000"/>
              </w:rPr>
              <w:t>2</w:t>
            </w:r>
            <w:r w:rsidR="000530F5">
              <w:rPr>
                <w:color w:val="000000"/>
              </w:rPr>
              <w:t>6</w:t>
            </w:r>
            <w:r w:rsidR="00EF0DA9">
              <w:rPr>
                <w:color w:val="000000"/>
              </w:rPr>
              <w:t>0</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pPr w:leftFromText="180" w:rightFromText="180" w:vertAnchor="text" w:tblpY="1"/>
        <w:tblOverlap w:val="neve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253"/>
        <w:gridCol w:w="3685"/>
        <w:gridCol w:w="2127"/>
        <w:gridCol w:w="1971"/>
      </w:tblGrid>
      <w:tr w:rsidR="000E4698" w:rsidRPr="00475925" w14:paraId="76CF20BF" w14:textId="77777777" w:rsidTr="00CE2165">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AD3E7A">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AD3E7A">
            <w:pPr>
              <w:pStyle w:val="naisc"/>
              <w:spacing w:before="0" w:after="0"/>
              <w:ind w:firstLine="12"/>
              <w:jc w:val="left"/>
              <w:rPr>
                <w:color w:val="000000"/>
              </w:rPr>
            </w:pPr>
            <w:r w:rsidRPr="00475925">
              <w:rPr>
                <w:color w:val="000000"/>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AD3E7A">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AD3E7A">
            <w:pPr>
              <w:pStyle w:val="naisc"/>
              <w:spacing w:before="0" w:after="0"/>
              <w:ind w:firstLine="21"/>
              <w:jc w:val="left"/>
              <w:rPr>
                <w:color w:val="000000"/>
              </w:rPr>
            </w:pPr>
            <w:r w:rsidRPr="00475925">
              <w:rPr>
                <w:color w:val="000000"/>
              </w:rPr>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AD3E7A">
            <w:pPr>
              <w:rPr>
                <w:color w:val="000000"/>
              </w:rPr>
            </w:pPr>
            <w:r w:rsidRPr="00475925">
              <w:rPr>
                <w:color w:val="000000"/>
              </w:rPr>
              <w:t>Atzinuma sniedzēja uzturētais iebildums, ja tas atšķiras no atzinumā norādītā iebilduma pamatojuma</w:t>
            </w:r>
          </w:p>
        </w:tc>
        <w:tc>
          <w:tcPr>
            <w:tcW w:w="1971"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AD3E7A">
            <w:pPr>
              <w:rPr>
                <w:color w:val="000000"/>
              </w:rPr>
            </w:pPr>
            <w:r w:rsidRPr="00475925">
              <w:rPr>
                <w:color w:val="000000"/>
              </w:rPr>
              <w:t>Projekta attiecīgā punkta (panta) galīgā redakcija</w:t>
            </w:r>
          </w:p>
        </w:tc>
      </w:tr>
      <w:tr w:rsidR="000E4698" w:rsidRPr="00475925" w14:paraId="16F3C899" w14:textId="77777777" w:rsidTr="00CE2165">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AD3E7A">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AD3E7A">
            <w:pPr>
              <w:pStyle w:val="naisc"/>
              <w:spacing w:before="0" w:after="0"/>
              <w:rPr>
                <w:color w:val="000000"/>
              </w:rPr>
            </w:pPr>
            <w:r w:rsidRPr="00475925">
              <w:rPr>
                <w:color w:val="000000"/>
              </w:rPr>
              <w:t>2</w:t>
            </w:r>
          </w:p>
        </w:tc>
        <w:tc>
          <w:tcPr>
            <w:tcW w:w="4253"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AD3E7A">
            <w:pPr>
              <w:pStyle w:val="naisc"/>
              <w:spacing w:before="0" w:after="0"/>
              <w:rPr>
                <w:color w:val="000000"/>
              </w:rPr>
            </w:pPr>
            <w:r w:rsidRPr="00475925">
              <w:rPr>
                <w:color w:val="000000"/>
              </w:rPr>
              <w:t>3</w:t>
            </w:r>
          </w:p>
        </w:tc>
        <w:tc>
          <w:tcPr>
            <w:tcW w:w="368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AD3E7A">
            <w:pPr>
              <w:pStyle w:val="naisc"/>
              <w:spacing w:before="0" w:after="0"/>
              <w:ind w:firstLine="34"/>
              <w:rPr>
                <w:color w:val="000000"/>
              </w:rPr>
            </w:pPr>
            <w:r w:rsidRPr="00475925">
              <w:rPr>
                <w:color w:val="000000"/>
              </w:rPr>
              <w:t>4</w:t>
            </w:r>
          </w:p>
        </w:tc>
        <w:tc>
          <w:tcPr>
            <w:tcW w:w="2127"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AD3E7A">
            <w:pPr>
              <w:jc w:val="center"/>
              <w:rPr>
                <w:color w:val="000000"/>
              </w:rPr>
            </w:pPr>
            <w:r w:rsidRPr="00475925">
              <w:rPr>
                <w:color w:val="000000"/>
              </w:rPr>
              <w:t>5</w:t>
            </w:r>
          </w:p>
        </w:tc>
        <w:tc>
          <w:tcPr>
            <w:tcW w:w="1971" w:type="dxa"/>
            <w:tcBorders>
              <w:top w:val="single" w:sz="4" w:space="0" w:color="auto"/>
              <w:left w:val="single" w:sz="4" w:space="0" w:color="auto"/>
              <w:bottom w:val="single" w:sz="4" w:space="0" w:color="auto"/>
            </w:tcBorders>
          </w:tcPr>
          <w:p w14:paraId="62B36342" w14:textId="77777777" w:rsidR="000E4698" w:rsidRPr="00475925" w:rsidRDefault="000E4698" w:rsidP="00AD3E7A">
            <w:pPr>
              <w:jc w:val="center"/>
              <w:rPr>
                <w:color w:val="000000"/>
              </w:rPr>
            </w:pPr>
            <w:r w:rsidRPr="00475925">
              <w:rPr>
                <w:color w:val="000000"/>
              </w:rPr>
              <w:t>6</w:t>
            </w:r>
          </w:p>
        </w:tc>
      </w:tr>
      <w:tr w:rsidR="004714C3" w:rsidRPr="00475925" w14:paraId="3A64D540" w14:textId="77777777" w:rsidTr="00CE2165">
        <w:tc>
          <w:tcPr>
            <w:tcW w:w="843" w:type="dxa"/>
            <w:tcBorders>
              <w:top w:val="single" w:sz="6" w:space="0" w:color="000000"/>
              <w:left w:val="single" w:sz="6" w:space="0" w:color="000000"/>
              <w:bottom w:val="single" w:sz="6" w:space="0" w:color="000000"/>
              <w:right w:val="single" w:sz="6" w:space="0" w:color="000000"/>
            </w:tcBorders>
          </w:tcPr>
          <w:p w14:paraId="21636575" w14:textId="34AAEA19" w:rsidR="004714C3" w:rsidRPr="00475925" w:rsidRDefault="00CE2165" w:rsidP="00AD3E7A">
            <w:pPr>
              <w:pStyle w:val="naisc"/>
              <w:spacing w:before="0" w:after="0"/>
              <w:jc w:val="both"/>
              <w:rPr>
                <w:color w:val="000000"/>
              </w:rPr>
            </w:pPr>
            <w:r>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AD3E7A">
            <w:pPr>
              <w:pStyle w:val="naisc"/>
              <w:spacing w:before="0" w:after="0"/>
              <w:jc w:val="both"/>
              <w:rPr>
                <w:color w:val="000000"/>
              </w:rPr>
            </w:pPr>
          </w:p>
        </w:tc>
        <w:tc>
          <w:tcPr>
            <w:tcW w:w="4253" w:type="dxa"/>
            <w:tcBorders>
              <w:top w:val="single" w:sz="6" w:space="0" w:color="000000"/>
              <w:left w:val="single" w:sz="6" w:space="0" w:color="000000"/>
              <w:bottom w:val="single" w:sz="6" w:space="0" w:color="000000"/>
              <w:right w:val="single" w:sz="6" w:space="0" w:color="000000"/>
            </w:tcBorders>
          </w:tcPr>
          <w:p w14:paraId="2A4B78BB" w14:textId="77777777" w:rsidR="006D4B67" w:rsidRPr="00AD3E7A" w:rsidRDefault="006D4B67" w:rsidP="00AD3E7A">
            <w:pPr>
              <w:pStyle w:val="CommentText"/>
              <w:spacing w:after="160"/>
              <w:rPr>
                <w:b/>
                <w:sz w:val="24"/>
                <w:szCs w:val="24"/>
              </w:rPr>
            </w:pPr>
            <w:r w:rsidRPr="00AD3E7A">
              <w:rPr>
                <w:b/>
                <w:sz w:val="24"/>
                <w:szCs w:val="24"/>
              </w:rPr>
              <w:t>Finanšu ministrija</w:t>
            </w:r>
          </w:p>
          <w:p w14:paraId="05EF0C2A" w14:textId="77777777" w:rsidR="006D4B67" w:rsidRPr="006D4B67" w:rsidRDefault="006D4B67" w:rsidP="00AD3E7A">
            <w:pPr>
              <w:pStyle w:val="CommentText"/>
              <w:spacing w:after="160"/>
              <w:rPr>
                <w:sz w:val="24"/>
                <w:szCs w:val="24"/>
              </w:rPr>
            </w:pPr>
            <w:r w:rsidRPr="006D4B67">
              <w:rPr>
                <w:sz w:val="24"/>
                <w:szCs w:val="24"/>
              </w:rPr>
              <w:t>Ar rīkojuma projektu paredzēts nodot Siguldas novada pašvaldības īpašumā valstij piekrītošo mantu – nekustamo īpašumu “</w:t>
            </w:r>
            <w:proofErr w:type="spellStart"/>
            <w:r w:rsidRPr="006D4B67">
              <w:rPr>
                <w:sz w:val="24"/>
                <w:szCs w:val="24"/>
              </w:rPr>
              <w:t>Dalderi</w:t>
            </w:r>
            <w:proofErr w:type="spellEnd"/>
            <w:r w:rsidRPr="006D4B67">
              <w:rPr>
                <w:sz w:val="24"/>
                <w:szCs w:val="24"/>
              </w:rPr>
              <w:t xml:space="preserve">” (nekustamā īpašuma kadastra Nr.8074 003 0817), kas sastāv no zemes vienības ar kadastra apzīmējumu 8074 003 0817 ar kopējo platību 1,14 ha un divām būvēm: dzīvojamās mājas ar kadastra apzīmējumu 8074 003 0817 001 un saimniecības ēkas ar kadastra apzīmējumu 8074 003 0268 009, </w:t>
            </w:r>
            <w:proofErr w:type="spellStart"/>
            <w:r w:rsidRPr="006D4B67">
              <w:rPr>
                <w:sz w:val="24"/>
                <w:szCs w:val="24"/>
              </w:rPr>
              <w:t>Sudas</w:t>
            </w:r>
            <w:proofErr w:type="spellEnd"/>
            <w:r w:rsidRPr="006D4B67">
              <w:rPr>
                <w:sz w:val="24"/>
                <w:szCs w:val="24"/>
              </w:rPr>
              <w:t xml:space="preserve"> ielā 9, Mālpilī, Mālpils pagastā, Siguldas novadā,  (turpmāk– nekustamais īpašums), lai saskaņā ar likuma “Par pašvaldībām” 15.panta pirmās daļas 2., 5., 6., un 9.punktu to izmantotu pašvaldības autonomo funkciju īstenošanai – palīdzības sniegšanai iedzīvotājiem dzīvokļu jautājumu risināšanā, teritorijas </w:t>
            </w:r>
            <w:r w:rsidRPr="006D4B67">
              <w:rPr>
                <w:sz w:val="24"/>
                <w:szCs w:val="24"/>
              </w:rPr>
              <w:lastRenderedPageBreak/>
              <w:t>labiekārtošanai un sanitārās tīrības nodrošināšanai, rūpēm par kultūru un tradicionālo kultūras vērtību saglabāšanas un tautas jaunrades attīstības sekmēšanai, veselības aprūpes pieejamības nodrošināšanai, kā arī iedzīvotāju veselīga dzīvesveida un sporta veicināšanai.</w:t>
            </w:r>
          </w:p>
          <w:p w14:paraId="3EB25364" w14:textId="77777777" w:rsidR="006D4B67" w:rsidRPr="006D4B67" w:rsidRDefault="006D4B67" w:rsidP="00AD3E7A">
            <w:pPr>
              <w:pStyle w:val="CommentText"/>
              <w:spacing w:after="160"/>
              <w:rPr>
                <w:sz w:val="24"/>
                <w:szCs w:val="24"/>
              </w:rPr>
            </w:pPr>
            <w:r w:rsidRPr="006D4B67">
              <w:rPr>
                <w:sz w:val="24"/>
                <w:szCs w:val="24"/>
              </w:rPr>
              <w:t xml:space="preserve">Atkārtoti vēršam uzmanību, ka saskaņā ar Ministru kabineta 2013.gada 26.novembra noteikumu Nr.1354 “Kārtība, kādā veicama valstij piekritīgās mantas uzskaite, novērtēšana, realizācija, nodošana bez maksas, iznīcināšana un realizācijas ieņēmumu ieskaitīšana valsts budžetā” 32.4.apakšpunktu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nodod bez maksas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w:t>
            </w:r>
            <w:proofErr w:type="spellStart"/>
            <w:r w:rsidRPr="006D4B67">
              <w:rPr>
                <w:sz w:val="24"/>
                <w:szCs w:val="24"/>
              </w:rPr>
              <w:t>Possessor</w:t>
            </w:r>
            <w:proofErr w:type="spellEnd"/>
            <w:r w:rsidRPr="006D4B67">
              <w:rPr>
                <w:sz w:val="24"/>
                <w:szCs w:val="24"/>
              </w:rPr>
              <w:t xml:space="preserve">” valdījumā. Ņemot vērā minēto nekustamo īpašumu </w:t>
            </w:r>
            <w:r w:rsidRPr="006D4B67">
              <w:rPr>
                <w:sz w:val="24"/>
                <w:szCs w:val="24"/>
              </w:rPr>
              <w:lastRenderedPageBreak/>
              <w:t>izmantošanas veidu, tie pašvaldībām tiek nodoti saskaņā ar Publiskas personas mantas atsavināšanas likuma 42.panta pirmās daļas vai 42.</w:t>
            </w:r>
            <w:r w:rsidRPr="004B1AFC">
              <w:rPr>
                <w:sz w:val="24"/>
                <w:szCs w:val="24"/>
                <w:vertAlign w:val="superscript"/>
              </w:rPr>
              <w:t>1</w:t>
            </w:r>
            <w:r w:rsidRPr="006D4B67">
              <w:rPr>
                <w:sz w:val="24"/>
                <w:szCs w:val="24"/>
              </w:rPr>
              <w:t xml:space="preserve"> panta nosacījumiem vienas noteiktas pašvaldības autonomās funkcijas īstenošanai – palīdzības sniegšanai iedzīvotājiem dzīvokļa jautājumu risināšanā.</w:t>
            </w:r>
          </w:p>
          <w:p w14:paraId="5A35FCA4" w14:textId="77777777" w:rsidR="006D4B67" w:rsidRPr="006D4B67" w:rsidRDefault="006D4B67" w:rsidP="00AD3E7A">
            <w:pPr>
              <w:pStyle w:val="CommentText"/>
              <w:spacing w:after="160"/>
              <w:rPr>
                <w:sz w:val="24"/>
                <w:szCs w:val="24"/>
              </w:rPr>
            </w:pPr>
            <w:r w:rsidRPr="006D4B67">
              <w:rPr>
                <w:sz w:val="24"/>
                <w:szCs w:val="24"/>
              </w:rPr>
              <w:t>Ievērojot 2021.gada 3.jūnija Valsts sekretāru sanāksmē (protokols Nr.22, 34.§.) panākto vienošanos, rīkojuma projekta ietvaros var pieļaut nekustamā īpašuma nodošanu pašvaldībai divu pašvaldības autonomo funkciju – sniegt palīdzību iedzīvotājiem dzīvokļa jautājumu risināšanā un gādāt par savas administratīvās teritorijas labiekārtošanu un sanitāro tīrību, īstenošanai, vienlaikus anotācijā sniedzot skaidrojumu par funkciju izpildi.</w:t>
            </w:r>
          </w:p>
          <w:p w14:paraId="6928C136" w14:textId="642A0D32" w:rsidR="004714C3" w:rsidRPr="00475925" w:rsidRDefault="006D4B67" w:rsidP="00AD3E7A">
            <w:pPr>
              <w:pStyle w:val="CommentText"/>
              <w:spacing w:after="160"/>
              <w:rPr>
                <w:sz w:val="24"/>
                <w:szCs w:val="24"/>
              </w:rPr>
            </w:pPr>
            <w:r w:rsidRPr="006D4B67">
              <w:rPr>
                <w:sz w:val="24"/>
                <w:szCs w:val="24"/>
              </w:rPr>
              <w:t>Ņemot vērā minēto, lūdzam precizēt rīkojuma projekta 1.punktu, paredzot, ka nekustamais īpašums Siguldas novada pašvaldībai tiek nodots divu pašvaldības funkciju – sniegt palīdzību iedzīvotājiem dzīvokļa jautājumu risināšanā un gādāt par savas administratīvās teritorijas labiekārtošanu un sanitāro tīrību, izpildei, kā arī anotācijā sniegt skaidrojumu, kādus pasākumus pašvaldība plāno īstenot, izpildot teritorijas labiekārtošanas un sanitārās tīrības nodrošināšanas funkciju.</w:t>
            </w:r>
          </w:p>
        </w:tc>
        <w:tc>
          <w:tcPr>
            <w:tcW w:w="3685" w:type="dxa"/>
            <w:tcBorders>
              <w:top w:val="single" w:sz="6" w:space="0" w:color="000000"/>
              <w:left w:val="single" w:sz="6" w:space="0" w:color="000000"/>
              <w:bottom w:val="single" w:sz="6" w:space="0" w:color="000000"/>
              <w:right w:val="single" w:sz="6" w:space="0" w:color="000000"/>
            </w:tcBorders>
          </w:tcPr>
          <w:p w14:paraId="1BEA54D4" w14:textId="77777777" w:rsidR="00AD3E7A" w:rsidRPr="00AD3E7A" w:rsidRDefault="00AD3E7A" w:rsidP="00AD3E7A">
            <w:pPr>
              <w:pStyle w:val="naisc"/>
              <w:spacing w:before="0" w:after="0"/>
              <w:ind w:firstLine="34"/>
              <w:jc w:val="both"/>
              <w:rPr>
                <w:b/>
                <w:color w:val="000000"/>
              </w:rPr>
            </w:pPr>
            <w:r w:rsidRPr="00AD3E7A">
              <w:rPr>
                <w:b/>
                <w:color w:val="000000"/>
              </w:rPr>
              <w:lastRenderedPageBreak/>
              <w:t>Nav ņemts vērā</w:t>
            </w:r>
          </w:p>
          <w:p w14:paraId="4910B7FE" w14:textId="28C4210D" w:rsidR="00AD3E7A" w:rsidRDefault="00AD3E7A" w:rsidP="00AD3E7A">
            <w:pPr>
              <w:pStyle w:val="naisc"/>
              <w:spacing w:before="0" w:after="0"/>
              <w:ind w:firstLine="34"/>
              <w:jc w:val="both"/>
              <w:rPr>
                <w:color w:val="000000"/>
              </w:rPr>
            </w:pPr>
            <w:r w:rsidRPr="00AD3E7A">
              <w:rPr>
                <w:color w:val="000000"/>
              </w:rPr>
              <w:t>Mālpils novada dome 2021.gada 22.jūnijā pieņēma lēmumu Nr.10 “ Par Mālpils novada domes 2020.gada 26.februāra lēmuma Nr.2/4 “Par valstij piekrītošā nekustamā īpašuma pārņemšanu” grozīšanu”, kurā tiek precizēts, kādām pašvaldībai noteiktajām funkcijām nekustamais īpašums plānots izmantot. Ņemot vērā nekustamā īpašuma “</w:t>
            </w:r>
            <w:proofErr w:type="spellStart"/>
            <w:r w:rsidRPr="00AD3E7A">
              <w:rPr>
                <w:color w:val="000000"/>
              </w:rPr>
              <w:t>Dalderi</w:t>
            </w:r>
            <w:proofErr w:type="spellEnd"/>
            <w:r w:rsidRPr="00AD3E7A">
              <w:rPr>
                <w:color w:val="000000"/>
              </w:rPr>
              <w:t>” sastāvu (nekustamā īpašuma sastāvā ir zemes vienība 1,14 ha platībā, saimniecības ēka un dzīvojamā māja 204 m</w:t>
            </w:r>
            <w:r w:rsidRPr="00176D43">
              <w:rPr>
                <w:color w:val="000000"/>
                <w:vertAlign w:val="superscript"/>
              </w:rPr>
              <w:t>2</w:t>
            </w:r>
            <w:r w:rsidRPr="00AD3E7A">
              <w:rPr>
                <w:color w:val="000000"/>
              </w:rPr>
              <w:t xml:space="preserve"> platībā, no kuras tikai 89,8 m</w:t>
            </w:r>
            <w:r w:rsidRPr="00176D43">
              <w:rPr>
                <w:color w:val="000000"/>
                <w:vertAlign w:val="superscript"/>
              </w:rPr>
              <w:t>2</w:t>
            </w:r>
            <w:r w:rsidRPr="00AD3E7A">
              <w:rPr>
                <w:color w:val="000000"/>
              </w:rPr>
              <w:t xml:space="preserve"> ir izmantojami dzīvojamajai funkcijai) un, lai īpašums tiktu izmantots efektīvi, tas tiks izmantots likuma “Par pašvaldībām” 15.panta </w:t>
            </w:r>
            <w:r w:rsidRPr="00AD3E7A">
              <w:rPr>
                <w:color w:val="000000"/>
              </w:rPr>
              <w:lastRenderedPageBreak/>
              <w:t>pirmās daļas 2.punktā noteiktās funkcijas - gādāt par savas administratīvās teritorijas labiekārtošanu un sanitāro tīrību,  5.punktā noteiktās funkcijas - rūpēties par kultūru un sekmēt tradicionālo kultūras vērtību saglabāšanu un tautas jaunrades attīstību, 6.punktā noteiktās funkcijas - nodrošināt veselības aprūpes pieejamību, kā arī veicināt iedzīvotāju veselīgu dzīvesveidu un sportu, un 9.punktā noteiktās funkcijas - sniegt palīdzību iedzīvotājiem dzīvokļa jautājumu risināšanā, izpildes nodrošināšanai</w:t>
            </w:r>
            <w:r>
              <w:rPr>
                <w:color w:val="000000"/>
              </w:rPr>
              <w:t>.</w:t>
            </w:r>
          </w:p>
          <w:p w14:paraId="578254F7" w14:textId="005D695E" w:rsidR="00AD3E7A" w:rsidRDefault="00AD3E7A" w:rsidP="00AD3E7A">
            <w:pPr>
              <w:pStyle w:val="naisc"/>
              <w:ind w:firstLine="34"/>
              <w:jc w:val="both"/>
            </w:pPr>
            <w:r w:rsidRPr="00AD3E7A">
              <w:rPr>
                <w:color w:val="000000"/>
              </w:rPr>
              <w:t>Publiskas personas mantas atsavināšanas likumā (turpmāk – Atsavināšanas likums), tai skaitā 42.</w:t>
            </w:r>
            <w:r w:rsidR="007508DC">
              <w:rPr>
                <w:color w:val="000000"/>
              </w:rPr>
              <w:t> </w:t>
            </w:r>
            <w:r w:rsidRPr="00AD3E7A">
              <w:rPr>
                <w:color w:val="000000"/>
              </w:rPr>
              <w:t>panta pirmajā daļā netiek noteikti kādi nosacījumi vai ierobežojumi attiecībā, kādām pašvaldībām noteiktajām funkcijām valstij piekrītošais nekustamais īpašums var tikt nodots. Atsavināšanas likuma 42.</w:t>
            </w:r>
            <w:r w:rsidR="007508DC">
              <w:rPr>
                <w:color w:val="000000"/>
              </w:rPr>
              <w:t> </w:t>
            </w:r>
            <w:r w:rsidRPr="00AD3E7A">
              <w:rPr>
                <w:color w:val="000000"/>
              </w:rPr>
              <w:t>panta pirmā daļa no</w:t>
            </w:r>
            <w:r w:rsidR="00176D43">
              <w:rPr>
                <w:color w:val="000000"/>
              </w:rPr>
              <w:t>teic</w:t>
            </w:r>
            <w:r w:rsidRPr="00AD3E7A">
              <w:rPr>
                <w:color w:val="000000"/>
              </w:rPr>
              <w:t xml:space="preserve">, ka Ministru kabinets lēmumā par valsts nekustamā īpašuma nodošanu bez atlīdzības atvasinātas publiskas personas īpašumā nosaka, kādu atvasinātas publiskas personas funkciju vai deleģēta pārvaldes uzdevuma veikšanai nekustamais </w:t>
            </w:r>
            <w:r w:rsidRPr="00AD3E7A">
              <w:rPr>
                <w:color w:val="000000"/>
              </w:rPr>
              <w:lastRenderedPageBreak/>
              <w:t>īpašums tiek nodots.</w:t>
            </w:r>
            <w:r w:rsidR="00396AB5">
              <w:rPr>
                <w:color w:val="000000"/>
              </w:rPr>
              <w:t xml:space="preserve"> Attiecībā uz Valsts sekretāru 2021. gada 3. jūnija sanāksmes (</w:t>
            </w:r>
            <w:r w:rsidR="00396AB5" w:rsidRPr="006D4B67">
              <w:t>protokols Nr.22, 34.§.</w:t>
            </w:r>
            <w:r w:rsidR="00396AB5">
              <w:t>) Vides aizsardzības un reģionālās attīstības ministrija (turpmāk – VARAM) secina, ka konkrētajā protokolā tika lūgts citā projektā “</w:t>
            </w:r>
            <w:r w:rsidR="00396AB5" w:rsidRPr="00396AB5">
              <w:t xml:space="preserve">Par valstij piekrītošo nekustamo īpašumu Ķiršu ielā 4, Cēsīs, </w:t>
            </w:r>
            <w:proofErr w:type="spellStart"/>
            <w:r w:rsidR="00396AB5" w:rsidRPr="00396AB5">
              <w:t>Cēsu</w:t>
            </w:r>
            <w:proofErr w:type="spellEnd"/>
            <w:r w:rsidR="00396AB5" w:rsidRPr="00396AB5">
              <w:t xml:space="preserve"> novadā un Raiņa ielā 15, Cēsīs, </w:t>
            </w:r>
            <w:proofErr w:type="spellStart"/>
            <w:r w:rsidR="00396AB5" w:rsidRPr="00396AB5">
              <w:t>Cēsu</w:t>
            </w:r>
            <w:proofErr w:type="spellEnd"/>
            <w:r w:rsidR="00396AB5" w:rsidRPr="00396AB5">
              <w:t xml:space="preserve"> novadā nodošanu </w:t>
            </w:r>
            <w:proofErr w:type="spellStart"/>
            <w:r w:rsidR="00396AB5" w:rsidRPr="00396AB5">
              <w:t>Cēsu</w:t>
            </w:r>
            <w:proofErr w:type="spellEnd"/>
            <w:r w:rsidR="00396AB5" w:rsidRPr="00396AB5">
              <w:t xml:space="preserve"> novada pašvaldības īpašumā</w:t>
            </w:r>
            <w:r w:rsidR="00396AB5" w:rsidRPr="00396AB5">
              <w:t>”</w:t>
            </w:r>
            <w:r w:rsidR="00396AB5">
              <w:t xml:space="preserve"> precizēt rīkojumu, norādot divas pašvaldības autonomās funkcijas.</w:t>
            </w:r>
            <w:r w:rsidRPr="00396AB5">
              <w:t xml:space="preserve"> No minētā nevar secināt, ka valstij piekrītošs īpašums tiek nodots tikai vienas vai div</w:t>
            </w:r>
            <w:r w:rsidR="00396AB5" w:rsidRPr="00396AB5">
              <w:t>u</w:t>
            </w:r>
            <w:r w:rsidRPr="00396AB5">
              <w:t xml:space="preserve"> likumā “Par pašvaldībām” 15.</w:t>
            </w:r>
            <w:r w:rsidR="007508DC">
              <w:t> </w:t>
            </w:r>
            <w:r w:rsidRPr="00396AB5">
              <w:t>panta pirmajā daļā noteikt</w:t>
            </w:r>
            <w:r w:rsidR="00396AB5" w:rsidRPr="00396AB5">
              <w:t>o</w:t>
            </w:r>
            <w:r w:rsidRPr="00396AB5">
              <w:t xml:space="preserve"> funkciju īstenošanai - palīdzības sniegšanai iedzīvotājiem dzīvokļa jautājumu risināšanā un gādāt par savas administratīvās teritorijas labiekārtošanu un sanitāro tīrību īstenošanai</w:t>
            </w:r>
            <w:r w:rsidR="00396AB5" w:rsidRPr="00396AB5">
              <w:t>.</w:t>
            </w:r>
          </w:p>
          <w:p w14:paraId="1A9FEB41" w14:textId="712948D2" w:rsidR="007508DC" w:rsidRPr="007508DC" w:rsidRDefault="007508DC" w:rsidP="00AD3E7A">
            <w:pPr>
              <w:pStyle w:val="naisc"/>
              <w:ind w:firstLine="34"/>
              <w:jc w:val="both"/>
              <w:rPr>
                <w:color w:val="000000"/>
              </w:rPr>
            </w:pPr>
            <w:r>
              <w:t xml:space="preserve">VARAM papildināja anotāciju ar skaidrojumu, kādā veidā pašvaldība var izmantot nekustamo īpašumu citu autonomo funkciju īstenošanai - </w:t>
            </w:r>
            <w:r w:rsidRPr="00920A86">
              <w:rPr>
                <w:color w:val="000000" w:themeColor="text1"/>
              </w:rPr>
              <w:t xml:space="preserve">  </w:t>
            </w:r>
            <w:r w:rsidRPr="00920A86">
              <w:rPr>
                <w:color w:val="000000" w:themeColor="text1"/>
              </w:rPr>
              <w:t>rūpēties par kultūru un sekmēt tradicionālo kultūras vērtību saglabāšanu un tautas jaunrades attīstību</w:t>
            </w:r>
            <w:r>
              <w:rPr>
                <w:color w:val="000000" w:themeColor="text1"/>
              </w:rPr>
              <w:t>;</w:t>
            </w:r>
            <w:r w:rsidRPr="00920A86">
              <w:rPr>
                <w:color w:val="000000" w:themeColor="text1"/>
              </w:rPr>
              <w:t xml:space="preserve"> </w:t>
            </w:r>
            <w:r w:rsidRPr="00920A86">
              <w:rPr>
                <w:color w:val="000000" w:themeColor="text1"/>
              </w:rPr>
              <w:t>nodrošināt veselības aprūpes pieejamību, kā arī veicināt iedzīvotāju</w:t>
            </w:r>
            <w:r>
              <w:rPr>
                <w:color w:val="000000" w:themeColor="text1"/>
              </w:rPr>
              <w:t xml:space="preserve"> veselīgu dzīvesveidu un </w:t>
            </w:r>
            <w:r>
              <w:rPr>
                <w:color w:val="000000" w:themeColor="text1"/>
              </w:rPr>
              <w:lastRenderedPageBreak/>
              <w:t>sportu (</w:t>
            </w:r>
            <w:r w:rsidRPr="00920A86">
              <w:rPr>
                <w:color w:val="000000" w:themeColor="text1"/>
              </w:rPr>
              <w:t xml:space="preserve"> </w:t>
            </w:r>
            <w:r w:rsidRPr="00920A86">
              <w:rPr>
                <w:color w:val="000000" w:themeColor="text1"/>
              </w:rPr>
              <w:t>likuma “Par pašvaldībām” 15.</w:t>
            </w:r>
            <w:r>
              <w:rPr>
                <w:color w:val="000000" w:themeColor="text1"/>
              </w:rPr>
              <w:t> </w:t>
            </w:r>
            <w:r w:rsidRPr="00920A86">
              <w:rPr>
                <w:color w:val="000000" w:themeColor="text1"/>
              </w:rPr>
              <w:t>panta pirmās daļas</w:t>
            </w:r>
            <w:r>
              <w:rPr>
                <w:color w:val="000000" w:themeColor="text1"/>
              </w:rPr>
              <w:t xml:space="preserve"> 5. un </w:t>
            </w:r>
            <w:r w:rsidRPr="007508DC">
              <w:rPr>
                <w:color w:val="000000" w:themeColor="text1"/>
              </w:rPr>
              <w:t>6. punkts).</w:t>
            </w:r>
          </w:p>
          <w:p w14:paraId="5B891DBD" w14:textId="3E4194B4" w:rsidR="004C75DA" w:rsidRPr="00475925" w:rsidRDefault="007508DC" w:rsidP="007508DC">
            <w:pPr>
              <w:pStyle w:val="naisc"/>
              <w:spacing w:before="0" w:after="0"/>
              <w:ind w:firstLine="34"/>
              <w:jc w:val="both"/>
              <w:rPr>
                <w:color w:val="000000"/>
              </w:rPr>
            </w:pPr>
            <w:r w:rsidRPr="007508DC">
              <w:rPr>
                <w:color w:val="000000"/>
              </w:rPr>
              <w:t>Ņemot vērā minēto</w:t>
            </w:r>
            <w:r w:rsidR="00AD3E7A" w:rsidRPr="007508DC">
              <w:rPr>
                <w:color w:val="000000"/>
              </w:rPr>
              <w:t xml:space="preserve"> VARAM ieskatā nav </w:t>
            </w:r>
            <w:r w:rsidRPr="007508DC">
              <w:rPr>
                <w:color w:val="000000"/>
              </w:rPr>
              <w:t xml:space="preserve">pamata rīkojuma projektā iespējamos izmantošanas veidus aprobežot tikai ar divu </w:t>
            </w:r>
            <w:r w:rsidR="00AD3E7A" w:rsidRPr="007508DC">
              <w:rPr>
                <w:color w:val="000000"/>
              </w:rPr>
              <w:t>pašvaldība</w:t>
            </w:r>
            <w:r w:rsidRPr="007508DC">
              <w:rPr>
                <w:color w:val="000000"/>
              </w:rPr>
              <w:t>i noteikto funkciju īstenošanu.</w:t>
            </w:r>
          </w:p>
        </w:tc>
        <w:tc>
          <w:tcPr>
            <w:tcW w:w="2127"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AD3E7A">
            <w:pPr>
              <w:jc w:val="both"/>
              <w:rPr>
                <w:color w:val="000000"/>
              </w:rPr>
            </w:pPr>
          </w:p>
        </w:tc>
        <w:tc>
          <w:tcPr>
            <w:tcW w:w="1971" w:type="dxa"/>
            <w:tcBorders>
              <w:top w:val="single" w:sz="4" w:space="0" w:color="auto"/>
              <w:left w:val="single" w:sz="4" w:space="0" w:color="auto"/>
              <w:bottom w:val="single" w:sz="4" w:space="0" w:color="auto"/>
            </w:tcBorders>
          </w:tcPr>
          <w:p w14:paraId="1231E24F" w14:textId="691D617C" w:rsidR="004714C3" w:rsidRPr="00CE2165" w:rsidRDefault="00CE2165" w:rsidP="00AD3E7A">
            <w:pPr>
              <w:jc w:val="both"/>
              <w:rPr>
                <w:b/>
                <w:color w:val="000000"/>
              </w:rPr>
            </w:pPr>
            <w:r w:rsidRPr="00CE2165">
              <w:rPr>
                <w:b/>
                <w:color w:val="000000"/>
              </w:rPr>
              <w:t>Sk. anotācijā –</w:t>
            </w:r>
          </w:p>
          <w:p w14:paraId="2731AE6F" w14:textId="77777777" w:rsidR="00CE2165" w:rsidRPr="008443C2" w:rsidRDefault="00CE2165" w:rsidP="00CE2165">
            <w:pPr>
              <w:ind w:left="33" w:right="21"/>
              <w:jc w:val="both"/>
              <w:rPr>
                <w:color w:val="000000" w:themeColor="text1"/>
              </w:rPr>
            </w:pPr>
            <w:r w:rsidRPr="008443C2">
              <w:rPr>
                <w:color w:val="000000" w:themeColor="text1"/>
              </w:rPr>
              <w:t xml:space="preserve">Pašvaldība nekustamā īpašuma daļu, kas ir piemērots dzīvošanai, </w:t>
            </w:r>
            <w:r>
              <w:rPr>
                <w:color w:val="000000" w:themeColor="text1"/>
              </w:rPr>
              <w:t xml:space="preserve">paredz </w:t>
            </w:r>
            <w:r w:rsidRPr="008443C2">
              <w:rPr>
                <w:color w:val="000000" w:themeColor="text1"/>
              </w:rPr>
              <w:t>izmanto</w:t>
            </w:r>
            <w:r>
              <w:rPr>
                <w:color w:val="000000" w:themeColor="text1"/>
              </w:rPr>
              <w:t>t</w:t>
            </w:r>
            <w:r w:rsidRPr="008443C2">
              <w:rPr>
                <w:color w:val="000000" w:themeColor="text1"/>
              </w:rPr>
              <w:t>, lai sniegtu palīdzību</w:t>
            </w:r>
            <w:r>
              <w:rPr>
                <w:color w:val="000000" w:themeColor="text1"/>
              </w:rPr>
              <w:t xml:space="preserve"> dzīvokļa jautājumu risināšanā, b</w:t>
            </w:r>
            <w:r w:rsidRPr="008443C2">
              <w:rPr>
                <w:color w:val="000000" w:themeColor="text1"/>
              </w:rPr>
              <w:t xml:space="preserve">et dzīvojamās mājas atlikušo daļu plānots izmantot dienas centra izveidei. Savukārt, zemes platība tiks izmantota </w:t>
            </w:r>
            <w:r w:rsidRPr="008443C2">
              <w:rPr>
                <w:color w:val="000000" w:themeColor="text1"/>
              </w:rPr>
              <w:lastRenderedPageBreak/>
              <w:t xml:space="preserve">teritorijas labiekārtošanai, un ņemot vērā, ka zemes gabals atrodas blakus ūdenstilpei, tad tur </w:t>
            </w:r>
            <w:r>
              <w:rPr>
                <w:color w:val="000000" w:themeColor="text1"/>
              </w:rPr>
              <w:t xml:space="preserve">iespējams </w:t>
            </w:r>
            <w:r w:rsidRPr="008443C2">
              <w:rPr>
                <w:color w:val="000000" w:themeColor="text1"/>
              </w:rPr>
              <w:t>ierīkot arī atpūtas vietu ar sporta laukumiem.</w:t>
            </w:r>
          </w:p>
          <w:p w14:paraId="5684A96E" w14:textId="60B81CB3" w:rsidR="00CE2165" w:rsidRPr="00475925" w:rsidRDefault="00CE2165" w:rsidP="00AD3E7A">
            <w:pPr>
              <w:jc w:val="both"/>
              <w:rPr>
                <w:color w:val="000000"/>
              </w:rPr>
            </w:pPr>
            <w:bookmarkStart w:id="0" w:name="_GoBack"/>
            <w:bookmarkEnd w:id="0"/>
          </w:p>
        </w:tc>
      </w:tr>
    </w:tbl>
    <w:p w14:paraId="4955CE7E" w14:textId="1EC3BE07" w:rsidR="000E4698" w:rsidRPr="00475925" w:rsidRDefault="00AD3E7A" w:rsidP="00BD17EB">
      <w:pPr>
        <w:pStyle w:val="naisf"/>
        <w:spacing w:before="0" w:after="0"/>
        <w:ind w:firstLine="0"/>
        <w:rPr>
          <w:b/>
          <w:color w:val="000000"/>
        </w:rPr>
      </w:pPr>
      <w:r>
        <w:rPr>
          <w:b/>
          <w:color w:val="000000"/>
        </w:rPr>
        <w:lastRenderedPageBreak/>
        <w:br w:type="textWrapping" w:clear="all"/>
      </w: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63D9ECA" w:rsidR="000E4698" w:rsidRPr="00475925" w:rsidRDefault="006D4B67" w:rsidP="00EF0DA9">
            <w:pPr>
              <w:pStyle w:val="NormalWeb"/>
              <w:spacing w:before="0" w:beforeAutospacing="0" w:after="0" w:afterAutospacing="0"/>
              <w:jc w:val="both"/>
              <w:rPr>
                <w:color w:val="000000"/>
              </w:rPr>
            </w:pPr>
            <w:r>
              <w:rPr>
                <w:color w:val="000000" w:themeColor="text1"/>
              </w:rPr>
              <w:t xml:space="preserve">02.07.2021.; </w:t>
            </w:r>
            <w:r w:rsidR="000530F5">
              <w:rPr>
                <w:color w:val="000000" w:themeColor="text1"/>
              </w:rPr>
              <w:t>25</w:t>
            </w:r>
            <w:r w:rsidR="00423838">
              <w:rPr>
                <w:color w:val="000000" w:themeColor="text1"/>
              </w:rPr>
              <w:t>.03</w:t>
            </w:r>
            <w:r w:rsidR="00526450">
              <w:rPr>
                <w:color w:val="000000" w:themeColor="text1"/>
              </w:rPr>
              <w:t>.2021</w:t>
            </w:r>
            <w:r w:rsidR="003148AF">
              <w:rPr>
                <w:color w:val="000000" w:themeColor="text1"/>
              </w:rPr>
              <w:t>., VSS-</w:t>
            </w:r>
            <w:r w:rsidR="00423838">
              <w:rPr>
                <w:color w:val="000000" w:themeColor="text1"/>
              </w:rPr>
              <w:t>2</w:t>
            </w:r>
            <w:r w:rsidR="000530F5">
              <w:rPr>
                <w:color w:val="000000" w:themeColor="text1"/>
              </w:rPr>
              <w:t>6</w:t>
            </w:r>
            <w:r w:rsidR="00EF0DA9">
              <w:rPr>
                <w:color w:val="000000" w:themeColor="text1"/>
              </w:rPr>
              <w:t>0</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18076448"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w:t>
            </w:r>
            <w:r w:rsidR="00357781">
              <w:rPr>
                <w:color w:val="000000"/>
              </w:rPr>
              <w:t>a, Latvijas Pašvaldību savienība</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72D9ABC1" w:rsidR="000E4698" w:rsidRPr="00475925" w:rsidRDefault="00EF0DA9" w:rsidP="000530F5">
            <w:pPr>
              <w:pStyle w:val="naiskr"/>
              <w:spacing w:before="0" w:after="0"/>
              <w:ind w:left="-108"/>
              <w:jc w:val="both"/>
              <w:rPr>
                <w:color w:val="000000"/>
              </w:rPr>
            </w:pPr>
            <w:r>
              <w:rPr>
                <w:color w:val="000000" w:themeColor="text1"/>
              </w:rPr>
              <w:t>Finanšu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5"/>
        <w:gridCol w:w="8"/>
        <w:gridCol w:w="2523"/>
        <w:gridCol w:w="4836"/>
        <w:gridCol w:w="11"/>
        <w:gridCol w:w="2545"/>
        <w:gridCol w:w="10"/>
        <w:gridCol w:w="4817"/>
      </w:tblGrid>
      <w:tr w:rsidR="00D7241B" w:rsidRPr="00475925" w14:paraId="2FCDD50B" w14:textId="77777777" w:rsidTr="006D4B67">
        <w:tc>
          <w:tcPr>
            <w:tcW w:w="704" w:type="dxa"/>
            <w:gridSpan w:val="3"/>
            <w:vAlign w:val="center"/>
          </w:tcPr>
          <w:p w14:paraId="1D3D9B2F" w14:textId="79078DE4" w:rsidR="00D7241B" w:rsidRPr="00475925" w:rsidRDefault="00D7241B" w:rsidP="006D4B67">
            <w:pPr>
              <w:pStyle w:val="naisc"/>
              <w:spacing w:before="0" w:after="0"/>
            </w:pPr>
            <w:r>
              <w:t>Nr. p.k.</w:t>
            </w:r>
          </w:p>
        </w:tc>
        <w:tc>
          <w:tcPr>
            <w:tcW w:w="2523" w:type="dxa"/>
            <w:vAlign w:val="center"/>
          </w:tcPr>
          <w:p w14:paraId="5F770C33" w14:textId="2432013D" w:rsidR="00D7241B" w:rsidRPr="00475925" w:rsidRDefault="00D7241B" w:rsidP="006D4B67">
            <w:pPr>
              <w:pStyle w:val="naisc"/>
              <w:spacing w:before="0" w:after="0"/>
              <w:ind w:firstLine="12"/>
            </w:pPr>
            <w:r w:rsidRPr="00E3343C">
              <w:t>Saskaņošanai nosūtītā projekta redakcija (konkrēta punkta (panta) redakcija)</w:t>
            </w:r>
          </w:p>
        </w:tc>
        <w:tc>
          <w:tcPr>
            <w:tcW w:w="4847" w:type="dxa"/>
            <w:gridSpan w:val="2"/>
            <w:vAlign w:val="center"/>
          </w:tcPr>
          <w:p w14:paraId="751BEE38" w14:textId="464B93E3" w:rsidR="00D7241B" w:rsidRPr="00475925" w:rsidRDefault="00D7241B" w:rsidP="006D4B67">
            <w:pPr>
              <w:pStyle w:val="naisc"/>
              <w:spacing w:before="0" w:after="0"/>
              <w:ind w:right="3"/>
            </w:pPr>
            <w:r>
              <w:t>Atzinumā norādītais ministrijas (citas institūcijas) iebildums, kā arī saskaņošanā papildus izteiktais iebildums par projekta konkrēto punktu (pantu)</w:t>
            </w:r>
          </w:p>
        </w:tc>
        <w:tc>
          <w:tcPr>
            <w:tcW w:w="2555" w:type="dxa"/>
            <w:gridSpan w:val="2"/>
            <w:vAlign w:val="center"/>
          </w:tcPr>
          <w:p w14:paraId="4B8ED78C" w14:textId="1738F24F" w:rsidR="00D7241B" w:rsidRPr="00475925" w:rsidRDefault="00D7241B" w:rsidP="006D4B67">
            <w:pPr>
              <w:pStyle w:val="naisc"/>
              <w:spacing w:before="0" w:after="0"/>
              <w:ind w:firstLine="21"/>
            </w:pPr>
            <w:r>
              <w:t xml:space="preserve">Atbildīgās ministrijas norāde par to, ka iebildums ir ņemts vērā, vai informācija par </w:t>
            </w:r>
            <w:r>
              <w:lastRenderedPageBreak/>
              <w:t>saskaņošanā panākto alternatīvo risinājumu</w:t>
            </w:r>
          </w:p>
        </w:tc>
        <w:tc>
          <w:tcPr>
            <w:tcW w:w="4817" w:type="dxa"/>
            <w:vAlign w:val="center"/>
          </w:tcPr>
          <w:p w14:paraId="41F003C8" w14:textId="65950E5E" w:rsidR="00D7241B" w:rsidRPr="00475925" w:rsidRDefault="00D7241B" w:rsidP="006D4B67">
            <w:pPr>
              <w:jc w:val="center"/>
            </w:pPr>
          </w:p>
        </w:tc>
      </w:tr>
      <w:tr w:rsidR="00D7241B" w:rsidRPr="00475925" w14:paraId="7FA5DBD5" w14:textId="77777777" w:rsidTr="006D4B67">
        <w:tc>
          <w:tcPr>
            <w:tcW w:w="704" w:type="dxa"/>
            <w:gridSpan w:val="3"/>
          </w:tcPr>
          <w:p w14:paraId="1342461B" w14:textId="27A8AE3B" w:rsidR="00D7241B" w:rsidRPr="00475925" w:rsidRDefault="00D7241B" w:rsidP="006D4B67">
            <w:pPr>
              <w:pStyle w:val="naisc"/>
              <w:spacing w:before="0" w:after="0"/>
            </w:pPr>
            <w:r>
              <w:t>1</w:t>
            </w:r>
          </w:p>
        </w:tc>
        <w:tc>
          <w:tcPr>
            <w:tcW w:w="2523" w:type="dxa"/>
          </w:tcPr>
          <w:p w14:paraId="70883659" w14:textId="0D30E6AD" w:rsidR="00D7241B" w:rsidRPr="00475925" w:rsidRDefault="00D7241B" w:rsidP="006D4B67">
            <w:pPr>
              <w:pStyle w:val="naisc"/>
              <w:spacing w:before="0" w:after="0"/>
              <w:ind w:firstLine="12"/>
            </w:pPr>
            <w:r w:rsidRPr="00E3343C">
              <w:t>2</w:t>
            </w:r>
          </w:p>
        </w:tc>
        <w:tc>
          <w:tcPr>
            <w:tcW w:w="4847" w:type="dxa"/>
            <w:gridSpan w:val="2"/>
          </w:tcPr>
          <w:p w14:paraId="3499EB8B" w14:textId="280E3B23" w:rsidR="00D7241B" w:rsidRPr="00475925" w:rsidRDefault="00D7241B" w:rsidP="006D4B67">
            <w:pPr>
              <w:pStyle w:val="naisc"/>
              <w:spacing w:before="0" w:after="0"/>
              <w:ind w:right="3"/>
            </w:pPr>
            <w:r>
              <w:t>3</w:t>
            </w:r>
          </w:p>
        </w:tc>
        <w:tc>
          <w:tcPr>
            <w:tcW w:w="2555" w:type="dxa"/>
            <w:gridSpan w:val="2"/>
          </w:tcPr>
          <w:p w14:paraId="0FEE0D0A" w14:textId="44FF81B6" w:rsidR="00D7241B" w:rsidRPr="00475925" w:rsidRDefault="00D7241B" w:rsidP="006D4B67">
            <w:pPr>
              <w:pStyle w:val="naisc"/>
              <w:spacing w:before="0" w:after="0"/>
              <w:ind w:firstLine="21"/>
            </w:pPr>
            <w:r>
              <w:t>4</w:t>
            </w:r>
          </w:p>
        </w:tc>
        <w:tc>
          <w:tcPr>
            <w:tcW w:w="4817" w:type="dxa"/>
          </w:tcPr>
          <w:p w14:paraId="3A76EE6F" w14:textId="225515A6" w:rsidR="00D7241B" w:rsidRPr="00475925" w:rsidRDefault="00D7241B" w:rsidP="006D4B67">
            <w:pPr>
              <w:jc w:val="center"/>
            </w:pPr>
          </w:p>
        </w:tc>
      </w:tr>
      <w:tr w:rsidR="006D4B67" w14:paraId="54512CA0" w14:textId="77777777" w:rsidTr="006D4B67">
        <w:tc>
          <w:tcPr>
            <w:tcW w:w="15446" w:type="dxa"/>
            <w:gridSpan w:val="9"/>
          </w:tcPr>
          <w:p w14:paraId="2EA6E94E" w14:textId="21B2C212" w:rsidR="006D4B67" w:rsidRDefault="006D4B67" w:rsidP="006D4B67">
            <w:pPr>
              <w:jc w:val="center"/>
              <w:rPr>
                <w:b/>
                <w:bCs/>
                <w:color w:val="000000" w:themeColor="text1"/>
              </w:rPr>
            </w:pPr>
            <w:r>
              <w:rPr>
                <w:b/>
                <w:bCs/>
                <w:color w:val="000000" w:themeColor="text1"/>
              </w:rPr>
              <w:t>Pēc elektroniskās saskaņošanas 02.07.2021.</w:t>
            </w:r>
          </w:p>
        </w:tc>
      </w:tr>
      <w:tr w:rsidR="006D4B67" w14:paraId="679A1656" w14:textId="70800084" w:rsidTr="006D4B67">
        <w:tc>
          <w:tcPr>
            <w:tcW w:w="671" w:type="dxa"/>
          </w:tcPr>
          <w:p w14:paraId="20C95A4E" w14:textId="29A34B6A" w:rsidR="006D4B67" w:rsidRPr="00CE2165" w:rsidRDefault="00CE2165" w:rsidP="006D4B67">
            <w:pPr>
              <w:jc w:val="center"/>
              <w:rPr>
                <w:bCs/>
                <w:color w:val="000000" w:themeColor="text1"/>
              </w:rPr>
            </w:pPr>
            <w:r w:rsidRPr="00CE2165">
              <w:rPr>
                <w:bCs/>
                <w:color w:val="000000" w:themeColor="text1"/>
              </w:rPr>
              <w:t>1.</w:t>
            </w:r>
          </w:p>
        </w:tc>
        <w:tc>
          <w:tcPr>
            <w:tcW w:w="2556" w:type="dxa"/>
            <w:gridSpan w:val="3"/>
          </w:tcPr>
          <w:p w14:paraId="2D75F8D0" w14:textId="77777777" w:rsidR="008E60C4" w:rsidRPr="00C379A0" w:rsidRDefault="008E60C4" w:rsidP="008E60C4">
            <w:pPr>
              <w:pStyle w:val="naisf"/>
              <w:spacing w:before="120"/>
              <w:ind w:firstLine="720"/>
              <w:rPr>
                <w:color w:val="000000"/>
              </w:rPr>
            </w:pPr>
            <w:r w:rsidRPr="00C379A0">
              <w:rPr>
                <w:color w:val="000000"/>
                <w:shd w:val="clear" w:color="auto" w:fill="FFFFFF"/>
              </w:rPr>
              <w:t>1. Saskaņā ar Publiskas personas mantas atsavināšanas likuma 42. panta pirmo daļu,</w:t>
            </w:r>
            <w:r w:rsidRPr="00C379A0">
              <w:t xml:space="preserve"> </w:t>
            </w:r>
            <w:r w:rsidRPr="00C379A0">
              <w:rPr>
                <w:color w:val="000000"/>
                <w:shd w:val="clear" w:color="auto" w:fill="FFFFFF"/>
              </w:rPr>
              <w:t>42.</w:t>
            </w:r>
            <w:r w:rsidRPr="00C379A0">
              <w:rPr>
                <w:color w:val="000000"/>
                <w:shd w:val="clear" w:color="auto" w:fill="FFFFFF"/>
                <w:vertAlign w:val="superscript"/>
              </w:rPr>
              <w:t>1</w:t>
            </w:r>
            <w:r w:rsidRPr="00C379A0">
              <w:rPr>
                <w:color w:val="000000"/>
                <w:shd w:val="clear" w:color="auto" w:fill="FFFFFF"/>
              </w:rPr>
              <w:t xml:space="preserve">, un 43. pantu, Valsts ieņēmumu dienestam bez atlīdzības nodot Mālpils novada </w:t>
            </w:r>
            <w:r w:rsidRPr="00C379A0">
              <w:rPr>
                <w:color w:val="000000"/>
              </w:rPr>
              <w:t>pašvaldības īpašumā valstij piekrītošo bezīpašnieka mantu –</w:t>
            </w:r>
            <w:r w:rsidRPr="00C379A0">
              <w:t xml:space="preserve"> </w:t>
            </w:r>
            <w:r w:rsidRPr="00C379A0">
              <w:rPr>
                <w:color w:val="000000"/>
              </w:rPr>
              <w:t xml:space="preserve">nekustamo īpašumu “Dālderi” (nekustamā īpašuma kadastra Nr. 8074 003 0817), kas sastāv no zemes vienības ar kadastra apzīmējumu 8074 003 0817 ar kopējo platību 1,14 ha un divām būvēm: dzīvojamās mājas ar kadastra apzīmējumu 8074 003 0817 001 un saimniecības ēkas ar kadastra apzīmējumu 8074 003 0268 009, </w:t>
            </w:r>
            <w:proofErr w:type="spellStart"/>
            <w:r w:rsidRPr="00C379A0">
              <w:rPr>
                <w:color w:val="000000"/>
              </w:rPr>
              <w:t>Sudas</w:t>
            </w:r>
            <w:proofErr w:type="spellEnd"/>
            <w:r w:rsidRPr="00C379A0">
              <w:rPr>
                <w:color w:val="000000"/>
              </w:rPr>
              <w:t xml:space="preserve"> ielā 9, Mālpils pagastā, Mālpils novadā,  (turpmāk– </w:t>
            </w:r>
            <w:r w:rsidRPr="00C379A0">
              <w:rPr>
                <w:color w:val="000000"/>
              </w:rPr>
              <w:lastRenderedPageBreak/>
              <w:t xml:space="preserve">nekustamais īpašums), lai saskaņā ar likuma "Par pašvaldībām" 15. panta pirmās daļas 9. punktu izmantotu pašvaldības autonomās funkcijas īstenošanai – palīdzības sniegšanai iedzīvotājiem dzīvokļa jautājumu risināšanā. </w:t>
            </w:r>
          </w:p>
          <w:p w14:paraId="4A1630FE" w14:textId="319B8C4B" w:rsidR="006D4B67" w:rsidRDefault="006D4B67" w:rsidP="006D4B67">
            <w:pPr>
              <w:jc w:val="center"/>
              <w:rPr>
                <w:b/>
                <w:bCs/>
                <w:color w:val="000000" w:themeColor="text1"/>
              </w:rPr>
            </w:pPr>
          </w:p>
        </w:tc>
        <w:tc>
          <w:tcPr>
            <w:tcW w:w="4836" w:type="dxa"/>
          </w:tcPr>
          <w:p w14:paraId="48FE4865" w14:textId="5C1842E2" w:rsidR="00CE2165" w:rsidRPr="00CE2165" w:rsidRDefault="00CE2165" w:rsidP="006D4B67">
            <w:pPr>
              <w:jc w:val="both"/>
              <w:rPr>
                <w:b/>
                <w:bCs/>
                <w:color w:val="000000" w:themeColor="text1"/>
              </w:rPr>
            </w:pPr>
            <w:r w:rsidRPr="00CE2165">
              <w:rPr>
                <w:b/>
                <w:bCs/>
                <w:color w:val="000000" w:themeColor="text1"/>
              </w:rPr>
              <w:lastRenderedPageBreak/>
              <w:t>Finanšu ministrija</w:t>
            </w:r>
          </w:p>
          <w:p w14:paraId="54223A36" w14:textId="77777777" w:rsidR="006D4B67" w:rsidRPr="006D4B67" w:rsidRDefault="006D4B67" w:rsidP="006D4B67">
            <w:pPr>
              <w:jc w:val="both"/>
              <w:rPr>
                <w:bCs/>
                <w:color w:val="000000" w:themeColor="text1"/>
              </w:rPr>
            </w:pPr>
            <w:r w:rsidRPr="006D4B67">
              <w:rPr>
                <w:bCs/>
                <w:color w:val="000000" w:themeColor="text1"/>
              </w:rPr>
              <w:t xml:space="preserve">Rīkojuma projekta 1.punktā norādīts, ka nekustamais īpašums ir bezīpašnieka manta. </w:t>
            </w:r>
          </w:p>
          <w:p w14:paraId="402003C2" w14:textId="77777777" w:rsidR="006D4B67" w:rsidRPr="006D4B67" w:rsidRDefault="006D4B67" w:rsidP="006D4B67">
            <w:pPr>
              <w:jc w:val="both"/>
              <w:rPr>
                <w:bCs/>
                <w:color w:val="000000" w:themeColor="text1"/>
              </w:rPr>
            </w:pPr>
            <w:r w:rsidRPr="006D4B67">
              <w:rPr>
                <w:bCs/>
                <w:color w:val="000000" w:themeColor="text1"/>
              </w:rPr>
              <w:t xml:space="preserve">Saskaņā ar rīkojuma projektam pievienoto Rīgas apgabaltiesas Krimināllietu tiesas kolēģija ar izpildu rakstu lietā Nr.11815001517 arestēto mantu (nekustamo īpašumu) nolemts atzīt par noziedzīgi iegūtu mantu un to konfiscēt. </w:t>
            </w:r>
          </w:p>
          <w:p w14:paraId="273CF0A9" w14:textId="77777777" w:rsidR="006D4B67" w:rsidRPr="006D4B67" w:rsidRDefault="006D4B67" w:rsidP="006D4B67">
            <w:pPr>
              <w:jc w:val="both"/>
              <w:rPr>
                <w:bCs/>
                <w:color w:val="000000" w:themeColor="text1"/>
              </w:rPr>
            </w:pPr>
            <w:r w:rsidRPr="006D4B67">
              <w:rPr>
                <w:bCs/>
                <w:color w:val="000000" w:themeColor="text1"/>
              </w:rPr>
              <w:t>Atbilstoši Krimināllikuma  70.10 panta pirmajai daļai nekustamais īpašums ir atzīstams par valsts mantu un piekrīt valstij.</w:t>
            </w:r>
          </w:p>
          <w:p w14:paraId="3AE834E2" w14:textId="67E94C4C" w:rsidR="006D4B67" w:rsidRPr="006D4B67" w:rsidRDefault="006D4B67" w:rsidP="006D4B67">
            <w:pPr>
              <w:jc w:val="both"/>
              <w:rPr>
                <w:bCs/>
                <w:color w:val="000000" w:themeColor="text1"/>
              </w:rPr>
            </w:pPr>
            <w:r w:rsidRPr="006D4B67">
              <w:rPr>
                <w:bCs/>
                <w:color w:val="000000" w:themeColor="text1"/>
              </w:rPr>
              <w:t>Ņemot vērā minēto, lūdzam rīkojuma projekta 1.punktā svītrot vārdu “bezīpašnieka”.</w:t>
            </w:r>
          </w:p>
        </w:tc>
        <w:tc>
          <w:tcPr>
            <w:tcW w:w="2556" w:type="dxa"/>
            <w:gridSpan w:val="2"/>
          </w:tcPr>
          <w:p w14:paraId="36F8B7CE" w14:textId="77777777" w:rsidR="006D4B67" w:rsidRDefault="006D4B67" w:rsidP="006D4B67">
            <w:pPr>
              <w:rPr>
                <w:b/>
                <w:bCs/>
                <w:color w:val="000000" w:themeColor="text1"/>
              </w:rPr>
            </w:pPr>
            <w:r>
              <w:rPr>
                <w:b/>
                <w:bCs/>
                <w:color w:val="000000" w:themeColor="text1"/>
              </w:rPr>
              <w:t>Ņemts vērā</w:t>
            </w:r>
          </w:p>
          <w:p w14:paraId="74048AED" w14:textId="691E3C96" w:rsidR="006D4B67" w:rsidRPr="006D4B67" w:rsidRDefault="006D4B67" w:rsidP="006D4B67">
            <w:pPr>
              <w:rPr>
                <w:bCs/>
                <w:color w:val="000000" w:themeColor="text1"/>
              </w:rPr>
            </w:pPr>
            <w:r w:rsidRPr="006D4B67">
              <w:rPr>
                <w:bCs/>
                <w:color w:val="000000" w:themeColor="text1"/>
              </w:rPr>
              <w:t>Precizēta rīkojuma projekta 1.punkta redakcija un anotācija</w:t>
            </w:r>
          </w:p>
        </w:tc>
        <w:tc>
          <w:tcPr>
            <w:tcW w:w="4827" w:type="dxa"/>
            <w:gridSpan w:val="2"/>
          </w:tcPr>
          <w:p w14:paraId="79A0C60E" w14:textId="1FDF37DA" w:rsidR="006D4B67" w:rsidRPr="006D4B67" w:rsidRDefault="006D4B67" w:rsidP="006D4B67">
            <w:pPr>
              <w:jc w:val="both"/>
              <w:rPr>
                <w:bCs/>
                <w:color w:val="000000" w:themeColor="text1"/>
              </w:rPr>
            </w:pPr>
            <w:r w:rsidRPr="006D4B67">
              <w:rPr>
                <w:bCs/>
                <w:color w:val="000000" w:themeColor="text1"/>
              </w:rPr>
              <w:t>1. Saskaņā ar Publiskas personas mantas atsavināšanas likuma 42. panta pirmo daļu, 42.</w:t>
            </w:r>
            <w:r w:rsidRPr="00176D43">
              <w:rPr>
                <w:bCs/>
                <w:color w:val="000000" w:themeColor="text1"/>
                <w:vertAlign w:val="superscript"/>
              </w:rPr>
              <w:t>1</w:t>
            </w:r>
            <w:r w:rsidRPr="006D4B67">
              <w:rPr>
                <w:bCs/>
                <w:color w:val="000000" w:themeColor="text1"/>
              </w:rPr>
              <w:t>, un 43. pantu, Valsts ieņēmumu dienestam bez atlīdzības nodot Siguldas novada pašvaldības īpašumā valstij piekrītošo nekustamo īpašumu “</w:t>
            </w:r>
            <w:proofErr w:type="spellStart"/>
            <w:r w:rsidRPr="006D4B67">
              <w:rPr>
                <w:bCs/>
                <w:color w:val="000000" w:themeColor="text1"/>
              </w:rPr>
              <w:t>Dalderi</w:t>
            </w:r>
            <w:proofErr w:type="spellEnd"/>
            <w:r w:rsidRPr="006D4B67">
              <w:rPr>
                <w:bCs/>
                <w:color w:val="000000" w:themeColor="text1"/>
              </w:rPr>
              <w:t xml:space="preserve">” (nekustamā īpašuma kadastra Nr. 8074 003 0817), kas sastāv no zemes vienības ar kadastra apzīmējumu 8074 003 0817 ar kopējo platību 1,14 ha un divām būvēm: dzīvojamās mājas ar kadastra apzīmējumu 8074 003 0817 001 un saimniecības ēkas ar kadastra apzīmējumu 8074 003 0268 009, </w:t>
            </w:r>
            <w:proofErr w:type="spellStart"/>
            <w:r w:rsidRPr="006D4B67">
              <w:rPr>
                <w:bCs/>
                <w:color w:val="000000" w:themeColor="text1"/>
              </w:rPr>
              <w:t>Sudas</w:t>
            </w:r>
            <w:proofErr w:type="spellEnd"/>
            <w:r w:rsidRPr="006D4B67">
              <w:rPr>
                <w:bCs/>
                <w:color w:val="000000" w:themeColor="text1"/>
              </w:rPr>
              <w:t xml:space="preserve"> ielā 9, Mālpilī, Mālpils pagastā, Siguldas novadā,  (turpmāk– nekustamais īpašums), lai saskaņā ar likuma "Par pašvaldībām" 15.panta pirmās daļas 2., 5., 6., un 9.punktu to izmantotu pašvaldības autonomo funkciju īstenošanai – palīdzības sniegšanai iedzīvotājiem dzīvokļu jautājumu risināšanā, teritorijas labiekārtošanai un sanitārās tīrības nodrošināšanai, rūpēm par kultūru un tradicionālo kultūras vērtību saglabāšanas un tautas jaunrades attīstības sekmēšanai, veselības aprūpes pieejamības nodrošināšanai, kā arī iedzīvotāju veselīga dzīvesveida un sporta veicināšanai.</w:t>
            </w:r>
          </w:p>
        </w:tc>
      </w:tr>
      <w:tr w:rsidR="006D4B67" w14:paraId="2D4D117D" w14:textId="092519C4" w:rsidTr="006D4B67">
        <w:tc>
          <w:tcPr>
            <w:tcW w:w="671" w:type="dxa"/>
          </w:tcPr>
          <w:p w14:paraId="3D2771FF" w14:textId="7890EB4F" w:rsidR="006D4B67" w:rsidRPr="00CE2165" w:rsidRDefault="00CE2165" w:rsidP="006D4B67">
            <w:pPr>
              <w:jc w:val="center"/>
              <w:rPr>
                <w:bCs/>
                <w:color w:val="000000" w:themeColor="text1"/>
              </w:rPr>
            </w:pPr>
            <w:r w:rsidRPr="00CE2165">
              <w:rPr>
                <w:bCs/>
                <w:color w:val="000000" w:themeColor="text1"/>
              </w:rPr>
              <w:lastRenderedPageBreak/>
              <w:t>2.</w:t>
            </w:r>
          </w:p>
        </w:tc>
        <w:tc>
          <w:tcPr>
            <w:tcW w:w="2556" w:type="dxa"/>
            <w:gridSpan w:val="3"/>
          </w:tcPr>
          <w:p w14:paraId="428C6600" w14:textId="3C073749" w:rsidR="006D4B67" w:rsidRDefault="006D4B67" w:rsidP="006D4B67">
            <w:pPr>
              <w:jc w:val="center"/>
              <w:rPr>
                <w:b/>
                <w:bCs/>
                <w:color w:val="000000" w:themeColor="text1"/>
              </w:rPr>
            </w:pPr>
          </w:p>
        </w:tc>
        <w:tc>
          <w:tcPr>
            <w:tcW w:w="4836" w:type="dxa"/>
          </w:tcPr>
          <w:p w14:paraId="48FBF965" w14:textId="77777777" w:rsidR="00CE2165" w:rsidRPr="00CE2165" w:rsidRDefault="00CE2165" w:rsidP="00CE2165">
            <w:pPr>
              <w:jc w:val="both"/>
              <w:rPr>
                <w:b/>
                <w:bCs/>
                <w:color w:val="000000" w:themeColor="text1"/>
              </w:rPr>
            </w:pPr>
            <w:r w:rsidRPr="00CE2165">
              <w:rPr>
                <w:b/>
                <w:bCs/>
                <w:color w:val="000000" w:themeColor="text1"/>
              </w:rPr>
              <w:t>Finanšu ministrija</w:t>
            </w:r>
          </w:p>
          <w:p w14:paraId="6422700B" w14:textId="77777777" w:rsidR="006D4B67" w:rsidRPr="006D4B67" w:rsidRDefault="006D4B67" w:rsidP="006D4B67">
            <w:pPr>
              <w:jc w:val="both"/>
              <w:rPr>
                <w:bCs/>
                <w:color w:val="000000" w:themeColor="text1"/>
              </w:rPr>
            </w:pPr>
            <w:r w:rsidRPr="006D4B67">
              <w:rPr>
                <w:bCs/>
                <w:color w:val="000000" w:themeColor="text1"/>
              </w:rPr>
              <w:t>Anotācijas III sadaļas 8.punktā norādīts, ka izdevumi, kas saistīti ar nekustamā īpašuma pārņemšanu, tai skaitā īpašuma ierakstīšanu zemesgrāmatā tiks segti no Siguldas novada pašvaldības budžeta līdzekļiem.</w:t>
            </w:r>
          </w:p>
          <w:p w14:paraId="18313F7F" w14:textId="77777777" w:rsidR="006D4B67" w:rsidRPr="006D4B67" w:rsidRDefault="006D4B67" w:rsidP="006D4B67">
            <w:pPr>
              <w:jc w:val="both"/>
              <w:rPr>
                <w:bCs/>
                <w:color w:val="000000" w:themeColor="text1"/>
              </w:rPr>
            </w:pPr>
            <w:r w:rsidRPr="006D4B67">
              <w:rPr>
                <w:bCs/>
                <w:color w:val="000000" w:themeColor="text1"/>
              </w:rPr>
              <w:t>Atbilstoši rīkojuma projektam pievienotajiem paskaidrojošajiem dokumentiem nekustamais īpašums ir ierakstīts Mālpils novada zemesgrāmatas nodalījumā Nr.100000117313.</w:t>
            </w:r>
          </w:p>
          <w:p w14:paraId="345DBB63" w14:textId="77777777" w:rsidR="006D4B67" w:rsidRPr="006D4B67" w:rsidRDefault="006D4B67" w:rsidP="006D4B67">
            <w:pPr>
              <w:jc w:val="both"/>
              <w:rPr>
                <w:bCs/>
                <w:color w:val="000000" w:themeColor="text1"/>
              </w:rPr>
            </w:pPr>
            <w:r w:rsidRPr="006D4B67">
              <w:rPr>
                <w:bCs/>
                <w:color w:val="000000" w:themeColor="text1"/>
              </w:rPr>
              <w:t>Saskaņā ar rīkojuma projekta 4.1.apakšpunktu Siguldas novada pašvaldībai paredzēts nekustamo īpašumu nostiprināt zemesgrāmatā uz valsts vārda Vides aizsardzības un reģionālās attīstības ministrijas personā vienlaikus ar Siguldas novada pašvaldības īpašuma tiesību nostiprināšanu.</w:t>
            </w:r>
          </w:p>
          <w:p w14:paraId="7339269D" w14:textId="0AEA8D0D" w:rsidR="006D4B67" w:rsidRDefault="006D4B67" w:rsidP="006D4B67">
            <w:pPr>
              <w:jc w:val="both"/>
              <w:rPr>
                <w:b/>
                <w:bCs/>
                <w:color w:val="000000" w:themeColor="text1"/>
              </w:rPr>
            </w:pPr>
            <w:r w:rsidRPr="006D4B67">
              <w:rPr>
                <w:bCs/>
                <w:color w:val="000000" w:themeColor="text1"/>
              </w:rPr>
              <w:t>Ņemot vērā minēto, lūdzam precizēt anotācijas III sadaļas 8.punktu, norādot, ka izdevumi, kas saistīti ar nekustamā īpašuma pārņemšanu, tai skaitā īpašuma tiesību nostiprināšanu tiks segti no Siguldas novada pašvaldības budžeta līdzekļiem.</w:t>
            </w:r>
          </w:p>
        </w:tc>
        <w:tc>
          <w:tcPr>
            <w:tcW w:w="2556" w:type="dxa"/>
            <w:gridSpan w:val="2"/>
          </w:tcPr>
          <w:p w14:paraId="7A48B89B" w14:textId="77777777" w:rsidR="006D4B67" w:rsidRDefault="006D4B67" w:rsidP="006D4B67">
            <w:pPr>
              <w:rPr>
                <w:b/>
                <w:bCs/>
                <w:color w:val="000000" w:themeColor="text1"/>
              </w:rPr>
            </w:pPr>
            <w:r>
              <w:rPr>
                <w:b/>
                <w:bCs/>
                <w:color w:val="000000" w:themeColor="text1"/>
              </w:rPr>
              <w:t>Ņemts vērā</w:t>
            </w:r>
          </w:p>
          <w:p w14:paraId="3E61A581" w14:textId="782C640B" w:rsidR="006D4B67" w:rsidRPr="006D4B67" w:rsidRDefault="006D4B67" w:rsidP="006D4B67">
            <w:pPr>
              <w:rPr>
                <w:bCs/>
                <w:color w:val="000000" w:themeColor="text1"/>
              </w:rPr>
            </w:pPr>
            <w:r w:rsidRPr="006D4B67">
              <w:rPr>
                <w:bCs/>
                <w:color w:val="000000" w:themeColor="text1"/>
              </w:rPr>
              <w:t>Precizēta rīkojuma projekta anotācija</w:t>
            </w:r>
          </w:p>
        </w:tc>
        <w:tc>
          <w:tcPr>
            <w:tcW w:w="4827" w:type="dxa"/>
            <w:gridSpan w:val="2"/>
          </w:tcPr>
          <w:p w14:paraId="6F5A3277" w14:textId="5B81621B" w:rsidR="006D4B67" w:rsidRDefault="008E60C4" w:rsidP="006D4B67">
            <w:pPr>
              <w:jc w:val="center"/>
              <w:rPr>
                <w:b/>
                <w:bCs/>
                <w:color w:val="000000" w:themeColor="text1"/>
              </w:rPr>
            </w:pPr>
            <w:r>
              <w:rPr>
                <w:b/>
                <w:bCs/>
                <w:color w:val="000000" w:themeColor="text1"/>
              </w:rPr>
              <w:t>Sk. anotācij</w:t>
            </w:r>
            <w:r w:rsidR="00365251">
              <w:rPr>
                <w:b/>
                <w:bCs/>
                <w:color w:val="000000" w:themeColor="text1"/>
              </w:rPr>
              <w:t>as III sadaļu</w:t>
            </w:r>
          </w:p>
        </w:tc>
      </w:tr>
      <w:tr w:rsidR="712E55AA" w14:paraId="77341968" w14:textId="77777777" w:rsidTr="006D4B67">
        <w:tc>
          <w:tcPr>
            <w:tcW w:w="15446" w:type="dxa"/>
            <w:gridSpan w:val="9"/>
          </w:tcPr>
          <w:p w14:paraId="3CD4BB16" w14:textId="7B7CC6D1" w:rsidR="712E55AA" w:rsidRDefault="006D4B67" w:rsidP="006D4B67">
            <w:pPr>
              <w:jc w:val="center"/>
              <w:rPr>
                <w:b/>
                <w:bCs/>
                <w:color w:val="000000" w:themeColor="text1"/>
              </w:rPr>
            </w:pPr>
            <w:r>
              <w:rPr>
                <w:b/>
                <w:bCs/>
                <w:color w:val="000000" w:themeColor="text1"/>
              </w:rPr>
              <w:lastRenderedPageBreak/>
              <w:t>Atzinumi pēc izsludināšanas VSS 25.03.2021.</w:t>
            </w:r>
          </w:p>
        </w:tc>
      </w:tr>
      <w:tr w:rsidR="00E248E4" w14:paraId="515DEFF6" w14:textId="54587C49" w:rsidTr="006D4B67">
        <w:tc>
          <w:tcPr>
            <w:tcW w:w="696" w:type="dxa"/>
            <w:gridSpan w:val="2"/>
          </w:tcPr>
          <w:p w14:paraId="3A93C0F3" w14:textId="09EFA0F3" w:rsidR="00E248E4" w:rsidRPr="007A2107" w:rsidRDefault="00CE2165" w:rsidP="006D4B67">
            <w:pPr>
              <w:jc w:val="both"/>
              <w:rPr>
                <w:bCs/>
                <w:color w:val="000000" w:themeColor="text1"/>
              </w:rPr>
            </w:pPr>
            <w:r>
              <w:rPr>
                <w:bCs/>
                <w:color w:val="000000" w:themeColor="text1"/>
              </w:rPr>
              <w:t>3.</w:t>
            </w:r>
          </w:p>
        </w:tc>
        <w:tc>
          <w:tcPr>
            <w:tcW w:w="2531" w:type="dxa"/>
            <w:gridSpan w:val="2"/>
          </w:tcPr>
          <w:p w14:paraId="63D48EDF" w14:textId="3EF9C0D3" w:rsidR="00E248E4" w:rsidRPr="0086484E" w:rsidRDefault="00781ADC" w:rsidP="006D4B67">
            <w:pPr>
              <w:jc w:val="both"/>
              <w:rPr>
                <w:bCs/>
                <w:color w:val="000000" w:themeColor="text1"/>
              </w:rPr>
            </w:pPr>
            <w:r w:rsidRPr="00781ADC">
              <w:rPr>
                <w:bCs/>
                <w:color w:val="000000" w:themeColor="text1"/>
              </w:rPr>
              <w:t>1. Saskaņā ar Publiskas personas mantas atsavināšanas likuma 42. panta pirmo daļu, 42.1, un 43. pantu, Valsts ieņēmumu dienestam bez atlīdzības nodot Mālpils novada pašvaldības īpašumā valstij piekrītošo bezīpašnieka mantu – nekustamo īpašumu “</w:t>
            </w:r>
            <w:proofErr w:type="spellStart"/>
            <w:r w:rsidRPr="00781ADC">
              <w:rPr>
                <w:bCs/>
                <w:color w:val="000000" w:themeColor="text1"/>
              </w:rPr>
              <w:t>Dalderi</w:t>
            </w:r>
            <w:proofErr w:type="spellEnd"/>
            <w:r w:rsidRPr="00781ADC">
              <w:rPr>
                <w:bCs/>
                <w:color w:val="000000" w:themeColor="text1"/>
              </w:rPr>
              <w:t xml:space="preserve">” (nekustamā īpašuma kadastra Nr. 8074 003 0817), kas sastāv no zemes vienības ar kadastra apzīmējumu 8074 003 0817 ar kopējo platību 1,14 ha un divām būvēm: dzīvojamās mājas ar kadastra apzīmējumu 8074 003 0817 001 un saimniecības ēkas ar kadastra apzīmējumu 8074 003 0268 009, </w:t>
            </w:r>
            <w:proofErr w:type="spellStart"/>
            <w:r w:rsidRPr="00781ADC">
              <w:rPr>
                <w:bCs/>
                <w:color w:val="000000" w:themeColor="text1"/>
              </w:rPr>
              <w:t>Sudas</w:t>
            </w:r>
            <w:proofErr w:type="spellEnd"/>
            <w:r w:rsidRPr="00781ADC">
              <w:rPr>
                <w:bCs/>
                <w:color w:val="000000" w:themeColor="text1"/>
              </w:rPr>
              <w:t xml:space="preserve"> ielā 9, Mālpilī, Mālpils novadā,  (turpmāk– nekustamais īpašums), lai saskaņā ar likuma "Par pašvaldībām" 15.panta pirmo daļu to izmantotu </w:t>
            </w:r>
            <w:r w:rsidRPr="00781ADC">
              <w:rPr>
                <w:bCs/>
                <w:color w:val="000000" w:themeColor="text1"/>
              </w:rPr>
              <w:lastRenderedPageBreak/>
              <w:t>pašvaldības autonomo funkciju īstenošanai.</w:t>
            </w:r>
          </w:p>
        </w:tc>
        <w:tc>
          <w:tcPr>
            <w:tcW w:w="4847" w:type="dxa"/>
            <w:gridSpan w:val="2"/>
          </w:tcPr>
          <w:p w14:paraId="380BB852" w14:textId="77777777" w:rsidR="00CE2165" w:rsidRPr="00CE2165" w:rsidRDefault="00CE2165" w:rsidP="00CE2165">
            <w:pPr>
              <w:jc w:val="both"/>
              <w:rPr>
                <w:b/>
                <w:bCs/>
                <w:color w:val="000000" w:themeColor="text1"/>
              </w:rPr>
            </w:pPr>
            <w:r w:rsidRPr="00CE2165">
              <w:rPr>
                <w:b/>
                <w:bCs/>
                <w:color w:val="000000" w:themeColor="text1"/>
              </w:rPr>
              <w:lastRenderedPageBreak/>
              <w:t>Finanšu ministrija</w:t>
            </w:r>
          </w:p>
          <w:p w14:paraId="4C4EAD7E" w14:textId="77777777" w:rsidR="00B339F3" w:rsidRPr="00B339F3" w:rsidRDefault="00B339F3" w:rsidP="006D4B67">
            <w:pPr>
              <w:jc w:val="both"/>
              <w:rPr>
                <w:bCs/>
                <w:color w:val="000000" w:themeColor="text1"/>
              </w:rPr>
            </w:pPr>
            <w:r w:rsidRPr="00B339F3">
              <w:rPr>
                <w:bCs/>
                <w:color w:val="000000" w:themeColor="text1"/>
              </w:rPr>
              <w:t xml:space="preserve">Atbilstoši rīkojuma projekta 1.punktam paredzēts nodot Mālpils novada pašvaldības īpašumā valstij piekrītošo nekustamo īpašumu “Dālderi” (nekustamā īpašuma kadastra Nr.8074 003 0817), kas sastāv no zemes vienības ar kadastra apzīmējumu 8074 003 0817 ar kopējo platību 1,14 ha un divām būvēm: dzīvojamās mājas ar kadastra apzīmējumu 8074 003 0817 001 un saimniecības ēkas ar kadastra apzīmējumu 8074 003 0268 009, </w:t>
            </w:r>
            <w:proofErr w:type="spellStart"/>
            <w:r w:rsidRPr="00B339F3">
              <w:rPr>
                <w:bCs/>
                <w:color w:val="000000" w:themeColor="text1"/>
              </w:rPr>
              <w:t>Sudas</w:t>
            </w:r>
            <w:proofErr w:type="spellEnd"/>
            <w:r w:rsidRPr="00B339F3">
              <w:rPr>
                <w:bCs/>
                <w:color w:val="000000" w:themeColor="text1"/>
              </w:rPr>
              <w:t xml:space="preserve"> ielā 9, Mālpils pagastā, Mālpils novadā,  (turpmāk– nekustamais īpašums), lai saskaņā ar likuma “Par pašvaldībām” 15.panta pirmo daļu to izmantotu pašvaldības autonomo funkciju īstenošanai.</w:t>
            </w:r>
          </w:p>
          <w:p w14:paraId="01628688" w14:textId="77777777" w:rsidR="00B339F3" w:rsidRPr="00B339F3" w:rsidRDefault="00B339F3" w:rsidP="006D4B67">
            <w:pPr>
              <w:jc w:val="both"/>
              <w:rPr>
                <w:bCs/>
                <w:color w:val="000000" w:themeColor="text1"/>
              </w:rPr>
            </w:pPr>
            <w:r w:rsidRPr="00B339F3">
              <w:rPr>
                <w:bCs/>
                <w:color w:val="000000" w:themeColor="text1"/>
              </w:rPr>
              <w:t xml:space="preserve">Saskaņā ar anotācijas I sadaļas 2.punktā norādīto un atbilstoši Mālpils novada domes 2020.gada 26.decembra lēmumam Nr.2 “Par valstij piekrītošā nekustamā īpašuma pārņemšanu” nekustamais īpašums ir nepieciešams pašvaldībai likumā “Par pašvaldībām” 15.panta pirmās daļas 2.punktā noteiktās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B339F3">
              <w:rPr>
                <w:bCs/>
                <w:color w:val="000000" w:themeColor="text1"/>
              </w:rPr>
              <w:t>pretplūdu</w:t>
            </w:r>
            <w:proofErr w:type="spellEnd"/>
            <w:r w:rsidRPr="00B339F3">
              <w:rPr>
                <w:bCs/>
                <w:color w:val="000000" w:themeColor="text1"/>
              </w:rPr>
              <w:t xml:space="preserve"> pasākumi; kapsētu un beigto dzīvnieku apbedīšanas vietu izveidošana un uzturēšana), 5.punktā noteiktās funkcijas – rūpēties par kultūru un sekmēt tradicionālo </w:t>
            </w:r>
            <w:r w:rsidRPr="00B339F3">
              <w:rPr>
                <w:bCs/>
                <w:color w:val="000000" w:themeColor="text1"/>
              </w:rPr>
              <w:lastRenderedPageBreak/>
              <w:t>kultūras vērtību saglabāšanu un tautas jaunrades attīstību (organizatoriska un finansiāla palīdzība kultūras iestādēm un pasākumiem, atbalsts kultūras pieminekļu saglabāšanai u.c.) un 6.punktā noteiktās funkcijas – nodrošināt veselības aprūpes pieejamību, kā arī veicināt iedzīvotāju veselīgu dzīvesveidu un sportu, izpildes nodrošināšanai.</w:t>
            </w:r>
          </w:p>
          <w:p w14:paraId="3BCFB505" w14:textId="77777777" w:rsidR="00B339F3" w:rsidRPr="00B339F3" w:rsidRDefault="00B339F3" w:rsidP="006D4B67">
            <w:pPr>
              <w:jc w:val="both"/>
              <w:rPr>
                <w:bCs/>
                <w:color w:val="000000" w:themeColor="text1"/>
              </w:rPr>
            </w:pPr>
            <w:r w:rsidRPr="00B339F3">
              <w:rPr>
                <w:bCs/>
                <w:color w:val="000000" w:themeColor="text1"/>
              </w:rPr>
              <w:t xml:space="preserve">Vienlaikus vēršam uzmanību, ka anotācijas II sadaļas 1.punktā norādīts, ka sabiedrības </w:t>
            </w:r>
            <w:proofErr w:type="spellStart"/>
            <w:r w:rsidRPr="00B339F3">
              <w:rPr>
                <w:bCs/>
                <w:color w:val="000000" w:themeColor="text1"/>
              </w:rPr>
              <w:t>mērķgrupas</w:t>
            </w:r>
            <w:proofErr w:type="spellEnd"/>
            <w:r w:rsidRPr="00B339F3">
              <w:rPr>
                <w:bCs/>
                <w:color w:val="000000" w:themeColor="text1"/>
              </w:rPr>
              <w:t>, kuras tiesiskais regulējums ietekmē vai varētu ietekmēt ir Mālpils novada iedzīvotāji, kuriem nepieciešama palīdzība dzīvokļa jautājumu risināšanai.</w:t>
            </w:r>
          </w:p>
          <w:p w14:paraId="2A6061B4" w14:textId="77777777" w:rsidR="00B339F3" w:rsidRPr="00B339F3" w:rsidRDefault="00B339F3" w:rsidP="006D4B67">
            <w:pPr>
              <w:jc w:val="both"/>
              <w:rPr>
                <w:bCs/>
                <w:color w:val="000000" w:themeColor="text1"/>
              </w:rPr>
            </w:pPr>
            <w:r w:rsidRPr="00B339F3">
              <w:rPr>
                <w:bCs/>
                <w:color w:val="000000" w:themeColor="text1"/>
              </w:rPr>
              <w:t xml:space="preserve">Ministru kabineta 2013.gada 26.novembra noteikumu Nr.1354 “Kārtība, kādā veicama valstij piekritīgās mantas uzskaite, novērtēšana, realizācija, nodošana bez maksas, iznīcināšana un realizācijas ieņēmumu ieskaitīšana valsts budžetā” (turpmāk – MK noteikumi Nr.1354) 32.4.apakšpunkts noteic,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nodod bez maksas attiecīgajai pašvaldībai īpašumā, pamatojoties uz Ministru kabineta rīkojumu, bet, ja mēneša laikā pēc Valsts ieņēmumu dienesta informācijas saņemšanas attiecīgā pašvaldības dome nav pieņēmusi lēmumu vai atsakās pārņemt, – akciju </w:t>
            </w:r>
            <w:r w:rsidRPr="00B339F3">
              <w:rPr>
                <w:bCs/>
                <w:color w:val="000000" w:themeColor="text1"/>
              </w:rPr>
              <w:lastRenderedPageBreak/>
              <w:t xml:space="preserve">sabiedrībai “Publisko aktīvu pārvaldītājs </w:t>
            </w:r>
            <w:proofErr w:type="spellStart"/>
            <w:r w:rsidRPr="00B339F3">
              <w:rPr>
                <w:bCs/>
                <w:color w:val="000000" w:themeColor="text1"/>
              </w:rPr>
              <w:t>Possessor</w:t>
            </w:r>
            <w:proofErr w:type="spellEnd"/>
            <w:r w:rsidRPr="00B339F3">
              <w:rPr>
                <w:bCs/>
                <w:color w:val="000000" w:themeColor="text1"/>
              </w:rPr>
              <w:t>” valdījumā. Ņemot vērā minēto nekustamo īpašumu izmantošanas veidu, tie pašvaldībām tiek nodoti saskaņā ar Publiskas personas mantas atsavināšanas likuma 42.panta pirmās daļas vai 42.</w:t>
            </w:r>
            <w:r w:rsidRPr="004D45DB">
              <w:rPr>
                <w:bCs/>
                <w:color w:val="000000" w:themeColor="text1"/>
                <w:vertAlign w:val="superscript"/>
              </w:rPr>
              <w:t>1</w:t>
            </w:r>
            <w:r w:rsidRPr="00B339F3">
              <w:rPr>
                <w:bCs/>
                <w:color w:val="000000" w:themeColor="text1"/>
              </w:rPr>
              <w:t xml:space="preserve"> panta nosacījumiem vienas noteiktas pašvaldības autonomās funkcijas īstenošanai – palīdzības sniegšanai iedzīvotājiem dzīvokļa jautājumu risināšanā.</w:t>
            </w:r>
          </w:p>
          <w:p w14:paraId="3485B246" w14:textId="4E90F003" w:rsidR="00E248E4" w:rsidRPr="00E248E4" w:rsidRDefault="00B339F3" w:rsidP="006D4B67">
            <w:pPr>
              <w:jc w:val="both"/>
              <w:rPr>
                <w:bCs/>
                <w:color w:val="000000" w:themeColor="text1"/>
              </w:rPr>
            </w:pPr>
            <w:r w:rsidRPr="00B339F3">
              <w:rPr>
                <w:bCs/>
                <w:color w:val="000000" w:themeColor="text1"/>
              </w:rPr>
              <w:t xml:space="preserve">Ņemot vērā MK noteikumu Nr.1354 32.4.apakšpunktā noteikto lūdzam skaidrot, vai Mālpils novada pašvaldība pārņems nekustamo īpašumu funkcijas – sniegt palīdzību iedzīvotājiem dzīvokļa jautājumu risināšanā – īstenošanai, attiecīgi grozot Mālpils novada domes 2020.gada 26.decembrī pieņemto lēmumu Nr.2 “Par valstij piekrītošā nekustamā īpašuma pārņemšanu”. Gadījumā, ja Mālpils novada pašvaldība atsakās pārņemt nekustamo īpašumu pašvaldības autonomās funkcijas īstenošanai – palīdzības sniegšanai iedzīvotājiem dzīvokļa jautājumu risināšanā, atbilstoši MK noteikumu Nr.1354 32.4.apakšpunktam nekustamais īpašums ir nododams sabiedrības ar ierobežotu atbildību “Publisko aktīvu pārvaldītājs </w:t>
            </w:r>
            <w:proofErr w:type="spellStart"/>
            <w:r w:rsidRPr="00B339F3">
              <w:rPr>
                <w:bCs/>
                <w:color w:val="000000" w:themeColor="text1"/>
              </w:rPr>
              <w:t>Possessor</w:t>
            </w:r>
            <w:proofErr w:type="spellEnd"/>
            <w:r w:rsidRPr="00B339F3">
              <w:rPr>
                <w:bCs/>
                <w:color w:val="000000" w:themeColor="text1"/>
              </w:rPr>
              <w:t>” valdījumā. Ņemot vērā iepriekš minēto, lūdzam attiecīgi precizēt rīkojuma projektu un anotāciju.</w:t>
            </w:r>
          </w:p>
        </w:tc>
        <w:tc>
          <w:tcPr>
            <w:tcW w:w="2555" w:type="dxa"/>
            <w:gridSpan w:val="2"/>
          </w:tcPr>
          <w:p w14:paraId="02A9D578" w14:textId="77777777" w:rsidR="00357781" w:rsidRPr="00357781" w:rsidRDefault="00357781" w:rsidP="006D4B67">
            <w:pPr>
              <w:jc w:val="both"/>
              <w:rPr>
                <w:b/>
                <w:bCs/>
                <w:color w:val="000000" w:themeColor="text1"/>
              </w:rPr>
            </w:pPr>
            <w:r w:rsidRPr="00357781">
              <w:rPr>
                <w:b/>
                <w:bCs/>
                <w:color w:val="000000" w:themeColor="text1"/>
              </w:rPr>
              <w:lastRenderedPageBreak/>
              <w:t>Ņemts vērā</w:t>
            </w:r>
          </w:p>
          <w:p w14:paraId="17E7A19D" w14:textId="77777777" w:rsidR="00357781" w:rsidRDefault="00357781" w:rsidP="006D4B67">
            <w:pPr>
              <w:jc w:val="both"/>
              <w:rPr>
                <w:bCs/>
                <w:color w:val="000000" w:themeColor="text1"/>
              </w:rPr>
            </w:pPr>
            <w:r>
              <w:rPr>
                <w:bCs/>
                <w:color w:val="000000" w:themeColor="text1"/>
              </w:rPr>
              <w:t>Precizēta rīkojuma projekta 1.punkta redakcija un atbilstoši anotācijas I sadaļas 2.punkts</w:t>
            </w:r>
          </w:p>
          <w:p w14:paraId="0B2AC3A3" w14:textId="74123F58" w:rsidR="00E248E4" w:rsidRPr="00E248E4" w:rsidRDefault="00E248E4" w:rsidP="006D4B67">
            <w:pPr>
              <w:jc w:val="both"/>
              <w:rPr>
                <w:bCs/>
                <w:color w:val="000000" w:themeColor="text1"/>
              </w:rPr>
            </w:pPr>
          </w:p>
        </w:tc>
        <w:tc>
          <w:tcPr>
            <w:tcW w:w="4817" w:type="dxa"/>
          </w:tcPr>
          <w:p w14:paraId="6D47F870" w14:textId="1661F5BE" w:rsidR="00781ADC" w:rsidRDefault="00637D6B" w:rsidP="006D4B67">
            <w:pPr>
              <w:jc w:val="both"/>
              <w:rPr>
                <w:bCs/>
                <w:color w:val="000000" w:themeColor="text1"/>
              </w:rPr>
            </w:pPr>
            <w:r>
              <w:t xml:space="preserve"> </w:t>
            </w:r>
            <w:r w:rsidR="00CE75AF" w:rsidRPr="00CE75AF">
              <w:rPr>
                <w:bCs/>
                <w:color w:val="000000" w:themeColor="text1"/>
              </w:rPr>
              <w:t>1. Saskaņā ar Publiskas personas mantas atsavināšanas likuma 42. panta pirmo daļu, 42.</w:t>
            </w:r>
            <w:r w:rsidR="00CE75AF" w:rsidRPr="004D45DB">
              <w:rPr>
                <w:bCs/>
                <w:color w:val="000000" w:themeColor="text1"/>
                <w:vertAlign w:val="superscript"/>
              </w:rPr>
              <w:t>1</w:t>
            </w:r>
            <w:r w:rsidR="00CE75AF" w:rsidRPr="00CE75AF">
              <w:rPr>
                <w:bCs/>
                <w:color w:val="000000" w:themeColor="text1"/>
              </w:rPr>
              <w:t>, un 43. pantu, Valsts ieņēmumu dienestam bez atlīdzības nodot Siguldas novada pašvaldības īpašumā valstij piekrītošo bezīpašnieka mantu – nekustamo īpašumu “</w:t>
            </w:r>
            <w:proofErr w:type="spellStart"/>
            <w:r w:rsidR="00CE75AF" w:rsidRPr="00CE75AF">
              <w:rPr>
                <w:bCs/>
                <w:color w:val="000000" w:themeColor="text1"/>
              </w:rPr>
              <w:t>Dalderi</w:t>
            </w:r>
            <w:proofErr w:type="spellEnd"/>
            <w:r w:rsidR="00CE75AF" w:rsidRPr="00CE75AF">
              <w:rPr>
                <w:bCs/>
                <w:color w:val="000000" w:themeColor="text1"/>
              </w:rPr>
              <w:t xml:space="preserve">” (nekustamā īpašuma kadastra Nr. 8074 003 0817), kas sastāv no zemes vienības ar kadastra apzīmējumu 8074 003 0817 ar kopējo platību 1,14 ha un divām būvēm: dzīvojamās mājas ar kadastra apzīmējumu 8074 003 0817 001 un saimniecības ēkas ar kadastra apzīmējumu 8074 003 0268 009, </w:t>
            </w:r>
            <w:proofErr w:type="spellStart"/>
            <w:r w:rsidR="00CE75AF" w:rsidRPr="00CE75AF">
              <w:rPr>
                <w:bCs/>
                <w:color w:val="000000" w:themeColor="text1"/>
              </w:rPr>
              <w:t>Sudas</w:t>
            </w:r>
            <w:proofErr w:type="spellEnd"/>
            <w:r w:rsidR="00CE75AF" w:rsidRPr="00CE75AF">
              <w:rPr>
                <w:bCs/>
                <w:color w:val="000000" w:themeColor="text1"/>
              </w:rPr>
              <w:t xml:space="preserve"> ielā 9, Mālpilī, Mālpils pagastā, Siguldas novadā,  (turpmāk– nekustamais īpašums), lai saskaņā ar likuma "Par pašvaldībām" 15.panta pirmās daļas 2., 5., 6., un 9.punktu to izmantotu pašvaldības autonomo funkciju īstenošanai – palīdzības sniegšanai iedzīvotājiem dzīvokļu jautājumu risināšanā, teritorijas labiekārtošanai un sanitārās tīrības nodrošināšanai, rūpēm par kultūru un tradicionālo kultūras vērtību saglabāšanas un tautas jaunrades attīstības sekmēšanai, veselības aprūpes pieejamības nodrošināšanai, kā arī iedzīvotāju veselīga dzīvesveida un sporta veicināšanai.</w:t>
            </w:r>
          </w:p>
          <w:p w14:paraId="79556C8B" w14:textId="77777777" w:rsidR="00CE75AF" w:rsidRDefault="00CE75AF" w:rsidP="006D4B67">
            <w:pPr>
              <w:jc w:val="both"/>
              <w:rPr>
                <w:bCs/>
                <w:color w:val="000000" w:themeColor="text1"/>
              </w:rPr>
            </w:pPr>
          </w:p>
          <w:p w14:paraId="3B9D04D7" w14:textId="093CB76C" w:rsidR="00637D6B" w:rsidRDefault="00637D6B" w:rsidP="006D4B67">
            <w:pPr>
              <w:jc w:val="both"/>
              <w:rPr>
                <w:bCs/>
                <w:color w:val="000000" w:themeColor="text1"/>
              </w:rPr>
            </w:pPr>
            <w:r>
              <w:rPr>
                <w:bCs/>
                <w:color w:val="000000" w:themeColor="text1"/>
              </w:rPr>
              <w:t>Anotācija:</w:t>
            </w:r>
          </w:p>
          <w:p w14:paraId="7E2EAA0F" w14:textId="77777777" w:rsidR="00637D6B" w:rsidRDefault="00637D6B" w:rsidP="006D4B67">
            <w:pPr>
              <w:jc w:val="both"/>
              <w:rPr>
                <w:bCs/>
                <w:color w:val="000000" w:themeColor="text1"/>
              </w:rPr>
            </w:pPr>
            <w:r>
              <w:rPr>
                <w:bCs/>
                <w:color w:val="000000" w:themeColor="text1"/>
              </w:rPr>
              <w:t>…….</w:t>
            </w:r>
          </w:p>
          <w:p w14:paraId="61A4CCEA" w14:textId="4FCEF678" w:rsidR="00E248E4" w:rsidRPr="00E248E4" w:rsidRDefault="00781ADC" w:rsidP="006D4B67">
            <w:pPr>
              <w:jc w:val="both"/>
              <w:rPr>
                <w:bCs/>
                <w:color w:val="000000" w:themeColor="text1"/>
              </w:rPr>
            </w:pPr>
            <w:r w:rsidRPr="00781ADC">
              <w:rPr>
                <w:bCs/>
                <w:color w:val="000000" w:themeColor="text1"/>
              </w:rPr>
              <w:t xml:space="preserve">Mālpils novada dome 2020. gada 26. februārī pieņēma lēmumu Nr. 2 “Par valstij piekrītošā nekustamā īpašuma pārņemšanu”, lai nekustamo īpašumu izmantotu likumā „Par pašvaldībām” 15. panta pirmajā daļā noteikto </w:t>
            </w:r>
            <w:r w:rsidRPr="00781ADC">
              <w:rPr>
                <w:bCs/>
                <w:color w:val="000000" w:themeColor="text1"/>
              </w:rPr>
              <w:lastRenderedPageBreak/>
              <w:t>funkciju īstenošanai. Mālpils novada dome 2021.gada 22.jūnijā pieņēma lēmumu Nr.10 “ Par Mālpils novada domes 2020.gada 26.februāra lēmuma Nr.2/4 “Par valstij piekrītošā nekustamā īpašuma pārņemšanu” grozīšanu”, kurā tiek precizēts, kādām pašvaldībai noteiktajām funkcijām nekustamais īpašums plānots izmantot. Ņemot vērā nekustamā īpašuma “</w:t>
            </w:r>
            <w:proofErr w:type="spellStart"/>
            <w:r w:rsidRPr="00781ADC">
              <w:rPr>
                <w:bCs/>
                <w:color w:val="000000" w:themeColor="text1"/>
              </w:rPr>
              <w:t>Dalderi</w:t>
            </w:r>
            <w:proofErr w:type="spellEnd"/>
            <w:r w:rsidRPr="00781ADC">
              <w:rPr>
                <w:bCs/>
                <w:color w:val="000000" w:themeColor="text1"/>
              </w:rPr>
              <w:t>” sastāvu (nekustamā īpašuma sastāvā ir zemes vienība 1,14 ha platībā, saimniecības ēka un dzīvojamā māja 204 m</w:t>
            </w:r>
            <w:r w:rsidRPr="004D45DB">
              <w:rPr>
                <w:bCs/>
                <w:color w:val="000000" w:themeColor="text1"/>
                <w:vertAlign w:val="superscript"/>
              </w:rPr>
              <w:t>2</w:t>
            </w:r>
            <w:r w:rsidRPr="00781ADC">
              <w:rPr>
                <w:bCs/>
                <w:color w:val="000000" w:themeColor="text1"/>
              </w:rPr>
              <w:t xml:space="preserve"> platībā, no kuras tikai 89,8 m</w:t>
            </w:r>
            <w:r w:rsidRPr="004D45DB">
              <w:rPr>
                <w:bCs/>
                <w:color w:val="000000" w:themeColor="text1"/>
                <w:vertAlign w:val="superscript"/>
              </w:rPr>
              <w:t>2</w:t>
            </w:r>
            <w:r w:rsidRPr="00781ADC">
              <w:rPr>
                <w:bCs/>
                <w:color w:val="000000" w:themeColor="text1"/>
              </w:rPr>
              <w:t xml:space="preserve"> ir izmantojami dzīvojamajai funkcijai) un, lai īpašums tiktu izmantots efektīvi, tas tiks izmantots likuma “Par pašvaldībām” 15.panta pirmās daļas 2.punktā noteiktās funkcijas - gādāt par savas administratīvās teritorijas labiekārtošanu un sanitāro tīrību,  5.punktā noteiktās funkcijas - rūpēties par kultūru un sekmēt tradicionālo kultūras vērtību saglabāšanu un tautas jaunrades attīstību, 6.punktā noteiktās funkcijas - nodrošināt veselības aprūpes pieejamību, kā arī veicināt iedzīvotāju veselīgu dzīvesveidu un sportu, un 9.punktā noteiktās funkcijas - sniegt palīdzību iedzīvotājiem dzīvokļa jautājumu risināšanā, izpildes nodrošināšanai</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E19D" w14:textId="0DBFA5EB" w:rsidR="00D60738" w:rsidRPr="00EF0DA9" w:rsidRDefault="00EF0DA9" w:rsidP="00EF0DA9">
    <w:pPr>
      <w:pStyle w:val="Footer"/>
    </w:pPr>
    <w:r w:rsidRPr="00EF0DA9">
      <w:rPr>
        <w:sz w:val="20"/>
        <w:szCs w:val="20"/>
      </w:rPr>
      <w:t>VARAMIzzina_</w:t>
    </w:r>
    <w:r w:rsidR="00AD3E7A">
      <w:rPr>
        <w:sz w:val="20"/>
        <w:szCs w:val="20"/>
      </w:rPr>
      <w:t>13</w:t>
    </w:r>
    <w:r w:rsidR="00637D6B">
      <w:rPr>
        <w:sz w:val="20"/>
        <w:szCs w:val="20"/>
      </w:rPr>
      <w:t>07</w:t>
    </w:r>
    <w:r w:rsidRPr="00EF0DA9">
      <w:rPr>
        <w:sz w:val="20"/>
        <w:szCs w:val="20"/>
      </w:rPr>
      <w:t>21_Malpils_Dalderi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BD26" w14:textId="0F68E7C7" w:rsidR="00D60738" w:rsidRPr="000530F5" w:rsidRDefault="000530F5" w:rsidP="000530F5">
    <w:pPr>
      <w:pStyle w:val="Footer"/>
    </w:pPr>
    <w:r w:rsidRPr="000530F5">
      <w:rPr>
        <w:sz w:val="20"/>
        <w:szCs w:val="20"/>
      </w:rPr>
      <w:t>VARAMIzzina_</w:t>
    </w:r>
    <w:r w:rsidR="00AD3E7A">
      <w:rPr>
        <w:sz w:val="20"/>
        <w:szCs w:val="20"/>
      </w:rPr>
      <w:t>13</w:t>
    </w:r>
    <w:r w:rsidR="00637D6B">
      <w:rPr>
        <w:sz w:val="20"/>
        <w:szCs w:val="20"/>
      </w:rPr>
      <w:t>07</w:t>
    </w:r>
    <w:r w:rsidRPr="000530F5">
      <w:rPr>
        <w:sz w:val="20"/>
        <w:szCs w:val="20"/>
      </w:rPr>
      <w:t>21_</w:t>
    </w:r>
    <w:r w:rsidR="00EF0DA9">
      <w:rPr>
        <w:sz w:val="20"/>
        <w:szCs w:val="20"/>
      </w:rPr>
      <w:t>Malpils_Dalderi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5098"/>
      <w:docPartObj>
        <w:docPartGallery w:val="Page Numbers (Top of Page)"/>
        <w:docPartUnique/>
      </w:docPartObj>
    </w:sdtPr>
    <w:sdtEndPr>
      <w:rPr>
        <w:noProof/>
      </w:rPr>
    </w:sdtEndPr>
    <w:sdtContent>
      <w:p w14:paraId="7522606C" w14:textId="3AEC47CA" w:rsidR="00D60738" w:rsidRDefault="00D60738" w:rsidP="001E08AC">
        <w:pPr>
          <w:pStyle w:val="Header"/>
          <w:jc w:val="center"/>
        </w:pPr>
        <w:r>
          <w:fldChar w:fldCharType="begin"/>
        </w:r>
        <w:r>
          <w:instrText xml:space="preserve"> PAGE   \* MERGEFORMAT </w:instrText>
        </w:r>
        <w:r>
          <w:fldChar w:fldCharType="separate"/>
        </w:r>
        <w:r w:rsidR="009567EA">
          <w:rPr>
            <w:noProof/>
          </w:rPr>
          <w:t>9</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30F5"/>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A6"/>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6D43"/>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22B7"/>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57781"/>
    <w:rsid w:val="00362647"/>
    <w:rsid w:val="00365251"/>
    <w:rsid w:val="0037085C"/>
    <w:rsid w:val="003709D6"/>
    <w:rsid w:val="00370AC0"/>
    <w:rsid w:val="00370F38"/>
    <w:rsid w:val="00371857"/>
    <w:rsid w:val="003718C8"/>
    <w:rsid w:val="003730DE"/>
    <w:rsid w:val="00374362"/>
    <w:rsid w:val="0037499B"/>
    <w:rsid w:val="00377B48"/>
    <w:rsid w:val="003802C6"/>
    <w:rsid w:val="00384B98"/>
    <w:rsid w:val="00385070"/>
    <w:rsid w:val="00386488"/>
    <w:rsid w:val="00387A83"/>
    <w:rsid w:val="0039017D"/>
    <w:rsid w:val="00390186"/>
    <w:rsid w:val="00390264"/>
    <w:rsid w:val="00392BA4"/>
    <w:rsid w:val="00396AB5"/>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AFC"/>
    <w:rsid w:val="004B1C4A"/>
    <w:rsid w:val="004B3984"/>
    <w:rsid w:val="004B50C1"/>
    <w:rsid w:val="004B5CC8"/>
    <w:rsid w:val="004B768E"/>
    <w:rsid w:val="004C07BD"/>
    <w:rsid w:val="004C26ED"/>
    <w:rsid w:val="004C2CE3"/>
    <w:rsid w:val="004C75DA"/>
    <w:rsid w:val="004D3440"/>
    <w:rsid w:val="004D45DB"/>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4A3C"/>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37D6B"/>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4B67"/>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08DC"/>
    <w:rsid w:val="00755658"/>
    <w:rsid w:val="007627AA"/>
    <w:rsid w:val="007637BD"/>
    <w:rsid w:val="00764384"/>
    <w:rsid w:val="00764997"/>
    <w:rsid w:val="00764EB8"/>
    <w:rsid w:val="0076700A"/>
    <w:rsid w:val="007731CA"/>
    <w:rsid w:val="007739E4"/>
    <w:rsid w:val="00774DBD"/>
    <w:rsid w:val="007752F9"/>
    <w:rsid w:val="0078026E"/>
    <w:rsid w:val="00781ADC"/>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7F4FF9"/>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E60C4"/>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567EA"/>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3E7A"/>
    <w:rsid w:val="00AD46A1"/>
    <w:rsid w:val="00AE0832"/>
    <w:rsid w:val="00AE2CBE"/>
    <w:rsid w:val="00AE4AC3"/>
    <w:rsid w:val="00AF23FD"/>
    <w:rsid w:val="00AF6942"/>
    <w:rsid w:val="00B022B9"/>
    <w:rsid w:val="00B0365F"/>
    <w:rsid w:val="00B03A9F"/>
    <w:rsid w:val="00B052F1"/>
    <w:rsid w:val="00B0620E"/>
    <w:rsid w:val="00B064D0"/>
    <w:rsid w:val="00B10297"/>
    <w:rsid w:val="00B11F45"/>
    <w:rsid w:val="00B12C34"/>
    <w:rsid w:val="00B15009"/>
    <w:rsid w:val="00B15DEE"/>
    <w:rsid w:val="00B1684A"/>
    <w:rsid w:val="00B1778F"/>
    <w:rsid w:val="00B27488"/>
    <w:rsid w:val="00B3255E"/>
    <w:rsid w:val="00B339F3"/>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87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2165"/>
    <w:rsid w:val="00CE3491"/>
    <w:rsid w:val="00CE5A66"/>
    <w:rsid w:val="00CE6476"/>
    <w:rsid w:val="00CE75AF"/>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37776"/>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0DA9"/>
    <w:rsid w:val="00EF49F3"/>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uiPriority w:val="99"/>
    <w:rsid w:val="000E4698"/>
    <w:pPr>
      <w:jc w:val="both"/>
    </w:pPr>
    <w:rPr>
      <w:sz w:val="20"/>
      <w:szCs w:val="20"/>
      <w:lang w:eastAsia="en-US"/>
    </w:rPr>
  </w:style>
  <w:style w:type="character" w:customStyle="1" w:styleId="CommentTextChar">
    <w:name w:val="Comment Text Char"/>
    <w:basedOn w:val="DefaultParagraphFont"/>
    <w:link w:val="CommentText"/>
    <w:uiPriority w:val="99"/>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3BED01E3-7E15-4018-93F1-8C686DB6E0AD}">
  <ds:schemaRefs>
    <ds:schemaRef ds:uri="http://purl.org/dc/terms/"/>
    <ds:schemaRef ds:uri="ace8e44c-fa88-44c0-8590-dfda63664a63"/>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22e0e09-afb4-4bf9-abab-ecc4519bc6eb"/>
  </ds:schemaRefs>
</ds:datastoreItem>
</file>

<file path=customXml/itemProps3.xml><?xml version="1.0" encoding="utf-8"?>
<ds:datastoreItem xmlns:ds="http://schemas.openxmlformats.org/officeDocument/2006/customXml" ds:itemID="{01374176-69AC-4CF0-89D7-80AE9A98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4A284-E825-4F21-9CE9-0FAEEAEF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12482</Words>
  <Characters>7115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Dmitrijs Dmitrijevs</cp:lastModifiedBy>
  <cp:revision>10</cp:revision>
  <cp:lastPrinted>2019-02-05T15:50:00Z</cp:lastPrinted>
  <dcterms:created xsi:type="dcterms:W3CDTF">2021-07-13T11:26:00Z</dcterms:created>
  <dcterms:modified xsi:type="dcterms:W3CDTF">2021-07-20T08:52:00Z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