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54" w:rsidRPr="00F44554" w:rsidRDefault="002727D9" w:rsidP="00F4455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F44554" w:rsidRPr="00F44554">
        <w:rPr>
          <w:rFonts w:ascii="Times New Roman" w:hAnsi="Times New Roman" w:cs="Times New Roman"/>
          <w:sz w:val="28"/>
          <w:szCs w:val="28"/>
        </w:rPr>
        <w:t>.pielikums</w:t>
      </w:r>
    </w:p>
    <w:p w:rsidR="00F44554" w:rsidRPr="00F44554" w:rsidRDefault="00F44554" w:rsidP="00F44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:rsidR="00F44554" w:rsidRPr="00F44554" w:rsidRDefault="00F44554" w:rsidP="00F4455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2021. gada _. _ noteikumiem Nr. _</w:t>
      </w:r>
    </w:p>
    <w:p w:rsidR="00F44554" w:rsidRDefault="00F44554" w:rsidP="00F44554">
      <w:pPr>
        <w:jc w:val="right"/>
      </w:pPr>
    </w:p>
    <w:p w:rsidR="00F44554" w:rsidRPr="00E523F8" w:rsidRDefault="00F44554" w:rsidP="00F44554">
      <w:pPr>
        <w:jc w:val="center"/>
        <w:rPr>
          <w:rFonts w:ascii="Arial" w:hAnsi="Arial" w:cs="Arial"/>
          <w:b/>
          <w:bCs/>
          <w:color w:val="000000"/>
        </w:rPr>
      </w:pPr>
      <w:r w:rsidRPr="00E523F8">
        <w:rPr>
          <w:rFonts w:ascii="Arial" w:hAnsi="Arial" w:cs="Arial"/>
          <w:b/>
          <w:bCs/>
          <w:color w:val="000000"/>
        </w:rPr>
        <w:t xml:space="preserve">IZMAKSU UN NETO IEŅĒMUMU KATEGORIJAS SAISTĪBĀ AR OSTAS ATKRITUMU PIEŅEMŠANAS IEKĀRTU EKSPLUATĀCIJU UN ADMINISTRĒŠANU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44554" w:rsidRPr="00E523F8" w:rsidTr="00F44554">
        <w:tc>
          <w:tcPr>
            <w:tcW w:w="2765" w:type="dxa"/>
          </w:tcPr>
          <w:p w:rsidR="00F44554" w:rsidRPr="00AC562C" w:rsidRDefault="00F44554" w:rsidP="00AC56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Tiešās izmaksas </w:t>
            </w:r>
          </w:p>
          <w:p w:rsidR="00F44554" w:rsidRPr="00E523F8" w:rsidRDefault="00F44554" w:rsidP="00F445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:rsidR="00F44554" w:rsidRPr="00AC562C" w:rsidRDefault="00F44554" w:rsidP="00AC56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Netiešās izmaksas</w:t>
            </w:r>
          </w:p>
        </w:tc>
        <w:tc>
          <w:tcPr>
            <w:tcW w:w="2766" w:type="dxa"/>
          </w:tcPr>
          <w:p w:rsidR="00F44554" w:rsidRPr="00AC562C" w:rsidRDefault="00F44554" w:rsidP="00AC56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Neto ieņēmumi</w:t>
            </w: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F44554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Tiešās ekspluatācijas izmaksas saistībā ar kuģu atkritumu faktisku nodošanu, tostarp turpmāk uzskaitītās izmaksu pozīcijas.</w:t>
            </w:r>
          </w:p>
        </w:tc>
        <w:tc>
          <w:tcPr>
            <w:tcW w:w="2765" w:type="dxa"/>
          </w:tcPr>
          <w:p w:rsidR="00F44554" w:rsidRPr="00E523F8" w:rsidRDefault="00F44554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Netiešās administratīvās izmaksas, kas rodas ostas sistēmas pārvaldē, tostarp turpmāk uzskaitītās izmaksu pozīcijas</w:t>
            </w:r>
          </w:p>
        </w:tc>
        <w:tc>
          <w:tcPr>
            <w:tcW w:w="2766" w:type="dxa"/>
          </w:tcPr>
          <w:p w:rsidR="00F44554" w:rsidRPr="00E523F8" w:rsidRDefault="00F44554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Neto ieņēmumi no atkritumu apsaimniekošanas shēmām un pieejamā valsts</w:t>
            </w:r>
            <w:r w:rsidR="00AC562C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reģionālā finansējuma, tostarp turpmāk uzskaitītie ieņēmumu elementi.</w:t>
            </w: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Ostas atkritumu pieņemšanas iekārtu infrastruktūras nodrošināšana, tostarp konteineri, cisternas, apstrādes instrumenti, baržas, kravas automobiļi, atkritumu pieņemšanas iekārtas, apstrādes iekārtas.</w:t>
            </w:r>
          </w:p>
        </w:tc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Atkritumu pieņemšanas un apsaimniekošanas plāna izstrāde un apstiprināšana, tostarp jebkādas minētā plāna un tā īstenošanas revīzijas.</w:t>
            </w:r>
          </w:p>
        </w:tc>
        <w:tc>
          <w:tcPr>
            <w:tcW w:w="2766" w:type="dxa"/>
          </w:tcPr>
          <w:p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Neto finansiālie ieguvumi, ko sniedz paplašinātas ražotāja atbildības shēmas.</w:t>
            </w: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Koncesijas saistībā ar objekta nomu attiecīgā gadījumā vai ar aprīkojuma nomu, kas nepieciešams ostas atkritumu pieņemšanas iekārtu ekspluatācijai.</w:t>
            </w:r>
          </w:p>
        </w:tc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Atkritumu pieņemšanas un apsaimniekošanas plāna atjaunināšana, tostarp darbaspēka izmaksas un konsultāciju izmaksas attiecīgā gadījumā</w:t>
            </w:r>
          </w:p>
        </w:tc>
        <w:tc>
          <w:tcPr>
            <w:tcW w:w="2766" w:type="dxa"/>
          </w:tcPr>
          <w:p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3.2.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Citi neto ieņēmumi no atkritumu apsaimniekošanas, piemēram, pārstrādes shēmām.</w:t>
            </w: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AC562C" w:rsidP="00AC562C">
            <w:pPr>
              <w:ind w:left="29" w:hanging="29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Ostas atkritumu pieņemšanas iekārtu faktiskā ekspluatācija: kuģu atkritumu savākšana, atkritumu transportēšana no ostas atkritumu pieņemšanas iekārtām uz galīgo apstrādi, ostas atkritumu pieņemšanas iekārtu apkope un tīrīšana, darbaspēka izmaksas, tostarp virsstundu izmaksas, elektroenerģija, atkritumu analīze un apdrošināšana.</w:t>
            </w:r>
          </w:p>
        </w:tc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2.3.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Apspriešanās procedūru organizēšana atkritumu pieņemšanas un apsaimniekošanas plāna (atkārtotai) novērtēšanai</w:t>
            </w:r>
          </w:p>
        </w:tc>
        <w:tc>
          <w:tcPr>
            <w:tcW w:w="2766" w:type="dxa"/>
          </w:tcPr>
          <w:p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Finansējums no Eiropas Jūrlietu un zivsaimniecības fonda (EJZF).</w:t>
            </w: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Kuģu atkritumu sagatavošana atkārtotai izmantošanai, pārstrādei vai apglabāšanai, tostarp atkritumu dalīta savākšana.</w:t>
            </w:r>
          </w:p>
        </w:tc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Paziņošanas un izmaksu atgūšanas sistēmu pārvaldība, tostarp samazinātu maksu piemērošana “zaļiem kuģiem”, IT sistēmu nodrošināšana ostas līmenī, statistiskā analīze un saistītās darbaspēka izmaksas.</w:t>
            </w:r>
          </w:p>
        </w:tc>
        <w:tc>
          <w:tcPr>
            <w:tcW w:w="2766" w:type="dxa"/>
          </w:tcPr>
          <w:p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Cits finansējums vai subsīdijas, kas ostām pieejamas atkritumu apsaimniekošanas un zivsaimniecības jomā.</w:t>
            </w: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Administrācija: rēķinu sagatavošana, atkritumu nodošanas </w:t>
            </w:r>
            <w:proofErr w:type="spellStart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kvīšu</w:t>
            </w:r>
            <w:proofErr w:type="spell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izsniegšana kuģiem, ziņošana.</w:t>
            </w:r>
          </w:p>
        </w:tc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2.5.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Publiskā iepirkuma procedūru organizēšana ostas atkritumu pieņemšanas iekārtu nodrošināšanai, kā arī nepieciešamo atļauju izsniegšana ostas atkritumu pieņemšanas iekārtu nodrošināšanai ostās.</w:t>
            </w:r>
          </w:p>
        </w:tc>
        <w:tc>
          <w:tcPr>
            <w:tcW w:w="2766" w:type="dxa"/>
          </w:tcPr>
          <w:p w:rsidR="00F44554" w:rsidRPr="00E523F8" w:rsidRDefault="00F44554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:rsidR="00F44554" w:rsidRPr="00E523F8" w:rsidRDefault="00AC562C" w:rsidP="00A94A5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2.6.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Ostu lietotāju informēšana ar bukletiem, </w:t>
            </w:r>
            <w:proofErr w:type="spellStart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izkārtņu</w:t>
            </w:r>
            <w:proofErr w:type="spell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un plakātu izvietošanu ostā vai informācijas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publicēšanu ostas tīmekļa vietnē un 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>.punktā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prasītās informācijas elektroniska nosūtīšana.</w:t>
            </w:r>
          </w:p>
        </w:tc>
        <w:tc>
          <w:tcPr>
            <w:tcW w:w="2766" w:type="dxa"/>
          </w:tcPr>
          <w:p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2.7.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Atkritumu apsaimniekošanas shēmu pārvaldība: paplašinātas ražotāja atbildības shēmas, pārstrāde, pieteikšanās valsts/reģionāliem fondiem un to īstenošana</w:t>
            </w:r>
          </w:p>
        </w:tc>
        <w:tc>
          <w:tcPr>
            <w:tcW w:w="2766" w:type="dxa"/>
          </w:tcPr>
          <w:p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4554" w:rsidRPr="00E523F8" w:rsidTr="00F44554">
        <w:tc>
          <w:tcPr>
            <w:tcW w:w="2765" w:type="dxa"/>
          </w:tcPr>
          <w:p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:rsidR="00F44554" w:rsidRPr="00E523F8" w:rsidRDefault="00AC562C" w:rsidP="00A94A5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2.8. </w:t>
            </w:r>
            <w:proofErr w:type="gramStart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Citas administratīvās izmaksas</w:t>
            </w:r>
            <w:proofErr w:type="gram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: atbrīvojumu uzraudzīšanas un elektroniskās ziņošanas izmaksas, kā </w:t>
            </w:r>
            <w:r w:rsidR="00FF4D8B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noteikts šo noteikumu 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 xml:space="preserve">18., 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FF4D8B" w:rsidRPr="00E523F8">
              <w:rPr>
                <w:rFonts w:ascii="Arial" w:hAnsi="Arial" w:cs="Arial"/>
                <w:color w:val="000000"/>
                <w:sz w:val="18"/>
                <w:szCs w:val="18"/>
              </w:rPr>
              <w:t>.punktā.</w:t>
            </w:r>
          </w:p>
        </w:tc>
        <w:tc>
          <w:tcPr>
            <w:tcW w:w="2766" w:type="dxa"/>
          </w:tcPr>
          <w:p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F44554" w:rsidRPr="00E523F8" w:rsidRDefault="00F44554" w:rsidP="00F44554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F44554" w:rsidRPr="00E523F8" w:rsidRDefault="00F44554">
      <w:pPr>
        <w:rPr>
          <w:rFonts w:ascii="Arial" w:hAnsi="Arial" w:cs="Arial"/>
          <w:sz w:val="18"/>
          <w:szCs w:val="18"/>
        </w:rPr>
      </w:pPr>
    </w:p>
    <w:p w:rsidR="00F44554" w:rsidRPr="00E523F8" w:rsidRDefault="00F44554">
      <w:pPr>
        <w:rPr>
          <w:rFonts w:ascii="Arial" w:hAnsi="Arial" w:cs="Arial"/>
          <w:sz w:val="18"/>
          <w:szCs w:val="18"/>
        </w:rPr>
      </w:pPr>
    </w:p>
    <w:sectPr w:rsidR="00F44554" w:rsidRPr="00E523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16" w:rsidRDefault="00262C16" w:rsidP="00683E01">
      <w:pPr>
        <w:spacing w:after="0" w:line="240" w:lineRule="auto"/>
      </w:pPr>
      <w:r>
        <w:separator/>
      </w:r>
    </w:p>
  </w:endnote>
  <w:endnote w:type="continuationSeparator" w:id="0">
    <w:p w:rsidR="00262C16" w:rsidRDefault="00262C16" w:rsidP="0068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01" w:rsidRPr="00101D9E" w:rsidRDefault="00683E01">
    <w:pPr>
      <w:pStyle w:val="Footer"/>
      <w:rPr>
        <w:rFonts w:ascii="Times New Roman" w:hAnsi="Times New Roman" w:cs="Times New Roman"/>
        <w:sz w:val="20"/>
        <w:szCs w:val="20"/>
      </w:rPr>
    </w:pPr>
    <w:r w:rsidRPr="00101D9E">
      <w:rPr>
        <w:rFonts w:ascii="Times New Roman" w:hAnsi="Times New Roman" w:cs="Times New Roman"/>
        <w:sz w:val="20"/>
        <w:szCs w:val="20"/>
      </w:rPr>
      <w:t>VARAMnot_P1_izmaksu_un_ienemumu_kategorijas; 1.pielikums</w:t>
    </w:r>
    <w:r w:rsidR="00101D9E" w:rsidRPr="00101D9E">
      <w:rPr>
        <w:rFonts w:ascii="Times New Roman" w:hAnsi="Times New Roman" w:cs="Times New Roman"/>
        <w:sz w:val="20"/>
        <w:szCs w:val="20"/>
      </w:rPr>
      <w:t xml:space="preserve"> </w:t>
    </w:r>
    <w:r w:rsidR="00101D9E" w:rsidRPr="00101D9E">
      <w:rPr>
        <w:rFonts w:ascii="Times New Roman" w:eastAsia="Times New Roman" w:hAnsi="Times New Roman" w:cs="Times New Roman"/>
        <w:sz w:val="20"/>
        <w:szCs w:val="20"/>
        <w:lang w:eastAsia="lv-LV"/>
      </w:rPr>
      <w:t>Ministru kabineta noteikumu projekta</w:t>
    </w:r>
    <w:r w:rsidR="00101D9E">
      <w:rPr>
        <w:rFonts w:ascii="Times New Roman" w:eastAsia="Times New Roman" w:hAnsi="Times New Roman" w:cs="Times New Roman"/>
        <w:sz w:val="20"/>
        <w:szCs w:val="20"/>
        <w:lang w:eastAsia="lv-LV"/>
      </w:rPr>
      <w:t>m</w:t>
    </w:r>
    <w:r w:rsidR="00101D9E" w:rsidRPr="00101D9E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101D9E" w:rsidRPr="00101D9E">
      <w:rPr>
        <w:rFonts w:ascii="Times New Roman" w:hAnsi="Times New Roman" w:cs="Times New Roman"/>
        <w:sz w:val="20"/>
        <w:szCs w:val="20"/>
      </w:rPr>
      <w:t>“</w:t>
    </w:r>
    <w:r w:rsidR="00101D9E" w:rsidRPr="00101D9E">
      <w:rPr>
        <w:rFonts w:ascii="Times New Roman" w:hAnsi="Times New Roman" w:cs="Times New Roman"/>
        <w:color w:val="000000"/>
        <w:sz w:val="20"/>
        <w:szCs w:val="20"/>
      </w:rPr>
      <w:t>Kuģu atkritumu pieņemšanas kārtība un kuģu atkritumu apsaimniekošanas plānu izstrādes kārtība”</w:t>
    </w:r>
  </w:p>
  <w:p w:rsidR="00101D9E" w:rsidRDefault="00101D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16" w:rsidRDefault="00262C16" w:rsidP="00683E01">
      <w:pPr>
        <w:spacing w:after="0" w:line="240" w:lineRule="auto"/>
      </w:pPr>
      <w:r>
        <w:separator/>
      </w:r>
    </w:p>
  </w:footnote>
  <w:footnote w:type="continuationSeparator" w:id="0">
    <w:p w:rsidR="00262C16" w:rsidRDefault="00262C16" w:rsidP="0068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3B21"/>
    <w:multiLevelType w:val="hybridMultilevel"/>
    <w:tmpl w:val="10BA15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4"/>
    <w:rsid w:val="00101D9E"/>
    <w:rsid w:val="001A6109"/>
    <w:rsid w:val="00262C16"/>
    <w:rsid w:val="002727D9"/>
    <w:rsid w:val="00683E01"/>
    <w:rsid w:val="008759A3"/>
    <w:rsid w:val="00957FC2"/>
    <w:rsid w:val="0097605E"/>
    <w:rsid w:val="00A56C55"/>
    <w:rsid w:val="00A94A5A"/>
    <w:rsid w:val="00AC562C"/>
    <w:rsid w:val="00E523F8"/>
    <w:rsid w:val="00F4455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D977-ADBD-4649-9F69-19AF262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F44554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44554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01"/>
  </w:style>
  <w:style w:type="paragraph" w:styleId="Footer">
    <w:name w:val="footer"/>
    <w:basedOn w:val="Normal"/>
    <w:link w:val="FooterChar"/>
    <w:uiPriority w:val="99"/>
    <w:unhideWhenUsed/>
    <w:rsid w:val="00683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3155-F1C1-4F41-A6A8-BA38A101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Baiba Zasa</cp:lastModifiedBy>
  <cp:revision>4</cp:revision>
  <dcterms:created xsi:type="dcterms:W3CDTF">2021-08-16T15:40:00Z</dcterms:created>
  <dcterms:modified xsi:type="dcterms:W3CDTF">2021-08-17T06:34:00Z</dcterms:modified>
</cp:coreProperties>
</file>