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0E36" w14:textId="097CB363" w:rsidR="0007278B" w:rsidRPr="002A4B8B" w:rsidRDefault="003F44E3" w:rsidP="002A4B8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w:t>
      </w:r>
      <w:r w:rsidRPr="003F44E3">
        <w:rPr>
          <w:rFonts w:ascii="Times New Roman" w:eastAsia="Times New Roman" w:hAnsi="Times New Roman" w:cs="Times New Roman"/>
          <w:b/>
          <w:bCs/>
          <w:sz w:val="24"/>
          <w:szCs w:val="24"/>
          <w:lang w:eastAsia="lv-LV"/>
        </w:rPr>
        <w:t>Grozījums Ministru kabineta 2011.gada 1.novembra noteikumos Nr.850 „Nacionālā veselības dienesta nolikums”</w:t>
      </w:r>
      <w:r>
        <w:rPr>
          <w:rFonts w:ascii="Times New Roman" w:eastAsia="Times New Roman" w:hAnsi="Times New Roman" w:cs="Times New Roman"/>
          <w:b/>
          <w:bCs/>
          <w:sz w:val="24"/>
          <w:szCs w:val="24"/>
          <w:lang w:eastAsia="lv-LV"/>
        </w:rPr>
        <w:t xml:space="preserve">” </w:t>
      </w:r>
      <w:r w:rsidR="0007278B" w:rsidRPr="0055755B">
        <w:rPr>
          <w:rFonts w:ascii="Times New Roman" w:eastAsia="Times New Roman" w:hAnsi="Times New Roman" w:cs="Times New Roman"/>
          <w:b/>
          <w:sz w:val="24"/>
          <w:szCs w:val="24"/>
          <w:lang w:eastAsia="lv-LV"/>
        </w:rPr>
        <w:t>sākotnējās ietekmes novērtējuma ziņojums (anotācija</w:t>
      </w:r>
      <w:r w:rsidR="0007278B" w:rsidRPr="0055755B">
        <w:rPr>
          <w:rFonts w:ascii="Times New Roman" w:eastAsia="Calibri" w:hAnsi="Times New Roman" w:cs="Times New Roman"/>
          <w:b/>
          <w:sz w:val="24"/>
          <w:szCs w:val="24"/>
        </w:rPr>
        <w:t>)</w:t>
      </w:r>
    </w:p>
    <w:p w14:paraId="4A2AD5BB" w14:textId="77777777" w:rsidR="0007278B" w:rsidRPr="00CC4175"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55755B" w:rsidRPr="0055755B"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Tiesību akta projekta anotācijas kopsavilkums</w:t>
            </w:r>
          </w:p>
        </w:tc>
      </w:tr>
      <w:tr w:rsidR="0055755B" w:rsidRPr="0055755B"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C25A8F" w:rsidRDefault="0007278B" w:rsidP="00AE4EFC">
            <w:pPr>
              <w:spacing w:after="0" w:line="240" w:lineRule="auto"/>
              <w:jc w:val="both"/>
              <w:rPr>
                <w:rFonts w:ascii="Times New Roman" w:eastAsia="Times New Roman" w:hAnsi="Times New Roman" w:cs="Times New Roman"/>
                <w:bCs/>
                <w:sz w:val="24"/>
                <w:szCs w:val="24"/>
              </w:rPr>
            </w:pPr>
            <w:r w:rsidRPr="00C25A8F">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11315574" w:rsidR="00E86ABC" w:rsidRPr="00C25A8F" w:rsidRDefault="003F44E3" w:rsidP="0099298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noteikumu projekta “</w:t>
            </w:r>
            <w:r w:rsidR="00C25A8F" w:rsidRPr="00C25A8F">
              <w:rPr>
                <w:rFonts w:ascii="Times New Roman" w:eastAsia="Times New Roman" w:hAnsi="Times New Roman" w:cs="Times New Roman"/>
                <w:bCs/>
                <w:sz w:val="24"/>
                <w:szCs w:val="24"/>
                <w:lang w:eastAsia="lv-LV"/>
              </w:rPr>
              <w:t>Grozījum</w:t>
            </w:r>
            <w:r>
              <w:rPr>
                <w:rFonts w:ascii="Times New Roman" w:eastAsia="Times New Roman" w:hAnsi="Times New Roman" w:cs="Times New Roman"/>
                <w:bCs/>
                <w:sz w:val="24"/>
                <w:szCs w:val="24"/>
                <w:lang w:eastAsia="lv-LV"/>
              </w:rPr>
              <w:t>s</w:t>
            </w:r>
            <w:r w:rsidR="00C25A8F" w:rsidRPr="00C25A8F">
              <w:rPr>
                <w:rFonts w:ascii="Times New Roman" w:eastAsia="Times New Roman" w:hAnsi="Times New Roman" w:cs="Times New Roman"/>
                <w:bCs/>
                <w:sz w:val="24"/>
                <w:szCs w:val="24"/>
                <w:lang w:eastAsia="lv-LV"/>
              </w:rPr>
              <w:t xml:space="preserve"> Ministru kabineta 2011.gada 1.novembra noteikumos Nr.850 „Nacionālā veselības dienesta nolikums”</w:t>
            </w:r>
            <w:r>
              <w:rPr>
                <w:rFonts w:ascii="Times New Roman" w:eastAsia="Times New Roman" w:hAnsi="Times New Roman" w:cs="Times New Roman"/>
                <w:bCs/>
                <w:sz w:val="24"/>
                <w:szCs w:val="24"/>
                <w:lang w:eastAsia="lv-LV"/>
              </w:rPr>
              <w:t>”</w:t>
            </w:r>
            <w:r w:rsidR="0077465B">
              <w:rPr>
                <w:rFonts w:ascii="Times New Roman" w:eastAsia="Times New Roman" w:hAnsi="Times New Roman" w:cs="Times New Roman"/>
                <w:bCs/>
                <w:sz w:val="24"/>
                <w:szCs w:val="24"/>
                <w:lang w:eastAsia="lv-LV"/>
              </w:rPr>
              <w:t xml:space="preserve"> </w:t>
            </w:r>
            <w:r w:rsidR="00F30098" w:rsidRPr="00C25A8F">
              <w:rPr>
                <w:rFonts w:ascii="Times New Roman" w:eastAsia="Times New Roman" w:hAnsi="Times New Roman" w:cs="Times New Roman"/>
                <w:bCs/>
                <w:sz w:val="24"/>
                <w:szCs w:val="24"/>
                <w:lang w:eastAsia="lv-LV"/>
              </w:rPr>
              <w:t xml:space="preserve">(turpmāk </w:t>
            </w:r>
            <w:r w:rsidR="00B608AE" w:rsidRPr="00C25A8F">
              <w:rPr>
                <w:rFonts w:ascii="Times New Roman" w:eastAsia="Times New Roman" w:hAnsi="Times New Roman" w:cs="Times New Roman"/>
                <w:bCs/>
                <w:sz w:val="24"/>
                <w:szCs w:val="24"/>
                <w:lang w:eastAsia="lv-LV"/>
              </w:rPr>
              <w:t xml:space="preserve">– </w:t>
            </w:r>
            <w:r w:rsidR="00F30098" w:rsidRPr="00C25A8F">
              <w:rPr>
                <w:rFonts w:ascii="Times New Roman" w:eastAsia="Times New Roman" w:hAnsi="Times New Roman" w:cs="Times New Roman"/>
                <w:bCs/>
                <w:sz w:val="24"/>
                <w:szCs w:val="24"/>
                <w:lang w:eastAsia="lv-LV"/>
              </w:rPr>
              <w:t xml:space="preserve"> </w:t>
            </w:r>
            <w:r w:rsidR="00091E04">
              <w:rPr>
                <w:rFonts w:ascii="Times New Roman" w:eastAsia="Times New Roman" w:hAnsi="Times New Roman" w:cs="Times New Roman"/>
                <w:bCs/>
                <w:sz w:val="24"/>
                <w:szCs w:val="24"/>
                <w:lang w:eastAsia="lv-LV"/>
              </w:rPr>
              <w:t xml:space="preserve">Noteikumu </w:t>
            </w:r>
            <w:r w:rsidR="00F30098" w:rsidRPr="00C25A8F">
              <w:rPr>
                <w:rFonts w:ascii="Times New Roman" w:eastAsia="Times New Roman" w:hAnsi="Times New Roman" w:cs="Times New Roman"/>
                <w:bCs/>
                <w:sz w:val="24"/>
                <w:szCs w:val="24"/>
                <w:lang w:eastAsia="lv-LV"/>
              </w:rPr>
              <w:t xml:space="preserve">projekts) </w:t>
            </w:r>
            <w:r w:rsidR="00F30098" w:rsidRPr="00E86ABC">
              <w:rPr>
                <w:rFonts w:ascii="Times New Roman" w:eastAsia="Times New Roman" w:hAnsi="Times New Roman" w:cs="Times New Roman"/>
                <w:bCs/>
                <w:sz w:val="24"/>
                <w:szCs w:val="24"/>
                <w:lang w:eastAsia="lv-LV"/>
              </w:rPr>
              <w:t xml:space="preserve">mērķis ir </w:t>
            </w:r>
            <w:r>
              <w:rPr>
                <w:rFonts w:ascii="Times New Roman" w:eastAsia="Times New Roman" w:hAnsi="Times New Roman" w:cs="Times New Roman"/>
                <w:bCs/>
                <w:sz w:val="24"/>
                <w:szCs w:val="24"/>
                <w:lang w:eastAsia="lv-LV"/>
              </w:rPr>
              <w:t>n</w:t>
            </w:r>
            <w:r w:rsidR="00E86ABC" w:rsidRPr="00E27E70">
              <w:rPr>
                <w:rFonts w:ascii="Times New Roman" w:eastAsia="Times New Roman" w:hAnsi="Times New Roman" w:cs="Times New Roman"/>
                <w:bCs/>
                <w:sz w:val="24"/>
                <w:szCs w:val="24"/>
                <w:lang w:eastAsia="lv-LV"/>
              </w:rPr>
              <w:t>o</w:t>
            </w:r>
            <w:r>
              <w:rPr>
                <w:rFonts w:ascii="Times New Roman" w:eastAsia="Times New Roman" w:hAnsi="Times New Roman" w:cs="Times New Roman"/>
                <w:bCs/>
                <w:sz w:val="24"/>
                <w:szCs w:val="24"/>
                <w:lang w:eastAsia="lv-LV"/>
              </w:rPr>
              <w:t>teikt</w:t>
            </w:r>
            <w:r w:rsidR="00E86ABC" w:rsidRPr="00E27E70">
              <w:rPr>
                <w:rFonts w:ascii="Times New Roman" w:eastAsia="Times New Roman" w:hAnsi="Times New Roman" w:cs="Times New Roman"/>
                <w:bCs/>
                <w:sz w:val="24"/>
                <w:szCs w:val="24"/>
                <w:lang w:eastAsia="lv-LV"/>
              </w:rPr>
              <w:t xml:space="preserve">, </w:t>
            </w:r>
            <w:r w:rsidR="00E86ABC" w:rsidRPr="00E27E70">
              <w:rPr>
                <w:rFonts w:ascii="Times New Roman" w:hAnsi="Times New Roman"/>
                <w:sz w:val="24"/>
                <w:szCs w:val="24"/>
              </w:rPr>
              <w:t xml:space="preserve">ka </w:t>
            </w:r>
            <w:r w:rsidR="00E27E70" w:rsidRPr="00E27E70">
              <w:rPr>
                <w:rFonts w:ascii="Times New Roman" w:hAnsi="Times New Roman"/>
                <w:sz w:val="24"/>
                <w:szCs w:val="24"/>
              </w:rPr>
              <w:t>Nacionālais veselības d</w:t>
            </w:r>
            <w:r w:rsidR="00E86ABC" w:rsidRPr="00E27E70">
              <w:rPr>
                <w:rFonts w:ascii="Times New Roman" w:hAnsi="Times New Roman"/>
                <w:sz w:val="24"/>
                <w:szCs w:val="24"/>
              </w:rPr>
              <w:t xml:space="preserve">ienests ir </w:t>
            </w:r>
            <w:r>
              <w:rPr>
                <w:rFonts w:ascii="Times New Roman" w:hAnsi="Times New Roman"/>
                <w:sz w:val="24"/>
                <w:szCs w:val="24"/>
              </w:rPr>
              <w:t>valsts informācijas sistēmas “</w:t>
            </w:r>
            <w:bookmarkStart w:id="0" w:name="_Hlk73539686"/>
            <w:r>
              <w:rPr>
                <w:rFonts w:ascii="Times New Roman" w:hAnsi="Times New Roman"/>
                <w:sz w:val="24"/>
                <w:szCs w:val="24"/>
              </w:rPr>
              <w:t>N</w:t>
            </w:r>
            <w:r w:rsidR="00E86ABC" w:rsidRPr="00E27E70">
              <w:rPr>
                <w:rFonts w:ascii="Times New Roman" w:hAnsi="Times New Roman"/>
                <w:sz w:val="24"/>
                <w:szCs w:val="24"/>
              </w:rPr>
              <w:t>acionālās aplikācijas aizstājēj</w:t>
            </w:r>
            <w:r w:rsidR="00DB11B3">
              <w:rPr>
                <w:rFonts w:ascii="Times New Roman" w:hAnsi="Times New Roman"/>
                <w:sz w:val="24"/>
                <w:szCs w:val="24"/>
              </w:rPr>
              <w:t xml:space="preserve">a </w:t>
            </w:r>
            <w:r w:rsidR="006D15C8">
              <w:rPr>
                <w:rFonts w:ascii="Times New Roman" w:hAnsi="Times New Roman"/>
                <w:sz w:val="24"/>
                <w:szCs w:val="24"/>
              </w:rPr>
              <w:t>NVD</w:t>
            </w:r>
            <w:r>
              <w:rPr>
                <w:rFonts w:ascii="Times New Roman" w:hAnsi="Times New Roman"/>
                <w:sz w:val="24"/>
                <w:szCs w:val="24"/>
              </w:rPr>
              <w:t xml:space="preserve"> RINA </w:t>
            </w:r>
            <w:r w:rsidR="00F46C4A" w:rsidRPr="00E27E70">
              <w:rPr>
                <w:rFonts w:ascii="Times New Roman" w:hAnsi="Times New Roman"/>
                <w:sz w:val="24"/>
                <w:szCs w:val="24"/>
              </w:rPr>
              <w:t>(</w:t>
            </w:r>
            <w:r w:rsidR="00F46C4A" w:rsidRPr="00E27E70">
              <w:rPr>
                <w:rFonts w:ascii="Times New Roman" w:hAnsi="Times New Roman"/>
                <w:i/>
                <w:iCs/>
                <w:sz w:val="24"/>
                <w:szCs w:val="24"/>
              </w:rPr>
              <w:t>Reference Implementation of National Application</w:t>
            </w:r>
            <w:r w:rsidR="00DB11B3">
              <w:rPr>
                <w:rFonts w:ascii="Times New Roman" w:hAnsi="Times New Roman"/>
                <w:i/>
                <w:iCs/>
                <w:sz w:val="24"/>
                <w:szCs w:val="24"/>
              </w:rPr>
              <w:t>)</w:t>
            </w:r>
            <w:r>
              <w:rPr>
                <w:rFonts w:ascii="Times New Roman" w:hAnsi="Times New Roman"/>
                <w:sz w:val="24"/>
                <w:szCs w:val="24"/>
              </w:rPr>
              <w:t>”</w:t>
            </w:r>
            <w:r w:rsidR="004D7037">
              <w:rPr>
                <w:rFonts w:ascii="Times New Roman" w:hAnsi="Times New Roman"/>
                <w:sz w:val="24"/>
                <w:szCs w:val="24"/>
              </w:rPr>
              <w:t xml:space="preserve"> </w:t>
            </w:r>
            <w:bookmarkEnd w:id="0"/>
            <w:r w:rsidR="0040536B">
              <w:rPr>
                <w:rFonts w:ascii="Times New Roman" w:hAnsi="Times New Roman"/>
                <w:sz w:val="24"/>
                <w:szCs w:val="24"/>
              </w:rPr>
              <w:t>pārzinis.</w:t>
            </w:r>
          </w:p>
        </w:tc>
      </w:tr>
    </w:tbl>
    <w:p w14:paraId="6DAAEE09" w14:textId="77777777" w:rsidR="0007278B" w:rsidRPr="00CC4175" w:rsidRDefault="0007278B" w:rsidP="00AE4EFC">
      <w:pPr>
        <w:spacing w:after="0" w:line="240" w:lineRule="auto"/>
        <w:jc w:val="both"/>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55755B" w:rsidRPr="0055755B"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w:t>
            </w:r>
            <w:r w:rsidR="00016372" w:rsidRPr="0055755B">
              <w:rPr>
                <w:rFonts w:ascii="Times New Roman" w:eastAsia="Times New Roman" w:hAnsi="Times New Roman" w:cs="Times New Roman"/>
                <w:b/>
                <w:sz w:val="24"/>
                <w:szCs w:val="24"/>
              </w:rPr>
              <w:t> </w:t>
            </w:r>
            <w:r w:rsidRPr="0055755B">
              <w:rPr>
                <w:rFonts w:ascii="Times New Roman" w:eastAsia="Times New Roman" w:hAnsi="Times New Roman" w:cs="Times New Roman"/>
                <w:b/>
                <w:sz w:val="24"/>
                <w:szCs w:val="24"/>
              </w:rPr>
              <w:t>Tiesību akta projekta izstrādes nepieciešamība</w:t>
            </w:r>
          </w:p>
        </w:tc>
      </w:tr>
      <w:tr w:rsidR="0055755B" w:rsidRPr="0055755B" w14:paraId="0E093898" w14:textId="77777777" w:rsidTr="00344E09">
        <w:trPr>
          <w:trHeight w:val="915"/>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shd w:val="clear" w:color="auto" w:fill="auto"/>
            <w:hideMark/>
          </w:tcPr>
          <w:p w14:paraId="5C8769C8" w14:textId="21974431" w:rsidR="00154080" w:rsidRPr="00657563" w:rsidRDefault="0007278B" w:rsidP="00657563">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shd w:val="clear" w:color="auto" w:fill="auto"/>
          </w:tcPr>
          <w:p w14:paraId="348D970A" w14:textId="2CDDB3DD" w:rsidR="00F12071" w:rsidRDefault="00091E04" w:rsidP="00F12071">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F12071" w:rsidRPr="00493846">
              <w:rPr>
                <w:rFonts w:ascii="Times New Roman" w:eastAsia="Times New Roman" w:hAnsi="Times New Roman" w:cs="Times New Roman"/>
                <w:iCs/>
                <w:sz w:val="24"/>
                <w:szCs w:val="24"/>
                <w:lang w:eastAsia="lv-LV"/>
              </w:rPr>
              <w:t xml:space="preserve">rojekts izstrādāts pamatojoties uz Ministru kabineta </w:t>
            </w:r>
            <w:r w:rsidR="00044028">
              <w:rPr>
                <w:rFonts w:ascii="Times New Roman" w:eastAsia="Times New Roman" w:hAnsi="Times New Roman" w:cs="Times New Roman"/>
                <w:sz w:val="24"/>
                <w:szCs w:val="24"/>
                <w:lang w:eastAsia="lv-LV"/>
              </w:rPr>
              <w:t>2021.gada 25.februāra</w:t>
            </w:r>
            <w:r w:rsidR="00C42BA0">
              <w:rPr>
                <w:rFonts w:ascii="Times New Roman" w:eastAsia="Times New Roman" w:hAnsi="Times New Roman" w:cs="Times New Roman"/>
                <w:sz w:val="24"/>
                <w:szCs w:val="24"/>
                <w:lang w:eastAsia="lv-LV"/>
              </w:rPr>
              <w:t xml:space="preserve"> sēdes</w:t>
            </w:r>
            <w:r w:rsidR="00F12071" w:rsidRPr="00493846">
              <w:rPr>
                <w:rFonts w:ascii="Times New Roman" w:eastAsia="Times New Roman" w:hAnsi="Times New Roman" w:cs="Times New Roman"/>
                <w:iCs/>
                <w:sz w:val="24"/>
                <w:szCs w:val="24"/>
                <w:lang w:eastAsia="lv-LV"/>
              </w:rPr>
              <w:t xml:space="preserve"> protokollēmum</w:t>
            </w:r>
            <w:r w:rsidR="00F12071">
              <w:rPr>
                <w:rFonts w:ascii="Times New Roman" w:eastAsia="Times New Roman" w:hAnsi="Times New Roman" w:cs="Times New Roman"/>
                <w:iCs/>
                <w:sz w:val="24"/>
                <w:szCs w:val="24"/>
                <w:lang w:eastAsia="lv-LV"/>
              </w:rPr>
              <w:t>a</w:t>
            </w:r>
            <w:r w:rsidR="00F12071" w:rsidRPr="00493846">
              <w:rPr>
                <w:rFonts w:ascii="Times New Roman" w:eastAsia="Times New Roman" w:hAnsi="Times New Roman" w:cs="Times New Roman"/>
                <w:iCs/>
                <w:sz w:val="24"/>
                <w:szCs w:val="24"/>
                <w:lang w:eastAsia="lv-LV"/>
              </w:rPr>
              <w:t xml:space="preserve"> “</w:t>
            </w:r>
            <w:r w:rsidR="00F12071" w:rsidRPr="00F12071">
              <w:rPr>
                <w:rFonts w:ascii="Times New Roman" w:eastAsia="Times New Roman" w:hAnsi="Times New Roman" w:cs="Times New Roman"/>
                <w:iCs/>
                <w:sz w:val="24"/>
                <w:szCs w:val="24"/>
                <w:lang w:eastAsia="lv-LV"/>
              </w:rPr>
              <w:t xml:space="preserve">Informatīvais ziņojums </w:t>
            </w:r>
            <w:r w:rsidR="00F12071">
              <w:rPr>
                <w:rFonts w:ascii="Times New Roman" w:eastAsia="Times New Roman" w:hAnsi="Times New Roman" w:cs="Times New Roman"/>
                <w:iCs/>
                <w:sz w:val="24"/>
                <w:szCs w:val="24"/>
                <w:lang w:eastAsia="lv-LV"/>
              </w:rPr>
              <w:t>“</w:t>
            </w:r>
            <w:r w:rsidR="00F12071" w:rsidRPr="00F12071">
              <w:rPr>
                <w:rFonts w:ascii="Times New Roman" w:eastAsia="Times New Roman" w:hAnsi="Times New Roman" w:cs="Times New Roman"/>
                <w:iCs/>
                <w:sz w:val="24"/>
                <w:szCs w:val="24"/>
                <w:lang w:eastAsia="lv-LV"/>
              </w:rPr>
              <w:t xml:space="preserve">Par Eiropas Savienības </w:t>
            </w:r>
            <w:r w:rsidR="00F12071" w:rsidRPr="00344E09">
              <w:rPr>
                <w:rFonts w:ascii="Times New Roman" w:eastAsia="Times New Roman" w:hAnsi="Times New Roman" w:cs="Times New Roman"/>
                <w:iCs/>
                <w:sz w:val="24"/>
                <w:szCs w:val="24"/>
                <w:lang w:eastAsia="lv-LV"/>
              </w:rPr>
              <w:t xml:space="preserve">Sociālās drošības informācijas elektronisku apmaiņu”” </w:t>
            </w:r>
            <w:r w:rsidR="00C42BA0" w:rsidRPr="00344E09">
              <w:rPr>
                <w:rFonts w:ascii="Times New Roman" w:eastAsia="Times New Roman" w:hAnsi="Times New Roman" w:cs="Times New Roman"/>
                <w:iCs/>
                <w:sz w:val="24"/>
                <w:szCs w:val="24"/>
                <w:lang w:eastAsia="lv-LV"/>
              </w:rPr>
              <w:t>(</w:t>
            </w:r>
            <w:r w:rsidR="00C42BA0">
              <w:rPr>
                <w:rFonts w:ascii="Times New Roman" w:eastAsia="Times New Roman" w:hAnsi="Times New Roman" w:cs="Times New Roman"/>
                <w:sz w:val="24"/>
                <w:szCs w:val="24"/>
                <w:lang w:eastAsia="lv-LV"/>
              </w:rPr>
              <w:t>turpmāk - MK protokollēmums</w:t>
            </w:r>
            <w:r w:rsidR="00C42BA0" w:rsidRPr="00344E09">
              <w:rPr>
                <w:rFonts w:ascii="Times New Roman" w:eastAsia="Times New Roman" w:hAnsi="Times New Roman" w:cs="Times New Roman"/>
                <w:iCs/>
                <w:sz w:val="24"/>
                <w:szCs w:val="24"/>
                <w:lang w:eastAsia="lv-LV"/>
              </w:rPr>
              <w:t>)</w:t>
            </w:r>
            <w:r w:rsidR="00C42BA0">
              <w:rPr>
                <w:rFonts w:ascii="Times New Roman" w:eastAsia="Times New Roman" w:hAnsi="Times New Roman" w:cs="Times New Roman"/>
                <w:iCs/>
                <w:sz w:val="24"/>
                <w:szCs w:val="24"/>
                <w:lang w:eastAsia="lv-LV"/>
              </w:rPr>
              <w:t xml:space="preserve"> </w:t>
            </w:r>
            <w:r w:rsidR="00044028">
              <w:rPr>
                <w:rFonts w:ascii="Times New Roman" w:eastAsia="Times New Roman" w:hAnsi="Times New Roman" w:cs="Times New Roman"/>
                <w:sz w:val="24"/>
                <w:szCs w:val="24"/>
                <w:lang w:eastAsia="lv-LV"/>
              </w:rPr>
              <w:t>Nr.20 36.§</w:t>
            </w:r>
            <w:r w:rsidR="00F12071" w:rsidRPr="00344E09">
              <w:rPr>
                <w:rFonts w:ascii="Times New Roman" w:eastAsia="Times New Roman" w:hAnsi="Times New Roman" w:cs="Times New Roman"/>
                <w:iCs/>
                <w:sz w:val="24"/>
                <w:szCs w:val="24"/>
                <w:lang w:eastAsia="lv-LV"/>
              </w:rPr>
              <w:t>:</w:t>
            </w:r>
          </w:p>
          <w:p w14:paraId="543C673B" w14:textId="3E830851" w:rsidR="00893CF9" w:rsidRPr="00442417" w:rsidRDefault="00F12071" w:rsidP="00893CF9">
            <w:pPr>
              <w:pStyle w:val="ListParagraph"/>
              <w:numPr>
                <w:ilvl w:val="0"/>
                <w:numId w:val="15"/>
              </w:numPr>
              <w:spacing w:after="0" w:line="240" w:lineRule="auto"/>
              <w:ind w:right="100"/>
              <w:jc w:val="both"/>
              <w:rPr>
                <w:rFonts w:ascii="Times New Roman" w:eastAsia="Times New Roman" w:hAnsi="Times New Roman" w:cs="Times New Roman"/>
                <w:iCs/>
                <w:sz w:val="24"/>
                <w:szCs w:val="24"/>
                <w:lang w:eastAsia="lv-LV"/>
              </w:rPr>
            </w:pPr>
            <w:r w:rsidRPr="00893CF9">
              <w:rPr>
                <w:rFonts w:ascii="Times New Roman" w:eastAsia="Times New Roman" w:hAnsi="Times New Roman" w:cs="Times New Roman"/>
                <w:iCs/>
                <w:sz w:val="24"/>
                <w:szCs w:val="24"/>
                <w:lang w:eastAsia="lv-LV"/>
              </w:rPr>
              <w:t>3. punktā doto uzdevumu:</w:t>
            </w:r>
            <w:r w:rsidR="00893CF9">
              <w:rPr>
                <w:rFonts w:ascii="Times New Roman" w:eastAsia="Times New Roman" w:hAnsi="Times New Roman" w:cs="Times New Roman"/>
                <w:iCs/>
                <w:sz w:val="24"/>
                <w:szCs w:val="24"/>
                <w:lang w:eastAsia="lv-LV"/>
              </w:rPr>
              <w:t xml:space="preserve"> </w:t>
            </w:r>
          </w:p>
          <w:p w14:paraId="05295C73" w14:textId="511F1DA7" w:rsidR="00893CF9" w:rsidRPr="00344E09" w:rsidRDefault="00F12071" w:rsidP="00344E09">
            <w:pPr>
              <w:spacing w:after="0" w:line="240" w:lineRule="auto"/>
              <w:ind w:right="100"/>
              <w:jc w:val="both"/>
              <w:rPr>
                <w:rFonts w:ascii="Times New Roman" w:eastAsia="Times New Roman" w:hAnsi="Times New Roman" w:cs="Times New Roman"/>
                <w:iCs/>
                <w:sz w:val="24"/>
                <w:szCs w:val="24"/>
                <w:lang w:eastAsia="lv-LV"/>
              </w:rPr>
            </w:pPr>
            <w:r w:rsidRPr="00893CF9">
              <w:rPr>
                <w:rFonts w:ascii="Times New Roman" w:eastAsia="Times New Roman" w:hAnsi="Times New Roman" w:cs="Times New Roman"/>
                <w:iCs/>
                <w:sz w:val="24"/>
                <w:szCs w:val="24"/>
                <w:lang w:eastAsia="lv-LV"/>
              </w:rPr>
              <w:t xml:space="preserve">Noteikt, ka Valsts sociālās apdrošināšanas aģentūra ir valsts informācijas sistēmas </w:t>
            </w:r>
            <w:r w:rsidR="00893CF9" w:rsidRPr="00893CF9">
              <w:rPr>
                <w:rFonts w:ascii="Times New Roman" w:eastAsia="Times New Roman" w:hAnsi="Times New Roman" w:cs="Times New Roman"/>
                <w:iCs/>
                <w:sz w:val="24"/>
                <w:szCs w:val="24"/>
                <w:lang w:eastAsia="lv-LV"/>
              </w:rPr>
              <w:t>“</w:t>
            </w:r>
            <w:r w:rsidRPr="00893CF9">
              <w:rPr>
                <w:rFonts w:ascii="Times New Roman" w:eastAsia="Times New Roman" w:hAnsi="Times New Roman" w:cs="Times New Roman"/>
                <w:iCs/>
                <w:sz w:val="24"/>
                <w:szCs w:val="24"/>
                <w:lang w:eastAsia="lv-LV"/>
              </w:rPr>
              <w:t>VSAA RINA</w:t>
            </w:r>
            <w:r w:rsidR="00893CF9" w:rsidRPr="00893CF9">
              <w:rPr>
                <w:rFonts w:ascii="Times New Roman" w:eastAsia="Times New Roman" w:hAnsi="Times New Roman" w:cs="Times New Roman"/>
                <w:iCs/>
                <w:sz w:val="24"/>
                <w:szCs w:val="24"/>
                <w:lang w:eastAsia="lv-LV"/>
              </w:rPr>
              <w:t>”</w:t>
            </w:r>
            <w:r w:rsidRPr="00893CF9">
              <w:rPr>
                <w:rFonts w:ascii="Times New Roman" w:eastAsia="Times New Roman" w:hAnsi="Times New Roman" w:cs="Times New Roman"/>
                <w:iCs/>
                <w:sz w:val="24"/>
                <w:szCs w:val="24"/>
                <w:lang w:eastAsia="lv-LV"/>
              </w:rPr>
              <w:t xml:space="preserve"> pārzinis un Nacionālais veselības dienests ir valsts informācijas sistēmas </w:t>
            </w:r>
            <w:r w:rsidR="00893CF9" w:rsidRPr="00893CF9">
              <w:rPr>
                <w:rFonts w:ascii="Times New Roman" w:eastAsia="Times New Roman" w:hAnsi="Times New Roman" w:cs="Times New Roman"/>
                <w:iCs/>
                <w:sz w:val="24"/>
                <w:szCs w:val="24"/>
                <w:lang w:eastAsia="lv-LV"/>
              </w:rPr>
              <w:t>“</w:t>
            </w:r>
            <w:r w:rsidRPr="00893CF9">
              <w:rPr>
                <w:rFonts w:ascii="Times New Roman" w:eastAsia="Times New Roman" w:hAnsi="Times New Roman" w:cs="Times New Roman"/>
                <w:iCs/>
                <w:sz w:val="24"/>
                <w:szCs w:val="24"/>
                <w:lang w:eastAsia="lv-LV"/>
              </w:rPr>
              <w:t>NVD RINA</w:t>
            </w:r>
            <w:r w:rsidR="00893CF9" w:rsidRPr="00893CF9">
              <w:rPr>
                <w:rFonts w:ascii="Times New Roman" w:eastAsia="Times New Roman" w:hAnsi="Times New Roman" w:cs="Times New Roman"/>
                <w:iCs/>
                <w:sz w:val="24"/>
                <w:szCs w:val="24"/>
                <w:lang w:eastAsia="lv-LV"/>
              </w:rPr>
              <w:t>”</w:t>
            </w:r>
            <w:r w:rsidRPr="00893CF9">
              <w:rPr>
                <w:rFonts w:ascii="Times New Roman" w:eastAsia="Times New Roman" w:hAnsi="Times New Roman" w:cs="Times New Roman"/>
                <w:iCs/>
                <w:sz w:val="24"/>
                <w:szCs w:val="24"/>
                <w:lang w:eastAsia="lv-LV"/>
              </w:rPr>
              <w:t xml:space="preserve"> pārzinis.</w:t>
            </w:r>
          </w:p>
          <w:p w14:paraId="79450B7A" w14:textId="20BB98A8" w:rsidR="00893CF9" w:rsidRPr="00442417" w:rsidRDefault="00893CF9" w:rsidP="00995EE3">
            <w:pPr>
              <w:pStyle w:val="ListParagraph"/>
              <w:numPr>
                <w:ilvl w:val="0"/>
                <w:numId w:val="15"/>
              </w:numPr>
              <w:spacing w:after="0" w:line="240" w:lineRule="auto"/>
              <w:ind w:right="100"/>
              <w:jc w:val="both"/>
              <w:rPr>
                <w:rFonts w:ascii="Times New Roman" w:eastAsia="Times New Roman" w:hAnsi="Times New Roman" w:cs="Times New Roman"/>
                <w:iCs/>
                <w:sz w:val="24"/>
                <w:szCs w:val="24"/>
                <w:lang w:eastAsia="lv-LV"/>
              </w:rPr>
            </w:pPr>
            <w:r>
              <w:rPr>
                <w:rFonts w:ascii="Times New Roman" w:hAnsi="Times New Roman"/>
                <w:color w:val="000000"/>
                <w:sz w:val="24"/>
                <w:szCs w:val="24"/>
              </w:rPr>
              <w:t>5. punktā doto uzdevumu:</w:t>
            </w:r>
            <w:r w:rsidRPr="00893CF9">
              <w:rPr>
                <w:rFonts w:ascii="Times New Roman" w:hAnsi="Times New Roman"/>
                <w:color w:val="000000"/>
                <w:sz w:val="24"/>
                <w:szCs w:val="24"/>
              </w:rPr>
              <w:t xml:space="preserve"> </w:t>
            </w:r>
          </w:p>
          <w:p w14:paraId="207BCA93" w14:textId="532E1C67" w:rsidR="00F12071" w:rsidRDefault="00F12071" w:rsidP="00995EE3">
            <w:pPr>
              <w:pStyle w:val="NoSpacing"/>
              <w:jc w:val="both"/>
              <w:rPr>
                <w:rFonts w:ascii="Times New Roman" w:hAnsi="Times New Roman"/>
                <w:sz w:val="24"/>
                <w:szCs w:val="24"/>
              </w:rPr>
            </w:pPr>
            <w:r w:rsidRPr="00F12071">
              <w:rPr>
                <w:rFonts w:ascii="Times New Roman" w:hAnsi="Times New Roman"/>
                <w:sz w:val="24"/>
                <w:szCs w:val="24"/>
              </w:rPr>
              <w:t xml:space="preserve">Veselības ministram līdz 2021.gada 31.martam iesniegt izskatīšanai Ministru kabinetā kā Ministru kabineta lietu grozījumus Ministru kabineta 2011.gada 1.novembra noteikumos Nr.850 </w:t>
            </w:r>
            <w:r w:rsidR="00893CF9">
              <w:rPr>
                <w:rFonts w:ascii="Times New Roman" w:hAnsi="Times New Roman"/>
                <w:sz w:val="24"/>
                <w:szCs w:val="24"/>
              </w:rPr>
              <w:t>“</w:t>
            </w:r>
            <w:r w:rsidRPr="00F12071">
              <w:rPr>
                <w:rFonts w:ascii="Times New Roman" w:hAnsi="Times New Roman"/>
                <w:sz w:val="24"/>
                <w:szCs w:val="24"/>
              </w:rPr>
              <w:t>Nacionālā veselības dienesta nolikums</w:t>
            </w:r>
            <w:r w:rsidR="00893CF9">
              <w:rPr>
                <w:rFonts w:ascii="Times New Roman" w:hAnsi="Times New Roman"/>
                <w:sz w:val="24"/>
                <w:szCs w:val="24"/>
              </w:rPr>
              <w:t>”</w:t>
            </w:r>
            <w:r w:rsidRPr="00F12071">
              <w:rPr>
                <w:rFonts w:ascii="Times New Roman" w:hAnsi="Times New Roman"/>
                <w:sz w:val="24"/>
                <w:szCs w:val="24"/>
              </w:rPr>
              <w:t xml:space="preserve">, tajā ietverot regulējumu, kas nosaka Nacionālo veselības dienestu par valsts informācijas sistēmas </w:t>
            </w:r>
            <w:r w:rsidR="00893CF9">
              <w:rPr>
                <w:rFonts w:ascii="Times New Roman" w:hAnsi="Times New Roman"/>
                <w:sz w:val="24"/>
                <w:szCs w:val="24"/>
              </w:rPr>
              <w:t>“</w:t>
            </w:r>
            <w:r w:rsidRPr="00F12071">
              <w:rPr>
                <w:rFonts w:ascii="Times New Roman" w:hAnsi="Times New Roman"/>
                <w:sz w:val="24"/>
                <w:szCs w:val="24"/>
              </w:rPr>
              <w:t>NVD RINA</w:t>
            </w:r>
            <w:r w:rsidR="00893CF9">
              <w:rPr>
                <w:rFonts w:ascii="Times New Roman" w:hAnsi="Times New Roman"/>
                <w:sz w:val="24"/>
                <w:szCs w:val="24"/>
              </w:rPr>
              <w:t>”</w:t>
            </w:r>
            <w:r w:rsidRPr="00F12071">
              <w:rPr>
                <w:rFonts w:ascii="Times New Roman" w:hAnsi="Times New Roman"/>
                <w:sz w:val="24"/>
                <w:szCs w:val="24"/>
              </w:rPr>
              <w:t xml:space="preserve"> pārzini.</w:t>
            </w:r>
          </w:p>
          <w:p w14:paraId="3E5EE000" w14:textId="77777777" w:rsidR="00F12071" w:rsidRDefault="00F12071" w:rsidP="00995EE3">
            <w:pPr>
              <w:pStyle w:val="NoSpacing"/>
              <w:jc w:val="both"/>
              <w:rPr>
                <w:rFonts w:ascii="Times New Roman" w:hAnsi="Times New Roman"/>
                <w:sz w:val="24"/>
                <w:szCs w:val="24"/>
              </w:rPr>
            </w:pPr>
          </w:p>
          <w:p w14:paraId="0C75B477" w14:textId="59FD467A" w:rsidR="003C22DC" w:rsidRDefault="00656AD7" w:rsidP="00F12071">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F12071">
              <w:rPr>
                <w:rFonts w:ascii="Times New Roman" w:eastAsia="Times New Roman" w:hAnsi="Times New Roman" w:cs="Times New Roman"/>
                <w:iCs/>
                <w:sz w:val="24"/>
                <w:szCs w:val="24"/>
                <w:lang w:eastAsia="lv-LV"/>
              </w:rPr>
              <w:t xml:space="preserve">rojekta spēkā stāšanās termiņš ir </w:t>
            </w:r>
            <w:r w:rsidR="00DB11B3" w:rsidRPr="00DB11B3">
              <w:rPr>
                <w:rFonts w:ascii="Times New Roman" w:eastAsia="Times New Roman" w:hAnsi="Times New Roman" w:cs="Times New Roman"/>
                <w:iCs/>
                <w:sz w:val="24"/>
                <w:szCs w:val="24"/>
                <w:u w:val="single"/>
                <w:lang w:eastAsia="lv-LV"/>
              </w:rPr>
              <w:t>2022. gada 1. janvāris</w:t>
            </w:r>
            <w:r w:rsidR="00DB11B3" w:rsidRPr="00DB11B3">
              <w:rPr>
                <w:rFonts w:ascii="Times New Roman" w:eastAsia="Times New Roman" w:hAnsi="Times New Roman" w:cs="Times New Roman"/>
                <w:iCs/>
                <w:sz w:val="24"/>
                <w:szCs w:val="24"/>
                <w:lang w:eastAsia="lv-LV"/>
              </w:rPr>
              <w:t>.</w:t>
            </w:r>
          </w:p>
          <w:p w14:paraId="4F9E7C09" w14:textId="309746E3" w:rsidR="00044028" w:rsidRPr="00F12071" w:rsidRDefault="00044028" w:rsidP="00F12071">
            <w:pPr>
              <w:spacing w:after="0" w:line="240" w:lineRule="auto"/>
              <w:ind w:right="100"/>
              <w:jc w:val="both"/>
              <w:rPr>
                <w:rFonts w:ascii="Times New Roman" w:eastAsia="Times New Roman" w:hAnsi="Times New Roman" w:cs="Times New Roman"/>
                <w:iCs/>
                <w:sz w:val="24"/>
                <w:szCs w:val="24"/>
                <w:lang w:eastAsia="lv-LV"/>
              </w:rPr>
            </w:pPr>
          </w:p>
        </w:tc>
      </w:tr>
      <w:tr w:rsidR="0055755B" w:rsidRPr="0055755B" w14:paraId="44CA8137" w14:textId="77777777" w:rsidTr="006D15C8">
        <w:trPr>
          <w:trHeight w:val="698"/>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592BB7DF" w14:textId="77777777" w:rsidR="0055755B" w:rsidRDefault="0007278B" w:rsidP="00657563">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2AF50635" w14:textId="77777777" w:rsidR="00595F3A" w:rsidRPr="00595F3A" w:rsidRDefault="00595F3A" w:rsidP="00595F3A">
            <w:pPr>
              <w:rPr>
                <w:rFonts w:ascii="Times New Roman" w:eastAsia="Times New Roman" w:hAnsi="Times New Roman" w:cs="Times New Roman"/>
                <w:sz w:val="24"/>
                <w:szCs w:val="24"/>
              </w:rPr>
            </w:pPr>
          </w:p>
          <w:p w14:paraId="1D45D0CC" w14:textId="77777777" w:rsidR="00595F3A" w:rsidRPr="00595F3A" w:rsidRDefault="00595F3A" w:rsidP="00595F3A">
            <w:pPr>
              <w:rPr>
                <w:rFonts w:ascii="Times New Roman" w:eastAsia="Times New Roman" w:hAnsi="Times New Roman" w:cs="Times New Roman"/>
                <w:sz w:val="24"/>
                <w:szCs w:val="24"/>
              </w:rPr>
            </w:pPr>
          </w:p>
          <w:p w14:paraId="1C9C2B9D" w14:textId="77777777" w:rsidR="00595F3A" w:rsidRPr="00595F3A" w:rsidRDefault="00595F3A" w:rsidP="00595F3A">
            <w:pPr>
              <w:rPr>
                <w:rFonts w:ascii="Times New Roman" w:eastAsia="Times New Roman" w:hAnsi="Times New Roman" w:cs="Times New Roman"/>
                <w:sz w:val="24"/>
                <w:szCs w:val="24"/>
              </w:rPr>
            </w:pPr>
          </w:p>
          <w:p w14:paraId="334759F7" w14:textId="77777777" w:rsidR="00595F3A" w:rsidRPr="00595F3A" w:rsidRDefault="00595F3A" w:rsidP="00595F3A">
            <w:pPr>
              <w:rPr>
                <w:rFonts w:ascii="Times New Roman" w:eastAsia="Times New Roman" w:hAnsi="Times New Roman" w:cs="Times New Roman"/>
                <w:sz w:val="24"/>
                <w:szCs w:val="24"/>
              </w:rPr>
            </w:pPr>
          </w:p>
          <w:p w14:paraId="3715FBC0" w14:textId="77777777" w:rsidR="00595F3A" w:rsidRDefault="00595F3A" w:rsidP="00595F3A">
            <w:pPr>
              <w:rPr>
                <w:rFonts w:ascii="Times New Roman" w:eastAsia="Times New Roman" w:hAnsi="Times New Roman" w:cs="Times New Roman"/>
                <w:bCs/>
                <w:sz w:val="24"/>
                <w:szCs w:val="24"/>
              </w:rPr>
            </w:pPr>
          </w:p>
          <w:p w14:paraId="0F8281CA" w14:textId="53532096" w:rsidR="00595F3A" w:rsidRPr="00595F3A" w:rsidRDefault="00595F3A" w:rsidP="00595F3A">
            <w:pPr>
              <w:jc w:val="cente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1DE51562" w14:textId="6E862F5F" w:rsidR="00E34FC4" w:rsidRDefault="000D1A43" w:rsidP="00E34FC4">
            <w:pPr>
              <w:spacing w:after="0" w:line="240" w:lineRule="auto"/>
              <w:ind w:firstLine="567"/>
              <w:jc w:val="both"/>
              <w:rPr>
                <w:rFonts w:ascii="Times New Roman" w:hAnsi="Times New Roman"/>
                <w:color w:val="000000"/>
                <w:sz w:val="24"/>
                <w:szCs w:val="24"/>
              </w:rPr>
            </w:pPr>
            <w:r w:rsidRPr="002C3A8A">
              <w:rPr>
                <w:rFonts w:ascii="Times New Roman" w:hAnsi="Times New Roman"/>
                <w:color w:val="000000"/>
                <w:sz w:val="24"/>
                <w:szCs w:val="24"/>
              </w:rPr>
              <w:t xml:space="preserve">Lai nodrošinātu Latvijas saistību izpildi un sekmīgu </w:t>
            </w:r>
            <w:r w:rsidR="00C86728" w:rsidRPr="00E27E70">
              <w:rPr>
                <w:rFonts w:ascii="Times New Roman" w:hAnsi="Times New Roman"/>
                <w:sz w:val="24"/>
                <w:szCs w:val="24"/>
              </w:rPr>
              <w:t>nacionālās aplikācijas aizstājēja (turpmāk - RINA)</w:t>
            </w:r>
            <w:r w:rsidRPr="002C3A8A">
              <w:rPr>
                <w:rFonts w:ascii="Times New Roman" w:hAnsi="Times New Roman"/>
                <w:color w:val="000000"/>
                <w:sz w:val="24"/>
                <w:szCs w:val="24"/>
              </w:rPr>
              <w:t xml:space="preserve"> pārņemšanu, Labklājības ministrija sadarbībā ar Veselības ministriju </w:t>
            </w:r>
            <w:r>
              <w:rPr>
                <w:rFonts w:ascii="Times New Roman" w:hAnsi="Times New Roman"/>
                <w:color w:val="000000"/>
                <w:sz w:val="24"/>
                <w:szCs w:val="24"/>
              </w:rPr>
              <w:t xml:space="preserve">25.02.2021. iesniedza </w:t>
            </w:r>
            <w:r w:rsidRPr="002C3A8A">
              <w:rPr>
                <w:rFonts w:ascii="Times New Roman" w:hAnsi="Times New Roman"/>
                <w:color w:val="000000"/>
                <w:sz w:val="24"/>
                <w:szCs w:val="24"/>
              </w:rPr>
              <w:t xml:space="preserve">konceptuālu ziņojumu Ministru kabinetā  „Par Eiropas Savienības Sociālās drošības informācijas elektronisku apmaiņu”, </w:t>
            </w:r>
            <w:r w:rsidR="00B844CA">
              <w:rPr>
                <w:rFonts w:ascii="Times New Roman" w:hAnsi="Times New Roman"/>
                <w:color w:val="000000"/>
                <w:sz w:val="24"/>
                <w:szCs w:val="24"/>
              </w:rPr>
              <w:t xml:space="preserve">saskaņā ar </w:t>
            </w:r>
            <w:r w:rsidRPr="002C3A8A">
              <w:rPr>
                <w:rFonts w:ascii="Times New Roman" w:hAnsi="Times New Roman"/>
                <w:color w:val="000000"/>
                <w:sz w:val="24"/>
                <w:szCs w:val="24"/>
              </w:rPr>
              <w:t>kur</w:t>
            </w:r>
            <w:r w:rsidR="00B844CA">
              <w:rPr>
                <w:rFonts w:ascii="Times New Roman" w:hAnsi="Times New Roman"/>
                <w:color w:val="000000"/>
                <w:sz w:val="24"/>
                <w:szCs w:val="24"/>
              </w:rPr>
              <w:t>u</w:t>
            </w:r>
            <w:r w:rsidRPr="002C3A8A">
              <w:rPr>
                <w:rFonts w:ascii="Times New Roman" w:hAnsi="Times New Roman"/>
                <w:color w:val="000000"/>
                <w:sz w:val="24"/>
                <w:szCs w:val="24"/>
              </w:rPr>
              <w:t xml:space="preserve"> nepieciešam</w:t>
            </w:r>
            <w:r w:rsidR="00B844CA">
              <w:rPr>
                <w:rFonts w:ascii="Times New Roman" w:hAnsi="Times New Roman"/>
                <w:color w:val="000000"/>
                <w:sz w:val="24"/>
                <w:szCs w:val="24"/>
              </w:rPr>
              <w:t>i</w:t>
            </w:r>
            <w:r w:rsidRPr="002C3A8A">
              <w:rPr>
                <w:rFonts w:ascii="Times New Roman" w:hAnsi="Times New Roman"/>
                <w:color w:val="000000"/>
                <w:sz w:val="24"/>
                <w:szCs w:val="24"/>
              </w:rPr>
              <w:t xml:space="preserve"> grozījumi normatīvajos aktos, ar kuriem noteiktu Valsts sociālās apdrošināšanas aģentūras (turpmāk - VSAA) un </w:t>
            </w:r>
            <w:r w:rsidR="00C86728" w:rsidRPr="00F663E9">
              <w:rPr>
                <w:rFonts w:ascii="Times New Roman" w:eastAsia="Times New Roman" w:hAnsi="Times New Roman" w:cs="Times New Roman"/>
                <w:bCs/>
                <w:sz w:val="24"/>
                <w:szCs w:val="24"/>
              </w:rPr>
              <w:t>Nacionāl</w:t>
            </w:r>
            <w:r w:rsidR="003F44E3">
              <w:rPr>
                <w:rFonts w:ascii="Times New Roman" w:eastAsia="Times New Roman" w:hAnsi="Times New Roman" w:cs="Times New Roman"/>
                <w:bCs/>
                <w:sz w:val="24"/>
                <w:szCs w:val="24"/>
              </w:rPr>
              <w:t>ā</w:t>
            </w:r>
            <w:r w:rsidR="00C86728" w:rsidRPr="00F663E9">
              <w:rPr>
                <w:rFonts w:ascii="Times New Roman" w:eastAsia="Times New Roman" w:hAnsi="Times New Roman" w:cs="Times New Roman"/>
                <w:bCs/>
                <w:sz w:val="24"/>
                <w:szCs w:val="24"/>
              </w:rPr>
              <w:t xml:space="preserve"> veselības dienest</w:t>
            </w:r>
            <w:r w:rsidR="00C86728">
              <w:rPr>
                <w:rFonts w:ascii="Times New Roman" w:eastAsia="Times New Roman" w:hAnsi="Times New Roman" w:cs="Times New Roman"/>
                <w:bCs/>
                <w:sz w:val="24"/>
                <w:szCs w:val="24"/>
              </w:rPr>
              <w:t xml:space="preserve">a </w:t>
            </w:r>
            <w:r w:rsidRPr="002C3A8A">
              <w:rPr>
                <w:rFonts w:ascii="Times New Roman" w:hAnsi="Times New Roman"/>
                <w:color w:val="000000"/>
                <w:sz w:val="24"/>
                <w:szCs w:val="24"/>
              </w:rPr>
              <w:t>pilnvaru un atbildības sadalījumu</w:t>
            </w:r>
            <w:r w:rsidR="00725148">
              <w:rPr>
                <w:rFonts w:ascii="Times New Roman" w:hAnsi="Times New Roman"/>
                <w:color w:val="000000"/>
                <w:sz w:val="24"/>
                <w:szCs w:val="24"/>
              </w:rPr>
              <w:t>.</w:t>
            </w:r>
          </w:p>
          <w:p w14:paraId="70F35CEE" w14:textId="61D04426" w:rsidR="00E34FC4" w:rsidRDefault="00514ACB" w:rsidP="00E34F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L</w:t>
            </w:r>
            <w:r w:rsidRPr="00514ACB">
              <w:rPr>
                <w:rFonts w:ascii="Times New Roman" w:hAnsi="Times New Roman"/>
                <w:color w:val="000000"/>
                <w:sz w:val="24"/>
                <w:szCs w:val="24"/>
              </w:rPr>
              <w:t xml:space="preserve">ai iedzīvotāji, pārvietojoties no vienas valsts uz otru, neatkarīgi no valsts sociālās drošības sistēmas īpatnībām, nezaudētu savas tiesības uz pensijām, pabalstiem un veselības aprūpes pakalpojumiem, vai tieši pretēji – nenotiktu to pārklāšanās un to vienlaikus nefinansētu vairākas valstis, būtiska nozīme ir </w:t>
            </w:r>
            <w:r w:rsidR="00E111A6" w:rsidRPr="00E111A6">
              <w:rPr>
                <w:rFonts w:ascii="Times New Roman" w:hAnsi="Times New Roman"/>
                <w:color w:val="000000"/>
                <w:sz w:val="24"/>
                <w:szCs w:val="24"/>
              </w:rPr>
              <w:t>Eiropas Savienīb</w:t>
            </w:r>
            <w:r w:rsidR="00E111A6">
              <w:rPr>
                <w:rFonts w:ascii="Times New Roman" w:hAnsi="Times New Roman"/>
                <w:color w:val="000000"/>
                <w:sz w:val="24"/>
                <w:szCs w:val="24"/>
              </w:rPr>
              <w:t>as</w:t>
            </w:r>
            <w:r w:rsidR="00E111A6" w:rsidRPr="00E111A6">
              <w:rPr>
                <w:rFonts w:ascii="Times New Roman" w:hAnsi="Times New Roman"/>
                <w:color w:val="000000"/>
                <w:sz w:val="24"/>
                <w:szCs w:val="24"/>
              </w:rPr>
              <w:t xml:space="preserve"> (turpmāk – ES) </w:t>
            </w:r>
            <w:r w:rsidRPr="00514ACB">
              <w:rPr>
                <w:rFonts w:ascii="Times New Roman" w:hAnsi="Times New Roman"/>
                <w:color w:val="000000"/>
                <w:sz w:val="24"/>
                <w:szCs w:val="24"/>
              </w:rPr>
              <w:t>dalībvalstu sociālās drošības iestāžu koordinētai rīcībai.</w:t>
            </w:r>
          </w:p>
          <w:p w14:paraId="25BF5EC3" w14:textId="77777777" w:rsidR="00E34FC4" w:rsidRPr="00854BE5" w:rsidRDefault="00514ACB" w:rsidP="00E34FC4">
            <w:pPr>
              <w:spacing w:after="0" w:line="240" w:lineRule="auto"/>
              <w:ind w:firstLine="567"/>
              <w:jc w:val="both"/>
              <w:rPr>
                <w:rFonts w:ascii="Times New Roman" w:hAnsi="Times New Roman"/>
                <w:color w:val="000000"/>
                <w:sz w:val="24"/>
                <w:szCs w:val="24"/>
              </w:rPr>
            </w:pPr>
            <w:r w:rsidRPr="00514ACB">
              <w:rPr>
                <w:rFonts w:ascii="Times New Roman" w:hAnsi="Times New Roman"/>
                <w:color w:val="000000"/>
                <w:sz w:val="24"/>
                <w:szCs w:val="24"/>
              </w:rPr>
              <w:t xml:space="preserve">Sociālās drošības sistēmu koordinācijas noteikumus nosaka 2004.gada 29.aprīlī pieņemtā Eiropas Parlamenta un Padomes Regula (EK) Nr.883/2004 par sociālās nodrošināšanas sistēmu koordinēšanu (turpmāk – Pamatregula), kas attiecas arī uz Eiropas Ekonomikas zonas (turpmāk – EEZ) valstīm un Šveici. </w:t>
            </w:r>
            <w:r w:rsidRPr="00854BE5">
              <w:rPr>
                <w:rFonts w:ascii="Times New Roman" w:hAnsi="Times New Roman"/>
                <w:color w:val="000000"/>
                <w:sz w:val="24"/>
                <w:szCs w:val="24"/>
              </w:rPr>
              <w:t xml:space="preserve">Lai izpildītu šos koordinācijas </w:t>
            </w:r>
            <w:r w:rsidRPr="00854BE5">
              <w:rPr>
                <w:rFonts w:ascii="Times New Roman" w:hAnsi="Times New Roman"/>
                <w:color w:val="000000"/>
                <w:sz w:val="24"/>
                <w:szCs w:val="24"/>
              </w:rPr>
              <w:lastRenderedPageBreak/>
              <w:t xml:space="preserve">noteikumus, ES/EEZ dalībvalstu un Šveices </w:t>
            </w:r>
            <w:r w:rsidRPr="00854BE5">
              <w:rPr>
                <w:rFonts w:ascii="Times New Roman" w:hAnsi="Times New Roman"/>
                <w:color w:val="000000"/>
                <w:sz w:val="24"/>
                <w:szCs w:val="24"/>
                <w:u w:val="single"/>
              </w:rPr>
              <w:t>kompetentās iestādes apmainās ar dažādu informāciju, kas saskaņā ar Pamatregulas prasībām ir juridiski nozīmīga, lai noteiktu migrējošo personu tiesības uz pensijām, pabalstiem un veselības aprūpes pakalpojumu apmaksu</w:t>
            </w:r>
            <w:r w:rsidRPr="00854BE5">
              <w:rPr>
                <w:rFonts w:ascii="Times New Roman" w:hAnsi="Times New Roman"/>
                <w:color w:val="000000"/>
                <w:sz w:val="24"/>
                <w:szCs w:val="24"/>
              </w:rPr>
              <w:t>.</w:t>
            </w:r>
          </w:p>
          <w:p w14:paraId="2271D519" w14:textId="540A2BA6" w:rsidR="00514ACB" w:rsidRPr="00854BE5" w:rsidRDefault="00514ACB" w:rsidP="00C263B3">
            <w:pPr>
              <w:spacing w:after="0" w:line="240" w:lineRule="auto"/>
              <w:ind w:firstLine="567"/>
              <w:jc w:val="both"/>
              <w:rPr>
                <w:rFonts w:ascii="Times New Roman" w:hAnsi="Times New Roman"/>
                <w:color w:val="000000"/>
                <w:sz w:val="24"/>
                <w:szCs w:val="24"/>
              </w:rPr>
            </w:pPr>
            <w:r w:rsidRPr="00514ACB">
              <w:rPr>
                <w:rFonts w:ascii="Times New Roman" w:hAnsi="Times New Roman"/>
                <w:color w:val="000000"/>
                <w:sz w:val="24"/>
                <w:szCs w:val="24"/>
              </w:rPr>
              <w:t>Latvijā kompetentās institūcijas sociālā nodrošinājuma sistēmu koordinēšanā ir VSAA saskaņā ar Ministru kabineta 2012.gada 18.decembra noteikumu Nr.911 „Valsts sociālās apdrošināšanas aģentūras nolikums” 4.10.apakšpunktu un Nacionālais veselības dienests saskaņā ar Ministru kabineta 2011.gada 1.novembra noteikumu Nr.850 „Nacionālā veselības dienesta nolikums” 3.8.apakšpunktu.</w:t>
            </w:r>
          </w:p>
          <w:p w14:paraId="253952A0" w14:textId="4E4B6078" w:rsidR="00C263B3" w:rsidRDefault="00C263B3" w:rsidP="00C263B3">
            <w:pPr>
              <w:spacing w:after="0" w:line="240" w:lineRule="auto"/>
              <w:ind w:firstLine="567"/>
              <w:jc w:val="both"/>
              <w:rPr>
                <w:rFonts w:ascii="Times New Roman" w:hAnsi="Times New Roman"/>
                <w:color w:val="000000"/>
                <w:sz w:val="24"/>
                <w:szCs w:val="24"/>
              </w:rPr>
            </w:pPr>
            <w:r w:rsidRPr="00854BE5">
              <w:rPr>
                <w:rFonts w:ascii="Times New Roman" w:hAnsi="Times New Roman"/>
                <w:color w:val="000000"/>
                <w:sz w:val="24"/>
                <w:szCs w:val="24"/>
              </w:rPr>
              <w:t>Pamatregulā noteikto koordinācijas noteikumu īstenošanai nepieciešamās procedūras un informācijas apmaiņas kārtība ir noteikta 2009.gada 16.septembrī pieņemtajā Eiropas Parlamenta un Padomes Regulā (EK) Nr.987/2009, ar ko nosaka īstenošanas kārtību Regulai (EK) Nr.883/2004 par sociālās nodrošināšanas sistēmu koordinēšanu (turpmāk - Īstenošanas regula).</w:t>
            </w:r>
          </w:p>
          <w:p w14:paraId="44A5C238" w14:textId="139417AE" w:rsidR="0034676A" w:rsidRDefault="0034676A" w:rsidP="0034676A">
            <w:pPr>
              <w:spacing w:after="0" w:line="240" w:lineRule="auto"/>
              <w:ind w:firstLine="567"/>
              <w:jc w:val="both"/>
              <w:rPr>
                <w:rFonts w:ascii="Times New Roman" w:hAnsi="Times New Roman"/>
                <w:color w:val="000000"/>
                <w:sz w:val="24"/>
                <w:szCs w:val="24"/>
              </w:rPr>
            </w:pPr>
            <w:r w:rsidRPr="0034676A">
              <w:rPr>
                <w:rFonts w:ascii="Times New Roman" w:hAnsi="Times New Roman"/>
                <w:color w:val="000000"/>
                <w:sz w:val="24"/>
                <w:szCs w:val="24"/>
              </w:rPr>
              <w:t xml:space="preserve">Īstenošanas regulas 2.panta 2.daļā ir noteikts, </w:t>
            </w:r>
            <w:r w:rsidRPr="0034676A">
              <w:rPr>
                <w:rFonts w:ascii="Times New Roman" w:hAnsi="Times New Roman"/>
                <w:color w:val="000000"/>
                <w:sz w:val="24"/>
                <w:szCs w:val="24"/>
                <w:u w:val="single"/>
              </w:rPr>
              <w:t>ka iestādes nekavējoties nodrošina vai apmainās ar visiem vajadzīgajiem datiem, lai noteiktu to personu tiesības un pienākumus, uz kuriem attiecas Pamatregula</w:t>
            </w:r>
            <w:r w:rsidRPr="0034676A">
              <w:rPr>
                <w:rFonts w:ascii="Times New Roman" w:hAnsi="Times New Roman"/>
                <w:color w:val="000000"/>
                <w:sz w:val="24"/>
                <w:szCs w:val="24"/>
              </w:rPr>
              <w:t xml:space="preserve">. Savukārt Īstenošanas regulas 4.pantā ir noteikts, </w:t>
            </w:r>
            <w:r w:rsidRPr="0034676A">
              <w:rPr>
                <w:rFonts w:ascii="Times New Roman" w:hAnsi="Times New Roman"/>
                <w:color w:val="000000"/>
                <w:sz w:val="24"/>
                <w:szCs w:val="24"/>
                <w:u w:val="single"/>
              </w:rPr>
              <w:t>ka datu pārsūtīšana starp institūcijām vai sadarbības struktūrām notiek elektroniski, tieši vai netieši – caur piekļuves punktiem, kas iekļauti kopējā Eiropas Sociālās drošības informācijas elektroniskās apmaiņas sistēmā (turpmāk - EESSI), kura garantē datu apmaiņas konfidencialitāti un aizsardzību</w:t>
            </w:r>
            <w:r w:rsidRPr="0034676A">
              <w:rPr>
                <w:rFonts w:ascii="Times New Roman" w:hAnsi="Times New Roman"/>
                <w:color w:val="000000"/>
                <w:sz w:val="24"/>
                <w:szCs w:val="24"/>
              </w:rPr>
              <w:t xml:space="preserve">. </w:t>
            </w:r>
          </w:p>
          <w:p w14:paraId="335D2AE7" w14:textId="79181117" w:rsidR="00F9336A" w:rsidRDefault="00F9336A" w:rsidP="0034676A">
            <w:pPr>
              <w:spacing w:after="0" w:line="240" w:lineRule="auto"/>
              <w:ind w:firstLine="567"/>
              <w:jc w:val="both"/>
              <w:rPr>
                <w:rFonts w:ascii="Times New Roman" w:hAnsi="Times New Roman"/>
                <w:color w:val="000000"/>
                <w:sz w:val="24"/>
                <w:szCs w:val="24"/>
              </w:rPr>
            </w:pPr>
            <w:r w:rsidRPr="00F9336A">
              <w:rPr>
                <w:rFonts w:ascii="Times New Roman" w:hAnsi="Times New Roman"/>
                <w:color w:val="000000"/>
                <w:sz w:val="24"/>
                <w:szCs w:val="24"/>
              </w:rPr>
              <w:t>Lai organizētu un nodrošinātu informācijas elektronisku apmaiņu, Eiropas Komisija (turpmāk – EK) ir realizējusi EESSI projektu</w:t>
            </w:r>
            <w:r>
              <w:rPr>
                <w:rFonts w:ascii="Times New Roman" w:hAnsi="Times New Roman"/>
                <w:color w:val="000000"/>
                <w:sz w:val="24"/>
                <w:szCs w:val="24"/>
              </w:rPr>
              <w:t xml:space="preserve">, kas </w:t>
            </w:r>
            <w:r w:rsidRPr="00F9336A">
              <w:rPr>
                <w:rFonts w:ascii="Times New Roman" w:hAnsi="Times New Roman"/>
                <w:color w:val="000000"/>
                <w:sz w:val="24"/>
                <w:szCs w:val="24"/>
              </w:rPr>
              <w:t>iedzīvina e-pārvaldības principus digitālajā vienotajā tirgū, uzlabojot sadarbību starp ES dalībvalstu kompetentajām institūcijām, kuras ir iesaistītas ES sociālā nodrošinājuma sistēmu koordinēšanas noteikumu piemērošanā. Latvijas kompetentās institūcijas VSAA un N</w:t>
            </w:r>
            <w:r>
              <w:rPr>
                <w:rFonts w:ascii="Times New Roman" w:hAnsi="Times New Roman"/>
                <w:color w:val="000000"/>
                <w:sz w:val="24"/>
                <w:szCs w:val="24"/>
              </w:rPr>
              <w:t>acionālais veselības dienests</w:t>
            </w:r>
            <w:r w:rsidRPr="00F9336A">
              <w:rPr>
                <w:rFonts w:ascii="Times New Roman" w:hAnsi="Times New Roman"/>
                <w:color w:val="000000"/>
                <w:sz w:val="24"/>
                <w:szCs w:val="24"/>
              </w:rPr>
              <w:t xml:space="preserve"> 2020.gada 4.decembrī pilnībā pabeidza iekļaušanos EESSI ekosistēmā</w:t>
            </w:r>
            <w:r>
              <w:rPr>
                <w:rFonts w:ascii="Times New Roman" w:hAnsi="Times New Roman"/>
                <w:color w:val="000000"/>
                <w:sz w:val="24"/>
                <w:szCs w:val="24"/>
              </w:rPr>
              <w:t>.</w:t>
            </w:r>
          </w:p>
          <w:p w14:paraId="73F88066" w14:textId="77777777" w:rsidR="00545B81" w:rsidRDefault="00F9336A" w:rsidP="00545B81">
            <w:pPr>
              <w:spacing w:after="0" w:line="240" w:lineRule="auto"/>
              <w:ind w:firstLine="567"/>
              <w:jc w:val="both"/>
              <w:rPr>
                <w:rFonts w:ascii="Times New Roman" w:hAnsi="Times New Roman"/>
                <w:color w:val="000000"/>
                <w:sz w:val="24"/>
                <w:szCs w:val="24"/>
              </w:rPr>
            </w:pPr>
            <w:r w:rsidRPr="00F9336A">
              <w:rPr>
                <w:rFonts w:ascii="Times New Roman" w:hAnsi="Times New Roman"/>
                <w:color w:val="000000"/>
                <w:sz w:val="24"/>
                <w:szCs w:val="24"/>
              </w:rPr>
              <w:t>EESSI ekosistēma ir Eiropas līmeņa tehniskās infrastruktūras platforma informācijas apmaiņai ar racionalizētu elektronisko dokumentu struktūru un pielāgotu plūsmu, ļaujot kompetentām institūcijām palielināt apstrādāto pārrobežu lietu skaitu, piedāvājot efektīvāku lēmumu pieņemšanas procesu sociālās drošības nodrošināšanā pilsoņiem, kuri īsteno savas tiesības brīvi pārvietoties ES/EEZ. Tā rezultātā kompetentās institūcijas var ātrāk pieņemt lēmumus par pensiju, pabalstu piešķiršanu vai veselības aprūpes pakalpojumu apmaksu, droši apmainīties ar personas datiem, kā arī efektīvāk cīnīties pret iespējamu krāpšanu (piemēram, ar sociālajām iemaksām vai pabalstu pārmaksu).</w:t>
            </w:r>
          </w:p>
          <w:p w14:paraId="15398FCB" w14:textId="59EB5720" w:rsidR="00545B81" w:rsidRDefault="00545B81" w:rsidP="00545B81">
            <w:pPr>
              <w:spacing w:after="0" w:line="240" w:lineRule="auto"/>
              <w:ind w:firstLine="567"/>
              <w:jc w:val="both"/>
              <w:rPr>
                <w:rFonts w:ascii="Times New Roman" w:hAnsi="Times New Roman"/>
                <w:color w:val="000000"/>
                <w:sz w:val="24"/>
                <w:szCs w:val="24"/>
              </w:rPr>
            </w:pPr>
            <w:r w:rsidRPr="00545B81">
              <w:rPr>
                <w:rFonts w:ascii="Times New Roman" w:hAnsi="Times New Roman"/>
                <w:color w:val="000000"/>
                <w:sz w:val="24"/>
                <w:szCs w:val="24"/>
              </w:rPr>
              <w:t>EESSI vide un platform</w:t>
            </w:r>
            <w:r>
              <w:rPr>
                <w:rFonts w:ascii="Times New Roman" w:hAnsi="Times New Roman"/>
                <w:color w:val="000000"/>
                <w:sz w:val="24"/>
                <w:szCs w:val="24"/>
              </w:rPr>
              <w:t>a</w:t>
            </w:r>
            <w:r w:rsidRPr="00545B81">
              <w:rPr>
                <w:rFonts w:ascii="Times New Roman" w:hAnsi="Times New Roman"/>
                <w:color w:val="000000"/>
                <w:sz w:val="24"/>
                <w:szCs w:val="24"/>
              </w:rPr>
              <w:t xml:space="preserve"> sastāv no </w:t>
            </w:r>
            <w:r>
              <w:rPr>
                <w:rFonts w:ascii="Times New Roman" w:hAnsi="Times New Roman"/>
                <w:color w:val="000000"/>
                <w:sz w:val="24"/>
                <w:szCs w:val="24"/>
              </w:rPr>
              <w:t>vairākām</w:t>
            </w:r>
            <w:r w:rsidRPr="00545B81">
              <w:rPr>
                <w:rFonts w:ascii="Times New Roman" w:hAnsi="Times New Roman"/>
                <w:color w:val="000000"/>
                <w:sz w:val="24"/>
                <w:szCs w:val="24"/>
              </w:rPr>
              <w:t xml:space="preserve"> sadarbspējīgām komponentēm</w:t>
            </w:r>
            <w:r>
              <w:rPr>
                <w:rFonts w:ascii="Times New Roman" w:hAnsi="Times New Roman"/>
                <w:color w:val="000000"/>
                <w:sz w:val="24"/>
                <w:szCs w:val="24"/>
              </w:rPr>
              <w:t xml:space="preserve">, kur viena no tām ir </w:t>
            </w:r>
            <w:r w:rsidRPr="00545B81">
              <w:rPr>
                <w:rFonts w:ascii="Times New Roman" w:hAnsi="Times New Roman"/>
                <w:color w:val="000000"/>
                <w:sz w:val="24"/>
                <w:szCs w:val="24"/>
                <w:u w:val="single"/>
              </w:rPr>
              <w:t>nacionālās aplikācijas aizstājējs RINA (</w:t>
            </w:r>
            <w:r w:rsidRPr="00545B81">
              <w:rPr>
                <w:rFonts w:ascii="Times New Roman" w:hAnsi="Times New Roman"/>
                <w:i/>
                <w:iCs/>
                <w:color w:val="000000"/>
                <w:sz w:val="24"/>
                <w:szCs w:val="24"/>
                <w:u w:val="single"/>
              </w:rPr>
              <w:t>Reference Implementation of National Application</w:t>
            </w:r>
            <w:r w:rsidRPr="00545B81">
              <w:rPr>
                <w:rFonts w:ascii="Times New Roman" w:hAnsi="Times New Roman"/>
                <w:color w:val="000000"/>
                <w:sz w:val="24"/>
                <w:szCs w:val="24"/>
                <w:u w:val="single"/>
              </w:rPr>
              <w:t>)</w:t>
            </w:r>
            <w:r w:rsidRPr="00545B81">
              <w:rPr>
                <w:rFonts w:ascii="Times New Roman" w:hAnsi="Times New Roman"/>
                <w:color w:val="000000"/>
                <w:sz w:val="24"/>
                <w:szCs w:val="24"/>
              </w:rPr>
              <w:t xml:space="preserve"> - EK izstrādāts un tai piederošs pašpietiekams produkts, ar kuru var veikt pārrobežu elektronisko datu apmaiņu. Šī komponente nodrošina minimālo pakalpojumu komplektu, lai, manuāli ievadot nosūtāmos un </w:t>
            </w:r>
            <w:r w:rsidRPr="00545B81">
              <w:rPr>
                <w:rFonts w:ascii="Times New Roman" w:hAnsi="Times New Roman"/>
                <w:color w:val="000000"/>
                <w:sz w:val="24"/>
                <w:szCs w:val="24"/>
              </w:rPr>
              <w:lastRenderedPageBreak/>
              <w:t>manuāli apstrādājot saņemtos datus, pilnībā izpildītu ES regulējumu attiecībā uz elektronisko datu apmaiņu.</w:t>
            </w:r>
          </w:p>
          <w:p w14:paraId="347A5DC3" w14:textId="7DECAC77" w:rsidR="00545B81" w:rsidRDefault="00545B81" w:rsidP="00545B81">
            <w:pPr>
              <w:spacing w:after="0" w:line="240" w:lineRule="auto"/>
              <w:ind w:firstLine="567"/>
              <w:jc w:val="both"/>
              <w:rPr>
                <w:rFonts w:ascii="Times New Roman" w:hAnsi="Times New Roman"/>
                <w:color w:val="000000"/>
                <w:sz w:val="24"/>
                <w:szCs w:val="24"/>
              </w:rPr>
            </w:pPr>
            <w:r w:rsidRPr="00545B81">
              <w:rPr>
                <w:rFonts w:ascii="Times New Roman" w:hAnsi="Times New Roman"/>
                <w:color w:val="000000"/>
                <w:sz w:val="24"/>
                <w:szCs w:val="24"/>
              </w:rPr>
              <w:t xml:space="preserve">Lai Latvija sekmīgi iekļautos EESSI informācijas apmaiņas risinājumā un izpildītu Regulu prasības, </w:t>
            </w:r>
            <w:r w:rsidR="001A49AA" w:rsidRPr="001A49AA">
              <w:rPr>
                <w:rFonts w:ascii="Times New Roman" w:hAnsi="Times New Roman"/>
                <w:color w:val="000000"/>
                <w:sz w:val="24"/>
                <w:szCs w:val="24"/>
              </w:rPr>
              <w:t xml:space="preserve">no 2018.gada 1.marta līdz 2020.gada 29.februārim </w:t>
            </w:r>
            <w:r w:rsidRPr="00545B81">
              <w:rPr>
                <w:rFonts w:ascii="Times New Roman" w:hAnsi="Times New Roman"/>
                <w:color w:val="000000"/>
                <w:sz w:val="24"/>
                <w:szCs w:val="24"/>
              </w:rPr>
              <w:t>tika realizēts nacionālais projekts “Eiropas sadarbspēja” (turpmāk – LatEESSI), kas nodrošina EESSI sistēmas komponenšu izmantošanu un RINA integrāciju ar VSAA sociālās apdrošināšanas informācijas sistēmu un N</w:t>
            </w:r>
            <w:r w:rsidR="00200338">
              <w:rPr>
                <w:rFonts w:ascii="Times New Roman" w:hAnsi="Times New Roman"/>
                <w:color w:val="000000"/>
                <w:sz w:val="24"/>
                <w:szCs w:val="24"/>
              </w:rPr>
              <w:t>acionālā veselības dienesta</w:t>
            </w:r>
            <w:r w:rsidRPr="00545B81">
              <w:rPr>
                <w:rFonts w:ascii="Times New Roman" w:hAnsi="Times New Roman"/>
                <w:color w:val="000000"/>
                <w:sz w:val="24"/>
                <w:szCs w:val="24"/>
              </w:rPr>
              <w:t xml:space="preserve"> starptautiskās sadarbības informācijas sistēmu.</w:t>
            </w:r>
          </w:p>
          <w:p w14:paraId="63CB1043" w14:textId="3C4D916C" w:rsidR="006921BC" w:rsidRDefault="006921BC" w:rsidP="0072776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Taču </w:t>
            </w:r>
            <w:r w:rsidRPr="006921BC">
              <w:rPr>
                <w:rFonts w:ascii="Times New Roman" w:hAnsi="Times New Roman"/>
                <w:color w:val="000000"/>
                <w:sz w:val="24"/>
                <w:szCs w:val="24"/>
              </w:rPr>
              <w:t xml:space="preserve">2020.gada 29.janvārī </w:t>
            </w:r>
            <w:r w:rsidRPr="006921BC">
              <w:rPr>
                <w:rFonts w:ascii="Times New Roman" w:hAnsi="Times New Roman"/>
                <w:color w:val="000000"/>
                <w:sz w:val="24"/>
                <w:szCs w:val="24"/>
                <w:u w:val="single"/>
              </w:rPr>
              <w:t xml:space="preserve">EK negaidīti sniedza mutisku paziņojumu ES dalībvalstīm, ka pārtrauks RINA programmatūras izstrādi un uzturēšanu no 2021.gada jūlija un to nodos uzturēšanai un tālākai attīstīšanai ES dalībvalstu, kā arī </w:t>
            </w:r>
            <w:r w:rsidR="00337778" w:rsidRPr="00514ACB">
              <w:rPr>
                <w:rFonts w:ascii="Times New Roman" w:hAnsi="Times New Roman"/>
                <w:color w:val="000000"/>
                <w:sz w:val="24"/>
                <w:szCs w:val="24"/>
                <w:u w:val="single"/>
              </w:rPr>
              <w:t>EEZ</w:t>
            </w:r>
            <w:r w:rsidR="00337778" w:rsidRPr="00337778">
              <w:rPr>
                <w:rFonts w:ascii="Times New Roman" w:hAnsi="Times New Roman"/>
                <w:color w:val="000000"/>
                <w:sz w:val="24"/>
                <w:szCs w:val="24"/>
                <w:u w:val="single"/>
              </w:rPr>
              <w:t xml:space="preserve"> </w:t>
            </w:r>
            <w:r w:rsidRPr="006921BC">
              <w:rPr>
                <w:rFonts w:ascii="Times New Roman" w:hAnsi="Times New Roman"/>
                <w:color w:val="000000"/>
                <w:sz w:val="24"/>
                <w:szCs w:val="24"/>
                <w:u w:val="single"/>
              </w:rPr>
              <w:t>valstu un Šveices kompetentajām institūcijām sociālās drošības jomā</w:t>
            </w:r>
            <w:r w:rsidRPr="006921BC">
              <w:rPr>
                <w:rFonts w:ascii="Times New Roman" w:hAnsi="Times New Roman"/>
                <w:color w:val="000000"/>
                <w:sz w:val="24"/>
                <w:szCs w:val="24"/>
              </w:rPr>
              <w:t>.</w:t>
            </w:r>
          </w:p>
          <w:p w14:paraId="06D0C30A" w14:textId="59FE1D54" w:rsidR="00D9525C" w:rsidRDefault="00D9525C" w:rsidP="00D9525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2021.gada 18.maijā saņemta vēstule no Nacionālā veselības dienesta</w:t>
            </w:r>
            <w:r w:rsidR="00187B24">
              <w:rPr>
                <w:rFonts w:ascii="Times New Roman" w:hAnsi="Times New Roman"/>
                <w:color w:val="000000"/>
                <w:sz w:val="24"/>
                <w:szCs w:val="24"/>
              </w:rPr>
              <w:t>, kas pārstāv Latviju darba grupā par RINA pārņemšanas procesu,</w:t>
            </w:r>
            <w:r>
              <w:rPr>
                <w:rFonts w:ascii="Times New Roman" w:hAnsi="Times New Roman"/>
                <w:color w:val="000000"/>
                <w:sz w:val="24"/>
                <w:szCs w:val="24"/>
              </w:rPr>
              <w:t xml:space="preserve"> ar informāciju, ka EK</w:t>
            </w:r>
            <w:r w:rsidRPr="006B2F9A">
              <w:rPr>
                <w:rFonts w:ascii="Times New Roman" w:hAnsi="Times New Roman"/>
                <w:color w:val="000000"/>
                <w:sz w:val="24"/>
                <w:szCs w:val="24"/>
              </w:rPr>
              <w:t xml:space="preserve"> un </w:t>
            </w:r>
            <w:r>
              <w:rPr>
                <w:rFonts w:ascii="Times New Roman" w:hAnsi="Times New Roman"/>
                <w:color w:val="000000"/>
                <w:sz w:val="24"/>
                <w:szCs w:val="24"/>
              </w:rPr>
              <w:t>d</w:t>
            </w:r>
            <w:r w:rsidRPr="006B2F9A">
              <w:rPr>
                <w:rFonts w:ascii="Times New Roman" w:hAnsi="Times New Roman"/>
                <w:color w:val="000000"/>
                <w:sz w:val="24"/>
                <w:szCs w:val="24"/>
              </w:rPr>
              <w:t xml:space="preserve">alībvalstu izveidotās darba grupas aktīvi strādā pie RINA pārņemšanas procesa, tomēr ņemot vērā pamatotus iemeslus, kas saistīti ar RINA nodošanas tehnisko pusi un juridiskajiem aspektiem, kā arī Covid-19 pandēmijas radīto ietekmi, EK ir pieņēmusi </w:t>
            </w:r>
            <w:r w:rsidRPr="006B2F9A">
              <w:rPr>
                <w:rFonts w:ascii="Times New Roman" w:hAnsi="Times New Roman"/>
                <w:color w:val="000000"/>
                <w:sz w:val="24"/>
                <w:szCs w:val="24"/>
                <w:u w:val="single"/>
              </w:rPr>
              <w:t>lēmumu par RINA programatūras nodošanas termiņa pagarinājumu līdz 2021.gada beigām</w:t>
            </w:r>
            <w:r w:rsidRPr="006B2F9A">
              <w:rPr>
                <w:rFonts w:ascii="Times New Roman" w:hAnsi="Times New Roman"/>
                <w:color w:val="000000"/>
                <w:sz w:val="24"/>
                <w:szCs w:val="24"/>
              </w:rPr>
              <w:t>.</w:t>
            </w:r>
          </w:p>
          <w:p w14:paraId="2E4D9D0E" w14:textId="77777777" w:rsidR="0072776A" w:rsidRPr="006921BC" w:rsidRDefault="0072776A" w:rsidP="0072776A">
            <w:pPr>
              <w:spacing w:after="0" w:line="240" w:lineRule="auto"/>
              <w:ind w:firstLine="567"/>
              <w:jc w:val="both"/>
              <w:rPr>
                <w:rFonts w:ascii="Times New Roman" w:hAnsi="Times New Roman"/>
                <w:color w:val="000000"/>
                <w:sz w:val="24"/>
                <w:szCs w:val="24"/>
              </w:rPr>
            </w:pPr>
          </w:p>
          <w:p w14:paraId="1A4155EE" w14:textId="4FBFF643" w:rsidR="00545B81" w:rsidRDefault="0072776A" w:rsidP="00803A70">
            <w:pPr>
              <w:spacing w:after="0" w:line="240" w:lineRule="auto"/>
              <w:ind w:firstLine="567"/>
              <w:jc w:val="both"/>
              <w:rPr>
                <w:rFonts w:ascii="Times New Roman" w:hAnsi="Times New Roman"/>
                <w:color w:val="000000"/>
                <w:sz w:val="24"/>
                <w:szCs w:val="24"/>
              </w:rPr>
            </w:pPr>
            <w:r>
              <w:rPr>
                <w:rFonts w:ascii="Times New Roman" w:hAnsi="Times New Roman"/>
                <w:iCs/>
                <w:color w:val="000000"/>
                <w:sz w:val="24"/>
                <w:szCs w:val="24"/>
              </w:rPr>
              <w:t xml:space="preserve">Saskaņā ar </w:t>
            </w:r>
            <w:r w:rsidR="00803A70">
              <w:rPr>
                <w:rFonts w:ascii="Times New Roman" w:hAnsi="Times New Roman"/>
                <w:iCs/>
                <w:color w:val="000000"/>
                <w:sz w:val="24"/>
                <w:szCs w:val="24"/>
              </w:rPr>
              <w:t>MK</w:t>
            </w:r>
            <w:r w:rsidRPr="0072776A">
              <w:rPr>
                <w:rFonts w:ascii="Times New Roman" w:hAnsi="Times New Roman"/>
                <w:iCs/>
                <w:color w:val="000000"/>
                <w:sz w:val="24"/>
                <w:szCs w:val="24"/>
              </w:rPr>
              <w:t xml:space="preserve"> protokollēmuma Nr.20, 36.§</w:t>
            </w:r>
            <w:r>
              <w:rPr>
                <w:rFonts w:ascii="Times New Roman" w:hAnsi="Times New Roman"/>
                <w:iCs/>
                <w:color w:val="000000"/>
                <w:sz w:val="24"/>
                <w:szCs w:val="24"/>
              </w:rPr>
              <w:t xml:space="preserve"> 1</w:t>
            </w:r>
            <w:r w:rsidRPr="0072776A">
              <w:rPr>
                <w:rFonts w:ascii="Times New Roman" w:hAnsi="Times New Roman"/>
                <w:iCs/>
                <w:color w:val="000000"/>
                <w:sz w:val="24"/>
                <w:szCs w:val="24"/>
              </w:rPr>
              <w:t>. punkt</w:t>
            </w:r>
            <w:r>
              <w:rPr>
                <w:rFonts w:ascii="Times New Roman" w:hAnsi="Times New Roman"/>
                <w:iCs/>
                <w:color w:val="000000"/>
                <w:sz w:val="24"/>
                <w:szCs w:val="24"/>
              </w:rPr>
              <w:t>u tika a</w:t>
            </w:r>
            <w:r w:rsidRPr="0072776A">
              <w:rPr>
                <w:rFonts w:ascii="Times New Roman" w:hAnsi="Times New Roman"/>
                <w:iCs/>
                <w:color w:val="000000"/>
                <w:sz w:val="24"/>
                <w:szCs w:val="24"/>
              </w:rPr>
              <w:t>tbalstīt</w:t>
            </w:r>
            <w:r>
              <w:rPr>
                <w:rFonts w:ascii="Times New Roman" w:hAnsi="Times New Roman"/>
                <w:iCs/>
                <w:color w:val="000000"/>
                <w:sz w:val="24"/>
                <w:szCs w:val="24"/>
              </w:rPr>
              <w:t>s</w:t>
            </w:r>
            <w:r w:rsidRPr="0072776A">
              <w:rPr>
                <w:rFonts w:ascii="Times New Roman" w:hAnsi="Times New Roman"/>
                <w:iCs/>
                <w:color w:val="000000"/>
                <w:sz w:val="24"/>
                <w:szCs w:val="24"/>
              </w:rPr>
              <w:t xml:space="preserve"> informatīvajā ziņojumā ietvert</w:t>
            </w:r>
            <w:r>
              <w:rPr>
                <w:rFonts w:ascii="Times New Roman" w:hAnsi="Times New Roman"/>
                <w:iCs/>
                <w:color w:val="000000"/>
                <w:sz w:val="24"/>
                <w:szCs w:val="24"/>
              </w:rPr>
              <w:t>ais</w:t>
            </w:r>
            <w:r w:rsidRPr="0072776A">
              <w:rPr>
                <w:rFonts w:ascii="Times New Roman" w:hAnsi="Times New Roman"/>
                <w:iCs/>
                <w:color w:val="000000"/>
                <w:sz w:val="24"/>
                <w:szCs w:val="24"/>
              </w:rPr>
              <w:t xml:space="preserve"> 2.risinājum</w:t>
            </w:r>
            <w:r>
              <w:rPr>
                <w:rFonts w:ascii="Times New Roman" w:hAnsi="Times New Roman"/>
                <w:iCs/>
                <w:color w:val="000000"/>
                <w:sz w:val="24"/>
                <w:szCs w:val="24"/>
              </w:rPr>
              <w:t>s</w:t>
            </w:r>
            <w:r w:rsidRPr="0072776A">
              <w:rPr>
                <w:rFonts w:ascii="Times New Roman" w:hAnsi="Times New Roman"/>
                <w:iCs/>
                <w:color w:val="000000"/>
                <w:sz w:val="24"/>
                <w:szCs w:val="24"/>
              </w:rPr>
              <w:t xml:space="preserve"> - Centralizētais risinājums ("Centralised").</w:t>
            </w:r>
            <w:r w:rsidR="00D35229">
              <w:rPr>
                <w:rFonts w:ascii="Times New Roman" w:hAnsi="Times New Roman"/>
                <w:iCs/>
                <w:color w:val="000000"/>
                <w:sz w:val="24"/>
                <w:szCs w:val="24"/>
              </w:rPr>
              <w:t xml:space="preserve"> </w:t>
            </w:r>
            <w:r w:rsidRPr="0072776A">
              <w:rPr>
                <w:rFonts w:ascii="Times New Roman" w:hAnsi="Times New Roman"/>
                <w:color w:val="000000"/>
                <w:sz w:val="24"/>
                <w:szCs w:val="24"/>
                <w:u w:val="single"/>
              </w:rPr>
              <w:t>Risinājums paredz vairāku dalībvalstu kopīgu ārējā izstrādātāja iepirkumu turpmākai RINA programmatūras uzturēšanai un attīstībai</w:t>
            </w:r>
            <w:r w:rsidRPr="0072776A">
              <w:rPr>
                <w:rFonts w:ascii="Times New Roman" w:hAnsi="Times New Roman"/>
                <w:color w:val="000000"/>
                <w:sz w:val="24"/>
                <w:szCs w:val="24"/>
              </w:rPr>
              <w:t>. Šī risinājuma priekšrocība ir tā, ka VSAA un N</w:t>
            </w:r>
            <w:r w:rsidR="00092984">
              <w:rPr>
                <w:rFonts w:ascii="Times New Roman" w:hAnsi="Times New Roman"/>
                <w:color w:val="000000"/>
                <w:sz w:val="24"/>
                <w:szCs w:val="24"/>
              </w:rPr>
              <w:t>acionālajam veselības dienestam</w:t>
            </w:r>
            <w:r w:rsidRPr="0072776A">
              <w:rPr>
                <w:rFonts w:ascii="Times New Roman" w:hAnsi="Times New Roman"/>
                <w:color w:val="000000"/>
                <w:sz w:val="24"/>
                <w:szCs w:val="24"/>
              </w:rPr>
              <w:t xml:space="preserve"> nav nepieciešami atbilstoši speciālisti, kuri spētu uzturēt un attīstīt RINA programmatūru. Uzturēšanas un attīstības izmaksas tiktu sadalītas starp dalībvalstīm, kuras būs izvēlējušās šo risinājumu, tādēļ šis varētu būt lētākais variants, rēķinot uz katru dalībvalsti atsevišķi. Visām valstīm, kuras piedalīsies šajā risinājumā, būs vienota RINA programmatūras versija un nebūs risku attiecībā uz tās darbības efektivitāti un drošību. EK izveidotajā darba grupā par RINA programmatūras izstrādes un uzturēšanas nodošanu dalībvalstīm uzsvars tiek likts uz šo risinājumu, tādēļ EK sniedz palīdzību kopējā iepirkuma organizēšanā.</w:t>
            </w:r>
          </w:p>
          <w:p w14:paraId="1257525E" w14:textId="0B1645F4" w:rsidR="00F226BF" w:rsidRPr="00FF6309" w:rsidRDefault="00FF6309" w:rsidP="00FF6309">
            <w:pPr>
              <w:spacing w:after="0" w:line="240" w:lineRule="auto"/>
              <w:ind w:firstLine="720"/>
              <w:jc w:val="both"/>
              <w:rPr>
                <w:rFonts w:ascii="Times New Roman" w:hAnsi="Times New Roman"/>
                <w:sz w:val="24"/>
                <w:szCs w:val="24"/>
              </w:rPr>
            </w:pPr>
            <w:r w:rsidRPr="002C3A8A">
              <w:rPr>
                <w:rFonts w:ascii="Times New Roman" w:hAnsi="Times New Roman"/>
                <w:sz w:val="24"/>
                <w:szCs w:val="24"/>
              </w:rPr>
              <w:t xml:space="preserve">Lai nodrošinātu, ka RINA tiek iekļautas visas nepieciešamās izmaiņas un novērstas sistēmas darbības neprecizitātes pēc RINA nodošanas dalībvalstu pārziņā, </w:t>
            </w:r>
            <w:r>
              <w:rPr>
                <w:rFonts w:ascii="Times New Roman" w:hAnsi="Times New Roman"/>
                <w:sz w:val="24"/>
                <w:szCs w:val="24"/>
              </w:rPr>
              <w:t>Nacionālais veselības dienests</w:t>
            </w:r>
            <w:r w:rsidRPr="002C3A8A">
              <w:rPr>
                <w:rFonts w:ascii="Times New Roman" w:hAnsi="Times New Roman"/>
                <w:sz w:val="24"/>
                <w:szCs w:val="24"/>
              </w:rPr>
              <w:t xml:space="preserve"> ar VSAA kā Latvijā kompetentās institūcijas sociālā nodrošinājuma sistēmu koordinēšanā plāno noslēgt starpresoru vienošanos, lai vienotos par savstarpēju sadarbību, atbildības sfērām un norēķinu apmēru un kārtību kopīgā iepirkuma ietvaros.</w:t>
            </w:r>
          </w:p>
          <w:p w14:paraId="7D87FFBC" w14:textId="1707CEC1" w:rsidR="004A3F85" w:rsidRDefault="002631BF" w:rsidP="00FF6309">
            <w:pPr>
              <w:spacing w:after="0" w:line="240" w:lineRule="auto"/>
              <w:ind w:firstLine="567"/>
              <w:jc w:val="both"/>
              <w:rPr>
                <w:rFonts w:ascii="Times New Roman" w:hAnsi="Times New Roman"/>
                <w:color w:val="000000"/>
                <w:sz w:val="24"/>
                <w:szCs w:val="24"/>
              </w:rPr>
            </w:pPr>
            <w:r w:rsidRPr="002631BF">
              <w:rPr>
                <w:rFonts w:ascii="Times New Roman" w:hAnsi="Times New Roman"/>
                <w:color w:val="000000"/>
                <w:sz w:val="24"/>
                <w:szCs w:val="24"/>
              </w:rPr>
              <w:t>VSAA un N</w:t>
            </w:r>
            <w:r>
              <w:rPr>
                <w:rFonts w:ascii="Times New Roman" w:hAnsi="Times New Roman"/>
                <w:color w:val="000000"/>
                <w:sz w:val="24"/>
                <w:szCs w:val="24"/>
              </w:rPr>
              <w:t>acionālais veselības dienests</w:t>
            </w:r>
            <w:r w:rsidRPr="002631BF">
              <w:rPr>
                <w:rFonts w:ascii="Times New Roman" w:hAnsi="Times New Roman"/>
                <w:color w:val="000000"/>
                <w:sz w:val="24"/>
                <w:szCs w:val="24"/>
              </w:rPr>
              <w:t xml:space="preserve"> elektroniskās informācijas apmaiņas jomā administrē atšķirīgus un nošķirtus jautājumus, </w:t>
            </w:r>
            <w:r>
              <w:rPr>
                <w:rFonts w:ascii="Times New Roman" w:hAnsi="Times New Roman"/>
                <w:color w:val="000000"/>
                <w:sz w:val="24"/>
                <w:szCs w:val="24"/>
              </w:rPr>
              <w:t xml:space="preserve">tāpēc </w:t>
            </w:r>
            <w:r w:rsidRPr="002631BF">
              <w:rPr>
                <w:rFonts w:ascii="Times New Roman" w:hAnsi="Times New Roman"/>
                <w:color w:val="000000"/>
                <w:sz w:val="24"/>
                <w:szCs w:val="24"/>
              </w:rPr>
              <w:t xml:space="preserve">katra iestāde izmanto atsevišķu nodalītu RINA informācijas sistēmu. </w:t>
            </w:r>
          </w:p>
          <w:p w14:paraId="030E3BC7" w14:textId="77777777" w:rsidR="006B2F9A" w:rsidRDefault="006B2F9A" w:rsidP="00FF6309">
            <w:pPr>
              <w:spacing w:after="0" w:line="240" w:lineRule="auto"/>
              <w:ind w:firstLine="567"/>
              <w:jc w:val="both"/>
              <w:rPr>
                <w:rFonts w:ascii="Times New Roman" w:hAnsi="Times New Roman"/>
                <w:color w:val="000000"/>
                <w:sz w:val="24"/>
                <w:szCs w:val="24"/>
              </w:rPr>
            </w:pPr>
          </w:p>
          <w:p w14:paraId="6795FC92" w14:textId="410FD269" w:rsidR="006D15C8" w:rsidRDefault="00D46C03" w:rsidP="006D15C8">
            <w:pPr>
              <w:spacing w:after="0" w:line="240" w:lineRule="auto"/>
              <w:ind w:firstLine="567"/>
              <w:jc w:val="both"/>
              <w:rPr>
                <w:rFonts w:ascii="Times New Roman" w:hAnsi="Times New Roman"/>
                <w:color w:val="000000"/>
                <w:sz w:val="24"/>
                <w:szCs w:val="24"/>
              </w:rPr>
            </w:pPr>
            <w:r w:rsidRPr="002C3A8A">
              <w:rPr>
                <w:rFonts w:ascii="Times New Roman" w:hAnsi="Times New Roman"/>
                <w:color w:val="000000"/>
                <w:sz w:val="24"/>
                <w:szCs w:val="24"/>
              </w:rPr>
              <w:t xml:space="preserve">Ņemot vērā </w:t>
            </w:r>
            <w:r w:rsidR="002631BF">
              <w:rPr>
                <w:rFonts w:ascii="Times New Roman" w:hAnsi="Times New Roman"/>
                <w:color w:val="000000"/>
                <w:sz w:val="24"/>
                <w:szCs w:val="24"/>
              </w:rPr>
              <w:t xml:space="preserve">visu </w:t>
            </w:r>
            <w:r w:rsidRPr="002C3A8A">
              <w:rPr>
                <w:rFonts w:ascii="Times New Roman" w:hAnsi="Times New Roman"/>
                <w:color w:val="000000"/>
                <w:sz w:val="24"/>
                <w:szCs w:val="24"/>
              </w:rPr>
              <w:t xml:space="preserve">iepriekš minēto, </w:t>
            </w:r>
            <w:r w:rsidR="00083CF6">
              <w:rPr>
                <w:rFonts w:ascii="Times New Roman" w:hAnsi="Times New Roman"/>
                <w:color w:val="000000"/>
                <w:sz w:val="24"/>
                <w:szCs w:val="24"/>
              </w:rPr>
              <w:t>nepieciešams</w:t>
            </w:r>
            <w:r w:rsidRPr="002C3A8A">
              <w:rPr>
                <w:rFonts w:ascii="Times New Roman" w:hAnsi="Times New Roman"/>
                <w:color w:val="000000"/>
                <w:sz w:val="24"/>
                <w:szCs w:val="24"/>
              </w:rPr>
              <w:t xml:space="preserve"> veikt izmaiņas Ministru kabineta 2011.gada 1.novembra noteikumos Nr.850 </w:t>
            </w:r>
            <w:r w:rsidRPr="002C3A8A">
              <w:rPr>
                <w:rFonts w:ascii="Times New Roman" w:hAnsi="Times New Roman"/>
                <w:color w:val="000000"/>
                <w:sz w:val="24"/>
                <w:szCs w:val="24"/>
              </w:rPr>
              <w:lastRenderedPageBreak/>
              <w:t>„Nacionālā veselības dienesta nolikums”, paredzot, ka no 202</w:t>
            </w:r>
            <w:r w:rsidR="006B2F9A">
              <w:rPr>
                <w:rFonts w:ascii="Times New Roman" w:hAnsi="Times New Roman"/>
                <w:color w:val="000000"/>
                <w:sz w:val="24"/>
                <w:szCs w:val="24"/>
              </w:rPr>
              <w:t>2</w:t>
            </w:r>
            <w:r w:rsidRPr="002C3A8A">
              <w:rPr>
                <w:rFonts w:ascii="Times New Roman" w:hAnsi="Times New Roman"/>
                <w:color w:val="000000"/>
                <w:sz w:val="24"/>
                <w:szCs w:val="24"/>
              </w:rPr>
              <w:t>. gada 1. j</w:t>
            </w:r>
            <w:r w:rsidR="006B2F9A">
              <w:rPr>
                <w:rFonts w:ascii="Times New Roman" w:hAnsi="Times New Roman"/>
                <w:color w:val="000000"/>
                <w:sz w:val="24"/>
                <w:szCs w:val="24"/>
              </w:rPr>
              <w:t>anvāra</w:t>
            </w:r>
            <w:r w:rsidRPr="002C3A8A">
              <w:rPr>
                <w:rFonts w:ascii="Times New Roman" w:hAnsi="Times New Roman"/>
                <w:color w:val="000000"/>
                <w:sz w:val="24"/>
                <w:szCs w:val="24"/>
              </w:rPr>
              <w:t xml:space="preserve"> </w:t>
            </w:r>
            <w:r w:rsidR="00083CF6" w:rsidRPr="00F663E9">
              <w:rPr>
                <w:rFonts w:ascii="Times New Roman" w:eastAsia="Times New Roman" w:hAnsi="Times New Roman" w:cs="Times New Roman"/>
                <w:bCs/>
                <w:sz w:val="24"/>
                <w:szCs w:val="24"/>
              </w:rPr>
              <w:t>Nacionālais veselības dienest</w:t>
            </w:r>
            <w:r w:rsidR="00083CF6">
              <w:rPr>
                <w:rFonts w:ascii="Times New Roman" w:eastAsia="Times New Roman" w:hAnsi="Times New Roman" w:cs="Times New Roman"/>
                <w:bCs/>
                <w:sz w:val="24"/>
                <w:szCs w:val="24"/>
              </w:rPr>
              <w:t xml:space="preserve">s </w:t>
            </w:r>
            <w:r w:rsidRPr="002C3A8A">
              <w:rPr>
                <w:rFonts w:ascii="Times New Roman" w:hAnsi="Times New Roman"/>
                <w:color w:val="000000"/>
                <w:sz w:val="24"/>
                <w:szCs w:val="24"/>
              </w:rPr>
              <w:t xml:space="preserve">kā pārzinis veido, uztur un papildina </w:t>
            </w:r>
            <w:r w:rsidR="006D15C8">
              <w:rPr>
                <w:rFonts w:ascii="Times New Roman" w:hAnsi="Times New Roman"/>
                <w:color w:val="000000"/>
                <w:sz w:val="24"/>
                <w:szCs w:val="24"/>
              </w:rPr>
              <w:t xml:space="preserve">NVD </w:t>
            </w:r>
            <w:r w:rsidRPr="002C3A8A">
              <w:rPr>
                <w:rFonts w:ascii="Times New Roman" w:hAnsi="Times New Roman"/>
                <w:color w:val="000000"/>
                <w:sz w:val="24"/>
                <w:szCs w:val="24"/>
              </w:rPr>
              <w:t>RINA</w:t>
            </w:r>
            <w:bookmarkStart w:id="1" w:name="_Hlk62037161"/>
            <w:r w:rsidR="00F46C4A">
              <w:rPr>
                <w:rFonts w:ascii="Times New Roman" w:hAnsi="Times New Roman"/>
                <w:color w:val="000000"/>
                <w:sz w:val="24"/>
                <w:szCs w:val="24"/>
              </w:rPr>
              <w:t>.</w:t>
            </w:r>
            <w:bookmarkEnd w:id="1"/>
          </w:p>
          <w:p w14:paraId="380DB429" w14:textId="77777777" w:rsidR="006D15C8" w:rsidRDefault="006D15C8" w:rsidP="006D15C8">
            <w:pPr>
              <w:spacing w:after="0" w:line="240" w:lineRule="auto"/>
              <w:ind w:firstLine="567"/>
              <w:jc w:val="both"/>
              <w:rPr>
                <w:rFonts w:ascii="Times New Roman" w:hAnsi="Times New Roman" w:cs="Times New Roman"/>
                <w:sz w:val="24"/>
                <w:szCs w:val="24"/>
                <w:shd w:val="clear" w:color="auto" w:fill="FFFFFF"/>
              </w:rPr>
            </w:pPr>
          </w:p>
          <w:p w14:paraId="2AFCF187" w14:textId="3DCF23F7" w:rsidR="006D15C8" w:rsidRPr="006D15C8" w:rsidRDefault="006D15C8" w:rsidP="006D15C8">
            <w:pPr>
              <w:spacing w:after="0" w:line="240" w:lineRule="auto"/>
              <w:ind w:firstLine="567"/>
              <w:jc w:val="both"/>
              <w:rPr>
                <w:rFonts w:ascii="Times New Roman" w:hAnsi="Times New Roman"/>
                <w:color w:val="000000"/>
                <w:sz w:val="24"/>
                <w:szCs w:val="24"/>
              </w:rPr>
            </w:pPr>
            <w:r w:rsidRPr="002E2EB6">
              <w:rPr>
                <w:rFonts w:ascii="Times New Roman" w:hAnsi="Times New Roman" w:cs="Times New Roman"/>
                <w:sz w:val="24"/>
                <w:szCs w:val="24"/>
                <w:shd w:val="clear" w:color="auto" w:fill="FFFFFF"/>
              </w:rPr>
              <w:t>Personas datu apstrāde Starptautiskās sadarbības informācijas sistēmā un “NVD RINA” tiks nodrošināta saskaņā ar Eiropas Parlamenta un Padomes 2016. gada 27. aprīļa regulā (ES) 2016/679 par fizisku personu aizsardzību attiecībā uz personas datu apstrādi un šādu datu brīvu apriti un ar ko atceļ direktīvu 95/46/EK (Vispārīgā datu aizsardzības regula) un nacionālajos normatīvajos aktos fizisko personu datu aizsardzības jomā noteikto.</w:t>
            </w:r>
            <w:r w:rsidRPr="006D15C8">
              <w:rPr>
                <w:rFonts w:ascii="Times New Roman" w:hAnsi="Times New Roman" w:cs="Times New Roman"/>
                <w:sz w:val="24"/>
                <w:szCs w:val="24"/>
                <w:shd w:val="clear" w:color="auto" w:fill="FFFFFF"/>
              </w:rPr>
              <w:t xml:space="preserve"> </w:t>
            </w:r>
          </w:p>
        </w:tc>
      </w:tr>
      <w:tr w:rsidR="0055755B" w:rsidRPr="0055755B"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F663E9" w:rsidRDefault="0007278B" w:rsidP="00AE4EFC">
            <w:pPr>
              <w:spacing w:after="0" w:line="240" w:lineRule="auto"/>
              <w:rPr>
                <w:rFonts w:ascii="Times New Roman" w:eastAsia="Times New Roman" w:hAnsi="Times New Roman" w:cs="Times New Roman"/>
                <w:bCs/>
                <w:sz w:val="24"/>
                <w:szCs w:val="24"/>
              </w:rPr>
            </w:pPr>
            <w:r w:rsidRPr="00F663E9">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0DF52725" w14:textId="77777777" w:rsidR="00B430D9" w:rsidRDefault="00F30098" w:rsidP="00AE4EFC">
            <w:pPr>
              <w:spacing w:after="0" w:line="240" w:lineRule="auto"/>
              <w:jc w:val="both"/>
              <w:rPr>
                <w:rFonts w:ascii="Times New Roman" w:eastAsia="Times New Roman" w:hAnsi="Times New Roman" w:cs="Times New Roman"/>
                <w:bCs/>
                <w:sz w:val="24"/>
                <w:szCs w:val="24"/>
              </w:rPr>
            </w:pPr>
            <w:r w:rsidRPr="00F663E9">
              <w:rPr>
                <w:rFonts w:ascii="Times New Roman" w:eastAsia="Times New Roman" w:hAnsi="Times New Roman" w:cs="Times New Roman"/>
                <w:bCs/>
                <w:sz w:val="24"/>
                <w:szCs w:val="24"/>
              </w:rPr>
              <w:t>Veselības ministrija</w:t>
            </w:r>
          </w:p>
          <w:p w14:paraId="0A70E817" w14:textId="26C0C0BC" w:rsidR="00925B5A" w:rsidRDefault="00F663E9" w:rsidP="00AE4EFC">
            <w:pPr>
              <w:spacing w:after="0" w:line="240" w:lineRule="auto"/>
              <w:jc w:val="both"/>
              <w:rPr>
                <w:rFonts w:ascii="Times New Roman" w:eastAsia="Times New Roman" w:hAnsi="Times New Roman" w:cs="Times New Roman"/>
                <w:bCs/>
                <w:sz w:val="24"/>
                <w:szCs w:val="24"/>
              </w:rPr>
            </w:pPr>
            <w:r w:rsidRPr="00661ED6">
              <w:rPr>
                <w:rFonts w:ascii="Times New Roman" w:eastAsia="Times New Roman" w:hAnsi="Times New Roman" w:cs="Times New Roman"/>
                <w:bCs/>
                <w:sz w:val="24"/>
                <w:szCs w:val="24"/>
              </w:rPr>
              <w:t>Labklājības ministrija</w:t>
            </w:r>
          </w:p>
          <w:p w14:paraId="08141F7F" w14:textId="77777777" w:rsidR="0007278B" w:rsidRDefault="00CA3F21" w:rsidP="00AE4EFC">
            <w:pPr>
              <w:spacing w:after="0" w:line="240" w:lineRule="auto"/>
              <w:jc w:val="both"/>
              <w:rPr>
                <w:rFonts w:ascii="Times New Roman" w:eastAsia="Times New Roman" w:hAnsi="Times New Roman" w:cs="Times New Roman"/>
                <w:bCs/>
                <w:sz w:val="24"/>
                <w:szCs w:val="24"/>
              </w:rPr>
            </w:pPr>
            <w:r w:rsidRPr="00F663E9">
              <w:rPr>
                <w:rFonts w:ascii="Times New Roman" w:eastAsia="Times New Roman" w:hAnsi="Times New Roman" w:cs="Times New Roman"/>
                <w:bCs/>
                <w:sz w:val="24"/>
                <w:szCs w:val="24"/>
              </w:rPr>
              <w:t>Nacionālais veselības dienests</w:t>
            </w:r>
          </w:p>
          <w:p w14:paraId="63E85C9B" w14:textId="01EB3E61" w:rsidR="00925B5A" w:rsidRPr="00F663E9" w:rsidRDefault="00925B5A" w:rsidP="00AE4EFC">
            <w:pPr>
              <w:spacing w:after="0" w:line="240" w:lineRule="auto"/>
              <w:jc w:val="both"/>
              <w:rPr>
                <w:rFonts w:ascii="Times New Roman" w:eastAsia="Times New Roman" w:hAnsi="Times New Roman" w:cs="Times New Roman"/>
                <w:bCs/>
                <w:sz w:val="24"/>
                <w:szCs w:val="24"/>
              </w:rPr>
            </w:pPr>
            <w:r w:rsidRPr="002C3A8A">
              <w:rPr>
                <w:rFonts w:ascii="Times New Roman" w:hAnsi="Times New Roman"/>
                <w:color w:val="000000"/>
                <w:sz w:val="24"/>
                <w:szCs w:val="24"/>
              </w:rPr>
              <w:t>Valsts sociālās apdrošināšanas aģentūra</w:t>
            </w:r>
          </w:p>
        </w:tc>
      </w:tr>
      <w:tr w:rsidR="000E2322" w:rsidRPr="0055755B"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lang w:eastAsia="lv-LV"/>
              </w:rPr>
              <w:t>Nav.</w:t>
            </w:r>
          </w:p>
        </w:tc>
      </w:tr>
    </w:tbl>
    <w:p w14:paraId="5771F00E" w14:textId="77777777" w:rsidR="0007278B" w:rsidRPr="00CC4175" w:rsidRDefault="0007278B" w:rsidP="003D15E2">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55755B" w:rsidRPr="0055755B"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II. Tiesību akta projekta ietekme uz sabiedrību, tautsaimniecības attīstību un administratīvo slogu</w:t>
            </w:r>
          </w:p>
        </w:tc>
      </w:tr>
      <w:tr w:rsidR="0055755B" w:rsidRPr="0055755B" w14:paraId="3E2E3150" w14:textId="77777777" w:rsidTr="004D7037">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3E3D6B69"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mērķgrupas, kuras tiesiskais regulējums ietekmē vai varētu ietekmēt</w:t>
            </w:r>
          </w:p>
        </w:tc>
        <w:tc>
          <w:tcPr>
            <w:tcW w:w="2969" w:type="pct"/>
            <w:tcBorders>
              <w:top w:val="single" w:sz="4" w:space="0" w:color="auto"/>
              <w:left w:val="single" w:sz="4" w:space="0" w:color="auto"/>
              <w:bottom w:val="single" w:sz="4" w:space="0" w:color="auto"/>
              <w:right w:val="single" w:sz="4" w:space="0" w:color="auto"/>
            </w:tcBorders>
          </w:tcPr>
          <w:p w14:paraId="554E76BE" w14:textId="79861B34" w:rsidR="00CA3F21" w:rsidRPr="00BC1E46" w:rsidRDefault="007D71D6" w:rsidP="00AE4EFC">
            <w:pPr>
              <w:spacing w:after="0" w:line="240" w:lineRule="auto"/>
              <w:jc w:val="both"/>
              <w:rPr>
                <w:rFonts w:ascii="Times New Roman" w:eastAsia="Times New Roman" w:hAnsi="Times New Roman" w:cs="Times New Roman"/>
                <w:bCs/>
                <w:color w:val="FF0000"/>
                <w:sz w:val="24"/>
                <w:szCs w:val="24"/>
              </w:rPr>
            </w:pPr>
            <w:r w:rsidRPr="00AA1E99">
              <w:rPr>
                <w:rFonts w:ascii="Times New Roman" w:eastAsia="Times New Roman" w:hAnsi="Times New Roman" w:cs="Times New Roman"/>
                <w:sz w:val="24"/>
                <w:szCs w:val="24"/>
                <w:lang w:eastAsia="lv-LV"/>
              </w:rPr>
              <w:t xml:space="preserve">Noteikumu projekts attiecas uz </w:t>
            </w:r>
            <w:r w:rsidRPr="00AA1E99">
              <w:rPr>
                <w:rFonts w:ascii="Times New Roman" w:hAnsi="Times New Roman" w:cs="Times New Roman"/>
                <w:bCs/>
                <w:color w:val="000000" w:themeColor="text1"/>
                <w:sz w:val="24"/>
                <w:szCs w:val="24"/>
              </w:rPr>
              <w:t>Nacionālo veselības dienestu</w:t>
            </w:r>
            <w:r>
              <w:rPr>
                <w:rFonts w:ascii="Times New Roman" w:hAnsi="Times New Roman" w:cs="Times New Roman"/>
                <w:bCs/>
                <w:color w:val="000000" w:themeColor="text1"/>
                <w:sz w:val="24"/>
                <w:szCs w:val="24"/>
              </w:rPr>
              <w:t>. Noteikumu projekts</w:t>
            </w:r>
            <w:r>
              <w:rPr>
                <w:rFonts w:ascii="Times New Roman" w:hAnsi="Times New Roman" w:cs="Times New Roman"/>
                <w:sz w:val="24"/>
                <w:szCs w:val="24"/>
              </w:rPr>
              <w:t xml:space="preserve"> personu </w:t>
            </w:r>
            <w:r w:rsidRPr="007552F7">
              <w:rPr>
                <w:rFonts w:ascii="Times New Roman" w:hAnsi="Times New Roman" w:cs="Times New Roman"/>
                <w:sz w:val="24"/>
                <w:szCs w:val="24"/>
              </w:rPr>
              <w:t>tiesības un pienākumus saņemt veselības aprūpes pakalpojumu dalībvalstīs neietekmēs</w:t>
            </w:r>
            <w:r>
              <w:rPr>
                <w:rFonts w:ascii="Times New Roman" w:hAnsi="Times New Roman" w:cs="Times New Roman"/>
                <w:sz w:val="24"/>
                <w:szCs w:val="24"/>
              </w:rPr>
              <w:t>.</w:t>
            </w:r>
          </w:p>
        </w:tc>
      </w:tr>
      <w:tr w:rsidR="0055755B" w:rsidRPr="0055755B" w14:paraId="63982A56" w14:textId="77777777" w:rsidTr="004D7037">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1DB58EBD"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Tiesiskā regulējuma ietekme uz tautsaimniecību un administratīvo slogu</w:t>
            </w:r>
          </w:p>
        </w:tc>
        <w:tc>
          <w:tcPr>
            <w:tcW w:w="2969" w:type="pct"/>
            <w:tcBorders>
              <w:top w:val="single" w:sz="4" w:space="0" w:color="auto"/>
              <w:left w:val="single" w:sz="4" w:space="0" w:color="auto"/>
              <w:bottom w:val="single" w:sz="4" w:space="0" w:color="auto"/>
              <w:right w:val="single" w:sz="4" w:space="0" w:color="auto"/>
            </w:tcBorders>
            <w:hideMark/>
          </w:tcPr>
          <w:p w14:paraId="5931B922" w14:textId="0C27A221" w:rsidR="00AF30FC" w:rsidRPr="00BC1E46" w:rsidRDefault="007D71D6" w:rsidP="00AE4EFC">
            <w:pPr>
              <w:spacing w:after="0" w:line="240" w:lineRule="auto"/>
              <w:jc w:val="both"/>
              <w:rPr>
                <w:rFonts w:ascii="Times New Roman" w:eastAsia="Times New Roman" w:hAnsi="Times New Roman" w:cs="Times New Roman"/>
                <w:bCs/>
                <w:color w:val="FF0000"/>
                <w:sz w:val="24"/>
                <w:szCs w:val="24"/>
              </w:rPr>
            </w:pPr>
            <w:r w:rsidRPr="00797A6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am</w:t>
            </w:r>
            <w:r w:rsidRPr="00797A6C">
              <w:rPr>
                <w:rFonts w:ascii="Times New Roman" w:eastAsia="Times New Roman" w:hAnsi="Times New Roman" w:cs="Times New Roman"/>
                <w:sz w:val="24"/>
                <w:szCs w:val="24"/>
                <w:lang w:eastAsia="lv-LV"/>
              </w:rPr>
              <w:t xml:space="preserve"> nav ietekme</w:t>
            </w:r>
            <w:r>
              <w:rPr>
                <w:rFonts w:ascii="Times New Roman" w:eastAsia="Times New Roman" w:hAnsi="Times New Roman" w:cs="Times New Roman"/>
                <w:sz w:val="24"/>
                <w:szCs w:val="24"/>
                <w:lang w:eastAsia="lv-LV"/>
              </w:rPr>
              <w:t>s</w:t>
            </w:r>
            <w:r w:rsidRPr="00797A6C">
              <w:rPr>
                <w:rFonts w:ascii="Times New Roman" w:eastAsia="Times New Roman" w:hAnsi="Times New Roman" w:cs="Times New Roman"/>
                <w:sz w:val="24"/>
                <w:szCs w:val="24"/>
                <w:lang w:eastAsia="lv-LV"/>
              </w:rPr>
              <w:t xml:space="preserve"> uz administratīvo slogu,</w:t>
            </w:r>
            <w:r>
              <w:rPr>
                <w:rFonts w:ascii="Times New Roman" w:eastAsia="Times New Roman" w:hAnsi="Times New Roman" w:cs="Times New Roman"/>
                <w:sz w:val="24"/>
                <w:szCs w:val="24"/>
                <w:lang w:eastAsia="lv-LV"/>
              </w:rPr>
              <w:t xml:space="preserve"> </w:t>
            </w:r>
            <w:r w:rsidRPr="005B701E">
              <w:rPr>
                <w:rFonts w:ascii="Times New Roman" w:eastAsia="Times New Roman" w:hAnsi="Times New Roman" w:cs="Times New Roman"/>
                <w:sz w:val="24"/>
                <w:szCs w:val="24"/>
                <w:lang w:eastAsia="lv-LV"/>
              </w:rPr>
              <w:t xml:space="preserve">jo sabiedrības grupām un institūcijām </w:t>
            </w:r>
            <w:r w:rsidR="004F1EB0">
              <w:rPr>
                <w:rFonts w:ascii="Times New Roman" w:eastAsia="Times New Roman" w:hAnsi="Times New Roman" w:cs="Times New Roman"/>
                <w:sz w:val="24"/>
                <w:szCs w:val="24"/>
                <w:lang w:eastAsia="lv-LV"/>
              </w:rPr>
              <w:t xml:space="preserve">Noteikumu </w:t>
            </w:r>
            <w:r w:rsidRPr="005B701E">
              <w:rPr>
                <w:rFonts w:ascii="Times New Roman" w:eastAsia="Times New Roman" w:hAnsi="Times New Roman" w:cs="Times New Roman"/>
                <w:sz w:val="24"/>
                <w:szCs w:val="24"/>
                <w:lang w:eastAsia="lv-LV"/>
              </w:rPr>
              <w:t>projekta tiesiskais regulējums nemaina tiesības un pienākumus, kā arī veicamās darbības. Noteikumu projekts neierobežo konkurenci. Noteikumu projektam nav ietekmes</w:t>
            </w:r>
            <w:r w:rsidRPr="00797A6C">
              <w:rPr>
                <w:rFonts w:ascii="Times New Roman" w:eastAsia="Times New Roman" w:hAnsi="Times New Roman" w:cs="Times New Roman"/>
                <w:sz w:val="24"/>
                <w:szCs w:val="24"/>
                <w:lang w:eastAsia="lv-LV"/>
              </w:rPr>
              <w:t xml:space="preserve"> uz vidi.</w:t>
            </w:r>
          </w:p>
        </w:tc>
      </w:tr>
      <w:tr w:rsidR="0055755B" w:rsidRPr="0055755B" w14:paraId="54545A33" w14:textId="77777777" w:rsidTr="004D7037">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2756DEC2"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Administratīvo izmaksu monetārs novērtējums</w:t>
            </w:r>
          </w:p>
        </w:tc>
        <w:tc>
          <w:tcPr>
            <w:tcW w:w="2969" w:type="pct"/>
            <w:tcBorders>
              <w:top w:val="single" w:sz="4" w:space="0" w:color="auto"/>
              <w:left w:val="single" w:sz="4" w:space="0" w:color="auto"/>
              <w:bottom w:val="single" w:sz="4" w:space="0" w:color="auto"/>
              <w:right w:val="single" w:sz="4" w:space="0" w:color="auto"/>
            </w:tcBorders>
            <w:hideMark/>
          </w:tcPr>
          <w:p w14:paraId="4AAC7013" w14:textId="692207CA" w:rsidR="0007278B" w:rsidRPr="007D71D6" w:rsidRDefault="00647A6F" w:rsidP="00AE4EFC">
            <w:pPr>
              <w:spacing w:after="0" w:line="240" w:lineRule="auto"/>
              <w:jc w:val="both"/>
              <w:rPr>
                <w:rFonts w:ascii="Times New Roman" w:eastAsia="Times New Roman" w:hAnsi="Times New Roman" w:cs="Times New Roman"/>
                <w:bCs/>
                <w:sz w:val="24"/>
                <w:szCs w:val="24"/>
              </w:rPr>
            </w:pPr>
            <w:r w:rsidRPr="007D71D6">
              <w:rPr>
                <w:rFonts w:ascii="Times New Roman" w:hAnsi="Times New Roman" w:cs="Times New Roman"/>
                <w:bCs/>
                <w:sz w:val="24"/>
                <w:szCs w:val="24"/>
              </w:rPr>
              <w:t>Projekts šo jomu neskar.</w:t>
            </w:r>
          </w:p>
        </w:tc>
      </w:tr>
      <w:tr w:rsidR="0055755B" w:rsidRPr="0055755B" w14:paraId="001375C1" w14:textId="77777777" w:rsidTr="004D7037">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720" w:type="pct"/>
            <w:tcBorders>
              <w:top w:val="single" w:sz="4" w:space="0" w:color="auto"/>
              <w:left w:val="single" w:sz="4" w:space="0" w:color="auto"/>
              <w:bottom w:val="single" w:sz="4" w:space="0" w:color="auto"/>
              <w:right w:val="single" w:sz="4" w:space="0" w:color="auto"/>
            </w:tcBorders>
            <w:hideMark/>
          </w:tcPr>
          <w:p w14:paraId="1F633285"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Atbilstības izmaksu monetārs novērtējums</w:t>
            </w:r>
          </w:p>
        </w:tc>
        <w:tc>
          <w:tcPr>
            <w:tcW w:w="2969" w:type="pct"/>
            <w:tcBorders>
              <w:top w:val="single" w:sz="4" w:space="0" w:color="auto"/>
              <w:left w:val="single" w:sz="4" w:space="0" w:color="auto"/>
              <w:bottom w:val="single" w:sz="4" w:space="0" w:color="auto"/>
              <w:right w:val="single" w:sz="4" w:space="0" w:color="auto"/>
            </w:tcBorders>
            <w:hideMark/>
          </w:tcPr>
          <w:p w14:paraId="3B95E232" w14:textId="77777777" w:rsidR="0007278B" w:rsidRPr="007D71D6" w:rsidRDefault="0007278B" w:rsidP="00AE4EFC">
            <w:pPr>
              <w:spacing w:after="0" w:line="240" w:lineRule="auto"/>
              <w:jc w:val="both"/>
              <w:rPr>
                <w:rFonts w:ascii="Times New Roman" w:eastAsia="Times New Roman" w:hAnsi="Times New Roman" w:cs="Times New Roman"/>
                <w:bCs/>
                <w:sz w:val="24"/>
                <w:szCs w:val="24"/>
              </w:rPr>
            </w:pPr>
            <w:r w:rsidRPr="007D71D6">
              <w:rPr>
                <w:rFonts w:ascii="Times New Roman" w:hAnsi="Times New Roman" w:cs="Times New Roman"/>
                <w:bCs/>
                <w:sz w:val="24"/>
                <w:szCs w:val="24"/>
              </w:rPr>
              <w:t>Projekts šo jomu neskar.</w:t>
            </w:r>
          </w:p>
        </w:tc>
      </w:tr>
      <w:tr w:rsidR="0007278B" w:rsidRPr="0055755B" w14:paraId="2928B961" w14:textId="77777777" w:rsidTr="004D7037">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5.</w:t>
            </w:r>
          </w:p>
        </w:tc>
        <w:tc>
          <w:tcPr>
            <w:tcW w:w="1720" w:type="pct"/>
            <w:tcBorders>
              <w:top w:val="single" w:sz="4" w:space="0" w:color="auto"/>
              <w:left w:val="single" w:sz="4" w:space="0" w:color="auto"/>
              <w:bottom w:val="single" w:sz="4" w:space="0" w:color="auto"/>
              <w:right w:val="single" w:sz="4" w:space="0" w:color="auto"/>
            </w:tcBorders>
            <w:hideMark/>
          </w:tcPr>
          <w:p w14:paraId="5DC37B3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2F59F56A" w14:textId="77777777" w:rsidR="0007278B" w:rsidRPr="007D71D6" w:rsidRDefault="0007278B" w:rsidP="00AE4EFC">
            <w:pPr>
              <w:spacing w:after="0" w:line="240" w:lineRule="auto"/>
              <w:jc w:val="both"/>
              <w:rPr>
                <w:rFonts w:ascii="Times New Roman" w:eastAsia="Times New Roman" w:hAnsi="Times New Roman" w:cs="Times New Roman"/>
                <w:bCs/>
                <w:sz w:val="24"/>
                <w:szCs w:val="24"/>
              </w:rPr>
            </w:pPr>
            <w:r w:rsidRPr="007D71D6">
              <w:rPr>
                <w:rFonts w:ascii="Times New Roman" w:eastAsia="Times New Roman" w:hAnsi="Times New Roman" w:cs="Times New Roman"/>
                <w:bCs/>
                <w:sz w:val="24"/>
                <w:szCs w:val="24"/>
                <w:lang w:eastAsia="lv-LV"/>
              </w:rPr>
              <w:t>Nav.</w:t>
            </w:r>
          </w:p>
        </w:tc>
      </w:tr>
    </w:tbl>
    <w:p w14:paraId="725AA495" w14:textId="6C617ABE" w:rsidR="007E4536" w:rsidRDefault="007E4536" w:rsidP="00D856F7">
      <w:pPr>
        <w:spacing w:after="0" w:line="240" w:lineRule="auto"/>
        <w:rPr>
          <w:rFonts w:ascii="Times New Roman" w:eastAsia="Times New Roman" w:hAnsi="Times New Roman" w:cs="Times New Roman"/>
          <w:bCs/>
          <w:sz w:val="20"/>
          <w:szCs w:val="20"/>
          <w:lang w:eastAsia="lv-LV"/>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324"/>
        <w:gridCol w:w="963"/>
        <w:gridCol w:w="1323"/>
        <w:gridCol w:w="963"/>
        <w:gridCol w:w="1323"/>
        <w:gridCol w:w="1323"/>
      </w:tblGrid>
      <w:tr w:rsidR="007D71D6" w:rsidRPr="008B16AB" w14:paraId="7F06D673" w14:textId="77777777" w:rsidTr="0032421E">
        <w:trPr>
          <w:trHeight w:val="212"/>
        </w:trPr>
        <w:tc>
          <w:tcPr>
            <w:tcW w:w="9984"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C1A5E9" w14:textId="77777777" w:rsidR="007D71D6" w:rsidRPr="008B16AB" w:rsidRDefault="007D71D6" w:rsidP="00243E44">
            <w:pPr>
              <w:spacing w:after="0" w:line="240" w:lineRule="auto"/>
              <w:jc w:val="center"/>
              <w:rPr>
                <w:rFonts w:ascii="Times New Roman" w:eastAsia="Times New Roman" w:hAnsi="Times New Roman" w:cs="Times New Roman"/>
                <w:b/>
                <w:bCs/>
                <w:sz w:val="24"/>
                <w:szCs w:val="24"/>
                <w:lang w:eastAsia="lv-LV"/>
              </w:rPr>
            </w:pPr>
            <w:r w:rsidRPr="008B16AB">
              <w:rPr>
                <w:rFonts w:ascii="Times New Roman" w:eastAsia="Times New Roman" w:hAnsi="Times New Roman" w:cs="Times New Roman"/>
                <w:b/>
                <w:bCs/>
                <w:sz w:val="24"/>
                <w:szCs w:val="24"/>
                <w:lang w:eastAsia="lv-LV"/>
              </w:rPr>
              <w:t>III. Tiesību akta projekta ietekme uz valsts budžetu un pašvaldību budžetiem</w:t>
            </w:r>
          </w:p>
        </w:tc>
      </w:tr>
      <w:tr w:rsidR="007D71D6" w:rsidRPr="008B16AB" w14:paraId="6B584162" w14:textId="77777777" w:rsidTr="0032421E">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5DEEE4"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Rādītāji</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A27712"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w:t>
            </w:r>
            <w:r>
              <w:rPr>
                <w:rFonts w:ascii="Times New Roman" w:eastAsia="Times New Roman" w:hAnsi="Times New Roman" w:cs="Times New Roman"/>
                <w:bCs/>
                <w:sz w:val="24"/>
                <w:szCs w:val="24"/>
                <w:lang w:eastAsia="lv-LV"/>
              </w:rPr>
              <w:t>21</w:t>
            </w:r>
            <w:r w:rsidRPr="008B16AB">
              <w:rPr>
                <w:rFonts w:ascii="Times New Roman" w:eastAsia="Times New Roman" w:hAnsi="Times New Roman" w:cs="Times New Roman"/>
                <w:bCs/>
                <w:sz w:val="24"/>
                <w:szCs w:val="24"/>
                <w:lang w:eastAsia="lv-LV"/>
              </w:rPr>
              <w:t>. gads</w:t>
            </w:r>
          </w:p>
        </w:tc>
        <w:tc>
          <w:tcPr>
            <w:tcW w:w="589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BECA01"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Turpmākie trīs gadi (</w:t>
            </w:r>
            <w:r w:rsidRPr="008B16AB">
              <w:rPr>
                <w:rFonts w:ascii="Times New Roman" w:eastAsia="Times New Roman" w:hAnsi="Times New Roman" w:cs="Times New Roman"/>
                <w:i/>
                <w:iCs/>
                <w:sz w:val="24"/>
                <w:szCs w:val="24"/>
                <w:lang w:eastAsia="lv-LV"/>
              </w:rPr>
              <w:t>euro</w:t>
            </w:r>
            <w:r w:rsidRPr="008B16AB">
              <w:rPr>
                <w:rFonts w:ascii="Times New Roman" w:eastAsia="Times New Roman" w:hAnsi="Times New Roman" w:cs="Times New Roman"/>
                <w:sz w:val="24"/>
                <w:szCs w:val="24"/>
                <w:lang w:eastAsia="lv-LV"/>
              </w:rPr>
              <w:t>)</w:t>
            </w:r>
          </w:p>
        </w:tc>
      </w:tr>
      <w:tr w:rsidR="007D71D6" w:rsidRPr="008B16AB" w14:paraId="334EEF74" w14:textId="77777777" w:rsidTr="0032421E">
        <w:trPr>
          <w:trHeight w:val="300"/>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12F35"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p>
        </w:tc>
        <w:tc>
          <w:tcPr>
            <w:tcW w:w="23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CDF97"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EA8DCE"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2</w:t>
            </w:r>
          </w:p>
        </w:tc>
        <w:tc>
          <w:tcPr>
            <w:tcW w:w="22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4EEBAE"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55DE" w14:textId="77777777" w:rsidR="007D71D6" w:rsidRPr="008B16AB" w:rsidRDefault="007D71D6" w:rsidP="00243E44">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4</w:t>
            </w:r>
          </w:p>
        </w:tc>
      </w:tr>
      <w:tr w:rsidR="007D71D6" w:rsidRPr="000A16BF" w14:paraId="11DA1F48" w14:textId="77777777" w:rsidTr="0032421E">
        <w:trPr>
          <w:trHeight w:val="1785"/>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50BC1" w14:textId="77777777" w:rsidR="007D71D6" w:rsidRPr="008B16AB" w:rsidRDefault="007D71D6" w:rsidP="00243E44">
            <w:pPr>
              <w:spacing w:after="0" w:line="240" w:lineRule="auto"/>
              <w:jc w:val="center"/>
              <w:rPr>
                <w:rFonts w:ascii="Times New Roman" w:eastAsia="Times New Roman" w:hAnsi="Times New Roman" w:cs="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0EA6A"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valsts budžetu kārtējam gadam</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DD5BA"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05A8"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vidēja termiņa budžeta ietvaru</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EC3A4" w14:textId="2A169023"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Pr>
                <w:rFonts w:asciiTheme="majorBidi" w:eastAsia="Times New Roman" w:hAnsiTheme="majorBidi" w:cstheme="majorBidi"/>
                <w:sz w:val="24"/>
                <w:szCs w:val="24"/>
                <w:lang w:eastAsia="lv-LV"/>
              </w:rPr>
              <w:t>202</w:t>
            </w:r>
            <w:r w:rsidR="0032421E">
              <w:rPr>
                <w:rFonts w:asciiTheme="majorBidi" w:eastAsia="Times New Roman" w:hAnsiTheme="majorBidi" w:cstheme="majorBidi"/>
                <w:sz w:val="24"/>
                <w:szCs w:val="24"/>
                <w:lang w:eastAsia="lv-LV"/>
              </w:rPr>
              <w:t>2</w:t>
            </w:r>
            <w:r w:rsidRPr="000A16BF">
              <w:rPr>
                <w:rFonts w:asciiTheme="majorBidi" w:eastAsia="Times New Roman" w:hAnsiTheme="majorBidi" w:cstheme="majorBidi"/>
                <w:sz w:val="24"/>
                <w:szCs w:val="24"/>
                <w:lang w:eastAsia="lv-LV"/>
              </w:rPr>
              <w:t xml:space="preserve">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43A9A"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vidēja termiņa budžeta ietvaru</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8FF7B" w14:textId="444BE142"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Pr>
                <w:rFonts w:asciiTheme="majorBidi" w:eastAsia="Times New Roman" w:hAnsiTheme="majorBidi" w:cstheme="majorBidi"/>
                <w:sz w:val="24"/>
                <w:szCs w:val="24"/>
                <w:lang w:eastAsia="lv-LV"/>
              </w:rPr>
              <w:t>202</w:t>
            </w:r>
            <w:r w:rsidR="0032421E">
              <w:rPr>
                <w:rFonts w:asciiTheme="majorBidi" w:eastAsia="Times New Roman" w:hAnsiTheme="majorBidi" w:cstheme="majorBidi"/>
                <w:sz w:val="24"/>
                <w:szCs w:val="24"/>
                <w:lang w:eastAsia="lv-LV"/>
              </w:rPr>
              <w:t>3</w:t>
            </w:r>
            <w:r w:rsidRPr="000A16BF">
              <w:rPr>
                <w:rFonts w:asciiTheme="majorBidi" w:eastAsia="Times New Roman" w:hAnsiTheme="majorBidi" w:cstheme="majorBidi"/>
                <w:sz w:val="24"/>
                <w:szCs w:val="24"/>
                <w:lang w:eastAsia="lv-LV"/>
              </w:rPr>
              <w:t xml:space="preserve"> gadam</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1436" w14:textId="561C365F"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Pr>
                <w:rFonts w:asciiTheme="majorBidi" w:eastAsia="Times New Roman" w:hAnsiTheme="majorBidi" w:cstheme="majorBidi"/>
                <w:sz w:val="24"/>
                <w:szCs w:val="24"/>
                <w:lang w:eastAsia="lv-LV"/>
              </w:rPr>
              <w:t>202</w:t>
            </w:r>
            <w:r w:rsidR="0032421E">
              <w:rPr>
                <w:rFonts w:asciiTheme="majorBidi" w:eastAsia="Times New Roman" w:hAnsiTheme="majorBidi" w:cstheme="majorBidi"/>
                <w:sz w:val="24"/>
                <w:szCs w:val="24"/>
                <w:lang w:eastAsia="lv-LV"/>
              </w:rPr>
              <w:t>3</w:t>
            </w:r>
            <w:r>
              <w:rPr>
                <w:rFonts w:asciiTheme="majorBidi" w:eastAsia="Times New Roman" w:hAnsiTheme="majorBidi" w:cstheme="majorBidi"/>
                <w:sz w:val="24"/>
                <w:szCs w:val="24"/>
                <w:lang w:eastAsia="lv-LV"/>
              </w:rPr>
              <w:t xml:space="preserve"> </w:t>
            </w:r>
            <w:r w:rsidRPr="000A16BF">
              <w:rPr>
                <w:rFonts w:asciiTheme="majorBidi" w:eastAsia="Times New Roman" w:hAnsiTheme="majorBidi" w:cstheme="majorBidi"/>
                <w:sz w:val="24"/>
                <w:szCs w:val="24"/>
                <w:lang w:eastAsia="lv-LV"/>
              </w:rPr>
              <w:t>gadam</w:t>
            </w:r>
          </w:p>
        </w:tc>
      </w:tr>
      <w:tr w:rsidR="007D71D6" w:rsidRPr="000A16BF" w14:paraId="6B1F3A3C" w14:textId="77777777" w:rsidTr="0032421E">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EC174" w14:textId="77777777" w:rsidR="007D71D6" w:rsidRPr="008B16AB" w:rsidRDefault="007D71D6" w:rsidP="00243E44">
            <w:pPr>
              <w:spacing w:after="0" w:line="240" w:lineRule="auto"/>
              <w:jc w:val="center"/>
              <w:rPr>
                <w:rFonts w:ascii="Times New Roman" w:eastAsia="Times New Roman" w:hAnsi="Times New Roman" w:cs="Times New Roman"/>
                <w:sz w:val="20"/>
                <w:szCs w:val="20"/>
                <w:lang w:eastAsia="lv-LV"/>
              </w:rPr>
            </w:pPr>
            <w:r w:rsidRPr="008B16AB">
              <w:rPr>
                <w:rFonts w:ascii="Times New Roman" w:eastAsia="Times New Roman" w:hAnsi="Times New Roman" w:cs="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0771A"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2</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5F2F1"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5E0DE"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06BE7"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87327"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6</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69122"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7</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AA9C2"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8</w:t>
            </w:r>
          </w:p>
        </w:tc>
      </w:tr>
      <w:tr w:rsidR="0032421E" w:rsidRPr="000A16BF" w14:paraId="0A9978A6" w14:textId="77777777" w:rsidTr="0032421E">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280A09EF"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lastRenderedPageBreak/>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242BCC4D" w14:textId="77777777"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140 527</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3F495B79" w14:textId="334D9CE5"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7C46FEF4" w14:textId="77777777" w:rsidR="0032421E" w:rsidRPr="000A16BF" w:rsidRDefault="0032421E" w:rsidP="0032421E">
            <w:pPr>
              <w:spacing w:after="0" w:line="240" w:lineRule="auto"/>
              <w:ind w:left="-65"/>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148 666</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4AAFDA37" w14:textId="7E213217"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57534852" w14:textId="77777777" w:rsidR="0032421E" w:rsidRPr="000A16BF" w:rsidRDefault="0032421E" w:rsidP="0032421E">
            <w:pPr>
              <w:spacing w:after="0" w:line="240" w:lineRule="auto"/>
              <w:ind w:left="-68"/>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139 927</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310A518C" w14:textId="2B5D2849"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73E746F1" w14:textId="726A1E0F"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r>
      <w:tr w:rsidR="0032421E" w:rsidRPr="000A16BF" w14:paraId="192C7CB0" w14:textId="77777777" w:rsidTr="0032421E">
        <w:trPr>
          <w:trHeight w:val="728"/>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CB63DC4"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66C4A4A" w14:textId="77777777"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140 527</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6ADAA9" w14:textId="740FDB2E"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553872B" w14:textId="77777777" w:rsidR="0032421E" w:rsidRPr="000A16BF" w:rsidRDefault="0032421E" w:rsidP="0032421E">
            <w:pPr>
              <w:spacing w:after="0" w:line="240" w:lineRule="auto"/>
              <w:ind w:left="-65"/>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148 666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756D8A" w14:textId="3641AB75"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3F816B5" w14:textId="77777777" w:rsidR="0032421E" w:rsidRPr="000A16BF" w:rsidRDefault="0032421E" w:rsidP="0032421E">
            <w:pPr>
              <w:spacing w:after="0" w:line="240" w:lineRule="auto"/>
              <w:ind w:left="-68"/>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139 927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F8BF3D9" w14:textId="2502E0A0"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7169A5B" w14:textId="425ECAF8"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heme="majorBidi" w:eastAsia="Times New Roman" w:hAnsiTheme="majorBidi" w:cstheme="majorBidi"/>
                <w:sz w:val="24"/>
                <w:szCs w:val="24"/>
                <w:lang w:eastAsia="lv-LV"/>
              </w:rPr>
              <w:t>nav precīzi aprēķināms</w:t>
            </w:r>
          </w:p>
        </w:tc>
      </w:tr>
      <w:tr w:rsidR="007D71D6" w:rsidRPr="000A16BF" w14:paraId="47060275"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AB8276E"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65CD8957"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91ABB67"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31942E5E"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1CC39EB9"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17ACD921"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5D128A1F"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2B49BDE0"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7D71D6" w:rsidRPr="000A16BF" w14:paraId="0C3A6ECF"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C99124D"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275FFEF9"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28C5589F"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35E58E26"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428B1F19"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6E34CD02"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7AA9B824"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5C0A2501"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32421E" w:rsidRPr="000A16BF" w14:paraId="3D398C56" w14:textId="77777777" w:rsidTr="0032421E">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8B9ADB4"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6499633" w14:textId="77777777"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140 527</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0140B21" w14:textId="2D6A82CB"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BFBBA57" w14:textId="77777777" w:rsidR="0032421E" w:rsidRPr="000A16BF" w:rsidRDefault="0032421E" w:rsidP="0032421E">
            <w:pPr>
              <w:spacing w:after="0" w:line="240" w:lineRule="auto"/>
              <w:ind w:left="-65"/>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148 666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3289524" w14:textId="43394C3F"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6EE5188" w14:textId="77777777" w:rsidR="0032421E" w:rsidRPr="000A16BF" w:rsidRDefault="0032421E" w:rsidP="0032421E">
            <w:pPr>
              <w:spacing w:after="0" w:line="240" w:lineRule="auto"/>
              <w:ind w:left="-68"/>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139 927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FBAA4DF" w14:textId="2DD2F6D3"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653F060" w14:textId="0F163152"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32421E" w:rsidRPr="000A16BF" w14:paraId="2A6BA3A0"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3C98393"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4C9916B" w14:textId="77777777"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140 527</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3DC88BF" w14:textId="2DE4787A"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E76B6D1" w14:textId="77777777" w:rsidR="0032421E" w:rsidRPr="000A16BF" w:rsidRDefault="0032421E" w:rsidP="0032421E">
            <w:pPr>
              <w:spacing w:after="0" w:line="240" w:lineRule="auto"/>
              <w:ind w:left="-65"/>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148 666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B5048F0" w14:textId="0BC62EB1"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20B174D" w14:textId="77777777" w:rsidR="0032421E" w:rsidRPr="000A16BF" w:rsidRDefault="0032421E" w:rsidP="0032421E">
            <w:pPr>
              <w:spacing w:after="0" w:line="240" w:lineRule="auto"/>
              <w:ind w:left="-68"/>
              <w:jc w:val="center"/>
              <w:rPr>
                <w:rFonts w:asciiTheme="majorBidi" w:eastAsia="Times New Roman" w:hAnsiTheme="majorBidi" w:cstheme="majorBidi"/>
                <w:sz w:val="24"/>
                <w:szCs w:val="24"/>
                <w:lang w:eastAsia="lv-LV"/>
              </w:rPr>
            </w:pPr>
            <w:r w:rsidRPr="005C53D3">
              <w:rPr>
                <w:rFonts w:ascii="Times New Roman" w:eastAsia="Times New Roman" w:hAnsi="Times New Roman" w:cs="Times New Roman"/>
                <w:sz w:val="24"/>
                <w:szCs w:val="24"/>
                <w:lang w:eastAsia="lv-LV"/>
              </w:rPr>
              <w:t>139 927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E899F0A" w14:textId="5367AA59"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0A73A13" w14:textId="74240F6C" w:rsidR="0032421E" w:rsidRPr="000A16BF" w:rsidRDefault="0032421E" w:rsidP="0032421E">
            <w:pPr>
              <w:spacing w:after="0" w:line="240" w:lineRule="auto"/>
              <w:jc w:val="center"/>
              <w:rPr>
                <w:rFonts w:asciiTheme="majorBidi" w:eastAsia="Times New Roman" w:hAnsiTheme="majorBidi" w:cstheme="majorBidi"/>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7D71D6" w:rsidRPr="000A16BF" w14:paraId="433E7B3F"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E70F7DB"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EE183E2"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C8D45F3"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2C154BF"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DCD238"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B7975FA"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AFC42C"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B05A959" w14:textId="77777777" w:rsidR="007D71D6" w:rsidRPr="000A16BF" w:rsidRDefault="007D71D6" w:rsidP="00243E4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7D71D6" w:rsidRPr="008B16AB" w14:paraId="5BDD747B"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F0AF767"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2C20A40"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9101F4E"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A8DB61A"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98FB0DA"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88077E2"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83E706"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642CDC9"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2421E" w:rsidRPr="008B16AB" w14:paraId="315A81BD" w14:textId="77777777" w:rsidTr="0032421E">
        <w:trPr>
          <w:trHeight w:val="222"/>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9CA7211"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686D8C8"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E374BFF" w14:textId="14FE05E6"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A6B3938"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E7F1367" w14:textId="30FAFE40"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C182C22"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620CC3" w14:textId="4985BAAC"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A906AB6" w14:textId="5ED1CB6C"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32421E" w:rsidRPr="008B16AB" w14:paraId="54FF7D3C"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82FFD48"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414BA40"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A3A1646" w14:textId="3D679D0D"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17539EB"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93BD8F1" w14:textId="085044AA"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7FE7708"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2953D0" w14:textId="6C6230AC"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481073D" w14:textId="1320FDAF"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7D71D6" w:rsidRPr="008B16AB" w14:paraId="0D6FD30A" w14:textId="77777777" w:rsidTr="0032421E">
        <w:trPr>
          <w:trHeight w:val="32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744AF9"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06D2D0A"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765B8C5"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46E12C3"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D2C1B1"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95D90FF"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905D7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E5EFF2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71D6" w:rsidRPr="008B16AB" w14:paraId="4CAF7E4B"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5FFE5E0"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522818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7D069B1"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1738DF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91AB87E"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124793C"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F4BED3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ED8C2A2"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71D6" w:rsidRPr="008B16AB" w14:paraId="3CBAFE8F" w14:textId="77777777" w:rsidTr="0032421E">
        <w:trPr>
          <w:trHeight w:val="8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DB9EA49" w14:textId="3FC02536" w:rsidR="007D71D6" w:rsidRDefault="007D71D6" w:rsidP="007D71D6">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4. Finanšu līdzekļi papildu izdevumu finansēšanai (kompensējošu izdevumu samazinājumu norāda ar "+" zīmi)</w:t>
            </w:r>
          </w:p>
          <w:p w14:paraId="705DCC35" w14:textId="77777777" w:rsidR="007D71D6" w:rsidRPr="005C53D3" w:rsidRDefault="007D71D6" w:rsidP="00243E44">
            <w:pPr>
              <w:jc w:val="center"/>
              <w:rPr>
                <w:rFonts w:ascii="Times New Roman" w:eastAsia="Times New Roman" w:hAnsi="Times New Roman" w:cs="Times New Roman"/>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96FF75A"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7711954" w14:textId="4FD46134" w:rsidR="007D71D6" w:rsidRPr="005C53D3" w:rsidRDefault="0032421E" w:rsidP="00243E44">
            <w:pPr>
              <w:pStyle w:val="ListParagraph"/>
              <w:spacing w:after="0" w:line="240" w:lineRule="auto"/>
              <w:ind w:left="1"/>
              <w:rPr>
                <w:rFonts w:ascii="Times New Roman" w:eastAsia="Times New Roman" w:hAnsi="Times New Roman" w:cs="Times New Roman"/>
                <w:sz w:val="24"/>
                <w:szCs w:val="24"/>
                <w:lang w:eastAsia="lv-LV"/>
              </w:rPr>
            </w:pPr>
            <w:r w:rsidRPr="005E2A02">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8E578FF"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65F7B11" w14:textId="48D8B648" w:rsidR="007D71D6" w:rsidRPr="008B16AB" w:rsidRDefault="0032421E" w:rsidP="00243E44">
            <w:pPr>
              <w:spacing w:after="0" w:line="240" w:lineRule="auto"/>
              <w:jc w:val="center"/>
              <w:rPr>
                <w:rFonts w:ascii="Times New Roman" w:eastAsia="Times New Roman" w:hAnsi="Times New Roman" w:cs="Times New Roman"/>
                <w:sz w:val="24"/>
                <w:szCs w:val="24"/>
                <w:lang w:eastAsia="lv-LV"/>
              </w:rPr>
            </w:pPr>
            <w:r w:rsidRPr="005E2A02">
              <w:rPr>
                <w:rFonts w:ascii="Times New Roman" w:eastAsia="Times New Roman" w:hAnsi="Times New Roman" w:cs="Times New Roman"/>
                <w:sz w:val="24"/>
                <w:szCs w:val="24"/>
                <w:lang w:eastAsia="lv-LV"/>
              </w:rPr>
              <w:t>nav precīzi aprēķināms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801305C"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A93CEB" w14:textId="3FFBC347" w:rsidR="007D71D6" w:rsidRPr="008B16AB" w:rsidRDefault="0032421E" w:rsidP="00243E44">
            <w:pPr>
              <w:spacing w:after="0" w:line="240" w:lineRule="auto"/>
              <w:jc w:val="center"/>
              <w:rPr>
                <w:rFonts w:ascii="Times New Roman" w:eastAsia="Times New Roman" w:hAnsi="Times New Roman" w:cs="Times New Roman"/>
                <w:sz w:val="24"/>
                <w:szCs w:val="24"/>
                <w:lang w:eastAsia="lv-LV"/>
              </w:rPr>
            </w:pPr>
            <w:r w:rsidRPr="005E2A02">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792FB2E" w14:textId="198F9728" w:rsidR="007D71D6" w:rsidRPr="008B16AB" w:rsidRDefault="0032421E" w:rsidP="00243E44">
            <w:pPr>
              <w:spacing w:after="0" w:line="240" w:lineRule="auto"/>
              <w:jc w:val="center"/>
              <w:rPr>
                <w:rFonts w:ascii="Times New Roman" w:eastAsia="Times New Roman" w:hAnsi="Times New Roman" w:cs="Times New Roman"/>
                <w:sz w:val="24"/>
                <w:szCs w:val="24"/>
                <w:lang w:eastAsia="lv-LV"/>
              </w:rPr>
            </w:pPr>
            <w:r w:rsidRPr="005E2A02">
              <w:rPr>
                <w:rFonts w:ascii="Times New Roman" w:eastAsia="Times New Roman" w:hAnsi="Times New Roman" w:cs="Times New Roman"/>
                <w:sz w:val="24"/>
                <w:szCs w:val="24"/>
                <w:lang w:eastAsia="lv-LV"/>
              </w:rPr>
              <w:t>nav precīzi aprēķināms</w:t>
            </w:r>
          </w:p>
        </w:tc>
      </w:tr>
      <w:tr w:rsidR="0032421E" w:rsidRPr="008B16AB" w14:paraId="6571AAB8"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CC48E89"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tcPr>
          <w:p w14:paraId="4B9D0EC3"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34C2561" w14:textId="6560105E"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14:paraId="7B42F292"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60C04D" w14:textId="3C12378C"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cPr>
          <w:p w14:paraId="64BE2E26"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D6263" w14:textId="233FB345"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9B4501A" w14:textId="724C6066"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32421E" w:rsidRPr="008B16AB" w14:paraId="1541BBBA"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4AF344D"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76578C" w14:textId="77777777" w:rsidR="0032421E" w:rsidRPr="008B16AB" w:rsidRDefault="0032421E" w:rsidP="0032421E">
            <w:pPr>
              <w:spacing w:after="0" w:line="240" w:lineRule="auto"/>
              <w:rPr>
                <w:rFonts w:ascii="Times New Roman" w:eastAsia="Times New Roman" w:hAnsi="Times New Roman" w:cs="Times New Roman"/>
                <w:sz w:val="24"/>
                <w:szCs w:val="24"/>
                <w:lang w:eastAsia="lv-LV"/>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7096D14" w14:textId="693ECCBC"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A5C39"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5A0ED3E" w14:textId="237584D2"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A4B26" w14:textId="77777777"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AE1D2AA" w14:textId="22B32A4E"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45B7FC7" w14:textId="63D4AB25" w:rsidR="0032421E" w:rsidRPr="008B16AB" w:rsidRDefault="0032421E" w:rsidP="0032421E">
            <w:pPr>
              <w:spacing w:after="0" w:line="240" w:lineRule="auto"/>
              <w:jc w:val="center"/>
              <w:rPr>
                <w:rFonts w:ascii="Times New Roman" w:eastAsia="Times New Roman" w:hAnsi="Times New Roman" w:cs="Times New Roman"/>
                <w:sz w:val="24"/>
                <w:szCs w:val="24"/>
                <w:lang w:eastAsia="lv-LV"/>
              </w:rPr>
            </w:pPr>
            <w:r w:rsidRPr="00784604">
              <w:rPr>
                <w:rFonts w:ascii="Times New Roman" w:eastAsia="Times New Roman" w:hAnsi="Times New Roman" w:cs="Times New Roman"/>
                <w:sz w:val="24"/>
                <w:szCs w:val="24"/>
                <w:lang w:eastAsia="lv-LV"/>
              </w:rPr>
              <w:t>nav precīzi aprēķināms</w:t>
            </w:r>
          </w:p>
        </w:tc>
      </w:tr>
      <w:tr w:rsidR="007D71D6" w:rsidRPr="008B16AB" w14:paraId="2CD2C926" w14:textId="77777777" w:rsidTr="0032421E">
        <w:trPr>
          <w:trHeight w:val="21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5CB9E86"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8D26E3"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519B2C0"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EB32E2"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B0BFEB7"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377A8F"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965B61C"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E083B2B"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71D6" w:rsidRPr="008B16AB" w14:paraId="4593FD79"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D7B7931"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52417"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5A677A6"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8E75C"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E075E9"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83C0A"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7C44804"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00B8903" w14:textId="77777777" w:rsidR="007D71D6" w:rsidRPr="008B16AB" w:rsidRDefault="007D71D6" w:rsidP="00243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71D6" w:rsidRPr="00F03576" w14:paraId="74A80844" w14:textId="77777777" w:rsidTr="0032421E">
        <w:trPr>
          <w:trHeight w:val="186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96FEC70"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827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3C73F5E7"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MK protokollēmum</w:t>
            </w:r>
            <w:r w:rsidRPr="00C42BA0">
              <w:rPr>
                <w:rFonts w:ascii="Times New Roman" w:eastAsia="Times New Roman" w:hAnsi="Times New Roman" w:cs="Times New Roman"/>
                <w:sz w:val="24"/>
                <w:szCs w:val="24"/>
                <w:lang w:eastAsia="lv-LV"/>
              </w:rPr>
              <w:t>a Nr.20 36.§</w:t>
            </w:r>
            <w:r>
              <w:rPr>
                <w:rFonts w:ascii="Times New Roman" w:eastAsia="Times New Roman" w:hAnsi="Times New Roman" w:cs="Times New Roman"/>
                <w:sz w:val="24"/>
                <w:szCs w:val="24"/>
                <w:lang w:eastAsia="lv-LV"/>
              </w:rPr>
              <w:t xml:space="preserve"> 1. punktu tika atbalstīts informatīvajā ziņojumā “</w:t>
            </w:r>
            <w:r w:rsidRPr="00F673C3">
              <w:rPr>
                <w:rFonts w:ascii="Times New Roman" w:eastAsia="Times New Roman" w:hAnsi="Times New Roman" w:cs="Times New Roman"/>
                <w:sz w:val="24"/>
                <w:szCs w:val="24"/>
                <w:lang w:eastAsia="lv-LV"/>
              </w:rPr>
              <w:t>Par finansējuma piešķiršanu Eiropas Savienības Sociālās drošības informācijas elektroniskas apmaiņas nodrošināšanai</w:t>
            </w:r>
            <w:r>
              <w:rPr>
                <w:rFonts w:ascii="Times New Roman" w:eastAsia="Times New Roman" w:hAnsi="Times New Roman" w:cs="Times New Roman"/>
                <w:sz w:val="24"/>
                <w:szCs w:val="24"/>
                <w:lang w:eastAsia="lv-LV"/>
              </w:rPr>
              <w:t>”</w:t>
            </w:r>
            <w:r w:rsidRPr="00F673C3">
              <w:rPr>
                <w:rFonts w:ascii="Times New Roman" w:eastAsia="Times New Roman" w:hAnsi="Times New Roman" w:cs="Times New Roman"/>
                <w:sz w:val="24"/>
                <w:szCs w:val="24"/>
                <w:lang w:eastAsia="lv-LV"/>
              </w:rPr>
              <w:t xml:space="preserve"> ietvert</w:t>
            </w:r>
            <w:r>
              <w:rPr>
                <w:rFonts w:ascii="Times New Roman" w:eastAsia="Times New Roman" w:hAnsi="Times New Roman" w:cs="Times New Roman"/>
                <w:sz w:val="24"/>
                <w:szCs w:val="24"/>
                <w:lang w:eastAsia="lv-LV"/>
              </w:rPr>
              <w:t>ais</w:t>
            </w:r>
            <w:r w:rsidRPr="00F673C3">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xml:space="preserve"> </w:t>
            </w:r>
            <w:r w:rsidRPr="00F673C3">
              <w:rPr>
                <w:rFonts w:ascii="Times New Roman" w:eastAsia="Times New Roman" w:hAnsi="Times New Roman" w:cs="Times New Roman"/>
                <w:sz w:val="24"/>
                <w:szCs w:val="24"/>
                <w:lang w:eastAsia="lv-LV"/>
              </w:rPr>
              <w:t>risinājum</w:t>
            </w:r>
            <w:r>
              <w:rPr>
                <w:rFonts w:ascii="Times New Roman" w:eastAsia="Times New Roman" w:hAnsi="Times New Roman" w:cs="Times New Roman"/>
                <w:sz w:val="24"/>
                <w:szCs w:val="24"/>
                <w:lang w:eastAsia="lv-LV"/>
              </w:rPr>
              <w:t>s</w:t>
            </w:r>
            <w:r w:rsidRPr="00F673C3">
              <w:rPr>
                <w:rFonts w:ascii="Times New Roman" w:eastAsia="Times New Roman" w:hAnsi="Times New Roman" w:cs="Times New Roman"/>
                <w:sz w:val="24"/>
                <w:szCs w:val="24"/>
                <w:lang w:eastAsia="lv-LV"/>
              </w:rPr>
              <w:t xml:space="preserve"> - Centralizētais risinājums</w:t>
            </w:r>
            <w:r>
              <w:rPr>
                <w:rFonts w:ascii="Times New Roman" w:eastAsia="Times New Roman" w:hAnsi="Times New Roman" w:cs="Times New Roman"/>
                <w:sz w:val="24"/>
                <w:szCs w:val="24"/>
                <w:lang w:eastAsia="lv-LV"/>
              </w:rPr>
              <w:t>. Risinājums paredz vairāku ES dalībvalstu kopīgu ārējā izstrādātāja iepirkumu turpmākai RINA programmatūras uzturēšanai un attīstībai.</w:t>
            </w:r>
          </w:p>
          <w:p w14:paraId="47AD62A7"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p>
          <w:p w14:paraId="61AE824C"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r w:rsidRPr="00F673C3">
              <w:rPr>
                <w:rFonts w:ascii="Times New Roman" w:eastAsia="Times New Roman" w:hAnsi="Times New Roman" w:cs="Times New Roman"/>
                <w:sz w:val="24"/>
                <w:szCs w:val="24"/>
                <w:lang w:eastAsia="lv-LV"/>
              </w:rPr>
              <w:t>EK izveidotajā darba grupā par RINA programmatūras izstrādes un uzturēšanas nodošanu dalībvalstīm uzsvars tiek likts uz šo risinājumu, tādēļ EK sniedz palīdzību kopējā iepirkuma organizēšanā. EK provizoriski aprēķinātās izmaksas šī risinājuma gadījumā ir: vienreizējās - 28 397</w:t>
            </w:r>
            <w:r w:rsidRPr="00741923">
              <w:rPr>
                <w:rFonts w:ascii="Times New Roman" w:eastAsia="Times New Roman" w:hAnsi="Times New Roman" w:cs="Times New Roman"/>
                <w:i/>
                <w:iCs/>
                <w:sz w:val="24"/>
                <w:szCs w:val="24"/>
                <w:lang w:eastAsia="lv-LV"/>
              </w:rPr>
              <w:t xml:space="preserve"> euro</w:t>
            </w:r>
            <w:r w:rsidRPr="00F673C3">
              <w:rPr>
                <w:rFonts w:ascii="Times New Roman" w:eastAsia="Times New Roman" w:hAnsi="Times New Roman" w:cs="Times New Roman"/>
                <w:sz w:val="24"/>
                <w:szCs w:val="24"/>
                <w:lang w:eastAsia="lv-LV"/>
              </w:rPr>
              <w:t xml:space="preserve">, ikgadējās – 242 806 </w:t>
            </w:r>
            <w:r w:rsidRPr="00741923">
              <w:rPr>
                <w:rFonts w:ascii="Times New Roman" w:eastAsia="Times New Roman" w:hAnsi="Times New Roman" w:cs="Times New Roman"/>
                <w:i/>
                <w:iCs/>
                <w:sz w:val="24"/>
                <w:szCs w:val="24"/>
                <w:lang w:eastAsia="lv-LV"/>
              </w:rPr>
              <w:t>euro</w:t>
            </w:r>
            <w:r w:rsidRPr="00F673C3">
              <w:rPr>
                <w:rFonts w:ascii="Times New Roman" w:eastAsia="Times New Roman" w:hAnsi="Times New Roman" w:cs="Times New Roman"/>
                <w:sz w:val="24"/>
                <w:szCs w:val="24"/>
                <w:lang w:eastAsia="lv-LV"/>
              </w:rPr>
              <w:t xml:space="preserve"> no dalībvalsts. Šīs izmaksas saistītas ar RINA programmatūras uzturēšanu un attīstību, tomēr tās ir atkarīgas no tā, cik daudzas valstis pievienosies šim risinājumam un kādas cenas piedāvās konkursa uzvarētājs. Šobrīd šo risinājum</w:t>
            </w:r>
            <w:r>
              <w:rPr>
                <w:rFonts w:ascii="Times New Roman" w:eastAsia="Times New Roman" w:hAnsi="Times New Roman" w:cs="Times New Roman"/>
                <w:sz w:val="24"/>
                <w:szCs w:val="24"/>
                <w:lang w:eastAsia="lv-LV"/>
              </w:rPr>
              <w:t>u</w:t>
            </w:r>
            <w:r w:rsidRPr="00F673C3">
              <w:rPr>
                <w:rFonts w:ascii="Times New Roman" w:eastAsia="Times New Roman" w:hAnsi="Times New Roman" w:cs="Times New Roman"/>
                <w:sz w:val="24"/>
                <w:szCs w:val="24"/>
                <w:lang w:eastAsia="lv-LV"/>
              </w:rPr>
              <w:t xml:space="preserve"> izskata ap 18 valstu, arī  Lietuva.</w:t>
            </w:r>
          </w:p>
          <w:p w14:paraId="7EC99172"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p>
          <w:p w14:paraId="15DDBB93"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r w:rsidRPr="005C53D3">
              <w:rPr>
                <w:rFonts w:ascii="Times New Roman" w:eastAsia="Times New Roman" w:hAnsi="Times New Roman" w:cs="Times New Roman"/>
                <w:sz w:val="24"/>
                <w:szCs w:val="24"/>
                <w:lang w:eastAsia="lv-LV"/>
              </w:rPr>
              <w:t>Likumā “Par valsts budžetu 2021.gadam” un likumā “Par vidēja termiņa budžeta ietvaru 2021., 2022. un 2023.gadam” Veselības ministrijas budžet</w:t>
            </w:r>
            <w:r>
              <w:rPr>
                <w:rFonts w:ascii="Times New Roman" w:eastAsia="Times New Roman" w:hAnsi="Times New Roman" w:cs="Times New Roman"/>
                <w:sz w:val="24"/>
                <w:szCs w:val="24"/>
                <w:lang w:eastAsia="lv-LV"/>
              </w:rPr>
              <w:t>a</w:t>
            </w:r>
            <w:r w:rsidRPr="005C53D3">
              <w:rPr>
                <w:rFonts w:ascii="Times New Roman" w:eastAsia="Times New Roman" w:hAnsi="Times New Roman" w:cs="Times New Roman"/>
                <w:sz w:val="24"/>
                <w:szCs w:val="24"/>
                <w:lang w:eastAsia="lv-LV"/>
              </w:rPr>
              <w:t xml:space="preserve"> apakšprogrammā 45.01.00 “Veselības aprūpes finansējuma administrēšana un ekonomiskā novērtēšana” ir </w:t>
            </w:r>
            <w:r>
              <w:rPr>
                <w:rFonts w:ascii="Times New Roman" w:eastAsia="Times New Roman" w:hAnsi="Times New Roman" w:cs="Times New Roman"/>
                <w:sz w:val="24"/>
                <w:szCs w:val="24"/>
                <w:lang w:eastAsia="lv-LV"/>
              </w:rPr>
              <w:t>paredzēts</w:t>
            </w:r>
            <w:r w:rsidRPr="005C53D3">
              <w:rPr>
                <w:rFonts w:ascii="Times New Roman" w:eastAsia="Times New Roman" w:hAnsi="Times New Roman" w:cs="Times New Roman"/>
                <w:sz w:val="24"/>
                <w:szCs w:val="24"/>
                <w:lang w:eastAsia="lv-LV"/>
              </w:rPr>
              <w:t xml:space="preserve"> finansējums 2021.gadam 140 527 </w:t>
            </w:r>
            <w:r w:rsidRPr="00741923">
              <w:rPr>
                <w:rFonts w:ascii="Times New Roman" w:eastAsia="Times New Roman" w:hAnsi="Times New Roman" w:cs="Times New Roman"/>
                <w:i/>
                <w:iCs/>
                <w:sz w:val="24"/>
                <w:szCs w:val="24"/>
                <w:lang w:eastAsia="lv-LV"/>
              </w:rPr>
              <w:t>euro</w:t>
            </w:r>
            <w:r w:rsidRPr="005C53D3">
              <w:rPr>
                <w:rFonts w:ascii="Times New Roman" w:eastAsia="Times New Roman" w:hAnsi="Times New Roman" w:cs="Times New Roman"/>
                <w:sz w:val="24"/>
                <w:szCs w:val="24"/>
                <w:lang w:eastAsia="lv-LV"/>
              </w:rPr>
              <w:t xml:space="preserve"> apmērā, 2022.gadam 148 666 </w:t>
            </w:r>
            <w:r w:rsidRPr="00741923">
              <w:rPr>
                <w:rFonts w:ascii="Times New Roman" w:eastAsia="Times New Roman" w:hAnsi="Times New Roman" w:cs="Times New Roman"/>
                <w:i/>
                <w:iCs/>
                <w:sz w:val="24"/>
                <w:szCs w:val="24"/>
                <w:lang w:eastAsia="lv-LV"/>
              </w:rPr>
              <w:t>euro</w:t>
            </w:r>
            <w:r w:rsidRPr="005C53D3">
              <w:rPr>
                <w:rFonts w:ascii="Times New Roman" w:eastAsia="Times New Roman" w:hAnsi="Times New Roman" w:cs="Times New Roman"/>
                <w:sz w:val="24"/>
                <w:szCs w:val="24"/>
                <w:lang w:eastAsia="lv-LV"/>
              </w:rPr>
              <w:t xml:space="preserve"> apmērā un 2023.gadam un turpmāk ik gadu 139 927 </w:t>
            </w:r>
            <w:r w:rsidRPr="00741923">
              <w:rPr>
                <w:rFonts w:ascii="Times New Roman" w:eastAsia="Times New Roman" w:hAnsi="Times New Roman" w:cs="Times New Roman"/>
                <w:i/>
                <w:iCs/>
                <w:sz w:val="24"/>
                <w:szCs w:val="24"/>
                <w:lang w:eastAsia="lv-LV"/>
              </w:rPr>
              <w:t>euro</w:t>
            </w:r>
            <w:r w:rsidRPr="005C53D3">
              <w:rPr>
                <w:rFonts w:ascii="Times New Roman" w:eastAsia="Times New Roman" w:hAnsi="Times New Roman" w:cs="Times New Roman"/>
                <w:sz w:val="24"/>
                <w:szCs w:val="24"/>
                <w:lang w:eastAsia="lv-LV"/>
              </w:rPr>
              <w:t xml:space="preserve"> apmērā, lai nodrošinātu LatEESSI projekta ietvaros izveidoto sistēmu (</w:t>
            </w:r>
            <w:r w:rsidRPr="00027657">
              <w:rPr>
                <w:rFonts w:ascii="Times New Roman" w:eastAsia="Times New Roman" w:hAnsi="Times New Roman" w:cs="Times New Roman"/>
                <w:sz w:val="24"/>
                <w:szCs w:val="24"/>
                <w:lang w:eastAsia="lv-LV"/>
              </w:rPr>
              <w:t>Starptautiskās sadarbības informācijas sistēma)</w:t>
            </w:r>
            <w:r w:rsidRPr="005C53D3">
              <w:rPr>
                <w:rFonts w:ascii="Times New Roman" w:eastAsia="Times New Roman" w:hAnsi="Times New Roman" w:cs="Times New Roman"/>
                <w:sz w:val="24"/>
                <w:szCs w:val="24"/>
                <w:lang w:eastAsia="lv-LV"/>
              </w:rPr>
              <w:t xml:space="preserve"> un RINA tehniskā risinājuma uzturēšanu.</w:t>
            </w:r>
          </w:p>
          <w:p w14:paraId="7671C54D" w14:textId="77777777" w:rsidR="006D15C8" w:rsidRDefault="006D15C8" w:rsidP="006D15C8">
            <w:pPr>
              <w:spacing w:after="0" w:line="240" w:lineRule="auto"/>
              <w:jc w:val="both"/>
              <w:rPr>
                <w:rFonts w:ascii="Times New Roman" w:eastAsia="Times New Roman" w:hAnsi="Times New Roman" w:cs="Times New Roman"/>
                <w:sz w:val="24"/>
                <w:szCs w:val="24"/>
                <w:highlight w:val="green"/>
                <w:lang w:eastAsia="lv-LV"/>
              </w:rPr>
            </w:pPr>
          </w:p>
          <w:p w14:paraId="05AAFF15"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r w:rsidRPr="00F673C3">
              <w:rPr>
                <w:rFonts w:ascii="Times New Roman" w:eastAsia="Times New Roman" w:hAnsi="Times New Roman" w:cs="Times New Roman"/>
                <w:sz w:val="24"/>
                <w:szCs w:val="24"/>
                <w:lang w:eastAsia="lv-LV"/>
              </w:rPr>
              <w:t xml:space="preserve">Papildus piešķirtais finansējums LatEESSI projekta rezultātu uzturēšanai </w:t>
            </w:r>
            <w:r w:rsidRPr="00F673C3">
              <w:rPr>
                <w:rFonts w:ascii="Times New Roman" w:eastAsia="Times New Roman" w:hAnsi="Times New Roman" w:cs="Times New Roman"/>
                <w:sz w:val="24"/>
                <w:szCs w:val="24"/>
                <w:u w:val="single"/>
                <w:lang w:eastAsia="lv-LV"/>
              </w:rPr>
              <w:t>nav paredzēts RINA programmatūras attīstībai un tās turpmākai uzturēšanai</w:t>
            </w:r>
            <w:r w:rsidRPr="00F673C3">
              <w:rPr>
                <w:rFonts w:ascii="Times New Roman" w:eastAsia="Times New Roman" w:hAnsi="Times New Roman" w:cs="Times New Roman"/>
                <w:sz w:val="24"/>
                <w:szCs w:val="24"/>
                <w:lang w:eastAsia="lv-LV"/>
              </w:rPr>
              <w:t>, jo līdz šim RINA programmatūras izstrādi un uzturēšanu veica EK centralizēti, par saviem līdzekļiem, neiesaistot dalībvalstis.</w:t>
            </w:r>
          </w:p>
          <w:p w14:paraId="0C086F85" w14:textId="77777777" w:rsidR="006D15C8" w:rsidRDefault="006D15C8" w:rsidP="006D15C8">
            <w:pPr>
              <w:spacing w:after="0" w:line="240" w:lineRule="auto"/>
              <w:jc w:val="both"/>
              <w:rPr>
                <w:rFonts w:ascii="Times New Roman" w:eastAsia="Times New Roman" w:hAnsi="Times New Roman" w:cs="Times New Roman"/>
                <w:sz w:val="24"/>
                <w:szCs w:val="24"/>
                <w:highlight w:val="green"/>
                <w:lang w:eastAsia="lv-LV"/>
              </w:rPr>
            </w:pPr>
          </w:p>
          <w:p w14:paraId="3AAAFF35" w14:textId="417B03DE" w:rsidR="006D15C8" w:rsidRDefault="006D15C8" w:rsidP="006D15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šobrīd nav precīzi zināmas izmaksas, cik papildu Nacionālajam veselības dienestam būs nepieciešams 202</w:t>
            </w:r>
            <w:r w:rsidR="00595F3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.gadam un turpmāk ik gadu </w:t>
            </w:r>
            <w:r w:rsidR="00734D88">
              <w:rPr>
                <w:rFonts w:ascii="Times New Roman" w:eastAsia="Times New Roman" w:hAnsi="Times New Roman" w:cs="Times New Roman"/>
                <w:sz w:val="24"/>
                <w:szCs w:val="24"/>
                <w:lang w:eastAsia="lv-LV"/>
              </w:rPr>
              <w:t xml:space="preserve">NVD </w:t>
            </w:r>
            <w:r w:rsidRPr="00F673C3">
              <w:rPr>
                <w:rFonts w:ascii="Times New Roman" w:eastAsia="Times New Roman" w:hAnsi="Times New Roman" w:cs="Times New Roman"/>
                <w:sz w:val="24"/>
                <w:szCs w:val="24"/>
                <w:lang w:eastAsia="lv-LV"/>
              </w:rPr>
              <w:t>RINA programmatūras attīstībai un tās turpmākai uzturēšanai</w:t>
            </w:r>
            <w:r w:rsidRPr="00FD610A">
              <w:rPr>
                <w:rFonts w:ascii="Times New Roman" w:eastAsia="Times New Roman" w:hAnsi="Times New Roman" w:cs="Times New Roman"/>
                <w:sz w:val="24"/>
                <w:szCs w:val="24"/>
                <w:lang w:eastAsia="lv-LV"/>
              </w:rPr>
              <w:t>, jo šobrīd notiek EK rīkotais centralizētais iepirkums. Pēc iepirkuma pabeigš</w:t>
            </w:r>
            <w:r>
              <w:rPr>
                <w:rFonts w:ascii="Times New Roman" w:eastAsia="Times New Roman" w:hAnsi="Times New Roman" w:cs="Times New Roman"/>
                <w:sz w:val="24"/>
                <w:szCs w:val="24"/>
                <w:lang w:eastAsia="lv-LV"/>
              </w:rPr>
              <w:t>anas būs zināms, cik katrai dalībvalstij ir noteikta summa, jo tā būs atkarīgā no tā cik daudz dalībvalstu būs pieteikušas šim centrālizētajam iepirkumam.</w:t>
            </w:r>
          </w:p>
          <w:p w14:paraId="4D0D6F71" w14:textId="77777777" w:rsidR="006D15C8" w:rsidRDefault="006D15C8" w:rsidP="006D15C8">
            <w:pPr>
              <w:spacing w:after="0" w:line="240" w:lineRule="auto"/>
              <w:jc w:val="both"/>
              <w:rPr>
                <w:rFonts w:ascii="Times New Roman" w:eastAsia="Times New Roman" w:hAnsi="Times New Roman" w:cs="Times New Roman"/>
                <w:sz w:val="24"/>
                <w:szCs w:val="24"/>
                <w:lang w:eastAsia="lv-LV"/>
              </w:rPr>
            </w:pPr>
          </w:p>
          <w:p w14:paraId="75E5FCEE" w14:textId="77777777" w:rsidR="007D71D6" w:rsidRDefault="006D15C8" w:rsidP="006D15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saskaņā ar</w:t>
            </w:r>
            <w:r w:rsidRPr="00F673C3">
              <w:rPr>
                <w:rFonts w:ascii="Times New Roman" w:eastAsia="Times New Roman" w:hAnsi="Times New Roman" w:cs="Times New Roman"/>
                <w:sz w:val="24"/>
                <w:szCs w:val="24"/>
                <w:lang w:eastAsia="lv-LV"/>
              </w:rPr>
              <w:t xml:space="preserve"> </w:t>
            </w:r>
            <w:r w:rsidRPr="00625196">
              <w:rPr>
                <w:rFonts w:ascii="Times New Roman" w:eastAsia="Times New Roman" w:hAnsi="Times New Roman" w:cs="Times New Roman"/>
                <w:sz w:val="24"/>
                <w:szCs w:val="24"/>
                <w:lang w:eastAsia="lv-LV"/>
              </w:rPr>
              <w:t>MK protokollēmuma  Nr.20 36.§ 7.punktu, kas</w:t>
            </w:r>
            <w:r>
              <w:rPr>
                <w:rFonts w:ascii="Times New Roman" w:eastAsia="Times New Roman" w:hAnsi="Times New Roman" w:cs="Times New Roman"/>
                <w:sz w:val="24"/>
                <w:szCs w:val="24"/>
                <w:lang w:eastAsia="lv-LV"/>
              </w:rPr>
              <w:t xml:space="preserve"> paredz, ka Veselības ministrija (Nacionālais veselības dienests) atbalstītā risinājuma varianta īstenošanu nodrošinās 2021.gadam piešķirto valsts budžeta līdzekļu ietvaros, savukārt j</w:t>
            </w:r>
            <w:r w:rsidRPr="004620D3">
              <w:rPr>
                <w:rFonts w:ascii="Times New Roman" w:eastAsia="Times New Roman" w:hAnsi="Times New Roman" w:cs="Times New Roman"/>
                <w:sz w:val="24"/>
                <w:szCs w:val="24"/>
                <w:lang w:eastAsia="lv-LV"/>
              </w:rPr>
              <w:t>autājumu par papildu valsts budžeta līdzekļu piešķiršanu Labklājības ministrijai (</w:t>
            </w:r>
            <w:r>
              <w:rPr>
                <w:rFonts w:ascii="Times New Roman" w:eastAsia="Times New Roman" w:hAnsi="Times New Roman" w:cs="Times New Roman"/>
                <w:sz w:val="24"/>
                <w:szCs w:val="24"/>
                <w:lang w:eastAsia="lv-LV"/>
              </w:rPr>
              <w:t>VSAA</w:t>
            </w:r>
            <w:r w:rsidRPr="004620D3">
              <w:rPr>
                <w:rFonts w:ascii="Times New Roman" w:eastAsia="Times New Roman" w:hAnsi="Times New Roman" w:cs="Times New Roman"/>
                <w:sz w:val="24"/>
                <w:szCs w:val="24"/>
                <w:lang w:eastAsia="lv-LV"/>
              </w:rPr>
              <w:t>) un Veselības ministrijai (</w:t>
            </w:r>
            <w:r>
              <w:rPr>
                <w:rFonts w:ascii="Times New Roman" w:eastAsia="Times New Roman" w:hAnsi="Times New Roman" w:cs="Times New Roman"/>
                <w:sz w:val="24"/>
                <w:szCs w:val="24"/>
                <w:lang w:eastAsia="lv-LV"/>
              </w:rPr>
              <w:t>Nacionālajam veselības dienestam</w:t>
            </w:r>
            <w:r w:rsidRPr="004620D3">
              <w:rPr>
                <w:rFonts w:ascii="Times New Roman" w:eastAsia="Times New Roman" w:hAnsi="Times New Roman" w:cs="Times New Roman"/>
                <w:sz w:val="24"/>
                <w:szCs w:val="24"/>
                <w:lang w:eastAsia="lv-LV"/>
              </w:rPr>
              <w:t>), lai nodrošinātu RINA programmatūras attīstību un tās turpmāko uzturēšanu, 2022.gadam un turpmākajiem gadiem izskatīt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r>
              <w:rPr>
                <w:rFonts w:ascii="Times New Roman" w:eastAsia="Times New Roman" w:hAnsi="Times New Roman" w:cs="Times New Roman"/>
                <w:sz w:val="24"/>
                <w:szCs w:val="24"/>
                <w:lang w:eastAsia="lv-LV"/>
              </w:rPr>
              <w:t xml:space="preserve"> </w:t>
            </w:r>
            <w:r w:rsidRPr="00625196">
              <w:rPr>
                <w:rFonts w:ascii="Times New Roman" w:eastAsia="Times New Roman" w:hAnsi="Times New Roman" w:cs="Times New Roman"/>
                <w:sz w:val="24"/>
                <w:szCs w:val="24"/>
                <w:lang w:eastAsia="lv-LV"/>
              </w:rPr>
              <w:t>atbilstoši MK protokollēmuma  Nr.20 36.§ 8.punktam.</w:t>
            </w:r>
          </w:p>
          <w:p w14:paraId="4ADBFDE5" w14:textId="6E98C5B7" w:rsidR="006D15C8" w:rsidRPr="00F03576" w:rsidRDefault="006D15C8" w:rsidP="006D15C8">
            <w:pPr>
              <w:spacing w:after="0" w:line="240" w:lineRule="auto"/>
              <w:jc w:val="both"/>
              <w:rPr>
                <w:rFonts w:ascii="Times New Roman" w:eastAsia="Times New Roman" w:hAnsi="Times New Roman" w:cs="Times New Roman"/>
                <w:sz w:val="24"/>
                <w:szCs w:val="24"/>
                <w:lang w:eastAsia="lv-LV"/>
              </w:rPr>
            </w:pPr>
          </w:p>
        </w:tc>
      </w:tr>
      <w:tr w:rsidR="007D71D6" w:rsidRPr="00F03576" w14:paraId="49E98FDE"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D51FCE1"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6.1. detalizēts ieņēmumu aprēķins</w:t>
            </w:r>
          </w:p>
        </w:tc>
        <w:tc>
          <w:tcPr>
            <w:tcW w:w="8275"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7D5F3E64" w14:textId="77777777" w:rsidR="007D71D6" w:rsidRPr="00F03576" w:rsidRDefault="007D71D6" w:rsidP="00243E44">
            <w:pPr>
              <w:spacing w:after="0" w:line="240" w:lineRule="auto"/>
              <w:rPr>
                <w:rFonts w:ascii="Times New Roman" w:eastAsia="Times New Roman" w:hAnsi="Times New Roman" w:cs="Times New Roman"/>
                <w:sz w:val="24"/>
                <w:szCs w:val="24"/>
                <w:lang w:eastAsia="lv-LV"/>
              </w:rPr>
            </w:pPr>
          </w:p>
        </w:tc>
      </w:tr>
      <w:tr w:rsidR="007D71D6" w:rsidRPr="00F03576" w14:paraId="6525363D" w14:textId="77777777" w:rsidTr="0032421E">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0411623"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6.2. detalizēts izdevumu aprēķins</w:t>
            </w:r>
          </w:p>
        </w:tc>
        <w:tc>
          <w:tcPr>
            <w:tcW w:w="8275"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7BFAF20F" w14:textId="77777777" w:rsidR="007D71D6" w:rsidRPr="00F03576" w:rsidRDefault="007D71D6" w:rsidP="00243E44">
            <w:pPr>
              <w:spacing w:after="0" w:line="240" w:lineRule="auto"/>
              <w:rPr>
                <w:rFonts w:ascii="Times New Roman" w:eastAsia="Times New Roman" w:hAnsi="Times New Roman" w:cs="Times New Roman"/>
                <w:sz w:val="24"/>
                <w:szCs w:val="24"/>
                <w:lang w:eastAsia="lv-LV"/>
              </w:rPr>
            </w:pPr>
          </w:p>
        </w:tc>
      </w:tr>
      <w:tr w:rsidR="007D71D6" w:rsidRPr="00C8096C" w14:paraId="19718FD2" w14:textId="77777777" w:rsidTr="0032421E">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F9EA7B0" w14:textId="77777777" w:rsidR="007D71D6" w:rsidRPr="008B16AB" w:rsidRDefault="007D71D6" w:rsidP="00243E4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7. Amata vietu skaita izmaiņas</w:t>
            </w:r>
          </w:p>
        </w:tc>
        <w:tc>
          <w:tcPr>
            <w:tcW w:w="8275" w:type="dxa"/>
            <w:gridSpan w:val="7"/>
            <w:tcBorders>
              <w:top w:val="single" w:sz="4" w:space="0" w:color="auto"/>
              <w:left w:val="single" w:sz="4" w:space="0" w:color="auto"/>
              <w:bottom w:val="single" w:sz="4" w:space="0" w:color="auto"/>
              <w:right w:val="single" w:sz="4" w:space="0" w:color="auto"/>
            </w:tcBorders>
            <w:shd w:val="clear" w:color="auto" w:fill="auto"/>
          </w:tcPr>
          <w:p w14:paraId="6493E97F" w14:textId="10CADE65" w:rsidR="007D71D6" w:rsidRPr="00C8096C" w:rsidRDefault="007D71D6" w:rsidP="00243E44">
            <w:pPr>
              <w:spacing w:after="0" w:line="240" w:lineRule="auto"/>
              <w:rPr>
                <w:rFonts w:ascii="Times New Roman" w:eastAsia="Times New Roman" w:hAnsi="Times New Roman" w:cs="Times New Roman"/>
                <w:sz w:val="24"/>
                <w:szCs w:val="24"/>
                <w:lang w:eastAsia="lv-LV"/>
              </w:rPr>
            </w:pPr>
            <w:r w:rsidRPr="00741923">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r w:rsidR="007D71D6" w:rsidRPr="008B16AB" w14:paraId="1F1AD40C" w14:textId="77777777" w:rsidTr="0072440B">
        <w:trPr>
          <w:trHeight w:val="57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4A7273C" w14:textId="31F0FFC0" w:rsidR="007D71D6" w:rsidRPr="008B16AB" w:rsidRDefault="007D71D6" w:rsidP="00243E44">
            <w:pPr>
              <w:spacing w:after="0" w:line="240" w:lineRule="auto"/>
              <w:rPr>
                <w:rFonts w:ascii="Times New Roman" w:eastAsia="Times New Roman" w:hAnsi="Times New Roman" w:cs="Times New Roman"/>
                <w:sz w:val="24"/>
                <w:szCs w:val="24"/>
                <w:lang w:eastAsia="lv-LV"/>
              </w:rPr>
            </w:pPr>
            <w:bookmarkStart w:id="2" w:name="_Hlk29465426"/>
            <w:r w:rsidRPr="008B16AB">
              <w:rPr>
                <w:rFonts w:ascii="Times New Roman" w:eastAsia="Times New Roman" w:hAnsi="Times New Roman" w:cs="Times New Roman"/>
                <w:sz w:val="24"/>
                <w:szCs w:val="24"/>
                <w:lang w:eastAsia="lv-LV"/>
              </w:rPr>
              <w:t>8. Cita informācija</w:t>
            </w:r>
            <w:bookmarkEnd w:id="2"/>
          </w:p>
        </w:tc>
        <w:tc>
          <w:tcPr>
            <w:tcW w:w="8275" w:type="dxa"/>
            <w:gridSpan w:val="7"/>
            <w:tcBorders>
              <w:top w:val="single" w:sz="4" w:space="0" w:color="auto"/>
              <w:left w:val="single" w:sz="4" w:space="0" w:color="auto"/>
              <w:bottom w:val="single" w:sz="4" w:space="0" w:color="auto"/>
              <w:right w:val="single" w:sz="4" w:space="0" w:color="auto"/>
            </w:tcBorders>
            <w:shd w:val="clear" w:color="auto" w:fill="auto"/>
          </w:tcPr>
          <w:p w14:paraId="18556545" w14:textId="1586AB51" w:rsidR="00044028" w:rsidRPr="008B16AB" w:rsidRDefault="006D15C8" w:rsidP="006D15C8">
            <w:pPr>
              <w:spacing w:after="0" w:line="240" w:lineRule="auto"/>
              <w:jc w:val="both"/>
              <w:rPr>
                <w:rFonts w:ascii="Times New Roman" w:eastAsia="Times New Roman" w:hAnsi="Times New Roman" w:cs="Times New Roman"/>
                <w:sz w:val="24"/>
                <w:szCs w:val="24"/>
                <w:highlight w:val="green"/>
                <w:lang w:eastAsia="lv-LV"/>
              </w:rPr>
            </w:pPr>
            <w:r w:rsidRPr="00741923">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14:paraId="681C31CB" w14:textId="77777777" w:rsidR="00977FBF" w:rsidRPr="00CC4175" w:rsidRDefault="00977FBF" w:rsidP="00D856F7">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55755B" w:rsidRDefault="007E4536" w:rsidP="006155DA">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lastRenderedPageBreak/>
              <w:t>IV. Tiesību akta projekta ietekme uz spēkā esošo tiesību normu sistēmu</w:t>
            </w:r>
          </w:p>
        </w:tc>
      </w:tr>
      <w:tr w:rsidR="0055755B" w:rsidRPr="0055755B"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55755B"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14301271" w:rsidR="007E4536" w:rsidRPr="0072440B" w:rsidRDefault="00A90962" w:rsidP="007E4536">
            <w:pPr>
              <w:spacing w:after="0" w:line="240" w:lineRule="auto"/>
              <w:jc w:val="both"/>
              <w:rPr>
                <w:rFonts w:ascii="Times New Roman" w:hAnsi="Times New Roman" w:cs="Times New Roman"/>
                <w:color w:val="414142"/>
                <w:sz w:val="24"/>
                <w:szCs w:val="24"/>
                <w:shd w:val="clear" w:color="auto" w:fill="FFFFFF"/>
              </w:rPr>
            </w:pPr>
            <w:r>
              <w:rPr>
                <w:rFonts w:ascii="Times New Roman" w:hAnsi="Times New Roman"/>
                <w:sz w:val="24"/>
                <w:szCs w:val="24"/>
              </w:rPr>
              <w:t>Lai nodrošinātu valsts informācijas sistēmai</w:t>
            </w:r>
            <w:r w:rsidRPr="00B01BE0">
              <w:rPr>
                <w:rFonts w:ascii="Times New Roman" w:hAnsi="Times New Roman"/>
                <w:sz w:val="24"/>
                <w:szCs w:val="24"/>
              </w:rPr>
              <w:t xml:space="preserve"> Nacionālās a</w:t>
            </w:r>
            <w:r>
              <w:rPr>
                <w:rFonts w:ascii="Times New Roman" w:hAnsi="Times New Roman"/>
                <w:sz w:val="24"/>
                <w:szCs w:val="24"/>
              </w:rPr>
              <w:t>plikācijas aizstājēj</w:t>
            </w:r>
            <w:r w:rsidR="003D5A1A">
              <w:rPr>
                <w:rFonts w:ascii="Times New Roman" w:hAnsi="Times New Roman"/>
                <w:sz w:val="24"/>
                <w:szCs w:val="24"/>
              </w:rPr>
              <w:t xml:space="preserve">a </w:t>
            </w:r>
            <w:r w:rsidR="0032421E">
              <w:rPr>
                <w:rFonts w:ascii="Times New Roman" w:hAnsi="Times New Roman"/>
                <w:sz w:val="24"/>
                <w:szCs w:val="24"/>
              </w:rPr>
              <w:t>NVD</w:t>
            </w:r>
            <w:r>
              <w:rPr>
                <w:rFonts w:ascii="Times New Roman" w:hAnsi="Times New Roman"/>
                <w:sz w:val="24"/>
                <w:szCs w:val="24"/>
              </w:rPr>
              <w:t xml:space="preserve"> RINA atbilstību Valsts informācijas sistēmu likuma 5.pantā </w:t>
            </w:r>
            <w:r w:rsidRPr="003D5A1A">
              <w:rPr>
                <w:rFonts w:ascii="Times New Roman" w:hAnsi="Times New Roman"/>
                <w:sz w:val="24"/>
                <w:szCs w:val="24"/>
              </w:rPr>
              <w:t xml:space="preserve">noteiktajam, ir nepieciešams veikt grozījumus Ministru kabineta 2018. gada 28. augusta noteikumos Nr. 555 “Veselības aprūpes pakalpojumu organizēšanas un samaksas kārtība”, papildinot </w:t>
            </w:r>
            <w:r w:rsidRPr="003D5A1A">
              <w:rPr>
                <w:rFonts w:ascii="Times New Roman" w:hAnsi="Times New Roman" w:cs="Times New Roman"/>
                <w:sz w:val="24"/>
                <w:szCs w:val="24"/>
                <w:shd w:val="clear" w:color="auto" w:fill="FFFFFF"/>
              </w:rPr>
              <w:t>149.</w:t>
            </w:r>
            <w:r w:rsidRPr="003D5A1A">
              <w:rPr>
                <w:rFonts w:ascii="Times New Roman" w:hAnsi="Times New Roman" w:cs="Times New Roman"/>
                <w:sz w:val="24"/>
                <w:szCs w:val="24"/>
                <w:shd w:val="clear" w:color="auto" w:fill="FFFFFF"/>
                <w:vertAlign w:val="superscript"/>
              </w:rPr>
              <w:t>1</w:t>
            </w:r>
            <w:r w:rsidRPr="003D5A1A">
              <w:rPr>
                <w:rFonts w:ascii="Times New Roman" w:hAnsi="Times New Roman" w:cs="Times New Roman"/>
                <w:sz w:val="24"/>
                <w:szCs w:val="24"/>
                <w:shd w:val="clear" w:color="auto" w:fill="FFFFFF"/>
              </w:rPr>
              <w:t xml:space="preserve"> punktu ar atsauci uz </w:t>
            </w:r>
            <w:r w:rsidR="0032421E" w:rsidRPr="003D5A1A">
              <w:rPr>
                <w:rFonts w:ascii="Times New Roman" w:hAnsi="Times New Roman" w:cs="Times New Roman"/>
                <w:sz w:val="24"/>
                <w:szCs w:val="24"/>
                <w:shd w:val="clear" w:color="auto" w:fill="FFFFFF"/>
              </w:rPr>
              <w:t xml:space="preserve">NVD </w:t>
            </w:r>
            <w:r w:rsidRPr="003D5A1A">
              <w:rPr>
                <w:rFonts w:ascii="Times New Roman" w:hAnsi="Times New Roman" w:cs="Times New Roman"/>
                <w:sz w:val="24"/>
                <w:szCs w:val="24"/>
                <w:shd w:val="clear" w:color="auto" w:fill="FFFFFF"/>
              </w:rPr>
              <w:t xml:space="preserve">RINA, t.i., ka minēto Ministru kabineta noteikumu apakšnodaļā “3.13. Veselības aprūpes pakalpojumu saņemšana citā ES dalībvalstī, EEZ valstī un Šveicē” minētie dati, kas nepieciešami, lai noteiktu personas tiesības saņemt veselības aprūpi ES, EEZ un Šveicē, tiek apstrādāti dienesta pārziņā esošajā starptautiskās sadarbības informācijas sistēmā un </w:t>
            </w:r>
            <w:r w:rsidR="006D15C8" w:rsidRPr="003D5A1A">
              <w:rPr>
                <w:rFonts w:ascii="Times New Roman" w:hAnsi="Times New Roman" w:cs="Times New Roman"/>
                <w:sz w:val="24"/>
                <w:szCs w:val="24"/>
                <w:shd w:val="clear" w:color="auto" w:fill="FFFFFF"/>
              </w:rPr>
              <w:t>NVD</w:t>
            </w:r>
            <w:r w:rsidRPr="003D5A1A">
              <w:rPr>
                <w:rFonts w:ascii="Times New Roman" w:hAnsi="Times New Roman" w:cs="Times New Roman"/>
                <w:b/>
                <w:bCs/>
                <w:sz w:val="24"/>
                <w:szCs w:val="24"/>
                <w:shd w:val="clear" w:color="auto" w:fill="FFFFFF"/>
              </w:rPr>
              <w:t xml:space="preserve"> </w:t>
            </w:r>
            <w:r w:rsidRPr="003D5A1A">
              <w:rPr>
                <w:rFonts w:ascii="Times New Roman" w:hAnsi="Times New Roman" w:cs="Times New Roman"/>
                <w:sz w:val="24"/>
                <w:szCs w:val="24"/>
                <w:shd w:val="clear" w:color="auto" w:fill="FFFFFF"/>
              </w:rPr>
              <w:t>RINA, un šo datu apmaiņa starp ES dalībvalstu kompetentajām iestādēm notiek, izmantojot regulas Nr.  </w:t>
            </w:r>
            <w:r w:rsidR="0032421E" w:rsidRPr="003D5A1A">
              <w:rPr>
                <w:rFonts w:ascii="Times New Roman" w:hAnsi="Times New Roman" w:cs="Times New Roman"/>
                <w:sz w:val="24"/>
                <w:szCs w:val="24"/>
                <w:shd w:val="clear" w:color="auto" w:fill="FFFFFF"/>
              </w:rPr>
              <w:t>987/2009</w:t>
            </w:r>
            <w:r w:rsidRPr="003D5A1A">
              <w:rPr>
                <w:rFonts w:ascii="Times New Roman" w:hAnsi="Times New Roman" w:cs="Times New Roman"/>
                <w:sz w:val="24"/>
                <w:szCs w:val="24"/>
                <w:shd w:val="clear" w:color="auto" w:fill="FFFFFF"/>
              </w:rPr>
              <w:t>, ar ko nosaka īstenošanas kārtību regulai Nr.  </w:t>
            </w:r>
            <w:r w:rsidR="0032421E" w:rsidRPr="003D5A1A">
              <w:rPr>
                <w:rFonts w:ascii="Times New Roman" w:hAnsi="Times New Roman" w:cs="Times New Roman"/>
                <w:sz w:val="24"/>
                <w:szCs w:val="24"/>
                <w:shd w:val="clear" w:color="auto" w:fill="FFFFFF"/>
              </w:rPr>
              <w:t>883/2004</w:t>
            </w:r>
            <w:r w:rsidRPr="003D5A1A">
              <w:rPr>
                <w:rFonts w:ascii="Times New Roman" w:hAnsi="Times New Roman" w:cs="Times New Roman"/>
                <w:sz w:val="24"/>
                <w:szCs w:val="24"/>
                <w:shd w:val="clear" w:color="auto" w:fill="FFFFFF"/>
              </w:rPr>
              <w:t>, 4. pantā minēto piekļuves punktu.</w:t>
            </w:r>
            <w:r w:rsidRPr="003D5A1A">
              <w:rPr>
                <w:rFonts w:ascii="Arial" w:hAnsi="Arial" w:cs="Arial"/>
                <w:sz w:val="20"/>
                <w:szCs w:val="20"/>
                <w:shd w:val="clear" w:color="auto" w:fill="FFFFFF"/>
              </w:rPr>
              <w:t xml:space="preserve"> </w:t>
            </w:r>
          </w:p>
        </w:tc>
      </w:tr>
      <w:tr w:rsidR="0055755B" w:rsidRPr="0055755B"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4D582FA0" w:rsidR="007E4536" w:rsidRPr="0055755B" w:rsidRDefault="00A90962" w:rsidP="006155DA">
            <w:pPr>
              <w:pStyle w:val="NormalWeb"/>
              <w:shd w:val="clear" w:color="auto" w:fill="FFFFFF"/>
              <w:spacing w:line="256" w:lineRule="auto"/>
              <w:jc w:val="both"/>
              <w:rPr>
                <w:shd w:val="clear" w:color="auto" w:fill="FFFFFF"/>
              </w:rPr>
            </w:pPr>
            <w:r>
              <w:rPr>
                <w:shd w:val="clear" w:color="auto" w:fill="FFFFFF"/>
              </w:rPr>
              <w:t>Veselības ministrija.</w:t>
            </w:r>
          </w:p>
        </w:tc>
      </w:tr>
      <w:tr w:rsidR="007E4536" w:rsidRPr="0055755B"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1CA76DA1" w:rsidR="007E4536" w:rsidRPr="0055755B" w:rsidRDefault="00904D34" w:rsidP="006155DA">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sz w:val="24"/>
                <w:szCs w:val="24"/>
              </w:rPr>
              <w:t>Nav</w:t>
            </w:r>
          </w:p>
        </w:tc>
      </w:tr>
    </w:tbl>
    <w:p w14:paraId="1A68D5C0" w14:textId="4304E2C1" w:rsidR="007E4536" w:rsidRPr="00CC4175" w:rsidRDefault="007E4536" w:rsidP="00D74883">
      <w:pPr>
        <w:spacing w:after="0" w:line="240" w:lineRule="auto"/>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55755B" w:rsidRPr="0055755B" w14:paraId="564EC935" w14:textId="77777777" w:rsidTr="00B430D9">
        <w:tc>
          <w:tcPr>
            <w:tcW w:w="9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01ABF" w14:textId="77777777" w:rsidR="0007278B" w:rsidRPr="00B430D9" w:rsidRDefault="0007278B" w:rsidP="00AE4EFC">
            <w:pPr>
              <w:spacing w:after="0" w:line="240" w:lineRule="auto"/>
              <w:jc w:val="center"/>
              <w:rPr>
                <w:rFonts w:ascii="Times New Roman" w:eastAsia="Times New Roman" w:hAnsi="Times New Roman" w:cs="Times New Roman"/>
                <w:b/>
                <w:sz w:val="24"/>
                <w:szCs w:val="24"/>
              </w:rPr>
            </w:pPr>
            <w:r w:rsidRPr="00B430D9">
              <w:rPr>
                <w:rFonts w:ascii="Times New Roman" w:eastAsia="Times New Roman" w:hAnsi="Times New Roman" w:cs="Times New Roman"/>
                <w:b/>
                <w:sz w:val="24"/>
                <w:szCs w:val="24"/>
              </w:rPr>
              <w:t>V. Tiesību akta projekta atbilstība Latvijas Republikas starptautiskajām saistībām</w:t>
            </w:r>
          </w:p>
        </w:tc>
      </w:tr>
      <w:tr w:rsidR="0055755B" w:rsidRPr="0055755B" w14:paraId="6EDB450D" w14:textId="77777777" w:rsidTr="00B430D9">
        <w:tc>
          <w:tcPr>
            <w:tcW w:w="9066" w:type="dxa"/>
            <w:tcBorders>
              <w:top w:val="single" w:sz="4" w:space="0" w:color="auto"/>
              <w:left w:val="single" w:sz="4" w:space="0" w:color="auto"/>
              <w:bottom w:val="single" w:sz="4" w:space="0" w:color="auto"/>
              <w:right w:val="single" w:sz="4" w:space="0" w:color="auto"/>
            </w:tcBorders>
            <w:shd w:val="clear" w:color="auto" w:fill="auto"/>
            <w:vAlign w:val="center"/>
          </w:tcPr>
          <w:p w14:paraId="2789DC75" w14:textId="7AC74904" w:rsidR="00CC2785" w:rsidRPr="007E2DD8" w:rsidRDefault="004221EA" w:rsidP="004221EA">
            <w:pPr>
              <w:spacing w:after="0" w:line="240" w:lineRule="auto"/>
              <w:jc w:val="center"/>
              <w:rPr>
                <w:rFonts w:ascii="Times New Roman" w:hAnsi="Times New Roman" w:cs="Times New Roman"/>
                <w:bCs/>
                <w:sz w:val="24"/>
                <w:szCs w:val="24"/>
              </w:rPr>
            </w:pPr>
            <w:r w:rsidRPr="004221EA">
              <w:rPr>
                <w:rFonts w:ascii="Times New Roman" w:hAnsi="Times New Roman"/>
                <w:sz w:val="24"/>
                <w:szCs w:val="24"/>
              </w:rPr>
              <w:t>Noteikumu projekts šo jomu neskar.</w:t>
            </w:r>
          </w:p>
        </w:tc>
      </w:tr>
    </w:tbl>
    <w:p w14:paraId="0A68BDAE" w14:textId="77777777" w:rsidR="0007278B" w:rsidRPr="00CC4175"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 Sabiedrības līdzdalība un komunikācijas aktivitātes</w:t>
            </w:r>
          </w:p>
        </w:tc>
      </w:tr>
      <w:tr w:rsidR="0055755B" w:rsidRPr="0055755B"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55755B"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6FF7D3E" w:rsidR="00137903" w:rsidRPr="0055755B" w:rsidRDefault="00385B6D" w:rsidP="00995EE3">
            <w:pPr>
              <w:spacing w:after="0" w:line="240" w:lineRule="auto"/>
              <w:jc w:val="both"/>
              <w:rPr>
                <w:rFonts w:ascii="Times New Roman" w:eastAsia="Times New Roman" w:hAnsi="Times New Roman" w:cs="Times New Roman"/>
                <w:bCs/>
                <w:sz w:val="24"/>
                <w:szCs w:val="24"/>
              </w:rPr>
            </w:pPr>
            <w:r w:rsidRPr="002C7018">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Noteikumu </w:t>
            </w:r>
            <w:r w:rsidRPr="002C7018">
              <w:rPr>
                <w:rFonts w:ascii="Times New Roman" w:eastAsia="Times New Roman" w:hAnsi="Times New Roman" w:cs="Times New Roman"/>
                <w:sz w:val="24"/>
                <w:szCs w:val="24"/>
                <w:lang w:eastAsia="lv-LV"/>
              </w:rPr>
              <w:t>projekta pieņemšanas</w:t>
            </w:r>
            <w:r>
              <w:rPr>
                <w:rFonts w:ascii="Times New Roman" w:eastAsia="Times New Roman" w:hAnsi="Times New Roman" w:cs="Times New Roman"/>
                <w:sz w:val="24"/>
                <w:szCs w:val="24"/>
                <w:lang w:eastAsia="lv-LV"/>
              </w:rPr>
              <w:t xml:space="preserve"> </w:t>
            </w:r>
            <w:r w:rsidRPr="002C7018">
              <w:rPr>
                <w:rFonts w:ascii="Times New Roman" w:eastAsia="Times New Roman" w:hAnsi="Times New Roman" w:cs="Times New Roman"/>
                <w:sz w:val="24"/>
                <w:szCs w:val="24"/>
                <w:lang w:eastAsia="lv-LV"/>
              </w:rPr>
              <w:t>Nacionālā veselības dienesta tīmekļa vietnē tiks ievietota informācija par pieņemt</w:t>
            </w:r>
            <w:r>
              <w:rPr>
                <w:rFonts w:ascii="Times New Roman" w:eastAsia="Times New Roman" w:hAnsi="Times New Roman" w:cs="Times New Roman"/>
                <w:sz w:val="24"/>
                <w:szCs w:val="24"/>
                <w:lang w:eastAsia="lv-LV"/>
              </w:rPr>
              <w:t>o</w:t>
            </w:r>
            <w:r w:rsidRPr="002C7018">
              <w:rPr>
                <w:rFonts w:ascii="Times New Roman" w:eastAsia="Times New Roman" w:hAnsi="Times New Roman" w:cs="Times New Roman"/>
                <w:sz w:val="24"/>
                <w:szCs w:val="24"/>
                <w:lang w:eastAsia="lv-LV"/>
              </w:rPr>
              <w:t xml:space="preserve"> grozījum</w:t>
            </w:r>
            <w:r>
              <w:rPr>
                <w:rFonts w:ascii="Times New Roman" w:eastAsia="Times New Roman" w:hAnsi="Times New Roman" w:cs="Times New Roman"/>
                <w:sz w:val="24"/>
                <w:szCs w:val="24"/>
                <w:lang w:eastAsia="lv-LV"/>
              </w:rPr>
              <w:t>u.</w:t>
            </w:r>
          </w:p>
        </w:tc>
      </w:tr>
      <w:tr w:rsidR="0055755B" w:rsidRPr="0055755B"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55755B" w:rsidRDefault="0007278B" w:rsidP="00886D79">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1F9C5C5C" w:rsidR="00385B6D" w:rsidRPr="0055755B" w:rsidRDefault="004D7037" w:rsidP="00995EE3">
            <w:pPr>
              <w:pStyle w:val="NormalWeb"/>
              <w:shd w:val="clear" w:color="auto" w:fill="FFFFFF"/>
              <w:spacing w:before="0" w:beforeAutospacing="0" w:after="0" w:afterAutospacing="0"/>
              <w:jc w:val="both"/>
              <w:rPr>
                <w:shd w:val="clear" w:color="auto" w:fill="FFFFFF"/>
              </w:rPr>
            </w:pPr>
            <w:r w:rsidRPr="00720685">
              <w:rPr>
                <w:iCs/>
                <w:color w:val="000000" w:themeColor="text1"/>
              </w:rPr>
              <w:t>Sabiedrības līdzdalība nav nepieciešama</w:t>
            </w:r>
            <w:r w:rsidR="00385B6D" w:rsidRPr="005B701E">
              <w:t xml:space="preserve">, jo tas neietekmē iedzīvotāju tiesības un pienākumus saņemt veselības aprūpes pakalpojumus </w:t>
            </w:r>
            <w:r w:rsidR="00385B6D">
              <w:t>dalībvalstīs.</w:t>
            </w:r>
          </w:p>
        </w:tc>
      </w:tr>
      <w:tr w:rsidR="0055755B" w:rsidRPr="0055755B"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4F0B0DBE" w:rsidR="0007278B" w:rsidRPr="0055755B" w:rsidRDefault="001312E9"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r w:rsidR="00AD1C41" w:rsidRPr="0055755B"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1BF5CBAF" w14:textId="77777777" w:rsidR="0007278B" w:rsidRPr="00CC4175"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55755B" w:rsidRPr="0055755B"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VII. Tiesību akta projekta izpildes nodrošināšana un tās ietekme uz institūcijām</w:t>
            </w:r>
          </w:p>
        </w:tc>
      </w:tr>
      <w:tr w:rsidR="0055755B" w:rsidRPr="0055755B"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12AE22B7" w:rsidR="0007278B" w:rsidRPr="0055755B" w:rsidRDefault="005A1ABA" w:rsidP="00995EE3">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Nacionālais veselības dienests</w:t>
            </w:r>
            <w:r w:rsidR="00D6081F">
              <w:rPr>
                <w:rFonts w:ascii="Times New Roman" w:eastAsia="Times New Roman" w:hAnsi="Times New Roman" w:cs="Times New Roman"/>
                <w:bCs/>
                <w:sz w:val="24"/>
                <w:szCs w:val="24"/>
              </w:rPr>
              <w:t>.</w:t>
            </w:r>
          </w:p>
        </w:tc>
      </w:tr>
      <w:tr w:rsidR="0055755B" w:rsidRPr="0055755B"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3C1207B" w14:textId="77777777" w:rsidR="001312E9" w:rsidRDefault="001312E9" w:rsidP="00995EE3">
            <w:pPr>
              <w:spacing w:after="0" w:line="240" w:lineRule="auto"/>
              <w:jc w:val="both"/>
              <w:rPr>
                <w:rFonts w:ascii="Times New Roman" w:eastAsia="Times New Roman" w:hAnsi="Times New Roman" w:cs="Times New Roman"/>
                <w:sz w:val="24"/>
                <w:szCs w:val="24"/>
                <w:lang w:eastAsia="lv-LV"/>
              </w:rPr>
            </w:pPr>
            <w:r w:rsidRPr="00510594">
              <w:rPr>
                <w:rFonts w:ascii="Times New Roman" w:eastAsia="Times New Roman" w:hAnsi="Times New Roman" w:cs="Times New Roman"/>
                <w:sz w:val="24"/>
                <w:szCs w:val="24"/>
                <w:lang w:eastAsia="lv-LV"/>
              </w:rPr>
              <w:t xml:space="preserve">Pārvaldes funkcijas </w:t>
            </w:r>
            <w:r>
              <w:rPr>
                <w:rFonts w:ascii="Times New Roman" w:eastAsia="Times New Roman" w:hAnsi="Times New Roman" w:cs="Times New Roman"/>
                <w:sz w:val="24"/>
                <w:szCs w:val="24"/>
                <w:lang w:eastAsia="lv-LV"/>
              </w:rPr>
              <w:t>ne</w:t>
            </w:r>
            <w:r w:rsidRPr="00510594">
              <w:rPr>
                <w:rFonts w:ascii="Times New Roman" w:eastAsia="Times New Roman" w:hAnsi="Times New Roman" w:cs="Times New Roman"/>
                <w:sz w:val="24"/>
                <w:szCs w:val="24"/>
                <w:lang w:eastAsia="lv-LV"/>
              </w:rPr>
              <w:t xml:space="preserve">tiek </w:t>
            </w:r>
            <w:r w:rsidRPr="00832807">
              <w:rPr>
                <w:rFonts w:ascii="Times New Roman" w:eastAsia="Times New Roman" w:hAnsi="Times New Roman" w:cs="Times New Roman"/>
                <w:sz w:val="24"/>
                <w:szCs w:val="24"/>
                <w:lang w:eastAsia="lv-LV"/>
              </w:rPr>
              <w:t xml:space="preserve">grozītas, mainīsies </w:t>
            </w:r>
            <w:r>
              <w:rPr>
                <w:rFonts w:ascii="Times New Roman" w:eastAsia="Times New Roman" w:hAnsi="Times New Roman" w:cs="Times New Roman"/>
                <w:sz w:val="24"/>
                <w:szCs w:val="24"/>
                <w:lang w:eastAsia="lv-LV"/>
              </w:rPr>
              <w:t xml:space="preserve">tikai </w:t>
            </w:r>
            <w:r w:rsidRPr="00832807">
              <w:rPr>
                <w:rFonts w:ascii="Times New Roman" w:eastAsia="Times New Roman" w:hAnsi="Times New Roman" w:cs="Times New Roman"/>
                <w:sz w:val="24"/>
                <w:szCs w:val="24"/>
                <w:lang w:eastAsia="lv-LV"/>
              </w:rPr>
              <w:t xml:space="preserve">tehniskais risinājums informācijas apstrādei, institucionālā struktūra netiek mainīta. </w:t>
            </w:r>
          </w:p>
          <w:p w14:paraId="1BECCDDA" w14:textId="77777777" w:rsidR="001312E9" w:rsidRDefault="001312E9" w:rsidP="001312E9">
            <w:pPr>
              <w:spacing w:after="0" w:line="240" w:lineRule="auto"/>
              <w:jc w:val="both"/>
              <w:rPr>
                <w:rFonts w:ascii="Times New Roman" w:hAnsi="Times New Roman" w:cs="Times New Roman"/>
                <w:bCs/>
                <w:sz w:val="24"/>
                <w:szCs w:val="24"/>
              </w:rPr>
            </w:pPr>
            <w:r w:rsidRPr="0055755B">
              <w:rPr>
                <w:rFonts w:ascii="Times New Roman" w:hAnsi="Times New Roman" w:cs="Times New Roman"/>
                <w:bCs/>
                <w:sz w:val="24"/>
                <w:szCs w:val="24"/>
              </w:rPr>
              <w:t>Saistībā ar projekta izpildi nav paredzēta jaunu institūciju izveide, esošu institūciju likvidācija vai reorganizācija.</w:t>
            </w:r>
          </w:p>
          <w:p w14:paraId="0E7F0D57" w14:textId="4307C3BC" w:rsidR="001312E9" w:rsidRPr="0055755B" w:rsidRDefault="001312E9" w:rsidP="00995EE3">
            <w:pPr>
              <w:spacing w:after="0" w:line="240" w:lineRule="auto"/>
              <w:jc w:val="both"/>
              <w:rPr>
                <w:rFonts w:ascii="Times New Roman" w:eastAsia="Times New Roman" w:hAnsi="Times New Roman" w:cs="Times New Roman"/>
                <w:bCs/>
                <w:sz w:val="24"/>
                <w:szCs w:val="24"/>
              </w:rPr>
            </w:pPr>
            <w:r w:rsidRPr="00832807">
              <w:rPr>
                <w:rFonts w:ascii="Times New Roman" w:eastAsia="Times New Roman" w:hAnsi="Times New Roman" w:cs="Times New Roman"/>
                <w:sz w:val="24"/>
                <w:szCs w:val="24"/>
                <w:lang w:eastAsia="lv-LV"/>
              </w:rPr>
              <w:t>Pēc Noteikumu</w:t>
            </w:r>
            <w:r>
              <w:rPr>
                <w:rFonts w:ascii="Times New Roman" w:eastAsia="Times New Roman" w:hAnsi="Times New Roman" w:cs="Times New Roman"/>
                <w:sz w:val="24"/>
                <w:szCs w:val="24"/>
                <w:lang w:eastAsia="lv-LV"/>
              </w:rPr>
              <w:t xml:space="preserve"> projekta</w:t>
            </w:r>
            <w:r w:rsidRPr="00510594">
              <w:rPr>
                <w:rFonts w:ascii="Times New Roman" w:eastAsia="Times New Roman" w:hAnsi="Times New Roman" w:cs="Times New Roman"/>
                <w:sz w:val="24"/>
                <w:szCs w:val="24"/>
                <w:lang w:eastAsia="lv-LV"/>
              </w:rPr>
              <w:t xml:space="preserve"> spēkā stāšanās tā īstenošana notiks, izmantojot esošos cilvēkresursus.</w:t>
            </w:r>
          </w:p>
        </w:tc>
      </w:tr>
      <w:tr w:rsidR="0007278B" w:rsidRPr="0055755B"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0EB028A4" w14:textId="4FC9BABB" w:rsidR="0007278B" w:rsidRDefault="0007278B" w:rsidP="00D77367">
      <w:pPr>
        <w:spacing w:after="0" w:line="240" w:lineRule="auto"/>
        <w:jc w:val="both"/>
        <w:rPr>
          <w:rFonts w:ascii="Times New Roman" w:eastAsia="Times New Roman" w:hAnsi="Times New Roman" w:cs="Times New Roman"/>
          <w:bCs/>
          <w:sz w:val="28"/>
          <w:szCs w:val="28"/>
        </w:rPr>
      </w:pPr>
    </w:p>
    <w:p w14:paraId="090D6DE1" w14:textId="77777777" w:rsidR="00736FA1" w:rsidRPr="0055755B" w:rsidRDefault="00736FA1" w:rsidP="00D77367">
      <w:pPr>
        <w:spacing w:after="0" w:line="240" w:lineRule="auto"/>
        <w:jc w:val="both"/>
        <w:rPr>
          <w:rFonts w:ascii="Times New Roman" w:eastAsia="Times New Roman" w:hAnsi="Times New Roman" w:cs="Times New Roman"/>
          <w:bCs/>
          <w:sz w:val="28"/>
          <w:szCs w:val="28"/>
        </w:rPr>
      </w:pPr>
    </w:p>
    <w:p w14:paraId="39D53BA8" w14:textId="77777777" w:rsidR="0091413D" w:rsidRPr="00420FBA" w:rsidRDefault="0091413D" w:rsidP="0091413D">
      <w:pPr>
        <w:tabs>
          <w:tab w:val="right" w:pos="8789"/>
        </w:tabs>
        <w:spacing w:after="0" w:line="240" w:lineRule="auto"/>
        <w:ind w:right="-1"/>
        <w:rPr>
          <w:rFonts w:ascii="Times New Roman" w:hAnsi="Times New Roman" w:cs="Times New Roman"/>
          <w:sz w:val="28"/>
          <w:szCs w:val="28"/>
        </w:rPr>
      </w:pPr>
      <w:r w:rsidRPr="007905F8">
        <w:rPr>
          <w:rFonts w:ascii="Times New Roman" w:eastAsia="Calibri" w:hAnsi="Times New Roman" w:cs="Times New Roman"/>
          <w:sz w:val="28"/>
          <w:szCs w:val="28"/>
        </w:rPr>
        <w:t>Veselības</w:t>
      </w:r>
      <w:r>
        <w:rPr>
          <w:rFonts w:ascii="Times New Roman" w:hAnsi="Times New Roman" w:cs="Times New Roman"/>
          <w:sz w:val="28"/>
          <w:szCs w:val="28"/>
        </w:rPr>
        <w:t xml:space="preserve"> </w:t>
      </w:r>
      <w:r w:rsidRPr="00420FBA">
        <w:rPr>
          <w:rFonts w:ascii="Times New Roman" w:hAnsi="Times New Roman" w:cs="Times New Roman"/>
          <w:sz w:val="28"/>
          <w:szCs w:val="28"/>
        </w:rPr>
        <w:t>ministr</w:t>
      </w:r>
      <w:r>
        <w:rPr>
          <w:rFonts w:ascii="Times New Roman" w:hAnsi="Times New Roman" w:cs="Times New Roman"/>
          <w:sz w:val="28"/>
          <w:szCs w:val="28"/>
        </w:rPr>
        <w:t>s</w:t>
      </w:r>
      <w:r w:rsidRPr="00420FBA">
        <w:rPr>
          <w:rFonts w:ascii="Times New Roman" w:hAnsi="Times New Roman" w:cs="Times New Roman"/>
          <w:sz w:val="28"/>
          <w:szCs w:val="28"/>
        </w:rPr>
        <w:tab/>
      </w:r>
      <w:r>
        <w:rPr>
          <w:rFonts w:ascii="Times New Roman" w:hAnsi="Times New Roman" w:cs="Times New Roman"/>
          <w:sz w:val="28"/>
          <w:szCs w:val="28"/>
        </w:rPr>
        <w:t>D. Pavļuts</w:t>
      </w:r>
    </w:p>
    <w:p w14:paraId="750DF281" w14:textId="5EFE9F95" w:rsidR="0091413D" w:rsidRDefault="0091413D" w:rsidP="0072440B">
      <w:pPr>
        <w:spacing w:after="0" w:line="240" w:lineRule="auto"/>
        <w:rPr>
          <w:rFonts w:ascii="Times New Roman" w:hAnsi="Times New Roman" w:cs="Times New Roman"/>
          <w:sz w:val="28"/>
          <w:szCs w:val="28"/>
        </w:rPr>
      </w:pPr>
    </w:p>
    <w:p w14:paraId="693D0559" w14:textId="77777777" w:rsidR="0072440B" w:rsidRDefault="0072440B" w:rsidP="0072440B">
      <w:pPr>
        <w:spacing w:after="0" w:line="240" w:lineRule="auto"/>
        <w:rPr>
          <w:rFonts w:ascii="Times New Roman" w:hAnsi="Times New Roman" w:cs="Times New Roman"/>
          <w:sz w:val="28"/>
          <w:szCs w:val="28"/>
        </w:rPr>
      </w:pPr>
    </w:p>
    <w:p w14:paraId="331D2391" w14:textId="2CA4D1D5" w:rsidR="0091413D" w:rsidRDefault="0091413D" w:rsidP="0091413D">
      <w:pPr>
        <w:tabs>
          <w:tab w:val="right" w:pos="8789"/>
        </w:tabs>
        <w:spacing w:after="0" w:line="240" w:lineRule="auto"/>
        <w:ind w:right="-1"/>
        <w:rPr>
          <w:rFonts w:ascii="Times New Roman" w:hAnsi="Times New Roman" w:cs="Times New Roman"/>
          <w:sz w:val="28"/>
          <w:szCs w:val="28"/>
        </w:rPr>
      </w:pPr>
      <w:r w:rsidRPr="00484644">
        <w:rPr>
          <w:rFonts w:ascii="Times New Roman" w:eastAsia="Calibri" w:hAnsi="Times New Roman" w:cs="Times New Roman"/>
          <w:sz w:val="28"/>
          <w:szCs w:val="28"/>
        </w:rPr>
        <w:t xml:space="preserve">Vīza: </w:t>
      </w:r>
      <w:r w:rsidRPr="00203DC5">
        <w:rPr>
          <w:rFonts w:ascii="Times New Roman" w:eastAsia="Calibri" w:hAnsi="Times New Roman" w:cs="Times New Roman"/>
          <w:sz w:val="28"/>
          <w:szCs w:val="28"/>
        </w:rPr>
        <w:t>Valsts sekretār</w:t>
      </w:r>
      <w:r>
        <w:rPr>
          <w:rFonts w:ascii="Times New Roman" w:eastAsia="Calibri" w:hAnsi="Times New Roman" w:cs="Times New Roman"/>
          <w:sz w:val="28"/>
          <w:szCs w:val="28"/>
        </w:rPr>
        <w:t>e</w:t>
      </w:r>
      <w:r w:rsidRPr="004846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002E4379">
        <w:rPr>
          <w:rFonts w:ascii="Times New Roman" w:eastAsia="Calibri" w:hAnsi="Times New Roman" w:cs="Times New Roman"/>
          <w:sz w:val="28"/>
          <w:szCs w:val="28"/>
        </w:rPr>
        <w:t>I. Dreika</w:t>
      </w:r>
    </w:p>
    <w:p w14:paraId="3F8B8EF9" w14:textId="6590A7C3" w:rsidR="0091413D" w:rsidRDefault="0091413D" w:rsidP="007E6B2A">
      <w:pPr>
        <w:spacing w:after="0" w:line="240" w:lineRule="auto"/>
        <w:rPr>
          <w:rFonts w:ascii="Times New Roman" w:hAnsi="Times New Roman" w:cs="Times New Roman"/>
          <w:sz w:val="28"/>
          <w:szCs w:val="28"/>
        </w:rPr>
      </w:pPr>
    </w:p>
    <w:p w14:paraId="7980D880" w14:textId="77777777" w:rsidR="0072440B" w:rsidRDefault="0072440B" w:rsidP="007E6B2A">
      <w:pPr>
        <w:spacing w:after="0" w:line="240" w:lineRule="auto"/>
        <w:rPr>
          <w:rFonts w:ascii="Times New Roman" w:hAnsi="Times New Roman" w:cs="Times New Roman"/>
          <w:sz w:val="24"/>
          <w:szCs w:val="28"/>
        </w:rPr>
      </w:pPr>
    </w:p>
    <w:p w14:paraId="6170AA58" w14:textId="77777777" w:rsidR="0091413D" w:rsidRPr="005A3EEC" w:rsidRDefault="0091413D" w:rsidP="0091413D">
      <w:pPr>
        <w:pStyle w:val="pamattekststabul"/>
        <w:spacing w:before="0" w:beforeAutospacing="0" w:after="0" w:afterAutospacing="0"/>
        <w:rPr>
          <w:lang w:val="lv-LV"/>
        </w:rPr>
      </w:pPr>
      <w:r>
        <w:rPr>
          <w:noProof/>
          <w:lang w:val="lv-LV"/>
        </w:rPr>
        <w:t>Briņķe</w:t>
      </w:r>
      <w:r w:rsidRPr="005A3EEC">
        <w:rPr>
          <w:lang w:val="lv-LV"/>
        </w:rPr>
        <w:t xml:space="preserve">  </w:t>
      </w:r>
      <w:r w:rsidRPr="00870BFF">
        <w:rPr>
          <w:noProof/>
          <w:lang w:val="lv-LV"/>
        </w:rPr>
        <w:t>67876171</w:t>
      </w:r>
    </w:p>
    <w:p w14:paraId="3A43DC4B" w14:textId="77777777" w:rsidR="0091413D" w:rsidRPr="005A3EEC" w:rsidRDefault="0091413D" w:rsidP="0091413D">
      <w:pPr>
        <w:tabs>
          <w:tab w:val="right" w:pos="9356"/>
        </w:tabs>
        <w:spacing w:after="0"/>
        <w:rPr>
          <w:rFonts w:ascii="Times New Roman" w:hAnsi="Times New Roman"/>
          <w:sz w:val="24"/>
          <w:szCs w:val="24"/>
        </w:rPr>
      </w:pPr>
      <w:r>
        <w:rPr>
          <w:rFonts w:ascii="Times New Roman" w:hAnsi="Times New Roman"/>
          <w:noProof/>
          <w:sz w:val="24"/>
          <w:szCs w:val="24"/>
        </w:rPr>
        <w:t>elina.brinke</w:t>
      </w:r>
      <w:r w:rsidRPr="003756FE">
        <w:rPr>
          <w:rFonts w:ascii="Times New Roman" w:hAnsi="Times New Roman"/>
          <w:noProof/>
          <w:sz w:val="24"/>
          <w:szCs w:val="24"/>
        </w:rPr>
        <w:t>@vm.gov.lv</w:t>
      </w:r>
    </w:p>
    <w:p w14:paraId="4DCD8B95" w14:textId="77777777" w:rsidR="0091413D" w:rsidRPr="00C13EFF" w:rsidRDefault="0091413D" w:rsidP="007E6B2A">
      <w:pPr>
        <w:spacing w:after="0" w:line="240" w:lineRule="auto"/>
        <w:rPr>
          <w:rFonts w:ascii="Times New Roman" w:hAnsi="Times New Roman" w:cs="Times New Roman"/>
          <w:sz w:val="24"/>
          <w:szCs w:val="28"/>
        </w:rPr>
      </w:pPr>
    </w:p>
    <w:sectPr w:rsidR="0091413D" w:rsidRPr="00C13EFF"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2BE244A0" w:rsidR="009D7D59" w:rsidRPr="003D5A1A" w:rsidRDefault="003D5A1A" w:rsidP="003D5A1A">
    <w:pPr>
      <w:pStyle w:val="Footer"/>
    </w:pPr>
    <w:r w:rsidRPr="00F0763D">
      <w:rPr>
        <w:rFonts w:ascii="Times New Roman" w:eastAsia="Times New Roman" w:hAnsi="Times New Roman" w:cs="Times New Roman"/>
        <w:sz w:val="20"/>
        <w:szCs w:val="20"/>
        <w:lang w:eastAsia="lv-LV"/>
      </w:rPr>
      <w:t>VManot_</w:t>
    </w:r>
    <w:r>
      <w:rPr>
        <w:rFonts w:ascii="Times New Roman" w:eastAsia="Times New Roman" w:hAnsi="Times New Roman" w:cs="Times New Roman"/>
        <w:sz w:val="20"/>
        <w:szCs w:val="20"/>
        <w:lang w:eastAsia="lv-LV"/>
      </w:rPr>
      <w:t>0</w:t>
    </w:r>
    <w:r w:rsidR="00595F3A">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06</w:t>
    </w:r>
    <w:r w:rsidRPr="00F0763D">
      <w:rPr>
        <w:rFonts w:ascii="Times New Roman" w:eastAsia="Times New Roman" w:hAnsi="Times New Roman" w:cs="Times New Roman"/>
        <w:sz w:val="20"/>
        <w:szCs w:val="20"/>
        <w:lang w:eastAsia="lv-LV"/>
      </w:rPr>
      <w:t>21_grozMK850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AF82" w14:textId="651A17C9" w:rsidR="003D5A1A" w:rsidRPr="00291CE4" w:rsidRDefault="003D5A1A" w:rsidP="003D5A1A">
    <w:pPr>
      <w:pStyle w:val="Footer"/>
    </w:pPr>
    <w:r w:rsidRPr="00F0763D">
      <w:rPr>
        <w:rFonts w:ascii="Times New Roman" w:eastAsia="Times New Roman" w:hAnsi="Times New Roman" w:cs="Times New Roman"/>
        <w:sz w:val="20"/>
        <w:szCs w:val="20"/>
        <w:lang w:eastAsia="lv-LV"/>
      </w:rPr>
      <w:t>VManot_</w:t>
    </w:r>
    <w:r>
      <w:rPr>
        <w:rFonts w:ascii="Times New Roman" w:eastAsia="Times New Roman" w:hAnsi="Times New Roman" w:cs="Times New Roman"/>
        <w:sz w:val="20"/>
        <w:szCs w:val="20"/>
        <w:lang w:eastAsia="lv-LV"/>
      </w:rPr>
      <w:t>0</w:t>
    </w:r>
    <w:r w:rsidR="00595F3A">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06</w:t>
    </w:r>
    <w:r w:rsidRPr="00F0763D">
      <w:rPr>
        <w:rFonts w:ascii="Times New Roman" w:eastAsia="Times New Roman" w:hAnsi="Times New Roman" w:cs="Times New Roman"/>
        <w:sz w:val="20"/>
        <w:szCs w:val="20"/>
        <w:lang w:eastAsia="lv-LV"/>
      </w:rPr>
      <w:t>21_grozMK850</w:t>
    </w:r>
  </w:p>
  <w:p w14:paraId="42008520" w14:textId="0EB03670" w:rsidR="009D7D59" w:rsidRPr="002E2EB6" w:rsidRDefault="009D7D59" w:rsidP="002E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A25C0E"/>
    <w:multiLevelType w:val="hybridMultilevel"/>
    <w:tmpl w:val="91C25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78169D"/>
    <w:multiLevelType w:val="hybridMultilevel"/>
    <w:tmpl w:val="6C52E1DE"/>
    <w:lvl w:ilvl="0" w:tplc="C05E87B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2" w15:restartNumberingAfterBreak="0">
    <w:nsid w:val="538F5B19"/>
    <w:multiLevelType w:val="hybridMultilevel"/>
    <w:tmpl w:val="4C4A3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F17694"/>
    <w:multiLevelType w:val="hybridMultilevel"/>
    <w:tmpl w:val="4FF03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4"/>
  </w:num>
  <w:num w:numId="5">
    <w:abstractNumId w:val="15"/>
  </w:num>
  <w:num w:numId="6">
    <w:abstractNumId w:val="10"/>
  </w:num>
  <w:num w:numId="7">
    <w:abstractNumId w:val="4"/>
  </w:num>
  <w:num w:numId="8">
    <w:abstractNumId w:val="6"/>
  </w:num>
  <w:num w:numId="9">
    <w:abstractNumId w:val="3"/>
  </w:num>
  <w:num w:numId="10">
    <w:abstractNumId w:val="7"/>
  </w:num>
  <w:num w:numId="11">
    <w:abstractNumId w:val="0"/>
  </w:num>
  <w:num w:numId="12">
    <w:abstractNumId w:val="2"/>
  </w:num>
  <w:num w:numId="13">
    <w:abstractNumId w:val="9"/>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27657"/>
    <w:rsid w:val="00031D93"/>
    <w:rsid w:val="00032EF2"/>
    <w:rsid w:val="00044028"/>
    <w:rsid w:val="00052DFE"/>
    <w:rsid w:val="00057EB1"/>
    <w:rsid w:val="000669EC"/>
    <w:rsid w:val="00066E5F"/>
    <w:rsid w:val="0007278B"/>
    <w:rsid w:val="00075D37"/>
    <w:rsid w:val="00083CF6"/>
    <w:rsid w:val="0008410D"/>
    <w:rsid w:val="00085A5A"/>
    <w:rsid w:val="00087A23"/>
    <w:rsid w:val="00091E04"/>
    <w:rsid w:val="00092597"/>
    <w:rsid w:val="00092984"/>
    <w:rsid w:val="00095861"/>
    <w:rsid w:val="000976F2"/>
    <w:rsid w:val="000A0010"/>
    <w:rsid w:val="000A1151"/>
    <w:rsid w:val="000A4D59"/>
    <w:rsid w:val="000B47C4"/>
    <w:rsid w:val="000C490C"/>
    <w:rsid w:val="000C6AFA"/>
    <w:rsid w:val="000C7D0F"/>
    <w:rsid w:val="000D1A43"/>
    <w:rsid w:val="000D2248"/>
    <w:rsid w:val="000D5547"/>
    <w:rsid w:val="000E0284"/>
    <w:rsid w:val="000E2322"/>
    <w:rsid w:val="000E3F6E"/>
    <w:rsid w:val="000F6AE3"/>
    <w:rsid w:val="00105AAC"/>
    <w:rsid w:val="00111363"/>
    <w:rsid w:val="00114943"/>
    <w:rsid w:val="00116C28"/>
    <w:rsid w:val="00122038"/>
    <w:rsid w:val="001312E9"/>
    <w:rsid w:val="0013301B"/>
    <w:rsid w:val="001336B4"/>
    <w:rsid w:val="00137903"/>
    <w:rsid w:val="00140A51"/>
    <w:rsid w:val="00141D8E"/>
    <w:rsid w:val="00144763"/>
    <w:rsid w:val="00144998"/>
    <w:rsid w:val="00154080"/>
    <w:rsid w:val="001566E1"/>
    <w:rsid w:val="00156BB8"/>
    <w:rsid w:val="001571CA"/>
    <w:rsid w:val="00157BFC"/>
    <w:rsid w:val="00160626"/>
    <w:rsid w:val="00162412"/>
    <w:rsid w:val="00162A2F"/>
    <w:rsid w:val="001751DA"/>
    <w:rsid w:val="00177A68"/>
    <w:rsid w:val="0018564F"/>
    <w:rsid w:val="00187B24"/>
    <w:rsid w:val="00195205"/>
    <w:rsid w:val="00196445"/>
    <w:rsid w:val="001A05AA"/>
    <w:rsid w:val="001A2B15"/>
    <w:rsid w:val="001A49AA"/>
    <w:rsid w:val="001A4CC0"/>
    <w:rsid w:val="001A5304"/>
    <w:rsid w:val="001B05DB"/>
    <w:rsid w:val="001B05E3"/>
    <w:rsid w:val="001B66B2"/>
    <w:rsid w:val="001C088F"/>
    <w:rsid w:val="001C1B61"/>
    <w:rsid w:val="001C6B51"/>
    <w:rsid w:val="001C75EC"/>
    <w:rsid w:val="001D713B"/>
    <w:rsid w:val="001D75D0"/>
    <w:rsid w:val="001E1D31"/>
    <w:rsid w:val="001F3A4A"/>
    <w:rsid w:val="001F425F"/>
    <w:rsid w:val="001F7E87"/>
    <w:rsid w:val="00200338"/>
    <w:rsid w:val="00205185"/>
    <w:rsid w:val="00206935"/>
    <w:rsid w:val="00242A4C"/>
    <w:rsid w:val="0024604B"/>
    <w:rsid w:val="002519EE"/>
    <w:rsid w:val="00252768"/>
    <w:rsid w:val="0025296C"/>
    <w:rsid w:val="002631BF"/>
    <w:rsid w:val="00263B22"/>
    <w:rsid w:val="00271D1F"/>
    <w:rsid w:val="00272F7D"/>
    <w:rsid w:val="00273FD4"/>
    <w:rsid w:val="00276A81"/>
    <w:rsid w:val="00280A6B"/>
    <w:rsid w:val="00287271"/>
    <w:rsid w:val="00291CE4"/>
    <w:rsid w:val="0029585A"/>
    <w:rsid w:val="002961D8"/>
    <w:rsid w:val="00297A0B"/>
    <w:rsid w:val="002A10C1"/>
    <w:rsid w:val="002A392A"/>
    <w:rsid w:val="002A4B8B"/>
    <w:rsid w:val="002A5E19"/>
    <w:rsid w:val="002B1223"/>
    <w:rsid w:val="002B14B8"/>
    <w:rsid w:val="002B510D"/>
    <w:rsid w:val="002C1BCC"/>
    <w:rsid w:val="002C3B6A"/>
    <w:rsid w:val="002C3CF3"/>
    <w:rsid w:val="002C5AC6"/>
    <w:rsid w:val="002C6AD7"/>
    <w:rsid w:val="002C7628"/>
    <w:rsid w:val="002D5487"/>
    <w:rsid w:val="002E027E"/>
    <w:rsid w:val="002E02AA"/>
    <w:rsid w:val="002E0487"/>
    <w:rsid w:val="002E140D"/>
    <w:rsid w:val="002E1AE9"/>
    <w:rsid w:val="002E2EB6"/>
    <w:rsid w:val="002E4379"/>
    <w:rsid w:val="002E6F6A"/>
    <w:rsid w:val="002F15FE"/>
    <w:rsid w:val="002F181A"/>
    <w:rsid w:val="002F4B93"/>
    <w:rsid w:val="003117FB"/>
    <w:rsid w:val="00313E0A"/>
    <w:rsid w:val="00316074"/>
    <w:rsid w:val="00317FDB"/>
    <w:rsid w:val="00323E59"/>
    <w:rsid w:val="0032421E"/>
    <w:rsid w:val="00324754"/>
    <w:rsid w:val="00333F6A"/>
    <w:rsid w:val="003354AF"/>
    <w:rsid w:val="00337697"/>
    <w:rsid w:val="00337778"/>
    <w:rsid w:val="00341BAD"/>
    <w:rsid w:val="00342047"/>
    <w:rsid w:val="00342DB9"/>
    <w:rsid w:val="0034366D"/>
    <w:rsid w:val="00344E09"/>
    <w:rsid w:val="00344E37"/>
    <w:rsid w:val="00345AAA"/>
    <w:rsid w:val="0034676A"/>
    <w:rsid w:val="00351B51"/>
    <w:rsid w:val="003545AB"/>
    <w:rsid w:val="00367F94"/>
    <w:rsid w:val="003712B5"/>
    <w:rsid w:val="00371C88"/>
    <w:rsid w:val="00371F18"/>
    <w:rsid w:val="00373448"/>
    <w:rsid w:val="00385B6D"/>
    <w:rsid w:val="00387790"/>
    <w:rsid w:val="00390B4E"/>
    <w:rsid w:val="003A0E17"/>
    <w:rsid w:val="003A29E2"/>
    <w:rsid w:val="003A376A"/>
    <w:rsid w:val="003A3C5A"/>
    <w:rsid w:val="003A42C4"/>
    <w:rsid w:val="003A5C4E"/>
    <w:rsid w:val="003B4887"/>
    <w:rsid w:val="003B63E4"/>
    <w:rsid w:val="003C1921"/>
    <w:rsid w:val="003C22DC"/>
    <w:rsid w:val="003D1230"/>
    <w:rsid w:val="003D15E2"/>
    <w:rsid w:val="003D5A1A"/>
    <w:rsid w:val="003E7310"/>
    <w:rsid w:val="003F44E3"/>
    <w:rsid w:val="0040536B"/>
    <w:rsid w:val="004059A2"/>
    <w:rsid w:val="0041142C"/>
    <w:rsid w:val="00412439"/>
    <w:rsid w:val="004221EA"/>
    <w:rsid w:val="004231CC"/>
    <w:rsid w:val="00425035"/>
    <w:rsid w:val="00425B3A"/>
    <w:rsid w:val="00426EE3"/>
    <w:rsid w:val="004353D8"/>
    <w:rsid w:val="00442417"/>
    <w:rsid w:val="004470BD"/>
    <w:rsid w:val="00454E76"/>
    <w:rsid w:val="00456B73"/>
    <w:rsid w:val="00473581"/>
    <w:rsid w:val="00480999"/>
    <w:rsid w:val="00483A03"/>
    <w:rsid w:val="00487206"/>
    <w:rsid w:val="0049311E"/>
    <w:rsid w:val="00497DBB"/>
    <w:rsid w:val="004A2382"/>
    <w:rsid w:val="004A248C"/>
    <w:rsid w:val="004A3552"/>
    <w:rsid w:val="004A3F85"/>
    <w:rsid w:val="004A5598"/>
    <w:rsid w:val="004B4377"/>
    <w:rsid w:val="004D0CE3"/>
    <w:rsid w:val="004D3F5C"/>
    <w:rsid w:val="004D7037"/>
    <w:rsid w:val="004E2D9C"/>
    <w:rsid w:val="004F1EB0"/>
    <w:rsid w:val="004F4AAB"/>
    <w:rsid w:val="004F738C"/>
    <w:rsid w:val="004F7F24"/>
    <w:rsid w:val="00502DFD"/>
    <w:rsid w:val="00504320"/>
    <w:rsid w:val="00513BE2"/>
    <w:rsid w:val="00514ACB"/>
    <w:rsid w:val="00514BC3"/>
    <w:rsid w:val="005152B1"/>
    <w:rsid w:val="0053215F"/>
    <w:rsid w:val="00534268"/>
    <w:rsid w:val="00535888"/>
    <w:rsid w:val="00545B81"/>
    <w:rsid w:val="0055413D"/>
    <w:rsid w:val="0055755B"/>
    <w:rsid w:val="005735D4"/>
    <w:rsid w:val="005758FB"/>
    <w:rsid w:val="005764B7"/>
    <w:rsid w:val="0059150F"/>
    <w:rsid w:val="00593BC7"/>
    <w:rsid w:val="0059599E"/>
    <w:rsid w:val="00595F3A"/>
    <w:rsid w:val="005A1ABA"/>
    <w:rsid w:val="005A7B0E"/>
    <w:rsid w:val="005B3B62"/>
    <w:rsid w:val="005B44CF"/>
    <w:rsid w:val="005B481B"/>
    <w:rsid w:val="005C3B9D"/>
    <w:rsid w:val="005C5DC6"/>
    <w:rsid w:val="005C64D7"/>
    <w:rsid w:val="005D1864"/>
    <w:rsid w:val="005D62C3"/>
    <w:rsid w:val="005E10C8"/>
    <w:rsid w:val="005E1930"/>
    <w:rsid w:val="005E7398"/>
    <w:rsid w:val="005E7C04"/>
    <w:rsid w:val="005F3C49"/>
    <w:rsid w:val="0060363C"/>
    <w:rsid w:val="00603BD7"/>
    <w:rsid w:val="00604451"/>
    <w:rsid w:val="0060585D"/>
    <w:rsid w:val="00620304"/>
    <w:rsid w:val="00625196"/>
    <w:rsid w:val="0062651F"/>
    <w:rsid w:val="00626C1E"/>
    <w:rsid w:val="00636B7E"/>
    <w:rsid w:val="00641AF8"/>
    <w:rsid w:val="00642959"/>
    <w:rsid w:val="00647A6F"/>
    <w:rsid w:val="006510B8"/>
    <w:rsid w:val="00652F39"/>
    <w:rsid w:val="00656AD7"/>
    <w:rsid w:val="00657563"/>
    <w:rsid w:val="00661ED6"/>
    <w:rsid w:val="00664759"/>
    <w:rsid w:val="006701F4"/>
    <w:rsid w:val="0067096C"/>
    <w:rsid w:val="00671E52"/>
    <w:rsid w:val="00675455"/>
    <w:rsid w:val="006803FE"/>
    <w:rsid w:val="0068081B"/>
    <w:rsid w:val="00681D29"/>
    <w:rsid w:val="00684078"/>
    <w:rsid w:val="00685C9E"/>
    <w:rsid w:val="006921BC"/>
    <w:rsid w:val="00696E1B"/>
    <w:rsid w:val="006A3466"/>
    <w:rsid w:val="006A3F81"/>
    <w:rsid w:val="006A5389"/>
    <w:rsid w:val="006B266D"/>
    <w:rsid w:val="006B2F9A"/>
    <w:rsid w:val="006B32D8"/>
    <w:rsid w:val="006B681F"/>
    <w:rsid w:val="006B7255"/>
    <w:rsid w:val="006C36E5"/>
    <w:rsid w:val="006C5703"/>
    <w:rsid w:val="006D15C8"/>
    <w:rsid w:val="006D22E5"/>
    <w:rsid w:val="006D6DB7"/>
    <w:rsid w:val="0071090F"/>
    <w:rsid w:val="007223FE"/>
    <w:rsid w:val="00724197"/>
    <w:rsid w:val="0072440B"/>
    <w:rsid w:val="00725148"/>
    <w:rsid w:val="00725922"/>
    <w:rsid w:val="0072776A"/>
    <w:rsid w:val="00727E9F"/>
    <w:rsid w:val="00727FD6"/>
    <w:rsid w:val="00731409"/>
    <w:rsid w:val="00734D88"/>
    <w:rsid w:val="00736FA1"/>
    <w:rsid w:val="007407B4"/>
    <w:rsid w:val="00742B05"/>
    <w:rsid w:val="00742C84"/>
    <w:rsid w:val="00745C91"/>
    <w:rsid w:val="00746CE6"/>
    <w:rsid w:val="0075152B"/>
    <w:rsid w:val="007518AA"/>
    <w:rsid w:val="0077465B"/>
    <w:rsid w:val="00782002"/>
    <w:rsid w:val="0079688F"/>
    <w:rsid w:val="00797AB0"/>
    <w:rsid w:val="007A3FA1"/>
    <w:rsid w:val="007A71FC"/>
    <w:rsid w:val="007B0528"/>
    <w:rsid w:val="007B3F67"/>
    <w:rsid w:val="007B6BCC"/>
    <w:rsid w:val="007C3F73"/>
    <w:rsid w:val="007C74EF"/>
    <w:rsid w:val="007D71D6"/>
    <w:rsid w:val="007D7575"/>
    <w:rsid w:val="007E2DD8"/>
    <w:rsid w:val="007E4193"/>
    <w:rsid w:val="007E4536"/>
    <w:rsid w:val="007E6B2A"/>
    <w:rsid w:val="007F04F9"/>
    <w:rsid w:val="00802A02"/>
    <w:rsid w:val="00803A70"/>
    <w:rsid w:val="00805BE3"/>
    <w:rsid w:val="00812A8C"/>
    <w:rsid w:val="00826E6A"/>
    <w:rsid w:val="008314E5"/>
    <w:rsid w:val="00851206"/>
    <w:rsid w:val="00854BE5"/>
    <w:rsid w:val="00863944"/>
    <w:rsid w:val="008670E6"/>
    <w:rsid w:val="008723FA"/>
    <w:rsid w:val="00882A36"/>
    <w:rsid w:val="00882DBA"/>
    <w:rsid w:val="00883F29"/>
    <w:rsid w:val="00886D79"/>
    <w:rsid w:val="00893CF9"/>
    <w:rsid w:val="008A2D6D"/>
    <w:rsid w:val="008A49BF"/>
    <w:rsid w:val="008B13A0"/>
    <w:rsid w:val="008B1BB5"/>
    <w:rsid w:val="008B2094"/>
    <w:rsid w:val="008B3101"/>
    <w:rsid w:val="008B3BDF"/>
    <w:rsid w:val="008C242E"/>
    <w:rsid w:val="008C2FA4"/>
    <w:rsid w:val="008C46AB"/>
    <w:rsid w:val="008C5F53"/>
    <w:rsid w:val="008C7FF7"/>
    <w:rsid w:val="008E15C0"/>
    <w:rsid w:val="009031F5"/>
    <w:rsid w:val="00904D34"/>
    <w:rsid w:val="00911954"/>
    <w:rsid w:val="00914064"/>
    <w:rsid w:val="0091413D"/>
    <w:rsid w:val="009201BB"/>
    <w:rsid w:val="00922F28"/>
    <w:rsid w:val="00925B5A"/>
    <w:rsid w:val="00946B3B"/>
    <w:rsid w:val="00950838"/>
    <w:rsid w:val="009556FB"/>
    <w:rsid w:val="00955A5B"/>
    <w:rsid w:val="009763A8"/>
    <w:rsid w:val="009771E5"/>
    <w:rsid w:val="00977FBF"/>
    <w:rsid w:val="00977FF3"/>
    <w:rsid w:val="0099298E"/>
    <w:rsid w:val="0099398F"/>
    <w:rsid w:val="00995645"/>
    <w:rsid w:val="009956E4"/>
    <w:rsid w:val="00995846"/>
    <w:rsid w:val="00995EE3"/>
    <w:rsid w:val="00996F61"/>
    <w:rsid w:val="009A3982"/>
    <w:rsid w:val="009A412D"/>
    <w:rsid w:val="009A4222"/>
    <w:rsid w:val="009A5645"/>
    <w:rsid w:val="009B370A"/>
    <w:rsid w:val="009B3BE8"/>
    <w:rsid w:val="009B3CEC"/>
    <w:rsid w:val="009B775D"/>
    <w:rsid w:val="009D3273"/>
    <w:rsid w:val="009D4395"/>
    <w:rsid w:val="009D7D59"/>
    <w:rsid w:val="009E1D54"/>
    <w:rsid w:val="009E5C6B"/>
    <w:rsid w:val="009E60C7"/>
    <w:rsid w:val="009E658F"/>
    <w:rsid w:val="009F52B0"/>
    <w:rsid w:val="009F6D72"/>
    <w:rsid w:val="00A03EFD"/>
    <w:rsid w:val="00A1243C"/>
    <w:rsid w:val="00A1381F"/>
    <w:rsid w:val="00A16FD6"/>
    <w:rsid w:val="00A17EEC"/>
    <w:rsid w:val="00A235BA"/>
    <w:rsid w:val="00A34FB0"/>
    <w:rsid w:val="00A36D97"/>
    <w:rsid w:val="00A40AFD"/>
    <w:rsid w:val="00A504C8"/>
    <w:rsid w:val="00A52342"/>
    <w:rsid w:val="00A547FB"/>
    <w:rsid w:val="00A63523"/>
    <w:rsid w:val="00A751EC"/>
    <w:rsid w:val="00A764CA"/>
    <w:rsid w:val="00A7687B"/>
    <w:rsid w:val="00A8197C"/>
    <w:rsid w:val="00A85D28"/>
    <w:rsid w:val="00A90962"/>
    <w:rsid w:val="00A90EB2"/>
    <w:rsid w:val="00AA0090"/>
    <w:rsid w:val="00AA07DE"/>
    <w:rsid w:val="00AA6D8E"/>
    <w:rsid w:val="00AB0F8D"/>
    <w:rsid w:val="00AB5A79"/>
    <w:rsid w:val="00AC31B5"/>
    <w:rsid w:val="00AC3CFA"/>
    <w:rsid w:val="00AC3E32"/>
    <w:rsid w:val="00AD0B0F"/>
    <w:rsid w:val="00AD1C41"/>
    <w:rsid w:val="00AD7072"/>
    <w:rsid w:val="00AE0A00"/>
    <w:rsid w:val="00AE2E72"/>
    <w:rsid w:val="00AE31DA"/>
    <w:rsid w:val="00AE4EFC"/>
    <w:rsid w:val="00AF30FC"/>
    <w:rsid w:val="00AF3BE7"/>
    <w:rsid w:val="00AF6AB0"/>
    <w:rsid w:val="00AF7641"/>
    <w:rsid w:val="00B07CE3"/>
    <w:rsid w:val="00B13D9E"/>
    <w:rsid w:val="00B14B62"/>
    <w:rsid w:val="00B20E84"/>
    <w:rsid w:val="00B23552"/>
    <w:rsid w:val="00B236F0"/>
    <w:rsid w:val="00B24624"/>
    <w:rsid w:val="00B2745B"/>
    <w:rsid w:val="00B32161"/>
    <w:rsid w:val="00B33F20"/>
    <w:rsid w:val="00B3576F"/>
    <w:rsid w:val="00B35F66"/>
    <w:rsid w:val="00B37EFB"/>
    <w:rsid w:val="00B430D9"/>
    <w:rsid w:val="00B53339"/>
    <w:rsid w:val="00B53A07"/>
    <w:rsid w:val="00B54E70"/>
    <w:rsid w:val="00B608AE"/>
    <w:rsid w:val="00B76C75"/>
    <w:rsid w:val="00B7759C"/>
    <w:rsid w:val="00B80753"/>
    <w:rsid w:val="00B844CA"/>
    <w:rsid w:val="00B85C15"/>
    <w:rsid w:val="00B86F86"/>
    <w:rsid w:val="00BB103E"/>
    <w:rsid w:val="00BB2713"/>
    <w:rsid w:val="00BC1E46"/>
    <w:rsid w:val="00BC2DAD"/>
    <w:rsid w:val="00BC4A6D"/>
    <w:rsid w:val="00BC5F4D"/>
    <w:rsid w:val="00BC7E1B"/>
    <w:rsid w:val="00BD50E2"/>
    <w:rsid w:val="00BD6E4A"/>
    <w:rsid w:val="00BF0DE0"/>
    <w:rsid w:val="00BF6AD1"/>
    <w:rsid w:val="00BF71E8"/>
    <w:rsid w:val="00C02689"/>
    <w:rsid w:val="00C04FF8"/>
    <w:rsid w:val="00C135AA"/>
    <w:rsid w:val="00C13EFF"/>
    <w:rsid w:val="00C20362"/>
    <w:rsid w:val="00C2181D"/>
    <w:rsid w:val="00C25A8F"/>
    <w:rsid w:val="00C263B3"/>
    <w:rsid w:val="00C27F51"/>
    <w:rsid w:val="00C33657"/>
    <w:rsid w:val="00C34539"/>
    <w:rsid w:val="00C359FA"/>
    <w:rsid w:val="00C36626"/>
    <w:rsid w:val="00C40082"/>
    <w:rsid w:val="00C401DF"/>
    <w:rsid w:val="00C40695"/>
    <w:rsid w:val="00C42BA0"/>
    <w:rsid w:val="00C44496"/>
    <w:rsid w:val="00C47F2A"/>
    <w:rsid w:val="00C5135B"/>
    <w:rsid w:val="00C61CB2"/>
    <w:rsid w:val="00C704F2"/>
    <w:rsid w:val="00C71CC7"/>
    <w:rsid w:val="00C74659"/>
    <w:rsid w:val="00C800E2"/>
    <w:rsid w:val="00C80A89"/>
    <w:rsid w:val="00C85D10"/>
    <w:rsid w:val="00C86728"/>
    <w:rsid w:val="00C901A8"/>
    <w:rsid w:val="00C94620"/>
    <w:rsid w:val="00CA33EC"/>
    <w:rsid w:val="00CA3F21"/>
    <w:rsid w:val="00CA6A47"/>
    <w:rsid w:val="00CB0111"/>
    <w:rsid w:val="00CB1936"/>
    <w:rsid w:val="00CB60A4"/>
    <w:rsid w:val="00CC0EA9"/>
    <w:rsid w:val="00CC2785"/>
    <w:rsid w:val="00CC4175"/>
    <w:rsid w:val="00CD26BC"/>
    <w:rsid w:val="00CE166E"/>
    <w:rsid w:val="00CE4139"/>
    <w:rsid w:val="00CF3D8A"/>
    <w:rsid w:val="00D0462F"/>
    <w:rsid w:val="00D04CDF"/>
    <w:rsid w:val="00D10D95"/>
    <w:rsid w:val="00D20561"/>
    <w:rsid w:val="00D32189"/>
    <w:rsid w:val="00D322A9"/>
    <w:rsid w:val="00D35229"/>
    <w:rsid w:val="00D43B94"/>
    <w:rsid w:val="00D46C03"/>
    <w:rsid w:val="00D5117C"/>
    <w:rsid w:val="00D57206"/>
    <w:rsid w:val="00D6081F"/>
    <w:rsid w:val="00D62EC3"/>
    <w:rsid w:val="00D70DC5"/>
    <w:rsid w:val="00D72509"/>
    <w:rsid w:val="00D729DF"/>
    <w:rsid w:val="00D74883"/>
    <w:rsid w:val="00D76C91"/>
    <w:rsid w:val="00D77367"/>
    <w:rsid w:val="00D827CA"/>
    <w:rsid w:val="00D83027"/>
    <w:rsid w:val="00D856F7"/>
    <w:rsid w:val="00D85BD3"/>
    <w:rsid w:val="00D94EEE"/>
    <w:rsid w:val="00D9525C"/>
    <w:rsid w:val="00D974CA"/>
    <w:rsid w:val="00DA2666"/>
    <w:rsid w:val="00DB015B"/>
    <w:rsid w:val="00DB11B3"/>
    <w:rsid w:val="00DB63FD"/>
    <w:rsid w:val="00DC11BA"/>
    <w:rsid w:val="00DD20E5"/>
    <w:rsid w:val="00DD556F"/>
    <w:rsid w:val="00DD7352"/>
    <w:rsid w:val="00DE1419"/>
    <w:rsid w:val="00DF75A0"/>
    <w:rsid w:val="00DF760B"/>
    <w:rsid w:val="00E021CF"/>
    <w:rsid w:val="00E0299E"/>
    <w:rsid w:val="00E06788"/>
    <w:rsid w:val="00E111A6"/>
    <w:rsid w:val="00E132DA"/>
    <w:rsid w:val="00E1494D"/>
    <w:rsid w:val="00E279A6"/>
    <w:rsid w:val="00E27E70"/>
    <w:rsid w:val="00E3482B"/>
    <w:rsid w:val="00E34FC4"/>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73B4E"/>
    <w:rsid w:val="00E76808"/>
    <w:rsid w:val="00E804E9"/>
    <w:rsid w:val="00E86ABC"/>
    <w:rsid w:val="00E86BD9"/>
    <w:rsid w:val="00E93BD2"/>
    <w:rsid w:val="00E94387"/>
    <w:rsid w:val="00EB18C7"/>
    <w:rsid w:val="00EC33C6"/>
    <w:rsid w:val="00EC4FFC"/>
    <w:rsid w:val="00EC7B41"/>
    <w:rsid w:val="00ED3BB5"/>
    <w:rsid w:val="00EE3E04"/>
    <w:rsid w:val="00EE3EFE"/>
    <w:rsid w:val="00EF5D0E"/>
    <w:rsid w:val="00EF6116"/>
    <w:rsid w:val="00F046BC"/>
    <w:rsid w:val="00F0629B"/>
    <w:rsid w:val="00F0763D"/>
    <w:rsid w:val="00F12071"/>
    <w:rsid w:val="00F15DCD"/>
    <w:rsid w:val="00F200EA"/>
    <w:rsid w:val="00F226BF"/>
    <w:rsid w:val="00F23674"/>
    <w:rsid w:val="00F26541"/>
    <w:rsid w:val="00F30098"/>
    <w:rsid w:val="00F45121"/>
    <w:rsid w:val="00F46C4A"/>
    <w:rsid w:val="00F56776"/>
    <w:rsid w:val="00F64DDA"/>
    <w:rsid w:val="00F65FB1"/>
    <w:rsid w:val="00F663E9"/>
    <w:rsid w:val="00F66B40"/>
    <w:rsid w:val="00F67E68"/>
    <w:rsid w:val="00F71269"/>
    <w:rsid w:val="00F74BAD"/>
    <w:rsid w:val="00F803D1"/>
    <w:rsid w:val="00F8151E"/>
    <w:rsid w:val="00F91D56"/>
    <w:rsid w:val="00F9336A"/>
    <w:rsid w:val="00FA153F"/>
    <w:rsid w:val="00FB4F25"/>
    <w:rsid w:val="00FB66B1"/>
    <w:rsid w:val="00FC47B2"/>
    <w:rsid w:val="00FC6DC3"/>
    <w:rsid w:val="00FD3B42"/>
    <w:rsid w:val="00FD610A"/>
    <w:rsid w:val="00FE3626"/>
    <w:rsid w:val="00FE7194"/>
    <w:rsid w:val="00FF6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2385-1138-4179-AF32-BC48CE4E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12235</Words>
  <Characters>6975</Characters>
  <Application>Microsoft Office Word</Application>
  <DocSecurity>0</DocSecurity>
  <Lines>58</Lines>
  <Paragraphs>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Grozījuma Ministru kabineta 2011.gada 1.novembra noteikumos Nr.850 „Nacionālā veselības dienesta nolikums” projekta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Grozījuma Ministru kabineta 2011.gada 1.novembra noteikumos Nr.850 „Nacionālā veselības dienesta nolikums” projekta sākotnējās ietekmes novērtējuma ziņojums (anotācija)</dc:title>
  <dc:subject>anotācija</dc:subject>
  <dc:creator>Elina.Brinke@vm.gov.lv</dc:creator>
  <cp:keywords/>
  <dc:description>Briņķe 67876171
Elina.Brinke@vm.gov.lv</dc:description>
  <cp:lastModifiedBy>Elīna Briņķe</cp:lastModifiedBy>
  <cp:revision>124</cp:revision>
  <cp:lastPrinted>2020-09-10T14:00:00Z</cp:lastPrinted>
  <dcterms:created xsi:type="dcterms:W3CDTF">2021-03-08T09:39:00Z</dcterms:created>
  <dcterms:modified xsi:type="dcterms:W3CDTF">2021-06-09T10:25:00Z</dcterms:modified>
</cp:coreProperties>
</file>