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4972" w14:textId="77777777" w:rsidR="008C4F09" w:rsidRPr="00981607" w:rsidRDefault="008C4F09" w:rsidP="008C4F09">
      <w:pPr>
        <w:jc w:val="center"/>
        <w:rPr>
          <w:b/>
          <w:bCs/>
          <w:sz w:val="28"/>
          <w:szCs w:val="28"/>
        </w:rPr>
      </w:pPr>
      <w:r w:rsidRPr="00981607">
        <w:rPr>
          <w:b/>
          <w:bCs/>
          <w:sz w:val="28"/>
          <w:szCs w:val="28"/>
        </w:rPr>
        <w:t>Ministru kabineta rīkojuma projekta</w:t>
      </w:r>
    </w:p>
    <w:p w14:paraId="64FC4973" w14:textId="7BD07CC8"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w:t>
      </w:r>
      <w:r w:rsidR="006D76E7">
        <w:rPr>
          <w:b/>
          <w:bCs/>
          <w:sz w:val="28"/>
          <w:szCs w:val="28"/>
        </w:rPr>
        <w:t>1</w:t>
      </w:r>
      <w:r w:rsidRPr="00981607">
        <w:rPr>
          <w:b/>
          <w:bCs/>
          <w:sz w:val="28"/>
          <w:szCs w:val="28"/>
        </w:rPr>
        <w:t>.gada budžeta apstiprināšanu” sākotnējās ietekmes novērtējuma ziņojums (anotācija)</w:t>
      </w:r>
    </w:p>
    <w:p w14:paraId="64FC4974"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64FC4976" w14:textId="77777777" w:rsidTr="006936E5">
        <w:tc>
          <w:tcPr>
            <w:tcW w:w="9356" w:type="dxa"/>
          </w:tcPr>
          <w:p w14:paraId="64FC4975"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14:paraId="64FC4978" w14:textId="77777777" w:rsidTr="006936E5">
        <w:tc>
          <w:tcPr>
            <w:tcW w:w="9356" w:type="dxa"/>
          </w:tcPr>
          <w:p w14:paraId="64FC4977" w14:textId="230B5A58" w:rsidR="00FC4316" w:rsidRPr="00EA3A1C" w:rsidRDefault="00A623FF" w:rsidP="00B02842">
            <w:pPr>
              <w:pStyle w:val="NoSpacing"/>
              <w:ind w:firstLine="881"/>
              <w:jc w:val="both"/>
              <w:rPr>
                <w:rFonts w:ascii="Times New Roman" w:hAnsi="Times New Roman" w:cs="Times New Roman"/>
                <w:sz w:val="24"/>
                <w:szCs w:val="24"/>
                <w:lang w:eastAsia="lv-LV"/>
              </w:rPr>
            </w:pPr>
            <w:r w:rsidRPr="00A623FF">
              <w:rPr>
                <w:rFonts w:ascii="Times New Roman" w:hAnsi="Times New Roman" w:cs="Times New Roman"/>
                <w:sz w:val="24"/>
                <w:szCs w:val="24"/>
                <w:lang w:eastAsia="lv-LV"/>
              </w:rPr>
              <w:t>Ministru kabineta rīkojuma “Par Zāļu valsts aģentūras 202</w:t>
            </w:r>
            <w:r>
              <w:rPr>
                <w:rFonts w:ascii="Times New Roman" w:hAnsi="Times New Roman" w:cs="Times New Roman"/>
                <w:sz w:val="24"/>
                <w:szCs w:val="24"/>
                <w:lang w:eastAsia="lv-LV"/>
              </w:rPr>
              <w:t>1</w:t>
            </w:r>
            <w:r w:rsidRPr="00A623FF">
              <w:rPr>
                <w:rFonts w:ascii="Times New Roman" w:hAnsi="Times New Roman" w:cs="Times New Roman"/>
                <w:sz w:val="24"/>
                <w:szCs w:val="24"/>
                <w:lang w:eastAsia="lv-LV"/>
              </w:rPr>
              <w:t>.gada budžeta apstiprināšanu”” projekta (turpmāk – rīkojuma projekts) mērķis ir no Zāļu valsts aģentūras (turpmāk – ZVA) neizmantotā 20</w:t>
            </w:r>
            <w:r>
              <w:rPr>
                <w:rFonts w:ascii="Times New Roman" w:hAnsi="Times New Roman" w:cs="Times New Roman"/>
                <w:sz w:val="24"/>
                <w:szCs w:val="24"/>
                <w:lang w:eastAsia="lv-LV"/>
              </w:rPr>
              <w:t>20</w:t>
            </w:r>
            <w:r w:rsidRPr="00A623FF">
              <w:rPr>
                <w:rFonts w:ascii="Times New Roman" w:hAnsi="Times New Roman" w:cs="Times New Roman"/>
                <w:sz w:val="24"/>
                <w:szCs w:val="24"/>
                <w:lang w:eastAsia="lv-LV"/>
              </w:rPr>
              <w:t>.gada maksas pakalpojumu līdzekļu atlikuma uz 202</w:t>
            </w:r>
            <w:r>
              <w:rPr>
                <w:rFonts w:ascii="Times New Roman" w:hAnsi="Times New Roman" w:cs="Times New Roman"/>
                <w:sz w:val="24"/>
                <w:szCs w:val="24"/>
                <w:lang w:eastAsia="lv-LV"/>
              </w:rPr>
              <w:t>1</w:t>
            </w:r>
            <w:r w:rsidRPr="00A623FF">
              <w:rPr>
                <w:rFonts w:ascii="Times New Roman" w:hAnsi="Times New Roman" w:cs="Times New Roman"/>
                <w:sz w:val="24"/>
                <w:szCs w:val="24"/>
                <w:lang w:eastAsia="lv-LV"/>
              </w:rPr>
              <w:t xml:space="preserve">.gada 1.janvāri </w:t>
            </w:r>
            <w:r w:rsidR="007F3C3A">
              <w:rPr>
                <w:rFonts w:ascii="Times New Roman" w:hAnsi="Times New Roman" w:cs="Times New Roman"/>
                <w:sz w:val="24"/>
                <w:szCs w:val="24"/>
                <w:lang w:eastAsia="lv-LV"/>
              </w:rPr>
              <w:t>618 446</w:t>
            </w:r>
            <w:r w:rsidR="00593420" w:rsidRPr="00593420">
              <w:rPr>
                <w:rFonts w:ascii="Times New Roman" w:hAnsi="Times New Roman" w:cs="Times New Roman"/>
                <w:sz w:val="24"/>
                <w:szCs w:val="24"/>
                <w:lang w:eastAsia="lv-LV"/>
              </w:rPr>
              <w:t xml:space="preserve"> </w:t>
            </w:r>
            <w:r w:rsidRPr="0050580C">
              <w:rPr>
                <w:rFonts w:ascii="Times New Roman" w:hAnsi="Times New Roman" w:cs="Times New Roman"/>
                <w:i/>
                <w:iCs/>
                <w:sz w:val="24"/>
                <w:szCs w:val="24"/>
                <w:lang w:eastAsia="lv-LV"/>
              </w:rPr>
              <w:t>euro</w:t>
            </w:r>
            <w:r w:rsidRPr="00A623FF">
              <w:rPr>
                <w:rFonts w:ascii="Times New Roman" w:hAnsi="Times New Roman" w:cs="Times New Roman"/>
                <w:sz w:val="24"/>
                <w:szCs w:val="24"/>
                <w:lang w:eastAsia="lv-LV"/>
              </w:rPr>
              <w:t xml:space="preserve"> apmērā</w:t>
            </w:r>
            <w:r w:rsidR="003A7EC6">
              <w:rPr>
                <w:rFonts w:ascii="Times New Roman" w:hAnsi="Times New Roman" w:cs="Times New Roman"/>
                <w:sz w:val="24"/>
                <w:szCs w:val="24"/>
                <w:lang w:eastAsia="lv-LV"/>
              </w:rPr>
              <w:t xml:space="preserve">, no tiem </w:t>
            </w:r>
            <w:r w:rsidR="00701B35">
              <w:rPr>
                <w:rFonts w:ascii="Times New Roman" w:hAnsi="Times New Roman" w:cs="Times New Roman"/>
                <w:sz w:val="24"/>
                <w:szCs w:val="24"/>
                <w:lang w:eastAsia="lv-LV"/>
              </w:rPr>
              <w:t xml:space="preserve">14 000 </w:t>
            </w:r>
            <w:r w:rsidR="00701B35">
              <w:rPr>
                <w:rFonts w:ascii="Times New Roman" w:hAnsi="Times New Roman" w:cs="Times New Roman"/>
                <w:i/>
                <w:iCs/>
                <w:sz w:val="24"/>
                <w:szCs w:val="24"/>
                <w:lang w:eastAsia="lv-LV"/>
              </w:rPr>
              <w:t xml:space="preserve">euro </w:t>
            </w:r>
            <w:r w:rsidR="00701B35">
              <w:rPr>
                <w:rFonts w:ascii="Times New Roman" w:hAnsi="Times New Roman" w:cs="Times New Roman"/>
                <w:sz w:val="24"/>
                <w:szCs w:val="24"/>
                <w:lang w:eastAsia="lv-LV"/>
              </w:rPr>
              <w:t>novirzīt uz valsts budžeta apakšprogrammas 06.02.00 “</w:t>
            </w:r>
            <w:r w:rsidR="00701B35" w:rsidRPr="00701B35">
              <w:rPr>
                <w:rFonts w:ascii="Times New Roman" w:hAnsi="Times New Roman" w:cs="Times New Roman"/>
                <w:sz w:val="24"/>
                <w:szCs w:val="24"/>
                <w:lang w:eastAsia="lv-LV"/>
              </w:rPr>
              <w:t>Medicīnas vēstures muzejs</w:t>
            </w:r>
            <w:r w:rsidR="00701B35">
              <w:rPr>
                <w:rFonts w:ascii="Times New Roman" w:hAnsi="Times New Roman" w:cs="Times New Roman"/>
                <w:sz w:val="24"/>
                <w:szCs w:val="24"/>
                <w:lang w:eastAsia="lv-LV"/>
              </w:rPr>
              <w:t>”, lai nodrošinātu muzeja darbiniek</w:t>
            </w:r>
            <w:r w:rsidR="00B664B1">
              <w:rPr>
                <w:rFonts w:ascii="Times New Roman" w:hAnsi="Times New Roman" w:cs="Times New Roman"/>
                <w:sz w:val="24"/>
                <w:szCs w:val="24"/>
                <w:lang w:eastAsia="lv-LV"/>
              </w:rPr>
              <w:t>u</w:t>
            </w:r>
            <w:r w:rsidR="00701B35">
              <w:rPr>
                <w:rFonts w:ascii="Times New Roman" w:hAnsi="Times New Roman" w:cs="Times New Roman"/>
                <w:sz w:val="24"/>
                <w:szCs w:val="24"/>
                <w:lang w:eastAsia="lv-LV"/>
              </w:rPr>
              <w:t xml:space="preserve"> veselības apdrošināšanas polises iegādi</w:t>
            </w:r>
            <w:r w:rsidR="007F3C3A">
              <w:rPr>
                <w:rFonts w:ascii="Times New Roman" w:hAnsi="Times New Roman" w:cs="Times New Roman"/>
                <w:sz w:val="24"/>
                <w:szCs w:val="24"/>
                <w:lang w:eastAsia="lv-LV"/>
              </w:rPr>
              <w:t xml:space="preserve"> un 604 446</w:t>
            </w:r>
            <w:r w:rsidR="007F3C3A" w:rsidRPr="00593420">
              <w:rPr>
                <w:rFonts w:ascii="Times New Roman" w:hAnsi="Times New Roman" w:cs="Times New Roman"/>
                <w:sz w:val="24"/>
                <w:szCs w:val="24"/>
                <w:lang w:eastAsia="lv-LV"/>
              </w:rPr>
              <w:t xml:space="preserve"> </w:t>
            </w:r>
            <w:r w:rsidR="007F3C3A" w:rsidRPr="00593420">
              <w:rPr>
                <w:rFonts w:ascii="Times New Roman" w:hAnsi="Times New Roman" w:cs="Times New Roman"/>
                <w:i/>
                <w:iCs/>
                <w:sz w:val="24"/>
                <w:szCs w:val="24"/>
                <w:lang w:eastAsia="lv-LV"/>
              </w:rPr>
              <w:t>euro</w:t>
            </w:r>
            <w:r w:rsidR="007F3C3A" w:rsidRPr="00593420">
              <w:rPr>
                <w:rFonts w:ascii="Times New Roman" w:hAnsi="Times New Roman" w:cs="Times New Roman"/>
                <w:sz w:val="24"/>
                <w:szCs w:val="24"/>
                <w:lang w:eastAsia="lv-LV"/>
              </w:rPr>
              <w:t xml:space="preserve"> apmērā paredzēts novirzīt ZVA svarīgāko pasākumu apmaksai</w:t>
            </w:r>
            <w:r w:rsidR="007F3C3A">
              <w:rPr>
                <w:rFonts w:ascii="Times New Roman" w:hAnsi="Times New Roman" w:cs="Times New Roman"/>
                <w:sz w:val="24"/>
                <w:szCs w:val="24"/>
                <w:lang w:eastAsia="lv-LV"/>
              </w:rPr>
              <w:t>.</w:t>
            </w:r>
          </w:p>
        </w:tc>
      </w:tr>
    </w:tbl>
    <w:p w14:paraId="64FC4979"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4FC497B" w14:textId="77777777" w:rsidTr="0079260F">
        <w:tc>
          <w:tcPr>
            <w:tcW w:w="9356" w:type="dxa"/>
            <w:gridSpan w:val="3"/>
          </w:tcPr>
          <w:p w14:paraId="64FC497A"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EC07D7" w14:paraId="64FC4983" w14:textId="77777777" w:rsidTr="007617D9">
        <w:tc>
          <w:tcPr>
            <w:tcW w:w="568" w:type="dxa"/>
          </w:tcPr>
          <w:p w14:paraId="64FC497C"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1559" w:type="dxa"/>
          </w:tcPr>
          <w:p w14:paraId="64FC497D"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Pamatojums</w:t>
            </w:r>
          </w:p>
        </w:tc>
        <w:tc>
          <w:tcPr>
            <w:tcW w:w="7229" w:type="dxa"/>
            <w:tcBorders>
              <w:bottom w:val="nil"/>
            </w:tcBorders>
          </w:tcPr>
          <w:p w14:paraId="64FC497E" w14:textId="7AF6611D" w:rsidR="008C4F09" w:rsidRPr="00EC07D7" w:rsidRDefault="00A623FF" w:rsidP="008C4F09">
            <w:pPr>
              <w:ind w:firstLine="336"/>
              <w:jc w:val="both"/>
              <w:rPr>
                <w:lang w:eastAsia="en-US"/>
              </w:rPr>
            </w:pPr>
            <w:r>
              <w:rPr>
                <w:lang w:eastAsia="en-US"/>
              </w:rPr>
              <w:t>R</w:t>
            </w:r>
            <w:r w:rsidR="008C4F09" w:rsidRPr="00EC07D7">
              <w:rPr>
                <w:lang w:eastAsia="en-US"/>
              </w:rPr>
              <w:t>īkojuma projekts izstrādāts, pamatojoties uz:</w:t>
            </w:r>
          </w:p>
          <w:p w14:paraId="64FC4981" w14:textId="11773530" w:rsidR="008C4F09" w:rsidRPr="00EC07D7" w:rsidRDefault="008C4F09" w:rsidP="00EA3A1C">
            <w:pPr>
              <w:pStyle w:val="ListParagraph"/>
              <w:numPr>
                <w:ilvl w:val="0"/>
                <w:numId w:val="9"/>
              </w:numPr>
              <w:jc w:val="both"/>
              <w:rPr>
                <w:lang w:eastAsia="en-US"/>
              </w:rPr>
            </w:pPr>
            <w:r w:rsidRPr="00EC07D7">
              <w:rPr>
                <w:lang w:eastAsia="en-US"/>
              </w:rPr>
              <w:t>Publisko aģentūru likuma 13.panta trešo daļu</w:t>
            </w:r>
            <w:r w:rsidR="0038105E">
              <w:rPr>
                <w:lang w:eastAsia="en-US"/>
              </w:rPr>
              <w:t xml:space="preserve"> un</w:t>
            </w:r>
            <w:r w:rsidR="00EA3A1C">
              <w:rPr>
                <w:lang w:eastAsia="en-US"/>
              </w:rPr>
              <w:t xml:space="preserve"> </w:t>
            </w:r>
            <w:r w:rsidRPr="00EC07D7">
              <w:rPr>
                <w:lang w:eastAsia="en-US"/>
              </w:rPr>
              <w:t>Likuma par budžetu un finanšu vadību 41.panta (1</w:t>
            </w:r>
            <w:r w:rsidR="0038105E" w:rsidRPr="00EA3A1C">
              <w:rPr>
                <w:vertAlign w:val="superscript"/>
                <w:lang w:eastAsia="en-US"/>
              </w:rPr>
              <w:t>2</w:t>
            </w:r>
            <w:r w:rsidRPr="00EC07D7">
              <w:rPr>
                <w:lang w:eastAsia="en-US"/>
              </w:rPr>
              <w:t>) daļ</w:t>
            </w:r>
            <w:r w:rsidR="0038105E">
              <w:rPr>
                <w:lang w:eastAsia="en-US"/>
              </w:rPr>
              <w:t>u, kas</w:t>
            </w:r>
            <w:r w:rsidRPr="00EC07D7">
              <w:rPr>
                <w:lang w:eastAsia="en-US"/>
              </w:rPr>
              <w:t xml:space="preserve"> nosaka, </w:t>
            </w:r>
            <w:r w:rsidR="0038105E" w:rsidRPr="0038105E">
              <w:rPr>
                <w:lang w:eastAsia="en-US"/>
              </w:rPr>
              <w:t>ka budžeta nefinansētu iestāžu veiktos budžetu grozījumus apstiprināšanai Ministru kabinetā iesniedz ministrijas (pārraudzības institūcijas)</w:t>
            </w:r>
            <w:r w:rsidRPr="00EC07D7">
              <w:rPr>
                <w:lang w:eastAsia="en-US"/>
              </w:rPr>
              <w:t>.</w:t>
            </w:r>
          </w:p>
          <w:p w14:paraId="64FC4982" w14:textId="6E19C3B4" w:rsidR="0038105E" w:rsidRPr="00EC07D7" w:rsidRDefault="0038105E" w:rsidP="00EA3A1C">
            <w:pPr>
              <w:pStyle w:val="NoSpacing"/>
              <w:numPr>
                <w:ilvl w:val="0"/>
                <w:numId w:val="9"/>
              </w:numPr>
              <w:jc w:val="both"/>
              <w:rPr>
                <w:rFonts w:ascii="Times New Roman" w:hAnsi="Times New Roman" w:cs="Times New Roman"/>
                <w:sz w:val="24"/>
                <w:szCs w:val="24"/>
                <w:lang w:eastAsia="lv-LV"/>
              </w:rPr>
            </w:pPr>
            <w:r w:rsidRPr="0038105E">
              <w:rPr>
                <w:rFonts w:ascii="Times New Roman" w:hAnsi="Times New Roman" w:cs="Times New Roman"/>
                <w:sz w:val="24"/>
                <w:szCs w:val="24"/>
                <w:lang w:eastAsia="lv-LV"/>
              </w:rPr>
              <w:t>Publisko aģentūru likuma 13.panta ceturto daļu, kas nosaka, ka, apstiprinot valsts aģentūras budžetu, Ministru kabinets pēc attiecīgā ministra ierosinājuma ir tiesīgs noteikt valsts budžetā ieskaitāmo ienākumu daļu no valsts aģentūras ieņēmumiem par sniegtajiem maksas pakalpojumiem.</w:t>
            </w:r>
          </w:p>
        </w:tc>
      </w:tr>
      <w:tr w:rsidR="008C4F09" w:rsidRPr="00EC07D7" w14:paraId="64FC4994" w14:textId="77777777" w:rsidTr="0079260F">
        <w:tc>
          <w:tcPr>
            <w:tcW w:w="568" w:type="dxa"/>
          </w:tcPr>
          <w:p w14:paraId="64FC4984"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1559" w:type="dxa"/>
          </w:tcPr>
          <w:p w14:paraId="64FC4985"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4FC4986" w14:textId="77777777" w:rsidR="008C4F09" w:rsidRPr="00EC07D7" w:rsidRDefault="008C4F09" w:rsidP="008C4F09">
            <w:pPr>
              <w:jc w:val="center"/>
            </w:pPr>
          </w:p>
          <w:p w14:paraId="64FC4987" w14:textId="77777777" w:rsidR="008C4F09" w:rsidRPr="00EC07D7" w:rsidRDefault="008C4F09" w:rsidP="008C4F09"/>
          <w:p w14:paraId="64FC4988" w14:textId="77777777" w:rsidR="008C4F09" w:rsidRPr="00EC07D7" w:rsidRDefault="008C4F09" w:rsidP="008C4F09"/>
          <w:p w14:paraId="64FC4989" w14:textId="77777777" w:rsidR="008C4F09" w:rsidRPr="00EC07D7" w:rsidRDefault="008C4F09" w:rsidP="008C4F09"/>
          <w:p w14:paraId="36AD54BB" w14:textId="77777777" w:rsidR="008C4F09" w:rsidRDefault="008C4F09" w:rsidP="008C4F09">
            <w:pPr>
              <w:jc w:val="center"/>
            </w:pPr>
          </w:p>
          <w:p w14:paraId="1994C77C" w14:textId="77777777" w:rsidR="00195A31" w:rsidRPr="00195A31" w:rsidRDefault="00195A31" w:rsidP="00195A31"/>
          <w:p w14:paraId="03C620DE" w14:textId="77777777" w:rsidR="00195A31" w:rsidRPr="00195A31" w:rsidRDefault="00195A31" w:rsidP="00195A31"/>
          <w:p w14:paraId="64FC498A" w14:textId="7BB5AD4B" w:rsidR="00195A31" w:rsidRPr="00195A31" w:rsidRDefault="00195A31" w:rsidP="00195A31">
            <w:pPr>
              <w:jc w:val="center"/>
            </w:pPr>
          </w:p>
        </w:tc>
        <w:tc>
          <w:tcPr>
            <w:tcW w:w="7229" w:type="dxa"/>
          </w:tcPr>
          <w:p w14:paraId="164C28D8" w14:textId="28B1F93A" w:rsidR="00701B35" w:rsidRDefault="00701B35" w:rsidP="003A7EC6">
            <w:pPr>
              <w:ind w:firstLine="336"/>
              <w:jc w:val="both"/>
            </w:pPr>
            <w:r w:rsidRPr="00701B35">
              <w:t>Paula Stradiņa medicīnas vēstures muzejs</w:t>
            </w:r>
            <w:r>
              <w:t xml:space="preserve"> (turpmāk – PSMVM) </w:t>
            </w:r>
            <w:r w:rsidRPr="00701B35">
              <w:t xml:space="preserve">ilgstoši strādā ar ierobežotiem finanšu līdzekļiem bez iespējas motivēt esošos un piesaistīt jaunus muzeja speciālistus. </w:t>
            </w:r>
            <w:r w:rsidR="00E11FBA" w:rsidRPr="00E11FBA">
              <w:t xml:space="preserve">PSMVM </w:t>
            </w:r>
            <w:r w:rsidRPr="00701B35">
              <w:t xml:space="preserve">darbinieku vidējā alga 2020.gadā bija 664 EUR, kas ir viens no zemākajiem atalgojuma rādītājiem valsts muzejos un zemākais starp Veselības ministrijas </w:t>
            </w:r>
            <w:r w:rsidR="003A678B">
              <w:t xml:space="preserve">(turpmāk – VM) </w:t>
            </w:r>
            <w:r w:rsidRPr="00701B35">
              <w:t xml:space="preserve">tiešās pakļautības iestādēm. </w:t>
            </w:r>
            <w:r w:rsidR="00E11FBA" w:rsidRPr="00E11FBA">
              <w:t xml:space="preserve">PSMVM </w:t>
            </w:r>
            <w:r w:rsidRPr="00701B35">
              <w:t xml:space="preserve">ir arī vienīgā </w:t>
            </w:r>
            <w:r w:rsidR="003A678B">
              <w:t>VM</w:t>
            </w:r>
            <w:r w:rsidRPr="00701B35">
              <w:t xml:space="preserve"> tiešās pakļautības iestāde, kuras valsts budžeta dotācija liedz iespēju darbiniekiem nodrošināt veselības apdrošināšanu, kas ir atkāpe no labas pārvaldības līdztiesiskuma principa. Esošā situācija demotivē lojālus esošos darbiniekus, kā arī apgrūtina jaunu, darba tirgū pieprasītu profesionāļu piesaisti jomās, kas vitāli svarīgas šodienas muzejam – projektu vadībā un līdzfinansējuma piesaistē, publiskajā komunikācijā, krājuma pieejamības digitālajos risinājumos. Piešķirot finanšu resursus darbinieku lojalitāti veicinošām programmām, t.sk. veselības apdrošināšanai, tiks nodrošinātas muzeja pārmaiņu vadības sekmes un līdzšinēji stagnējušās institūcijas revitalizācija.</w:t>
            </w:r>
          </w:p>
          <w:p w14:paraId="518E0C18" w14:textId="77777777" w:rsidR="00B664B1" w:rsidRDefault="00B664B1" w:rsidP="003A7EC6">
            <w:pPr>
              <w:ind w:firstLine="336"/>
              <w:jc w:val="both"/>
            </w:pPr>
          </w:p>
          <w:p w14:paraId="215A9AE7" w14:textId="6322DDC1" w:rsidR="003E3D86" w:rsidRDefault="003E3D86" w:rsidP="003E3D86">
            <w:pPr>
              <w:shd w:val="clear" w:color="auto" w:fill="FFFFFF"/>
              <w:ind w:firstLine="311"/>
              <w:jc w:val="both"/>
              <w:rPr>
                <w:kern w:val="2"/>
                <w:lang w:eastAsia="ar-SA"/>
              </w:rPr>
            </w:pPr>
            <w:r>
              <w:rPr>
                <w:kern w:val="2"/>
                <w:lang w:eastAsia="ar-SA"/>
              </w:rPr>
              <w:t xml:space="preserve">Ņemot vērā to, ka veselības aprūpes sistēmas ietvaros finanšu līdzekļi šādiem pasākumiem nav atrodami, </w:t>
            </w:r>
            <w:r w:rsidR="00593420">
              <w:rPr>
                <w:kern w:val="2"/>
                <w:lang w:eastAsia="ar-SA"/>
              </w:rPr>
              <w:t>VM</w:t>
            </w:r>
            <w:r>
              <w:rPr>
                <w:kern w:val="2"/>
                <w:lang w:eastAsia="ar-SA"/>
              </w:rPr>
              <w:t xml:space="preserve"> uzskata par nepieciešamu nekavējoši izmantot Publisko aģentūru likuma 13.panta ceturtajā daļā paredzētās tiesības noteikt veselības aprūpes budžetā ieskaitāmo ienākumu daļu no ZVA ieņēmumiem par sniegtajiem maksas pakalpojumiem. </w:t>
            </w:r>
          </w:p>
          <w:p w14:paraId="2BF545CB" w14:textId="202D41B8" w:rsidR="003E3D86" w:rsidRDefault="00593420" w:rsidP="003E3D86">
            <w:pPr>
              <w:shd w:val="clear" w:color="auto" w:fill="FFFFFF"/>
              <w:ind w:firstLine="311"/>
              <w:jc w:val="both"/>
              <w:rPr>
                <w:kern w:val="2"/>
                <w:lang w:eastAsia="ar-SA"/>
              </w:rPr>
            </w:pPr>
            <w:r>
              <w:rPr>
                <w:kern w:val="2"/>
                <w:lang w:eastAsia="ar-SA"/>
              </w:rPr>
              <w:t>VM</w:t>
            </w:r>
            <w:r w:rsidR="003E3D86">
              <w:rPr>
                <w:kern w:val="2"/>
                <w:lang w:eastAsia="ar-SA"/>
              </w:rPr>
              <w:t xml:space="preserve"> sagatavoja projektu, kas paredz ieskaitīt </w:t>
            </w:r>
            <w:r>
              <w:rPr>
                <w:kern w:val="2"/>
                <w:lang w:eastAsia="ar-SA"/>
              </w:rPr>
              <w:t>VM</w:t>
            </w:r>
            <w:r w:rsidR="003E3D86">
              <w:rPr>
                <w:kern w:val="2"/>
                <w:lang w:eastAsia="ar-SA"/>
              </w:rPr>
              <w:t xml:space="preserve"> budžetā ZVA līdzekļu atlikumu, </w:t>
            </w:r>
            <w:r w:rsidR="003E3D86">
              <w:rPr>
                <w:rFonts w:eastAsiaTheme="minorHAnsi"/>
                <w:lang w:eastAsia="en-US"/>
              </w:rPr>
              <w:t xml:space="preserve">lai </w:t>
            </w:r>
            <w:r w:rsidR="00F57802">
              <w:rPr>
                <w:rFonts w:eastAsiaTheme="minorHAnsi"/>
                <w:lang w:eastAsia="en-US"/>
              </w:rPr>
              <w:t>nodrošinātu</w:t>
            </w:r>
            <w:r w:rsidR="003E3D86">
              <w:rPr>
                <w:rFonts w:eastAsiaTheme="minorHAnsi"/>
                <w:lang w:eastAsia="en-US"/>
              </w:rPr>
              <w:t xml:space="preserve"> </w:t>
            </w:r>
            <w:r w:rsidR="003A678B">
              <w:rPr>
                <w:rFonts w:eastAsiaTheme="minorHAnsi"/>
                <w:lang w:eastAsia="en-US"/>
              </w:rPr>
              <w:t>PSMVM</w:t>
            </w:r>
            <w:r w:rsidR="003A678B" w:rsidRPr="003A678B">
              <w:rPr>
                <w:rFonts w:eastAsiaTheme="minorHAnsi"/>
                <w:lang w:eastAsia="en-US"/>
              </w:rPr>
              <w:t xml:space="preserve"> darbinieku veselības apdrošināšanas polises iegādi</w:t>
            </w:r>
            <w:r w:rsidR="003E3D86">
              <w:rPr>
                <w:rFonts w:eastAsiaTheme="minorHAnsi"/>
                <w:lang w:eastAsia="en-US"/>
              </w:rPr>
              <w:t>,</w:t>
            </w:r>
            <w:r w:rsidR="003E3D86">
              <w:rPr>
                <w:color w:val="FF0000"/>
                <w:kern w:val="2"/>
                <w:lang w:eastAsia="ar-SA"/>
              </w:rPr>
              <w:t xml:space="preserve"> </w:t>
            </w:r>
            <w:r w:rsidR="003E3D86">
              <w:rPr>
                <w:kern w:val="2"/>
                <w:lang w:eastAsia="ar-SA"/>
              </w:rPr>
              <w:t xml:space="preserve">paredzot rīkojuma projekta pielikumā </w:t>
            </w:r>
            <w:r w:rsidR="003E3D86">
              <w:rPr>
                <w:kern w:val="2"/>
                <w:lang w:eastAsia="ar-SA"/>
              </w:rPr>
              <w:lastRenderedPageBreak/>
              <w:t>“Zāļu valsts aģentūras ieņēmumu un izdevumu atšifrējums 202</w:t>
            </w:r>
            <w:r w:rsidR="00F57802">
              <w:rPr>
                <w:kern w:val="2"/>
                <w:lang w:eastAsia="ar-SA"/>
              </w:rPr>
              <w:t>1</w:t>
            </w:r>
            <w:r w:rsidR="003E3D86">
              <w:rPr>
                <w:kern w:val="2"/>
                <w:lang w:eastAsia="ar-SA"/>
              </w:rPr>
              <w:t>.-202</w:t>
            </w:r>
            <w:r w:rsidR="00F57802">
              <w:rPr>
                <w:kern w:val="2"/>
                <w:lang w:eastAsia="ar-SA"/>
              </w:rPr>
              <w:t>3</w:t>
            </w:r>
            <w:r w:rsidR="003E3D86">
              <w:rPr>
                <w:kern w:val="2"/>
                <w:lang w:eastAsia="ar-SA"/>
              </w:rPr>
              <w:t xml:space="preserve">.gadam” kopējo finansiālo ietekmi </w:t>
            </w:r>
            <w:r w:rsidR="003A678B">
              <w:rPr>
                <w:kern w:val="2"/>
                <w:lang w:eastAsia="ar-SA"/>
              </w:rPr>
              <w:t>14 000</w:t>
            </w:r>
            <w:r w:rsidR="003E3D86" w:rsidRPr="00AF066A">
              <w:rPr>
                <w:i/>
                <w:kern w:val="2"/>
                <w:lang w:eastAsia="ar-SA"/>
              </w:rPr>
              <w:t xml:space="preserve"> euro</w:t>
            </w:r>
            <w:r w:rsidR="003E3D86">
              <w:rPr>
                <w:kern w:val="2"/>
                <w:lang w:eastAsia="ar-SA"/>
              </w:rPr>
              <w:t xml:space="preserve"> apmērā.</w:t>
            </w:r>
          </w:p>
          <w:p w14:paraId="72AF31F6" w14:textId="00677B24" w:rsidR="003E3D86" w:rsidRDefault="003E3D86" w:rsidP="008C4F09">
            <w:pPr>
              <w:ind w:firstLine="336"/>
              <w:jc w:val="both"/>
            </w:pPr>
          </w:p>
          <w:p w14:paraId="0D6DDB20" w14:textId="1FBEA5C8" w:rsidR="003E3D86" w:rsidRPr="00B664B1" w:rsidRDefault="003E3D86" w:rsidP="003E3D86">
            <w:pPr>
              <w:shd w:val="clear" w:color="auto" w:fill="FFFFFF"/>
              <w:ind w:firstLine="311"/>
              <w:jc w:val="both"/>
              <w:rPr>
                <w:rFonts w:eastAsiaTheme="minorHAnsi"/>
                <w:lang w:eastAsia="en-US"/>
              </w:rPr>
            </w:pPr>
            <w:r>
              <w:rPr>
                <w:color w:val="212121"/>
              </w:rPr>
              <w:t>ZVA konta atlikums uz 2021.gada 1.janvāri ir</w:t>
            </w:r>
            <w:r w:rsidR="00B664B1">
              <w:rPr>
                <w:color w:val="212121"/>
              </w:rPr>
              <w:t xml:space="preserve"> </w:t>
            </w:r>
            <w:r w:rsidR="007F3C3A">
              <w:rPr>
                <w:b/>
                <w:bCs/>
                <w:color w:val="212121"/>
              </w:rPr>
              <w:t>618 446</w:t>
            </w:r>
            <w:r w:rsidR="00B664B1" w:rsidRPr="00B664B1">
              <w:rPr>
                <w:b/>
                <w:bCs/>
                <w:color w:val="212121"/>
              </w:rPr>
              <w:t xml:space="preserve"> </w:t>
            </w:r>
            <w:r w:rsidR="00B664B1">
              <w:rPr>
                <w:b/>
                <w:bCs/>
                <w:color w:val="212121"/>
              </w:rPr>
              <w:t xml:space="preserve"> </w:t>
            </w:r>
            <w:r w:rsidRPr="003A7EC6">
              <w:rPr>
                <w:b/>
                <w:bCs/>
                <w:i/>
                <w:iCs/>
                <w:color w:val="212121"/>
              </w:rPr>
              <w:t>euro</w:t>
            </w:r>
            <w:r>
              <w:rPr>
                <w:b/>
                <w:bCs/>
                <w:color w:val="212121"/>
              </w:rPr>
              <w:t> </w:t>
            </w:r>
            <w:r>
              <w:rPr>
                <w:color w:val="212121"/>
              </w:rPr>
              <w:t>apmērā,</w:t>
            </w:r>
            <w:r>
              <w:rPr>
                <w:b/>
                <w:bCs/>
                <w:color w:val="212121"/>
              </w:rPr>
              <w:t> </w:t>
            </w:r>
            <w:r>
              <w:rPr>
                <w:color w:val="212121"/>
              </w:rPr>
              <w:t>tai skaitā: </w:t>
            </w:r>
            <w:r w:rsidR="007F3C3A">
              <w:rPr>
                <w:b/>
                <w:bCs/>
                <w:color w:val="212121"/>
              </w:rPr>
              <w:t>604 446</w:t>
            </w:r>
            <w:r w:rsidR="007F3C3A">
              <w:rPr>
                <w:color w:val="212121"/>
              </w:rPr>
              <w:t> </w:t>
            </w:r>
            <w:r w:rsidR="007F3C3A">
              <w:rPr>
                <w:b/>
                <w:bCs/>
                <w:i/>
                <w:iCs/>
                <w:color w:val="212121"/>
              </w:rPr>
              <w:t>euro</w:t>
            </w:r>
            <w:r w:rsidR="007F3C3A">
              <w:rPr>
                <w:b/>
                <w:bCs/>
                <w:color w:val="212121"/>
              </w:rPr>
              <w:t> </w:t>
            </w:r>
            <w:r w:rsidR="007F3C3A">
              <w:rPr>
                <w:color w:val="212121"/>
              </w:rPr>
              <w:t>apmērā paredzēts novirzīt ZVA</w:t>
            </w:r>
            <w:r w:rsidR="007F3C3A">
              <w:rPr>
                <w:b/>
                <w:bCs/>
                <w:color w:val="212121"/>
              </w:rPr>
              <w:t> </w:t>
            </w:r>
            <w:r w:rsidR="007F3C3A">
              <w:rPr>
                <w:color w:val="212121"/>
              </w:rPr>
              <w:t xml:space="preserve">svarīgāko pasākumu apmaksai un </w:t>
            </w:r>
            <w:r w:rsidR="00B664B1">
              <w:rPr>
                <w:b/>
                <w:bCs/>
                <w:color w:val="212121"/>
              </w:rPr>
              <w:t xml:space="preserve">14 000 </w:t>
            </w:r>
            <w:r w:rsidR="00B664B1">
              <w:rPr>
                <w:b/>
                <w:bCs/>
                <w:i/>
                <w:iCs/>
                <w:color w:val="212121"/>
              </w:rPr>
              <w:t xml:space="preserve">euro </w:t>
            </w:r>
            <w:r w:rsidR="00B664B1">
              <w:rPr>
                <w:color w:val="212121"/>
              </w:rPr>
              <w:t xml:space="preserve">paredzēts novirzīt </w:t>
            </w:r>
            <w:r w:rsidR="00B664B1" w:rsidRPr="00B664B1">
              <w:rPr>
                <w:color w:val="212121"/>
              </w:rPr>
              <w:t>muzeja darbiniek</w:t>
            </w:r>
            <w:r w:rsidR="00B664B1">
              <w:rPr>
                <w:color w:val="212121"/>
              </w:rPr>
              <w:t>u</w:t>
            </w:r>
            <w:r w:rsidR="00B664B1" w:rsidRPr="00B664B1">
              <w:rPr>
                <w:color w:val="212121"/>
              </w:rPr>
              <w:t xml:space="preserve"> veselības apdrošināšanas polises iegād</w:t>
            </w:r>
            <w:r w:rsidR="00B664B1">
              <w:rPr>
                <w:color w:val="212121"/>
              </w:rPr>
              <w:t xml:space="preserve">ei, pārdalot finansējumu uz </w:t>
            </w:r>
            <w:r w:rsidR="00B664B1" w:rsidRPr="00B664B1">
              <w:rPr>
                <w:color w:val="212121"/>
              </w:rPr>
              <w:t>PSMVM</w:t>
            </w:r>
            <w:r w:rsidR="00B664B1">
              <w:rPr>
                <w:color w:val="212121"/>
              </w:rPr>
              <w:t xml:space="preserve"> budžetu.</w:t>
            </w:r>
          </w:p>
          <w:p w14:paraId="1CEBC2E9" w14:textId="1BA12C48" w:rsidR="003E3D86" w:rsidRDefault="003E3D86" w:rsidP="008C4F09">
            <w:pPr>
              <w:ind w:firstLine="336"/>
              <w:jc w:val="both"/>
            </w:pPr>
          </w:p>
          <w:p w14:paraId="76E094F1" w14:textId="47A48099" w:rsidR="007F3C3A" w:rsidRDefault="007F3C3A" w:rsidP="007F3C3A">
            <w:pPr>
              <w:pStyle w:val="ListParagraph"/>
              <w:numPr>
                <w:ilvl w:val="0"/>
                <w:numId w:val="10"/>
              </w:numPr>
              <w:ind w:left="0" w:firstLine="371"/>
              <w:jc w:val="both"/>
              <w:rPr>
                <w:color w:val="000000" w:themeColor="text1"/>
                <w:kern w:val="2"/>
                <w:lang w:eastAsia="ar-SA"/>
              </w:rPr>
            </w:pPr>
            <w:r w:rsidRPr="00071427">
              <w:rPr>
                <w:b/>
                <w:i/>
                <w:iCs/>
                <w:color w:val="000000" w:themeColor="text1"/>
                <w:kern w:val="2"/>
                <w:lang w:eastAsia="ar-SA"/>
              </w:rPr>
              <w:t>Zāļu valsts aģentūrai</w:t>
            </w:r>
            <w:r>
              <w:rPr>
                <w:b/>
                <w:color w:val="000000" w:themeColor="text1"/>
                <w:kern w:val="2"/>
                <w:lang w:eastAsia="ar-SA"/>
              </w:rPr>
              <w:t xml:space="preserve"> 604 446 </w:t>
            </w:r>
            <w:r>
              <w:rPr>
                <w:b/>
                <w:i/>
                <w:color w:val="000000" w:themeColor="text1"/>
                <w:kern w:val="2"/>
                <w:lang w:eastAsia="ar-SA"/>
              </w:rPr>
              <w:t>euro</w:t>
            </w:r>
            <w:r>
              <w:rPr>
                <w:b/>
                <w:color w:val="000000" w:themeColor="text1"/>
                <w:kern w:val="2"/>
                <w:lang w:eastAsia="ar-SA"/>
              </w:rPr>
              <w:t xml:space="preserve"> </w:t>
            </w:r>
            <w:r>
              <w:rPr>
                <w:color w:val="000000" w:themeColor="text1"/>
                <w:kern w:val="2"/>
                <w:lang w:eastAsia="ar-SA"/>
              </w:rPr>
              <w:t xml:space="preserve">apmērā: </w:t>
            </w:r>
          </w:p>
          <w:p w14:paraId="20BEC761" w14:textId="4CEDDA45" w:rsidR="007F3C3A" w:rsidRDefault="007F3C3A" w:rsidP="007F3C3A">
            <w:pPr>
              <w:pStyle w:val="ListParagraph"/>
              <w:numPr>
                <w:ilvl w:val="0"/>
                <w:numId w:val="11"/>
              </w:numPr>
              <w:ind w:left="28" w:firstLine="425"/>
              <w:jc w:val="both"/>
              <w:rPr>
                <w:kern w:val="2"/>
                <w:lang w:eastAsia="ar-SA"/>
              </w:rPr>
            </w:pPr>
            <w:r>
              <w:rPr>
                <w:b/>
                <w:kern w:val="2"/>
                <w:lang w:eastAsia="ar-SA"/>
              </w:rPr>
              <w:t xml:space="preserve">604 446 </w:t>
            </w:r>
            <w:r>
              <w:rPr>
                <w:b/>
                <w:i/>
                <w:kern w:val="2"/>
                <w:lang w:eastAsia="ar-SA"/>
              </w:rPr>
              <w:t>euro</w:t>
            </w:r>
            <w:r>
              <w:rPr>
                <w:b/>
                <w:kern w:val="2"/>
                <w:lang w:eastAsia="ar-SA"/>
              </w:rPr>
              <w:t xml:space="preserve"> </w:t>
            </w:r>
            <w:r>
              <w:rPr>
                <w:kern w:val="2"/>
                <w:lang w:eastAsia="ar-SA"/>
              </w:rPr>
              <w:t>apmērā - lai</w:t>
            </w:r>
            <w:r>
              <w:rPr>
                <w:b/>
                <w:kern w:val="2"/>
                <w:lang w:eastAsia="ar-SA"/>
              </w:rPr>
              <w:t xml:space="preserve"> </w:t>
            </w:r>
            <w:r>
              <w:rPr>
                <w:kern w:val="2"/>
                <w:lang w:eastAsia="ar-SA"/>
              </w:rPr>
              <w:t>segtu izdevumus, s</w:t>
            </w:r>
            <w:r>
              <w:rPr>
                <w:bCs/>
                <w:kern w:val="2"/>
                <w:lang w:eastAsia="ar-SA"/>
              </w:rPr>
              <w:t>askaņā ar Publisko aģentūru likuma 14.panta otro daļu un Likuma par budžetu un finanšu vadību 6.</w:t>
            </w:r>
            <w:r>
              <w:rPr>
                <w:bCs/>
                <w:kern w:val="2"/>
                <w:vertAlign w:val="superscript"/>
                <w:lang w:eastAsia="ar-SA"/>
              </w:rPr>
              <w:t>1</w:t>
            </w:r>
            <w:r>
              <w:rPr>
                <w:bCs/>
                <w:kern w:val="2"/>
                <w:lang w:eastAsia="ar-SA"/>
              </w:rPr>
              <w:t xml:space="preserve"> panta piekto daļu valsts aģentūras kārtējā gada līdzekļu atlikumu var izmantot nākamajā gadā izdevumu finansēšanai, </w:t>
            </w:r>
            <w:r>
              <w:rPr>
                <w:kern w:val="2"/>
                <w:lang w:eastAsia="ar-SA"/>
              </w:rPr>
              <w:t>tāpēc ZVA plāno 2021.gadā nodrošināt šādus pasākumus:</w:t>
            </w:r>
          </w:p>
          <w:p w14:paraId="51F3A862" w14:textId="77777777" w:rsidR="007F3C3A" w:rsidRDefault="007F3C3A" w:rsidP="007F3C3A">
            <w:pPr>
              <w:ind w:firstLine="336"/>
              <w:jc w:val="both"/>
            </w:pPr>
          </w:p>
          <w:p w14:paraId="0B8F90C5" w14:textId="77777777" w:rsidR="007F3C3A" w:rsidRPr="00EC07D7" w:rsidRDefault="007F3C3A" w:rsidP="007F3C3A">
            <w:pPr>
              <w:ind w:firstLine="336"/>
              <w:jc w:val="both"/>
            </w:pPr>
          </w:p>
          <w:p w14:paraId="1DB18EE4" w14:textId="77777777" w:rsidR="007F3C3A" w:rsidRPr="00EA3A1C" w:rsidRDefault="007F3C3A" w:rsidP="007F3C3A">
            <w:pPr>
              <w:pStyle w:val="ListParagraph"/>
              <w:numPr>
                <w:ilvl w:val="1"/>
                <w:numId w:val="5"/>
              </w:numPr>
              <w:ind w:left="595" w:hanging="278"/>
              <w:jc w:val="both"/>
            </w:pPr>
            <w:r w:rsidRPr="00EC07D7">
              <w:t xml:space="preserve">71 352 </w:t>
            </w:r>
            <w:r w:rsidRPr="00EA3A1C">
              <w:rPr>
                <w:i/>
              </w:rPr>
              <w:t xml:space="preserve">euro </w:t>
            </w:r>
            <w:r w:rsidRPr="00EC07D7">
              <w:t>apmērā – audu, šūnu un orgānu ieguves un izmantošanas vietu, asins kabinetu, asins sagatavošanas nodaļu un Valsts asinsdonoru centra atbilstības novērtēšanai un uzraudzībai</w:t>
            </w:r>
            <w:r>
              <w:t xml:space="preserve"> </w:t>
            </w:r>
            <w:r w:rsidRPr="00EA3A1C">
              <w:t xml:space="preserve">(51 719 </w:t>
            </w:r>
            <w:r w:rsidRPr="00EA3A1C">
              <w:rPr>
                <w:i/>
                <w:iCs/>
              </w:rPr>
              <w:t>euro</w:t>
            </w:r>
            <w:r w:rsidRPr="00EA3A1C">
              <w:t xml:space="preserve"> – atlīdzībai; 14 889 </w:t>
            </w:r>
            <w:r w:rsidRPr="00EA3A1C">
              <w:rPr>
                <w:i/>
                <w:iCs/>
              </w:rPr>
              <w:t>euro</w:t>
            </w:r>
            <w:r w:rsidRPr="00EA3A1C">
              <w:t xml:space="preserve"> – precēm un pakalpojumiem; 4 744 </w:t>
            </w:r>
            <w:r w:rsidRPr="00EA3A1C">
              <w:rPr>
                <w:i/>
                <w:iCs/>
              </w:rPr>
              <w:t>euro</w:t>
            </w:r>
            <w:r w:rsidRPr="00EA3A1C">
              <w:t xml:space="preserve"> – kapitālajiem izdevumiem).</w:t>
            </w:r>
          </w:p>
          <w:p w14:paraId="3FC37295" w14:textId="77777777" w:rsidR="007F3C3A" w:rsidRDefault="007F3C3A" w:rsidP="007F3C3A">
            <w:pPr>
              <w:pStyle w:val="ListParagraph"/>
              <w:numPr>
                <w:ilvl w:val="1"/>
                <w:numId w:val="5"/>
              </w:numPr>
              <w:ind w:left="619" w:hanging="283"/>
              <w:jc w:val="both"/>
            </w:pPr>
            <w:r w:rsidRPr="00EC07D7">
              <w:t xml:space="preserve">128 417 </w:t>
            </w:r>
            <w:r w:rsidRPr="00EA3A1C">
              <w:rPr>
                <w:i/>
              </w:rPr>
              <w:t>euro</w:t>
            </w:r>
            <w:r w:rsidRPr="00EC07D7">
              <w:t xml:space="preserve"> apmērā – Latvijā ražotu medicīnisko ierīču reģistrēšanai, atļauju speciāli piegādāto medicīnisko ierīču laišanai apgrozībā izsniegšanai, kā arī medicīnisko ierīču vigilances veikšanai un atļauju izsniegšanai medicīnisko ierīču klīniskās izpētes veikšanai</w:t>
            </w:r>
            <w:r>
              <w:t xml:space="preserve"> </w:t>
            </w:r>
            <w:r w:rsidRPr="00EA3A1C">
              <w:t>(</w:t>
            </w:r>
            <w:r>
              <w:t>89 151</w:t>
            </w:r>
            <w:r w:rsidRPr="00EA3A1C">
              <w:t xml:space="preserve"> </w:t>
            </w:r>
            <w:r w:rsidRPr="00EA3A1C">
              <w:rPr>
                <w:i/>
                <w:iCs/>
              </w:rPr>
              <w:t>euro</w:t>
            </w:r>
            <w:r w:rsidRPr="00EA3A1C">
              <w:t xml:space="preserve"> – atlīdzībai; </w:t>
            </w:r>
            <w:r>
              <w:t>29 778</w:t>
            </w:r>
            <w:r w:rsidRPr="00EA3A1C">
              <w:t xml:space="preserve"> </w:t>
            </w:r>
            <w:r w:rsidRPr="00EA3A1C">
              <w:rPr>
                <w:i/>
                <w:iCs/>
              </w:rPr>
              <w:t>euro</w:t>
            </w:r>
            <w:r w:rsidRPr="00EA3A1C">
              <w:t xml:space="preserve"> – precēm un pakalpojumiem; </w:t>
            </w:r>
            <w:r>
              <w:t>9 488</w:t>
            </w:r>
            <w:r w:rsidRPr="00EA3A1C">
              <w:t xml:space="preserve"> </w:t>
            </w:r>
            <w:r w:rsidRPr="00EA3A1C">
              <w:rPr>
                <w:i/>
                <w:iCs/>
              </w:rPr>
              <w:t>euro</w:t>
            </w:r>
            <w:r w:rsidRPr="00EA3A1C">
              <w:t xml:space="preserve"> – kapitālajiem izdevumiem).</w:t>
            </w:r>
          </w:p>
          <w:p w14:paraId="480F88FB" w14:textId="5C0F1451" w:rsidR="007F3C3A" w:rsidRDefault="007F3C3A" w:rsidP="007F3C3A">
            <w:pPr>
              <w:pStyle w:val="ListParagraph"/>
              <w:numPr>
                <w:ilvl w:val="1"/>
                <w:numId w:val="5"/>
              </w:numPr>
              <w:ind w:left="619" w:hanging="283"/>
              <w:jc w:val="both"/>
            </w:pPr>
            <w:r w:rsidRPr="00EC07D7">
              <w:t xml:space="preserve">404 677 </w:t>
            </w:r>
            <w:r w:rsidRPr="00EA3A1C">
              <w:rPr>
                <w:i/>
              </w:rPr>
              <w:t>euro</w:t>
            </w:r>
            <w:r w:rsidRPr="00EC07D7">
              <w:t xml:space="preserve"> apmērā – norēķiniem par iepriekšējā pārskata perioda izdevumiem</w:t>
            </w:r>
            <w:r>
              <w:t xml:space="preserve"> </w:t>
            </w:r>
            <w:r w:rsidRPr="00EA3A1C">
              <w:t>(</w:t>
            </w:r>
            <w:r>
              <w:t>244 246</w:t>
            </w:r>
            <w:r w:rsidRPr="00EA3A1C">
              <w:t xml:space="preserve"> </w:t>
            </w:r>
            <w:r w:rsidRPr="00EA3A1C">
              <w:rPr>
                <w:i/>
                <w:iCs/>
              </w:rPr>
              <w:t>euro</w:t>
            </w:r>
            <w:r w:rsidRPr="00EA3A1C">
              <w:t xml:space="preserve"> – atlīdzībai; </w:t>
            </w:r>
            <w:r>
              <w:t>64 047</w:t>
            </w:r>
            <w:r w:rsidRPr="00EA3A1C">
              <w:t xml:space="preserve"> </w:t>
            </w:r>
            <w:r w:rsidRPr="00EA3A1C">
              <w:rPr>
                <w:i/>
                <w:iCs/>
              </w:rPr>
              <w:t>euro</w:t>
            </w:r>
            <w:r w:rsidRPr="00EA3A1C">
              <w:t xml:space="preserve"> – precēm un pakalpojumiem; </w:t>
            </w:r>
            <w:r>
              <w:t>96 384</w:t>
            </w:r>
            <w:r w:rsidRPr="00EA3A1C">
              <w:t xml:space="preserve"> </w:t>
            </w:r>
            <w:r w:rsidRPr="00EA3A1C">
              <w:rPr>
                <w:i/>
                <w:iCs/>
              </w:rPr>
              <w:t>euro</w:t>
            </w:r>
            <w:r w:rsidRPr="00EA3A1C">
              <w:t xml:space="preserve"> – kapitālajiem izdevumiem).</w:t>
            </w:r>
          </w:p>
          <w:p w14:paraId="498B5A11" w14:textId="77777777" w:rsidR="007F3C3A" w:rsidRDefault="007F3C3A" w:rsidP="007F3C3A">
            <w:pPr>
              <w:pStyle w:val="ListParagraph"/>
              <w:ind w:left="619"/>
              <w:jc w:val="both"/>
            </w:pPr>
          </w:p>
          <w:p w14:paraId="7EFB8009" w14:textId="01F5E7BC" w:rsidR="00B664B1" w:rsidRDefault="00B664B1" w:rsidP="00EA3A1C">
            <w:pPr>
              <w:numPr>
                <w:ilvl w:val="0"/>
                <w:numId w:val="10"/>
              </w:numPr>
              <w:contextualSpacing/>
              <w:jc w:val="both"/>
              <w:rPr>
                <w:lang w:eastAsia="en-US"/>
              </w:rPr>
            </w:pPr>
            <w:r w:rsidRPr="00B664B1">
              <w:rPr>
                <w:b/>
                <w:bCs/>
                <w:i/>
                <w:iCs/>
                <w:lang w:eastAsia="en-US"/>
              </w:rPr>
              <w:t>Paula Stradiņa medicīnas vēstures muzejam</w:t>
            </w:r>
            <w:r w:rsidRPr="00B664B1">
              <w:rPr>
                <w:lang w:eastAsia="en-US"/>
              </w:rPr>
              <w:t xml:space="preserve"> </w:t>
            </w:r>
            <w:r>
              <w:rPr>
                <w:lang w:eastAsia="en-US"/>
              </w:rPr>
              <w:t>nepieciešam finanšu līdzekļi</w:t>
            </w:r>
            <w:r w:rsidRPr="00B664B1">
              <w:rPr>
                <w:lang w:eastAsia="en-US"/>
              </w:rPr>
              <w:t xml:space="preserve">– </w:t>
            </w:r>
            <w:r w:rsidRPr="00B664B1">
              <w:rPr>
                <w:b/>
                <w:bCs/>
                <w:lang w:eastAsia="en-US"/>
              </w:rPr>
              <w:t xml:space="preserve">14 000 </w:t>
            </w:r>
            <w:r w:rsidRPr="00B664B1">
              <w:rPr>
                <w:b/>
                <w:bCs/>
                <w:i/>
                <w:iCs/>
                <w:lang w:eastAsia="en-US"/>
              </w:rPr>
              <w:t>euro</w:t>
            </w:r>
            <w:r w:rsidRPr="00B664B1">
              <w:rPr>
                <w:i/>
                <w:iCs/>
                <w:lang w:eastAsia="en-US"/>
              </w:rPr>
              <w:t xml:space="preserve"> </w:t>
            </w:r>
            <w:r w:rsidRPr="00B664B1">
              <w:rPr>
                <w:lang w:eastAsia="en-US"/>
              </w:rPr>
              <w:t>apmērā</w:t>
            </w:r>
            <w:r>
              <w:rPr>
                <w:lang w:eastAsia="en-US"/>
              </w:rPr>
              <w:t xml:space="preserve"> </w:t>
            </w:r>
            <w:r w:rsidRPr="00B664B1">
              <w:rPr>
                <w:lang w:eastAsia="en-US"/>
              </w:rPr>
              <w:t>muzeja darbiniek</w:t>
            </w:r>
            <w:r>
              <w:rPr>
                <w:lang w:eastAsia="en-US"/>
              </w:rPr>
              <w:t>u</w:t>
            </w:r>
            <w:r w:rsidRPr="00B664B1">
              <w:rPr>
                <w:lang w:eastAsia="en-US"/>
              </w:rPr>
              <w:t xml:space="preserve"> veselības apdrošināšanas polises iegādei</w:t>
            </w:r>
            <w:r>
              <w:rPr>
                <w:lang w:eastAsia="en-US"/>
              </w:rPr>
              <w:t>.</w:t>
            </w:r>
          </w:p>
          <w:p w14:paraId="57CD9F81" w14:textId="066CFD65" w:rsidR="00F57802" w:rsidRDefault="00F57802" w:rsidP="00F57802">
            <w:pPr>
              <w:contextualSpacing/>
              <w:jc w:val="both"/>
              <w:rPr>
                <w:color w:val="FF0000"/>
                <w:lang w:eastAsia="en-US"/>
              </w:rPr>
            </w:pPr>
          </w:p>
          <w:p w14:paraId="5C04BE25" w14:textId="6FA371EE" w:rsidR="00F57802" w:rsidRPr="00CD41BD" w:rsidRDefault="00F57802" w:rsidP="00F57802">
            <w:pPr>
              <w:pStyle w:val="NoSpacing"/>
              <w:ind w:firstLine="389"/>
              <w:jc w:val="both"/>
              <w:rPr>
                <w:rFonts w:ascii="Times New Roman" w:hAnsi="Times New Roman" w:cs="Times New Roman"/>
                <w:sz w:val="24"/>
                <w:szCs w:val="24"/>
              </w:rPr>
            </w:pPr>
            <w:r w:rsidRPr="00CD41BD">
              <w:rPr>
                <w:rFonts w:ascii="Times New Roman" w:hAnsi="Times New Roman" w:cs="Times New Roman"/>
                <w:sz w:val="24"/>
                <w:szCs w:val="24"/>
              </w:rPr>
              <w:t>Rīkojuma projekts paredz</w:t>
            </w:r>
            <w:r>
              <w:rPr>
                <w:rFonts w:ascii="Times New Roman" w:hAnsi="Times New Roman" w:cs="Times New Roman"/>
                <w:sz w:val="24"/>
                <w:szCs w:val="24"/>
              </w:rPr>
              <w:t xml:space="preserve"> arī</w:t>
            </w:r>
            <w:r w:rsidRPr="00CD41BD">
              <w:rPr>
                <w:rFonts w:ascii="Times New Roman" w:hAnsi="Times New Roman" w:cs="Times New Roman"/>
                <w:sz w:val="24"/>
                <w:szCs w:val="24"/>
              </w:rPr>
              <w:t xml:space="preserve"> izmaiņas 2021.gadam, starp budžeta izdevumu kodiem atbilstoši ekonomiskajām kategorijām attiecībā pret Ministru kabineta 2020.gada 30.oktobra rīkojumu Nr.638 “</w:t>
            </w:r>
            <w:hyperlink r:id="rId7" w:tgtFrame="_blank" w:history="1">
              <w:r w:rsidRPr="00CD41BD">
                <w:rPr>
                  <w:rStyle w:val="Hyperlink"/>
                  <w:rFonts w:ascii="Times New Roman" w:hAnsi="Times New Roman" w:cs="Times New Roman"/>
                  <w:color w:val="auto"/>
                  <w:sz w:val="24"/>
                  <w:szCs w:val="24"/>
                </w:rPr>
                <w:t>Par Zāļu valsts aģentūras 2021.gada budžeta apstiprināšanu</w:t>
              </w:r>
            </w:hyperlink>
            <w:r w:rsidRPr="00CD41BD">
              <w:rPr>
                <w:rStyle w:val="Hyperlink"/>
                <w:rFonts w:ascii="Times New Roman" w:hAnsi="Times New Roman" w:cs="Times New Roman"/>
                <w:color w:val="auto"/>
                <w:sz w:val="24"/>
                <w:szCs w:val="24"/>
              </w:rPr>
              <w:t>”</w:t>
            </w:r>
            <w:r>
              <w:rPr>
                <w:rFonts w:ascii="Times New Roman" w:hAnsi="Times New Roman" w:cs="Times New Roman"/>
                <w:sz w:val="24"/>
                <w:szCs w:val="24"/>
              </w:rPr>
              <w:t xml:space="preserve">. ZVA kapacitātes stiprināšanai, lai nodrošinātu efektīvu tās darbību, 2021.gadā nepieciešams  palielināt izdevumus atlīdzībai (1000 kods) </w:t>
            </w:r>
            <w:r w:rsidR="00FA2B52">
              <w:rPr>
                <w:rFonts w:ascii="Times New Roman" w:hAnsi="Times New Roman" w:cs="Times New Roman"/>
                <w:b/>
                <w:bCs/>
                <w:sz w:val="24"/>
                <w:szCs w:val="24"/>
              </w:rPr>
              <w:t>175 558</w:t>
            </w:r>
            <w:r>
              <w:rPr>
                <w:rFonts w:ascii="Times New Roman" w:hAnsi="Times New Roman" w:cs="Times New Roman"/>
                <w:sz w:val="24"/>
                <w:szCs w:val="24"/>
              </w:rPr>
              <w:t xml:space="preserve"> </w:t>
            </w:r>
            <w:r w:rsidRPr="00401D09">
              <w:rPr>
                <w:rFonts w:ascii="Times New Roman" w:hAnsi="Times New Roman" w:cs="Times New Roman"/>
                <w:i/>
                <w:iCs/>
                <w:sz w:val="24"/>
                <w:szCs w:val="24"/>
              </w:rPr>
              <w:t>euro</w:t>
            </w:r>
            <w:r>
              <w:rPr>
                <w:rFonts w:ascii="Times New Roman" w:hAnsi="Times New Roman" w:cs="Times New Roman"/>
                <w:sz w:val="24"/>
                <w:szCs w:val="24"/>
              </w:rPr>
              <w:t xml:space="preserve"> apmērā (tai skaitā atalgojumam 130 439 </w:t>
            </w:r>
            <w:r w:rsidRPr="005F7B0E">
              <w:rPr>
                <w:rFonts w:ascii="Times New Roman" w:hAnsi="Times New Roman" w:cs="Times New Roman"/>
                <w:i/>
                <w:iCs/>
                <w:sz w:val="24"/>
                <w:szCs w:val="24"/>
              </w:rPr>
              <w:t>euro</w:t>
            </w:r>
            <w:r>
              <w:rPr>
                <w:rFonts w:ascii="Times New Roman" w:hAnsi="Times New Roman" w:cs="Times New Roman"/>
                <w:sz w:val="24"/>
                <w:szCs w:val="24"/>
              </w:rPr>
              <w:t xml:space="preserve"> apmērā) un samazināt izdevumus precēm un pakalpojumiem (2000 kods) </w:t>
            </w:r>
            <w:r w:rsidR="00FA2B52">
              <w:rPr>
                <w:rFonts w:ascii="Times New Roman" w:hAnsi="Times New Roman" w:cs="Times New Roman"/>
                <w:b/>
                <w:bCs/>
                <w:sz w:val="24"/>
                <w:szCs w:val="24"/>
              </w:rPr>
              <w:t>175 558</w:t>
            </w:r>
            <w:r w:rsidRPr="00401D09">
              <w:rPr>
                <w:rFonts w:ascii="Times New Roman" w:hAnsi="Times New Roman" w:cs="Times New Roman"/>
                <w:i/>
                <w:iCs/>
                <w:sz w:val="24"/>
                <w:szCs w:val="24"/>
              </w:rPr>
              <w:t xml:space="preserve"> euro</w:t>
            </w:r>
            <w:r>
              <w:rPr>
                <w:rFonts w:ascii="Times New Roman" w:hAnsi="Times New Roman" w:cs="Times New Roman"/>
                <w:sz w:val="24"/>
                <w:szCs w:val="24"/>
              </w:rPr>
              <w:t xml:space="preserve"> apmērā.</w:t>
            </w:r>
          </w:p>
          <w:p w14:paraId="3CFF73BF" w14:textId="4575BD04" w:rsidR="00F57802" w:rsidRPr="00F57802" w:rsidRDefault="00F57802" w:rsidP="00F57802">
            <w:pPr>
              <w:ind w:left="57" w:right="57" w:firstLine="336"/>
              <w:jc w:val="both"/>
            </w:pPr>
            <w:bookmarkStart w:id="0" w:name="_Hlk77858705"/>
            <w:bookmarkStart w:id="1" w:name="_Hlk77858804"/>
            <w:r>
              <w:t xml:space="preserve">ZVA </w:t>
            </w:r>
            <w:r w:rsidRPr="00F57802">
              <w:t xml:space="preserve">veic </w:t>
            </w:r>
            <w:r w:rsidR="00FD72F8">
              <w:t>zāļu novērtēšanas, reģistrēšanas, kvalitātes ekspertīzes, klī</w:t>
            </w:r>
            <w:bookmarkStart w:id="2" w:name="_Hlk77858641"/>
            <w:r w:rsidR="00FD72F8">
              <w:t>nisko pētījumu un farmakovigilances funkciju, klīniskās izpētes un lietošanas drošības uzraudzību,</w:t>
            </w:r>
            <w:r w:rsidR="00C45035">
              <w:t xml:space="preserve"> kā arī novērtē un pārbauda zāļu, aktīvo vielu ražotāju un importētāju atbilstību labas ražošanas prakses prasībām, novērtē un pārbauda zāļu un aktīvo vielu izplatītāju atbilstību labas izplatīšanas prakses prasībām</w:t>
            </w:r>
            <w:bookmarkEnd w:id="0"/>
            <w:r w:rsidR="00AF7099">
              <w:t xml:space="preserve">. </w:t>
            </w:r>
            <w:bookmarkEnd w:id="1"/>
            <w:r w:rsidR="009F224F">
              <w:t>T</w:t>
            </w:r>
            <w:r w:rsidR="00BE4402">
              <w:t>ā</w:t>
            </w:r>
            <w:r w:rsidR="009F224F">
              <w:t>s ir jomas,</w:t>
            </w:r>
            <w:r w:rsidRPr="00F57802">
              <w:t xml:space="preserve"> kas pakļautas inovācijām un straujai tehnoloģiju attīstībai. </w:t>
            </w:r>
            <w:r w:rsidR="00AF7099">
              <w:t>Arvien biežāk t</w:t>
            </w:r>
            <w:r w:rsidRPr="00F57802">
              <w:t xml:space="preserve">irgū ienāk </w:t>
            </w:r>
            <w:r w:rsidRPr="00F57802">
              <w:lastRenderedPageBreak/>
              <w:t>jaunas zāles un produkti</w:t>
            </w:r>
            <w:r w:rsidR="00AF7099">
              <w:t xml:space="preserve">, </w:t>
            </w:r>
            <w:r w:rsidRPr="00F57802">
              <w:t xml:space="preserve"> lielāku īpatsvaru iegūst bioloģiskas izcelsmes zāles, jaunās terapijas zāles, robežprodukti, kombinēti zāļu un medicīnas ierīču produkti, jaunas audu un šūnu tehnoloģijas, un arvien vairāk zāles tiek izstrādātas konkrētām, šaurām pacientu grupām, kuras tiek noteiktas ar biomarķieriem, specifisku diagnostiku. Attīstoties ražošanas metodēm, Latvijas tirgū ienāk jaunu produktu ražotāji. Lai nodrošinātu </w:t>
            </w:r>
            <w:r>
              <w:t>ZVA</w:t>
            </w:r>
            <w:r w:rsidRPr="00F57802">
              <w:t xml:space="preserve"> noteikto funkciju izpildi, </w:t>
            </w:r>
            <w:r>
              <w:t>ZVA</w:t>
            </w:r>
            <w:r w:rsidRPr="00F57802">
              <w:t xml:space="preserve"> nodarbinātajiem nepieciešama pastāvīga zināšanu paaugstināšana, kas līdz ar kompetenču iegūšanu dod iespēju ilgāk strādājošajiem un pieredzējušajiem uzņemties īpaši sarežģītu, inovatīvu, nestandarta situāciju risināšanu, augstas kapacitātes nodrošināšanu sarežģītu un liela apjoma uzdevumu izpildē, iesniegto dokumentu vērtēšanā, atbilstības normatīvo aktu prasībām noteikšanā. 2020.gadā personāla mainība bija 4%, lielai daļai no </w:t>
            </w:r>
            <w:r>
              <w:t>ZVA</w:t>
            </w:r>
            <w:r w:rsidRPr="00F57802">
              <w:t xml:space="preserve"> strādājošajiem jau ilgu laiku ir piešķirta 3.kategorija, bet nav noteikta mēnešalga atbilstoši maksimālai iespējamai robežai. Lai nodrošinātu darbinieku motivāciju, ir nepieciešama mēnešalgu palielināšana līdz noteikumos noteiktajam maksimumam. </w:t>
            </w:r>
          </w:p>
          <w:bookmarkEnd w:id="2"/>
          <w:p w14:paraId="2F084C37" w14:textId="742C7D88" w:rsidR="00F57802" w:rsidRPr="00F57802" w:rsidRDefault="00F57802" w:rsidP="00F57802">
            <w:pPr>
              <w:ind w:left="57" w:right="57" w:firstLine="336"/>
              <w:jc w:val="both"/>
            </w:pPr>
            <w:r w:rsidRPr="00F57802">
              <w:t xml:space="preserve">Ilgstoši </w:t>
            </w:r>
            <w:r>
              <w:t>ZVA</w:t>
            </w:r>
            <w:r w:rsidRPr="00F57802">
              <w:t xml:space="preserve"> strādājošie eksperti ir attīstījuši plašas un dažādas zināšanas, Latvijas mērogam unikālas kompetences, tāpēc ir  izveidojušās vairākas ekspertu zināšanu un kompetenču pakāpes dažādas sarežģītības darba uzdevumu izpildei viena līmeņa amata ietvarā. Vērtējot šo situāciju nākotnes kontekstā, </w:t>
            </w:r>
            <w:r w:rsidR="0050580C">
              <w:t>ZVA</w:t>
            </w:r>
            <w:r w:rsidRPr="00F57802">
              <w:t xml:space="preserve"> ir nepieciešams pārskatīt noteiktu amatu klasifikāciju un daļai no ekspertu amatiem, kuru amata pienākumos paredzēta paaugstināta vērtējamo un izskatāmo lietu sarežģītība, kā arī jaunāku kolēģu ievirzīšana noteiktu specifisku jomu izzināšanā, paaugstināt amatu klasifikācijas līmeni. Paaugstinot amatu klasifikāciju, nepieciešams nodrošināt atbilstošu finansējumu. </w:t>
            </w:r>
          </w:p>
          <w:p w14:paraId="6C60AE0C" w14:textId="3C1F1642" w:rsidR="00F57802" w:rsidRPr="00F57802" w:rsidRDefault="00F57802" w:rsidP="00F57802">
            <w:pPr>
              <w:ind w:left="57" w:right="57" w:firstLine="336"/>
              <w:jc w:val="both"/>
              <w:rPr>
                <w:rFonts w:eastAsiaTheme="minorHAnsi"/>
              </w:rPr>
            </w:pPr>
            <w:r w:rsidRPr="00F57802">
              <w:t xml:space="preserve">Amatu klasifikācijas noteikšana atbilstoši uzdoto un veicamo pienākumu sarežģītībai ļaus nodrošināt kompetentāko nozares speciālistu motivāciju darbam valsts pārvaldē un </w:t>
            </w:r>
            <w:r w:rsidR="0050580C">
              <w:t>ZVA</w:t>
            </w:r>
            <w:r w:rsidRPr="00F57802">
              <w:t xml:space="preserve"> funkciju izpildei būtisku personāla resursu neaizplūšanu uz privāto sektoru farmācijas nozarē, kurā šobrīd vērojama strauja attīstība un līdz ar to arī nozarē nodarbināto profesionāļu atalgojuma pieaugums.</w:t>
            </w:r>
          </w:p>
          <w:p w14:paraId="5401FAEB" w14:textId="1CBFE83B" w:rsidR="00F57802" w:rsidRPr="00E33959" w:rsidRDefault="00F57802" w:rsidP="00F57802">
            <w:pPr>
              <w:pStyle w:val="NoSpacing"/>
              <w:ind w:firstLine="389"/>
              <w:jc w:val="both"/>
              <w:rPr>
                <w:rFonts w:ascii="Times New Roman" w:hAnsi="Times New Roman" w:cs="Times New Roman"/>
                <w:sz w:val="24"/>
                <w:szCs w:val="24"/>
              </w:rPr>
            </w:pPr>
            <w:r w:rsidRPr="00E33959">
              <w:rPr>
                <w:rFonts w:ascii="Times New Roman" w:hAnsi="Times New Roman" w:cs="Times New Roman"/>
                <w:sz w:val="24"/>
                <w:szCs w:val="24"/>
                <w:u w:val="single"/>
              </w:rPr>
              <w:t xml:space="preserve">Rīkojuma projekts 2021.gadā paredz samazināt izdevumus </w:t>
            </w:r>
            <w:r>
              <w:rPr>
                <w:rFonts w:ascii="Times New Roman" w:hAnsi="Times New Roman" w:cs="Times New Roman"/>
                <w:bCs/>
                <w:sz w:val="24"/>
                <w:szCs w:val="24"/>
              </w:rPr>
              <w:t>p</w:t>
            </w:r>
            <w:r w:rsidRPr="00E33959">
              <w:rPr>
                <w:rFonts w:ascii="Times New Roman" w:hAnsi="Times New Roman" w:cs="Times New Roman"/>
                <w:bCs/>
                <w:sz w:val="24"/>
                <w:szCs w:val="24"/>
              </w:rPr>
              <w:t xml:space="preserve">recēm un pakalpojumiem </w:t>
            </w:r>
            <w:r w:rsidR="00FA2B52">
              <w:rPr>
                <w:rFonts w:ascii="Times New Roman" w:hAnsi="Times New Roman" w:cs="Times New Roman"/>
                <w:bCs/>
                <w:sz w:val="24"/>
                <w:szCs w:val="24"/>
              </w:rPr>
              <w:t>175 558</w:t>
            </w:r>
            <w:r w:rsidRPr="00E33959">
              <w:rPr>
                <w:rFonts w:ascii="Times New Roman" w:hAnsi="Times New Roman" w:cs="Times New Roman"/>
                <w:bCs/>
                <w:sz w:val="24"/>
                <w:szCs w:val="24"/>
              </w:rPr>
              <w:t xml:space="preserve"> </w:t>
            </w:r>
            <w:r w:rsidRPr="00E33959">
              <w:rPr>
                <w:rFonts w:ascii="Times New Roman" w:hAnsi="Times New Roman" w:cs="Times New Roman"/>
                <w:bCs/>
                <w:i/>
                <w:sz w:val="24"/>
                <w:szCs w:val="24"/>
              </w:rPr>
              <w:t>euro</w:t>
            </w:r>
            <w:r w:rsidRPr="00E33959">
              <w:rPr>
                <w:rFonts w:ascii="Times New Roman" w:hAnsi="Times New Roman" w:cs="Times New Roman"/>
                <w:sz w:val="24"/>
                <w:szCs w:val="24"/>
              </w:rPr>
              <w:t xml:space="preserve"> apmērā</w:t>
            </w:r>
            <w:r>
              <w:rPr>
                <w:rFonts w:ascii="Times New Roman" w:hAnsi="Times New Roman" w:cs="Times New Roman"/>
                <w:sz w:val="24"/>
                <w:szCs w:val="24"/>
              </w:rPr>
              <w:t xml:space="preserve"> t.sk</w:t>
            </w:r>
            <w:r w:rsidRPr="00E33959">
              <w:rPr>
                <w:rFonts w:ascii="Times New Roman" w:hAnsi="Times New Roman" w:cs="Times New Roman"/>
                <w:sz w:val="24"/>
                <w:szCs w:val="24"/>
              </w:rPr>
              <w:t>:</w:t>
            </w:r>
          </w:p>
          <w:p w14:paraId="6B03ED40" w14:textId="77777777" w:rsidR="00F57802" w:rsidRDefault="00F57802" w:rsidP="00F57802">
            <w:pPr>
              <w:numPr>
                <w:ilvl w:val="0"/>
                <w:numId w:val="8"/>
              </w:numPr>
              <w:ind w:left="389" w:hanging="142"/>
              <w:contextualSpacing/>
              <w:jc w:val="both"/>
            </w:pPr>
            <w:r>
              <w:t xml:space="preserve">Ēku, telpu īre un noma – 7 800 </w:t>
            </w:r>
            <w:r>
              <w:rPr>
                <w:i/>
              </w:rPr>
              <w:t>euro</w:t>
            </w:r>
            <w:r>
              <w:t>;</w:t>
            </w:r>
          </w:p>
          <w:p w14:paraId="10B18EF6" w14:textId="77777777" w:rsidR="00F57802" w:rsidRDefault="00F57802" w:rsidP="00F57802">
            <w:pPr>
              <w:numPr>
                <w:ilvl w:val="0"/>
                <w:numId w:val="8"/>
              </w:numPr>
              <w:ind w:left="389" w:hanging="142"/>
              <w:contextualSpacing/>
              <w:jc w:val="both"/>
            </w:pPr>
            <w:r>
              <w:t xml:space="preserve">Zemes noma – 13 535 </w:t>
            </w:r>
            <w:r w:rsidRPr="003713CF">
              <w:rPr>
                <w:i/>
                <w:iCs/>
              </w:rPr>
              <w:t>euro;</w:t>
            </w:r>
          </w:p>
          <w:p w14:paraId="06C63DA0" w14:textId="77777777" w:rsidR="00F57802" w:rsidRDefault="00F57802" w:rsidP="00F57802">
            <w:pPr>
              <w:numPr>
                <w:ilvl w:val="0"/>
                <w:numId w:val="8"/>
              </w:numPr>
              <w:ind w:left="389" w:hanging="142"/>
              <w:contextualSpacing/>
              <w:jc w:val="both"/>
            </w:pPr>
            <w:r>
              <w:t xml:space="preserve">Transportlīdzekļu noma, degviela – 4 261 </w:t>
            </w:r>
            <w:r>
              <w:rPr>
                <w:i/>
              </w:rPr>
              <w:t>euro</w:t>
            </w:r>
            <w:r>
              <w:t>;</w:t>
            </w:r>
          </w:p>
          <w:p w14:paraId="7E36D6D2" w14:textId="204E4F84" w:rsidR="00F57802" w:rsidRDefault="00F57802" w:rsidP="00F57802">
            <w:pPr>
              <w:numPr>
                <w:ilvl w:val="0"/>
                <w:numId w:val="8"/>
              </w:numPr>
              <w:ind w:left="389" w:hanging="142"/>
              <w:contextualSpacing/>
              <w:jc w:val="both"/>
            </w:pPr>
            <w:r>
              <w:t xml:space="preserve">Ārštata eksperti (kuri ir reģistrējušies, kā saimnieciskās darbības veicēji, par konkrēta darba vai pakalpojuma izpildi uz uzņēmuma līguma vai cita normatīvā akta pamata) – 134 </w:t>
            </w:r>
            <w:r w:rsidR="00FA2B52">
              <w:t>030</w:t>
            </w:r>
            <w:r>
              <w:t xml:space="preserve"> </w:t>
            </w:r>
            <w:r w:rsidRPr="00E07A0E">
              <w:rPr>
                <w:i/>
                <w:iCs/>
              </w:rPr>
              <w:t>euro</w:t>
            </w:r>
            <w:r>
              <w:t>;</w:t>
            </w:r>
          </w:p>
          <w:p w14:paraId="18DC433B" w14:textId="77777777" w:rsidR="00F57802" w:rsidRDefault="00F57802" w:rsidP="00F57802">
            <w:pPr>
              <w:numPr>
                <w:ilvl w:val="0"/>
                <w:numId w:val="8"/>
              </w:numPr>
              <w:shd w:val="clear" w:color="auto" w:fill="FFFFFF"/>
              <w:ind w:left="389" w:hanging="142"/>
              <w:contextualSpacing/>
              <w:jc w:val="both"/>
              <w:rPr>
                <w:bCs/>
                <w:color w:val="000000"/>
                <w:szCs w:val="20"/>
              </w:rPr>
            </w:pPr>
            <w:r>
              <w:rPr>
                <w:szCs w:val="20"/>
              </w:rPr>
              <w:t xml:space="preserve">Izdevumi, kas saistīti ar informācijas sistēmu uzturēšanu, tajā skaitā par datortehnikas nomu, datortehnikas izvietošanu specializētajos datu centros, par serveru apkalpošanu un administrēšanu, kā arī programmatūras uzturēšanu, pilnveidošanu un papildināšanu, ja šie izdevumi nav kapitalizējami </w:t>
            </w:r>
            <w:r>
              <w:rPr>
                <w:bCs/>
                <w:color w:val="000000"/>
                <w:szCs w:val="20"/>
              </w:rPr>
              <w:t xml:space="preserve">– 15 932 </w:t>
            </w:r>
            <w:r>
              <w:rPr>
                <w:i/>
              </w:rPr>
              <w:t>euro</w:t>
            </w:r>
            <w:r>
              <w:rPr>
                <w:bCs/>
                <w:color w:val="000000"/>
                <w:szCs w:val="20"/>
              </w:rPr>
              <w:t xml:space="preserve">; </w:t>
            </w:r>
          </w:p>
          <w:p w14:paraId="550BFB89" w14:textId="276F237A" w:rsidR="00F57802" w:rsidRDefault="0050580C" w:rsidP="00F57802">
            <w:pPr>
              <w:shd w:val="clear" w:color="auto" w:fill="FFFFFF"/>
              <w:contextualSpacing/>
              <w:jc w:val="both"/>
              <w:rPr>
                <w:bCs/>
                <w:color w:val="000000"/>
                <w:szCs w:val="20"/>
              </w:rPr>
            </w:pPr>
            <w:r>
              <w:rPr>
                <w:szCs w:val="20"/>
              </w:rPr>
              <w:t>Ņemot</w:t>
            </w:r>
            <w:r w:rsidR="00F57802">
              <w:rPr>
                <w:szCs w:val="20"/>
              </w:rPr>
              <w:t xml:space="preserve"> vērā to, ka izdevumi atlīdzībai ir ar ilgtermiņa ietekmi, </w:t>
            </w:r>
            <w:r>
              <w:rPr>
                <w:szCs w:val="20"/>
              </w:rPr>
              <w:t>gatavojot MK</w:t>
            </w:r>
            <w:r w:rsidR="00F57802">
              <w:rPr>
                <w:szCs w:val="20"/>
              </w:rPr>
              <w:t xml:space="preserve"> rīkojuma </w:t>
            </w:r>
            <w:r w:rsidR="00F57802" w:rsidRPr="003B354F">
              <w:rPr>
                <w:szCs w:val="20"/>
              </w:rPr>
              <w:t>projekt</w:t>
            </w:r>
            <w:r w:rsidR="00672909" w:rsidRPr="003B354F">
              <w:rPr>
                <w:szCs w:val="20"/>
              </w:rPr>
              <w:t>u</w:t>
            </w:r>
            <w:r w:rsidR="00F57802" w:rsidRPr="003B354F">
              <w:rPr>
                <w:szCs w:val="20"/>
              </w:rPr>
              <w:t xml:space="preserve"> “Par Zāļu valsts aģentūras 2022</w:t>
            </w:r>
            <w:r w:rsidR="00F57802" w:rsidRPr="003B354F">
              <w:rPr>
                <w:bCs/>
                <w:szCs w:val="20"/>
              </w:rPr>
              <w:t xml:space="preserve">.gada budžeta apstiprināšanu” plānots palielināt izdevumus </w:t>
            </w:r>
            <w:r w:rsidR="00725580" w:rsidRPr="003B354F">
              <w:rPr>
                <w:bCs/>
                <w:szCs w:val="20"/>
              </w:rPr>
              <w:t xml:space="preserve">atlīdzībai </w:t>
            </w:r>
            <w:r w:rsidR="00F57802" w:rsidRPr="003B354F">
              <w:rPr>
                <w:bCs/>
                <w:szCs w:val="20"/>
              </w:rPr>
              <w:t>un samazināt izdevumus precēm un pakalpojumiem.</w:t>
            </w:r>
          </w:p>
          <w:p w14:paraId="294271A0" w14:textId="750DC9A9" w:rsidR="00CF592D" w:rsidRDefault="00CF592D" w:rsidP="00F57802">
            <w:pPr>
              <w:shd w:val="clear" w:color="auto" w:fill="FFFFFF"/>
              <w:contextualSpacing/>
              <w:jc w:val="both"/>
              <w:rPr>
                <w:bCs/>
                <w:color w:val="000000"/>
                <w:szCs w:val="20"/>
              </w:rPr>
            </w:pPr>
          </w:p>
          <w:p w14:paraId="308EE5E3" w14:textId="463A3E8F" w:rsidR="00CF592D" w:rsidRPr="00EC07D7" w:rsidRDefault="00CF592D" w:rsidP="00CF592D">
            <w:pPr>
              <w:jc w:val="both"/>
            </w:pPr>
            <w:r>
              <w:lastRenderedPageBreak/>
              <w:t>ZVA</w:t>
            </w:r>
            <w:r w:rsidRPr="00EC07D7">
              <w:t xml:space="preserve"> atbilstoši Eiropas Parlamenta un padomes Regulai (EK) Nr. 726/2004 (2004. gada 31. marts), ar ko nosaka cilvēkiem paredzēto un veterināro zāļu reģistrēšanas un uzraudzības Kopienas procedūras un izveido Eiropas Zāļu aģentūru </w:t>
            </w:r>
            <w:r>
              <w:t xml:space="preserve">(turpmāk – EZA) </w:t>
            </w:r>
            <w:r w:rsidRPr="00EC07D7">
              <w:t xml:space="preserve">un kura nosaka dalībvalstu kompetento iestāžu pienākumus zāļu reģistrācijas Kopienas procedūrās, kā arī saskaņā ar Sadarbības vienošanos starp </w:t>
            </w:r>
            <w:r>
              <w:t>EZA</w:t>
            </w:r>
            <w:r w:rsidRPr="00EC07D7">
              <w:t xml:space="preserve"> un </w:t>
            </w:r>
            <w:r>
              <w:t>ZVA</w:t>
            </w:r>
            <w:r w:rsidRPr="00EC07D7">
              <w:t xml:space="preserve"> (parakstīta 2011.gada 3.janvārī) un </w:t>
            </w:r>
            <w:r w:rsidRPr="00EC07D7">
              <w:rPr>
                <w:rStyle w:val="hps"/>
              </w:rPr>
              <w:t>Saprašanās memorandu starp</w:t>
            </w:r>
            <w:r w:rsidRPr="00EC07D7">
              <w:t xml:space="preserve"> </w:t>
            </w:r>
            <w:r>
              <w:t>EZA</w:t>
            </w:r>
            <w:r w:rsidRPr="00EC07D7">
              <w:t xml:space="preserve"> </w:t>
            </w:r>
            <w:r w:rsidRPr="00EC07D7">
              <w:rPr>
                <w:rStyle w:val="hps"/>
              </w:rPr>
              <w:t>un</w:t>
            </w:r>
            <w:r w:rsidRPr="00EC07D7">
              <w:t xml:space="preserve"> </w:t>
            </w:r>
            <w:r w:rsidRPr="00EC07D7">
              <w:rPr>
                <w:rStyle w:val="hps"/>
              </w:rPr>
              <w:t>dalībvalstu kompetentajām</w:t>
            </w:r>
            <w:r w:rsidRPr="00EC07D7">
              <w:t xml:space="preserve"> </w:t>
            </w:r>
            <w:r w:rsidRPr="00EC07D7">
              <w:rPr>
                <w:rStyle w:val="hps"/>
              </w:rPr>
              <w:t>iestādēm</w:t>
            </w:r>
            <w:r w:rsidRPr="00EC07D7">
              <w:t xml:space="preserve"> par </w:t>
            </w:r>
            <w:r w:rsidRPr="00EC07D7">
              <w:rPr>
                <w:rStyle w:val="hps"/>
              </w:rPr>
              <w:t>pakalpojumu, ka dalībvalstu kompetentās</w:t>
            </w:r>
            <w:r w:rsidRPr="00EC07D7">
              <w:t xml:space="preserve"> </w:t>
            </w:r>
            <w:r w:rsidRPr="00EC07D7">
              <w:rPr>
                <w:rStyle w:val="hps"/>
              </w:rPr>
              <w:t xml:space="preserve">iestādes sniedz </w:t>
            </w:r>
            <w:r>
              <w:rPr>
                <w:rStyle w:val="hps"/>
              </w:rPr>
              <w:t>EZA</w:t>
            </w:r>
            <w:r w:rsidRPr="00EC07D7">
              <w:rPr>
                <w:rStyle w:val="hps"/>
              </w:rPr>
              <w:t xml:space="preserve"> zinātniskā līmeņa un novērtējuma neatkarības uzraudzību (parakstīts 2011.gada 3.janvārī), veic dažādus </w:t>
            </w:r>
            <w:r>
              <w:t>EZA</w:t>
            </w:r>
            <w:r w:rsidRPr="00EC07D7">
              <w:t xml:space="preserve"> zinātnisko komiteju deleģētus pienākumus. Sakarā ar to, ka  </w:t>
            </w:r>
            <w:r>
              <w:t>EZA</w:t>
            </w:r>
            <w:r w:rsidRPr="00EC07D7">
              <w:t xml:space="preserve"> Cilvēkiem paredzēto zāļu zinātniskā komiteja un Farmakovigilances riska vērtēšanas komiteja noteica </w:t>
            </w:r>
            <w:r>
              <w:t>ZVA</w:t>
            </w:r>
            <w:r w:rsidRPr="00EC07D7">
              <w:t xml:space="preserve"> par atbildīgo institūciju dalībvalstij centrāli reģistrēto zāļu izmaiņu procedūrās un periodiskā drošuma ziņojuma vienotā novērtējuma (PSUSA) vairākās procedūrās,   2021.gadā plānots palielināt ieņēmumus no citu valstu finanšu palīdzības programmu īstenošanas.</w:t>
            </w:r>
            <w:r>
              <w:t xml:space="preserve"> </w:t>
            </w:r>
            <w:r w:rsidRPr="000B4233">
              <w:t xml:space="preserve">Procedūru skaita pieaugums saistīts ar pieaugušo procedūru skaitu </w:t>
            </w:r>
            <w:r>
              <w:t>EZA</w:t>
            </w:r>
            <w:r w:rsidRPr="000B4233">
              <w:t xml:space="preserve">, tajā skaitā lielo COVID-19 procedūru skaitu gan zinātniskajai konsultācijai, gan arī reģistrācijas procedūrām. Lai pilnvērtīgi īstenotu </w:t>
            </w:r>
            <w:r>
              <w:t>ZVA</w:t>
            </w:r>
            <w:r w:rsidRPr="000B4233">
              <w:t xml:space="preserve"> deleģētās zinātniskās konsultācijas un reģistrācijas procedūras, </w:t>
            </w:r>
            <w:r>
              <w:t>ZVA</w:t>
            </w:r>
            <w:r w:rsidRPr="000B4233">
              <w:t xml:space="preserve"> cieši sadarbojas ar universitāšu zinātniekiem un klīniskajiem speciālistiem. </w:t>
            </w:r>
            <w:r w:rsidRPr="00EC07D7">
              <w:t xml:space="preserve"> </w:t>
            </w:r>
            <w:r w:rsidRPr="00EC07D7">
              <w:rPr>
                <w:bCs/>
              </w:rPr>
              <w:t xml:space="preserve">Rīkojuma projekts paredz, ka </w:t>
            </w:r>
            <w:r w:rsidRPr="00EC07D7">
              <w:t xml:space="preserve">2021.gadā ieņēmumi no citu valstu finanšu palīdzības programmu īstenošanas plānoti </w:t>
            </w:r>
            <w:r>
              <w:rPr>
                <w:b/>
              </w:rPr>
              <w:t xml:space="preserve">1 429 441 </w:t>
            </w:r>
            <w:r w:rsidRPr="00E33959">
              <w:rPr>
                <w:b/>
                <w:i/>
                <w:iCs/>
              </w:rPr>
              <w:t>euro</w:t>
            </w:r>
            <w:r w:rsidRPr="00D62A9E">
              <w:rPr>
                <w:i/>
                <w:iCs/>
              </w:rPr>
              <w:t xml:space="preserve"> </w:t>
            </w:r>
            <w:r w:rsidRPr="00EC07D7">
              <w:t xml:space="preserve">apmērā </w:t>
            </w:r>
            <w:r w:rsidRPr="00EC07D7">
              <w:rPr>
                <w:color w:val="000000" w:themeColor="text1"/>
                <w:shd w:val="clear" w:color="auto" w:fill="FFFFFF"/>
              </w:rPr>
              <w:t xml:space="preserve">šādā sadalījumā pa </w:t>
            </w:r>
            <w:r w:rsidRPr="00EC07D7">
              <w:rPr>
                <w:shd w:val="clear" w:color="auto" w:fill="FFFFFF"/>
              </w:rPr>
              <w:t>izdevumu kodiem atbilstoši ekonomiskajām kategorijām</w:t>
            </w:r>
            <w:r w:rsidRPr="00EC07D7">
              <w:t>:</w:t>
            </w:r>
          </w:p>
          <w:p w14:paraId="7516093B" w14:textId="77777777" w:rsidR="00CF592D" w:rsidRPr="00EC07D7" w:rsidRDefault="00CF592D" w:rsidP="00CF592D">
            <w:pPr>
              <w:jc w:val="both"/>
            </w:pPr>
            <w:r w:rsidRPr="00EC07D7">
              <w:t xml:space="preserve">EKK 1000 (Atlīdzība) – </w:t>
            </w:r>
            <w:r>
              <w:t>  1 072 081</w:t>
            </w:r>
            <w:r w:rsidRPr="00EC07D7">
              <w:t xml:space="preserve"> </w:t>
            </w:r>
            <w:r w:rsidRPr="00EC07D7">
              <w:rPr>
                <w:i/>
              </w:rPr>
              <w:t>euro</w:t>
            </w:r>
            <w:r w:rsidRPr="00EC07D7">
              <w:t>;</w:t>
            </w:r>
          </w:p>
          <w:p w14:paraId="696D1F7B" w14:textId="18FB48BE" w:rsidR="00CF592D" w:rsidRDefault="00CF592D" w:rsidP="00CF592D">
            <w:pPr>
              <w:rPr>
                <w:i/>
              </w:rPr>
            </w:pPr>
            <w:r w:rsidRPr="00EC07D7">
              <w:t xml:space="preserve">EKK 2000 (Preces un pakalpojumi) – </w:t>
            </w:r>
            <w:r>
              <w:t>  357 360</w:t>
            </w:r>
            <w:r w:rsidRPr="00EC07D7">
              <w:t xml:space="preserve"> </w:t>
            </w:r>
            <w:r w:rsidRPr="00EC07D7">
              <w:rPr>
                <w:i/>
              </w:rPr>
              <w:t>euro.</w:t>
            </w:r>
          </w:p>
          <w:p w14:paraId="7B227337" w14:textId="601A87C1" w:rsidR="00EC5CA3" w:rsidRDefault="00EC5CA3" w:rsidP="00EC5CA3">
            <w:pPr>
              <w:jc w:val="both"/>
              <w:rPr>
                <w:iCs/>
              </w:rPr>
            </w:pPr>
            <w:r w:rsidRPr="00EC5CA3">
              <w:rPr>
                <w:iCs/>
                <w:u w:val="single"/>
              </w:rPr>
              <w:t xml:space="preserve">Tādējādi rīkojuma projekts paredz palielināt 2021.gadā ieņēmumus no ārvalstu finanšu palīdzības programmu īstenošanas 949 441 </w:t>
            </w:r>
            <w:r w:rsidRPr="00EC5CA3">
              <w:rPr>
                <w:i/>
                <w:u w:val="single"/>
              </w:rPr>
              <w:t xml:space="preserve">euro </w:t>
            </w:r>
            <w:r w:rsidRPr="00EC5CA3">
              <w:rPr>
                <w:iCs/>
                <w:u w:val="single"/>
              </w:rPr>
              <w:t>apmērā kā arī palielinot atbilstoši izdevumus</w:t>
            </w:r>
            <w:r>
              <w:rPr>
                <w:iCs/>
              </w:rPr>
              <w:t>:</w:t>
            </w:r>
          </w:p>
          <w:p w14:paraId="7E940B49" w14:textId="634D4D99" w:rsidR="00EC5CA3" w:rsidRDefault="00EC5CA3" w:rsidP="00CF592D">
            <w:pPr>
              <w:rPr>
                <w:iCs/>
              </w:rPr>
            </w:pPr>
            <w:r>
              <w:rPr>
                <w:iCs/>
              </w:rPr>
              <w:t xml:space="preserve">EKK 1000 (Atlīdzība) – 625 357 </w:t>
            </w:r>
            <w:r>
              <w:rPr>
                <w:i/>
              </w:rPr>
              <w:t>euro</w:t>
            </w:r>
            <w:r>
              <w:rPr>
                <w:iCs/>
              </w:rPr>
              <w:t>;</w:t>
            </w:r>
          </w:p>
          <w:p w14:paraId="6C720C58" w14:textId="668611C2" w:rsidR="00EC5CA3" w:rsidRPr="00EC5CA3" w:rsidRDefault="00EC5CA3" w:rsidP="00CF592D">
            <w:pPr>
              <w:rPr>
                <w:iCs/>
              </w:rPr>
            </w:pPr>
            <w:r>
              <w:rPr>
                <w:iCs/>
              </w:rPr>
              <w:t xml:space="preserve">EKK 2000 (Preces un pakalpojumi) – 324 084 </w:t>
            </w:r>
            <w:r>
              <w:rPr>
                <w:i/>
              </w:rPr>
              <w:t>euro</w:t>
            </w:r>
            <w:r>
              <w:rPr>
                <w:iCs/>
              </w:rPr>
              <w:t>.</w:t>
            </w:r>
          </w:p>
          <w:p w14:paraId="2CFE3DA0" w14:textId="77777777" w:rsidR="00CF592D" w:rsidRDefault="00CF592D" w:rsidP="00F57802">
            <w:pPr>
              <w:shd w:val="clear" w:color="auto" w:fill="FFFFFF"/>
              <w:contextualSpacing/>
              <w:jc w:val="both"/>
              <w:rPr>
                <w:bCs/>
                <w:color w:val="000000"/>
                <w:szCs w:val="20"/>
              </w:rPr>
            </w:pPr>
          </w:p>
          <w:p w14:paraId="1E41C3E4" w14:textId="77777777" w:rsidR="00F57802" w:rsidRPr="00EA3A1C" w:rsidRDefault="00F57802" w:rsidP="00F57802">
            <w:pPr>
              <w:contextualSpacing/>
              <w:jc w:val="both"/>
              <w:rPr>
                <w:color w:val="FF0000"/>
                <w:lang w:eastAsia="en-US"/>
              </w:rPr>
            </w:pPr>
          </w:p>
          <w:p w14:paraId="64FC4993" w14:textId="49B85341" w:rsidR="00243C28" w:rsidRPr="00F57802" w:rsidRDefault="00DC22D8" w:rsidP="002E5EC2">
            <w:pPr>
              <w:jc w:val="both"/>
              <w:rPr>
                <w:kern w:val="1"/>
                <w:lang w:eastAsia="ar-SA"/>
              </w:rPr>
            </w:pPr>
            <w:r w:rsidRPr="00DC22D8">
              <w:rPr>
                <w:kern w:val="1"/>
                <w:lang w:eastAsia="ar-SA"/>
              </w:rPr>
              <w:t>Atzīt par spēku zaudējušu Ministru kabineta 2020.gada 30.oktobra rīkojumu Nr.638 “Par Zāļu valsts aģentūras 2021.gada budžeta apstiprināšanu” (Latvijas Vēstnesis, 2020, 213. nr .).</w:t>
            </w:r>
          </w:p>
        </w:tc>
      </w:tr>
      <w:tr w:rsidR="00130487" w:rsidRPr="00EC07D7" w14:paraId="64FC4998" w14:textId="77777777" w:rsidTr="0079260F">
        <w:tc>
          <w:tcPr>
            <w:tcW w:w="568" w:type="dxa"/>
          </w:tcPr>
          <w:p w14:paraId="64FC4995"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lastRenderedPageBreak/>
              <w:t>3.</w:t>
            </w:r>
          </w:p>
        </w:tc>
        <w:tc>
          <w:tcPr>
            <w:tcW w:w="1559" w:type="dxa"/>
          </w:tcPr>
          <w:p w14:paraId="64FC4996"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4FC4997" w14:textId="31B57F3A" w:rsidR="00130487" w:rsidRPr="00EC07D7" w:rsidRDefault="006034A8"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Veselības ministrija</w:t>
            </w:r>
            <w:r w:rsidR="00FB6432">
              <w:rPr>
                <w:rFonts w:ascii="Times New Roman" w:hAnsi="Times New Roman" w:cs="Times New Roman"/>
                <w:sz w:val="24"/>
                <w:szCs w:val="24"/>
                <w:lang w:eastAsia="lv-LV"/>
              </w:rPr>
              <w:t xml:space="preserve">, </w:t>
            </w:r>
            <w:r w:rsidR="003E2E8F" w:rsidRPr="00EC07D7">
              <w:rPr>
                <w:rFonts w:ascii="Times New Roman" w:hAnsi="Times New Roman" w:cs="Times New Roman"/>
                <w:sz w:val="24"/>
                <w:szCs w:val="24"/>
                <w:lang w:eastAsia="lv-LV"/>
              </w:rPr>
              <w:t>Zāļu valsts aģentūra</w:t>
            </w:r>
            <w:r w:rsidR="00984231">
              <w:rPr>
                <w:rFonts w:ascii="Times New Roman" w:hAnsi="Times New Roman" w:cs="Times New Roman"/>
                <w:sz w:val="24"/>
                <w:szCs w:val="24"/>
                <w:lang w:eastAsia="lv-LV"/>
              </w:rPr>
              <w:t xml:space="preserve">, </w:t>
            </w:r>
            <w:r w:rsidR="00FB6432" w:rsidRPr="00FB6432">
              <w:rPr>
                <w:rFonts w:ascii="Times New Roman" w:hAnsi="Times New Roman" w:cs="Times New Roman"/>
                <w:sz w:val="24"/>
                <w:szCs w:val="24"/>
                <w:lang w:eastAsia="lv-LV"/>
              </w:rPr>
              <w:t>Neatliekamās medicīniskās palīdzības dienest</w:t>
            </w:r>
            <w:r w:rsidR="00FB6432">
              <w:rPr>
                <w:rFonts w:ascii="Times New Roman" w:hAnsi="Times New Roman" w:cs="Times New Roman"/>
                <w:sz w:val="24"/>
                <w:szCs w:val="24"/>
                <w:lang w:eastAsia="lv-LV"/>
              </w:rPr>
              <w:t>s</w:t>
            </w:r>
            <w:r w:rsidR="00984231">
              <w:rPr>
                <w:rFonts w:ascii="Times New Roman" w:hAnsi="Times New Roman" w:cs="Times New Roman"/>
                <w:sz w:val="24"/>
                <w:szCs w:val="24"/>
                <w:lang w:eastAsia="lv-LV"/>
              </w:rPr>
              <w:t xml:space="preserve">, </w:t>
            </w:r>
            <w:r w:rsidR="00984231" w:rsidRPr="00984231">
              <w:rPr>
                <w:rFonts w:ascii="Times New Roman" w:hAnsi="Times New Roman" w:cs="Times New Roman"/>
                <w:sz w:val="24"/>
                <w:szCs w:val="24"/>
                <w:lang w:eastAsia="lv-LV"/>
              </w:rPr>
              <w:t>Paula Stradiņa medicīnas vēstures muzejs</w:t>
            </w:r>
            <w:r w:rsidR="00984231">
              <w:rPr>
                <w:rFonts w:ascii="Times New Roman" w:hAnsi="Times New Roman" w:cs="Times New Roman"/>
                <w:sz w:val="24"/>
                <w:szCs w:val="24"/>
                <w:lang w:eastAsia="lv-LV"/>
              </w:rPr>
              <w:t xml:space="preserve"> un </w:t>
            </w:r>
            <w:r w:rsidR="00984231" w:rsidRPr="00984231">
              <w:rPr>
                <w:rFonts w:ascii="Times New Roman" w:hAnsi="Times New Roman" w:cs="Times New Roman"/>
                <w:sz w:val="24"/>
                <w:szCs w:val="24"/>
                <w:lang w:eastAsia="lv-LV"/>
              </w:rPr>
              <w:t>Valsts tiesu medicīnas ekspertīzes centrs</w:t>
            </w:r>
            <w:r w:rsidR="00984231">
              <w:rPr>
                <w:rFonts w:ascii="Times New Roman" w:hAnsi="Times New Roman" w:cs="Times New Roman"/>
                <w:sz w:val="24"/>
                <w:szCs w:val="24"/>
                <w:lang w:eastAsia="lv-LV"/>
              </w:rPr>
              <w:t>.</w:t>
            </w:r>
          </w:p>
        </w:tc>
      </w:tr>
      <w:tr w:rsidR="00130487" w:rsidRPr="00EC07D7" w14:paraId="64FC499C" w14:textId="77777777" w:rsidTr="0079260F">
        <w:tc>
          <w:tcPr>
            <w:tcW w:w="568" w:type="dxa"/>
          </w:tcPr>
          <w:p w14:paraId="64FC4999"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4.</w:t>
            </w:r>
          </w:p>
        </w:tc>
        <w:tc>
          <w:tcPr>
            <w:tcW w:w="1559" w:type="dxa"/>
          </w:tcPr>
          <w:p w14:paraId="64FC499A"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7229" w:type="dxa"/>
          </w:tcPr>
          <w:p w14:paraId="64FC499B" w14:textId="77777777" w:rsidR="00130487" w:rsidRPr="00EC07D7" w:rsidRDefault="006335C0"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99D" w14:textId="77777777" w:rsidR="00EC6E12" w:rsidRPr="00EC07D7"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EC07D7" w14:paraId="64FC499F" w14:textId="77777777" w:rsidTr="006936E5">
        <w:tc>
          <w:tcPr>
            <w:tcW w:w="9356" w:type="dxa"/>
          </w:tcPr>
          <w:p w14:paraId="64FC499E" w14:textId="77777777" w:rsidR="00EC6E12" w:rsidRPr="00EC07D7" w:rsidRDefault="00842AD1"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RPr="00EC07D7" w14:paraId="64FC49A1" w14:textId="77777777" w:rsidTr="006936E5">
        <w:tc>
          <w:tcPr>
            <w:tcW w:w="9356" w:type="dxa"/>
          </w:tcPr>
          <w:p w14:paraId="64FC49A0" w14:textId="77777777" w:rsidR="00155578" w:rsidRPr="00EC07D7" w:rsidRDefault="00155578" w:rsidP="003903BF">
            <w:pPr>
              <w:pStyle w:val="NoSpacing"/>
              <w:jc w:val="center"/>
              <w:rPr>
                <w:rFonts w:ascii="Times New Roman" w:hAnsi="Times New Roman" w:cs="Times New Roman"/>
                <w:b/>
                <w:iCs/>
                <w:sz w:val="24"/>
                <w:szCs w:val="24"/>
                <w:lang w:eastAsia="lv-LV"/>
              </w:rPr>
            </w:pPr>
            <w:r w:rsidRPr="00EC07D7">
              <w:rPr>
                <w:rFonts w:ascii="Times New Roman" w:hAnsi="Times New Roman" w:cs="Times New Roman"/>
                <w:sz w:val="24"/>
                <w:szCs w:val="24"/>
              </w:rPr>
              <w:t>Projekts šo jomu neskar</w:t>
            </w:r>
          </w:p>
        </w:tc>
      </w:tr>
    </w:tbl>
    <w:p w14:paraId="64FC49A2" w14:textId="77777777" w:rsidR="00842AD1"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RPr="00EC07D7" w14:paraId="64FC49A4" w14:textId="77777777" w:rsidTr="000A4FF8">
        <w:tc>
          <w:tcPr>
            <w:tcW w:w="9356" w:type="dxa"/>
            <w:gridSpan w:val="8"/>
          </w:tcPr>
          <w:p w14:paraId="64FC49A3" w14:textId="77777777" w:rsidR="00842AD1" w:rsidRPr="00EC07D7" w:rsidRDefault="00842AD1" w:rsidP="00842AD1">
            <w:pPr>
              <w:pStyle w:val="NoSpacing"/>
              <w:jc w:val="center"/>
              <w:rPr>
                <w:rFonts w:ascii="Times New Roman" w:hAnsi="Times New Roman" w:cs="Times New Roman"/>
                <w:b/>
                <w:iCs/>
                <w:sz w:val="24"/>
                <w:szCs w:val="24"/>
                <w:lang w:eastAsia="lv-LV"/>
              </w:rPr>
            </w:pPr>
            <w:r w:rsidRPr="00EC07D7">
              <w:rPr>
                <w:rFonts w:ascii="Times New Roman" w:hAnsi="Times New Roman" w:cs="Times New Roman"/>
                <w:b/>
                <w:iCs/>
                <w:sz w:val="24"/>
                <w:szCs w:val="24"/>
                <w:lang w:eastAsia="lv-LV"/>
              </w:rPr>
              <w:t>III. Tiesību akta projekta ietekme uz valsts budžetu un pašvaldību budžetiem</w:t>
            </w:r>
          </w:p>
        </w:tc>
      </w:tr>
      <w:tr w:rsidR="00842AD1" w:rsidRPr="00EC07D7" w14:paraId="64FC49A8" w14:textId="77777777" w:rsidTr="000A4FF8">
        <w:tc>
          <w:tcPr>
            <w:tcW w:w="1702" w:type="dxa"/>
            <w:vMerge w:val="restart"/>
          </w:tcPr>
          <w:p w14:paraId="64FC49A5"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Rādītāji</w:t>
            </w:r>
          </w:p>
        </w:tc>
        <w:tc>
          <w:tcPr>
            <w:tcW w:w="2260" w:type="dxa"/>
            <w:gridSpan w:val="2"/>
            <w:vMerge w:val="restart"/>
          </w:tcPr>
          <w:p w14:paraId="64FC49A6" w14:textId="05028C26"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w:t>
            </w:r>
            <w:r w:rsidR="00482E9B" w:rsidRPr="00EC07D7">
              <w:rPr>
                <w:rFonts w:ascii="Times New Roman" w:hAnsi="Times New Roman" w:cs="Times New Roman"/>
                <w:iCs/>
                <w:sz w:val="24"/>
                <w:szCs w:val="24"/>
                <w:lang w:eastAsia="lv-LV"/>
              </w:rPr>
              <w:t>2</w:t>
            </w:r>
            <w:r w:rsidR="0050580C">
              <w:rPr>
                <w:rFonts w:ascii="Times New Roman" w:hAnsi="Times New Roman" w:cs="Times New Roman"/>
                <w:iCs/>
                <w:sz w:val="24"/>
                <w:szCs w:val="24"/>
                <w:lang w:eastAsia="lv-LV"/>
              </w:rPr>
              <w:t>1</w:t>
            </w:r>
            <w:r w:rsidR="00037CA6" w:rsidRPr="00EC07D7">
              <w:rPr>
                <w:rFonts w:ascii="Times New Roman" w:hAnsi="Times New Roman" w:cs="Times New Roman"/>
                <w:iCs/>
                <w:sz w:val="24"/>
                <w:szCs w:val="24"/>
                <w:lang w:eastAsia="lv-LV"/>
              </w:rPr>
              <w:t>.gads</w:t>
            </w:r>
          </w:p>
        </w:tc>
        <w:tc>
          <w:tcPr>
            <w:tcW w:w="5394" w:type="dxa"/>
            <w:gridSpan w:val="5"/>
          </w:tcPr>
          <w:p w14:paraId="64FC49A7"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Turpmākie trīs gadi (</w:t>
            </w:r>
            <w:r w:rsidRPr="00EC07D7">
              <w:rPr>
                <w:rFonts w:ascii="Times New Roman" w:hAnsi="Times New Roman" w:cs="Times New Roman"/>
                <w:i/>
                <w:iCs/>
                <w:sz w:val="24"/>
                <w:szCs w:val="24"/>
                <w:lang w:eastAsia="lv-LV"/>
              </w:rPr>
              <w:t>euro</w:t>
            </w:r>
            <w:r w:rsidRPr="00EC07D7">
              <w:rPr>
                <w:rFonts w:ascii="Times New Roman" w:hAnsi="Times New Roman" w:cs="Times New Roman"/>
                <w:iCs/>
                <w:sz w:val="24"/>
                <w:szCs w:val="24"/>
                <w:lang w:eastAsia="lv-LV"/>
              </w:rPr>
              <w:t>)</w:t>
            </w:r>
          </w:p>
        </w:tc>
      </w:tr>
      <w:tr w:rsidR="00842AD1" w:rsidRPr="00EC07D7" w14:paraId="64FC49AE" w14:textId="77777777" w:rsidTr="000A4FF8">
        <w:tc>
          <w:tcPr>
            <w:tcW w:w="1702" w:type="dxa"/>
            <w:vMerge/>
          </w:tcPr>
          <w:p w14:paraId="64FC49A9" w14:textId="77777777" w:rsidR="00842AD1" w:rsidRPr="00EC07D7"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4FC49AA" w14:textId="77777777" w:rsidR="00842AD1" w:rsidRPr="00EC07D7" w:rsidRDefault="00842AD1" w:rsidP="00EC6E12">
            <w:pPr>
              <w:pStyle w:val="NoSpacing"/>
              <w:rPr>
                <w:rFonts w:ascii="Times New Roman" w:hAnsi="Times New Roman" w:cs="Times New Roman"/>
                <w:iCs/>
                <w:sz w:val="24"/>
                <w:szCs w:val="24"/>
                <w:lang w:eastAsia="lv-LV"/>
              </w:rPr>
            </w:pPr>
          </w:p>
        </w:tc>
        <w:tc>
          <w:tcPr>
            <w:tcW w:w="2134" w:type="dxa"/>
            <w:gridSpan w:val="2"/>
          </w:tcPr>
          <w:p w14:paraId="64FC49AB" w14:textId="70EC4FA5"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w:t>
            </w:r>
            <w:r w:rsidR="0050580C">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.gads</w:t>
            </w:r>
          </w:p>
        </w:tc>
        <w:tc>
          <w:tcPr>
            <w:tcW w:w="1984" w:type="dxa"/>
            <w:gridSpan w:val="2"/>
          </w:tcPr>
          <w:p w14:paraId="64FC49AC" w14:textId="1E940068" w:rsidR="00842AD1" w:rsidRPr="00EC07D7" w:rsidRDefault="00037CA6"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00482E9B" w:rsidRPr="00EC07D7">
              <w:rPr>
                <w:rFonts w:ascii="Times New Roman" w:hAnsi="Times New Roman" w:cs="Times New Roman"/>
                <w:iCs/>
                <w:sz w:val="24"/>
                <w:szCs w:val="24"/>
                <w:lang w:eastAsia="lv-LV"/>
              </w:rPr>
              <w:t>02</w:t>
            </w:r>
            <w:r w:rsidR="0050580C">
              <w:rPr>
                <w:rFonts w:ascii="Times New Roman" w:hAnsi="Times New Roman" w:cs="Times New Roman"/>
                <w:iCs/>
                <w:sz w:val="24"/>
                <w:szCs w:val="24"/>
                <w:lang w:eastAsia="lv-LV"/>
              </w:rPr>
              <w:t>3</w:t>
            </w:r>
            <w:r w:rsidRPr="00EC07D7">
              <w:rPr>
                <w:rFonts w:ascii="Times New Roman" w:hAnsi="Times New Roman" w:cs="Times New Roman"/>
                <w:iCs/>
                <w:sz w:val="24"/>
                <w:szCs w:val="24"/>
                <w:lang w:eastAsia="lv-LV"/>
              </w:rPr>
              <w:t>.gads</w:t>
            </w:r>
          </w:p>
        </w:tc>
        <w:tc>
          <w:tcPr>
            <w:tcW w:w="1276" w:type="dxa"/>
          </w:tcPr>
          <w:p w14:paraId="64FC49AD" w14:textId="6E10D304" w:rsidR="00842AD1" w:rsidRPr="00EC07D7" w:rsidRDefault="00482E9B"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w:t>
            </w:r>
            <w:r w:rsidR="0050580C">
              <w:rPr>
                <w:rFonts w:ascii="Times New Roman" w:hAnsi="Times New Roman" w:cs="Times New Roman"/>
                <w:iCs/>
                <w:sz w:val="24"/>
                <w:szCs w:val="24"/>
                <w:lang w:eastAsia="lv-LV"/>
              </w:rPr>
              <w:t>4</w:t>
            </w:r>
            <w:r w:rsidR="00037CA6" w:rsidRPr="00EC07D7">
              <w:rPr>
                <w:rFonts w:ascii="Times New Roman" w:hAnsi="Times New Roman" w:cs="Times New Roman"/>
                <w:iCs/>
                <w:sz w:val="24"/>
                <w:szCs w:val="24"/>
                <w:lang w:eastAsia="lv-LV"/>
              </w:rPr>
              <w:t>.gads</w:t>
            </w:r>
          </w:p>
        </w:tc>
      </w:tr>
      <w:tr w:rsidR="006E71F7" w:rsidRPr="00EC07D7" w14:paraId="64FC49BD" w14:textId="77777777" w:rsidTr="000A4FF8">
        <w:tc>
          <w:tcPr>
            <w:tcW w:w="1702" w:type="dxa"/>
            <w:vMerge/>
          </w:tcPr>
          <w:p w14:paraId="64FC49AF" w14:textId="77777777" w:rsidR="00842AD1" w:rsidRPr="00EC07D7" w:rsidRDefault="00842AD1" w:rsidP="00EC6E12">
            <w:pPr>
              <w:pStyle w:val="NoSpacing"/>
              <w:rPr>
                <w:rFonts w:ascii="Times New Roman" w:hAnsi="Times New Roman" w:cs="Times New Roman"/>
                <w:iCs/>
                <w:sz w:val="24"/>
                <w:szCs w:val="24"/>
                <w:lang w:eastAsia="lv-LV"/>
              </w:rPr>
            </w:pPr>
          </w:p>
        </w:tc>
        <w:tc>
          <w:tcPr>
            <w:tcW w:w="992" w:type="dxa"/>
          </w:tcPr>
          <w:p w14:paraId="64FC49B0" w14:textId="3A005A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valsts budžetu kārtējam gadam</w:t>
            </w:r>
            <w:r w:rsidR="00C632B6" w:rsidRPr="00EC07D7">
              <w:rPr>
                <w:rFonts w:ascii="Times New Roman" w:hAnsi="Times New Roman" w:cs="Times New Roman"/>
                <w:iCs/>
                <w:sz w:val="24"/>
                <w:szCs w:val="24"/>
                <w:lang w:eastAsia="lv-LV"/>
              </w:rPr>
              <w:t>*</w:t>
            </w:r>
          </w:p>
        </w:tc>
        <w:tc>
          <w:tcPr>
            <w:tcW w:w="1268" w:type="dxa"/>
          </w:tcPr>
          <w:p w14:paraId="64FC49B1" w14:textId="777777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kārtējā gadā, salīdzinot ar valsts budžetu kārtējam gadam</w:t>
            </w:r>
          </w:p>
        </w:tc>
        <w:tc>
          <w:tcPr>
            <w:tcW w:w="1000" w:type="dxa"/>
          </w:tcPr>
          <w:p w14:paraId="64FC49B2" w14:textId="0EF0565C"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vidēja termiņa budžeta ietvaru</w:t>
            </w:r>
          </w:p>
        </w:tc>
        <w:tc>
          <w:tcPr>
            <w:tcW w:w="1134" w:type="dxa"/>
          </w:tcPr>
          <w:p w14:paraId="64FC49B3"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salīdzi</w:t>
            </w:r>
            <w:r w:rsidR="006E71F7" w:rsidRPr="00EC07D7">
              <w:rPr>
                <w:rFonts w:ascii="Times New Roman" w:hAnsi="Times New Roman" w:cs="Times New Roman"/>
                <w:iCs/>
                <w:sz w:val="24"/>
                <w:szCs w:val="24"/>
                <w:lang w:eastAsia="lv-LV"/>
              </w:rPr>
              <w:t>-</w:t>
            </w:r>
          </w:p>
          <w:p w14:paraId="64FC49B4" w14:textId="35C6B5DA" w:rsidR="00E406AA"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not ar vidēja termiņa budžeta ietvaru </w:t>
            </w:r>
            <w:r w:rsidR="00391F3D" w:rsidRPr="00EC07D7">
              <w:rPr>
                <w:rFonts w:ascii="Times New Roman" w:hAnsi="Times New Roman" w:cs="Times New Roman"/>
                <w:iCs/>
                <w:sz w:val="24"/>
                <w:szCs w:val="24"/>
                <w:lang w:eastAsia="lv-LV"/>
              </w:rPr>
              <w:t>202</w:t>
            </w:r>
            <w:r w:rsidR="0050580C">
              <w:rPr>
                <w:rFonts w:ascii="Times New Roman" w:hAnsi="Times New Roman" w:cs="Times New Roman"/>
                <w:iCs/>
                <w:sz w:val="24"/>
                <w:szCs w:val="24"/>
                <w:lang w:eastAsia="lv-LV"/>
              </w:rPr>
              <w:t>2</w:t>
            </w:r>
            <w:r w:rsidR="00E406AA" w:rsidRPr="00EC07D7">
              <w:rPr>
                <w:rFonts w:ascii="Times New Roman" w:hAnsi="Times New Roman" w:cs="Times New Roman"/>
                <w:iCs/>
                <w:sz w:val="24"/>
                <w:szCs w:val="24"/>
                <w:lang w:eastAsia="lv-LV"/>
              </w:rPr>
              <w:t>.</w:t>
            </w:r>
          </w:p>
          <w:p w14:paraId="64FC49B5" w14:textId="58366653" w:rsidR="00842AD1"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gadam</w:t>
            </w:r>
          </w:p>
        </w:tc>
        <w:tc>
          <w:tcPr>
            <w:tcW w:w="992" w:type="dxa"/>
          </w:tcPr>
          <w:p w14:paraId="64FC49B6" w14:textId="352DCC6F"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vidēja termiņa budžeta ietvaru</w:t>
            </w:r>
          </w:p>
        </w:tc>
        <w:tc>
          <w:tcPr>
            <w:tcW w:w="992" w:type="dxa"/>
          </w:tcPr>
          <w:p w14:paraId="64FC49B7" w14:textId="77777777" w:rsidR="00037CA6" w:rsidRPr="00EC07D7" w:rsidRDefault="00037CA6"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w:t>
            </w:r>
            <w:r w:rsidR="00842AD1" w:rsidRPr="00EC07D7">
              <w:rPr>
                <w:rFonts w:ascii="Times New Roman" w:hAnsi="Times New Roman" w:cs="Times New Roman"/>
                <w:iCs/>
                <w:sz w:val="24"/>
                <w:szCs w:val="24"/>
                <w:lang w:eastAsia="lv-LV"/>
              </w:rPr>
              <w:t>zmai</w:t>
            </w:r>
            <w:r w:rsidRPr="00EC07D7">
              <w:rPr>
                <w:rFonts w:ascii="Times New Roman" w:hAnsi="Times New Roman" w:cs="Times New Roman"/>
                <w:iCs/>
                <w:sz w:val="24"/>
                <w:szCs w:val="24"/>
                <w:lang w:eastAsia="lv-LV"/>
              </w:rPr>
              <w:t>-</w:t>
            </w:r>
          </w:p>
          <w:p w14:paraId="64FC49B8"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ņas, salīdzi</w:t>
            </w:r>
            <w:r w:rsidR="006E71F7" w:rsidRPr="00EC07D7">
              <w:rPr>
                <w:rFonts w:ascii="Times New Roman" w:hAnsi="Times New Roman" w:cs="Times New Roman"/>
                <w:iCs/>
                <w:sz w:val="24"/>
                <w:szCs w:val="24"/>
                <w:lang w:eastAsia="lv-LV"/>
              </w:rPr>
              <w:t>-</w:t>
            </w:r>
          </w:p>
          <w:p w14:paraId="64FC49B9" w14:textId="3539AA96" w:rsidR="00842AD1"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not ar vidēja termiņa budžeta ietvaru </w:t>
            </w:r>
            <w:r w:rsidR="00391F3D" w:rsidRPr="00EC07D7">
              <w:rPr>
                <w:rFonts w:ascii="Times New Roman" w:hAnsi="Times New Roman" w:cs="Times New Roman"/>
                <w:iCs/>
                <w:sz w:val="24"/>
                <w:szCs w:val="24"/>
                <w:lang w:eastAsia="lv-LV"/>
              </w:rPr>
              <w:t>202</w:t>
            </w:r>
            <w:r w:rsidR="0050580C">
              <w:rPr>
                <w:rFonts w:ascii="Times New Roman" w:hAnsi="Times New Roman" w:cs="Times New Roman"/>
                <w:iCs/>
                <w:sz w:val="24"/>
                <w:szCs w:val="24"/>
                <w:lang w:eastAsia="lv-LV"/>
              </w:rPr>
              <w:t>3</w:t>
            </w:r>
            <w:r w:rsidR="00037CA6" w:rsidRPr="00EC07D7">
              <w:rPr>
                <w:rFonts w:ascii="Times New Roman" w:hAnsi="Times New Roman" w:cs="Times New Roman"/>
                <w:iCs/>
                <w:sz w:val="24"/>
                <w:szCs w:val="24"/>
                <w:lang w:eastAsia="lv-LV"/>
              </w:rPr>
              <w:t>.</w:t>
            </w:r>
            <w:r w:rsidRPr="00EC07D7">
              <w:rPr>
                <w:rFonts w:ascii="Times New Roman" w:hAnsi="Times New Roman" w:cs="Times New Roman"/>
                <w:iCs/>
                <w:sz w:val="24"/>
                <w:szCs w:val="24"/>
                <w:lang w:eastAsia="lv-LV"/>
              </w:rPr>
              <w:t xml:space="preserve"> gadam</w:t>
            </w:r>
          </w:p>
        </w:tc>
        <w:tc>
          <w:tcPr>
            <w:tcW w:w="1276" w:type="dxa"/>
          </w:tcPr>
          <w:p w14:paraId="64FC49BA"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salīdzi</w:t>
            </w:r>
            <w:r w:rsidR="006E71F7" w:rsidRPr="00EC07D7">
              <w:rPr>
                <w:rFonts w:ascii="Times New Roman" w:hAnsi="Times New Roman" w:cs="Times New Roman"/>
                <w:iCs/>
                <w:sz w:val="24"/>
                <w:szCs w:val="24"/>
                <w:lang w:eastAsia="lv-LV"/>
              </w:rPr>
              <w:t>-</w:t>
            </w:r>
          </w:p>
          <w:p w14:paraId="64FC49BB" w14:textId="2E263FFC" w:rsidR="00E406AA" w:rsidRPr="00EC07D7" w:rsidRDefault="00842AD1" w:rsidP="00037CA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not ar vidēja termiņa budžeta ietvaru </w:t>
            </w:r>
            <w:r w:rsidR="00037CA6" w:rsidRPr="00EC07D7">
              <w:rPr>
                <w:rFonts w:ascii="Times New Roman" w:hAnsi="Times New Roman" w:cs="Times New Roman"/>
                <w:iCs/>
                <w:sz w:val="24"/>
                <w:szCs w:val="24"/>
                <w:lang w:eastAsia="lv-LV"/>
              </w:rPr>
              <w:t>202</w:t>
            </w:r>
            <w:r w:rsidR="00B84F0C">
              <w:rPr>
                <w:rFonts w:ascii="Times New Roman" w:hAnsi="Times New Roman" w:cs="Times New Roman"/>
                <w:iCs/>
                <w:sz w:val="24"/>
                <w:szCs w:val="24"/>
                <w:lang w:eastAsia="lv-LV"/>
              </w:rPr>
              <w:t>3</w:t>
            </w:r>
            <w:r w:rsidR="00037CA6" w:rsidRPr="00EC07D7">
              <w:rPr>
                <w:rFonts w:ascii="Times New Roman" w:hAnsi="Times New Roman" w:cs="Times New Roman"/>
                <w:iCs/>
                <w:sz w:val="24"/>
                <w:szCs w:val="24"/>
                <w:lang w:eastAsia="lv-LV"/>
              </w:rPr>
              <w:t>.</w:t>
            </w:r>
          </w:p>
          <w:p w14:paraId="64FC49BC" w14:textId="477F1A51" w:rsidR="00842AD1" w:rsidRPr="00EC07D7" w:rsidRDefault="00842AD1" w:rsidP="00037CA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gadam</w:t>
            </w:r>
          </w:p>
        </w:tc>
      </w:tr>
      <w:tr w:rsidR="006E71F7" w:rsidRPr="00EC07D7" w14:paraId="64FC49C6" w14:textId="77777777" w:rsidTr="000A4FF8">
        <w:tc>
          <w:tcPr>
            <w:tcW w:w="1702" w:type="dxa"/>
            <w:vAlign w:val="center"/>
          </w:tcPr>
          <w:p w14:paraId="64FC49BE"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w:t>
            </w:r>
          </w:p>
        </w:tc>
        <w:tc>
          <w:tcPr>
            <w:tcW w:w="992" w:type="dxa"/>
            <w:vAlign w:val="center"/>
          </w:tcPr>
          <w:p w14:paraId="64FC49BF"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p>
        </w:tc>
        <w:tc>
          <w:tcPr>
            <w:tcW w:w="1268" w:type="dxa"/>
            <w:vAlign w:val="center"/>
          </w:tcPr>
          <w:p w14:paraId="64FC49C0"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w:t>
            </w:r>
          </w:p>
        </w:tc>
        <w:tc>
          <w:tcPr>
            <w:tcW w:w="1000" w:type="dxa"/>
            <w:vAlign w:val="center"/>
          </w:tcPr>
          <w:p w14:paraId="64FC49C1"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w:t>
            </w:r>
          </w:p>
        </w:tc>
        <w:tc>
          <w:tcPr>
            <w:tcW w:w="1134" w:type="dxa"/>
            <w:vAlign w:val="center"/>
          </w:tcPr>
          <w:p w14:paraId="64FC49C2"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w:t>
            </w:r>
          </w:p>
        </w:tc>
        <w:tc>
          <w:tcPr>
            <w:tcW w:w="992" w:type="dxa"/>
            <w:vAlign w:val="center"/>
          </w:tcPr>
          <w:p w14:paraId="64FC49C3"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w:t>
            </w:r>
          </w:p>
        </w:tc>
        <w:tc>
          <w:tcPr>
            <w:tcW w:w="992" w:type="dxa"/>
            <w:vAlign w:val="center"/>
          </w:tcPr>
          <w:p w14:paraId="64FC49C4"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w:t>
            </w:r>
          </w:p>
        </w:tc>
        <w:tc>
          <w:tcPr>
            <w:tcW w:w="1276" w:type="dxa"/>
            <w:vAlign w:val="center"/>
          </w:tcPr>
          <w:p w14:paraId="64FC49C5"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w:t>
            </w:r>
          </w:p>
        </w:tc>
      </w:tr>
      <w:tr w:rsidR="003A678B" w:rsidRPr="00EC07D7" w14:paraId="64FC49CF" w14:textId="77777777" w:rsidTr="000A4FF8">
        <w:tc>
          <w:tcPr>
            <w:tcW w:w="1702" w:type="dxa"/>
            <w:vAlign w:val="center"/>
          </w:tcPr>
          <w:p w14:paraId="64FC49C7" w14:textId="77777777" w:rsidR="003A678B" w:rsidRPr="00EC07D7" w:rsidRDefault="003A678B" w:rsidP="003A678B">
            <w:pPr>
              <w:pStyle w:val="NoSpacing"/>
              <w:jc w:val="both"/>
              <w:rPr>
                <w:rFonts w:ascii="Times New Roman" w:hAnsi="Times New Roman" w:cs="Times New Roman"/>
                <w:iCs/>
                <w:sz w:val="24"/>
                <w:szCs w:val="24"/>
                <w:lang w:eastAsia="lv-LV"/>
              </w:rPr>
            </w:pPr>
            <w:bookmarkStart w:id="3" w:name="_Hlk16233450"/>
            <w:r w:rsidRPr="00EC07D7">
              <w:rPr>
                <w:rFonts w:ascii="Times New Roman" w:hAnsi="Times New Roman" w:cs="Times New Roman"/>
                <w:iCs/>
                <w:sz w:val="24"/>
                <w:szCs w:val="24"/>
                <w:lang w:eastAsia="lv-LV"/>
              </w:rPr>
              <w:t>1. Budžeta ieņēmumi</w:t>
            </w:r>
          </w:p>
        </w:tc>
        <w:tc>
          <w:tcPr>
            <w:tcW w:w="992" w:type="dxa"/>
            <w:vAlign w:val="center"/>
          </w:tcPr>
          <w:p w14:paraId="64FC49C8" w14:textId="6817DC0E" w:rsidR="003A678B" w:rsidRPr="003A678B" w:rsidRDefault="003A678B" w:rsidP="003A678B">
            <w:pPr>
              <w:rPr>
                <w:b/>
                <w:bCs/>
                <w:iCs/>
              </w:rPr>
            </w:pPr>
            <w:r w:rsidRPr="003A678B">
              <w:rPr>
                <w:b/>
                <w:bCs/>
                <w:iCs/>
              </w:rPr>
              <w:t>994 947</w:t>
            </w:r>
          </w:p>
        </w:tc>
        <w:tc>
          <w:tcPr>
            <w:tcW w:w="1268" w:type="dxa"/>
            <w:vAlign w:val="center"/>
          </w:tcPr>
          <w:p w14:paraId="64FC49C9" w14:textId="24D16ED7" w:rsidR="003A678B" w:rsidRPr="003A678B" w:rsidRDefault="003A678B" w:rsidP="003A678B">
            <w:pPr>
              <w:pStyle w:val="NoSpacing"/>
              <w:rPr>
                <w:rFonts w:ascii="Times New Roman" w:hAnsi="Times New Roman" w:cs="Times New Roman"/>
                <w:b/>
                <w:bCs/>
                <w:iCs/>
                <w:sz w:val="24"/>
                <w:szCs w:val="24"/>
                <w:lang w:eastAsia="lv-LV"/>
              </w:rPr>
            </w:pPr>
            <w:r w:rsidRPr="003A678B">
              <w:rPr>
                <w:rFonts w:ascii="Times New Roman" w:hAnsi="Times New Roman" w:cs="Times New Roman"/>
                <w:b/>
                <w:bCs/>
                <w:iCs/>
                <w:sz w:val="24"/>
                <w:szCs w:val="24"/>
                <w:lang w:eastAsia="lv-LV"/>
              </w:rPr>
              <w:t>14 000</w:t>
            </w:r>
          </w:p>
        </w:tc>
        <w:tc>
          <w:tcPr>
            <w:tcW w:w="1000" w:type="dxa"/>
            <w:vAlign w:val="center"/>
          </w:tcPr>
          <w:p w14:paraId="64FC49CA" w14:textId="4A1F7856" w:rsidR="003A678B" w:rsidRPr="00C632B6" w:rsidRDefault="003A678B" w:rsidP="003A678B">
            <w:pPr>
              <w:pStyle w:val="NoSpacing"/>
              <w:rPr>
                <w:rFonts w:ascii="Times New Roman" w:hAnsi="Times New Roman" w:cs="Times New Roman"/>
                <w:b/>
                <w:iCs/>
                <w:sz w:val="24"/>
                <w:szCs w:val="24"/>
                <w:lang w:eastAsia="lv-LV"/>
              </w:rPr>
            </w:pPr>
            <w:r>
              <w:rPr>
                <w:rFonts w:ascii="Times New Roman" w:hAnsi="Times New Roman" w:cs="Times New Roman"/>
                <w:b/>
                <w:iCs/>
                <w:sz w:val="24"/>
                <w:szCs w:val="24"/>
              </w:rPr>
              <w:t>0</w:t>
            </w:r>
          </w:p>
        </w:tc>
        <w:tc>
          <w:tcPr>
            <w:tcW w:w="1134" w:type="dxa"/>
            <w:vAlign w:val="center"/>
          </w:tcPr>
          <w:p w14:paraId="64FC49CB" w14:textId="1AFBEB24" w:rsidR="003A678B" w:rsidRPr="00C632B6" w:rsidRDefault="003A678B" w:rsidP="003A678B">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992" w:type="dxa"/>
            <w:vAlign w:val="center"/>
          </w:tcPr>
          <w:p w14:paraId="64FC49CC" w14:textId="3E85189E" w:rsidR="003A678B" w:rsidRPr="00C632B6" w:rsidRDefault="003A678B" w:rsidP="003A678B">
            <w:pPr>
              <w:pStyle w:val="NoSpacing"/>
              <w:rPr>
                <w:rFonts w:ascii="Times New Roman" w:hAnsi="Times New Roman" w:cs="Times New Roman"/>
                <w:b/>
                <w:iCs/>
                <w:sz w:val="24"/>
                <w:szCs w:val="24"/>
                <w:lang w:eastAsia="lv-LV"/>
              </w:rPr>
            </w:pPr>
            <w:r>
              <w:rPr>
                <w:rFonts w:ascii="Times New Roman" w:hAnsi="Times New Roman" w:cs="Times New Roman"/>
                <w:b/>
                <w:iCs/>
                <w:sz w:val="24"/>
                <w:szCs w:val="24"/>
              </w:rPr>
              <w:t>0</w:t>
            </w:r>
          </w:p>
        </w:tc>
        <w:tc>
          <w:tcPr>
            <w:tcW w:w="992" w:type="dxa"/>
            <w:vAlign w:val="center"/>
          </w:tcPr>
          <w:p w14:paraId="64FC49CD" w14:textId="7FDCDB63" w:rsidR="003A678B" w:rsidRPr="00C632B6" w:rsidRDefault="003A678B" w:rsidP="003A678B">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276" w:type="dxa"/>
            <w:vAlign w:val="center"/>
          </w:tcPr>
          <w:p w14:paraId="64FC49CE" w14:textId="73AFB087" w:rsidR="003A678B" w:rsidRPr="00C632B6" w:rsidRDefault="003A678B" w:rsidP="003A678B">
            <w:pPr>
              <w:rPr>
                <w:iCs/>
              </w:rPr>
            </w:pPr>
            <w:r w:rsidRPr="00C632B6">
              <w:rPr>
                <w:b/>
                <w:iCs/>
              </w:rPr>
              <w:t>0</w:t>
            </w:r>
          </w:p>
        </w:tc>
      </w:tr>
      <w:tr w:rsidR="003A678B" w:rsidRPr="00EC07D7" w14:paraId="64FC49D8" w14:textId="77777777" w:rsidTr="000A4FF8">
        <w:tc>
          <w:tcPr>
            <w:tcW w:w="1702" w:type="dxa"/>
            <w:vAlign w:val="center"/>
          </w:tcPr>
          <w:p w14:paraId="64FC49D0" w14:textId="77777777" w:rsidR="003A678B" w:rsidRPr="00EC07D7" w:rsidRDefault="003A678B" w:rsidP="003A678B">
            <w:pPr>
              <w:pStyle w:val="NoSpacing"/>
              <w:jc w:val="both"/>
              <w:rPr>
                <w:rFonts w:ascii="Times New Roman" w:hAnsi="Times New Roman" w:cs="Times New Roman"/>
                <w:iCs/>
                <w:sz w:val="24"/>
                <w:szCs w:val="24"/>
                <w:lang w:eastAsia="lv-LV"/>
              </w:rPr>
            </w:pPr>
            <w:bookmarkStart w:id="4" w:name="_Hlk16233500"/>
            <w:bookmarkEnd w:id="3"/>
            <w:r w:rsidRPr="00EC07D7">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64FC49D1" w14:textId="5F2BB849" w:rsidR="003A678B" w:rsidRPr="00EC07D7" w:rsidRDefault="003A678B" w:rsidP="003A678B">
            <w:r>
              <w:rPr>
                <w:iCs/>
              </w:rPr>
              <w:t>994 947</w:t>
            </w:r>
          </w:p>
        </w:tc>
        <w:tc>
          <w:tcPr>
            <w:tcW w:w="1268" w:type="dxa"/>
            <w:vAlign w:val="center"/>
          </w:tcPr>
          <w:p w14:paraId="64FC49D2" w14:textId="43734EC2" w:rsidR="003A678B" w:rsidRPr="00EC07D7" w:rsidRDefault="003A678B" w:rsidP="003A678B">
            <w:r>
              <w:rPr>
                <w:iCs/>
              </w:rPr>
              <w:t>14 000</w:t>
            </w:r>
          </w:p>
        </w:tc>
        <w:tc>
          <w:tcPr>
            <w:tcW w:w="1000" w:type="dxa"/>
            <w:vAlign w:val="center"/>
          </w:tcPr>
          <w:p w14:paraId="64FC49D3" w14:textId="24C22D87" w:rsidR="003A678B" w:rsidRPr="00EC07D7" w:rsidRDefault="003A678B" w:rsidP="003A678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9D4" w14:textId="5350241C" w:rsidR="003A678B" w:rsidRPr="00EC07D7" w:rsidRDefault="003A678B" w:rsidP="003A678B">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5" w14:textId="24F1214A" w:rsidR="003A678B" w:rsidRPr="00EC07D7" w:rsidRDefault="003A678B" w:rsidP="003A678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9D6" w14:textId="61DA62CB" w:rsidR="003A678B" w:rsidRPr="00EC07D7" w:rsidRDefault="003A678B" w:rsidP="003A678B">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D7" w14:textId="327A3CD7" w:rsidR="003A678B" w:rsidRPr="00EC07D7" w:rsidRDefault="003A678B" w:rsidP="003A678B">
            <w:pPr>
              <w:rPr>
                <w:iCs/>
                <w:sz w:val="20"/>
                <w:szCs w:val="20"/>
              </w:rPr>
            </w:pPr>
            <w:r w:rsidRPr="00EC07D7">
              <w:rPr>
                <w:iCs/>
              </w:rPr>
              <w:t>0</w:t>
            </w:r>
          </w:p>
        </w:tc>
      </w:tr>
      <w:tr w:rsidR="00B7239A" w:rsidRPr="00EC07D7" w14:paraId="2F8D29AE" w14:textId="77777777" w:rsidTr="000A4FF8">
        <w:tc>
          <w:tcPr>
            <w:tcW w:w="1702" w:type="dxa"/>
          </w:tcPr>
          <w:p w14:paraId="226A2467" w14:textId="7629D6A3" w:rsidR="00B7239A" w:rsidRDefault="00B7239A" w:rsidP="00C632B6">
            <w:bookmarkStart w:id="5" w:name="_Hlk72231202"/>
            <w:r w:rsidRPr="00B7239A">
              <w:t xml:space="preserve">apakšprogramma </w:t>
            </w:r>
            <w:r>
              <w:t>06.02</w:t>
            </w:r>
            <w:r w:rsidRPr="00B7239A">
              <w:t>.00</w:t>
            </w:r>
          </w:p>
        </w:tc>
        <w:tc>
          <w:tcPr>
            <w:tcW w:w="992" w:type="dxa"/>
            <w:vAlign w:val="center"/>
          </w:tcPr>
          <w:p w14:paraId="5D033937" w14:textId="73AF5126" w:rsidR="00B7239A" w:rsidRDefault="000A4FF8" w:rsidP="00C632B6">
            <w:pPr>
              <w:rPr>
                <w:iCs/>
              </w:rPr>
            </w:pPr>
            <w:r>
              <w:rPr>
                <w:iCs/>
              </w:rPr>
              <w:t>994 947</w:t>
            </w:r>
          </w:p>
        </w:tc>
        <w:tc>
          <w:tcPr>
            <w:tcW w:w="1268" w:type="dxa"/>
            <w:vAlign w:val="center"/>
          </w:tcPr>
          <w:p w14:paraId="5FB6DCDA" w14:textId="7D782E5B" w:rsidR="00B7239A" w:rsidRDefault="000A4FF8" w:rsidP="00C632B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14 000</w:t>
            </w:r>
          </w:p>
        </w:tc>
        <w:tc>
          <w:tcPr>
            <w:tcW w:w="1000" w:type="dxa"/>
            <w:vAlign w:val="center"/>
          </w:tcPr>
          <w:p w14:paraId="05438A4A" w14:textId="0697458F" w:rsidR="00B7239A" w:rsidRDefault="000A4FF8" w:rsidP="00C632B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0B1CEC5D" w14:textId="74543306" w:rsidR="00B7239A" w:rsidRDefault="000A4FF8" w:rsidP="00C632B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FA45717" w14:textId="5D36503C" w:rsidR="00B7239A" w:rsidRDefault="000A4FF8" w:rsidP="00C632B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EAE0D1D" w14:textId="07B0ECBC" w:rsidR="00B7239A" w:rsidRDefault="000A4FF8" w:rsidP="00C632B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4639B979" w14:textId="2976A118" w:rsidR="00B7239A" w:rsidRDefault="000A4FF8" w:rsidP="00C632B6">
            <w:pPr>
              <w:rPr>
                <w:iCs/>
              </w:rPr>
            </w:pPr>
            <w:r>
              <w:rPr>
                <w:iCs/>
              </w:rPr>
              <w:t>0</w:t>
            </w:r>
          </w:p>
        </w:tc>
      </w:tr>
      <w:bookmarkEnd w:id="4"/>
      <w:bookmarkEnd w:id="5"/>
      <w:tr w:rsidR="00C632B6" w:rsidRPr="00EC07D7" w14:paraId="64FC49EA" w14:textId="77777777" w:rsidTr="000A4FF8">
        <w:tc>
          <w:tcPr>
            <w:tcW w:w="1702" w:type="dxa"/>
            <w:vAlign w:val="center"/>
          </w:tcPr>
          <w:p w14:paraId="64FC49E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1.2. valsts speciālais budžets</w:t>
            </w:r>
          </w:p>
        </w:tc>
        <w:tc>
          <w:tcPr>
            <w:tcW w:w="992" w:type="dxa"/>
            <w:vAlign w:val="center"/>
          </w:tcPr>
          <w:p w14:paraId="64FC49E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4"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6"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8"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E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3" w14:textId="77777777" w:rsidTr="000A4FF8">
        <w:tc>
          <w:tcPr>
            <w:tcW w:w="1702" w:type="dxa"/>
            <w:vAlign w:val="center"/>
          </w:tcPr>
          <w:p w14:paraId="64FC49EB"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1.3. pašvaldību budžets</w:t>
            </w:r>
          </w:p>
        </w:tc>
        <w:tc>
          <w:tcPr>
            <w:tcW w:w="992" w:type="dxa"/>
            <w:vAlign w:val="center"/>
          </w:tcPr>
          <w:p w14:paraId="64FC49E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D"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F"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0"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1"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F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3A678B" w:rsidRPr="00EC07D7" w14:paraId="64FC49FC" w14:textId="77777777" w:rsidTr="000A4FF8">
        <w:tc>
          <w:tcPr>
            <w:tcW w:w="1702" w:type="dxa"/>
            <w:vAlign w:val="center"/>
          </w:tcPr>
          <w:p w14:paraId="64FC49F4" w14:textId="77777777" w:rsidR="003A678B" w:rsidRPr="00EC07D7" w:rsidRDefault="003A678B" w:rsidP="003A678B">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Pr="00EC07D7">
              <w:rPr>
                <w:rFonts w:ascii="Times New Roman" w:hAnsi="Times New Roman" w:cs="Times New Roman"/>
                <w:b/>
                <w:iCs/>
                <w:sz w:val="24"/>
                <w:szCs w:val="24"/>
                <w:lang w:eastAsia="lv-LV"/>
              </w:rPr>
              <w:t>. Budžeta izdevumi</w:t>
            </w:r>
          </w:p>
        </w:tc>
        <w:tc>
          <w:tcPr>
            <w:tcW w:w="992" w:type="dxa"/>
            <w:vAlign w:val="center"/>
          </w:tcPr>
          <w:p w14:paraId="64FC49F5" w14:textId="4C0200A1" w:rsidR="003A678B" w:rsidRPr="003A678B" w:rsidRDefault="003A678B" w:rsidP="003A678B">
            <w:pPr>
              <w:rPr>
                <w:b/>
                <w:bCs/>
                <w:iCs/>
                <w:sz w:val="20"/>
                <w:szCs w:val="20"/>
              </w:rPr>
            </w:pPr>
            <w:r w:rsidRPr="003A678B">
              <w:rPr>
                <w:b/>
                <w:bCs/>
                <w:iCs/>
              </w:rPr>
              <w:t>994 947</w:t>
            </w:r>
          </w:p>
        </w:tc>
        <w:tc>
          <w:tcPr>
            <w:tcW w:w="1268" w:type="dxa"/>
            <w:vAlign w:val="center"/>
          </w:tcPr>
          <w:p w14:paraId="64FC49F6" w14:textId="1BCEBED9" w:rsidR="003A678B" w:rsidRPr="003A678B" w:rsidRDefault="003A678B" w:rsidP="003A678B">
            <w:pPr>
              <w:pStyle w:val="NoSpacing"/>
              <w:rPr>
                <w:rFonts w:ascii="Times New Roman" w:hAnsi="Times New Roman" w:cs="Times New Roman"/>
                <w:b/>
                <w:bCs/>
                <w:iCs/>
                <w:lang w:eastAsia="lv-LV"/>
              </w:rPr>
            </w:pPr>
            <w:r w:rsidRPr="003A678B">
              <w:rPr>
                <w:rFonts w:ascii="Times New Roman" w:hAnsi="Times New Roman" w:cs="Times New Roman"/>
                <w:b/>
                <w:bCs/>
                <w:iCs/>
                <w:sz w:val="24"/>
                <w:szCs w:val="24"/>
                <w:lang w:eastAsia="lv-LV"/>
              </w:rPr>
              <w:t>14 000</w:t>
            </w:r>
          </w:p>
        </w:tc>
        <w:tc>
          <w:tcPr>
            <w:tcW w:w="1000" w:type="dxa"/>
            <w:vAlign w:val="center"/>
          </w:tcPr>
          <w:p w14:paraId="64FC49F7" w14:textId="2756D30E" w:rsidR="003A678B" w:rsidRPr="00EC07D7" w:rsidRDefault="003A678B" w:rsidP="003A678B">
            <w:pPr>
              <w:pStyle w:val="NoSpacing"/>
              <w:rPr>
                <w:rFonts w:ascii="Times New Roman" w:hAnsi="Times New Roman" w:cs="Times New Roman"/>
                <w:b/>
                <w:iCs/>
                <w:lang w:eastAsia="lv-LV"/>
              </w:rPr>
            </w:pPr>
            <w:r>
              <w:rPr>
                <w:rFonts w:ascii="Times New Roman" w:hAnsi="Times New Roman" w:cs="Times New Roman"/>
                <w:b/>
                <w:iCs/>
                <w:sz w:val="24"/>
                <w:szCs w:val="24"/>
                <w:lang w:eastAsia="lv-LV"/>
              </w:rPr>
              <w:t>0</w:t>
            </w:r>
          </w:p>
        </w:tc>
        <w:tc>
          <w:tcPr>
            <w:tcW w:w="1134" w:type="dxa"/>
            <w:vAlign w:val="center"/>
          </w:tcPr>
          <w:p w14:paraId="64FC49F8" w14:textId="2A8C4D0C" w:rsidR="003A678B" w:rsidRPr="00EC07D7" w:rsidRDefault="003A678B" w:rsidP="003A678B">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992" w:type="dxa"/>
            <w:vAlign w:val="center"/>
          </w:tcPr>
          <w:p w14:paraId="64FC49F9" w14:textId="116BAB8C" w:rsidR="003A678B" w:rsidRPr="00EC07D7" w:rsidRDefault="003A678B" w:rsidP="003A678B">
            <w:pPr>
              <w:pStyle w:val="NoSpacing"/>
              <w:rPr>
                <w:rFonts w:ascii="Times New Roman" w:hAnsi="Times New Roman" w:cs="Times New Roman"/>
                <w:b/>
                <w:iCs/>
                <w:lang w:eastAsia="lv-LV"/>
              </w:rPr>
            </w:pPr>
            <w:r>
              <w:rPr>
                <w:rFonts w:ascii="Times New Roman" w:hAnsi="Times New Roman" w:cs="Times New Roman"/>
                <w:b/>
                <w:iCs/>
                <w:sz w:val="24"/>
                <w:szCs w:val="24"/>
                <w:lang w:eastAsia="lv-LV"/>
              </w:rPr>
              <w:t>0</w:t>
            </w:r>
          </w:p>
        </w:tc>
        <w:tc>
          <w:tcPr>
            <w:tcW w:w="992" w:type="dxa"/>
            <w:vAlign w:val="center"/>
          </w:tcPr>
          <w:p w14:paraId="64FC49FA" w14:textId="5035BBCF" w:rsidR="003A678B" w:rsidRPr="00EC07D7" w:rsidRDefault="003A678B" w:rsidP="003A678B">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276" w:type="dxa"/>
            <w:vAlign w:val="center"/>
          </w:tcPr>
          <w:p w14:paraId="64FC49FB" w14:textId="30407845" w:rsidR="003A678B" w:rsidRPr="00EC07D7" w:rsidRDefault="003A678B" w:rsidP="003A678B">
            <w:pPr>
              <w:rPr>
                <w:b/>
                <w:iCs/>
                <w:sz w:val="20"/>
                <w:szCs w:val="20"/>
              </w:rPr>
            </w:pPr>
            <w:r w:rsidRPr="00EC07D7">
              <w:rPr>
                <w:b/>
                <w:iCs/>
              </w:rPr>
              <w:t>0</w:t>
            </w:r>
          </w:p>
        </w:tc>
      </w:tr>
      <w:tr w:rsidR="003A678B" w:rsidRPr="00EC07D7" w14:paraId="64FC4A05" w14:textId="77777777" w:rsidTr="000A4FF8">
        <w:tc>
          <w:tcPr>
            <w:tcW w:w="1702" w:type="dxa"/>
            <w:vAlign w:val="center"/>
          </w:tcPr>
          <w:p w14:paraId="64FC49FD" w14:textId="77777777" w:rsidR="003A678B" w:rsidRPr="00EC07D7" w:rsidRDefault="003A678B" w:rsidP="003A678B">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2.1. valsts pamatbudžets</w:t>
            </w:r>
          </w:p>
        </w:tc>
        <w:tc>
          <w:tcPr>
            <w:tcW w:w="992" w:type="dxa"/>
            <w:vAlign w:val="center"/>
          </w:tcPr>
          <w:p w14:paraId="64FC49FE" w14:textId="0A465125" w:rsidR="003A678B" w:rsidRPr="00EC07D7" w:rsidRDefault="003A678B" w:rsidP="003A678B">
            <w:pPr>
              <w:rPr>
                <w:b/>
                <w:iCs/>
                <w:sz w:val="20"/>
                <w:szCs w:val="20"/>
              </w:rPr>
            </w:pPr>
            <w:r>
              <w:rPr>
                <w:iCs/>
              </w:rPr>
              <w:t>994 947</w:t>
            </w:r>
          </w:p>
        </w:tc>
        <w:tc>
          <w:tcPr>
            <w:tcW w:w="1268" w:type="dxa"/>
            <w:vAlign w:val="center"/>
          </w:tcPr>
          <w:p w14:paraId="64FC49FF" w14:textId="0E9A1878" w:rsidR="003A678B" w:rsidRPr="00EC07D7" w:rsidRDefault="003A678B" w:rsidP="003A678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14 000</w:t>
            </w:r>
          </w:p>
        </w:tc>
        <w:tc>
          <w:tcPr>
            <w:tcW w:w="1000" w:type="dxa"/>
            <w:vAlign w:val="center"/>
          </w:tcPr>
          <w:p w14:paraId="64FC4A00" w14:textId="171D64E4" w:rsidR="003A678B" w:rsidRPr="00EC07D7" w:rsidRDefault="003A678B" w:rsidP="003A678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4FC4A01" w14:textId="7D579919" w:rsidR="003A678B" w:rsidRPr="00EC07D7" w:rsidRDefault="003A678B" w:rsidP="003A678B">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2" w14:textId="64487406" w:rsidR="003A678B" w:rsidRPr="00EC07D7" w:rsidRDefault="003A678B" w:rsidP="003A678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64FC4A03" w14:textId="6FE19FB4" w:rsidR="003A678B" w:rsidRPr="00EC07D7" w:rsidRDefault="003A678B" w:rsidP="003A678B">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4" w14:textId="5ABF7FDF" w:rsidR="003A678B" w:rsidRPr="00EC07D7" w:rsidRDefault="003A678B" w:rsidP="003A678B">
            <w:pPr>
              <w:rPr>
                <w:iCs/>
                <w:sz w:val="20"/>
                <w:szCs w:val="20"/>
              </w:rPr>
            </w:pPr>
            <w:r w:rsidRPr="00EC07D7">
              <w:rPr>
                <w:iCs/>
              </w:rPr>
              <w:t>0</w:t>
            </w:r>
          </w:p>
        </w:tc>
      </w:tr>
      <w:tr w:rsidR="000A4FF8" w:rsidRPr="00EC07D7" w14:paraId="7BA805D3" w14:textId="77777777" w:rsidTr="000A4FF8">
        <w:tc>
          <w:tcPr>
            <w:tcW w:w="1702" w:type="dxa"/>
          </w:tcPr>
          <w:p w14:paraId="0200DF5B" w14:textId="77777777" w:rsidR="000A4FF8" w:rsidRDefault="000A4FF8" w:rsidP="009627BE">
            <w:r w:rsidRPr="00B7239A">
              <w:t xml:space="preserve">apakšprogramma </w:t>
            </w:r>
            <w:r>
              <w:t>06.02</w:t>
            </w:r>
            <w:r w:rsidRPr="00B7239A">
              <w:t>.00</w:t>
            </w:r>
          </w:p>
        </w:tc>
        <w:tc>
          <w:tcPr>
            <w:tcW w:w="992" w:type="dxa"/>
          </w:tcPr>
          <w:p w14:paraId="7685551C" w14:textId="77777777" w:rsidR="000A4FF8" w:rsidRDefault="000A4FF8" w:rsidP="009627BE">
            <w:pPr>
              <w:rPr>
                <w:iCs/>
              </w:rPr>
            </w:pPr>
            <w:r>
              <w:rPr>
                <w:iCs/>
              </w:rPr>
              <w:t>994 947</w:t>
            </w:r>
          </w:p>
        </w:tc>
        <w:tc>
          <w:tcPr>
            <w:tcW w:w="1268" w:type="dxa"/>
          </w:tcPr>
          <w:p w14:paraId="741F1612" w14:textId="77777777" w:rsidR="000A4FF8" w:rsidRDefault="000A4FF8" w:rsidP="009627B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14 000</w:t>
            </w:r>
          </w:p>
        </w:tc>
        <w:tc>
          <w:tcPr>
            <w:tcW w:w="1000" w:type="dxa"/>
          </w:tcPr>
          <w:p w14:paraId="679EADE4" w14:textId="77777777" w:rsidR="000A4FF8" w:rsidRDefault="000A4FF8" w:rsidP="009627B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tcPr>
          <w:p w14:paraId="4D81FFAF" w14:textId="77777777" w:rsidR="000A4FF8" w:rsidRDefault="000A4FF8" w:rsidP="009627B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14:paraId="0F3AC015" w14:textId="77777777" w:rsidR="000A4FF8" w:rsidRDefault="000A4FF8" w:rsidP="009627B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14:paraId="5BE7A17F" w14:textId="77777777" w:rsidR="000A4FF8" w:rsidRDefault="000A4FF8" w:rsidP="009627B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tcPr>
          <w:p w14:paraId="602B63FF" w14:textId="77777777" w:rsidR="000A4FF8" w:rsidRDefault="000A4FF8" w:rsidP="009627BE">
            <w:pPr>
              <w:rPr>
                <w:iCs/>
              </w:rPr>
            </w:pPr>
            <w:r>
              <w:rPr>
                <w:iCs/>
              </w:rPr>
              <w:t>0</w:t>
            </w:r>
          </w:p>
        </w:tc>
      </w:tr>
      <w:tr w:rsidR="00AF066A" w:rsidRPr="00EC07D7" w14:paraId="64FC4A17" w14:textId="77777777" w:rsidTr="000A4FF8">
        <w:tc>
          <w:tcPr>
            <w:tcW w:w="1702" w:type="dxa"/>
            <w:vAlign w:val="center"/>
          </w:tcPr>
          <w:p w14:paraId="64FC4A0F"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2.2. valsts speciālais budžets</w:t>
            </w:r>
          </w:p>
        </w:tc>
        <w:tc>
          <w:tcPr>
            <w:tcW w:w="992" w:type="dxa"/>
            <w:vAlign w:val="center"/>
          </w:tcPr>
          <w:p w14:paraId="64FC4A10"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1"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2"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3"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4"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5"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6"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20" w14:textId="77777777" w:rsidTr="000A4FF8">
        <w:tc>
          <w:tcPr>
            <w:tcW w:w="1702" w:type="dxa"/>
            <w:vAlign w:val="center"/>
          </w:tcPr>
          <w:p w14:paraId="64FC4A18"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2.3. pašvaldību budžets</w:t>
            </w:r>
          </w:p>
        </w:tc>
        <w:tc>
          <w:tcPr>
            <w:tcW w:w="992" w:type="dxa"/>
            <w:vAlign w:val="center"/>
          </w:tcPr>
          <w:p w14:paraId="64FC4A19"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A"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B"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C"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D"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E"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F"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29" w14:textId="77777777" w:rsidTr="000A4FF8">
        <w:tc>
          <w:tcPr>
            <w:tcW w:w="1702" w:type="dxa"/>
            <w:vAlign w:val="center"/>
          </w:tcPr>
          <w:p w14:paraId="64FC4A21"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 Finansiālā ietekme</w:t>
            </w:r>
          </w:p>
        </w:tc>
        <w:tc>
          <w:tcPr>
            <w:tcW w:w="992" w:type="dxa"/>
            <w:vAlign w:val="center"/>
          </w:tcPr>
          <w:p w14:paraId="64FC4A22"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3"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4"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5"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6"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7"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28"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32" w14:textId="77777777" w:rsidTr="000A4FF8">
        <w:tc>
          <w:tcPr>
            <w:tcW w:w="1702" w:type="dxa"/>
            <w:vAlign w:val="center"/>
          </w:tcPr>
          <w:p w14:paraId="64FC4A2A"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3.1. valsts pamatbudžets</w:t>
            </w:r>
          </w:p>
        </w:tc>
        <w:tc>
          <w:tcPr>
            <w:tcW w:w="992" w:type="dxa"/>
            <w:vAlign w:val="center"/>
          </w:tcPr>
          <w:p w14:paraId="64FC4A2B"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C"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D"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E"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F"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0"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1"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3B" w14:textId="77777777" w:rsidTr="000A4FF8">
        <w:tc>
          <w:tcPr>
            <w:tcW w:w="1702" w:type="dxa"/>
            <w:vAlign w:val="center"/>
          </w:tcPr>
          <w:p w14:paraId="64FC4A33"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3.2. speciālais budžets</w:t>
            </w:r>
          </w:p>
        </w:tc>
        <w:tc>
          <w:tcPr>
            <w:tcW w:w="992" w:type="dxa"/>
            <w:vAlign w:val="center"/>
          </w:tcPr>
          <w:p w14:paraId="64FC4A34"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5" w14:textId="77777777" w:rsidR="00AF066A" w:rsidRPr="00EC07D7" w:rsidRDefault="00AF066A" w:rsidP="00AF066A">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6"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37"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8"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9"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A"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44" w14:textId="77777777" w:rsidTr="000A4FF8">
        <w:tc>
          <w:tcPr>
            <w:tcW w:w="1702" w:type="dxa"/>
            <w:vAlign w:val="center"/>
          </w:tcPr>
          <w:p w14:paraId="64FC4A3C"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3.3. pašvaldību budžets</w:t>
            </w:r>
          </w:p>
        </w:tc>
        <w:tc>
          <w:tcPr>
            <w:tcW w:w="992" w:type="dxa"/>
            <w:vAlign w:val="center"/>
          </w:tcPr>
          <w:p w14:paraId="64FC4A3D"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E" w14:textId="77777777" w:rsidR="00AF066A" w:rsidRPr="00EC07D7" w:rsidRDefault="00AF066A" w:rsidP="00AF066A">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F"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0"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1"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2"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3"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4D" w14:textId="77777777" w:rsidTr="000A4FF8">
        <w:tc>
          <w:tcPr>
            <w:tcW w:w="1702" w:type="dxa"/>
            <w:vAlign w:val="center"/>
          </w:tcPr>
          <w:p w14:paraId="64FC4A45"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4. Finanšu līdzekļi papildu izdevumu finansēšanai (kompensējošu izdevumu samazinājumu norāda ar "+" zīmi)</w:t>
            </w:r>
          </w:p>
        </w:tc>
        <w:tc>
          <w:tcPr>
            <w:tcW w:w="992" w:type="dxa"/>
            <w:vAlign w:val="center"/>
          </w:tcPr>
          <w:p w14:paraId="64FC4A46"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47" w14:textId="77777777" w:rsidR="00AF066A" w:rsidRPr="00EC07D7" w:rsidRDefault="00AF066A" w:rsidP="00AF066A">
            <w:pPr>
              <w:pStyle w:val="NoSpacing"/>
              <w:rPr>
                <w:rFonts w:ascii="Times New Roman" w:hAnsi="Times New Roman" w:cs="Times New Roman"/>
                <w:iCs/>
                <w:lang w:eastAsia="lv-LV"/>
              </w:rPr>
            </w:pPr>
            <w:r w:rsidRPr="00EC07D7">
              <w:rPr>
                <w:rFonts w:ascii="Times New Roman" w:hAnsi="Times New Roman" w:cs="Times New Roman"/>
                <w:iCs/>
                <w:sz w:val="24"/>
                <w:szCs w:val="24"/>
                <w:lang w:eastAsia="lv-LV"/>
              </w:rPr>
              <w:t>0</w:t>
            </w:r>
          </w:p>
        </w:tc>
        <w:tc>
          <w:tcPr>
            <w:tcW w:w="1000" w:type="dxa"/>
            <w:vAlign w:val="center"/>
          </w:tcPr>
          <w:p w14:paraId="64FC4A48"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9"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A"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B"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C"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56" w14:textId="77777777" w:rsidTr="000A4FF8">
        <w:tc>
          <w:tcPr>
            <w:tcW w:w="1702" w:type="dxa"/>
            <w:vAlign w:val="center"/>
          </w:tcPr>
          <w:p w14:paraId="64FC4A4E"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 Precizēta finansiālā ietekme</w:t>
            </w:r>
          </w:p>
        </w:tc>
        <w:tc>
          <w:tcPr>
            <w:tcW w:w="992" w:type="dxa"/>
            <w:vMerge w:val="restart"/>
            <w:vAlign w:val="center"/>
          </w:tcPr>
          <w:p w14:paraId="64FC4A4F"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50"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restart"/>
            <w:vAlign w:val="center"/>
          </w:tcPr>
          <w:p w14:paraId="64FC4A51"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52"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restart"/>
            <w:vAlign w:val="center"/>
          </w:tcPr>
          <w:p w14:paraId="64FC4A53"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54"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5"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5F" w14:textId="77777777" w:rsidTr="000A4FF8">
        <w:tc>
          <w:tcPr>
            <w:tcW w:w="1702" w:type="dxa"/>
            <w:vAlign w:val="center"/>
          </w:tcPr>
          <w:p w14:paraId="64FC4A57"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5.1. valsts pamatbudžets</w:t>
            </w:r>
          </w:p>
        </w:tc>
        <w:tc>
          <w:tcPr>
            <w:tcW w:w="992" w:type="dxa"/>
            <w:vMerge/>
            <w:vAlign w:val="center"/>
          </w:tcPr>
          <w:p w14:paraId="64FC4A58" w14:textId="77777777" w:rsidR="00AF066A" w:rsidRPr="00EC07D7" w:rsidRDefault="00AF066A" w:rsidP="00AF066A">
            <w:pPr>
              <w:pStyle w:val="NoSpacing"/>
              <w:rPr>
                <w:rFonts w:ascii="Times New Roman" w:hAnsi="Times New Roman" w:cs="Times New Roman"/>
                <w:iCs/>
                <w:sz w:val="24"/>
                <w:szCs w:val="24"/>
                <w:lang w:eastAsia="lv-LV"/>
              </w:rPr>
            </w:pPr>
          </w:p>
        </w:tc>
        <w:tc>
          <w:tcPr>
            <w:tcW w:w="1268" w:type="dxa"/>
            <w:vAlign w:val="center"/>
          </w:tcPr>
          <w:p w14:paraId="64FC4A59"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5A" w14:textId="77777777" w:rsidR="00AF066A" w:rsidRPr="00EC07D7" w:rsidRDefault="00AF066A" w:rsidP="00AF066A">
            <w:pPr>
              <w:pStyle w:val="NoSpacing"/>
              <w:rPr>
                <w:rFonts w:ascii="Times New Roman" w:hAnsi="Times New Roman" w:cs="Times New Roman"/>
                <w:iCs/>
                <w:sz w:val="24"/>
                <w:szCs w:val="24"/>
                <w:lang w:eastAsia="lv-LV"/>
              </w:rPr>
            </w:pPr>
          </w:p>
        </w:tc>
        <w:tc>
          <w:tcPr>
            <w:tcW w:w="1134" w:type="dxa"/>
            <w:vAlign w:val="center"/>
          </w:tcPr>
          <w:p w14:paraId="64FC4A5B"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5C" w14:textId="77777777" w:rsidR="00AF066A" w:rsidRPr="00EC07D7" w:rsidRDefault="00AF066A" w:rsidP="00AF066A">
            <w:pPr>
              <w:pStyle w:val="NoSpacing"/>
              <w:rPr>
                <w:rFonts w:ascii="Times New Roman" w:hAnsi="Times New Roman" w:cs="Times New Roman"/>
                <w:iCs/>
                <w:sz w:val="24"/>
                <w:szCs w:val="24"/>
                <w:lang w:eastAsia="lv-LV"/>
              </w:rPr>
            </w:pPr>
          </w:p>
        </w:tc>
        <w:tc>
          <w:tcPr>
            <w:tcW w:w="992" w:type="dxa"/>
            <w:vAlign w:val="center"/>
          </w:tcPr>
          <w:p w14:paraId="64FC4A5D"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E"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68" w14:textId="77777777" w:rsidTr="000A4FF8">
        <w:tc>
          <w:tcPr>
            <w:tcW w:w="1702" w:type="dxa"/>
            <w:vAlign w:val="center"/>
          </w:tcPr>
          <w:p w14:paraId="64FC4A60"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5.2. speciālais budžets</w:t>
            </w:r>
          </w:p>
        </w:tc>
        <w:tc>
          <w:tcPr>
            <w:tcW w:w="992" w:type="dxa"/>
            <w:vMerge/>
            <w:vAlign w:val="center"/>
          </w:tcPr>
          <w:p w14:paraId="64FC4A61" w14:textId="77777777" w:rsidR="00AF066A" w:rsidRPr="00EC07D7" w:rsidRDefault="00AF066A" w:rsidP="00AF066A">
            <w:pPr>
              <w:pStyle w:val="NoSpacing"/>
              <w:rPr>
                <w:rFonts w:ascii="Times New Roman" w:hAnsi="Times New Roman" w:cs="Times New Roman"/>
                <w:iCs/>
                <w:sz w:val="24"/>
                <w:szCs w:val="24"/>
                <w:lang w:eastAsia="lv-LV"/>
              </w:rPr>
            </w:pPr>
          </w:p>
        </w:tc>
        <w:tc>
          <w:tcPr>
            <w:tcW w:w="1268" w:type="dxa"/>
            <w:vAlign w:val="center"/>
          </w:tcPr>
          <w:p w14:paraId="64FC4A62"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3" w14:textId="77777777" w:rsidR="00AF066A" w:rsidRPr="00EC07D7" w:rsidRDefault="00AF066A" w:rsidP="00AF066A">
            <w:pPr>
              <w:pStyle w:val="NoSpacing"/>
              <w:rPr>
                <w:rFonts w:ascii="Times New Roman" w:hAnsi="Times New Roman" w:cs="Times New Roman"/>
                <w:iCs/>
                <w:sz w:val="24"/>
                <w:szCs w:val="24"/>
                <w:lang w:eastAsia="lv-LV"/>
              </w:rPr>
            </w:pPr>
          </w:p>
        </w:tc>
        <w:tc>
          <w:tcPr>
            <w:tcW w:w="1134" w:type="dxa"/>
            <w:vAlign w:val="center"/>
          </w:tcPr>
          <w:p w14:paraId="64FC4A64"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5" w14:textId="77777777" w:rsidR="00AF066A" w:rsidRPr="00EC07D7" w:rsidRDefault="00AF066A" w:rsidP="00AF066A">
            <w:pPr>
              <w:pStyle w:val="NoSpacing"/>
              <w:rPr>
                <w:rFonts w:ascii="Times New Roman" w:hAnsi="Times New Roman" w:cs="Times New Roman"/>
                <w:iCs/>
                <w:sz w:val="24"/>
                <w:szCs w:val="24"/>
                <w:lang w:eastAsia="lv-LV"/>
              </w:rPr>
            </w:pPr>
          </w:p>
        </w:tc>
        <w:tc>
          <w:tcPr>
            <w:tcW w:w="992" w:type="dxa"/>
            <w:vAlign w:val="center"/>
          </w:tcPr>
          <w:p w14:paraId="64FC4A66"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67"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EC07D7" w14:paraId="64FC4A71" w14:textId="77777777" w:rsidTr="000A4FF8">
        <w:tc>
          <w:tcPr>
            <w:tcW w:w="1702" w:type="dxa"/>
            <w:vAlign w:val="center"/>
          </w:tcPr>
          <w:p w14:paraId="64FC4A69"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5.3. pašvaldību budžets</w:t>
            </w:r>
          </w:p>
        </w:tc>
        <w:tc>
          <w:tcPr>
            <w:tcW w:w="992" w:type="dxa"/>
            <w:vMerge/>
            <w:vAlign w:val="center"/>
          </w:tcPr>
          <w:p w14:paraId="64FC4A6A" w14:textId="77777777" w:rsidR="00AF066A" w:rsidRPr="00EC07D7" w:rsidRDefault="00AF066A" w:rsidP="00AF066A">
            <w:pPr>
              <w:pStyle w:val="NoSpacing"/>
              <w:rPr>
                <w:rFonts w:ascii="Times New Roman" w:hAnsi="Times New Roman" w:cs="Times New Roman"/>
                <w:iCs/>
                <w:sz w:val="24"/>
                <w:szCs w:val="24"/>
                <w:lang w:eastAsia="lv-LV"/>
              </w:rPr>
            </w:pPr>
          </w:p>
        </w:tc>
        <w:tc>
          <w:tcPr>
            <w:tcW w:w="1268" w:type="dxa"/>
            <w:vAlign w:val="center"/>
          </w:tcPr>
          <w:p w14:paraId="64FC4A6B"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C" w14:textId="77777777" w:rsidR="00AF066A" w:rsidRPr="00EC07D7" w:rsidRDefault="00AF066A" w:rsidP="00AF066A">
            <w:pPr>
              <w:pStyle w:val="NoSpacing"/>
              <w:rPr>
                <w:rFonts w:ascii="Times New Roman" w:hAnsi="Times New Roman" w:cs="Times New Roman"/>
                <w:iCs/>
                <w:sz w:val="24"/>
                <w:szCs w:val="24"/>
                <w:lang w:eastAsia="lv-LV"/>
              </w:rPr>
            </w:pPr>
          </w:p>
        </w:tc>
        <w:tc>
          <w:tcPr>
            <w:tcW w:w="1134" w:type="dxa"/>
            <w:vAlign w:val="center"/>
          </w:tcPr>
          <w:p w14:paraId="64FC4A6D"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E" w14:textId="77777777" w:rsidR="00AF066A" w:rsidRPr="00EC07D7" w:rsidRDefault="00AF066A" w:rsidP="00AF066A">
            <w:pPr>
              <w:pStyle w:val="NoSpacing"/>
              <w:rPr>
                <w:rFonts w:ascii="Times New Roman" w:hAnsi="Times New Roman" w:cs="Times New Roman"/>
                <w:iCs/>
                <w:sz w:val="24"/>
                <w:szCs w:val="24"/>
                <w:lang w:eastAsia="lv-LV"/>
              </w:rPr>
            </w:pPr>
          </w:p>
        </w:tc>
        <w:tc>
          <w:tcPr>
            <w:tcW w:w="992" w:type="dxa"/>
            <w:vAlign w:val="center"/>
          </w:tcPr>
          <w:p w14:paraId="64FC4A6F"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70" w14:textId="77777777" w:rsidR="00AF066A" w:rsidRPr="00EC07D7" w:rsidRDefault="00AF066A" w:rsidP="00AF066A">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AF066A" w:rsidRPr="0050580C" w14:paraId="64FC4A8B" w14:textId="77777777" w:rsidTr="000A4FF8">
        <w:tc>
          <w:tcPr>
            <w:tcW w:w="1702" w:type="dxa"/>
            <w:vAlign w:val="center"/>
          </w:tcPr>
          <w:p w14:paraId="64FC4A72"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3FF56DF0" w14:textId="4FA209E5" w:rsidR="00AF066A" w:rsidRPr="002039CF" w:rsidRDefault="00AF066A" w:rsidP="00AF066A">
            <w:pPr>
              <w:widowControl w:val="0"/>
              <w:contextualSpacing/>
              <w:jc w:val="both"/>
              <w:rPr>
                <w:i/>
              </w:rPr>
            </w:pPr>
            <w:r w:rsidRPr="002039CF">
              <w:rPr>
                <w:i/>
              </w:rPr>
              <w:t>* Atbilstoši likumam “Par valsts budžetu 202</w:t>
            </w:r>
            <w:r>
              <w:rPr>
                <w:i/>
              </w:rPr>
              <w:t>1</w:t>
            </w:r>
            <w:r w:rsidRPr="002039CF">
              <w:rPr>
                <w:i/>
              </w:rPr>
              <w:t>.gadam”.</w:t>
            </w:r>
          </w:p>
          <w:p w14:paraId="45876694" w14:textId="67FD9711" w:rsidR="00AF066A" w:rsidRPr="002039CF" w:rsidRDefault="00AF066A" w:rsidP="00AF066A">
            <w:pPr>
              <w:ind w:left="57" w:right="57" w:firstLine="382"/>
              <w:jc w:val="both"/>
              <w:rPr>
                <w:lang w:eastAsia="en-US"/>
              </w:rPr>
            </w:pPr>
            <w:r w:rsidRPr="002039CF">
              <w:rPr>
                <w:lang w:eastAsia="en-US"/>
              </w:rPr>
              <w:t xml:space="preserve">ZVA ir budžeta nefinansēta iestāde un </w:t>
            </w:r>
            <w:r w:rsidR="00ED6162">
              <w:rPr>
                <w:lang w:eastAsia="en-US"/>
              </w:rPr>
              <w:t>VM</w:t>
            </w:r>
            <w:r w:rsidRPr="002039CF">
              <w:rPr>
                <w:lang w:eastAsia="en-US"/>
              </w:rPr>
              <w:t xml:space="preserve"> budžetā tā neti</w:t>
            </w:r>
            <w:r>
              <w:rPr>
                <w:lang w:eastAsia="en-US"/>
              </w:rPr>
              <w:t>ek</w:t>
            </w:r>
            <w:r w:rsidRPr="002039CF">
              <w:rPr>
                <w:lang w:eastAsia="en-US"/>
              </w:rPr>
              <w:t xml:space="preserve"> atspoguļota. </w:t>
            </w:r>
          </w:p>
          <w:p w14:paraId="7DAF1294" w14:textId="79B85E74" w:rsidR="00ED6162" w:rsidRDefault="00AF066A" w:rsidP="00ED6162">
            <w:pPr>
              <w:ind w:left="57" w:right="57" w:firstLine="382"/>
              <w:jc w:val="both"/>
              <w:rPr>
                <w:rFonts w:eastAsiaTheme="minorHAnsi" w:cstheme="minorBidi"/>
                <w:b/>
                <w:lang w:eastAsia="en-US"/>
              </w:rPr>
            </w:pPr>
            <w:r w:rsidRPr="00B968F8">
              <w:rPr>
                <w:rFonts w:eastAsiaTheme="minorHAnsi" w:cstheme="minorBidi"/>
                <w:lang w:eastAsia="en-US"/>
              </w:rPr>
              <w:t xml:space="preserve">Ministru kabineta sēdes protokollēmuma projekts paredz </w:t>
            </w:r>
            <w:r w:rsidR="003A678B">
              <w:rPr>
                <w:rFonts w:eastAsiaTheme="minorHAnsi" w:cstheme="minorBidi"/>
                <w:b/>
                <w:lang w:eastAsia="en-US"/>
              </w:rPr>
              <w:t xml:space="preserve">14 000 </w:t>
            </w:r>
            <w:r w:rsidRPr="00B968F8">
              <w:rPr>
                <w:rFonts w:eastAsiaTheme="minorHAnsi" w:cstheme="minorBidi"/>
                <w:b/>
                <w:i/>
                <w:lang w:eastAsia="en-US"/>
              </w:rPr>
              <w:t>euro</w:t>
            </w:r>
            <w:r w:rsidRPr="00B968F8">
              <w:rPr>
                <w:rFonts w:cstheme="minorBidi"/>
                <w:lang w:eastAsia="en-US"/>
              </w:rPr>
              <w:t xml:space="preserve"> apmērā</w:t>
            </w:r>
            <w:r w:rsidRPr="00B968F8">
              <w:rPr>
                <w:rFonts w:eastAsiaTheme="minorHAnsi" w:cstheme="minorBidi"/>
                <w:lang w:eastAsia="en-US"/>
              </w:rPr>
              <w:t xml:space="preserve"> </w:t>
            </w:r>
            <w:r w:rsidRPr="00B968F8">
              <w:rPr>
                <w:rFonts w:eastAsiaTheme="minorHAnsi" w:cstheme="minorBidi"/>
                <w:b/>
                <w:lang w:eastAsia="en-US"/>
              </w:rPr>
              <w:t>palielināt</w:t>
            </w:r>
            <w:r w:rsidR="00ED6162">
              <w:rPr>
                <w:rFonts w:eastAsiaTheme="minorHAnsi" w:cstheme="minorBidi"/>
                <w:b/>
                <w:lang w:eastAsia="en-US"/>
              </w:rPr>
              <w:t xml:space="preserve"> </w:t>
            </w:r>
            <w:r w:rsidR="00984231" w:rsidRPr="00ED6162">
              <w:rPr>
                <w:rFonts w:eastAsiaTheme="minorHAnsi" w:cstheme="minorBidi"/>
                <w:bCs/>
              </w:rPr>
              <w:t xml:space="preserve">valsts budžeta apakšprogrammas 06.02.00 “Medicīnas vēstures muzejs” resursus izdevumu segšanai (17.1.1.0. Valsts budžeta iestāžu saņemtie transferti no savas ministrijas, centrālās valsts iestādes padotībā esošām no valsts budžeta daļēji finansētām atvasinātām publiskām personām un budžeta nefinansētām iestādēm) un atbilstošos izdevumus </w:t>
            </w:r>
            <w:r w:rsidR="00984231" w:rsidRPr="00ED6162">
              <w:rPr>
                <w:rFonts w:eastAsiaTheme="minorHAnsi" w:cstheme="minorBidi"/>
                <w:b/>
              </w:rPr>
              <w:t xml:space="preserve">14 000 </w:t>
            </w:r>
            <w:r w:rsidR="00984231" w:rsidRPr="00ED6162">
              <w:rPr>
                <w:rFonts w:eastAsiaTheme="minorHAnsi" w:cstheme="minorBidi"/>
                <w:b/>
                <w:i/>
                <w:iCs/>
              </w:rPr>
              <w:t xml:space="preserve">euro </w:t>
            </w:r>
            <w:r w:rsidR="00984231" w:rsidRPr="00ED6162">
              <w:rPr>
                <w:rFonts w:eastAsiaTheme="minorHAnsi" w:cstheme="minorBidi"/>
                <w:bCs/>
              </w:rPr>
              <w:t xml:space="preserve">apmērā   PSMVM </w:t>
            </w:r>
            <w:r w:rsidR="00984231" w:rsidRPr="00ED6162">
              <w:rPr>
                <w:rFonts w:eastAsiaTheme="minorHAnsi" w:cstheme="minorBidi"/>
                <w:bCs/>
                <w:u w:val="single"/>
              </w:rPr>
              <w:t>izdevumiem precēm un pakalpojumiem</w:t>
            </w:r>
            <w:r w:rsidR="00984231" w:rsidRPr="00ED6162">
              <w:rPr>
                <w:rFonts w:eastAsiaTheme="minorHAnsi" w:cstheme="minorBidi"/>
                <w:bCs/>
              </w:rPr>
              <w:t xml:space="preserve"> (2000 kods)</w:t>
            </w:r>
            <w:r w:rsidR="00ED6162">
              <w:rPr>
                <w:rFonts w:eastAsiaTheme="minorHAnsi" w:cstheme="minorBidi"/>
                <w:bCs/>
              </w:rPr>
              <w:t>,</w:t>
            </w:r>
            <w:r w:rsidR="00984231" w:rsidRPr="00ED6162">
              <w:rPr>
                <w:rFonts w:eastAsiaTheme="minorHAnsi" w:cstheme="minorBidi"/>
                <w:bCs/>
              </w:rPr>
              <w:t xml:space="preserve"> lai nodrošinātu muzeja darbinieku veselības apdrošināšanas polises iegādi.</w:t>
            </w:r>
            <w:r w:rsidR="00547026" w:rsidRPr="00ED6162">
              <w:rPr>
                <w:rFonts w:eastAsiaTheme="minorHAnsi" w:cstheme="minorBidi"/>
                <w:bCs/>
              </w:rPr>
              <w:t xml:space="preserve"> (65 darbinieki*215,38 </w:t>
            </w:r>
            <w:r w:rsidR="00547026" w:rsidRPr="00ED6162">
              <w:rPr>
                <w:rFonts w:eastAsiaTheme="minorHAnsi" w:cstheme="minorBidi"/>
                <w:bCs/>
                <w:i/>
                <w:iCs/>
              </w:rPr>
              <w:t xml:space="preserve">euro </w:t>
            </w:r>
            <w:r w:rsidR="00547026" w:rsidRPr="00ED6162">
              <w:rPr>
                <w:rFonts w:eastAsiaTheme="minorHAnsi" w:cstheme="minorBidi"/>
                <w:bCs/>
              </w:rPr>
              <w:t xml:space="preserve">= 13 999,70 </w:t>
            </w:r>
            <w:r w:rsidR="00547026" w:rsidRPr="00ED6162">
              <w:rPr>
                <w:rFonts w:eastAsiaTheme="minorHAnsi" w:cstheme="minorBidi"/>
                <w:bCs/>
                <w:i/>
                <w:iCs/>
              </w:rPr>
              <w:t>euro</w:t>
            </w:r>
            <w:r w:rsidR="00547026" w:rsidRPr="00ED6162">
              <w:rPr>
                <w:rFonts w:eastAsiaTheme="minorHAnsi" w:cstheme="minorBidi"/>
                <w:bCs/>
              </w:rPr>
              <w:t>).</w:t>
            </w:r>
          </w:p>
          <w:p w14:paraId="64FC4A8A" w14:textId="2E5A8D02" w:rsidR="00AF066A" w:rsidRPr="00ED6162" w:rsidRDefault="00AF066A" w:rsidP="00ED6162">
            <w:pPr>
              <w:ind w:left="57" w:right="57" w:firstLine="382"/>
              <w:jc w:val="both"/>
              <w:rPr>
                <w:rFonts w:eastAsiaTheme="minorHAnsi" w:cstheme="minorBidi"/>
                <w:b/>
                <w:lang w:eastAsia="en-US"/>
              </w:rPr>
            </w:pPr>
            <w:r w:rsidRPr="00ED6162">
              <w:rPr>
                <w:rFonts w:eastAsiaTheme="minorHAnsi" w:cstheme="minorBidi"/>
                <w:szCs w:val="22"/>
                <w:lang w:eastAsia="en-US"/>
              </w:rPr>
              <w:t xml:space="preserve">ZVA naudas līdzekļu atlikuma daļu </w:t>
            </w:r>
            <w:r w:rsidR="00ED6162" w:rsidRPr="00ED6162">
              <w:rPr>
                <w:rFonts w:eastAsiaTheme="minorHAnsi" w:cstheme="minorBidi"/>
                <w:b/>
                <w:szCs w:val="22"/>
                <w:lang w:eastAsia="en-US"/>
              </w:rPr>
              <w:t>14 000</w:t>
            </w:r>
            <w:r w:rsidR="000A4FF8" w:rsidRPr="00ED6162">
              <w:rPr>
                <w:rFonts w:eastAsiaTheme="minorHAnsi" w:cstheme="minorBidi"/>
                <w:b/>
                <w:szCs w:val="22"/>
                <w:lang w:eastAsia="en-US"/>
              </w:rPr>
              <w:t xml:space="preserve"> </w:t>
            </w:r>
            <w:r w:rsidRPr="00ED6162">
              <w:rPr>
                <w:rFonts w:eastAsiaTheme="minorHAnsi" w:cstheme="minorBidi"/>
                <w:b/>
                <w:bCs/>
                <w:i/>
                <w:szCs w:val="22"/>
                <w:lang w:eastAsia="en-US"/>
              </w:rPr>
              <w:t>euro</w:t>
            </w:r>
            <w:r w:rsidRPr="00ED6162">
              <w:rPr>
                <w:rFonts w:eastAsiaTheme="minorHAnsi" w:cstheme="minorBidi"/>
                <w:szCs w:val="22"/>
                <w:lang w:eastAsia="en-US"/>
              </w:rPr>
              <w:t xml:space="preserve"> apmērā plānots novirzīt kā transfertu </w:t>
            </w:r>
            <w:r w:rsidR="00ED6162">
              <w:rPr>
                <w:rFonts w:eastAsiaTheme="minorHAnsi" w:cstheme="minorBidi"/>
                <w:szCs w:val="22"/>
                <w:lang w:eastAsia="en-US"/>
              </w:rPr>
              <w:t>VM</w:t>
            </w:r>
            <w:r w:rsidRPr="00ED6162">
              <w:rPr>
                <w:rFonts w:eastAsiaTheme="minorHAnsi" w:cstheme="minorBidi"/>
                <w:szCs w:val="22"/>
                <w:lang w:eastAsia="en-US"/>
              </w:rPr>
              <w:t xml:space="preserve"> valsts budžetā.</w:t>
            </w:r>
          </w:p>
        </w:tc>
      </w:tr>
      <w:tr w:rsidR="00AF066A" w:rsidRPr="0050580C" w14:paraId="64FC4A8E" w14:textId="77777777" w:rsidTr="000A4FF8">
        <w:tc>
          <w:tcPr>
            <w:tcW w:w="1702" w:type="dxa"/>
            <w:vAlign w:val="center"/>
          </w:tcPr>
          <w:p w14:paraId="6C188644" w14:textId="77777777" w:rsidR="00AF066A"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6.1. detalizēts ieņēmumu aprēķins</w:t>
            </w:r>
          </w:p>
          <w:p w14:paraId="55F43296" w14:textId="77777777" w:rsidR="00B47C5A" w:rsidRPr="00B47C5A" w:rsidRDefault="00B47C5A" w:rsidP="00B47C5A"/>
          <w:p w14:paraId="64FC4A8C" w14:textId="03E3D1CC" w:rsidR="00B47C5A" w:rsidRPr="00B47C5A" w:rsidRDefault="00B47C5A" w:rsidP="00B47C5A"/>
        </w:tc>
        <w:tc>
          <w:tcPr>
            <w:tcW w:w="7654" w:type="dxa"/>
            <w:gridSpan w:val="7"/>
            <w:vMerge/>
            <w:shd w:val="clear" w:color="auto" w:fill="auto"/>
            <w:vAlign w:val="center"/>
          </w:tcPr>
          <w:p w14:paraId="64FC4A8D" w14:textId="77777777" w:rsidR="00AF066A" w:rsidRPr="0050580C" w:rsidRDefault="00AF066A" w:rsidP="00AF066A">
            <w:pPr>
              <w:pStyle w:val="NoSpacing"/>
              <w:rPr>
                <w:rFonts w:ascii="Times New Roman" w:hAnsi="Times New Roman" w:cs="Times New Roman"/>
                <w:iCs/>
                <w:sz w:val="24"/>
                <w:szCs w:val="24"/>
                <w:lang w:eastAsia="lv-LV"/>
              </w:rPr>
            </w:pPr>
          </w:p>
        </w:tc>
      </w:tr>
      <w:tr w:rsidR="00AF066A" w:rsidRPr="0050580C" w14:paraId="64FC4A91" w14:textId="77777777" w:rsidTr="000A4FF8">
        <w:tc>
          <w:tcPr>
            <w:tcW w:w="1702" w:type="dxa"/>
            <w:vAlign w:val="center"/>
          </w:tcPr>
          <w:p w14:paraId="64FC4A8F"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4FC4A90" w14:textId="77777777" w:rsidR="00AF066A" w:rsidRPr="0050580C" w:rsidRDefault="00AF066A" w:rsidP="00AF066A">
            <w:pPr>
              <w:pStyle w:val="NoSpacing"/>
              <w:rPr>
                <w:rFonts w:ascii="Times New Roman" w:hAnsi="Times New Roman" w:cs="Times New Roman"/>
                <w:iCs/>
                <w:sz w:val="24"/>
                <w:szCs w:val="24"/>
                <w:lang w:eastAsia="lv-LV"/>
              </w:rPr>
            </w:pPr>
          </w:p>
        </w:tc>
      </w:tr>
      <w:tr w:rsidR="00AF066A" w:rsidRPr="00EC07D7" w14:paraId="64FC4A94" w14:textId="77777777" w:rsidTr="000A4FF8">
        <w:tc>
          <w:tcPr>
            <w:tcW w:w="1702" w:type="dxa"/>
            <w:vAlign w:val="center"/>
          </w:tcPr>
          <w:p w14:paraId="64FC4A92"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 Amata vietu skaita izmaiņas</w:t>
            </w:r>
          </w:p>
        </w:tc>
        <w:tc>
          <w:tcPr>
            <w:tcW w:w="7654" w:type="dxa"/>
            <w:gridSpan w:val="7"/>
            <w:vAlign w:val="center"/>
          </w:tcPr>
          <w:p w14:paraId="64FC4A93" w14:textId="34544461" w:rsidR="00AF066A" w:rsidRPr="00EC07D7" w:rsidRDefault="00AF066A" w:rsidP="00AF066A">
            <w:pPr>
              <w:pStyle w:val="NoSpacing"/>
              <w:jc w:val="both"/>
              <w:rPr>
                <w:rFonts w:ascii="Times New Roman" w:hAnsi="Times New Roman" w:cs="Times New Roman"/>
                <w:iCs/>
                <w:sz w:val="24"/>
                <w:szCs w:val="24"/>
                <w:lang w:eastAsia="lv-LV"/>
              </w:rPr>
            </w:pPr>
            <w:r>
              <w:rPr>
                <w:rFonts w:ascii="Times New Roman" w:eastAsia="Calibri" w:hAnsi="Times New Roman" w:cs="Times New Roman"/>
                <w:noProof/>
                <w:sz w:val="24"/>
                <w:szCs w:val="24"/>
              </w:rPr>
              <w:t>Projekts šo jomu neskar.</w:t>
            </w:r>
          </w:p>
        </w:tc>
      </w:tr>
      <w:tr w:rsidR="00AF066A" w:rsidRPr="00EC07D7" w14:paraId="64FC4A98" w14:textId="77777777" w:rsidTr="000A4FF8">
        <w:tc>
          <w:tcPr>
            <w:tcW w:w="1702" w:type="dxa"/>
            <w:vAlign w:val="center"/>
          </w:tcPr>
          <w:p w14:paraId="64FC4A95" w14:textId="77777777" w:rsidR="00AF066A" w:rsidRPr="00EC07D7" w:rsidRDefault="00AF066A" w:rsidP="00AF066A">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 Cita informācija</w:t>
            </w:r>
          </w:p>
        </w:tc>
        <w:tc>
          <w:tcPr>
            <w:tcW w:w="7654" w:type="dxa"/>
            <w:gridSpan w:val="7"/>
            <w:vAlign w:val="center"/>
          </w:tcPr>
          <w:p w14:paraId="6E48EF72" w14:textId="77777777" w:rsidR="00AF066A" w:rsidRPr="004E62CB" w:rsidRDefault="00AF066A" w:rsidP="00AF066A">
            <w:pPr>
              <w:shd w:val="clear" w:color="auto" w:fill="FFFFFF"/>
              <w:spacing w:line="293" w:lineRule="atLeast"/>
              <w:ind w:firstLine="463"/>
              <w:jc w:val="both"/>
            </w:pPr>
            <w:r w:rsidRPr="004E62CB">
              <w:t xml:space="preserve">Veselības ministrijas budžeta apropriācijas palielināšana tiks veikta atbilstoši Likuma par budžetu un finanšu vadību 9.panta </w:t>
            </w:r>
            <w:r w:rsidRPr="004E62CB">
              <w:rPr>
                <w:color w:val="414142"/>
                <w:shd w:val="clear" w:color="auto" w:fill="FFFFFF"/>
              </w:rPr>
              <w:t>(13</w:t>
            </w:r>
            <w:r w:rsidRPr="004E62CB">
              <w:rPr>
                <w:color w:val="414142"/>
                <w:shd w:val="clear" w:color="auto" w:fill="FFFFFF"/>
                <w:vertAlign w:val="superscript"/>
              </w:rPr>
              <w:t>1</w:t>
            </w:r>
            <w:r w:rsidRPr="004E62CB">
              <w:rPr>
                <w:color w:val="414142"/>
                <w:shd w:val="clear" w:color="auto" w:fill="FFFFFF"/>
              </w:rPr>
              <w:t>) daļas</w:t>
            </w:r>
            <w:r w:rsidRPr="004E62CB">
              <w:t xml:space="preserve"> 1.punktam, kas nosaka, ka  Finanšu ministram ir tiesības, informējot par to Saeimu, veikt apropriāciju izmaiņas valsts budžeta saņemamajiem transfertiem no budžeta nefinansēto iestāžu budžetiem.</w:t>
            </w:r>
          </w:p>
          <w:p w14:paraId="7F16D2E2" w14:textId="77777777" w:rsidR="00AF066A" w:rsidRPr="004E62CB" w:rsidRDefault="00AF066A" w:rsidP="00AF066A">
            <w:pPr>
              <w:ind w:firstLine="463"/>
              <w:jc w:val="both"/>
              <w:rPr>
                <w:rFonts w:eastAsiaTheme="minorHAnsi"/>
                <w:lang w:eastAsia="en-US"/>
              </w:rPr>
            </w:pPr>
            <w:r w:rsidRPr="004E62CB">
              <w:rPr>
                <w:rFonts w:eastAsiaTheme="minorHAnsi"/>
                <w:lang w:eastAsia="en-US"/>
              </w:rPr>
              <w:t>Veselības ministrija normatīvajos aktos noteiktajā kārtībā sagatavos un iesniegts Finanšu ministrijā pieprasījumu valsts budžeta apropriācijas palielināšanai atbilstoši šā protokollēmuma 2. punktam.</w:t>
            </w:r>
          </w:p>
          <w:p w14:paraId="64FC4A97" w14:textId="535D621D" w:rsidR="00AF066A" w:rsidRPr="00E22721" w:rsidRDefault="00AF066A" w:rsidP="00AF066A">
            <w:pPr>
              <w:pStyle w:val="NoSpacing"/>
              <w:ind w:firstLine="463"/>
              <w:jc w:val="both"/>
              <w:rPr>
                <w:rFonts w:ascii="Times New Roman" w:hAnsi="Times New Roman" w:cs="Times New Roman"/>
                <w:sz w:val="24"/>
              </w:rPr>
            </w:pPr>
            <w:r w:rsidRPr="004E62CB">
              <w:rPr>
                <w:rFonts w:ascii="Times New Roman" w:eastAsia="Times New Roman" w:hAnsi="Times New Roman" w:cs="Times New Roman"/>
                <w:sz w:val="24"/>
                <w:szCs w:val="24"/>
                <w:lang w:eastAsia="lv-LV"/>
              </w:rPr>
              <w:t xml:space="preserve">Finanšu ministrs, informējot Saeimu, palielinās Veselības ministrijai likumā </w:t>
            </w:r>
            <w:r w:rsidRPr="004E62CB">
              <w:rPr>
                <w:rFonts w:ascii="Times New Roman" w:eastAsia="Times New Roman" w:hAnsi="Times New Roman" w:cs="Times New Roman"/>
                <w:bCs/>
                <w:sz w:val="24"/>
                <w:szCs w:val="24"/>
                <w:lang w:eastAsia="lv-LV"/>
              </w:rPr>
              <w:t>“</w:t>
            </w:r>
            <w:r w:rsidRPr="004E62CB">
              <w:rPr>
                <w:rFonts w:ascii="Times New Roman" w:eastAsia="Times New Roman" w:hAnsi="Times New Roman" w:cs="Times New Roman"/>
                <w:sz w:val="24"/>
                <w:szCs w:val="24"/>
                <w:lang w:eastAsia="lv-LV"/>
              </w:rPr>
              <w:t>Par valsts budžetu 202</w:t>
            </w:r>
            <w:r>
              <w:rPr>
                <w:rFonts w:ascii="Times New Roman" w:eastAsia="Times New Roman" w:hAnsi="Times New Roman" w:cs="Times New Roman"/>
                <w:sz w:val="24"/>
                <w:szCs w:val="24"/>
                <w:lang w:eastAsia="lv-LV"/>
              </w:rPr>
              <w:t>1</w:t>
            </w:r>
            <w:r w:rsidRPr="004E62CB">
              <w:rPr>
                <w:rFonts w:ascii="Times New Roman" w:eastAsia="Times New Roman" w:hAnsi="Times New Roman" w:cs="Times New Roman"/>
                <w:sz w:val="24"/>
                <w:szCs w:val="24"/>
                <w:lang w:eastAsia="lv-LV"/>
              </w:rPr>
              <w:t>.gadam</w:t>
            </w:r>
            <w:r w:rsidRPr="004E62CB">
              <w:rPr>
                <w:rFonts w:ascii="Times New Roman" w:eastAsia="Times New Roman" w:hAnsi="Times New Roman" w:cs="Times New Roman"/>
                <w:bCs/>
                <w:sz w:val="24"/>
                <w:szCs w:val="24"/>
                <w:lang w:eastAsia="lv-LV"/>
              </w:rPr>
              <w:t>”</w:t>
            </w:r>
            <w:r w:rsidRPr="004E62CB">
              <w:rPr>
                <w:rFonts w:ascii="Times New Roman" w:eastAsia="Times New Roman" w:hAnsi="Times New Roman" w:cs="Times New Roman"/>
                <w:sz w:val="24"/>
                <w:szCs w:val="24"/>
                <w:lang w:eastAsia="lv-LV"/>
              </w:rPr>
              <w:t xml:space="preserve"> noteikto apropriāciju</w:t>
            </w:r>
            <w:r w:rsidRPr="004E62CB" w:rsidDel="000869B3">
              <w:rPr>
                <w:rFonts w:ascii="Times New Roman" w:eastAsia="Times New Roman" w:hAnsi="Times New Roman" w:cs="Times New Roman"/>
                <w:sz w:val="24"/>
                <w:szCs w:val="24"/>
                <w:lang w:eastAsia="lv-LV"/>
              </w:rPr>
              <w:t xml:space="preserve"> </w:t>
            </w:r>
            <w:r w:rsidRPr="004E62CB">
              <w:rPr>
                <w:rFonts w:ascii="Times New Roman" w:eastAsia="Times New Roman" w:hAnsi="Times New Roman" w:cs="Times New Roman"/>
                <w:iCs/>
                <w:sz w:val="24"/>
                <w:szCs w:val="24"/>
                <w:lang w:eastAsia="lv-LV"/>
              </w:rPr>
              <w:t>par</w:t>
            </w:r>
            <w:r w:rsidRPr="004E62CB">
              <w:rPr>
                <w:rFonts w:ascii="Times New Roman" w:eastAsia="Times New Roman" w:hAnsi="Times New Roman" w:cs="Times New Roman"/>
                <w:i/>
                <w:sz w:val="24"/>
                <w:szCs w:val="24"/>
                <w:lang w:eastAsia="lv-LV"/>
              </w:rPr>
              <w:t xml:space="preserve"> </w:t>
            </w:r>
            <w:r w:rsidR="00ED6162">
              <w:rPr>
                <w:rFonts w:ascii="Times New Roman" w:eastAsia="Times New Roman" w:hAnsi="Times New Roman" w:cs="Times New Roman"/>
                <w:sz w:val="24"/>
                <w:szCs w:val="24"/>
                <w:lang w:eastAsia="lv-LV"/>
              </w:rPr>
              <w:t>14 000</w:t>
            </w:r>
            <w:r w:rsidR="00984231" w:rsidRPr="00984231">
              <w:rPr>
                <w:rFonts w:ascii="Times New Roman" w:eastAsia="Times New Roman" w:hAnsi="Times New Roman" w:cs="Times New Roman"/>
                <w:sz w:val="24"/>
                <w:szCs w:val="24"/>
                <w:lang w:eastAsia="lv-LV"/>
              </w:rPr>
              <w:t xml:space="preserve"> </w:t>
            </w:r>
            <w:r w:rsidRPr="004E62CB">
              <w:rPr>
                <w:rFonts w:ascii="Times New Roman" w:eastAsia="Times New Roman" w:hAnsi="Times New Roman" w:cs="Times New Roman"/>
                <w:i/>
                <w:iCs/>
                <w:sz w:val="24"/>
                <w:szCs w:val="24"/>
                <w:lang w:eastAsia="lv-LV"/>
              </w:rPr>
              <w:t>euro</w:t>
            </w:r>
            <w:r w:rsidRPr="004E62CB">
              <w:rPr>
                <w:rFonts w:ascii="Times New Roman" w:eastAsia="Times New Roman" w:hAnsi="Times New Roman" w:cs="Times New Roman"/>
                <w:sz w:val="24"/>
                <w:szCs w:val="24"/>
                <w:lang w:eastAsia="lv-LV"/>
              </w:rPr>
              <w:t>.</w:t>
            </w:r>
          </w:p>
        </w:tc>
      </w:tr>
    </w:tbl>
    <w:p w14:paraId="64FC4A99" w14:textId="77777777" w:rsidR="00E5323B" w:rsidRPr="00EC07D7"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9B" w14:textId="77777777" w:rsidTr="006936E5">
        <w:tc>
          <w:tcPr>
            <w:tcW w:w="9356" w:type="dxa"/>
          </w:tcPr>
          <w:p w14:paraId="64FC4A9A"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IV. Tiesību akta projekta ietekme uz spēkā esošo tiesību normu sistēmu</w:t>
            </w:r>
          </w:p>
        </w:tc>
      </w:tr>
      <w:tr w:rsidR="007F6F87" w:rsidRPr="00EC07D7" w14:paraId="64FC4A9D" w14:textId="77777777" w:rsidTr="006936E5">
        <w:tc>
          <w:tcPr>
            <w:tcW w:w="9356" w:type="dxa"/>
          </w:tcPr>
          <w:p w14:paraId="64FC4A9C"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9E"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A0" w14:textId="77777777" w:rsidTr="006936E5">
        <w:tc>
          <w:tcPr>
            <w:tcW w:w="9356" w:type="dxa"/>
          </w:tcPr>
          <w:p w14:paraId="64FC4A9F"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 Tiesību akta projekta atbilstība Latvijas Republikas starptautiskajām saistībām</w:t>
            </w:r>
          </w:p>
        </w:tc>
      </w:tr>
      <w:tr w:rsidR="007F6F87" w:rsidRPr="00EC07D7" w14:paraId="64FC4AA2" w14:textId="77777777" w:rsidTr="006936E5">
        <w:tc>
          <w:tcPr>
            <w:tcW w:w="9356" w:type="dxa"/>
          </w:tcPr>
          <w:p w14:paraId="64FC4AA1"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A3"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6534CA" w:rsidRPr="00EC07D7" w14:paraId="1335BDA6" w14:textId="77777777" w:rsidTr="003170A3">
        <w:tc>
          <w:tcPr>
            <w:tcW w:w="9356" w:type="dxa"/>
          </w:tcPr>
          <w:p w14:paraId="5D4DF826" w14:textId="0B22472B" w:rsidR="006534CA" w:rsidRPr="00EC07D7" w:rsidRDefault="006534CA" w:rsidP="003170A3">
            <w:pPr>
              <w:pStyle w:val="NoSpacing"/>
              <w:jc w:val="center"/>
              <w:rPr>
                <w:rFonts w:ascii="Times New Roman" w:hAnsi="Times New Roman" w:cs="Times New Roman"/>
                <w:b/>
                <w:sz w:val="24"/>
                <w:szCs w:val="24"/>
                <w:lang w:eastAsia="lv-LV"/>
              </w:rPr>
            </w:pPr>
            <w:r w:rsidRPr="006534CA">
              <w:rPr>
                <w:rFonts w:ascii="Times New Roman" w:hAnsi="Times New Roman" w:cs="Times New Roman"/>
                <w:b/>
                <w:iCs/>
                <w:sz w:val="24"/>
                <w:szCs w:val="24"/>
                <w:lang w:eastAsia="lv-LV"/>
              </w:rPr>
              <w:t>VI. Sabiedrības līdzdalība un komunikācijas aktivitātes</w:t>
            </w:r>
          </w:p>
        </w:tc>
      </w:tr>
      <w:tr w:rsidR="004E62CB" w:rsidRPr="00EC07D7" w14:paraId="31B44E01" w14:textId="77777777" w:rsidTr="003170A3">
        <w:tc>
          <w:tcPr>
            <w:tcW w:w="9356" w:type="dxa"/>
          </w:tcPr>
          <w:p w14:paraId="14E85FEA" w14:textId="00AEC2AB" w:rsidR="004E62CB" w:rsidRPr="006534CA" w:rsidRDefault="004E62CB" w:rsidP="003170A3">
            <w:pPr>
              <w:pStyle w:val="NoSpacing"/>
              <w:jc w:val="center"/>
              <w:rPr>
                <w:rFonts w:ascii="Times New Roman" w:hAnsi="Times New Roman" w:cs="Times New Roman"/>
                <w:b/>
                <w:iCs/>
                <w:sz w:val="24"/>
                <w:szCs w:val="24"/>
                <w:lang w:eastAsia="lv-LV"/>
              </w:rPr>
            </w:pPr>
            <w:r w:rsidRPr="00EC07D7">
              <w:rPr>
                <w:rFonts w:ascii="Times New Roman" w:hAnsi="Times New Roman" w:cs="Times New Roman"/>
                <w:sz w:val="24"/>
                <w:szCs w:val="24"/>
                <w:lang w:eastAsia="lv-LV"/>
              </w:rPr>
              <w:t>Projekts šo jomu neskar.</w:t>
            </w:r>
          </w:p>
        </w:tc>
      </w:tr>
    </w:tbl>
    <w:p w14:paraId="02A05E4A" w14:textId="77777777" w:rsidR="006534CA" w:rsidRDefault="006534CA" w:rsidP="00EC6E12">
      <w:pPr>
        <w:pStyle w:val="NoSpacing"/>
        <w:rPr>
          <w:rFonts w:ascii="Times New Roman" w:hAnsi="Times New Roman" w:cs="Times New Roman"/>
          <w:iCs/>
          <w:sz w:val="24"/>
          <w:szCs w:val="24"/>
          <w:lang w:eastAsia="lv-LV"/>
        </w:rPr>
      </w:pPr>
    </w:p>
    <w:p w14:paraId="64FC4AA8" w14:textId="7671B101" w:rsidR="007F6F87"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RPr="00EC07D7" w14:paraId="64FC4AAA" w14:textId="77777777" w:rsidTr="006936E5">
        <w:tc>
          <w:tcPr>
            <w:tcW w:w="9356" w:type="dxa"/>
            <w:gridSpan w:val="3"/>
          </w:tcPr>
          <w:p w14:paraId="64FC4AA9"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VII. Tiesību akta projekta izpildes nodrošināšana un tās ietekme uz institūcijām</w:t>
            </w:r>
          </w:p>
        </w:tc>
      </w:tr>
      <w:tr w:rsidR="008C4F09" w:rsidRPr="00EC07D7" w14:paraId="64FC4AAE" w14:textId="77777777" w:rsidTr="006936E5">
        <w:tc>
          <w:tcPr>
            <w:tcW w:w="568" w:type="dxa"/>
          </w:tcPr>
          <w:p w14:paraId="64FC4AAB"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3260" w:type="dxa"/>
          </w:tcPr>
          <w:p w14:paraId="64FC4AAC"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izpildē iesaistītās institūcijas</w:t>
            </w:r>
          </w:p>
        </w:tc>
        <w:tc>
          <w:tcPr>
            <w:tcW w:w="5528" w:type="dxa"/>
          </w:tcPr>
          <w:p w14:paraId="64FC4AAD" w14:textId="2FB4477E" w:rsidR="008C4F09" w:rsidRPr="00EC07D7" w:rsidRDefault="00984231" w:rsidP="00984231">
            <w:pPr>
              <w:jc w:val="both"/>
            </w:pPr>
            <w:r w:rsidRPr="00984231">
              <w:t>Veselības ministrija, Zāļu valsts aģentūra</w:t>
            </w:r>
            <w:r w:rsidR="00ED6162">
              <w:t xml:space="preserve"> un</w:t>
            </w:r>
            <w:r w:rsidRPr="00984231">
              <w:t xml:space="preserve"> Paula Stradiņa medicīnas vēstures muzejs</w:t>
            </w:r>
            <w:r w:rsidR="00ED6162">
              <w:t>.</w:t>
            </w:r>
          </w:p>
        </w:tc>
      </w:tr>
      <w:tr w:rsidR="008C4F09" w:rsidRPr="00EC07D7" w14:paraId="64FC4AB3" w14:textId="77777777" w:rsidTr="006936E5">
        <w:tc>
          <w:tcPr>
            <w:tcW w:w="568" w:type="dxa"/>
          </w:tcPr>
          <w:p w14:paraId="64FC4AAF"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3260" w:type="dxa"/>
          </w:tcPr>
          <w:p w14:paraId="64FC4AB0" w14:textId="77777777" w:rsidR="008C4F09" w:rsidRPr="00EC07D7" w:rsidRDefault="008C4F09" w:rsidP="008C4F09">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izpildes ietekme uz pārvaldes funkcijām un institucionālo struktūru.</w:t>
            </w:r>
            <w:r w:rsidRPr="00EC07D7">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64FC4AB1" w14:textId="77777777" w:rsidR="008C4F09" w:rsidRPr="00EC07D7" w:rsidRDefault="008C4F09" w:rsidP="00CD4C7C">
            <w:pPr>
              <w:spacing w:before="75" w:after="75"/>
              <w:jc w:val="both"/>
              <w:rPr>
                <w:color w:val="000000"/>
                <w:sz w:val="28"/>
                <w:szCs w:val="28"/>
              </w:rPr>
            </w:pPr>
            <w:r w:rsidRPr="00EC07D7">
              <w:t>Zāļu valsts aģentūra</w:t>
            </w:r>
            <w:r w:rsidRPr="00EC07D7">
              <w:rPr>
                <w:sz w:val="22"/>
              </w:rPr>
              <w:t xml:space="preserve"> </w:t>
            </w:r>
            <w:r w:rsidRPr="00EC07D7">
              <w:t>Ministru kabineta rīkojuma projekta izpildi nodrošinās esošo funkciju ietvaros.</w:t>
            </w:r>
            <w:r w:rsidRPr="00EC07D7">
              <w:rPr>
                <w:color w:val="000000"/>
                <w:sz w:val="28"/>
                <w:szCs w:val="28"/>
              </w:rPr>
              <w:t xml:space="preserve">  </w:t>
            </w:r>
          </w:p>
          <w:p w14:paraId="64FC4AB2" w14:textId="77777777" w:rsidR="008C4F09" w:rsidRPr="00EC07D7" w:rsidRDefault="008C4F09" w:rsidP="008C4F09">
            <w:pPr>
              <w:spacing w:before="75" w:after="75"/>
              <w:ind w:firstLine="375"/>
              <w:jc w:val="both"/>
            </w:pPr>
          </w:p>
        </w:tc>
      </w:tr>
      <w:tr w:rsidR="0049601C" w:rsidRPr="00EC07D7" w14:paraId="64FC4AB7" w14:textId="77777777" w:rsidTr="006936E5">
        <w:tc>
          <w:tcPr>
            <w:tcW w:w="568" w:type="dxa"/>
          </w:tcPr>
          <w:p w14:paraId="64FC4AB4" w14:textId="77777777" w:rsidR="0049601C" w:rsidRPr="00EC07D7" w:rsidRDefault="0049601C" w:rsidP="0049601C">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3.</w:t>
            </w:r>
          </w:p>
        </w:tc>
        <w:tc>
          <w:tcPr>
            <w:tcW w:w="3260" w:type="dxa"/>
          </w:tcPr>
          <w:p w14:paraId="64FC4AB5" w14:textId="77777777" w:rsidR="0049601C" w:rsidRPr="00EC07D7" w:rsidRDefault="0049601C" w:rsidP="0049601C">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5528" w:type="dxa"/>
          </w:tcPr>
          <w:p w14:paraId="64FC4AB6" w14:textId="77777777" w:rsidR="0049601C" w:rsidRPr="00EC07D7" w:rsidRDefault="0049601C" w:rsidP="0049601C">
            <w:pPr>
              <w:pStyle w:val="NoSpacing"/>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AB8" w14:textId="4B573722" w:rsidR="008B37B7"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p w14:paraId="6BEAF043" w14:textId="77777777" w:rsidR="0059561B" w:rsidRPr="00EC07D7" w:rsidRDefault="0059561B" w:rsidP="00EC6E12">
      <w:pPr>
        <w:pStyle w:val="NoSpacing"/>
        <w:rPr>
          <w:rFonts w:ascii="Times New Roman" w:hAnsi="Times New Roman" w:cs="Times New Roman"/>
          <w:iCs/>
          <w:sz w:val="24"/>
          <w:szCs w:val="24"/>
          <w:lang w:eastAsia="lv-LV"/>
        </w:rPr>
      </w:pPr>
    </w:p>
    <w:p w14:paraId="64FC4AB9" w14:textId="7B5E9171" w:rsidR="0014699D" w:rsidRPr="00EC07D7" w:rsidRDefault="0014699D" w:rsidP="0014699D">
      <w:pPr>
        <w:tabs>
          <w:tab w:val="left" w:pos="7371"/>
        </w:tabs>
        <w:rPr>
          <w:sz w:val="28"/>
          <w:szCs w:val="28"/>
          <w:lang w:bidi="gu-IN"/>
        </w:rPr>
      </w:pPr>
      <w:r w:rsidRPr="00EC07D7">
        <w:rPr>
          <w:sz w:val="28"/>
          <w:szCs w:val="28"/>
          <w:lang w:bidi="gu-IN"/>
        </w:rPr>
        <w:t>Veselības ministr</w:t>
      </w:r>
      <w:r w:rsidR="004E62CB">
        <w:rPr>
          <w:sz w:val="28"/>
          <w:szCs w:val="28"/>
          <w:lang w:bidi="gu-IN"/>
        </w:rPr>
        <w:t>s</w:t>
      </w:r>
      <w:r w:rsidRPr="00EC07D7">
        <w:rPr>
          <w:sz w:val="28"/>
          <w:szCs w:val="28"/>
          <w:lang w:bidi="gu-IN"/>
        </w:rPr>
        <w:t xml:space="preserve"> </w:t>
      </w:r>
      <w:r w:rsidRPr="00EC07D7">
        <w:rPr>
          <w:sz w:val="28"/>
          <w:szCs w:val="28"/>
          <w:lang w:bidi="gu-IN"/>
        </w:rPr>
        <w:tab/>
      </w:r>
      <w:r w:rsidR="004E62CB">
        <w:rPr>
          <w:sz w:val="28"/>
          <w:szCs w:val="28"/>
          <w:lang w:bidi="gu-IN"/>
        </w:rPr>
        <w:t>D.Pavļuts</w:t>
      </w:r>
      <w:r w:rsidRPr="00EC07D7">
        <w:rPr>
          <w:sz w:val="28"/>
          <w:szCs w:val="28"/>
          <w:lang w:bidi="gu-IN"/>
        </w:rPr>
        <w:tab/>
      </w:r>
      <w:r w:rsidRPr="00EC07D7">
        <w:rPr>
          <w:sz w:val="28"/>
          <w:szCs w:val="28"/>
          <w:lang w:bidi="gu-IN"/>
        </w:rPr>
        <w:tab/>
      </w:r>
      <w:r w:rsidRPr="00EC07D7">
        <w:rPr>
          <w:sz w:val="28"/>
          <w:szCs w:val="28"/>
          <w:lang w:bidi="gu-IN"/>
        </w:rPr>
        <w:tab/>
        <w:t xml:space="preserve">      </w:t>
      </w:r>
    </w:p>
    <w:p w14:paraId="64FC4ABB" w14:textId="77777777" w:rsidR="0014699D" w:rsidRPr="00EC07D7" w:rsidRDefault="0014699D" w:rsidP="0014699D">
      <w:pPr>
        <w:tabs>
          <w:tab w:val="left" w:pos="7371"/>
        </w:tabs>
        <w:rPr>
          <w:sz w:val="28"/>
          <w:szCs w:val="28"/>
          <w:lang w:bidi="gu-IN"/>
        </w:rPr>
      </w:pPr>
    </w:p>
    <w:p w14:paraId="64FC4ABC" w14:textId="4665AC4C" w:rsidR="0014699D" w:rsidRDefault="0014699D" w:rsidP="0014699D">
      <w:pPr>
        <w:tabs>
          <w:tab w:val="left" w:pos="7371"/>
        </w:tabs>
        <w:rPr>
          <w:sz w:val="28"/>
          <w:szCs w:val="28"/>
          <w:lang w:bidi="gu-IN"/>
        </w:rPr>
      </w:pPr>
      <w:r w:rsidRPr="00EC07D7">
        <w:rPr>
          <w:sz w:val="28"/>
          <w:szCs w:val="28"/>
          <w:lang w:bidi="gu-IN"/>
        </w:rPr>
        <w:t xml:space="preserve">Vīza: Valsts sekretāre                                              </w:t>
      </w:r>
      <w:r w:rsidR="004E62CB">
        <w:rPr>
          <w:sz w:val="28"/>
          <w:szCs w:val="28"/>
          <w:lang w:bidi="gu-IN"/>
        </w:rPr>
        <w:tab/>
      </w:r>
      <w:r w:rsidRPr="00EC07D7">
        <w:rPr>
          <w:sz w:val="28"/>
          <w:szCs w:val="28"/>
          <w:lang w:bidi="gu-IN"/>
        </w:rPr>
        <w:t xml:space="preserve"> </w:t>
      </w:r>
      <w:r w:rsidR="004E62CB">
        <w:rPr>
          <w:sz w:val="28"/>
          <w:szCs w:val="28"/>
          <w:lang w:bidi="gu-IN"/>
        </w:rPr>
        <w:t>I.Dreika</w:t>
      </w:r>
    </w:p>
    <w:p w14:paraId="64FC4ABD" w14:textId="77777777"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14:paraId="64FC4ABE" w14:textId="77777777" w:rsidR="00905BD5" w:rsidRDefault="00905BD5" w:rsidP="00155578">
      <w:pPr>
        <w:pStyle w:val="NormalWeb"/>
        <w:spacing w:before="0" w:beforeAutospacing="0" w:after="0" w:afterAutospacing="0"/>
      </w:pPr>
    </w:p>
    <w:p w14:paraId="318E94B9" w14:textId="77777777" w:rsidR="00ED6162" w:rsidRPr="003B7AFB" w:rsidRDefault="00ED6162" w:rsidP="00ED6162">
      <w:pPr>
        <w:pStyle w:val="NormalWeb"/>
        <w:spacing w:before="0" w:beforeAutospacing="0" w:after="0" w:afterAutospacing="0"/>
      </w:pPr>
      <w:r>
        <w:t>Belovs</w:t>
      </w:r>
      <w:r w:rsidRPr="003B7AFB">
        <w:t xml:space="preserve"> 67876</w:t>
      </w:r>
      <w:r>
        <w:t>005</w:t>
      </w:r>
    </w:p>
    <w:p w14:paraId="45EC5E2A" w14:textId="77777777" w:rsidR="00ED6162" w:rsidRDefault="003B354F" w:rsidP="00ED6162">
      <w:pPr>
        <w:pStyle w:val="NormalWeb"/>
        <w:spacing w:before="0" w:beforeAutospacing="0" w:after="0" w:afterAutospacing="0"/>
      </w:pPr>
      <w:hyperlink r:id="rId8" w:history="1">
        <w:r w:rsidR="00ED6162" w:rsidRPr="001B4FA5">
          <w:rPr>
            <w:rStyle w:val="Hyperlink"/>
          </w:rPr>
          <w:t>igors.belovs@vm.gov.lv</w:t>
        </w:r>
      </w:hyperlink>
    </w:p>
    <w:p w14:paraId="64FC4ABF" w14:textId="77777777" w:rsidR="00905BD5" w:rsidRDefault="00905BD5" w:rsidP="00155578">
      <w:pPr>
        <w:pStyle w:val="NormalWeb"/>
        <w:spacing w:before="0" w:beforeAutospacing="0" w:after="0" w:afterAutospacing="0"/>
      </w:pPr>
    </w:p>
    <w:sectPr w:rsidR="00905BD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E2E9" w14:textId="77777777" w:rsidR="009345C4" w:rsidRDefault="009345C4" w:rsidP="00894C55">
      <w:r>
        <w:separator/>
      </w:r>
    </w:p>
  </w:endnote>
  <w:endnote w:type="continuationSeparator" w:id="0">
    <w:p w14:paraId="00420DC2" w14:textId="77777777" w:rsidR="009345C4" w:rsidRDefault="009345C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4AC7" w14:textId="0BF50145" w:rsidR="006034A8"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F64A9">
      <w:rPr>
        <w:rFonts w:ascii="Times New Roman" w:hAnsi="Times New Roman" w:cs="Times New Roman"/>
        <w:noProof/>
        <w:sz w:val="20"/>
        <w:szCs w:val="20"/>
      </w:rPr>
      <w:t>VManot_230721_ZVA_groz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4AC8" w14:textId="5E99F694" w:rsidR="00727889"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F64A9">
      <w:rPr>
        <w:rFonts w:ascii="Times New Roman" w:hAnsi="Times New Roman" w:cs="Times New Roman"/>
        <w:noProof/>
        <w:sz w:val="20"/>
        <w:szCs w:val="20"/>
      </w:rPr>
      <w:t>VManot_230721_ZVA_groz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775C" w14:textId="77777777" w:rsidR="009345C4" w:rsidRDefault="009345C4" w:rsidP="00894C55">
      <w:r>
        <w:separator/>
      </w:r>
    </w:p>
  </w:footnote>
  <w:footnote w:type="continuationSeparator" w:id="0">
    <w:p w14:paraId="7F47B2BF" w14:textId="77777777" w:rsidR="009345C4" w:rsidRDefault="009345C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FC4AC6" w14:textId="5F34B39A"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78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11F81A97"/>
    <w:multiLevelType w:val="hybridMultilevel"/>
    <w:tmpl w:val="FA38E06E"/>
    <w:lvl w:ilvl="0" w:tplc="AE88050A">
      <w:start w:val="1"/>
      <w:numFmt w:val="decimal"/>
      <w:lvlText w:val="%1)"/>
      <w:lvlJc w:val="left"/>
      <w:pPr>
        <w:ind w:left="731" w:hanging="360"/>
      </w:pPr>
      <w:rPr>
        <w:b/>
        <w:color w:val="000000" w:themeColor="text1"/>
      </w:rPr>
    </w:lvl>
    <w:lvl w:ilvl="1" w:tplc="C436D2C8">
      <w:start w:val="1"/>
      <w:numFmt w:val="lowerLetter"/>
      <w:lvlText w:val="%2."/>
      <w:lvlJc w:val="left"/>
      <w:pPr>
        <w:ind w:left="1451" w:hanging="360"/>
      </w:pPr>
    </w:lvl>
    <w:lvl w:ilvl="2" w:tplc="BE208462">
      <w:start w:val="1"/>
      <w:numFmt w:val="lowerRoman"/>
      <w:lvlText w:val="%3."/>
      <w:lvlJc w:val="right"/>
      <w:pPr>
        <w:ind w:left="2171" w:hanging="180"/>
      </w:pPr>
    </w:lvl>
    <w:lvl w:ilvl="3" w:tplc="18B40B1E">
      <w:start w:val="1"/>
      <w:numFmt w:val="decimal"/>
      <w:lvlText w:val="%4."/>
      <w:lvlJc w:val="left"/>
      <w:pPr>
        <w:ind w:left="2891" w:hanging="360"/>
      </w:pPr>
    </w:lvl>
    <w:lvl w:ilvl="4" w:tplc="C7F48E6C">
      <w:start w:val="1"/>
      <w:numFmt w:val="lowerLetter"/>
      <w:lvlText w:val="%5."/>
      <w:lvlJc w:val="left"/>
      <w:pPr>
        <w:ind w:left="3611" w:hanging="360"/>
      </w:pPr>
    </w:lvl>
    <w:lvl w:ilvl="5" w:tplc="5A8AE7B2">
      <w:start w:val="1"/>
      <w:numFmt w:val="lowerRoman"/>
      <w:lvlText w:val="%6."/>
      <w:lvlJc w:val="right"/>
      <w:pPr>
        <w:ind w:left="4331" w:hanging="180"/>
      </w:pPr>
    </w:lvl>
    <w:lvl w:ilvl="6" w:tplc="2802617C">
      <w:start w:val="1"/>
      <w:numFmt w:val="decimal"/>
      <w:lvlText w:val="%7."/>
      <w:lvlJc w:val="left"/>
      <w:pPr>
        <w:ind w:left="5051" w:hanging="360"/>
      </w:pPr>
    </w:lvl>
    <w:lvl w:ilvl="7" w:tplc="46D6D954">
      <w:start w:val="1"/>
      <w:numFmt w:val="lowerLetter"/>
      <w:lvlText w:val="%8."/>
      <w:lvlJc w:val="left"/>
      <w:pPr>
        <w:ind w:left="5771" w:hanging="360"/>
      </w:pPr>
    </w:lvl>
    <w:lvl w:ilvl="8" w:tplc="F2680854">
      <w:start w:val="1"/>
      <w:numFmt w:val="lowerRoman"/>
      <w:lvlText w:val="%9."/>
      <w:lvlJc w:val="right"/>
      <w:pPr>
        <w:ind w:left="6491" w:hanging="180"/>
      </w:pPr>
    </w:lvl>
  </w:abstractNum>
  <w:abstractNum w:abstractNumId="3" w15:restartNumberingAfterBreak="0">
    <w:nsid w:val="180B1ACE"/>
    <w:multiLevelType w:val="hybridMultilevel"/>
    <w:tmpl w:val="FA12149C"/>
    <w:lvl w:ilvl="0" w:tplc="48649EF0">
      <w:numFmt w:val="bullet"/>
      <w:lvlText w:val="-"/>
      <w:lvlJc w:val="left"/>
      <w:pPr>
        <w:ind w:left="696" w:hanging="360"/>
      </w:pPr>
      <w:rPr>
        <w:rFonts w:ascii="Times New Roman" w:eastAsia="Times New Roman" w:hAnsi="Times New Roman" w:cs="Times New Roman" w:hint="default"/>
      </w:rPr>
    </w:lvl>
    <w:lvl w:ilvl="1" w:tplc="04260003" w:tentative="1">
      <w:start w:val="1"/>
      <w:numFmt w:val="bullet"/>
      <w:lvlText w:val="o"/>
      <w:lvlJc w:val="left"/>
      <w:pPr>
        <w:ind w:left="1416" w:hanging="360"/>
      </w:pPr>
      <w:rPr>
        <w:rFonts w:ascii="Courier New" w:hAnsi="Courier New" w:cs="Courier New" w:hint="default"/>
      </w:rPr>
    </w:lvl>
    <w:lvl w:ilvl="2" w:tplc="04260005" w:tentative="1">
      <w:start w:val="1"/>
      <w:numFmt w:val="bullet"/>
      <w:lvlText w:val=""/>
      <w:lvlJc w:val="left"/>
      <w:pPr>
        <w:ind w:left="2136" w:hanging="360"/>
      </w:pPr>
      <w:rPr>
        <w:rFonts w:ascii="Wingdings" w:hAnsi="Wingdings" w:hint="default"/>
      </w:rPr>
    </w:lvl>
    <w:lvl w:ilvl="3" w:tplc="04260001" w:tentative="1">
      <w:start w:val="1"/>
      <w:numFmt w:val="bullet"/>
      <w:lvlText w:val=""/>
      <w:lvlJc w:val="left"/>
      <w:pPr>
        <w:ind w:left="2856" w:hanging="360"/>
      </w:pPr>
      <w:rPr>
        <w:rFonts w:ascii="Symbol" w:hAnsi="Symbol" w:hint="default"/>
      </w:rPr>
    </w:lvl>
    <w:lvl w:ilvl="4" w:tplc="04260003" w:tentative="1">
      <w:start w:val="1"/>
      <w:numFmt w:val="bullet"/>
      <w:lvlText w:val="o"/>
      <w:lvlJc w:val="left"/>
      <w:pPr>
        <w:ind w:left="3576" w:hanging="360"/>
      </w:pPr>
      <w:rPr>
        <w:rFonts w:ascii="Courier New" w:hAnsi="Courier New" w:cs="Courier New" w:hint="default"/>
      </w:rPr>
    </w:lvl>
    <w:lvl w:ilvl="5" w:tplc="04260005" w:tentative="1">
      <w:start w:val="1"/>
      <w:numFmt w:val="bullet"/>
      <w:lvlText w:val=""/>
      <w:lvlJc w:val="left"/>
      <w:pPr>
        <w:ind w:left="4296" w:hanging="360"/>
      </w:pPr>
      <w:rPr>
        <w:rFonts w:ascii="Wingdings" w:hAnsi="Wingdings" w:hint="default"/>
      </w:rPr>
    </w:lvl>
    <w:lvl w:ilvl="6" w:tplc="04260001" w:tentative="1">
      <w:start w:val="1"/>
      <w:numFmt w:val="bullet"/>
      <w:lvlText w:val=""/>
      <w:lvlJc w:val="left"/>
      <w:pPr>
        <w:ind w:left="5016" w:hanging="360"/>
      </w:pPr>
      <w:rPr>
        <w:rFonts w:ascii="Symbol" w:hAnsi="Symbol" w:hint="default"/>
      </w:rPr>
    </w:lvl>
    <w:lvl w:ilvl="7" w:tplc="04260003" w:tentative="1">
      <w:start w:val="1"/>
      <w:numFmt w:val="bullet"/>
      <w:lvlText w:val="o"/>
      <w:lvlJc w:val="left"/>
      <w:pPr>
        <w:ind w:left="5736" w:hanging="360"/>
      </w:pPr>
      <w:rPr>
        <w:rFonts w:ascii="Courier New" w:hAnsi="Courier New" w:cs="Courier New" w:hint="default"/>
      </w:rPr>
    </w:lvl>
    <w:lvl w:ilvl="8" w:tplc="04260005" w:tentative="1">
      <w:start w:val="1"/>
      <w:numFmt w:val="bullet"/>
      <w:lvlText w:val=""/>
      <w:lvlJc w:val="left"/>
      <w:pPr>
        <w:ind w:left="6456" w:hanging="360"/>
      </w:pPr>
      <w:rPr>
        <w:rFonts w:ascii="Wingdings" w:hAnsi="Wingdings" w:hint="default"/>
      </w:rPr>
    </w:lvl>
  </w:abstractNum>
  <w:abstractNum w:abstractNumId="4" w15:restartNumberingAfterBreak="1">
    <w:nsid w:val="209C45A7"/>
    <w:multiLevelType w:val="hybridMultilevel"/>
    <w:tmpl w:val="6CA6AFA0"/>
    <w:lvl w:ilvl="0" w:tplc="BDB8DBD0">
      <w:start w:val="1"/>
      <w:numFmt w:val="bullet"/>
      <w:lvlText w:val=""/>
      <w:lvlJc w:val="left"/>
      <w:pPr>
        <w:ind w:left="720" w:hanging="360"/>
      </w:pPr>
      <w:rPr>
        <w:rFonts w:ascii="Symbol" w:hAnsi="Symbol" w:hint="default"/>
        <w:color w:val="auto"/>
      </w:rPr>
    </w:lvl>
    <w:lvl w:ilvl="1" w:tplc="79E6F436" w:tentative="1">
      <w:start w:val="1"/>
      <w:numFmt w:val="bullet"/>
      <w:lvlText w:val="o"/>
      <w:lvlJc w:val="left"/>
      <w:pPr>
        <w:ind w:left="1440" w:hanging="360"/>
      </w:pPr>
      <w:rPr>
        <w:rFonts w:ascii="Courier New" w:hAnsi="Courier New" w:cs="Courier New" w:hint="default"/>
      </w:rPr>
    </w:lvl>
    <w:lvl w:ilvl="2" w:tplc="43CEC068" w:tentative="1">
      <w:start w:val="1"/>
      <w:numFmt w:val="bullet"/>
      <w:lvlText w:val=""/>
      <w:lvlJc w:val="left"/>
      <w:pPr>
        <w:ind w:left="2160" w:hanging="360"/>
      </w:pPr>
      <w:rPr>
        <w:rFonts w:ascii="Wingdings" w:hAnsi="Wingdings" w:hint="default"/>
      </w:rPr>
    </w:lvl>
    <w:lvl w:ilvl="3" w:tplc="F006B794" w:tentative="1">
      <w:start w:val="1"/>
      <w:numFmt w:val="bullet"/>
      <w:lvlText w:val=""/>
      <w:lvlJc w:val="left"/>
      <w:pPr>
        <w:ind w:left="2880" w:hanging="360"/>
      </w:pPr>
      <w:rPr>
        <w:rFonts w:ascii="Symbol" w:hAnsi="Symbol" w:hint="default"/>
      </w:rPr>
    </w:lvl>
    <w:lvl w:ilvl="4" w:tplc="532E6290" w:tentative="1">
      <w:start w:val="1"/>
      <w:numFmt w:val="bullet"/>
      <w:lvlText w:val="o"/>
      <w:lvlJc w:val="left"/>
      <w:pPr>
        <w:ind w:left="3600" w:hanging="360"/>
      </w:pPr>
      <w:rPr>
        <w:rFonts w:ascii="Courier New" w:hAnsi="Courier New" w:cs="Courier New" w:hint="default"/>
      </w:rPr>
    </w:lvl>
    <w:lvl w:ilvl="5" w:tplc="B1BAA5E4" w:tentative="1">
      <w:start w:val="1"/>
      <w:numFmt w:val="bullet"/>
      <w:lvlText w:val=""/>
      <w:lvlJc w:val="left"/>
      <w:pPr>
        <w:ind w:left="4320" w:hanging="360"/>
      </w:pPr>
      <w:rPr>
        <w:rFonts w:ascii="Wingdings" w:hAnsi="Wingdings" w:hint="default"/>
      </w:rPr>
    </w:lvl>
    <w:lvl w:ilvl="6" w:tplc="AA3A0BF8" w:tentative="1">
      <w:start w:val="1"/>
      <w:numFmt w:val="bullet"/>
      <w:lvlText w:val=""/>
      <w:lvlJc w:val="left"/>
      <w:pPr>
        <w:ind w:left="5040" w:hanging="360"/>
      </w:pPr>
      <w:rPr>
        <w:rFonts w:ascii="Symbol" w:hAnsi="Symbol" w:hint="default"/>
      </w:rPr>
    </w:lvl>
    <w:lvl w:ilvl="7" w:tplc="810C1C08" w:tentative="1">
      <w:start w:val="1"/>
      <w:numFmt w:val="bullet"/>
      <w:lvlText w:val="o"/>
      <w:lvlJc w:val="left"/>
      <w:pPr>
        <w:ind w:left="5760" w:hanging="360"/>
      </w:pPr>
      <w:rPr>
        <w:rFonts w:ascii="Courier New" w:hAnsi="Courier New" w:cs="Courier New" w:hint="default"/>
      </w:rPr>
    </w:lvl>
    <w:lvl w:ilvl="8" w:tplc="BC524F34" w:tentative="1">
      <w:start w:val="1"/>
      <w:numFmt w:val="bullet"/>
      <w:lvlText w:val=""/>
      <w:lvlJc w:val="left"/>
      <w:pPr>
        <w:ind w:left="6480" w:hanging="360"/>
      </w:pPr>
      <w:rPr>
        <w:rFonts w:ascii="Wingdings" w:hAnsi="Wingdings" w:hint="default"/>
      </w:rPr>
    </w:lvl>
  </w:abstractNum>
  <w:abstractNum w:abstractNumId="5"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6" w15:restartNumberingAfterBreak="0">
    <w:nsid w:val="2B1638F3"/>
    <w:multiLevelType w:val="hybridMultilevel"/>
    <w:tmpl w:val="818C7936"/>
    <w:lvl w:ilvl="0" w:tplc="AE88050A">
      <w:start w:val="1"/>
      <w:numFmt w:val="decimal"/>
      <w:lvlText w:val="%1)"/>
      <w:lvlJc w:val="left"/>
      <w:pPr>
        <w:ind w:left="731" w:hanging="360"/>
      </w:pPr>
      <w:rPr>
        <w:b/>
        <w:color w:val="000000" w:themeColor="text1"/>
      </w:rPr>
    </w:lvl>
    <w:lvl w:ilvl="1" w:tplc="C436D2C8">
      <w:start w:val="1"/>
      <w:numFmt w:val="lowerLetter"/>
      <w:lvlText w:val="%2."/>
      <w:lvlJc w:val="left"/>
      <w:pPr>
        <w:ind w:left="1451" w:hanging="360"/>
      </w:pPr>
    </w:lvl>
    <w:lvl w:ilvl="2" w:tplc="BE208462">
      <w:start w:val="1"/>
      <w:numFmt w:val="lowerRoman"/>
      <w:lvlText w:val="%3."/>
      <w:lvlJc w:val="right"/>
      <w:pPr>
        <w:ind w:left="2171" w:hanging="180"/>
      </w:pPr>
    </w:lvl>
    <w:lvl w:ilvl="3" w:tplc="18B40B1E">
      <w:start w:val="1"/>
      <w:numFmt w:val="decimal"/>
      <w:lvlText w:val="%4."/>
      <w:lvlJc w:val="left"/>
      <w:pPr>
        <w:ind w:left="2891" w:hanging="360"/>
      </w:pPr>
    </w:lvl>
    <w:lvl w:ilvl="4" w:tplc="C7F48E6C">
      <w:start w:val="1"/>
      <w:numFmt w:val="lowerLetter"/>
      <w:lvlText w:val="%5."/>
      <w:lvlJc w:val="left"/>
      <w:pPr>
        <w:ind w:left="3611" w:hanging="360"/>
      </w:pPr>
    </w:lvl>
    <w:lvl w:ilvl="5" w:tplc="5A8AE7B2">
      <w:start w:val="1"/>
      <w:numFmt w:val="lowerRoman"/>
      <w:lvlText w:val="%6."/>
      <w:lvlJc w:val="right"/>
      <w:pPr>
        <w:ind w:left="4331" w:hanging="180"/>
      </w:pPr>
    </w:lvl>
    <w:lvl w:ilvl="6" w:tplc="2802617C">
      <w:start w:val="1"/>
      <w:numFmt w:val="decimal"/>
      <w:lvlText w:val="%7."/>
      <w:lvlJc w:val="left"/>
      <w:pPr>
        <w:ind w:left="5051" w:hanging="360"/>
      </w:pPr>
    </w:lvl>
    <w:lvl w:ilvl="7" w:tplc="46D6D954">
      <w:start w:val="1"/>
      <w:numFmt w:val="lowerLetter"/>
      <w:lvlText w:val="%8."/>
      <w:lvlJc w:val="left"/>
      <w:pPr>
        <w:ind w:left="5771" w:hanging="360"/>
      </w:pPr>
    </w:lvl>
    <w:lvl w:ilvl="8" w:tplc="F2680854">
      <w:start w:val="1"/>
      <w:numFmt w:val="lowerRoman"/>
      <w:lvlText w:val="%9."/>
      <w:lvlJc w:val="right"/>
      <w:pPr>
        <w:ind w:left="6491" w:hanging="180"/>
      </w:pPr>
    </w:lvl>
  </w:abstractNum>
  <w:abstractNum w:abstractNumId="7" w15:restartNumberingAfterBreak="0">
    <w:nsid w:val="323D14FA"/>
    <w:multiLevelType w:val="hybridMultilevel"/>
    <w:tmpl w:val="F57E8B0A"/>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1400" w:hanging="360"/>
      </w:pPr>
      <w:rPr>
        <w:rFonts w:ascii="Courier New" w:hAnsi="Courier New" w:cs="Courier New" w:hint="default"/>
      </w:rPr>
    </w:lvl>
    <w:lvl w:ilvl="2" w:tplc="04260005">
      <w:start w:val="1"/>
      <w:numFmt w:val="bullet"/>
      <w:lvlText w:val=""/>
      <w:lvlJc w:val="left"/>
      <w:pPr>
        <w:ind w:left="2120" w:hanging="360"/>
      </w:pPr>
      <w:rPr>
        <w:rFonts w:ascii="Wingdings" w:hAnsi="Wingdings" w:hint="default"/>
      </w:rPr>
    </w:lvl>
    <w:lvl w:ilvl="3" w:tplc="04260001">
      <w:start w:val="1"/>
      <w:numFmt w:val="bullet"/>
      <w:lvlText w:val=""/>
      <w:lvlJc w:val="left"/>
      <w:pPr>
        <w:ind w:left="2840" w:hanging="360"/>
      </w:pPr>
      <w:rPr>
        <w:rFonts w:ascii="Symbol" w:hAnsi="Symbol" w:hint="default"/>
      </w:rPr>
    </w:lvl>
    <w:lvl w:ilvl="4" w:tplc="04260003">
      <w:start w:val="1"/>
      <w:numFmt w:val="bullet"/>
      <w:lvlText w:val="o"/>
      <w:lvlJc w:val="left"/>
      <w:pPr>
        <w:ind w:left="3560" w:hanging="360"/>
      </w:pPr>
      <w:rPr>
        <w:rFonts w:ascii="Courier New" w:hAnsi="Courier New" w:cs="Courier New" w:hint="default"/>
      </w:rPr>
    </w:lvl>
    <w:lvl w:ilvl="5" w:tplc="04260005">
      <w:start w:val="1"/>
      <w:numFmt w:val="bullet"/>
      <w:lvlText w:val=""/>
      <w:lvlJc w:val="left"/>
      <w:pPr>
        <w:ind w:left="4280" w:hanging="360"/>
      </w:pPr>
      <w:rPr>
        <w:rFonts w:ascii="Wingdings" w:hAnsi="Wingdings" w:hint="default"/>
      </w:rPr>
    </w:lvl>
    <w:lvl w:ilvl="6" w:tplc="04260001">
      <w:start w:val="1"/>
      <w:numFmt w:val="bullet"/>
      <w:lvlText w:val=""/>
      <w:lvlJc w:val="left"/>
      <w:pPr>
        <w:ind w:left="5000" w:hanging="360"/>
      </w:pPr>
      <w:rPr>
        <w:rFonts w:ascii="Symbol" w:hAnsi="Symbol" w:hint="default"/>
      </w:rPr>
    </w:lvl>
    <w:lvl w:ilvl="7" w:tplc="04260003">
      <w:start w:val="1"/>
      <w:numFmt w:val="bullet"/>
      <w:lvlText w:val="o"/>
      <w:lvlJc w:val="left"/>
      <w:pPr>
        <w:ind w:left="5720" w:hanging="360"/>
      </w:pPr>
      <w:rPr>
        <w:rFonts w:ascii="Courier New" w:hAnsi="Courier New" w:cs="Courier New" w:hint="default"/>
      </w:rPr>
    </w:lvl>
    <w:lvl w:ilvl="8" w:tplc="04260005">
      <w:start w:val="1"/>
      <w:numFmt w:val="bullet"/>
      <w:lvlText w:val=""/>
      <w:lvlJc w:val="left"/>
      <w:pPr>
        <w:ind w:left="6440" w:hanging="360"/>
      </w:pPr>
      <w:rPr>
        <w:rFonts w:ascii="Wingdings" w:hAnsi="Wingdings" w:hint="default"/>
      </w:rPr>
    </w:lvl>
  </w:abstractNum>
  <w:abstractNum w:abstractNumId="8"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12C0334"/>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585912F5"/>
    <w:multiLevelType w:val="hybridMultilevel"/>
    <w:tmpl w:val="121647EE"/>
    <w:lvl w:ilvl="0" w:tplc="95DC8DA8">
      <w:numFmt w:val="bullet"/>
      <w:lvlText w:val=""/>
      <w:lvlJc w:val="left"/>
      <w:pPr>
        <w:ind w:left="731" w:hanging="360"/>
      </w:pPr>
      <w:rPr>
        <w:rFonts w:ascii="Symbol" w:eastAsia="Times New Roman" w:hAnsi="Symbol" w:cs="Times New Roman" w:hint="default"/>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start w:val="1"/>
      <w:numFmt w:val="bullet"/>
      <w:lvlText w:val=""/>
      <w:lvlJc w:val="left"/>
      <w:pPr>
        <w:ind w:left="2891" w:hanging="360"/>
      </w:pPr>
      <w:rPr>
        <w:rFonts w:ascii="Symbol" w:hAnsi="Symbol" w:hint="default"/>
      </w:rPr>
    </w:lvl>
    <w:lvl w:ilvl="4" w:tplc="04260003">
      <w:start w:val="1"/>
      <w:numFmt w:val="bullet"/>
      <w:lvlText w:val="o"/>
      <w:lvlJc w:val="left"/>
      <w:pPr>
        <w:ind w:left="3611" w:hanging="360"/>
      </w:pPr>
      <w:rPr>
        <w:rFonts w:ascii="Courier New" w:hAnsi="Courier New" w:cs="Courier New" w:hint="default"/>
      </w:rPr>
    </w:lvl>
    <w:lvl w:ilvl="5" w:tplc="04260005">
      <w:start w:val="1"/>
      <w:numFmt w:val="bullet"/>
      <w:lvlText w:val=""/>
      <w:lvlJc w:val="left"/>
      <w:pPr>
        <w:ind w:left="4331" w:hanging="360"/>
      </w:pPr>
      <w:rPr>
        <w:rFonts w:ascii="Wingdings" w:hAnsi="Wingdings" w:hint="default"/>
      </w:rPr>
    </w:lvl>
    <w:lvl w:ilvl="6" w:tplc="04260001">
      <w:start w:val="1"/>
      <w:numFmt w:val="bullet"/>
      <w:lvlText w:val=""/>
      <w:lvlJc w:val="left"/>
      <w:pPr>
        <w:ind w:left="5051" w:hanging="360"/>
      </w:pPr>
      <w:rPr>
        <w:rFonts w:ascii="Symbol" w:hAnsi="Symbol" w:hint="default"/>
      </w:rPr>
    </w:lvl>
    <w:lvl w:ilvl="7" w:tplc="04260003">
      <w:start w:val="1"/>
      <w:numFmt w:val="bullet"/>
      <w:lvlText w:val="o"/>
      <w:lvlJc w:val="left"/>
      <w:pPr>
        <w:ind w:left="5771" w:hanging="360"/>
      </w:pPr>
      <w:rPr>
        <w:rFonts w:ascii="Courier New" w:hAnsi="Courier New" w:cs="Courier New" w:hint="default"/>
      </w:rPr>
    </w:lvl>
    <w:lvl w:ilvl="8" w:tplc="04260005">
      <w:start w:val="1"/>
      <w:numFmt w:val="bullet"/>
      <w:lvlText w:val=""/>
      <w:lvlJc w:val="left"/>
      <w:pPr>
        <w:ind w:left="6491" w:hanging="360"/>
      </w:pPr>
      <w:rPr>
        <w:rFonts w:ascii="Wingdings" w:hAnsi="Wingdings" w:hint="default"/>
      </w:rPr>
    </w:lvl>
  </w:abstractNum>
  <w:abstractNum w:abstractNumId="1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6A030F0"/>
    <w:multiLevelType w:val="hybridMultilevel"/>
    <w:tmpl w:val="2FC875B2"/>
    <w:lvl w:ilvl="0" w:tplc="0426000F">
      <w:start w:val="1"/>
      <w:numFmt w:val="decimal"/>
      <w:lvlText w:val="%1."/>
      <w:lvlJc w:val="left"/>
      <w:pPr>
        <w:ind w:left="1091" w:hanging="360"/>
      </w:p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15" w15:restartNumberingAfterBreak="0">
    <w:nsid w:val="7D295D3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num>
  <w:num w:numId="2">
    <w:abstractNumId w:val="13"/>
  </w:num>
  <w:num w:numId="3">
    <w:abstractNumId w:val="5"/>
  </w:num>
  <w:num w:numId="4">
    <w:abstractNumId w:val="1"/>
  </w:num>
  <w:num w:numId="5">
    <w:abstractNumId w:val="8"/>
  </w:num>
  <w:num w:numId="6">
    <w:abstractNumId w:val="0"/>
  </w:num>
  <w:num w:numId="7">
    <w:abstractNumId w:val="10"/>
  </w:num>
  <w:num w:numId="8">
    <w:abstractNumId w:val="7"/>
  </w:num>
  <w:num w:numId="9">
    <w:abstractNumId w:val="3"/>
  </w:num>
  <w:num w:numId="10">
    <w:abstractNumId w:val="2"/>
  </w:num>
  <w:num w:numId="11">
    <w:abstractNumId w:val="11"/>
  </w:num>
  <w:num w:numId="12">
    <w:abstractNumId w:val="15"/>
  </w:num>
  <w:num w:numId="13">
    <w:abstractNumId w:val="9"/>
  </w:num>
  <w:num w:numId="14">
    <w:abstractNumId w:val="2"/>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47DDF"/>
    <w:rsid w:val="0005003C"/>
    <w:rsid w:val="00051EE3"/>
    <w:rsid w:val="000525CB"/>
    <w:rsid w:val="000526CC"/>
    <w:rsid w:val="00071427"/>
    <w:rsid w:val="00075CD1"/>
    <w:rsid w:val="0008249D"/>
    <w:rsid w:val="00090411"/>
    <w:rsid w:val="0009162C"/>
    <w:rsid w:val="000A173E"/>
    <w:rsid w:val="000A4FF8"/>
    <w:rsid w:val="000C0DAB"/>
    <w:rsid w:val="000C2D34"/>
    <w:rsid w:val="000D2222"/>
    <w:rsid w:val="000F09A4"/>
    <w:rsid w:val="00101172"/>
    <w:rsid w:val="0010506F"/>
    <w:rsid w:val="001110A5"/>
    <w:rsid w:val="0012265E"/>
    <w:rsid w:val="00130487"/>
    <w:rsid w:val="00134437"/>
    <w:rsid w:val="00135197"/>
    <w:rsid w:val="00140644"/>
    <w:rsid w:val="0014699D"/>
    <w:rsid w:val="00152501"/>
    <w:rsid w:val="001525D7"/>
    <w:rsid w:val="00154A6D"/>
    <w:rsid w:val="00155578"/>
    <w:rsid w:val="0017004D"/>
    <w:rsid w:val="00173EE0"/>
    <w:rsid w:val="00175ADF"/>
    <w:rsid w:val="0018528C"/>
    <w:rsid w:val="00190963"/>
    <w:rsid w:val="00195A31"/>
    <w:rsid w:val="001A7CE8"/>
    <w:rsid w:val="001B6C59"/>
    <w:rsid w:val="001C0CE4"/>
    <w:rsid w:val="001C2E84"/>
    <w:rsid w:val="001C729F"/>
    <w:rsid w:val="001C768D"/>
    <w:rsid w:val="001D66EB"/>
    <w:rsid w:val="001E0096"/>
    <w:rsid w:val="001E1707"/>
    <w:rsid w:val="001E7EAF"/>
    <w:rsid w:val="001F64A9"/>
    <w:rsid w:val="00211DDF"/>
    <w:rsid w:val="00240098"/>
    <w:rsid w:val="00242091"/>
    <w:rsid w:val="00243426"/>
    <w:rsid w:val="00243C28"/>
    <w:rsid w:val="002549F5"/>
    <w:rsid w:val="0025568D"/>
    <w:rsid w:val="00282312"/>
    <w:rsid w:val="002945AA"/>
    <w:rsid w:val="002A7ACF"/>
    <w:rsid w:val="002C0F74"/>
    <w:rsid w:val="002D1E95"/>
    <w:rsid w:val="002E1C05"/>
    <w:rsid w:val="002E4002"/>
    <w:rsid w:val="002E5EC2"/>
    <w:rsid w:val="002F4975"/>
    <w:rsid w:val="002F736E"/>
    <w:rsid w:val="003243B6"/>
    <w:rsid w:val="00324BDE"/>
    <w:rsid w:val="00330D5B"/>
    <w:rsid w:val="003610B1"/>
    <w:rsid w:val="00361174"/>
    <w:rsid w:val="00361916"/>
    <w:rsid w:val="003675DA"/>
    <w:rsid w:val="0038105E"/>
    <w:rsid w:val="003874EF"/>
    <w:rsid w:val="003903BF"/>
    <w:rsid w:val="00391F3D"/>
    <w:rsid w:val="003A2095"/>
    <w:rsid w:val="003A678B"/>
    <w:rsid w:val="003A7EC6"/>
    <w:rsid w:val="003B0BF9"/>
    <w:rsid w:val="003B194A"/>
    <w:rsid w:val="003B354F"/>
    <w:rsid w:val="003B5F80"/>
    <w:rsid w:val="003B5FF1"/>
    <w:rsid w:val="003B7D3B"/>
    <w:rsid w:val="003D602A"/>
    <w:rsid w:val="003E0791"/>
    <w:rsid w:val="003E2E8F"/>
    <w:rsid w:val="003E3D86"/>
    <w:rsid w:val="003F28AC"/>
    <w:rsid w:val="003F5929"/>
    <w:rsid w:val="003F60AF"/>
    <w:rsid w:val="003F7D8B"/>
    <w:rsid w:val="00432F14"/>
    <w:rsid w:val="00440827"/>
    <w:rsid w:val="004454FE"/>
    <w:rsid w:val="00445B02"/>
    <w:rsid w:val="00454FCD"/>
    <w:rsid w:val="00456E40"/>
    <w:rsid w:val="00471F27"/>
    <w:rsid w:val="00482E9B"/>
    <w:rsid w:val="00484A4E"/>
    <w:rsid w:val="00487702"/>
    <w:rsid w:val="0049601C"/>
    <w:rsid w:val="004979B4"/>
    <w:rsid w:val="004A2913"/>
    <w:rsid w:val="004A4CE4"/>
    <w:rsid w:val="004B0104"/>
    <w:rsid w:val="004B2F42"/>
    <w:rsid w:val="004B5A63"/>
    <w:rsid w:val="004D4DE8"/>
    <w:rsid w:val="004E1BA2"/>
    <w:rsid w:val="004E29AE"/>
    <w:rsid w:val="004E62CB"/>
    <w:rsid w:val="004F1568"/>
    <w:rsid w:val="004F2340"/>
    <w:rsid w:val="005013E4"/>
    <w:rsid w:val="0050178F"/>
    <w:rsid w:val="0050580C"/>
    <w:rsid w:val="00505810"/>
    <w:rsid w:val="005175F0"/>
    <w:rsid w:val="00525064"/>
    <w:rsid w:val="00530F6A"/>
    <w:rsid w:val="0053145F"/>
    <w:rsid w:val="00547026"/>
    <w:rsid w:val="005524A4"/>
    <w:rsid w:val="00561431"/>
    <w:rsid w:val="00580E04"/>
    <w:rsid w:val="005856D9"/>
    <w:rsid w:val="00586561"/>
    <w:rsid w:val="00593420"/>
    <w:rsid w:val="0059561B"/>
    <w:rsid w:val="0059773F"/>
    <w:rsid w:val="005B5E2A"/>
    <w:rsid w:val="005C12C6"/>
    <w:rsid w:val="005C533D"/>
    <w:rsid w:val="005D36F0"/>
    <w:rsid w:val="005D760B"/>
    <w:rsid w:val="005E271D"/>
    <w:rsid w:val="005F7B0E"/>
    <w:rsid w:val="005F7BA4"/>
    <w:rsid w:val="006034A8"/>
    <w:rsid w:val="00607205"/>
    <w:rsid w:val="00607686"/>
    <w:rsid w:val="0061191A"/>
    <w:rsid w:val="00613202"/>
    <w:rsid w:val="00626896"/>
    <w:rsid w:val="00631536"/>
    <w:rsid w:val="006335C0"/>
    <w:rsid w:val="00647B3D"/>
    <w:rsid w:val="006534CA"/>
    <w:rsid w:val="00655F2C"/>
    <w:rsid w:val="006579C9"/>
    <w:rsid w:val="0066630C"/>
    <w:rsid w:val="00672909"/>
    <w:rsid w:val="00681F74"/>
    <w:rsid w:val="00683D05"/>
    <w:rsid w:val="00684ABE"/>
    <w:rsid w:val="00686AD4"/>
    <w:rsid w:val="00691A35"/>
    <w:rsid w:val="006936E5"/>
    <w:rsid w:val="006A2802"/>
    <w:rsid w:val="006A31D0"/>
    <w:rsid w:val="006A5E8A"/>
    <w:rsid w:val="006B221B"/>
    <w:rsid w:val="006C0C1A"/>
    <w:rsid w:val="006D524F"/>
    <w:rsid w:val="006D76E7"/>
    <w:rsid w:val="006E1081"/>
    <w:rsid w:val="006E10AB"/>
    <w:rsid w:val="006E1AF2"/>
    <w:rsid w:val="006E71F7"/>
    <w:rsid w:val="006F4230"/>
    <w:rsid w:val="00701B35"/>
    <w:rsid w:val="00711EAB"/>
    <w:rsid w:val="0071470D"/>
    <w:rsid w:val="00720585"/>
    <w:rsid w:val="00720740"/>
    <w:rsid w:val="00725580"/>
    <w:rsid w:val="007272A8"/>
    <w:rsid w:val="00727889"/>
    <w:rsid w:val="007345D8"/>
    <w:rsid w:val="00737155"/>
    <w:rsid w:val="00737954"/>
    <w:rsid w:val="00741009"/>
    <w:rsid w:val="007606BC"/>
    <w:rsid w:val="007617D9"/>
    <w:rsid w:val="00773AF6"/>
    <w:rsid w:val="00773EC6"/>
    <w:rsid w:val="00781317"/>
    <w:rsid w:val="0079260F"/>
    <w:rsid w:val="00795F71"/>
    <w:rsid w:val="007C3FAC"/>
    <w:rsid w:val="007E3BCE"/>
    <w:rsid w:val="007E5F7A"/>
    <w:rsid w:val="007E659E"/>
    <w:rsid w:val="007E73AB"/>
    <w:rsid w:val="007F3C3A"/>
    <w:rsid w:val="007F6F87"/>
    <w:rsid w:val="00816C11"/>
    <w:rsid w:val="00827811"/>
    <w:rsid w:val="00835A22"/>
    <w:rsid w:val="00836140"/>
    <w:rsid w:val="00842AD1"/>
    <w:rsid w:val="00842C70"/>
    <w:rsid w:val="00856A43"/>
    <w:rsid w:val="00876F7A"/>
    <w:rsid w:val="00891BBF"/>
    <w:rsid w:val="00894C55"/>
    <w:rsid w:val="0089762B"/>
    <w:rsid w:val="008A6969"/>
    <w:rsid w:val="008B37B7"/>
    <w:rsid w:val="008C1794"/>
    <w:rsid w:val="008C4F09"/>
    <w:rsid w:val="008D28E7"/>
    <w:rsid w:val="008E53F3"/>
    <w:rsid w:val="008F31B2"/>
    <w:rsid w:val="008F6DF6"/>
    <w:rsid w:val="00905BD5"/>
    <w:rsid w:val="00920DF0"/>
    <w:rsid w:val="009244CE"/>
    <w:rsid w:val="00933F57"/>
    <w:rsid w:val="009345C4"/>
    <w:rsid w:val="00943473"/>
    <w:rsid w:val="009547D2"/>
    <w:rsid w:val="00983AF8"/>
    <w:rsid w:val="00984231"/>
    <w:rsid w:val="00986C5B"/>
    <w:rsid w:val="00996C8F"/>
    <w:rsid w:val="009A2654"/>
    <w:rsid w:val="009B4EBC"/>
    <w:rsid w:val="009B5093"/>
    <w:rsid w:val="009B61EE"/>
    <w:rsid w:val="009C2D41"/>
    <w:rsid w:val="009D204C"/>
    <w:rsid w:val="009D6D25"/>
    <w:rsid w:val="009E5F35"/>
    <w:rsid w:val="009E7AC3"/>
    <w:rsid w:val="009F224F"/>
    <w:rsid w:val="009F25E7"/>
    <w:rsid w:val="00A00A92"/>
    <w:rsid w:val="00A017BE"/>
    <w:rsid w:val="00A02401"/>
    <w:rsid w:val="00A10FC3"/>
    <w:rsid w:val="00A20BA7"/>
    <w:rsid w:val="00A23770"/>
    <w:rsid w:val="00A3526B"/>
    <w:rsid w:val="00A374DB"/>
    <w:rsid w:val="00A37F0E"/>
    <w:rsid w:val="00A44916"/>
    <w:rsid w:val="00A47C69"/>
    <w:rsid w:val="00A504E9"/>
    <w:rsid w:val="00A574DD"/>
    <w:rsid w:val="00A6073E"/>
    <w:rsid w:val="00A623FF"/>
    <w:rsid w:val="00A63C64"/>
    <w:rsid w:val="00A772AD"/>
    <w:rsid w:val="00A87A94"/>
    <w:rsid w:val="00A87DB7"/>
    <w:rsid w:val="00A905D4"/>
    <w:rsid w:val="00A935DA"/>
    <w:rsid w:val="00A94BEE"/>
    <w:rsid w:val="00AA4209"/>
    <w:rsid w:val="00AB62C3"/>
    <w:rsid w:val="00AD0597"/>
    <w:rsid w:val="00AE080C"/>
    <w:rsid w:val="00AE34FD"/>
    <w:rsid w:val="00AE5567"/>
    <w:rsid w:val="00AF066A"/>
    <w:rsid w:val="00AF1239"/>
    <w:rsid w:val="00AF627A"/>
    <w:rsid w:val="00AF7099"/>
    <w:rsid w:val="00B02842"/>
    <w:rsid w:val="00B074B0"/>
    <w:rsid w:val="00B12C06"/>
    <w:rsid w:val="00B12C2C"/>
    <w:rsid w:val="00B16480"/>
    <w:rsid w:val="00B2165C"/>
    <w:rsid w:val="00B24C87"/>
    <w:rsid w:val="00B253FC"/>
    <w:rsid w:val="00B43EC9"/>
    <w:rsid w:val="00B47C5A"/>
    <w:rsid w:val="00B50CDA"/>
    <w:rsid w:val="00B664B1"/>
    <w:rsid w:val="00B67377"/>
    <w:rsid w:val="00B678C0"/>
    <w:rsid w:val="00B7239A"/>
    <w:rsid w:val="00B81D06"/>
    <w:rsid w:val="00B84F0C"/>
    <w:rsid w:val="00BA20AA"/>
    <w:rsid w:val="00BA67A7"/>
    <w:rsid w:val="00BC29A2"/>
    <w:rsid w:val="00BD4425"/>
    <w:rsid w:val="00BD7F5E"/>
    <w:rsid w:val="00BE4402"/>
    <w:rsid w:val="00BF2A26"/>
    <w:rsid w:val="00C00F16"/>
    <w:rsid w:val="00C03AA7"/>
    <w:rsid w:val="00C10270"/>
    <w:rsid w:val="00C25B49"/>
    <w:rsid w:val="00C2627A"/>
    <w:rsid w:val="00C30F18"/>
    <w:rsid w:val="00C348FC"/>
    <w:rsid w:val="00C362DA"/>
    <w:rsid w:val="00C42475"/>
    <w:rsid w:val="00C45035"/>
    <w:rsid w:val="00C53261"/>
    <w:rsid w:val="00C53406"/>
    <w:rsid w:val="00C62AC9"/>
    <w:rsid w:val="00C632B6"/>
    <w:rsid w:val="00C633DC"/>
    <w:rsid w:val="00C777F0"/>
    <w:rsid w:val="00C93306"/>
    <w:rsid w:val="00C95BE7"/>
    <w:rsid w:val="00CA6BBB"/>
    <w:rsid w:val="00CB0786"/>
    <w:rsid w:val="00CC0D2D"/>
    <w:rsid w:val="00CD4C7C"/>
    <w:rsid w:val="00CD72CC"/>
    <w:rsid w:val="00CD77B3"/>
    <w:rsid w:val="00CE16E6"/>
    <w:rsid w:val="00CE3C33"/>
    <w:rsid w:val="00CE5657"/>
    <w:rsid w:val="00CF592D"/>
    <w:rsid w:val="00D133F8"/>
    <w:rsid w:val="00D14A3E"/>
    <w:rsid w:val="00D22281"/>
    <w:rsid w:val="00D23B7C"/>
    <w:rsid w:val="00D24501"/>
    <w:rsid w:val="00D25DEC"/>
    <w:rsid w:val="00D260EE"/>
    <w:rsid w:val="00D31859"/>
    <w:rsid w:val="00D32238"/>
    <w:rsid w:val="00D366E3"/>
    <w:rsid w:val="00D374AF"/>
    <w:rsid w:val="00D536EA"/>
    <w:rsid w:val="00D61107"/>
    <w:rsid w:val="00D62A9E"/>
    <w:rsid w:val="00D716F0"/>
    <w:rsid w:val="00DA09D3"/>
    <w:rsid w:val="00DA60E8"/>
    <w:rsid w:val="00DA755F"/>
    <w:rsid w:val="00DC22D8"/>
    <w:rsid w:val="00DE07F2"/>
    <w:rsid w:val="00DF0B01"/>
    <w:rsid w:val="00DF461F"/>
    <w:rsid w:val="00DF54FF"/>
    <w:rsid w:val="00DF68F8"/>
    <w:rsid w:val="00DF776E"/>
    <w:rsid w:val="00E00899"/>
    <w:rsid w:val="00E01657"/>
    <w:rsid w:val="00E11F82"/>
    <w:rsid w:val="00E11FBA"/>
    <w:rsid w:val="00E175C7"/>
    <w:rsid w:val="00E22721"/>
    <w:rsid w:val="00E26282"/>
    <w:rsid w:val="00E31DB2"/>
    <w:rsid w:val="00E32710"/>
    <w:rsid w:val="00E33959"/>
    <w:rsid w:val="00E3716B"/>
    <w:rsid w:val="00E406AA"/>
    <w:rsid w:val="00E415E4"/>
    <w:rsid w:val="00E5323B"/>
    <w:rsid w:val="00E81C02"/>
    <w:rsid w:val="00E8749E"/>
    <w:rsid w:val="00E90C01"/>
    <w:rsid w:val="00E9384E"/>
    <w:rsid w:val="00EA0908"/>
    <w:rsid w:val="00EA3A1C"/>
    <w:rsid w:val="00EA486E"/>
    <w:rsid w:val="00EB0D8E"/>
    <w:rsid w:val="00EC07D7"/>
    <w:rsid w:val="00EC5CA3"/>
    <w:rsid w:val="00EC6E12"/>
    <w:rsid w:val="00EC766A"/>
    <w:rsid w:val="00ED4459"/>
    <w:rsid w:val="00ED6162"/>
    <w:rsid w:val="00EE10FF"/>
    <w:rsid w:val="00EE2F62"/>
    <w:rsid w:val="00EE735E"/>
    <w:rsid w:val="00EF6124"/>
    <w:rsid w:val="00F01E73"/>
    <w:rsid w:val="00F4126F"/>
    <w:rsid w:val="00F5042C"/>
    <w:rsid w:val="00F57802"/>
    <w:rsid w:val="00F57B0C"/>
    <w:rsid w:val="00F76AD1"/>
    <w:rsid w:val="00F811DE"/>
    <w:rsid w:val="00F82318"/>
    <w:rsid w:val="00F9649E"/>
    <w:rsid w:val="00FA2B52"/>
    <w:rsid w:val="00FB6432"/>
    <w:rsid w:val="00FC3FDB"/>
    <w:rsid w:val="00FC4316"/>
    <w:rsid w:val="00FD6891"/>
    <w:rsid w:val="00FD72F8"/>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C497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1F3D"/>
    <w:rPr>
      <w:sz w:val="16"/>
      <w:szCs w:val="16"/>
    </w:rPr>
  </w:style>
  <w:style w:type="paragraph" w:styleId="CommentText">
    <w:name w:val="annotation text"/>
    <w:basedOn w:val="Normal"/>
    <w:link w:val="CommentTextChar"/>
    <w:uiPriority w:val="99"/>
    <w:semiHidden/>
    <w:unhideWhenUsed/>
    <w:rsid w:val="00391F3D"/>
    <w:rPr>
      <w:sz w:val="20"/>
      <w:szCs w:val="20"/>
    </w:rPr>
  </w:style>
  <w:style w:type="character" w:customStyle="1" w:styleId="CommentTextChar">
    <w:name w:val="Comment Text Char"/>
    <w:basedOn w:val="DefaultParagraphFont"/>
    <w:link w:val="CommentText"/>
    <w:uiPriority w:val="99"/>
    <w:semiHidden/>
    <w:rsid w:val="00391F3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1F3D"/>
    <w:rPr>
      <w:b/>
      <w:bCs/>
    </w:rPr>
  </w:style>
  <w:style w:type="character" w:customStyle="1" w:styleId="CommentSubjectChar">
    <w:name w:val="Comment Subject Char"/>
    <w:basedOn w:val="CommentTextChar"/>
    <w:link w:val="CommentSubject"/>
    <w:uiPriority w:val="99"/>
    <w:semiHidden/>
    <w:rsid w:val="00391F3D"/>
    <w:rPr>
      <w:rFonts w:ascii="Times New Roman" w:eastAsia="Times New Roman" w:hAnsi="Times New Roman" w:cs="Times New Roman"/>
      <w:b/>
      <w:bCs/>
      <w:sz w:val="20"/>
      <w:szCs w:val="20"/>
      <w:lang w:eastAsia="lv-LV"/>
    </w:rPr>
  </w:style>
  <w:style w:type="character" w:customStyle="1" w:styleId="hps">
    <w:name w:val="hps"/>
    <w:basedOn w:val="DefaultParagraphFont"/>
    <w:rsid w:val="00243C28"/>
    <w:rPr>
      <w:rFonts w:ascii="Times New Roman" w:hAnsi="Times New Roman" w:cs="Times New Roman" w:hint="default"/>
    </w:rPr>
  </w:style>
  <w:style w:type="character" w:styleId="UnresolvedMention">
    <w:name w:val="Unresolved Mention"/>
    <w:basedOn w:val="DefaultParagraphFont"/>
    <w:uiPriority w:val="99"/>
    <w:semiHidden/>
    <w:unhideWhenUsed/>
    <w:rsid w:val="00E22721"/>
    <w:rPr>
      <w:color w:val="605E5C"/>
      <w:shd w:val="clear" w:color="auto" w:fill="E1DFDD"/>
    </w:rPr>
  </w:style>
  <w:style w:type="paragraph" w:customStyle="1" w:styleId="tv213">
    <w:name w:val="tv213"/>
    <w:basedOn w:val="Normal"/>
    <w:rsid w:val="00FD72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1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348091">
      <w:bodyDiv w:val="1"/>
      <w:marLeft w:val="0"/>
      <w:marRight w:val="0"/>
      <w:marTop w:val="0"/>
      <w:marBottom w:val="0"/>
      <w:divBdr>
        <w:top w:val="none" w:sz="0" w:space="0" w:color="auto"/>
        <w:left w:val="none" w:sz="0" w:space="0" w:color="auto"/>
        <w:bottom w:val="none" w:sz="0" w:space="0" w:color="auto"/>
        <w:right w:val="none" w:sz="0" w:space="0" w:color="auto"/>
      </w:divBdr>
    </w:div>
    <w:div w:id="1015154547">
      <w:bodyDiv w:val="1"/>
      <w:marLeft w:val="0"/>
      <w:marRight w:val="0"/>
      <w:marTop w:val="0"/>
      <w:marBottom w:val="0"/>
      <w:divBdr>
        <w:top w:val="none" w:sz="0" w:space="0" w:color="auto"/>
        <w:left w:val="none" w:sz="0" w:space="0" w:color="auto"/>
        <w:bottom w:val="none" w:sz="0" w:space="0" w:color="auto"/>
        <w:right w:val="none" w:sz="0" w:space="0" w:color="auto"/>
      </w:divBdr>
    </w:div>
    <w:div w:id="104302352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9661674">
      <w:bodyDiv w:val="1"/>
      <w:marLeft w:val="0"/>
      <w:marRight w:val="0"/>
      <w:marTop w:val="0"/>
      <w:marBottom w:val="0"/>
      <w:divBdr>
        <w:top w:val="none" w:sz="0" w:space="0" w:color="auto"/>
        <w:left w:val="none" w:sz="0" w:space="0" w:color="auto"/>
        <w:bottom w:val="none" w:sz="0" w:space="0" w:color="auto"/>
        <w:right w:val="none" w:sz="0" w:space="0" w:color="auto"/>
      </w:divBdr>
    </w:div>
    <w:div w:id="1797984097">
      <w:bodyDiv w:val="1"/>
      <w:marLeft w:val="0"/>
      <w:marRight w:val="0"/>
      <w:marTop w:val="0"/>
      <w:marBottom w:val="0"/>
      <w:divBdr>
        <w:top w:val="none" w:sz="0" w:space="0" w:color="auto"/>
        <w:left w:val="none" w:sz="0" w:space="0" w:color="auto"/>
        <w:bottom w:val="none" w:sz="0" w:space="0" w:color="auto"/>
        <w:right w:val="none" w:sz="0" w:space="0" w:color="auto"/>
      </w:divBdr>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524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10307</Words>
  <Characters>5875</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Sandra Kasparenko</cp:lastModifiedBy>
  <cp:revision>6</cp:revision>
  <cp:lastPrinted>2021-04-15T11:45:00Z</cp:lastPrinted>
  <dcterms:created xsi:type="dcterms:W3CDTF">2021-07-29T06:20:00Z</dcterms:created>
  <dcterms:modified xsi:type="dcterms:W3CDTF">2021-08-03T07:23:00Z</dcterms:modified>
</cp:coreProperties>
</file>