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198C" w14:textId="77777777" w:rsidR="00A748DE" w:rsidRPr="00AE4EFC" w:rsidRDefault="00A748DE" w:rsidP="00A748DE">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2E91F4CA" w14:textId="77777777" w:rsidR="00A748DE" w:rsidRPr="00AE4EFC" w:rsidRDefault="00A748DE" w:rsidP="00A748DE">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Grozījumi Ministru kabineta 2020.</w:t>
      </w:r>
      <w:r>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3068B68F" w14:textId="77777777" w:rsidR="00A748DE" w:rsidRPr="00A17EEC" w:rsidRDefault="00A748DE" w:rsidP="00A748DE">
      <w:pPr>
        <w:spacing w:after="0" w:line="240" w:lineRule="auto"/>
        <w:jc w:val="center"/>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980"/>
        <w:gridCol w:w="7512"/>
      </w:tblGrid>
      <w:tr w:rsidR="00A748DE" w:rsidRPr="00AE4EFC" w14:paraId="2842021C" w14:textId="77777777" w:rsidTr="00D41B3D">
        <w:tc>
          <w:tcPr>
            <w:tcW w:w="94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30693C" w14:textId="77777777" w:rsidR="00A748DE" w:rsidRPr="00317FDB" w:rsidRDefault="00A748DE" w:rsidP="00D41B3D">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A748DE" w:rsidRPr="00AE4EFC" w14:paraId="7BF26195" w14:textId="77777777" w:rsidTr="00D41B3D">
        <w:tc>
          <w:tcPr>
            <w:tcW w:w="1980" w:type="dxa"/>
            <w:tcBorders>
              <w:top w:val="single" w:sz="4" w:space="0" w:color="auto"/>
              <w:left w:val="single" w:sz="4" w:space="0" w:color="auto"/>
              <w:bottom w:val="single" w:sz="4" w:space="0" w:color="auto"/>
              <w:right w:val="single" w:sz="4" w:space="0" w:color="auto"/>
            </w:tcBorders>
            <w:shd w:val="clear" w:color="auto" w:fill="FFFFFF"/>
            <w:hideMark/>
          </w:tcPr>
          <w:p w14:paraId="0757A173" w14:textId="77777777" w:rsidR="00A748DE" w:rsidRPr="00AE4EFC" w:rsidRDefault="00A748DE" w:rsidP="00D41B3D">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512" w:type="dxa"/>
            <w:tcBorders>
              <w:top w:val="single" w:sz="4" w:space="0" w:color="auto"/>
              <w:left w:val="single" w:sz="4" w:space="0" w:color="auto"/>
              <w:bottom w:val="single" w:sz="4" w:space="0" w:color="auto"/>
              <w:right w:val="single" w:sz="4" w:space="0" w:color="auto"/>
            </w:tcBorders>
            <w:shd w:val="clear" w:color="auto" w:fill="FFFFFF"/>
            <w:hideMark/>
          </w:tcPr>
          <w:p w14:paraId="47D971DF" w14:textId="77777777" w:rsidR="00A748DE" w:rsidRPr="00C2181D" w:rsidRDefault="00A748DE" w:rsidP="00D41B3D">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C968EB6" w14:textId="77777777" w:rsidR="00A748DE" w:rsidRPr="00A17EEC" w:rsidRDefault="00A748DE" w:rsidP="00A748DE">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4"/>
        <w:gridCol w:w="1793"/>
        <w:gridCol w:w="7405"/>
      </w:tblGrid>
      <w:tr w:rsidR="00A748DE" w:rsidRPr="00AE4EFC" w14:paraId="7522EF70" w14:textId="77777777" w:rsidTr="00D41B3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6EDA013" w14:textId="77777777" w:rsidR="00A748DE" w:rsidRPr="00317FDB" w:rsidRDefault="00A748DE" w:rsidP="00D41B3D">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 Tiesību akta projekta izstrādes nepieciešamība</w:t>
            </w:r>
          </w:p>
        </w:tc>
      </w:tr>
      <w:tr w:rsidR="00A748DE" w:rsidRPr="00BD50E2" w14:paraId="76D64F53" w14:textId="77777777" w:rsidTr="00D41B3D">
        <w:trPr>
          <w:trHeight w:val="1144"/>
        </w:trPr>
        <w:tc>
          <w:tcPr>
            <w:tcW w:w="211" w:type="pct"/>
            <w:tcBorders>
              <w:top w:val="single" w:sz="4" w:space="0" w:color="auto"/>
              <w:left w:val="single" w:sz="4" w:space="0" w:color="auto"/>
              <w:bottom w:val="single" w:sz="4" w:space="0" w:color="auto"/>
              <w:right w:val="single" w:sz="4" w:space="0" w:color="auto"/>
            </w:tcBorders>
            <w:hideMark/>
          </w:tcPr>
          <w:p w14:paraId="5848832A" w14:textId="77777777" w:rsidR="00A748DE" w:rsidRPr="00BD50E2" w:rsidRDefault="00A748DE" w:rsidP="00D41B3D">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32" w:type="pct"/>
            <w:tcBorders>
              <w:top w:val="single" w:sz="4" w:space="0" w:color="auto"/>
              <w:left w:val="single" w:sz="4" w:space="0" w:color="auto"/>
              <w:bottom w:val="single" w:sz="4" w:space="0" w:color="auto"/>
              <w:right w:val="single" w:sz="4" w:space="0" w:color="auto"/>
            </w:tcBorders>
            <w:hideMark/>
          </w:tcPr>
          <w:p w14:paraId="70DCB640" w14:textId="77777777" w:rsidR="00A748DE" w:rsidRDefault="00A748DE" w:rsidP="00D41B3D">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E48A6D7" w14:textId="77777777" w:rsidR="00A748DE" w:rsidRPr="00154080" w:rsidRDefault="00A748DE" w:rsidP="00D41B3D">
            <w:pPr>
              <w:rPr>
                <w:rFonts w:ascii="Times New Roman" w:eastAsia="Times New Roman" w:hAnsi="Times New Roman" w:cs="Times New Roman"/>
                <w:sz w:val="24"/>
                <w:szCs w:val="24"/>
              </w:rPr>
            </w:pPr>
          </w:p>
        </w:tc>
        <w:tc>
          <w:tcPr>
            <w:tcW w:w="3957" w:type="pct"/>
            <w:tcBorders>
              <w:top w:val="single" w:sz="4" w:space="0" w:color="auto"/>
              <w:left w:val="single" w:sz="4" w:space="0" w:color="auto"/>
              <w:bottom w:val="single" w:sz="4" w:space="0" w:color="auto"/>
              <w:right w:val="single" w:sz="4" w:space="0" w:color="auto"/>
            </w:tcBorders>
          </w:tcPr>
          <w:p w14:paraId="24356E08" w14:textId="77777777" w:rsidR="00A748DE" w:rsidRDefault="00A748DE" w:rsidP="00D41B3D">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B23552">
              <w:rPr>
                <w:rFonts w:ascii="Times New Roman" w:hAnsi="Times New Roman"/>
                <w:sz w:val="24"/>
                <w:szCs w:val="24"/>
                <w:vertAlign w:val="superscript"/>
              </w:rPr>
              <w:t>1</w:t>
            </w:r>
            <w:r>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Pr>
                <w:rFonts w:ascii="Times New Roman" w:hAnsi="Times New Roman"/>
                <w:sz w:val="24"/>
                <w:szCs w:val="24"/>
                <w:vertAlign w:val="superscript"/>
              </w:rPr>
              <w:t> </w:t>
            </w:r>
            <w:r w:rsidRPr="00B23552">
              <w:rPr>
                <w:rFonts w:ascii="Times New Roman" w:hAnsi="Times New Roman"/>
                <w:sz w:val="24"/>
                <w:szCs w:val="24"/>
              </w:rPr>
              <w:t>panta otro daļu, Farmācijas likuma 5.</w:t>
            </w:r>
            <w:r>
              <w:rPr>
                <w:rFonts w:ascii="Times New Roman" w:hAnsi="Times New Roman"/>
                <w:sz w:val="24"/>
                <w:szCs w:val="24"/>
              </w:rPr>
              <w:t> </w:t>
            </w:r>
            <w:r w:rsidRPr="00B23552">
              <w:rPr>
                <w:rFonts w:ascii="Times New Roman" w:hAnsi="Times New Roman"/>
                <w:sz w:val="24"/>
                <w:szCs w:val="24"/>
              </w:rPr>
              <w:t>panta 3. un 12.</w:t>
            </w:r>
            <w:r>
              <w:rPr>
                <w:rFonts w:ascii="Times New Roman" w:hAnsi="Times New Roman"/>
                <w:sz w:val="24"/>
                <w:szCs w:val="24"/>
              </w:rPr>
              <w:t> </w:t>
            </w:r>
            <w:r w:rsidRPr="00B23552">
              <w:rPr>
                <w:rFonts w:ascii="Times New Roman" w:hAnsi="Times New Roman"/>
                <w:sz w:val="24"/>
                <w:szCs w:val="24"/>
              </w:rPr>
              <w:t>punktu</w:t>
            </w:r>
            <w:r>
              <w:rPr>
                <w:rFonts w:ascii="Times New Roman" w:hAnsi="Times New Roman"/>
                <w:sz w:val="24"/>
                <w:szCs w:val="24"/>
              </w:rPr>
              <w:t>.</w:t>
            </w:r>
          </w:p>
          <w:p w14:paraId="30CB0046" w14:textId="77777777" w:rsidR="00A748DE" w:rsidRPr="005C5DC6" w:rsidRDefault="00A748DE" w:rsidP="00D41B3D">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A748DE" w:rsidRPr="00BD50E2" w14:paraId="4CEA0EDC" w14:textId="77777777" w:rsidTr="00D41B3D">
        <w:trPr>
          <w:trHeight w:val="1393"/>
        </w:trPr>
        <w:tc>
          <w:tcPr>
            <w:tcW w:w="211" w:type="pct"/>
            <w:tcBorders>
              <w:top w:val="single" w:sz="4" w:space="0" w:color="auto"/>
              <w:left w:val="single" w:sz="4" w:space="0" w:color="auto"/>
              <w:bottom w:val="single" w:sz="4" w:space="0" w:color="auto"/>
              <w:right w:val="single" w:sz="4" w:space="0" w:color="auto"/>
            </w:tcBorders>
            <w:hideMark/>
          </w:tcPr>
          <w:p w14:paraId="16AE1173" w14:textId="77777777" w:rsidR="00A748DE" w:rsidRPr="00BD50E2" w:rsidRDefault="00A748DE" w:rsidP="00D41B3D">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32" w:type="pct"/>
            <w:tcBorders>
              <w:top w:val="single" w:sz="4" w:space="0" w:color="auto"/>
              <w:left w:val="single" w:sz="4" w:space="0" w:color="auto"/>
              <w:bottom w:val="single" w:sz="4" w:space="0" w:color="auto"/>
              <w:right w:val="single" w:sz="4" w:space="0" w:color="auto"/>
            </w:tcBorders>
            <w:hideMark/>
          </w:tcPr>
          <w:p w14:paraId="2EE02AA4" w14:textId="77777777" w:rsidR="00A748DE" w:rsidRPr="00886D79" w:rsidRDefault="00A748DE" w:rsidP="00D41B3D">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957" w:type="pct"/>
            <w:tcBorders>
              <w:top w:val="single" w:sz="4" w:space="0" w:color="auto"/>
              <w:left w:val="single" w:sz="4" w:space="0" w:color="auto"/>
              <w:bottom w:val="single" w:sz="4" w:space="0" w:color="auto"/>
              <w:right w:val="single" w:sz="4" w:space="0" w:color="auto"/>
            </w:tcBorders>
          </w:tcPr>
          <w:p w14:paraId="68D0A274" w14:textId="77777777" w:rsidR="00A748DE" w:rsidRDefault="00A748DE" w:rsidP="00D41B3D">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is ir :</w:t>
            </w:r>
          </w:p>
          <w:p w14:paraId="26F523EB" w14:textId="77777777" w:rsidR="00A748DE" w:rsidRDefault="00A748DE" w:rsidP="00D41B3D">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noteikt, ka vakcinēta persona ir arī tad, ja</w:t>
            </w:r>
            <w:r w:rsidRPr="009571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viņai </w:t>
            </w:r>
            <w:r w:rsidRPr="00957143">
              <w:rPr>
                <w:rFonts w:ascii="Times New Roman" w:eastAsia="Times New Roman" w:hAnsi="Times New Roman" w:cs="Times New Roman"/>
                <w:bCs/>
                <w:sz w:val="24"/>
                <w:szCs w:val="24"/>
                <w:lang w:eastAsia="lv-LV"/>
              </w:rPr>
              <w:t>uzsākta vakcinācija ar viena ražotāja vakcīnu</w:t>
            </w:r>
            <w:r>
              <w:rPr>
                <w:rFonts w:ascii="Times New Roman" w:eastAsia="Times New Roman" w:hAnsi="Times New Roman" w:cs="Times New Roman"/>
                <w:bCs/>
                <w:sz w:val="24"/>
                <w:szCs w:val="24"/>
                <w:lang w:eastAsia="lv-LV"/>
              </w:rPr>
              <w:t>, bet</w:t>
            </w:r>
            <w:r w:rsidRPr="00957143">
              <w:rPr>
                <w:rFonts w:ascii="Times New Roman" w:eastAsia="Times New Roman" w:hAnsi="Times New Roman" w:cs="Times New Roman"/>
                <w:bCs/>
                <w:sz w:val="24"/>
                <w:szCs w:val="24"/>
                <w:lang w:eastAsia="lv-LV"/>
              </w:rPr>
              <w:t xml:space="preserve"> vakcinācijas kurss tiek pabeigts ar cita ražotāja vakcīnu vai citas tehnoloģijas vakcīnu</w:t>
            </w:r>
            <w:r>
              <w:rPr>
                <w:rFonts w:ascii="Times New Roman" w:eastAsia="Times New Roman" w:hAnsi="Times New Roman" w:cs="Times New Roman"/>
                <w:bCs/>
                <w:sz w:val="24"/>
                <w:szCs w:val="24"/>
                <w:lang w:eastAsia="lv-LV"/>
              </w:rPr>
              <w:t>,</w:t>
            </w:r>
          </w:p>
          <w:p w14:paraId="256FB7CE" w14:textId="77777777" w:rsidR="00A748DE" w:rsidRPr="00C2181D" w:rsidRDefault="00A748DE" w:rsidP="00D41B3D">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Pr="00957143">
              <w:rPr>
                <w:rFonts w:ascii="Times New Roman" w:eastAsia="Calibri" w:hAnsi="Times New Roman" w:cs="Times New Roman"/>
                <w:sz w:val="24"/>
                <w:szCs w:val="24"/>
                <w:shd w:val="clear" w:color="auto" w:fill="FFFFFF"/>
              </w:rPr>
              <w:t xml:space="preserve"> </w:t>
            </w:r>
            <w:r>
              <w:rPr>
                <w:rFonts w:ascii="Times New Roman" w:eastAsia="Times New Roman" w:hAnsi="Times New Roman" w:cs="Times New Roman"/>
                <w:bCs/>
                <w:sz w:val="24"/>
                <w:szCs w:val="24"/>
                <w:lang w:eastAsia="lv-LV"/>
              </w:rPr>
              <w:t>novērst iespējamās neskaidrības, norādot</w:t>
            </w:r>
            <w:r w:rsidRPr="00957143">
              <w:rPr>
                <w:rFonts w:ascii="Times New Roman" w:eastAsia="Times New Roman" w:hAnsi="Times New Roman" w:cs="Times New Roman"/>
                <w:bCs/>
                <w:sz w:val="24"/>
                <w:szCs w:val="24"/>
                <w:lang w:eastAsia="lv-LV"/>
              </w:rPr>
              <w:t>, ka uz bērniem līdz 12 gadu vecumam netiek attiecināt</w:t>
            </w:r>
            <w:r>
              <w:rPr>
                <w:rFonts w:ascii="Times New Roman" w:eastAsia="Times New Roman" w:hAnsi="Times New Roman" w:cs="Times New Roman"/>
                <w:bCs/>
                <w:sz w:val="24"/>
                <w:szCs w:val="24"/>
                <w:lang w:eastAsia="lv-LV"/>
              </w:rPr>
              <w:t xml:space="preserve">as </w:t>
            </w:r>
            <w:r w:rsidRPr="00957143">
              <w:rPr>
                <w:rFonts w:ascii="Times New Roman" w:eastAsia="Times New Roman" w:hAnsi="Times New Roman" w:cs="Times New Roman"/>
                <w:bCs/>
                <w:sz w:val="24"/>
                <w:szCs w:val="24"/>
                <w:lang w:eastAsia="lv-LV"/>
              </w:rPr>
              <w:t>noteikumu V</w:t>
            </w:r>
            <w:r w:rsidRPr="00957143">
              <w:rPr>
                <w:rFonts w:ascii="Times New Roman" w:eastAsia="Times New Roman" w:hAnsi="Times New Roman" w:cs="Times New Roman"/>
                <w:bCs/>
                <w:sz w:val="24"/>
                <w:szCs w:val="24"/>
                <w:vertAlign w:val="superscript"/>
                <w:lang w:eastAsia="lv-LV"/>
              </w:rPr>
              <w:t>1</w:t>
            </w:r>
            <w:r w:rsidRPr="00957143">
              <w:rPr>
                <w:rFonts w:ascii="Times New Roman" w:eastAsia="Times New Roman" w:hAnsi="Times New Roman" w:cs="Times New Roman"/>
                <w:bCs/>
                <w:sz w:val="24"/>
                <w:szCs w:val="24"/>
                <w:lang w:eastAsia="lv-LV"/>
              </w:rPr>
              <w:t xml:space="preserve"> (attiecībā uz testēšanas sertifikāta iegūšanu pakalpojumu saņemšanai un pasākumu apmeklēšanai) un V</w:t>
            </w:r>
            <w:r w:rsidRPr="00957143">
              <w:rPr>
                <w:rFonts w:ascii="Times New Roman" w:eastAsia="Times New Roman" w:hAnsi="Times New Roman" w:cs="Times New Roman"/>
                <w:bCs/>
                <w:sz w:val="24"/>
                <w:szCs w:val="24"/>
                <w:vertAlign w:val="superscript"/>
                <w:lang w:eastAsia="lv-LV"/>
              </w:rPr>
              <w:t xml:space="preserve">2 </w:t>
            </w:r>
            <w:r w:rsidRPr="00957143">
              <w:rPr>
                <w:rFonts w:ascii="Times New Roman" w:eastAsia="Times New Roman" w:hAnsi="Times New Roman" w:cs="Times New Roman"/>
                <w:bCs/>
                <w:sz w:val="24"/>
                <w:szCs w:val="24"/>
                <w:lang w:eastAsia="lv-LV"/>
              </w:rPr>
              <w:t>nodaļā (attiecībā uz testēšanu ieceļošanai Latvijā) noteiktās prasības attiecībā uz testēšanu.</w:t>
            </w:r>
          </w:p>
          <w:p w14:paraId="49EB0D9C" w14:textId="4F2ECB96" w:rsidR="00A748DE" w:rsidRPr="00592BEF" w:rsidRDefault="00A748DE" w:rsidP="00D41B3D">
            <w:pPr>
              <w:spacing w:after="0" w:line="240" w:lineRule="auto"/>
              <w:ind w:firstLine="567"/>
              <w:jc w:val="both"/>
              <w:rPr>
                <w:rFonts w:ascii="Times New Roman" w:eastAsia="Times New Roman" w:hAnsi="Times New Roman" w:cs="Times New Roman"/>
                <w:color w:val="2F5496"/>
                <w:sz w:val="24"/>
                <w:szCs w:val="24"/>
              </w:rPr>
            </w:pPr>
            <w:r w:rsidRPr="00592BEF">
              <w:rPr>
                <w:rFonts w:ascii="Times New Roman" w:eastAsia="Calibri" w:hAnsi="Times New Roman" w:cs="Times New Roman"/>
                <w:sz w:val="24"/>
                <w:szCs w:val="24"/>
                <w:shd w:val="clear" w:color="auto" w:fill="FFFFFF"/>
              </w:rPr>
              <w:t xml:space="preserve">1.Šobrīd </w:t>
            </w:r>
            <w:r w:rsidR="00280B12">
              <w:rPr>
                <w:rFonts w:ascii="Times New Roman" w:eastAsia="Calibri" w:hAnsi="Times New Roman" w:cs="Times New Roman"/>
                <w:sz w:val="24"/>
                <w:szCs w:val="24"/>
                <w:shd w:val="clear" w:color="auto" w:fill="FFFFFF"/>
              </w:rPr>
              <w:t xml:space="preserve">Covid-19 vakcinācijas rokasgrāmatā, kas ir publicēta </w:t>
            </w:r>
            <w:r w:rsidRPr="00592BEF">
              <w:rPr>
                <w:rFonts w:ascii="Times New Roman" w:eastAsia="Calibri" w:hAnsi="Times New Roman" w:cs="Times New Roman"/>
                <w:sz w:val="24"/>
                <w:szCs w:val="24"/>
                <w:shd w:val="clear" w:color="auto" w:fill="FFFFFF"/>
              </w:rPr>
              <w:t>Zāļu valsts aģentūras mājaslapā</w:t>
            </w:r>
            <w:r w:rsidR="00280B12">
              <w:rPr>
                <w:rFonts w:ascii="Times New Roman" w:eastAsia="Calibri" w:hAnsi="Times New Roman" w:cs="Times New Roman"/>
                <w:sz w:val="24"/>
                <w:szCs w:val="24"/>
                <w:shd w:val="clear" w:color="auto" w:fill="FFFFFF"/>
              </w:rPr>
              <w:t>,</w:t>
            </w:r>
            <w:r w:rsidRPr="00592BEF">
              <w:rPr>
                <w:rFonts w:ascii="Times New Roman" w:eastAsia="Calibri" w:hAnsi="Times New Roman" w:cs="Times New Roman"/>
                <w:sz w:val="24"/>
                <w:szCs w:val="24"/>
                <w:shd w:val="clear" w:color="auto" w:fill="FFFFFF"/>
              </w:rPr>
              <w:t xml:space="preserve"> ir paredzētas situācijas, kad personai, kurai </w:t>
            </w:r>
            <w:r w:rsidRPr="00592BEF">
              <w:rPr>
                <w:rFonts w:ascii="Times New Roman" w:eastAsia="Times New Roman" w:hAnsi="Times New Roman" w:cs="Times New Roman"/>
                <w:sz w:val="24"/>
                <w:szCs w:val="24"/>
              </w:rPr>
              <w:t>uzsākta vakcinācija ar viena ražotāja vakcīnu, vakcinācijas kurss tiek pabeigts ar cita ražotāja vakcīnu vai citas tehnoloģijas vakcīnu. Šie ir izņēmuma gadījumi, kad</w:t>
            </w:r>
            <w:r w:rsidR="00280B12">
              <w:rPr>
                <w:rFonts w:ascii="Times New Roman" w:eastAsia="Times New Roman" w:hAnsi="Times New Roman" w:cs="Times New Roman"/>
                <w:sz w:val="24"/>
                <w:szCs w:val="24"/>
              </w:rPr>
              <w:t>:</w:t>
            </w:r>
          </w:p>
          <w:p w14:paraId="59760737" w14:textId="77777777" w:rsidR="00A748DE" w:rsidRPr="00592BEF" w:rsidRDefault="00A748DE" w:rsidP="00D41B3D">
            <w:pPr>
              <w:spacing w:after="0" w:line="240" w:lineRule="auto"/>
              <w:jc w:val="both"/>
              <w:rPr>
                <w:rFonts w:ascii="Times New Roman" w:eastAsia="Times New Roman" w:hAnsi="Times New Roman" w:cs="Times New Roman"/>
                <w:sz w:val="24"/>
                <w:szCs w:val="24"/>
                <w:u w:color="000000"/>
                <w:lang w:eastAsia="en-GB"/>
              </w:rPr>
            </w:pPr>
            <w:r w:rsidRPr="00592BEF">
              <w:rPr>
                <w:rFonts w:ascii="Times New Roman" w:eastAsia="Times New Roman" w:hAnsi="Times New Roman" w:cs="Times New Roman"/>
                <w:sz w:val="24"/>
                <w:szCs w:val="24"/>
                <w:u w:color="000000"/>
                <w:lang w:eastAsia="en-GB"/>
              </w:rPr>
              <w:t>-pēc pirmās devas saņemšanas personai attīstījusies anafilakse vai nopietna alerģiska reakcija, tad otrās devas nodrošināšanai jāizmanto citas tehnoloģijas vakcīnas pret Covid-19. Piemēram, anafilakses pēc vīrusa vektora vakcīnas gadījumā otrai devai izmanto mRNS vakcīnas, un otrādi.</w:t>
            </w:r>
          </w:p>
          <w:p w14:paraId="1FFFB840" w14:textId="77777777" w:rsidR="00A748DE" w:rsidRPr="00592BEF" w:rsidRDefault="00A748DE" w:rsidP="00D41B3D">
            <w:pPr>
              <w:spacing w:after="0" w:line="240" w:lineRule="auto"/>
              <w:jc w:val="both"/>
              <w:rPr>
                <w:rFonts w:ascii="Times New Roman" w:eastAsia="Times New Roman" w:hAnsi="Times New Roman" w:cs="Times New Roman"/>
                <w:sz w:val="24"/>
                <w:szCs w:val="24"/>
                <w:u w:color="000000"/>
                <w:lang w:eastAsia="en-GB"/>
              </w:rPr>
            </w:pPr>
            <w:r w:rsidRPr="00592BEF">
              <w:rPr>
                <w:rFonts w:ascii="Times New Roman" w:eastAsia="Times New Roman" w:hAnsi="Times New Roman" w:cs="Times New Roman"/>
                <w:sz w:val="24"/>
                <w:szCs w:val="24"/>
                <w:u w:color="000000"/>
                <w:lang w:eastAsia="en-GB"/>
              </w:rPr>
              <w:t>-ja pēc pirmās vakcīnas devas saņemšanas ir iestājusies grūtniecība un pirmā vakcīnas deva veikta ar adenovīrusa vektora tehnoloģijas vakcīnu (</w:t>
            </w:r>
            <w:r w:rsidRPr="00592BEF">
              <w:rPr>
                <w:rFonts w:ascii="Times New Roman" w:eastAsia="Times New Roman" w:hAnsi="Times New Roman" w:cs="Times New Roman"/>
                <w:i/>
                <w:sz w:val="24"/>
                <w:szCs w:val="24"/>
                <w:u w:color="000000"/>
                <w:lang w:eastAsia="en-GB"/>
              </w:rPr>
              <w:t xml:space="preserve">Vaxzevria </w:t>
            </w:r>
            <w:r w:rsidRPr="00592BEF">
              <w:rPr>
                <w:rFonts w:ascii="Times New Roman" w:eastAsia="Times New Roman" w:hAnsi="Times New Roman" w:cs="Times New Roman"/>
                <w:sz w:val="24"/>
                <w:szCs w:val="24"/>
                <w:u w:color="000000"/>
                <w:lang w:eastAsia="en-GB"/>
              </w:rPr>
              <w:t xml:space="preserve">(Astra Zeneca)), tad otrai devai rekomendē izmantot mRNS vakcīnu </w:t>
            </w:r>
            <w:r w:rsidRPr="00592BEF">
              <w:rPr>
                <w:rFonts w:ascii="Times New Roman" w:eastAsia="Times New Roman" w:hAnsi="Times New Roman" w:cs="Times New Roman"/>
                <w:i/>
                <w:sz w:val="24"/>
                <w:szCs w:val="24"/>
                <w:u w:color="000000"/>
                <w:lang w:eastAsia="en-GB"/>
              </w:rPr>
              <w:t xml:space="preserve">(Comirnaty </w:t>
            </w:r>
            <w:r w:rsidRPr="00592BEF">
              <w:rPr>
                <w:rFonts w:ascii="Times New Roman" w:eastAsia="Times New Roman" w:hAnsi="Times New Roman" w:cs="Times New Roman"/>
                <w:sz w:val="24"/>
                <w:szCs w:val="24"/>
                <w:u w:color="000000"/>
                <w:lang w:eastAsia="en-GB"/>
              </w:rPr>
              <w:t xml:space="preserve">vai </w:t>
            </w:r>
            <w:r w:rsidRPr="00592BEF">
              <w:rPr>
                <w:rFonts w:ascii="Times New Roman" w:eastAsia="Times New Roman" w:hAnsi="Times New Roman" w:cs="Times New Roman"/>
                <w:i/>
                <w:sz w:val="24"/>
                <w:szCs w:val="24"/>
                <w:u w:color="000000"/>
                <w:lang w:eastAsia="en-GB"/>
              </w:rPr>
              <w:t>Moderna</w:t>
            </w:r>
            <w:r w:rsidRPr="00592BEF">
              <w:rPr>
                <w:rFonts w:ascii="Times New Roman" w:eastAsia="Times New Roman" w:hAnsi="Times New Roman" w:cs="Times New Roman"/>
                <w:sz w:val="24"/>
                <w:szCs w:val="24"/>
                <w:u w:color="000000"/>
                <w:lang w:eastAsia="en-GB"/>
              </w:rPr>
              <w:t xml:space="preserve">) ar intervālu 12 nedēļas pēc pirmās devas saņemšanas (pamatojumu skatīt Vakcinācijas rokasgrāmatā, sadaļā III pie grūtnieču vakcinācijas, </w:t>
            </w:r>
            <w:hyperlink r:id="rId9" w:history="1">
              <w:r w:rsidRPr="00592BEF">
                <w:rPr>
                  <w:rStyle w:val="Hyperlink"/>
                  <w:rFonts w:ascii="Times New Roman" w:eastAsia="Times New Roman" w:hAnsi="Times New Roman" w:cs="Times New Roman"/>
                  <w:sz w:val="24"/>
                  <w:szCs w:val="24"/>
                  <w:lang w:eastAsia="en-GB"/>
                </w:rPr>
                <w:t>https://www.zva.gov.lv/lv/veselibas-aprupes-specialistiem-un-iestadem/zales/vakcinas-pret-covid-19</w:t>
              </w:r>
            </w:hyperlink>
            <w:r w:rsidRPr="00592BEF">
              <w:rPr>
                <w:rFonts w:ascii="Times New Roman" w:eastAsia="Times New Roman" w:hAnsi="Times New Roman" w:cs="Times New Roman"/>
                <w:sz w:val="24"/>
                <w:szCs w:val="24"/>
                <w:u w:color="000000"/>
                <w:lang w:eastAsia="en-GB"/>
              </w:rPr>
              <w:t>).</w:t>
            </w:r>
          </w:p>
          <w:p w14:paraId="304C3EFA" w14:textId="77777777" w:rsidR="00A748DE" w:rsidRPr="00592BEF" w:rsidRDefault="00A748DE" w:rsidP="00D41B3D">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592BEF">
              <w:rPr>
                <w:rFonts w:ascii="Times New Roman" w:eastAsia="Times New Roman" w:hAnsi="Times New Roman" w:cs="Times New Roman"/>
                <w:sz w:val="24"/>
                <w:szCs w:val="24"/>
              </w:rPr>
              <w:t xml:space="preserve">Papildus minētajām situācijām arī tiek ņemts vērā, ka ja personas apzinātas rīcības gadījumā, bez jebkāda medicīniska vai procedūras izmaiņu pamatojuma, kā otrā deva saņemta citas tehnoloģijas vakcīna pret Covid-19, </w:t>
            </w:r>
            <w:r w:rsidRPr="00592BEF">
              <w:rPr>
                <w:rFonts w:ascii="Times New Roman" w:eastAsia="Times New Roman" w:hAnsi="Times New Roman" w:cs="Times New Roman"/>
                <w:sz w:val="24"/>
                <w:szCs w:val="24"/>
              </w:rPr>
              <w:lastRenderedPageBreak/>
              <w:t>tad trešā vakcīnas deva nav jāievada, lai arī kāda būtu pēdējā pret Covid-19 saņemtās vakcīnas ražošanas tehnoloģija, bet vakcinācija tiek uzskatīta pabeigta ar jauktām vakcīnu devām.</w:t>
            </w:r>
            <w:r w:rsidRPr="00592BEF">
              <w:rPr>
                <w:rFonts w:ascii="Times New Roman" w:hAnsi="Times New Roman" w:cs="Times New Roman"/>
                <w:color w:val="000000"/>
                <w:sz w:val="24"/>
                <w:szCs w:val="24"/>
              </w:rPr>
              <w:t xml:space="preserve"> </w:t>
            </w:r>
          </w:p>
          <w:p w14:paraId="4858EC0E" w14:textId="0A5CA91D" w:rsidR="00D2383A" w:rsidRPr="00E551E9" w:rsidRDefault="00A748DE" w:rsidP="00D41B3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D2383A">
              <w:rPr>
                <w:rFonts w:ascii="Times New Roman" w:eastAsia="Times New Roman" w:hAnsi="Times New Roman" w:cs="Times New Roman"/>
                <w:color w:val="000000"/>
                <w:sz w:val="24"/>
                <w:szCs w:val="24"/>
                <w:lang w:eastAsia="lv-LV"/>
              </w:rPr>
              <w:t xml:space="preserve">Pēc Imunizācijas valsts padomes rekomendācijas atšķirīgu tehnoloģiju jeb tā saucamo heterologo vakcināciju primārajai imunizācijai pret Covid-19 var izmantot arī citos gadījumos. Lēmumu par to pieņem ārsts </w:t>
            </w:r>
            <w:r w:rsidR="00280B12">
              <w:rPr>
                <w:rFonts w:ascii="Times New Roman" w:eastAsia="Times New Roman" w:hAnsi="Times New Roman" w:cs="Times New Roman"/>
                <w:color w:val="000000"/>
                <w:sz w:val="24"/>
                <w:szCs w:val="24"/>
                <w:lang w:eastAsia="lv-LV"/>
              </w:rPr>
              <w:t xml:space="preserve">vai ārsta palīgs </w:t>
            </w:r>
            <w:r w:rsidR="00D2383A">
              <w:rPr>
                <w:rFonts w:ascii="Times New Roman" w:eastAsia="Times New Roman" w:hAnsi="Times New Roman" w:cs="Times New Roman"/>
                <w:color w:val="000000"/>
                <w:sz w:val="24"/>
                <w:szCs w:val="24"/>
                <w:lang w:eastAsia="lv-LV"/>
              </w:rPr>
              <w:t>sadarbībā ar pacientu. Tādā gadījumā, ja saņemta 1.</w:t>
            </w:r>
            <w:r w:rsidR="00D2383A" w:rsidRPr="00D2383A">
              <w:rPr>
                <w:rFonts w:ascii="Times New Roman" w:eastAsia="Times New Roman" w:hAnsi="Times New Roman" w:cs="Times New Roman"/>
                <w:i/>
                <w:sz w:val="24"/>
                <w:szCs w:val="24"/>
                <w:u w:color="000000"/>
                <w:lang w:eastAsia="en-GB"/>
              </w:rPr>
              <w:t xml:space="preserve"> </w:t>
            </w:r>
            <w:r w:rsidR="00D2383A" w:rsidRPr="00D2383A">
              <w:rPr>
                <w:rFonts w:ascii="Times New Roman" w:eastAsia="Times New Roman" w:hAnsi="Times New Roman" w:cs="Times New Roman"/>
                <w:i/>
                <w:color w:val="000000"/>
                <w:sz w:val="24"/>
                <w:szCs w:val="24"/>
                <w:lang w:eastAsia="lv-LV"/>
              </w:rPr>
              <w:t>Vaxzevri</w:t>
            </w:r>
            <w:r w:rsidR="00D2383A">
              <w:rPr>
                <w:rFonts w:ascii="Times New Roman" w:eastAsia="Times New Roman" w:hAnsi="Times New Roman" w:cs="Times New Roman"/>
                <w:i/>
                <w:color w:val="000000"/>
                <w:sz w:val="24"/>
                <w:szCs w:val="24"/>
                <w:lang w:eastAsia="lv-LV"/>
              </w:rPr>
              <w:t xml:space="preserve">a </w:t>
            </w:r>
            <w:r w:rsidR="00D2383A" w:rsidRPr="00D2383A">
              <w:rPr>
                <w:rFonts w:ascii="Times New Roman" w:eastAsia="Times New Roman" w:hAnsi="Times New Roman" w:cs="Times New Roman"/>
                <w:iCs/>
                <w:color w:val="000000"/>
                <w:sz w:val="24"/>
                <w:szCs w:val="24"/>
                <w:lang w:eastAsia="lv-LV"/>
              </w:rPr>
              <w:t>vakcīnas deva</w:t>
            </w:r>
            <w:r w:rsidR="00D2383A">
              <w:rPr>
                <w:rFonts w:ascii="Times New Roman" w:eastAsia="Times New Roman" w:hAnsi="Times New Roman" w:cs="Times New Roman"/>
                <w:iCs/>
                <w:color w:val="000000"/>
                <w:sz w:val="24"/>
                <w:szCs w:val="24"/>
                <w:lang w:eastAsia="lv-LV"/>
              </w:rPr>
              <w:t>, tad 2.deva ar mRNS tipa vakcīnu būtu ievadāma 4-12 nedēļas pēc pirmās devas saņemšanas. Ja saņemta pirmā mRNS tehnoloģijas vakcīnas deva, tad 2.deva ar vīrusa vektora vakcīnu jāsaņem 28 dienas pēc pirmās vakcīnas devas saņemšanas. Primārajai vakcinācijai nav nepieciešama 3.devas ievadīšana.</w:t>
            </w:r>
          </w:p>
          <w:p w14:paraId="67B713B1" w14:textId="77777777" w:rsidR="00A748DE" w:rsidRPr="00592BEF" w:rsidRDefault="00A748DE" w:rsidP="00D41B3D">
            <w:pPr>
              <w:spacing w:after="0" w:line="240" w:lineRule="auto"/>
              <w:ind w:firstLine="567"/>
              <w:jc w:val="both"/>
              <w:rPr>
                <w:rFonts w:ascii="Times New Roman" w:eastAsia="Calibri" w:hAnsi="Times New Roman" w:cs="Times New Roman"/>
                <w:sz w:val="24"/>
                <w:szCs w:val="24"/>
                <w:shd w:val="clear" w:color="auto" w:fill="FFFFFF"/>
              </w:rPr>
            </w:pPr>
            <w:r w:rsidRPr="00592BEF">
              <w:rPr>
                <w:rFonts w:ascii="Times New Roman" w:eastAsia="Times New Roman" w:hAnsi="Times New Roman" w:cs="Times New Roman"/>
                <w:sz w:val="24"/>
                <w:szCs w:val="24"/>
              </w:rPr>
              <w:t xml:space="preserve">Ņemot vērā minēto, projektā paredzēta iespēja par pabeigtu vakcināciju uzskatīt vakcinācijas shēmu ar jauktām vakcīnu devām, kas attiektos gan uz ieceļošanu Latvijā, gan arī vakcinācijas sertifikāta izmantošanu valsts iekšienē. Tādēļ noteikumu projektā tiek precizēta </w:t>
            </w:r>
            <w:r w:rsidRPr="00592BEF">
              <w:rPr>
                <w:rFonts w:ascii="Times New Roman" w:eastAsia="Calibri" w:hAnsi="Times New Roman" w:cs="Times New Roman"/>
                <w:sz w:val="24"/>
                <w:szCs w:val="24"/>
                <w:shd w:val="clear" w:color="auto" w:fill="FFFFFF"/>
              </w:rPr>
              <w:t>38.</w:t>
            </w:r>
            <w:r w:rsidRPr="00592BEF">
              <w:rPr>
                <w:rFonts w:ascii="Times New Roman" w:eastAsia="Calibri" w:hAnsi="Times New Roman" w:cs="Times New Roman"/>
                <w:sz w:val="24"/>
                <w:szCs w:val="24"/>
                <w:shd w:val="clear" w:color="auto" w:fill="FFFFFF"/>
                <w:vertAlign w:val="superscript"/>
              </w:rPr>
              <w:t>27</w:t>
            </w:r>
            <w:r w:rsidRPr="00592BEF">
              <w:rPr>
                <w:rFonts w:ascii="Times New Roman" w:eastAsia="Calibri" w:hAnsi="Times New Roman" w:cs="Times New Roman"/>
                <w:sz w:val="24"/>
                <w:szCs w:val="24"/>
                <w:shd w:val="clear" w:color="auto" w:fill="FFFFFF"/>
              </w:rPr>
              <w:t>. punkta ievaddaļa un 38.</w:t>
            </w:r>
            <w:r w:rsidRPr="00592BEF">
              <w:rPr>
                <w:rFonts w:ascii="Times New Roman" w:eastAsia="Calibri" w:hAnsi="Times New Roman" w:cs="Times New Roman"/>
                <w:sz w:val="24"/>
                <w:szCs w:val="24"/>
                <w:shd w:val="clear" w:color="auto" w:fill="FFFFFF"/>
                <w:vertAlign w:val="superscript"/>
              </w:rPr>
              <w:t>39</w:t>
            </w:r>
            <w:r w:rsidRPr="00592BEF">
              <w:rPr>
                <w:rFonts w:ascii="Times New Roman" w:eastAsia="Calibri" w:hAnsi="Times New Roman" w:cs="Times New Roman"/>
                <w:sz w:val="24"/>
                <w:szCs w:val="24"/>
                <w:shd w:val="clear" w:color="auto" w:fill="FFFFFF"/>
              </w:rPr>
              <w:t>1.apakšpunkts, paredzot, ka personas ar pabeigtu vakcināciju ir arī personas, kas saņēmušas jauktu vakcinācijas kursu atbilstoši Zāļu valsts aģentūras mājaslapā publicētajai Covid-19 vakcinācijas rokasgrāmatai.</w:t>
            </w:r>
          </w:p>
          <w:p w14:paraId="757B55D3" w14:textId="77777777" w:rsidR="00A748DE" w:rsidRPr="00592BEF" w:rsidRDefault="00A748DE" w:rsidP="00D41B3D">
            <w:pPr>
              <w:spacing w:after="0" w:line="240" w:lineRule="auto"/>
              <w:ind w:firstLine="567"/>
              <w:jc w:val="both"/>
              <w:rPr>
                <w:rFonts w:ascii="Times New Roman" w:eastAsia="Calibri" w:hAnsi="Times New Roman" w:cs="Times New Roman"/>
                <w:sz w:val="24"/>
                <w:szCs w:val="24"/>
              </w:rPr>
            </w:pPr>
            <w:r w:rsidRPr="00592BEF">
              <w:rPr>
                <w:rFonts w:ascii="Times New Roman" w:eastAsia="Calibri" w:hAnsi="Times New Roman" w:cs="Times New Roman"/>
                <w:sz w:val="24"/>
                <w:szCs w:val="24"/>
                <w:shd w:val="clear" w:color="auto" w:fill="FFFFFF"/>
              </w:rPr>
              <w:t>2.Šobrīd noteikumu 104.punkts nosaka to, ka noteikumu prasības attiecībā uz testēšanu neattiecas uz bērniem līdz 12 gadu vecumam. Tas ir noteikts ar mērķi, lai paredzētu, ka bērni līdz 12 gadu vecumam nav jātestē, lai varētu kopā ar vecākiem ceļot, kas ir atbilstoši EK noteiktajai ceļošanas politikai ES, un varētu kopā ar vecākiem piedalīties pasākumos, un saņemt pakalpojumus vidēji drošas darbības (dzeltenā) režīma ietvaros. Skrīninga tests, apmeklējot iestādes ar augstu inficēšanās risku ar Covid-19 atbilstoši Slimību profilakses un kontroles centra algoritmam (skolas, interešu izglītību, bērnu nometnes utml.), bērniem ir jāveic neatkarīgi no vecuma. Lai novērstu 104.punkta nosacījumu nepareizu interpretāciju un pārpratumus, kas ar to ir saistīti, ir jāprecizē noteikumu 104.punkts, nosakot uz kādiem gadījumiem šis izņēmums attiecas. Tādēļ ir sagatavots grozījums 104.punktā</w:t>
            </w:r>
            <w:r>
              <w:rPr>
                <w:rFonts w:ascii="Times New Roman" w:eastAsia="Calibri" w:hAnsi="Times New Roman" w:cs="Times New Roman"/>
                <w:sz w:val="24"/>
                <w:szCs w:val="24"/>
                <w:shd w:val="clear" w:color="auto" w:fill="FFFFFF"/>
              </w:rPr>
              <w:t>,</w:t>
            </w:r>
            <w:r w:rsidRPr="00592BEF">
              <w:rPr>
                <w:rFonts w:ascii="Times New Roman" w:eastAsia="Calibri" w:hAnsi="Times New Roman" w:cs="Times New Roman"/>
                <w:sz w:val="24"/>
                <w:szCs w:val="24"/>
                <w:shd w:val="clear" w:color="auto" w:fill="FFFFFF"/>
              </w:rPr>
              <w:t xml:space="preserve"> pasakot, ka uz bērniem līdz 12 gadu vecumam netiek attiecināti noteikumu V</w:t>
            </w:r>
            <w:r w:rsidRPr="00592BEF">
              <w:rPr>
                <w:rFonts w:ascii="Times New Roman" w:eastAsia="Calibri" w:hAnsi="Times New Roman" w:cs="Times New Roman"/>
                <w:sz w:val="24"/>
                <w:szCs w:val="24"/>
                <w:shd w:val="clear" w:color="auto" w:fill="FFFFFF"/>
                <w:vertAlign w:val="superscript"/>
              </w:rPr>
              <w:t>1</w:t>
            </w:r>
            <w:r w:rsidRPr="00592BEF">
              <w:rPr>
                <w:rFonts w:ascii="Times New Roman" w:eastAsia="Calibri" w:hAnsi="Times New Roman" w:cs="Times New Roman"/>
                <w:sz w:val="24"/>
                <w:szCs w:val="24"/>
                <w:shd w:val="clear" w:color="auto" w:fill="FFFFFF"/>
              </w:rPr>
              <w:t xml:space="preserve"> (attiecībā uz testēšanas sertifikāta iegūšanu pakalpojumu saņemšanai un pasākumu apmeklēšanai) un V</w:t>
            </w:r>
            <w:r w:rsidRPr="00592BEF">
              <w:rPr>
                <w:rFonts w:ascii="Times New Roman" w:eastAsia="Calibri" w:hAnsi="Times New Roman" w:cs="Times New Roman"/>
                <w:sz w:val="24"/>
                <w:szCs w:val="24"/>
                <w:shd w:val="clear" w:color="auto" w:fill="FFFFFF"/>
                <w:vertAlign w:val="superscript"/>
              </w:rPr>
              <w:t xml:space="preserve">2 </w:t>
            </w:r>
            <w:r w:rsidRPr="00592BEF">
              <w:rPr>
                <w:rFonts w:ascii="Times New Roman" w:eastAsia="Calibri" w:hAnsi="Times New Roman" w:cs="Times New Roman"/>
                <w:sz w:val="24"/>
                <w:szCs w:val="24"/>
                <w:shd w:val="clear" w:color="auto" w:fill="FFFFFF"/>
              </w:rPr>
              <w:t xml:space="preserve">nodaļā (attiecībā uz testēšanu ieceļošanai Latvijā) noteiktās prasības attiecībā uz testēšanu. </w:t>
            </w:r>
          </w:p>
          <w:p w14:paraId="17986868" w14:textId="77777777" w:rsidR="00A748DE" w:rsidRPr="00592BEF" w:rsidRDefault="00A748DE" w:rsidP="00D41B3D">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p>
        </w:tc>
      </w:tr>
      <w:tr w:rsidR="00A748DE" w:rsidRPr="00BD50E2" w14:paraId="3D8307C6" w14:textId="77777777" w:rsidTr="00D41B3D">
        <w:tc>
          <w:tcPr>
            <w:tcW w:w="211" w:type="pct"/>
            <w:tcBorders>
              <w:top w:val="single" w:sz="4" w:space="0" w:color="auto"/>
              <w:left w:val="single" w:sz="4" w:space="0" w:color="auto"/>
              <w:bottom w:val="single" w:sz="4" w:space="0" w:color="auto"/>
              <w:right w:val="single" w:sz="4" w:space="0" w:color="auto"/>
            </w:tcBorders>
            <w:hideMark/>
          </w:tcPr>
          <w:p w14:paraId="4A48E6C9" w14:textId="77777777" w:rsidR="00A748DE" w:rsidRPr="00BD50E2" w:rsidRDefault="00A748DE" w:rsidP="00D41B3D">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32" w:type="pct"/>
            <w:tcBorders>
              <w:top w:val="single" w:sz="4" w:space="0" w:color="auto"/>
              <w:left w:val="single" w:sz="4" w:space="0" w:color="auto"/>
              <w:bottom w:val="single" w:sz="4" w:space="0" w:color="auto"/>
              <w:right w:val="single" w:sz="4" w:space="0" w:color="auto"/>
            </w:tcBorders>
            <w:hideMark/>
          </w:tcPr>
          <w:p w14:paraId="69CA9731" w14:textId="77777777" w:rsidR="00A748DE" w:rsidRPr="00BD50E2" w:rsidRDefault="00A748DE" w:rsidP="00D41B3D">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957" w:type="pct"/>
            <w:tcBorders>
              <w:top w:val="single" w:sz="4" w:space="0" w:color="auto"/>
              <w:left w:val="single" w:sz="4" w:space="0" w:color="auto"/>
              <w:bottom w:val="single" w:sz="4" w:space="0" w:color="auto"/>
              <w:right w:val="single" w:sz="4" w:space="0" w:color="auto"/>
            </w:tcBorders>
            <w:hideMark/>
          </w:tcPr>
          <w:p w14:paraId="1C171B67"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 Slimību profilakses un kontroles centrs</w:t>
            </w:r>
            <w:r>
              <w:rPr>
                <w:rFonts w:ascii="Times New Roman" w:eastAsia="Times New Roman" w:hAnsi="Times New Roman" w:cs="Times New Roman"/>
                <w:bCs/>
                <w:sz w:val="24"/>
                <w:szCs w:val="24"/>
              </w:rPr>
              <w:t>, Zāļu valsts aģentūra</w:t>
            </w:r>
          </w:p>
        </w:tc>
      </w:tr>
      <w:tr w:rsidR="00A748DE" w:rsidRPr="00BD50E2" w14:paraId="3E249567" w14:textId="77777777" w:rsidTr="00D41B3D">
        <w:tc>
          <w:tcPr>
            <w:tcW w:w="211" w:type="pct"/>
            <w:tcBorders>
              <w:top w:val="single" w:sz="4" w:space="0" w:color="auto"/>
              <w:left w:val="single" w:sz="4" w:space="0" w:color="auto"/>
              <w:bottom w:val="single" w:sz="4" w:space="0" w:color="auto"/>
              <w:right w:val="single" w:sz="4" w:space="0" w:color="auto"/>
            </w:tcBorders>
            <w:hideMark/>
          </w:tcPr>
          <w:p w14:paraId="66CE0A19" w14:textId="77777777" w:rsidR="00A748DE" w:rsidRPr="00BD50E2" w:rsidRDefault="00A748DE" w:rsidP="00D41B3D">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32" w:type="pct"/>
            <w:tcBorders>
              <w:top w:val="single" w:sz="4" w:space="0" w:color="auto"/>
              <w:left w:val="single" w:sz="4" w:space="0" w:color="auto"/>
              <w:bottom w:val="single" w:sz="4" w:space="0" w:color="auto"/>
              <w:right w:val="single" w:sz="4" w:space="0" w:color="auto"/>
            </w:tcBorders>
            <w:hideMark/>
          </w:tcPr>
          <w:p w14:paraId="096652C0" w14:textId="77777777" w:rsidR="00A748DE" w:rsidRPr="00BD50E2" w:rsidRDefault="00A748DE" w:rsidP="00D41B3D">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957" w:type="pct"/>
            <w:tcBorders>
              <w:top w:val="single" w:sz="4" w:space="0" w:color="auto"/>
              <w:left w:val="single" w:sz="4" w:space="0" w:color="auto"/>
              <w:bottom w:val="single" w:sz="4" w:space="0" w:color="auto"/>
              <w:right w:val="single" w:sz="4" w:space="0" w:color="auto"/>
            </w:tcBorders>
            <w:hideMark/>
          </w:tcPr>
          <w:p w14:paraId="35815848"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1C8462B1" w14:textId="77777777" w:rsidR="00A748DE" w:rsidRPr="00A17EEC" w:rsidRDefault="00A748DE" w:rsidP="00A748DE">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A748DE" w:rsidRPr="00BD50E2" w14:paraId="0BB4EDBE" w14:textId="77777777" w:rsidTr="00D41B3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DCAE4B6" w14:textId="77777777" w:rsidR="00A748DE" w:rsidRPr="00BD50E2" w:rsidRDefault="00A748DE" w:rsidP="00D41B3D">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A748DE" w:rsidRPr="00BD50E2" w14:paraId="48313917" w14:textId="77777777" w:rsidTr="00D41B3D">
        <w:tc>
          <w:tcPr>
            <w:tcW w:w="297" w:type="pct"/>
            <w:tcBorders>
              <w:top w:val="single" w:sz="4" w:space="0" w:color="auto"/>
              <w:left w:val="single" w:sz="4" w:space="0" w:color="auto"/>
              <w:bottom w:val="single" w:sz="4" w:space="0" w:color="auto"/>
              <w:right w:val="single" w:sz="4" w:space="0" w:color="auto"/>
            </w:tcBorders>
            <w:hideMark/>
          </w:tcPr>
          <w:p w14:paraId="37113A69"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12" w:type="pct"/>
            <w:tcBorders>
              <w:top w:val="single" w:sz="4" w:space="0" w:color="auto"/>
              <w:left w:val="single" w:sz="4" w:space="0" w:color="auto"/>
              <w:bottom w:val="single" w:sz="4" w:space="0" w:color="auto"/>
              <w:right w:val="single" w:sz="4" w:space="0" w:color="auto"/>
            </w:tcBorders>
            <w:hideMark/>
          </w:tcPr>
          <w:p w14:paraId="2AFAA450"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91" w:type="pct"/>
            <w:tcBorders>
              <w:top w:val="single" w:sz="4" w:space="0" w:color="auto"/>
              <w:left w:val="single" w:sz="4" w:space="0" w:color="auto"/>
              <w:bottom w:val="single" w:sz="4" w:space="0" w:color="auto"/>
              <w:right w:val="single" w:sz="4" w:space="0" w:color="auto"/>
            </w:tcBorders>
          </w:tcPr>
          <w:p w14:paraId="6C7E668E" w14:textId="77777777" w:rsidR="00A748DE" w:rsidRPr="00BD50E2" w:rsidRDefault="00A748DE" w:rsidP="00D41B3D">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Vakcinācijā iesaistītās ārstniecības personas, personas, kurām</w:t>
            </w:r>
            <w:r w:rsidRPr="00957143">
              <w:rPr>
                <w:rFonts w:ascii="Times New Roman" w:eastAsia="Times New Roman" w:hAnsi="Times New Roman" w:cs="Times New Roman"/>
                <w:bCs/>
                <w:sz w:val="24"/>
                <w:szCs w:val="24"/>
                <w:lang w:eastAsia="lv-LV"/>
              </w:rPr>
              <w:t xml:space="preserve"> </w:t>
            </w:r>
            <w:r w:rsidRPr="00957143">
              <w:rPr>
                <w:rFonts w:ascii="Times New Roman" w:eastAsia="Times New Roman" w:hAnsi="Times New Roman" w:cs="Times New Roman"/>
                <w:bCs/>
                <w:sz w:val="24"/>
                <w:szCs w:val="24"/>
              </w:rPr>
              <w:t>uzsākta vakcinācija ar viena ražotāja vakcīnu</w:t>
            </w:r>
            <w:r w:rsidRPr="0043148E">
              <w:rPr>
                <w:rFonts w:ascii="Times New Roman" w:eastAsia="Times New Roman" w:hAnsi="Times New Roman" w:cs="Times New Roman"/>
                <w:bCs/>
                <w:sz w:val="24"/>
                <w:szCs w:val="24"/>
              </w:rPr>
              <w:t>, bet</w:t>
            </w:r>
            <w:r w:rsidRPr="00957143">
              <w:rPr>
                <w:rFonts w:ascii="Times New Roman" w:eastAsia="Times New Roman" w:hAnsi="Times New Roman" w:cs="Times New Roman"/>
                <w:bCs/>
                <w:sz w:val="24"/>
                <w:szCs w:val="24"/>
              </w:rPr>
              <w:t xml:space="preserve"> vakcinācijas kurss tiek pabeigts ar cita ražotāja vakcīnu vai citas tehnoloģijas vakcīnu</w:t>
            </w:r>
            <w:r w:rsidRPr="0043148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bērni līdz 12 gadu vecumam.</w:t>
            </w:r>
          </w:p>
        </w:tc>
      </w:tr>
      <w:tr w:rsidR="00A748DE" w:rsidRPr="00BD50E2" w14:paraId="0DBD684A" w14:textId="77777777" w:rsidTr="00D41B3D">
        <w:tc>
          <w:tcPr>
            <w:tcW w:w="297" w:type="pct"/>
            <w:tcBorders>
              <w:top w:val="single" w:sz="4" w:space="0" w:color="auto"/>
              <w:left w:val="single" w:sz="4" w:space="0" w:color="auto"/>
              <w:bottom w:val="single" w:sz="4" w:space="0" w:color="auto"/>
              <w:right w:val="single" w:sz="4" w:space="0" w:color="auto"/>
            </w:tcBorders>
            <w:hideMark/>
          </w:tcPr>
          <w:p w14:paraId="23680997"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2.</w:t>
            </w:r>
          </w:p>
        </w:tc>
        <w:tc>
          <w:tcPr>
            <w:tcW w:w="1412" w:type="pct"/>
            <w:tcBorders>
              <w:top w:val="single" w:sz="4" w:space="0" w:color="auto"/>
              <w:left w:val="single" w:sz="4" w:space="0" w:color="auto"/>
              <w:bottom w:val="single" w:sz="4" w:space="0" w:color="auto"/>
              <w:right w:val="single" w:sz="4" w:space="0" w:color="auto"/>
            </w:tcBorders>
            <w:hideMark/>
          </w:tcPr>
          <w:p w14:paraId="69449E59"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91" w:type="pct"/>
            <w:tcBorders>
              <w:top w:val="single" w:sz="4" w:space="0" w:color="auto"/>
              <w:left w:val="single" w:sz="4" w:space="0" w:color="auto"/>
              <w:bottom w:val="single" w:sz="4" w:space="0" w:color="auto"/>
              <w:right w:val="single" w:sz="4" w:space="0" w:color="auto"/>
            </w:tcBorders>
            <w:hideMark/>
          </w:tcPr>
          <w:p w14:paraId="087BBAE4"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r w:rsidR="00A748DE" w:rsidRPr="00BD50E2" w14:paraId="4BB25BE5" w14:textId="77777777" w:rsidTr="00D41B3D">
        <w:tc>
          <w:tcPr>
            <w:tcW w:w="297" w:type="pct"/>
            <w:tcBorders>
              <w:top w:val="single" w:sz="4" w:space="0" w:color="auto"/>
              <w:left w:val="single" w:sz="4" w:space="0" w:color="auto"/>
              <w:bottom w:val="single" w:sz="4" w:space="0" w:color="auto"/>
              <w:right w:val="single" w:sz="4" w:space="0" w:color="auto"/>
            </w:tcBorders>
            <w:hideMark/>
          </w:tcPr>
          <w:p w14:paraId="36569FD9"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12" w:type="pct"/>
            <w:tcBorders>
              <w:top w:val="single" w:sz="4" w:space="0" w:color="auto"/>
              <w:left w:val="single" w:sz="4" w:space="0" w:color="auto"/>
              <w:bottom w:val="single" w:sz="4" w:space="0" w:color="auto"/>
              <w:right w:val="single" w:sz="4" w:space="0" w:color="auto"/>
            </w:tcBorders>
            <w:hideMark/>
          </w:tcPr>
          <w:p w14:paraId="343F0DD1"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w:t>
            </w:r>
            <w:r>
              <w:rPr>
                <w:rFonts w:ascii="Times New Roman" w:eastAsia="Times New Roman" w:hAnsi="Times New Roman" w:cs="Times New Roman"/>
                <w:bCs/>
                <w:sz w:val="24"/>
                <w:szCs w:val="24"/>
              </w:rPr>
              <w:t xml:space="preserve">ksu </w:t>
            </w:r>
            <w:r w:rsidRPr="00BD50E2">
              <w:rPr>
                <w:rFonts w:ascii="Times New Roman" w:eastAsia="Times New Roman" w:hAnsi="Times New Roman" w:cs="Times New Roman"/>
                <w:bCs/>
                <w:sz w:val="24"/>
                <w:szCs w:val="24"/>
              </w:rPr>
              <w:t>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7201D76D"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Administratīvās izmaksas (naudas izteiksmē) gada laikā mērķgrupai, ko veido fiziskas personas, nepārsniedz 200 eiro, bet mērķgrupai, kuru veido juridiskas personas, – 2000 eiro.</w:t>
            </w:r>
          </w:p>
        </w:tc>
      </w:tr>
      <w:tr w:rsidR="00A748DE" w:rsidRPr="00BD50E2" w14:paraId="373A2930" w14:textId="77777777" w:rsidTr="00D41B3D">
        <w:tc>
          <w:tcPr>
            <w:tcW w:w="297" w:type="pct"/>
            <w:tcBorders>
              <w:top w:val="single" w:sz="4" w:space="0" w:color="auto"/>
              <w:left w:val="single" w:sz="4" w:space="0" w:color="auto"/>
              <w:bottom w:val="single" w:sz="4" w:space="0" w:color="auto"/>
              <w:right w:val="single" w:sz="4" w:space="0" w:color="auto"/>
            </w:tcBorders>
            <w:hideMark/>
          </w:tcPr>
          <w:p w14:paraId="147C3E3B"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12" w:type="pct"/>
            <w:tcBorders>
              <w:top w:val="single" w:sz="4" w:space="0" w:color="auto"/>
              <w:left w:val="single" w:sz="4" w:space="0" w:color="auto"/>
              <w:bottom w:val="single" w:sz="4" w:space="0" w:color="auto"/>
              <w:right w:val="single" w:sz="4" w:space="0" w:color="auto"/>
            </w:tcBorders>
            <w:hideMark/>
          </w:tcPr>
          <w:p w14:paraId="7D6C0F55"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35952F08"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A748DE" w:rsidRPr="00BD50E2" w14:paraId="1C181321" w14:textId="77777777" w:rsidTr="00D41B3D">
        <w:tc>
          <w:tcPr>
            <w:tcW w:w="297" w:type="pct"/>
            <w:tcBorders>
              <w:top w:val="single" w:sz="4" w:space="0" w:color="auto"/>
              <w:left w:val="single" w:sz="4" w:space="0" w:color="auto"/>
              <w:bottom w:val="single" w:sz="4" w:space="0" w:color="auto"/>
              <w:right w:val="single" w:sz="4" w:space="0" w:color="auto"/>
            </w:tcBorders>
            <w:hideMark/>
          </w:tcPr>
          <w:p w14:paraId="4D4AE3C3"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12" w:type="pct"/>
            <w:tcBorders>
              <w:top w:val="single" w:sz="4" w:space="0" w:color="auto"/>
              <w:left w:val="single" w:sz="4" w:space="0" w:color="auto"/>
              <w:bottom w:val="single" w:sz="4" w:space="0" w:color="auto"/>
              <w:right w:val="single" w:sz="4" w:space="0" w:color="auto"/>
            </w:tcBorders>
            <w:hideMark/>
          </w:tcPr>
          <w:p w14:paraId="4D109B10"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91" w:type="pct"/>
            <w:tcBorders>
              <w:top w:val="single" w:sz="4" w:space="0" w:color="auto"/>
              <w:left w:val="single" w:sz="4" w:space="0" w:color="auto"/>
              <w:bottom w:val="single" w:sz="4" w:space="0" w:color="auto"/>
              <w:right w:val="single" w:sz="4" w:space="0" w:color="auto"/>
            </w:tcBorders>
            <w:hideMark/>
          </w:tcPr>
          <w:p w14:paraId="11198BE2"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62A28B0A" w14:textId="77777777" w:rsidR="00A748DE" w:rsidRDefault="00A748DE" w:rsidP="00A748DE">
      <w:pPr>
        <w:spacing w:after="0" w:line="240" w:lineRule="auto"/>
        <w:rPr>
          <w:rFonts w:ascii="Times New Roman" w:eastAsia="Times New Roman" w:hAnsi="Times New Roman" w:cs="Times New Roman"/>
          <w:bCs/>
          <w:sz w:val="28"/>
          <w:szCs w:val="28"/>
          <w:lang w:eastAsia="lv-LV"/>
        </w:rPr>
      </w:pPr>
    </w:p>
    <w:tbl>
      <w:tblPr>
        <w:tblStyle w:val="TableGrid"/>
        <w:tblW w:w="9498" w:type="dxa"/>
        <w:tblInd w:w="-5" w:type="dxa"/>
        <w:tblLayout w:type="fixed"/>
        <w:tblLook w:val="04A0" w:firstRow="1" w:lastRow="0" w:firstColumn="1" w:lastColumn="0" w:noHBand="0" w:noVBand="1"/>
      </w:tblPr>
      <w:tblGrid>
        <w:gridCol w:w="9498"/>
      </w:tblGrid>
      <w:tr w:rsidR="00A748DE" w:rsidRPr="002403F4" w14:paraId="39B7D563" w14:textId="77777777" w:rsidTr="00D41B3D">
        <w:trPr>
          <w:trHeight w:val="360"/>
        </w:trPr>
        <w:tc>
          <w:tcPr>
            <w:tcW w:w="9498" w:type="dxa"/>
            <w:tcBorders>
              <w:top w:val="single" w:sz="4" w:space="0" w:color="auto"/>
              <w:left w:val="single" w:sz="4" w:space="0" w:color="auto"/>
              <w:bottom w:val="single" w:sz="4" w:space="0" w:color="auto"/>
              <w:right w:val="single" w:sz="4" w:space="0" w:color="auto"/>
            </w:tcBorders>
            <w:hideMark/>
          </w:tcPr>
          <w:p w14:paraId="10BCE55D" w14:textId="77777777" w:rsidR="00A748DE" w:rsidRPr="002403F4" w:rsidRDefault="00A748DE" w:rsidP="00D41B3D">
            <w:pPr>
              <w:spacing w:after="0" w:line="240" w:lineRule="auto"/>
              <w:jc w:val="center"/>
              <w:rPr>
                <w:b/>
                <w:bCs/>
                <w:sz w:val="24"/>
                <w:szCs w:val="24"/>
              </w:rPr>
            </w:pPr>
            <w:r w:rsidRPr="002403F4">
              <w:rPr>
                <w:b/>
                <w:bCs/>
                <w:sz w:val="24"/>
                <w:szCs w:val="24"/>
              </w:rPr>
              <w:t>III. Tiesību akta projekta ietekme uz valsts budžetu un pašvaldību budžetiem</w:t>
            </w:r>
          </w:p>
        </w:tc>
      </w:tr>
      <w:tr w:rsidR="00A748DE" w:rsidRPr="002403F4" w14:paraId="01FCE0D8" w14:textId="77777777" w:rsidTr="00D41B3D">
        <w:trPr>
          <w:trHeight w:val="360"/>
        </w:trPr>
        <w:tc>
          <w:tcPr>
            <w:tcW w:w="9498" w:type="dxa"/>
            <w:tcBorders>
              <w:top w:val="single" w:sz="4" w:space="0" w:color="auto"/>
              <w:left w:val="single" w:sz="4" w:space="0" w:color="auto"/>
              <w:bottom w:val="single" w:sz="4" w:space="0" w:color="auto"/>
              <w:right w:val="single" w:sz="4" w:space="0" w:color="auto"/>
            </w:tcBorders>
          </w:tcPr>
          <w:p w14:paraId="5C81FE12" w14:textId="77777777" w:rsidR="00A748DE" w:rsidRPr="002403F4" w:rsidRDefault="00A748DE" w:rsidP="00D41B3D">
            <w:pPr>
              <w:spacing w:after="0" w:line="240" w:lineRule="auto"/>
              <w:jc w:val="center"/>
              <w:rPr>
                <w:b/>
                <w:bCs/>
                <w:sz w:val="24"/>
                <w:szCs w:val="24"/>
              </w:rPr>
            </w:pPr>
            <w:r w:rsidRPr="002403F4">
              <w:rPr>
                <w:bCs/>
                <w:sz w:val="24"/>
                <w:szCs w:val="24"/>
              </w:rPr>
              <w:t>Projekts šo jomu neskar.</w:t>
            </w:r>
          </w:p>
        </w:tc>
      </w:tr>
    </w:tbl>
    <w:p w14:paraId="5D4A6BF3" w14:textId="77777777" w:rsidR="00A748DE" w:rsidRDefault="00A748DE" w:rsidP="00A748DE">
      <w:pPr>
        <w:spacing w:after="0" w:line="240" w:lineRule="auto"/>
        <w:jc w:val="center"/>
        <w:rPr>
          <w:rFonts w:ascii="Times New Roman" w:eastAsia="Times New Roman" w:hAnsi="Times New Roman" w:cs="Times New Roman"/>
          <w:bCs/>
          <w:sz w:val="28"/>
          <w:szCs w:val="28"/>
          <w:lang w:eastAsia="lv-LV"/>
        </w:rPr>
      </w:pPr>
    </w:p>
    <w:tbl>
      <w:tblPr>
        <w:tblStyle w:val="TableGrid"/>
        <w:tblW w:w="9498" w:type="dxa"/>
        <w:tblInd w:w="-5" w:type="dxa"/>
        <w:tblLayout w:type="fixed"/>
        <w:tblLook w:val="04A0" w:firstRow="1" w:lastRow="0" w:firstColumn="1" w:lastColumn="0" w:noHBand="0" w:noVBand="1"/>
      </w:tblPr>
      <w:tblGrid>
        <w:gridCol w:w="9498"/>
      </w:tblGrid>
      <w:tr w:rsidR="00A748DE" w:rsidRPr="002403F4" w14:paraId="52F4ADA1" w14:textId="77777777" w:rsidTr="00D41B3D">
        <w:trPr>
          <w:trHeight w:val="360"/>
        </w:trPr>
        <w:tc>
          <w:tcPr>
            <w:tcW w:w="9498" w:type="dxa"/>
            <w:tcBorders>
              <w:top w:val="single" w:sz="4" w:space="0" w:color="auto"/>
              <w:left w:val="single" w:sz="4" w:space="0" w:color="auto"/>
              <w:bottom w:val="single" w:sz="4" w:space="0" w:color="auto"/>
              <w:right w:val="single" w:sz="4" w:space="0" w:color="auto"/>
            </w:tcBorders>
            <w:vAlign w:val="center"/>
            <w:hideMark/>
          </w:tcPr>
          <w:p w14:paraId="0B1C2CF0" w14:textId="77777777" w:rsidR="00A748DE" w:rsidRPr="002403F4" w:rsidRDefault="00A748DE" w:rsidP="00D41B3D">
            <w:pPr>
              <w:spacing w:after="0" w:line="240" w:lineRule="auto"/>
              <w:jc w:val="center"/>
              <w:rPr>
                <w:b/>
                <w:bCs/>
                <w:sz w:val="24"/>
                <w:szCs w:val="24"/>
              </w:rPr>
            </w:pPr>
            <w:r w:rsidRPr="007E4536">
              <w:rPr>
                <w:b/>
                <w:sz w:val="24"/>
                <w:szCs w:val="24"/>
              </w:rPr>
              <w:t>IV. Tiesību akta projekta ietekme uz spēkā esošo tiesību normu sistēmu</w:t>
            </w:r>
          </w:p>
        </w:tc>
      </w:tr>
      <w:tr w:rsidR="00A748DE" w:rsidRPr="002403F4" w14:paraId="5161622E" w14:textId="77777777" w:rsidTr="00D41B3D">
        <w:trPr>
          <w:trHeight w:val="360"/>
        </w:trPr>
        <w:tc>
          <w:tcPr>
            <w:tcW w:w="9498" w:type="dxa"/>
            <w:tcBorders>
              <w:top w:val="single" w:sz="4" w:space="0" w:color="auto"/>
              <w:left w:val="single" w:sz="4" w:space="0" w:color="auto"/>
              <w:bottom w:val="single" w:sz="4" w:space="0" w:color="auto"/>
              <w:right w:val="single" w:sz="4" w:space="0" w:color="auto"/>
            </w:tcBorders>
          </w:tcPr>
          <w:p w14:paraId="0FB5ED68" w14:textId="77777777" w:rsidR="00A748DE" w:rsidRPr="002403F4" w:rsidRDefault="00A748DE" w:rsidP="00D41B3D">
            <w:pPr>
              <w:spacing w:after="0" w:line="240" w:lineRule="auto"/>
              <w:jc w:val="center"/>
              <w:rPr>
                <w:b/>
                <w:bCs/>
                <w:sz w:val="24"/>
                <w:szCs w:val="24"/>
              </w:rPr>
            </w:pPr>
            <w:r w:rsidRPr="002403F4">
              <w:rPr>
                <w:bCs/>
                <w:sz w:val="24"/>
                <w:szCs w:val="24"/>
              </w:rPr>
              <w:t>Projekts šo jomu neskar.</w:t>
            </w:r>
          </w:p>
        </w:tc>
      </w:tr>
    </w:tbl>
    <w:p w14:paraId="20006FC8" w14:textId="77777777" w:rsidR="00A748DE" w:rsidRPr="00A17EEC" w:rsidRDefault="00A748DE" w:rsidP="00A748DE">
      <w:pPr>
        <w:spacing w:after="0" w:line="240" w:lineRule="auto"/>
        <w:jc w:val="center"/>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A748DE" w:rsidRPr="00BD50E2" w14:paraId="12F166B1" w14:textId="77777777" w:rsidTr="00D41B3D">
        <w:tc>
          <w:tcPr>
            <w:tcW w:w="9497" w:type="dxa"/>
            <w:tcBorders>
              <w:top w:val="single" w:sz="4" w:space="0" w:color="auto"/>
              <w:left w:val="single" w:sz="4" w:space="0" w:color="auto"/>
              <w:bottom w:val="single" w:sz="4" w:space="0" w:color="auto"/>
              <w:right w:val="single" w:sz="4" w:space="0" w:color="auto"/>
            </w:tcBorders>
            <w:vAlign w:val="center"/>
            <w:hideMark/>
          </w:tcPr>
          <w:p w14:paraId="4BCD02CE" w14:textId="77777777" w:rsidR="00A748DE" w:rsidRPr="00BD50E2" w:rsidRDefault="00A748DE" w:rsidP="00D41B3D">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A748DE" w:rsidRPr="00BD50E2" w14:paraId="7B222132" w14:textId="77777777" w:rsidTr="00D41B3D">
        <w:tc>
          <w:tcPr>
            <w:tcW w:w="9497" w:type="dxa"/>
            <w:tcBorders>
              <w:top w:val="single" w:sz="4" w:space="0" w:color="auto"/>
              <w:left w:val="single" w:sz="4" w:space="0" w:color="auto"/>
              <w:bottom w:val="single" w:sz="4" w:space="0" w:color="auto"/>
              <w:right w:val="single" w:sz="4" w:space="0" w:color="auto"/>
            </w:tcBorders>
            <w:vAlign w:val="center"/>
          </w:tcPr>
          <w:p w14:paraId="51FD3D36" w14:textId="77777777" w:rsidR="00A748DE" w:rsidRPr="00BD50E2" w:rsidRDefault="00A748DE" w:rsidP="00D41B3D">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67608089" w14:textId="77777777" w:rsidR="00A748DE" w:rsidRPr="00A17EEC" w:rsidRDefault="00A748DE" w:rsidP="00A748DE">
      <w:pPr>
        <w:spacing w:after="0" w:line="240" w:lineRule="auto"/>
        <w:jc w:val="center"/>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A748DE" w:rsidRPr="00BD50E2" w14:paraId="55C65A22" w14:textId="77777777" w:rsidTr="00D41B3D">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C2FEDE5" w14:textId="77777777" w:rsidR="00A748DE" w:rsidRPr="00BD50E2" w:rsidRDefault="00A748DE" w:rsidP="00D41B3D">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A748DE" w:rsidRPr="00BD50E2" w14:paraId="5B81DF7D" w14:textId="77777777" w:rsidTr="00D41B3D">
        <w:tc>
          <w:tcPr>
            <w:tcW w:w="297" w:type="pct"/>
            <w:tcBorders>
              <w:top w:val="single" w:sz="4" w:space="0" w:color="auto"/>
              <w:left w:val="single" w:sz="4" w:space="0" w:color="auto"/>
              <w:bottom w:val="single" w:sz="4" w:space="0" w:color="auto"/>
              <w:right w:val="single" w:sz="4" w:space="0" w:color="auto"/>
            </w:tcBorders>
            <w:hideMark/>
          </w:tcPr>
          <w:p w14:paraId="357CB294" w14:textId="77777777" w:rsidR="00A748DE" w:rsidRPr="00BD50E2" w:rsidRDefault="00A748DE" w:rsidP="00D41B3D">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0BDBA4A5" w14:textId="77777777" w:rsidR="00A748DE" w:rsidRPr="00BD50E2" w:rsidRDefault="00A748DE" w:rsidP="00D41B3D">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435" w:type="pct"/>
            <w:tcBorders>
              <w:top w:val="single" w:sz="4" w:space="0" w:color="auto"/>
              <w:left w:val="single" w:sz="4" w:space="0" w:color="auto"/>
              <w:bottom w:val="single" w:sz="4" w:space="0" w:color="auto"/>
              <w:right w:val="single" w:sz="4" w:space="0" w:color="auto"/>
            </w:tcBorders>
          </w:tcPr>
          <w:p w14:paraId="04480F5C"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Pr="00BD50E2">
              <w:rPr>
                <w:rFonts w:ascii="Times New Roman" w:eastAsia="Times New Roman" w:hAnsi="Times New Roman" w:cs="Times New Roman"/>
                <w:iCs/>
                <w:sz w:val="24"/>
                <w:szCs w:val="24"/>
                <w:lang w:eastAsia="lv-LV"/>
              </w:rPr>
              <w:t>rojekta izstrādes paredzēts informāciju par veiktajiem grozījumiem ievietot Veselības ministrijas</w:t>
            </w:r>
            <w:r>
              <w:rPr>
                <w:rFonts w:ascii="Times New Roman" w:eastAsia="Times New Roman" w:hAnsi="Times New Roman" w:cs="Times New Roman"/>
                <w:iCs/>
                <w:sz w:val="24"/>
                <w:szCs w:val="24"/>
                <w:lang w:eastAsia="lv-LV"/>
              </w:rPr>
              <w:t xml:space="preserve"> un SPKC </w:t>
            </w:r>
            <w:r w:rsidRPr="00BD50E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tīmekļvietnēs</w:t>
            </w:r>
            <w:r w:rsidRPr="00BD50E2">
              <w:rPr>
                <w:rFonts w:ascii="Times New Roman" w:eastAsia="Times New Roman" w:hAnsi="Times New Roman" w:cs="Times New Roman"/>
                <w:iCs/>
                <w:sz w:val="24"/>
                <w:szCs w:val="24"/>
                <w:lang w:eastAsia="lv-LV"/>
              </w:rPr>
              <w:t>, kā arī paredzēts to elektroniski izplatīt iesaistītajām organizācijām un institūcijām.</w:t>
            </w:r>
          </w:p>
        </w:tc>
      </w:tr>
      <w:tr w:rsidR="00A748DE" w:rsidRPr="00BD50E2" w14:paraId="711675A9" w14:textId="77777777" w:rsidTr="00D41B3D">
        <w:tc>
          <w:tcPr>
            <w:tcW w:w="297" w:type="pct"/>
            <w:tcBorders>
              <w:top w:val="single" w:sz="4" w:space="0" w:color="auto"/>
              <w:left w:val="single" w:sz="4" w:space="0" w:color="auto"/>
              <w:bottom w:val="single" w:sz="4" w:space="0" w:color="auto"/>
              <w:right w:val="single" w:sz="4" w:space="0" w:color="auto"/>
            </w:tcBorders>
            <w:hideMark/>
          </w:tcPr>
          <w:p w14:paraId="2067988D" w14:textId="77777777" w:rsidR="00A748DE" w:rsidRPr="00BD50E2" w:rsidRDefault="00A748DE" w:rsidP="00D41B3D">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14:paraId="41542068" w14:textId="77777777" w:rsidR="00A748DE" w:rsidRPr="00886D79" w:rsidRDefault="00A748DE" w:rsidP="00D41B3D">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435" w:type="pct"/>
            <w:tcBorders>
              <w:top w:val="single" w:sz="4" w:space="0" w:color="auto"/>
              <w:left w:val="single" w:sz="4" w:space="0" w:color="auto"/>
              <w:bottom w:val="single" w:sz="4" w:space="0" w:color="auto"/>
              <w:right w:val="single" w:sz="4" w:space="0" w:color="auto"/>
            </w:tcBorders>
          </w:tcPr>
          <w:p w14:paraId="536BFEB0" w14:textId="77777777" w:rsidR="00A748DE" w:rsidRPr="00BD50E2" w:rsidRDefault="00A748DE" w:rsidP="00D41B3D">
            <w:pPr>
              <w:pStyle w:val="NormalWeb"/>
              <w:shd w:val="clear" w:color="auto" w:fill="FFFFFF"/>
              <w:spacing w:line="256" w:lineRule="auto"/>
              <w:jc w:val="both"/>
              <w:rPr>
                <w:shd w:val="clear" w:color="auto" w:fill="FFFFFF"/>
              </w:rPr>
            </w:pPr>
            <w:r w:rsidRPr="00BD50E2">
              <w:rPr>
                <w:iCs/>
                <w:lang w:eastAsia="en-US"/>
              </w:rPr>
              <w:t xml:space="preserve">Tā kā </w:t>
            </w:r>
            <w:r>
              <w:rPr>
                <w:iCs/>
                <w:lang w:eastAsia="en-US"/>
              </w:rPr>
              <w:t>p</w:t>
            </w:r>
            <w:r w:rsidRPr="00BD50E2">
              <w:rPr>
                <w:iCs/>
                <w:lang w:eastAsia="en-US"/>
              </w:rPr>
              <w:t xml:space="preserve">rojekts tiek virzīts steidzamības kārtā, sabiedrības iesaiste </w:t>
            </w:r>
            <w:r>
              <w:rPr>
                <w:iCs/>
                <w:lang w:eastAsia="en-US"/>
              </w:rPr>
              <w:t>p</w:t>
            </w:r>
            <w:r w:rsidRPr="00BD50E2">
              <w:rPr>
                <w:iCs/>
                <w:lang w:eastAsia="en-US"/>
              </w:rPr>
              <w:t>rojekta izstrādē netika organizēta.</w:t>
            </w:r>
          </w:p>
        </w:tc>
      </w:tr>
      <w:tr w:rsidR="00A748DE" w:rsidRPr="00BD50E2" w14:paraId="74F0883C" w14:textId="77777777" w:rsidTr="00D41B3D">
        <w:trPr>
          <w:trHeight w:val="585"/>
        </w:trPr>
        <w:tc>
          <w:tcPr>
            <w:tcW w:w="297" w:type="pct"/>
            <w:tcBorders>
              <w:top w:val="single" w:sz="4" w:space="0" w:color="auto"/>
              <w:left w:val="single" w:sz="4" w:space="0" w:color="auto"/>
              <w:bottom w:val="single" w:sz="4" w:space="0" w:color="auto"/>
              <w:right w:val="single" w:sz="4" w:space="0" w:color="auto"/>
            </w:tcBorders>
            <w:hideMark/>
          </w:tcPr>
          <w:p w14:paraId="05ACB86D" w14:textId="77777777" w:rsidR="00A748DE" w:rsidRPr="00BD50E2" w:rsidRDefault="00A748DE" w:rsidP="00D41B3D">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268" w:type="pct"/>
            <w:tcBorders>
              <w:top w:val="single" w:sz="4" w:space="0" w:color="auto"/>
              <w:left w:val="single" w:sz="4" w:space="0" w:color="auto"/>
              <w:bottom w:val="single" w:sz="4" w:space="0" w:color="auto"/>
              <w:right w:val="single" w:sz="4" w:space="0" w:color="auto"/>
            </w:tcBorders>
            <w:hideMark/>
          </w:tcPr>
          <w:p w14:paraId="4E2BF3F4" w14:textId="77777777" w:rsidR="00A748DE" w:rsidRPr="00BD50E2" w:rsidRDefault="00A748DE" w:rsidP="00D41B3D">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435" w:type="pct"/>
            <w:tcBorders>
              <w:top w:val="single" w:sz="4" w:space="0" w:color="auto"/>
              <w:left w:val="single" w:sz="4" w:space="0" w:color="auto"/>
              <w:bottom w:val="single" w:sz="4" w:space="0" w:color="auto"/>
              <w:right w:val="single" w:sz="4" w:space="0" w:color="auto"/>
            </w:tcBorders>
            <w:hideMark/>
          </w:tcPr>
          <w:p w14:paraId="073AC6FD"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748DE" w:rsidRPr="00BD50E2" w14:paraId="30479A07" w14:textId="77777777" w:rsidTr="00D41B3D">
        <w:tc>
          <w:tcPr>
            <w:tcW w:w="297" w:type="pct"/>
            <w:tcBorders>
              <w:top w:val="single" w:sz="4" w:space="0" w:color="auto"/>
              <w:left w:val="single" w:sz="4" w:space="0" w:color="auto"/>
              <w:bottom w:val="single" w:sz="4" w:space="0" w:color="auto"/>
              <w:right w:val="single" w:sz="4" w:space="0" w:color="auto"/>
            </w:tcBorders>
            <w:hideMark/>
          </w:tcPr>
          <w:p w14:paraId="4AA76C11" w14:textId="77777777" w:rsidR="00A748DE" w:rsidRPr="00BD50E2" w:rsidRDefault="00A748DE" w:rsidP="00D41B3D">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13E9B533" w14:textId="77777777" w:rsidR="00A748DE" w:rsidRPr="00BD50E2" w:rsidRDefault="00A748DE" w:rsidP="00D41B3D">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5" w:type="pct"/>
            <w:tcBorders>
              <w:top w:val="single" w:sz="4" w:space="0" w:color="auto"/>
              <w:left w:val="single" w:sz="4" w:space="0" w:color="auto"/>
              <w:bottom w:val="single" w:sz="4" w:space="0" w:color="auto"/>
              <w:right w:val="single" w:sz="4" w:space="0" w:color="auto"/>
            </w:tcBorders>
            <w:hideMark/>
          </w:tcPr>
          <w:p w14:paraId="07D92405" w14:textId="77777777" w:rsidR="00A748DE" w:rsidRPr="00BD50E2" w:rsidRDefault="00A748DE" w:rsidP="00D41B3D">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45ECB996" w14:textId="77777777" w:rsidR="00A748DE" w:rsidRDefault="00A748DE" w:rsidP="00A748DE">
      <w:pPr>
        <w:spacing w:after="0" w:line="240" w:lineRule="auto"/>
        <w:rPr>
          <w:rFonts w:ascii="Times New Roman" w:eastAsia="Times New Roman" w:hAnsi="Times New Roman" w:cs="Times New Roman"/>
          <w:bCs/>
          <w:sz w:val="28"/>
          <w:szCs w:val="28"/>
          <w:lang w:eastAsia="lv-LV"/>
        </w:rPr>
      </w:pPr>
    </w:p>
    <w:tbl>
      <w:tblPr>
        <w:tblStyle w:val="TableGrid"/>
        <w:tblW w:w="9498" w:type="dxa"/>
        <w:tblInd w:w="-5" w:type="dxa"/>
        <w:tblLayout w:type="fixed"/>
        <w:tblLook w:val="04A0" w:firstRow="1" w:lastRow="0" w:firstColumn="1" w:lastColumn="0" w:noHBand="0" w:noVBand="1"/>
      </w:tblPr>
      <w:tblGrid>
        <w:gridCol w:w="9498"/>
      </w:tblGrid>
      <w:tr w:rsidR="00A748DE" w:rsidRPr="002403F4" w14:paraId="689CCAC1" w14:textId="77777777" w:rsidTr="00D41B3D">
        <w:trPr>
          <w:trHeight w:val="360"/>
        </w:trPr>
        <w:tc>
          <w:tcPr>
            <w:tcW w:w="9498" w:type="dxa"/>
            <w:tcBorders>
              <w:top w:val="single" w:sz="4" w:space="0" w:color="auto"/>
              <w:left w:val="single" w:sz="4" w:space="0" w:color="auto"/>
              <w:bottom w:val="single" w:sz="4" w:space="0" w:color="auto"/>
              <w:right w:val="single" w:sz="4" w:space="0" w:color="auto"/>
            </w:tcBorders>
            <w:vAlign w:val="center"/>
            <w:hideMark/>
          </w:tcPr>
          <w:p w14:paraId="25988E6E" w14:textId="77777777" w:rsidR="00A748DE" w:rsidRPr="002403F4" w:rsidRDefault="00A748DE" w:rsidP="00D41B3D">
            <w:pPr>
              <w:spacing w:after="0" w:line="240" w:lineRule="auto"/>
              <w:jc w:val="center"/>
              <w:rPr>
                <w:b/>
                <w:bCs/>
                <w:sz w:val="24"/>
                <w:szCs w:val="24"/>
              </w:rPr>
            </w:pPr>
            <w:r w:rsidRPr="00BD50E2">
              <w:rPr>
                <w:b/>
                <w:sz w:val="24"/>
                <w:szCs w:val="24"/>
              </w:rPr>
              <w:t>VII. Tiesību akta projekta izpildes nodrošināšana un tās ietekme uz institūcijām</w:t>
            </w:r>
          </w:p>
        </w:tc>
      </w:tr>
      <w:tr w:rsidR="00A748DE" w:rsidRPr="002403F4" w14:paraId="4AC6A00C" w14:textId="77777777" w:rsidTr="00D41B3D">
        <w:trPr>
          <w:trHeight w:val="360"/>
        </w:trPr>
        <w:tc>
          <w:tcPr>
            <w:tcW w:w="9498" w:type="dxa"/>
            <w:tcBorders>
              <w:top w:val="single" w:sz="4" w:space="0" w:color="auto"/>
              <w:left w:val="single" w:sz="4" w:space="0" w:color="auto"/>
              <w:bottom w:val="single" w:sz="4" w:space="0" w:color="auto"/>
              <w:right w:val="single" w:sz="4" w:space="0" w:color="auto"/>
            </w:tcBorders>
          </w:tcPr>
          <w:p w14:paraId="621B422D" w14:textId="77777777" w:rsidR="00A748DE" w:rsidRPr="002403F4" w:rsidRDefault="00A748DE" w:rsidP="00D41B3D">
            <w:pPr>
              <w:spacing w:after="0" w:line="240" w:lineRule="auto"/>
              <w:jc w:val="center"/>
              <w:rPr>
                <w:b/>
                <w:bCs/>
                <w:sz w:val="24"/>
                <w:szCs w:val="24"/>
              </w:rPr>
            </w:pPr>
            <w:r w:rsidRPr="002403F4">
              <w:rPr>
                <w:bCs/>
                <w:sz w:val="24"/>
                <w:szCs w:val="24"/>
              </w:rPr>
              <w:t>Projekts šo jomu neskar.</w:t>
            </w:r>
          </w:p>
        </w:tc>
      </w:tr>
    </w:tbl>
    <w:p w14:paraId="40F6D52F" w14:textId="77777777" w:rsidR="00A748DE" w:rsidRDefault="00A748DE" w:rsidP="00A748DE">
      <w:pPr>
        <w:spacing w:after="0" w:line="240" w:lineRule="auto"/>
        <w:rPr>
          <w:rFonts w:ascii="Times New Roman" w:eastAsia="Times New Roman" w:hAnsi="Times New Roman" w:cs="Times New Roman"/>
          <w:bCs/>
          <w:sz w:val="28"/>
          <w:szCs w:val="28"/>
          <w:lang w:eastAsia="lv-LV"/>
        </w:rPr>
      </w:pPr>
    </w:p>
    <w:p w14:paraId="585D4A55" w14:textId="77777777" w:rsidR="00A748DE" w:rsidRPr="00A17EEC" w:rsidRDefault="00A748DE" w:rsidP="00A748DE">
      <w:pPr>
        <w:spacing w:after="0" w:line="240" w:lineRule="auto"/>
        <w:rPr>
          <w:rFonts w:ascii="Times New Roman" w:eastAsia="Times New Roman" w:hAnsi="Times New Roman" w:cs="Times New Roman"/>
          <w:bCs/>
          <w:sz w:val="28"/>
          <w:szCs w:val="28"/>
          <w:lang w:eastAsia="lv-LV"/>
        </w:rPr>
      </w:pPr>
    </w:p>
    <w:p w14:paraId="0DF98C0E" w14:textId="77777777" w:rsidR="00A748DE" w:rsidRPr="0099398F" w:rsidRDefault="00A748DE" w:rsidP="00A748DE">
      <w:pPr>
        <w:spacing w:after="0" w:line="240" w:lineRule="auto"/>
        <w:jc w:val="both"/>
        <w:rPr>
          <w:rFonts w:ascii="Times New Roman" w:eastAsia="Times New Roman" w:hAnsi="Times New Roman" w:cs="Times New Roman"/>
          <w:bCs/>
          <w:sz w:val="28"/>
          <w:szCs w:val="28"/>
        </w:rPr>
      </w:pPr>
    </w:p>
    <w:p w14:paraId="397E9B26" w14:textId="77777777" w:rsidR="00A748DE" w:rsidRPr="0099398F" w:rsidRDefault="00A748DE" w:rsidP="00A748DE">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A748DE" w14:paraId="49AAF21E" w14:textId="77777777" w:rsidTr="00D41B3D">
        <w:tc>
          <w:tcPr>
            <w:tcW w:w="3686" w:type="dxa"/>
          </w:tcPr>
          <w:p w14:paraId="4912E522" w14:textId="77777777" w:rsidR="00A748DE" w:rsidRPr="00234042" w:rsidRDefault="00A748DE" w:rsidP="00D41B3D">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74ED2B81" w14:textId="77777777" w:rsidR="00A748DE" w:rsidRPr="00234042" w:rsidRDefault="00A748DE" w:rsidP="00D41B3D">
            <w:pPr>
              <w:pStyle w:val="pamattekststabul"/>
              <w:tabs>
                <w:tab w:val="left" w:pos="3969"/>
                <w:tab w:val="left" w:pos="6379"/>
              </w:tabs>
              <w:jc w:val="right"/>
              <w:rPr>
                <w:rFonts w:eastAsia="Calibri"/>
                <w:sz w:val="28"/>
                <w:szCs w:val="28"/>
                <w:lang w:val="lv-LV"/>
              </w:rPr>
            </w:pPr>
            <w:r>
              <w:rPr>
                <w:rFonts w:eastAsia="Calibri"/>
                <w:noProof/>
                <w:sz w:val="28"/>
                <w:szCs w:val="28"/>
                <w:lang w:val="lv-LV"/>
              </w:rPr>
              <w:t xml:space="preserve">    </w:t>
            </w:r>
            <w:r w:rsidRPr="00234042">
              <w:rPr>
                <w:rFonts w:eastAsia="Calibri"/>
                <w:noProof/>
                <w:sz w:val="28"/>
                <w:szCs w:val="28"/>
                <w:lang w:val="lv-LV"/>
              </w:rPr>
              <w:t>D</w:t>
            </w:r>
            <w:r>
              <w:rPr>
                <w:rFonts w:eastAsia="Calibri"/>
                <w:noProof/>
                <w:sz w:val="28"/>
                <w:szCs w:val="28"/>
                <w:lang w:val="lv-LV"/>
              </w:rPr>
              <w:t>. </w:t>
            </w:r>
            <w:r w:rsidRPr="00234042">
              <w:rPr>
                <w:rFonts w:eastAsia="Calibri"/>
                <w:noProof/>
                <w:sz w:val="28"/>
                <w:szCs w:val="28"/>
                <w:lang w:val="lv-LV"/>
              </w:rPr>
              <w:t>Pavļuts</w:t>
            </w:r>
          </w:p>
        </w:tc>
      </w:tr>
    </w:tbl>
    <w:p w14:paraId="3E174549" w14:textId="77777777" w:rsidR="00A748DE" w:rsidRPr="00426EE3" w:rsidRDefault="00A748DE" w:rsidP="00A748DE">
      <w:pPr>
        <w:spacing w:after="0" w:line="240" w:lineRule="auto"/>
        <w:ind w:right="13"/>
        <w:jc w:val="both"/>
        <w:rPr>
          <w:rFonts w:ascii="Times New Roman" w:hAnsi="Times New Roman" w:cs="Times New Roman"/>
          <w:bCs/>
          <w:sz w:val="28"/>
          <w:szCs w:val="28"/>
        </w:rPr>
      </w:pPr>
    </w:p>
    <w:p w14:paraId="1DC9D9F0" w14:textId="77777777" w:rsidR="00A748DE" w:rsidRPr="00426EE3" w:rsidRDefault="00A748DE" w:rsidP="00A748DE">
      <w:pPr>
        <w:spacing w:after="0" w:line="240" w:lineRule="auto"/>
        <w:ind w:right="13"/>
        <w:jc w:val="both"/>
        <w:rPr>
          <w:rFonts w:ascii="Times New Roman" w:hAnsi="Times New Roman" w:cs="Times New Roman"/>
          <w:bCs/>
          <w:sz w:val="28"/>
          <w:szCs w:val="28"/>
        </w:rPr>
      </w:pPr>
    </w:p>
    <w:p w14:paraId="63BA8C8D" w14:textId="77777777" w:rsidR="00A748DE" w:rsidRPr="00426EE3" w:rsidRDefault="00A748DE" w:rsidP="00A748DE">
      <w:pPr>
        <w:pStyle w:val="naisf"/>
        <w:spacing w:before="0" w:beforeAutospacing="0" w:after="0" w:afterAutospacing="0"/>
        <w:rPr>
          <w:bCs/>
          <w:sz w:val="28"/>
          <w:szCs w:val="28"/>
        </w:rPr>
      </w:pPr>
      <w:r w:rsidRPr="00426EE3">
        <w:rPr>
          <w:bCs/>
          <w:sz w:val="28"/>
          <w:szCs w:val="28"/>
        </w:rPr>
        <w:t>Vīza: valsts sekretār</w:t>
      </w:r>
      <w:r>
        <w:rPr>
          <w:bCs/>
          <w:sz w:val="28"/>
          <w:szCs w:val="28"/>
        </w:rPr>
        <w:t>a p.i.</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Pr>
          <w:bCs/>
          <w:sz w:val="28"/>
          <w:szCs w:val="28"/>
        </w:rPr>
        <w:t xml:space="preserve">              B.Kņigins</w:t>
      </w:r>
    </w:p>
    <w:p w14:paraId="06AED830" w14:textId="77777777" w:rsidR="00A748DE" w:rsidRDefault="00A748DE" w:rsidP="00A748DE">
      <w:pPr>
        <w:spacing w:after="0" w:line="240" w:lineRule="auto"/>
        <w:rPr>
          <w:rFonts w:ascii="Times New Roman" w:hAnsi="Times New Roman" w:cs="Times New Roman"/>
          <w:sz w:val="24"/>
          <w:szCs w:val="28"/>
        </w:rPr>
      </w:pPr>
    </w:p>
    <w:p w14:paraId="7CA8708B" w14:textId="77777777" w:rsidR="00A748DE" w:rsidRPr="00FA153F" w:rsidRDefault="00A748DE" w:rsidP="00A748DE">
      <w:pPr>
        <w:spacing w:after="0" w:line="240" w:lineRule="auto"/>
        <w:rPr>
          <w:rFonts w:ascii="Times New Roman" w:hAnsi="Times New Roman" w:cs="Times New Roman"/>
          <w:sz w:val="24"/>
          <w:szCs w:val="28"/>
        </w:rPr>
      </w:pPr>
    </w:p>
    <w:p w14:paraId="28AA86C7" w14:textId="3F906CD7"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06A6" w14:textId="77777777" w:rsidR="00724FFA" w:rsidRDefault="00724FFA" w:rsidP="0007278B">
      <w:pPr>
        <w:spacing w:after="0" w:line="240" w:lineRule="auto"/>
      </w:pPr>
      <w:r>
        <w:separator/>
      </w:r>
    </w:p>
  </w:endnote>
  <w:endnote w:type="continuationSeparator" w:id="0">
    <w:p w14:paraId="325F830C" w14:textId="77777777" w:rsidR="00724FFA" w:rsidRDefault="00724FFA" w:rsidP="0007278B">
      <w:pPr>
        <w:spacing w:after="0" w:line="240" w:lineRule="auto"/>
      </w:pPr>
      <w:r>
        <w:continuationSeparator/>
      </w:r>
    </w:p>
  </w:endnote>
  <w:endnote w:type="continuationNotice" w:id="1">
    <w:p w14:paraId="68A8CBBE" w14:textId="77777777" w:rsidR="00724FFA" w:rsidRDefault="00724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C417" w14:textId="77777777" w:rsidR="00786715" w:rsidRDefault="00786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33E0E80B" w:rsidR="009D7D59" w:rsidRPr="00F046BC" w:rsidRDefault="009D7D59" w:rsidP="00F046BC">
    <w:pPr>
      <w:pStyle w:val="Footer"/>
    </w:pPr>
    <w:r>
      <w:rPr>
        <w:rFonts w:ascii="Times New Roman" w:eastAsia="Times New Roman" w:hAnsi="Times New Roman" w:cs="Times New Roman"/>
        <w:sz w:val="20"/>
        <w:szCs w:val="20"/>
        <w:lang w:eastAsia="lv-LV"/>
      </w:rPr>
      <w:t>VManot_</w:t>
    </w:r>
    <w:r w:rsidR="00C613F7">
      <w:rPr>
        <w:rFonts w:ascii="Times New Roman" w:eastAsia="Times New Roman" w:hAnsi="Times New Roman" w:cs="Times New Roman"/>
        <w:sz w:val="20"/>
        <w:szCs w:val="20"/>
        <w:lang w:eastAsia="lv-LV"/>
      </w:rPr>
      <w:t>1</w:t>
    </w:r>
    <w:r w:rsidR="00786715">
      <w:rPr>
        <w:rFonts w:ascii="Times New Roman" w:eastAsia="Times New Roman" w:hAnsi="Times New Roman" w:cs="Times New Roman"/>
        <w:sz w:val="20"/>
        <w:szCs w:val="20"/>
        <w:lang w:eastAsia="lv-LV"/>
      </w:rPr>
      <w:t>3</w:t>
    </w:r>
    <w:r w:rsidR="00C613F7">
      <w:rPr>
        <w:rFonts w:ascii="Times New Roman" w:eastAsia="Times New Roman" w:hAnsi="Times New Roman" w:cs="Times New Roman"/>
        <w:sz w:val="20"/>
        <w:szCs w:val="20"/>
        <w:lang w:eastAsia="lv-LV"/>
      </w:rPr>
      <w:t>08</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733504EA" w:rsidR="009D7D59" w:rsidRPr="007E4536" w:rsidRDefault="007E4536" w:rsidP="007E4536">
    <w:pPr>
      <w:pStyle w:val="Footer"/>
    </w:pPr>
    <w:r>
      <w:rPr>
        <w:rFonts w:ascii="Times New Roman" w:eastAsia="Times New Roman" w:hAnsi="Times New Roman" w:cs="Times New Roman"/>
        <w:sz w:val="20"/>
        <w:szCs w:val="20"/>
        <w:lang w:eastAsia="lv-LV"/>
      </w:rPr>
      <w:t>VManot_</w:t>
    </w:r>
    <w:r w:rsidR="00C613F7">
      <w:rPr>
        <w:rFonts w:ascii="Times New Roman" w:eastAsia="Times New Roman" w:hAnsi="Times New Roman" w:cs="Times New Roman"/>
        <w:sz w:val="20"/>
        <w:szCs w:val="20"/>
        <w:lang w:eastAsia="lv-LV"/>
      </w:rPr>
      <w:t>1</w:t>
    </w:r>
    <w:r w:rsidR="00786715">
      <w:rPr>
        <w:rFonts w:ascii="Times New Roman" w:eastAsia="Times New Roman" w:hAnsi="Times New Roman" w:cs="Times New Roman"/>
        <w:sz w:val="20"/>
        <w:szCs w:val="20"/>
        <w:lang w:eastAsia="lv-LV"/>
      </w:rPr>
      <w:t>3</w:t>
    </w:r>
    <w:r w:rsidR="00C613F7">
      <w:rPr>
        <w:rFonts w:ascii="Times New Roman" w:eastAsia="Times New Roman" w:hAnsi="Times New Roman" w:cs="Times New Roman"/>
        <w:sz w:val="20"/>
        <w:szCs w:val="20"/>
        <w:lang w:eastAsia="lv-LV"/>
      </w:rPr>
      <w:t>08</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A9ED" w14:textId="77777777" w:rsidR="00724FFA" w:rsidRDefault="00724FFA" w:rsidP="0007278B">
      <w:pPr>
        <w:spacing w:after="0" w:line="240" w:lineRule="auto"/>
      </w:pPr>
      <w:r>
        <w:separator/>
      </w:r>
    </w:p>
  </w:footnote>
  <w:footnote w:type="continuationSeparator" w:id="0">
    <w:p w14:paraId="1358FF8E" w14:textId="77777777" w:rsidR="00724FFA" w:rsidRDefault="00724FFA" w:rsidP="0007278B">
      <w:pPr>
        <w:spacing w:after="0" w:line="240" w:lineRule="auto"/>
      </w:pPr>
      <w:r>
        <w:continuationSeparator/>
      </w:r>
    </w:p>
  </w:footnote>
  <w:footnote w:type="continuationNotice" w:id="1">
    <w:p w14:paraId="2B9B11A5" w14:textId="77777777" w:rsidR="00724FFA" w:rsidRDefault="00724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AD79" w14:textId="77777777" w:rsidR="00786715" w:rsidRDefault="0078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3B8D" w14:textId="77777777" w:rsidR="00786715" w:rsidRDefault="00786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5AB2A2E"/>
    <w:multiLevelType w:val="hybridMultilevel"/>
    <w:tmpl w:val="96D4BAEE"/>
    <w:lvl w:ilvl="0" w:tplc="F4DC50C8">
      <w:start w:val="1"/>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6"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8579B"/>
    <w:multiLevelType w:val="hybridMultilevel"/>
    <w:tmpl w:val="38A2E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6"/>
  </w:num>
  <w:num w:numId="5">
    <w:abstractNumId w:val="18"/>
  </w:num>
  <w:num w:numId="6">
    <w:abstractNumId w:val="12"/>
  </w:num>
  <w:num w:numId="7">
    <w:abstractNumId w:val="7"/>
  </w:num>
  <w:num w:numId="8">
    <w:abstractNumId w:val="10"/>
  </w:num>
  <w:num w:numId="9">
    <w:abstractNumId w:val="6"/>
  </w:num>
  <w:num w:numId="10">
    <w:abstractNumId w:val="11"/>
  </w:num>
  <w:num w:numId="11">
    <w:abstractNumId w:val="3"/>
  </w:num>
  <w:num w:numId="12">
    <w:abstractNumId w:val="14"/>
  </w:num>
  <w:num w:numId="13">
    <w:abstractNumId w:val="1"/>
  </w:num>
  <w:num w:numId="14">
    <w:abstractNumId w:val="0"/>
  </w:num>
  <w:num w:numId="15">
    <w:abstractNumId w:val="8"/>
  </w:num>
  <w:num w:numId="16">
    <w:abstractNumId w:val="19"/>
  </w:num>
  <w:num w:numId="17">
    <w:abstractNumId w:val="2"/>
  </w:num>
  <w:num w:numId="18">
    <w:abstractNumId w:val="5"/>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457B"/>
    <w:rsid w:val="000254EB"/>
    <w:rsid w:val="00031D93"/>
    <w:rsid w:val="00032EF2"/>
    <w:rsid w:val="00041FB2"/>
    <w:rsid w:val="00057EB1"/>
    <w:rsid w:val="00066E5F"/>
    <w:rsid w:val="0007278B"/>
    <w:rsid w:val="00074908"/>
    <w:rsid w:val="00075D37"/>
    <w:rsid w:val="00085A5A"/>
    <w:rsid w:val="00087335"/>
    <w:rsid w:val="00087A23"/>
    <w:rsid w:val="00092597"/>
    <w:rsid w:val="00095861"/>
    <w:rsid w:val="000976F2"/>
    <w:rsid w:val="000A1151"/>
    <w:rsid w:val="000A4D59"/>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D0"/>
    <w:rsid w:val="001E1D31"/>
    <w:rsid w:val="001E7831"/>
    <w:rsid w:val="001F3A4A"/>
    <w:rsid w:val="001F425F"/>
    <w:rsid w:val="001F7E87"/>
    <w:rsid w:val="00201BA6"/>
    <w:rsid w:val="002033F4"/>
    <w:rsid w:val="0023721B"/>
    <w:rsid w:val="00242A4C"/>
    <w:rsid w:val="002519EE"/>
    <w:rsid w:val="00252768"/>
    <w:rsid w:val="002562FA"/>
    <w:rsid w:val="00263B22"/>
    <w:rsid w:val="00267D85"/>
    <w:rsid w:val="00272F7D"/>
    <w:rsid w:val="00276A81"/>
    <w:rsid w:val="00280A6B"/>
    <w:rsid w:val="00280B12"/>
    <w:rsid w:val="0029585A"/>
    <w:rsid w:val="002961D8"/>
    <w:rsid w:val="00297A0B"/>
    <w:rsid w:val="002A5E19"/>
    <w:rsid w:val="002A6C7F"/>
    <w:rsid w:val="002B14B8"/>
    <w:rsid w:val="002C3B6A"/>
    <w:rsid w:val="002C3CF3"/>
    <w:rsid w:val="002C5AC6"/>
    <w:rsid w:val="002C7628"/>
    <w:rsid w:val="002D5487"/>
    <w:rsid w:val="002E027E"/>
    <w:rsid w:val="002E02AA"/>
    <w:rsid w:val="002E0487"/>
    <w:rsid w:val="002E1AE9"/>
    <w:rsid w:val="002F15FE"/>
    <w:rsid w:val="002F181A"/>
    <w:rsid w:val="002F4B93"/>
    <w:rsid w:val="00302150"/>
    <w:rsid w:val="003117FB"/>
    <w:rsid w:val="00316074"/>
    <w:rsid w:val="00317FDB"/>
    <w:rsid w:val="00325FDE"/>
    <w:rsid w:val="0033349E"/>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87CFE"/>
    <w:rsid w:val="0039061D"/>
    <w:rsid w:val="00390B4E"/>
    <w:rsid w:val="003A0E17"/>
    <w:rsid w:val="003A29E2"/>
    <w:rsid w:val="003A376A"/>
    <w:rsid w:val="003A3C5A"/>
    <w:rsid w:val="003A42C4"/>
    <w:rsid w:val="003A5C4E"/>
    <w:rsid w:val="003B4887"/>
    <w:rsid w:val="003C1921"/>
    <w:rsid w:val="003C3A51"/>
    <w:rsid w:val="003D1230"/>
    <w:rsid w:val="003D15E2"/>
    <w:rsid w:val="003E4BEA"/>
    <w:rsid w:val="004059A2"/>
    <w:rsid w:val="0041142C"/>
    <w:rsid w:val="00412439"/>
    <w:rsid w:val="004231CC"/>
    <w:rsid w:val="00425035"/>
    <w:rsid w:val="004253C1"/>
    <w:rsid w:val="00425B3A"/>
    <w:rsid w:val="00426EE3"/>
    <w:rsid w:val="00430050"/>
    <w:rsid w:val="0043148E"/>
    <w:rsid w:val="00454E76"/>
    <w:rsid w:val="00456B73"/>
    <w:rsid w:val="00457B37"/>
    <w:rsid w:val="00470FB8"/>
    <w:rsid w:val="00473581"/>
    <w:rsid w:val="00480999"/>
    <w:rsid w:val="00483A03"/>
    <w:rsid w:val="00487206"/>
    <w:rsid w:val="0049311E"/>
    <w:rsid w:val="00497DBB"/>
    <w:rsid w:val="004A2382"/>
    <w:rsid w:val="004A3552"/>
    <w:rsid w:val="004A5598"/>
    <w:rsid w:val="004B402F"/>
    <w:rsid w:val="004C7B99"/>
    <w:rsid w:val="004D5AE2"/>
    <w:rsid w:val="004E084F"/>
    <w:rsid w:val="004E2D9C"/>
    <w:rsid w:val="004F4AAB"/>
    <w:rsid w:val="004F738C"/>
    <w:rsid w:val="004F7F24"/>
    <w:rsid w:val="00502DFD"/>
    <w:rsid w:val="00504320"/>
    <w:rsid w:val="005152B1"/>
    <w:rsid w:val="00515636"/>
    <w:rsid w:val="00530064"/>
    <w:rsid w:val="0053215F"/>
    <w:rsid w:val="00534268"/>
    <w:rsid w:val="00535888"/>
    <w:rsid w:val="0055413D"/>
    <w:rsid w:val="00555929"/>
    <w:rsid w:val="00573277"/>
    <w:rsid w:val="005735D4"/>
    <w:rsid w:val="005758FB"/>
    <w:rsid w:val="005764B7"/>
    <w:rsid w:val="0059150F"/>
    <w:rsid w:val="00592BEF"/>
    <w:rsid w:val="00593BC7"/>
    <w:rsid w:val="0059599E"/>
    <w:rsid w:val="005A1388"/>
    <w:rsid w:val="005A1ABA"/>
    <w:rsid w:val="005A3731"/>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2EC0"/>
    <w:rsid w:val="006C5703"/>
    <w:rsid w:val="006D1AD8"/>
    <w:rsid w:val="006D22E5"/>
    <w:rsid w:val="006D6DB7"/>
    <w:rsid w:val="006E6DC9"/>
    <w:rsid w:val="0071090F"/>
    <w:rsid w:val="007223FE"/>
    <w:rsid w:val="00724197"/>
    <w:rsid w:val="00724FFA"/>
    <w:rsid w:val="00727E9F"/>
    <w:rsid w:val="00731409"/>
    <w:rsid w:val="0074015C"/>
    <w:rsid w:val="00742B05"/>
    <w:rsid w:val="00742C84"/>
    <w:rsid w:val="00746CE6"/>
    <w:rsid w:val="0075152B"/>
    <w:rsid w:val="007518AA"/>
    <w:rsid w:val="007522F6"/>
    <w:rsid w:val="00786715"/>
    <w:rsid w:val="0079688F"/>
    <w:rsid w:val="007A71FC"/>
    <w:rsid w:val="007B0528"/>
    <w:rsid w:val="007C3F73"/>
    <w:rsid w:val="007C74EF"/>
    <w:rsid w:val="007D7575"/>
    <w:rsid w:val="007E2963"/>
    <w:rsid w:val="007E4536"/>
    <w:rsid w:val="007E7B78"/>
    <w:rsid w:val="007E7EF7"/>
    <w:rsid w:val="00802A02"/>
    <w:rsid w:val="00805BE3"/>
    <w:rsid w:val="00812A8C"/>
    <w:rsid w:val="00823469"/>
    <w:rsid w:val="008314E5"/>
    <w:rsid w:val="00863944"/>
    <w:rsid w:val="008670E6"/>
    <w:rsid w:val="008723FA"/>
    <w:rsid w:val="00882A36"/>
    <w:rsid w:val="00882DBA"/>
    <w:rsid w:val="00886392"/>
    <w:rsid w:val="00886D79"/>
    <w:rsid w:val="008A2D6D"/>
    <w:rsid w:val="008A49BF"/>
    <w:rsid w:val="008B1BB5"/>
    <w:rsid w:val="008B3101"/>
    <w:rsid w:val="008B3BDF"/>
    <w:rsid w:val="008C062B"/>
    <w:rsid w:val="008C242E"/>
    <w:rsid w:val="008C46AB"/>
    <w:rsid w:val="008C5F53"/>
    <w:rsid w:val="008C7FF7"/>
    <w:rsid w:val="008E0B61"/>
    <w:rsid w:val="008E15C0"/>
    <w:rsid w:val="008E4C7D"/>
    <w:rsid w:val="009031F5"/>
    <w:rsid w:val="00903727"/>
    <w:rsid w:val="00911954"/>
    <w:rsid w:val="00914064"/>
    <w:rsid w:val="00922F28"/>
    <w:rsid w:val="00923553"/>
    <w:rsid w:val="0093129C"/>
    <w:rsid w:val="00946B3B"/>
    <w:rsid w:val="00950838"/>
    <w:rsid w:val="00955A5B"/>
    <w:rsid w:val="00957143"/>
    <w:rsid w:val="00960E90"/>
    <w:rsid w:val="009763A8"/>
    <w:rsid w:val="009771E5"/>
    <w:rsid w:val="00977FBF"/>
    <w:rsid w:val="0099298E"/>
    <w:rsid w:val="0099398F"/>
    <w:rsid w:val="00995645"/>
    <w:rsid w:val="00995846"/>
    <w:rsid w:val="009A3982"/>
    <w:rsid w:val="009A412D"/>
    <w:rsid w:val="009A5645"/>
    <w:rsid w:val="009A72BC"/>
    <w:rsid w:val="009B370A"/>
    <w:rsid w:val="009B3BE8"/>
    <w:rsid w:val="009B3CEC"/>
    <w:rsid w:val="009B775D"/>
    <w:rsid w:val="009D3273"/>
    <w:rsid w:val="009D4395"/>
    <w:rsid w:val="009D7D59"/>
    <w:rsid w:val="009E1D54"/>
    <w:rsid w:val="009E5C6B"/>
    <w:rsid w:val="009E60C7"/>
    <w:rsid w:val="009F13B8"/>
    <w:rsid w:val="00A03EFD"/>
    <w:rsid w:val="00A1243C"/>
    <w:rsid w:val="00A1381F"/>
    <w:rsid w:val="00A15AA7"/>
    <w:rsid w:val="00A16FD6"/>
    <w:rsid w:val="00A17EEC"/>
    <w:rsid w:val="00A235BA"/>
    <w:rsid w:val="00A30813"/>
    <w:rsid w:val="00A36D97"/>
    <w:rsid w:val="00A40AFD"/>
    <w:rsid w:val="00A504C8"/>
    <w:rsid w:val="00A52342"/>
    <w:rsid w:val="00A57DA2"/>
    <w:rsid w:val="00A63523"/>
    <w:rsid w:val="00A748DE"/>
    <w:rsid w:val="00A751EC"/>
    <w:rsid w:val="00A764CA"/>
    <w:rsid w:val="00A7687B"/>
    <w:rsid w:val="00AA0090"/>
    <w:rsid w:val="00AA6D8E"/>
    <w:rsid w:val="00AB0F8D"/>
    <w:rsid w:val="00AC31B5"/>
    <w:rsid w:val="00AC3E32"/>
    <w:rsid w:val="00AD1C41"/>
    <w:rsid w:val="00AD7072"/>
    <w:rsid w:val="00AE31DA"/>
    <w:rsid w:val="00AE4EFC"/>
    <w:rsid w:val="00AE5FBE"/>
    <w:rsid w:val="00AF30FC"/>
    <w:rsid w:val="00B06392"/>
    <w:rsid w:val="00B07CE3"/>
    <w:rsid w:val="00B12CC7"/>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3FDD"/>
    <w:rsid w:val="00B86F86"/>
    <w:rsid w:val="00B90A06"/>
    <w:rsid w:val="00BB103E"/>
    <w:rsid w:val="00BB2713"/>
    <w:rsid w:val="00BC4A6D"/>
    <w:rsid w:val="00BC7E1B"/>
    <w:rsid w:val="00BD50E2"/>
    <w:rsid w:val="00BE5426"/>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3F7"/>
    <w:rsid w:val="00C61CB2"/>
    <w:rsid w:val="00C704F2"/>
    <w:rsid w:val="00C71CC7"/>
    <w:rsid w:val="00C74659"/>
    <w:rsid w:val="00C800E2"/>
    <w:rsid w:val="00C80A89"/>
    <w:rsid w:val="00C901A8"/>
    <w:rsid w:val="00C94620"/>
    <w:rsid w:val="00CA5686"/>
    <w:rsid w:val="00CA6A47"/>
    <w:rsid w:val="00CB1936"/>
    <w:rsid w:val="00CB60A4"/>
    <w:rsid w:val="00CC0385"/>
    <w:rsid w:val="00CC0EA9"/>
    <w:rsid w:val="00CD26BC"/>
    <w:rsid w:val="00CE166E"/>
    <w:rsid w:val="00CE4139"/>
    <w:rsid w:val="00CF3D8A"/>
    <w:rsid w:val="00CF4976"/>
    <w:rsid w:val="00D0462F"/>
    <w:rsid w:val="00D20561"/>
    <w:rsid w:val="00D2383A"/>
    <w:rsid w:val="00D26DA9"/>
    <w:rsid w:val="00D32189"/>
    <w:rsid w:val="00D322A9"/>
    <w:rsid w:val="00D43B94"/>
    <w:rsid w:val="00D43FD1"/>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20F53"/>
    <w:rsid w:val="00E2222F"/>
    <w:rsid w:val="00E31492"/>
    <w:rsid w:val="00E37B29"/>
    <w:rsid w:val="00E402A6"/>
    <w:rsid w:val="00E4195C"/>
    <w:rsid w:val="00E41AB7"/>
    <w:rsid w:val="00E422C4"/>
    <w:rsid w:val="00E5298D"/>
    <w:rsid w:val="00E551E9"/>
    <w:rsid w:val="00E578A8"/>
    <w:rsid w:val="00E57C60"/>
    <w:rsid w:val="00E61EAE"/>
    <w:rsid w:val="00E6284D"/>
    <w:rsid w:val="00E67090"/>
    <w:rsid w:val="00E70E37"/>
    <w:rsid w:val="00E7205F"/>
    <w:rsid w:val="00E72A4E"/>
    <w:rsid w:val="00E804E9"/>
    <w:rsid w:val="00E909EF"/>
    <w:rsid w:val="00E93BD2"/>
    <w:rsid w:val="00E94387"/>
    <w:rsid w:val="00EA00E8"/>
    <w:rsid w:val="00EB18C7"/>
    <w:rsid w:val="00EC33C6"/>
    <w:rsid w:val="00EC4FFC"/>
    <w:rsid w:val="00EC7B41"/>
    <w:rsid w:val="00ED74EF"/>
    <w:rsid w:val="00EE3EFE"/>
    <w:rsid w:val="00EF5D0E"/>
    <w:rsid w:val="00EF6116"/>
    <w:rsid w:val="00F046BC"/>
    <w:rsid w:val="00F0629B"/>
    <w:rsid w:val="00F12CA2"/>
    <w:rsid w:val="00F13454"/>
    <w:rsid w:val="00F15DCD"/>
    <w:rsid w:val="00F200EA"/>
    <w:rsid w:val="00F23674"/>
    <w:rsid w:val="00F26541"/>
    <w:rsid w:val="00F30098"/>
    <w:rsid w:val="00F30AEB"/>
    <w:rsid w:val="00F35B81"/>
    <w:rsid w:val="00F45121"/>
    <w:rsid w:val="00F64DDA"/>
    <w:rsid w:val="00F65FB1"/>
    <w:rsid w:val="00F67E68"/>
    <w:rsid w:val="00F71269"/>
    <w:rsid w:val="00F74BAD"/>
    <w:rsid w:val="00F803D1"/>
    <w:rsid w:val="00F8151E"/>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227956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8110">
          <w:marLeft w:val="0"/>
          <w:marRight w:val="0"/>
          <w:marTop w:val="0"/>
          <w:marBottom w:val="0"/>
          <w:divBdr>
            <w:top w:val="none" w:sz="0" w:space="0" w:color="auto"/>
            <w:left w:val="none" w:sz="0" w:space="0" w:color="auto"/>
            <w:bottom w:val="none" w:sz="0" w:space="0" w:color="auto"/>
            <w:right w:val="none" w:sz="0" w:space="0" w:color="auto"/>
          </w:divBdr>
        </w:div>
        <w:div w:id="607279155">
          <w:marLeft w:val="0"/>
          <w:marRight w:val="0"/>
          <w:marTop w:val="0"/>
          <w:marBottom w:val="0"/>
          <w:divBdr>
            <w:top w:val="none" w:sz="0" w:space="0" w:color="auto"/>
            <w:left w:val="none" w:sz="0" w:space="0" w:color="auto"/>
            <w:bottom w:val="none" w:sz="0" w:space="0" w:color="auto"/>
            <w:right w:val="none" w:sz="0" w:space="0" w:color="auto"/>
          </w:divBdr>
        </w:div>
        <w:div w:id="770473885">
          <w:marLeft w:val="0"/>
          <w:marRight w:val="0"/>
          <w:marTop w:val="0"/>
          <w:marBottom w:val="0"/>
          <w:divBdr>
            <w:top w:val="none" w:sz="0" w:space="0" w:color="auto"/>
            <w:left w:val="none" w:sz="0" w:space="0" w:color="auto"/>
            <w:bottom w:val="none" w:sz="0" w:space="0" w:color="auto"/>
            <w:right w:val="none" w:sz="0" w:space="0" w:color="auto"/>
          </w:divBdr>
        </w:div>
        <w:div w:id="1697272442">
          <w:marLeft w:val="0"/>
          <w:marRight w:val="0"/>
          <w:marTop w:val="0"/>
          <w:marBottom w:val="0"/>
          <w:divBdr>
            <w:top w:val="none" w:sz="0" w:space="0" w:color="auto"/>
            <w:left w:val="none" w:sz="0" w:space="0" w:color="auto"/>
            <w:bottom w:val="none" w:sz="0" w:space="0" w:color="auto"/>
            <w:right w:val="none" w:sz="0" w:space="0" w:color="auto"/>
          </w:divBdr>
        </w:div>
        <w:div w:id="1052265991">
          <w:marLeft w:val="0"/>
          <w:marRight w:val="0"/>
          <w:marTop w:val="0"/>
          <w:marBottom w:val="0"/>
          <w:divBdr>
            <w:top w:val="none" w:sz="0" w:space="0" w:color="auto"/>
            <w:left w:val="none" w:sz="0" w:space="0" w:color="auto"/>
            <w:bottom w:val="none" w:sz="0" w:space="0" w:color="auto"/>
            <w:right w:val="none" w:sz="0" w:space="0" w:color="auto"/>
          </w:divBdr>
        </w:div>
      </w:divsChild>
    </w:div>
    <w:div w:id="33057018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58002592">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03743732">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va.gov.lv/lv/veselibas-aprupes-specialistiem-un-iestadem/zales/vakcinas-pret-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5087</Words>
  <Characters>2900</Characters>
  <Application>Microsoft Office Word</Application>
  <DocSecurity>0</DocSecurity>
  <Lines>24</Lines>
  <Paragraphs>15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Dace Spaliņa</cp:lastModifiedBy>
  <cp:revision>5</cp:revision>
  <cp:lastPrinted>2020-09-10T14:00:00Z</cp:lastPrinted>
  <dcterms:created xsi:type="dcterms:W3CDTF">2021-08-13T11:03:00Z</dcterms:created>
  <dcterms:modified xsi:type="dcterms:W3CDTF">2021-08-16T14:54:00Z</dcterms:modified>
</cp:coreProperties>
</file>