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B62B" w14:textId="6D0CFAFA" w:rsidR="008C2713" w:rsidRPr="00053681" w:rsidRDefault="000D1CB0" w:rsidP="000D1CB0">
      <w:pPr>
        <w:shd w:val="clear" w:color="auto" w:fill="FFFFFF"/>
        <w:suppressAutoHyphens/>
        <w:spacing w:after="0" w:line="240" w:lineRule="auto"/>
        <w:rPr>
          <w:rFonts w:ascii="Times New Roman" w:eastAsia="Times New Roman" w:hAnsi="Times New Roman" w:cs="Times New Roman"/>
          <w:b/>
          <w:kern w:val="1"/>
          <w:sz w:val="28"/>
          <w:szCs w:val="28"/>
          <w:lang w:eastAsia="ar-SA"/>
        </w:rPr>
      </w:pPr>
      <w:bookmarkStart w:id="0" w:name="OLE_LINK1"/>
      <w:bookmarkStart w:id="1" w:name="OLE_LINK2"/>
      <w:bookmarkStart w:id="2" w:name="OLE_LINK3"/>
      <w:bookmarkStart w:id="3" w:name="OLE_LINK4"/>
      <w:r>
        <w:rPr>
          <w:rFonts w:ascii="Times New Roman" w:eastAsia="Times New Roman" w:hAnsi="Times New Roman" w:cs="Times New Roman"/>
          <w:b/>
          <w:bCs/>
          <w:kern w:val="1"/>
          <w:sz w:val="28"/>
          <w:szCs w:val="28"/>
          <w:lang w:eastAsia="ar-SA"/>
        </w:rPr>
        <w:t> </w:t>
      </w:r>
      <w:r w:rsidR="008C2713" w:rsidRPr="00053681">
        <w:rPr>
          <w:rFonts w:ascii="Times New Roman" w:eastAsia="Times New Roman" w:hAnsi="Times New Roman" w:cs="Times New Roman"/>
          <w:b/>
          <w:bCs/>
          <w:kern w:val="1"/>
          <w:sz w:val="28"/>
          <w:szCs w:val="28"/>
          <w:lang w:eastAsia="ar-SA"/>
        </w:rPr>
        <w:t>Ministru kabineta noteikumu projekta</w:t>
      </w:r>
      <w:r w:rsidR="008C2713" w:rsidRPr="00053681">
        <w:rPr>
          <w:rFonts w:ascii="Times New Roman" w:eastAsia="Times New Roman" w:hAnsi="Times New Roman" w:cs="Times New Roman"/>
          <w:b/>
          <w:kern w:val="1"/>
          <w:sz w:val="28"/>
          <w:szCs w:val="28"/>
          <w:lang w:eastAsia="ar-SA"/>
        </w:rPr>
        <w:t xml:space="preserve"> </w:t>
      </w:r>
      <w:r w:rsidR="00282FB4" w:rsidRPr="00053681">
        <w:rPr>
          <w:rFonts w:ascii="Times New Roman" w:eastAsia="Times New Roman" w:hAnsi="Times New Roman" w:cs="Times New Roman"/>
          <w:b/>
          <w:kern w:val="1"/>
          <w:sz w:val="28"/>
          <w:szCs w:val="28"/>
          <w:lang w:eastAsia="ar-SA"/>
        </w:rPr>
        <w:t>“</w:t>
      </w:r>
      <w:r w:rsidR="008C2713" w:rsidRPr="00053681">
        <w:rPr>
          <w:rFonts w:ascii="Times New Roman" w:eastAsia="Times New Roman" w:hAnsi="Times New Roman" w:cs="Times New Roman"/>
          <w:b/>
          <w:kern w:val="1"/>
          <w:sz w:val="28"/>
          <w:szCs w:val="28"/>
          <w:lang w:eastAsia="ar-SA"/>
        </w:rPr>
        <w:t>Grozījumi Ministru kabineta 2015.</w:t>
      </w:r>
      <w:r w:rsidR="00282FB4" w:rsidRPr="00053681">
        <w:rPr>
          <w:rFonts w:ascii="Times New Roman" w:eastAsia="Times New Roman" w:hAnsi="Times New Roman" w:cs="Times New Roman"/>
          <w:b/>
          <w:kern w:val="1"/>
          <w:sz w:val="28"/>
          <w:szCs w:val="28"/>
          <w:lang w:eastAsia="ar-SA"/>
        </w:rPr>
        <w:t xml:space="preserve"> </w:t>
      </w:r>
      <w:r w:rsidR="008C2713" w:rsidRPr="00053681">
        <w:rPr>
          <w:rFonts w:ascii="Times New Roman" w:eastAsia="Times New Roman" w:hAnsi="Times New Roman" w:cs="Times New Roman"/>
          <w:b/>
          <w:kern w:val="1"/>
          <w:sz w:val="28"/>
          <w:szCs w:val="28"/>
          <w:lang w:eastAsia="ar-SA"/>
        </w:rPr>
        <w:t>gada 3.</w:t>
      </w:r>
      <w:r w:rsidR="00282FB4" w:rsidRPr="00053681">
        <w:rPr>
          <w:rFonts w:ascii="Times New Roman" w:eastAsia="Times New Roman" w:hAnsi="Times New Roman" w:cs="Times New Roman"/>
          <w:b/>
          <w:kern w:val="1"/>
          <w:sz w:val="28"/>
          <w:szCs w:val="28"/>
          <w:lang w:eastAsia="ar-SA"/>
        </w:rPr>
        <w:t> </w:t>
      </w:r>
      <w:r w:rsidR="008C2713" w:rsidRPr="00053681">
        <w:rPr>
          <w:rFonts w:ascii="Times New Roman" w:eastAsia="Times New Roman" w:hAnsi="Times New Roman" w:cs="Times New Roman"/>
          <w:b/>
          <w:kern w:val="1"/>
          <w:sz w:val="28"/>
          <w:szCs w:val="28"/>
          <w:lang w:eastAsia="ar-SA"/>
        </w:rPr>
        <w:t>februāra noteikumos Nr.</w:t>
      </w:r>
      <w:r w:rsidR="00282FB4" w:rsidRPr="00053681">
        <w:rPr>
          <w:rFonts w:ascii="Times New Roman" w:eastAsia="Times New Roman" w:hAnsi="Times New Roman" w:cs="Times New Roman"/>
          <w:b/>
          <w:kern w:val="1"/>
          <w:sz w:val="28"/>
          <w:szCs w:val="28"/>
          <w:lang w:eastAsia="ar-SA"/>
        </w:rPr>
        <w:t xml:space="preserve"> </w:t>
      </w:r>
      <w:r w:rsidR="008C2713" w:rsidRPr="00053681">
        <w:rPr>
          <w:rFonts w:ascii="Times New Roman" w:eastAsia="Times New Roman" w:hAnsi="Times New Roman" w:cs="Times New Roman"/>
          <w:b/>
          <w:kern w:val="1"/>
          <w:sz w:val="28"/>
          <w:szCs w:val="28"/>
          <w:lang w:eastAsia="ar-SA"/>
        </w:rPr>
        <w:t xml:space="preserve">60 </w:t>
      </w:r>
      <w:r w:rsidR="00282FB4" w:rsidRPr="00053681">
        <w:rPr>
          <w:rFonts w:ascii="Times New Roman" w:eastAsia="Times New Roman" w:hAnsi="Times New Roman" w:cs="Times New Roman"/>
          <w:b/>
          <w:kern w:val="1"/>
          <w:sz w:val="28"/>
          <w:szCs w:val="28"/>
          <w:lang w:eastAsia="ar-SA"/>
        </w:rPr>
        <w:t>“</w:t>
      </w:r>
      <w:r w:rsidR="008C2713" w:rsidRPr="00053681">
        <w:rPr>
          <w:rFonts w:ascii="Times New Roman" w:eastAsia="Times New Roman" w:hAnsi="Times New Roman" w:cs="Times New Roman"/>
          <w:b/>
          <w:kern w:val="1"/>
          <w:sz w:val="28"/>
          <w:szCs w:val="28"/>
          <w:lang w:eastAsia="ar-SA"/>
        </w:rPr>
        <w:t xml:space="preserve">Kārtība, kādā piešķir valsts un Eiropas Savienības atbalstu pasākumam </w:t>
      </w:r>
      <w:r w:rsidR="00282FB4" w:rsidRPr="00053681">
        <w:rPr>
          <w:rFonts w:ascii="Times New Roman" w:eastAsia="Times New Roman" w:hAnsi="Times New Roman" w:cs="Times New Roman"/>
          <w:b/>
          <w:kern w:val="1"/>
          <w:sz w:val="28"/>
          <w:szCs w:val="28"/>
          <w:lang w:eastAsia="ar-SA"/>
        </w:rPr>
        <w:t>“</w:t>
      </w:r>
      <w:r w:rsidR="008C2713" w:rsidRPr="00053681">
        <w:rPr>
          <w:rFonts w:ascii="Times New Roman" w:eastAsia="Times New Roman" w:hAnsi="Times New Roman" w:cs="Times New Roman"/>
          <w:b/>
          <w:kern w:val="1"/>
          <w:sz w:val="28"/>
          <w:szCs w:val="28"/>
          <w:lang w:eastAsia="ar-SA"/>
        </w:rPr>
        <w:t>Ražotāju grupu un organizāciju izveide””</w:t>
      </w:r>
      <w:r w:rsidR="00282FB4" w:rsidRPr="00053681">
        <w:rPr>
          <w:rFonts w:ascii="Times New Roman" w:eastAsia="Times New Roman" w:hAnsi="Times New Roman" w:cs="Times New Roman"/>
          <w:b/>
          <w:kern w:val="1"/>
          <w:sz w:val="28"/>
          <w:szCs w:val="28"/>
          <w:lang w:eastAsia="ar-SA"/>
        </w:rPr>
        <w:t>”</w:t>
      </w:r>
      <w:r w:rsidR="008C2713" w:rsidRPr="00053681">
        <w:rPr>
          <w:rFonts w:ascii="Times New Roman" w:eastAsia="Times New Roman" w:hAnsi="Times New Roman" w:cs="Times New Roman"/>
          <w:b/>
          <w:kern w:val="1"/>
          <w:sz w:val="28"/>
          <w:szCs w:val="28"/>
          <w:lang w:eastAsia="ar-SA"/>
        </w:rPr>
        <w:t xml:space="preserve"> sākotnējās ietekmes novērtējuma ziņojums (anotācija)</w:t>
      </w:r>
    </w:p>
    <w:p w14:paraId="13EF58D5" w14:textId="77777777" w:rsidR="008C2713" w:rsidRPr="00D531C7" w:rsidRDefault="008C2713" w:rsidP="008C2713">
      <w:pPr>
        <w:shd w:val="clear" w:color="auto" w:fill="FFFFFF"/>
        <w:suppressAutoHyphens/>
        <w:spacing w:after="0" w:line="240" w:lineRule="auto"/>
        <w:rPr>
          <w:rFonts w:ascii="Times New Roman" w:eastAsia="Times New Roman" w:hAnsi="Times New Roman" w:cs="Times New Roman"/>
          <w:b/>
          <w:kern w:val="1"/>
          <w:sz w:val="24"/>
          <w:szCs w:val="24"/>
          <w:lang w:eastAsia="ar-SA"/>
        </w:rPr>
      </w:pPr>
    </w:p>
    <w:tbl>
      <w:tblPr>
        <w:tblW w:w="5167"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2"/>
        <w:gridCol w:w="5614"/>
      </w:tblGrid>
      <w:tr w:rsidR="008C2713" w:rsidRPr="00D531C7" w14:paraId="1D171D18" w14:textId="77777777" w:rsidTr="008C215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02F9940" w14:textId="77777777" w:rsidR="008C2713" w:rsidRPr="00D531C7" w:rsidRDefault="008C2713" w:rsidP="008C2713">
            <w:pPr>
              <w:spacing w:after="0" w:line="240" w:lineRule="auto"/>
              <w:rPr>
                <w:rFonts w:ascii="Times New Roman" w:eastAsia="Times New Roman" w:hAnsi="Times New Roman" w:cs="Times New Roman"/>
                <w:b/>
                <w:bCs/>
                <w:iCs/>
                <w:color w:val="414142"/>
                <w:sz w:val="24"/>
                <w:szCs w:val="24"/>
                <w:lang w:eastAsia="lv-LV"/>
              </w:rPr>
            </w:pPr>
            <w:r w:rsidRPr="00D531C7">
              <w:rPr>
                <w:rFonts w:ascii="Times New Roman" w:eastAsia="Times New Roman" w:hAnsi="Times New Roman" w:cs="Times New Roman"/>
                <w:b/>
                <w:bCs/>
                <w:iCs/>
                <w:color w:val="414142"/>
                <w:sz w:val="24"/>
                <w:szCs w:val="24"/>
                <w:lang w:eastAsia="lv-LV"/>
              </w:rPr>
              <w:t>Tiesību akta projekta anotācijas kopsavilkums</w:t>
            </w:r>
          </w:p>
        </w:tc>
      </w:tr>
      <w:tr w:rsidR="008C2713" w:rsidRPr="00D531C7" w14:paraId="4FE07FA7" w14:textId="77777777" w:rsidTr="008C215C">
        <w:trPr>
          <w:tblCellSpacing w:w="15" w:type="dxa"/>
        </w:trPr>
        <w:tc>
          <w:tcPr>
            <w:tcW w:w="1982" w:type="pct"/>
            <w:tcBorders>
              <w:top w:val="outset" w:sz="6" w:space="0" w:color="auto"/>
              <w:left w:val="outset" w:sz="6" w:space="0" w:color="auto"/>
              <w:bottom w:val="outset" w:sz="6" w:space="0" w:color="auto"/>
              <w:right w:val="outset" w:sz="6" w:space="0" w:color="auto"/>
            </w:tcBorders>
            <w:hideMark/>
          </w:tcPr>
          <w:p w14:paraId="1AC3EA54" w14:textId="77777777" w:rsidR="008C2713" w:rsidRPr="00D531C7" w:rsidRDefault="008C2713" w:rsidP="008C2713">
            <w:pPr>
              <w:spacing w:after="0" w:line="240" w:lineRule="auto"/>
              <w:rPr>
                <w:rFonts w:ascii="Times New Roman" w:eastAsia="Times New Roman" w:hAnsi="Times New Roman" w:cs="Times New Roman"/>
                <w:iCs/>
                <w:sz w:val="24"/>
                <w:szCs w:val="24"/>
                <w:lang w:eastAsia="lv-LV"/>
              </w:rPr>
            </w:pPr>
            <w:r w:rsidRPr="00D531C7">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9014C5D" w14:textId="73742E59" w:rsidR="008C2713" w:rsidRPr="00D531C7" w:rsidRDefault="008C2713" w:rsidP="008C2713">
            <w:pPr>
              <w:suppressAutoHyphens/>
              <w:spacing w:after="0" w:line="240" w:lineRule="auto"/>
              <w:ind w:right="140"/>
              <w:jc w:val="both"/>
              <w:rPr>
                <w:rFonts w:ascii="Times New Roman" w:eastAsia="Times New Roman" w:hAnsi="Times New Roman" w:cs="Times New Roman"/>
                <w:color w:val="000000"/>
                <w:kern w:val="1"/>
                <w:sz w:val="24"/>
                <w:szCs w:val="24"/>
                <w:lang w:eastAsia="ar-SA"/>
              </w:rPr>
            </w:pPr>
            <w:bookmarkStart w:id="4" w:name="_Hlk67492812"/>
            <w:r w:rsidRPr="00D531C7">
              <w:rPr>
                <w:rFonts w:ascii="Times New Roman" w:eastAsia="Times New Roman" w:hAnsi="Times New Roman" w:cs="Times New Roman"/>
                <w:kern w:val="1"/>
                <w:sz w:val="24"/>
                <w:szCs w:val="24"/>
                <w:lang w:eastAsia="ar-SA"/>
              </w:rPr>
              <w:t>Ministru kabineta noteikumu projekta “</w:t>
            </w:r>
            <w:r w:rsidRPr="00D531C7">
              <w:rPr>
                <w:rFonts w:ascii="Times New Roman" w:eastAsia="Times New Roman" w:hAnsi="Times New Roman" w:cs="Times New Roman"/>
                <w:bCs/>
                <w:kern w:val="1"/>
                <w:sz w:val="24"/>
                <w:szCs w:val="24"/>
                <w:lang w:eastAsia="ar-SA"/>
              </w:rPr>
              <w:t xml:space="preserve">Grozījumi Ministru kabineta </w:t>
            </w:r>
            <w:r w:rsidRPr="00D531C7">
              <w:rPr>
                <w:rFonts w:ascii="Times New Roman" w:eastAsia="Times New Roman" w:hAnsi="Times New Roman" w:cs="Times New Roman"/>
                <w:kern w:val="1"/>
                <w:sz w:val="24"/>
                <w:szCs w:val="24"/>
                <w:lang w:eastAsia="ar-SA"/>
              </w:rPr>
              <w:t>2015.</w:t>
            </w:r>
            <w:r w:rsidR="00282FB4"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gada 3.</w:t>
            </w:r>
            <w:r w:rsidR="00282FB4"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februāra noteikumos Nr.</w:t>
            </w:r>
            <w:r w:rsidR="00282FB4"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 xml:space="preserve">60 </w:t>
            </w:r>
            <w:r w:rsidR="00282FB4"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 xml:space="preserve">Kārtība, kādā piešķir valsts un Eiropas Savienības atbalstu pasākumam </w:t>
            </w:r>
            <w:r w:rsidR="00282FB4"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Ražotāju grupu un organizāciju izveide””</w:t>
            </w:r>
            <w:r w:rsidR="00282FB4"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 xml:space="preserve"> (turpmāk – noteikumu projekts</w:t>
            </w:r>
            <w:bookmarkEnd w:id="4"/>
            <w:r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color w:val="000000"/>
                <w:kern w:val="1"/>
                <w:sz w:val="24"/>
                <w:szCs w:val="24"/>
                <w:lang w:eastAsia="ar-SA"/>
              </w:rPr>
              <w:t xml:space="preserve">mērķis ir </w:t>
            </w:r>
          </w:p>
          <w:p w14:paraId="71DB804C" w14:textId="41C1676C" w:rsidR="008C2713" w:rsidRPr="00D531C7" w:rsidRDefault="00E91793" w:rsidP="001064BB">
            <w:pPr>
              <w:numPr>
                <w:ilvl w:val="0"/>
                <w:numId w:val="4"/>
              </w:numPr>
              <w:suppressAutoHyphens/>
              <w:spacing w:after="0" w:line="240" w:lineRule="auto"/>
              <w:ind w:left="451" w:right="140"/>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precizēt</w:t>
            </w:r>
            <w:r w:rsidR="008C2713" w:rsidRPr="00D531C7">
              <w:rPr>
                <w:rFonts w:ascii="Times New Roman" w:eastAsia="Times New Roman" w:hAnsi="Times New Roman" w:cs="Times New Roman"/>
                <w:sz w:val="24"/>
                <w:szCs w:val="24"/>
                <w:lang w:eastAsia="lv-LV"/>
              </w:rPr>
              <w:t xml:space="preserve"> izveides atbalst</w:t>
            </w:r>
            <w:r w:rsidRPr="00D531C7">
              <w:rPr>
                <w:rFonts w:ascii="Times New Roman" w:eastAsia="Times New Roman" w:hAnsi="Times New Roman" w:cs="Times New Roman"/>
                <w:sz w:val="24"/>
                <w:szCs w:val="24"/>
                <w:lang w:eastAsia="lv-LV"/>
              </w:rPr>
              <w:t>a saņemšanas nosacījumus atbilstīg</w:t>
            </w:r>
            <w:r w:rsidR="00024F64" w:rsidRPr="00D531C7">
              <w:rPr>
                <w:rFonts w:ascii="Times New Roman" w:eastAsia="Times New Roman" w:hAnsi="Times New Roman" w:cs="Times New Roman"/>
                <w:sz w:val="24"/>
                <w:szCs w:val="24"/>
                <w:lang w:eastAsia="lv-LV"/>
              </w:rPr>
              <w:t>o</w:t>
            </w:r>
            <w:r w:rsidRPr="00D531C7">
              <w:rPr>
                <w:rFonts w:ascii="Times New Roman" w:eastAsia="Times New Roman" w:hAnsi="Times New Roman" w:cs="Times New Roman"/>
                <w:sz w:val="24"/>
                <w:szCs w:val="24"/>
                <w:lang w:eastAsia="lv-LV"/>
              </w:rPr>
              <w:t xml:space="preserve"> kooperatīv</w:t>
            </w:r>
            <w:r w:rsidR="00024F64" w:rsidRPr="00D531C7">
              <w:rPr>
                <w:rFonts w:ascii="Times New Roman" w:eastAsia="Times New Roman" w:hAnsi="Times New Roman" w:cs="Times New Roman"/>
                <w:sz w:val="24"/>
                <w:szCs w:val="24"/>
                <w:lang w:eastAsia="lv-LV"/>
              </w:rPr>
              <w:t>o</w:t>
            </w:r>
            <w:r w:rsidRPr="00D531C7">
              <w:rPr>
                <w:rFonts w:ascii="Times New Roman" w:eastAsia="Times New Roman" w:hAnsi="Times New Roman" w:cs="Times New Roman"/>
                <w:sz w:val="24"/>
                <w:szCs w:val="24"/>
                <w:lang w:eastAsia="lv-LV"/>
              </w:rPr>
              <w:t xml:space="preserve"> sabiedrīb</w:t>
            </w:r>
            <w:r w:rsidR="00024F64" w:rsidRPr="00D531C7">
              <w:rPr>
                <w:rFonts w:ascii="Times New Roman" w:eastAsia="Times New Roman" w:hAnsi="Times New Roman" w:cs="Times New Roman"/>
                <w:sz w:val="24"/>
                <w:szCs w:val="24"/>
                <w:lang w:eastAsia="lv-LV"/>
              </w:rPr>
              <w:t>u izveidei</w:t>
            </w:r>
            <w:r w:rsidRPr="00D531C7">
              <w:rPr>
                <w:rFonts w:ascii="Times New Roman" w:eastAsia="Times New Roman" w:hAnsi="Times New Roman" w:cs="Times New Roman"/>
                <w:sz w:val="24"/>
                <w:szCs w:val="24"/>
                <w:lang w:eastAsia="lv-LV"/>
              </w:rPr>
              <w:t xml:space="preserve"> </w:t>
            </w:r>
            <w:r w:rsidR="008C2713" w:rsidRPr="00D531C7">
              <w:rPr>
                <w:rFonts w:ascii="Times New Roman" w:eastAsia="Times New Roman" w:hAnsi="Times New Roman" w:cs="Times New Roman"/>
                <w:sz w:val="24"/>
                <w:szCs w:val="24"/>
                <w:lang w:eastAsia="lv-LV"/>
              </w:rPr>
              <w:t>pārejas laikā starp diviem daudzgadu budžeta plānošanas periodiem;</w:t>
            </w:r>
          </w:p>
          <w:p w14:paraId="0CD5CEC3" w14:textId="77777777" w:rsidR="008C2713" w:rsidRPr="00D531C7" w:rsidRDefault="008C2713" w:rsidP="001064BB">
            <w:pPr>
              <w:numPr>
                <w:ilvl w:val="0"/>
                <w:numId w:val="4"/>
              </w:numPr>
              <w:suppressAutoHyphens/>
              <w:spacing w:after="0" w:line="240" w:lineRule="auto"/>
              <w:ind w:left="451" w:right="140"/>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paredzēt atbalstu sadarbības formu attīstībai, lai stiprinātu mazo un vidējo kooperatīvo sabiedrību tirgus varu, administratīvo un ekonomisko kapacitāti Covid-19 pandēmijas apstākļos.</w:t>
            </w:r>
          </w:p>
          <w:p w14:paraId="0169B8BB" w14:textId="77777777" w:rsidR="008C2713" w:rsidRPr="00D531C7" w:rsidRDefault="008C2713" w:rsidP="008C2713">
            <w:pPr>
              <w:tabs>
                <w:tab w:val="left" w:pos="142"/>
                <w:tab w:val="left" w:pos="677"/>
              </w:tabs>
              <w:spacing w:after="0" w:line="240" w:lineRule="auto"/>
              <w:jc w:val="both"/>
              <w:rPr>
                <w:rFonts w:ascii="Times New Roman" w:eastAsia="Calibri" w:hAnsi="Times New Roman" w:cs="Times New Roman"/>
                <w:sz w:val="24"/>
                <w:szCs w:val="24"/>
              </w:rPr>
            </w:pPr>
            <w:r w:rsidRPr="00D531C7">
              <w:rPr>
                <w:rFonts w:ascii="Times New Roman" w:eastAsia="Times New Roman" w:hAnsi="Times New Roman" w:cs="Times New Roman"/>
                <w:kern w:val="1"/>
                <w:sz w:val="24"/>
                <w:szCs w:val="24"/>
                <w:lang w:eastAsia="ar-SA"/>
              </w:rPr>
              <w:t>Noteikumu projekts stāsies spēkā nākamajā dienā pēc tā izsludināšanas oficiālajā izdevumā “Latvijas Vēstnesis”.</w:t>
            </w:r>
          </w:p>
        </w:tc>
      </w:tr>
    </w:tbl>
    <w:p w14:paraId="728DF977" w14:textId="77777777" w:rsidR="008C2713" w:rsidRPr="00D531C7" w:rsidRDefault="008C2713" w:rsidP="008C2713">
      <w:pPr>
        <w:shd w:val="clear" w:color="auto" w:fill="FFFFFF"/>
        <w:suppressAutoHyphens/>
        <w:spacing w:after="0" w:line="240" w:lineRule="auto"/>
        <w:rPr>
          <w:rFonts w:ascii="Times New Roman" w:eastAsia="Times New Roman" w:hAnsi="Times New Roman" w:cs="Times New Roman"/>
          <w:b/>
          <w:kern w:val="1"/>
          <w:sz w:val="24"/>
          <w:szCs w:val="24"/>
          <w:lang w:eastAsia="ar-SA"/>
        </w:rPr>
      </w:pPr>
    </w:p>
    <w:p w14:paraId="4BA840B1" w14:textId="77777777" w:rsidR="008C2713" w:rsidRPr="00D531C7" w:rsidRDefault="008C2713" w:rsidP="008C2713">
      <w:pPr>
        <w:shd w:val="clear" w:color="auto" w:fill="FFFFFF"/>
        <w:suppressAutoHyphens/>
        <w:spacing w:after="0" w:line="240" w:lineRule="auto"/>
        <w:rPr>
          <w:rFonts w:ascii="Times New Roman" w:eastAsia="Times New Roman" w:hAnsi="Times New Roman" w:cs="Times New Roman"/>
          <w:b/>
          <w:kern w:val="1"/>
          <w:sz w:val="24"/>
          <w:szCs w:val="24"/>
          <w:lang w:eastAsia="ar-SA"/>
        </w:rP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0"/>
        <w:gridCol w:w="2809"/>
        <w:gridCol w:w="5947"/>
      </w:tblGrid>
      <w:tr w:rsidR="008C2713" w:rsidRPr="00D531C7" w14:paraId="2FFD0B1D" w14:textId="77777777" w:rsidTr="008C215C">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C6A6E3" w14:textId="77777777" w:rsidR="008C2713" w:rsidRPr="00D531C7" w:rsidRDefault="008C2713" w:rsidP="008C2713">
            <w:pPr>
              <w:suppressAutoHyphens/>
              <w:spacing w:before="100" w:beforeAutospacing="1" w:after="100" w:afterAutospacing="1" w:line="293" w:lineRule="atLeast"/>
              <w:jc w:val="center"/>
              <w:rPr>
                <w:rFonts w:ascii="Times New Roman" w:eastAsia="Times New Roman" w:hAnsi="Times New Roman" w:cs="Times New Roman"/>
                <w:b/>
                <w:bCs/>
                <w:kern w:val="1"/>
                <w:sz w:val="24"/>
                <w:szCs w:val="24"/>
                <w:lang w:eastAsia="lv-LV"/>
              </w:rPr>
            </w:pPr>
            <w:r w:rsidRPr="00D531C7">
              <w:rPr>
                <w:rFonts w:ascii="Times New Roman" w:eastAsia="Times New Roman" w:hAnsi="Times New Roman" w:cs="Times New Roman"/>
                <w:b/>
                <w:bCs/>
                <w:kern w:val="1"/>
                <w:sz w:val="24"/>
                <w:szCs w:val="24"/>
                <w:lang w:eastAsia="lv-LV"/>
              </w:rPr>
              <w:t>I. Tiesību akta projekta izstrādes nepieciešamība</w:t>
            </w:r>
          </w:p>
        </w:tc>
      </w:tr>
      <w:tr w:rsidR="008C2713" w:rsidRPr="00D531C7" w14:paraId="6A01C90A" w14:textId="77777777" w:rsidTr="008C215C">
        <w:trPr>
          <w:trHeight w:val="324"/>
        </w:trPr>
        <w:tc>
          <w:tcPr>
            <w:tcW w:w="321" w:type="pct"/>
            <w:tcBorders>
              <w:top w:val="outset" w:sz="6" w:space="0" w:color="414142"/>
              <w:left w:val="outset" w:sz="6" w:space="0" w:color="414142"/>
              <w:bottom w:val="outset" w:sz="6" w:space="0" w:color="414142"/>
              <w:right w:val="outset" w:sz="6" w:space="0" w:color="414142"/>
            </w:tcBorders>
          </w:tcPr>
          <w:p w14:paraId="19A0174D" w14:textId="77777777" w:rsidR="008C2713" w:rsidRPr="00D531C7" w:rsidRDefault="008C2713" w:rsidP="008C2713">
            <w:pPr>
              <w:suppressAutoHyphens/>
              <w:spacing w:before="100" w:beforeAutospacing="1" w:after="100" w:afterAutospacing="1" w:line="293" w:lineRule="atLeast"/>
              <w:jc w:val="center"/>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tcPr>
          <w:p w14:paraId="2DAAAE8E"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Pamatojums</w:t>
            </w:r>
          </w:p>
        </w:tc>
        <w:tc>
          <w:tcPr>
            <w:tcW w:w="3178" w:type="pct"/>
            <w:tcBorders>
              <w:top w:val="outset" w:sz="6" w:space="0" w:color="414142"/>
              <w:left w:val="outset" w:sz="6" w:space="0" w:color="414142"/>
              <w:bottom w:val="outset" w:sz="6" w:space="0" w:color="414142"/>
              <w:right w:val="outset" w:sz="6" w:space="0" w:color="414142"/>
            </w:tcBorders>
          </w:tcPr>
          <w:p w14:paraId="4CB5F50C" w14:textId="7B86B522" w:rsidR="00357E22"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projekts ir sagatavots</w:t>
            </w:r>
            <w:r w:rsidR="00282FB4"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 xml:space="preserve"> pamatojoties uz</w:t>
            </w:r>
          </w:p>
          <w:p w14:paraId="3C0B39B5" w14:textId="34EE9814" w:rsidR="00357E22" w:rsidRPr="00D531C7" w:rsidRDefault="00357E22" w:rsidP="001064BB">
            <w:pPr>
              <w:pStyle w:val="Sarakstarindkopa"/>
              <w:numPr>
                <w:ilvl w:val="0"/>
                <w:numId w:val="5"/>
              </w:num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bCs/>
                <w:sz w:val="24"/>
                <w:szCs w:val="24"/>
                <w:lang w:eastAsia="lv-LV"/>
              </w:rPr>
              <w:t>Lauksaimniecības un lauku attīstības likuma 5.panta ceturto daļu;</w:t>
            </w:r>
          </w:p>
          <w:p w14:paraId="595579A9" w14:textId="3AEEF445" w:rsidR="008C2713" w:rsidRPr="00D531C7" w:rsidRDefault="008C2713" w:rsidP="001064BB">
            <w:pPr>
              <w:numPr>
                <w:ilvl w:val="0"/>
                <w:numId w:val="5"/>
              </w:numPr>
              <w:suppressAutoHyphens/>
              <w:spacing w:after="0" w:line="240" w:lineRule="auto"/>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Latvijas Lauku attīstības programmu 2014.–2020.</w:t>
            </w:r>
            <w:r w:rsidR="00282FB4"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gadam </w:t>
            </w:r>
            <w:r w:rsidR="00282FB4" w:rsidRPr="00D531C7">
              <w:rPr>
                <w:rFonts w:ascii="Times New Roman" w:eastAsia="Times New Roman" w:hAnsi="Times New Roman" w:cs="Times New Roman"/>
                <w:sz w:val="24"/>
                <w:szCs w:val="24"/>
                <w:lang w:eastAsia="lv-LV"/>
              </w:rPr>
              <w:t xml:space="preserve">un </w:t>
            </w:r>
            <w:r w:rsidRPr="00D531C7">
              <w:rPr>
                <w:rFonts w:ascii="Times New Roman" w:eastAsia="Times New Roman" w:hAnsi="Times New Roman" w:cs="Times New Roman"/>
                <w:sz w:val="24"/>
                <w:szCs w:val="24"/>
                <w:lang w:eastAsia="lv-LV"/>
              </w:rPr>
              <w:t>ņemot vērā Eiropas Parlamenta un Padomes 2020. gada 23. decembra Regulu (ES) 2020/2220</w:t>
            </w:r>
            <w:r w:rsidR="00282FB4"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 xml:space="preserve"> ar ko nosaka dažus pārejas noteikumus atbalstam no Eiropas Lauksaimniecības fonda lauku attīstībai (ELFLA) un Eiropas Lauksaimniecības garantiju fonda (ELGF) 2021. un 2022. gadā un ar ko attiecībā uz līdzekļiem un piemērošanu 2021. un 2022.</w:t>
            </w:r>
            <w:r w:rsidR="00282FB4"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gadā groza Regulas (ES) Nr. 1305/2013, (ES) Nr. 1306/2013 un (ES) Nr. 1307/2013, un attiecībā uz līdzekļiem un šāda atbalsta sadalījumu 2021. un 2022.</w:t>
            </w:r>
            <w:r w:rsidR="00282FB4"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gadā groza Regulu (ES) Nr. 1308/2013 (turpmāk – Regula 2020/2220)</w:t>
            </w:r>
            <w:r w:rsidR="00357E22" w:rsidRPr="00D531C7">
              <w:rPr>
                <w:rFonts w:ascii="Times New Roman" w:eastAsia="Times New Roman" w:hAnsi="Times New Roman" w:cs="Times New Roman"/>
                <w:sz w:val="24"/>
                <w:szCs w:val="24"/>
                <w:lang w:eastAsia="lv-LV"/>
              </w:rPr>
              <w:t>;</w:t>
            </w:r>
          </w:p>
          <w:p w14:paraId="2B40A4DF" w14:textId="55C2F248" w:rsidR="008C2713" w:rsidRPr="00D531C7" w:rsidRDefault="008C2713" w:rsidP="001064BB">
            <w:pPr>
              <w:numPr>
                <w:ilvl w:val="0"/>
                <w:numId w:val="5"/>
              </w:numPr>
              <w:suppressAutoHyphens/>
              <w:spacing w:after="0" w:line="240" w:lineRule="auto"/>
              <w:contextualSpacing/>
              <w:jc w:val="both"/>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sz w:val="24"/>
                <w:szCs w:val="24"/>
                <w:lang w:eastAsia="lv-LV"/>
              </w:rPr>
              <w:t>Ministru kabineta 2021.</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gada 17.</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februāra rīkojuma Nr.</w:t>
            </w:r>
            <w:r w:rsidR="00282FB4"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96 </w:t>
            </w:r>
            <w:r w:rsidR="000C0038"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 xml:space="preserve">Par finanšu līdzekļu piešķiršanu no valsts budžeta programmas </w:t>
            </w:r>
            <w:r w:rsidR="00282FB4"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Līdzekļi neparedzētiem gadījumiem</w:t>
            </w:r>
            <w:r w:rsidR="000C0038"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 xml:space="preserve"> (turpmāk – MK rīkojums) 1.5.</w:t>
            </w:r>
            <w:r w:rsidR="00282FB4"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apakšpunktu.</w:t>
            </w:r>
          </w:p>
        </w:tc>
      </w:tr>
      <w:tr w:rsidR="008C2713" w:rsidRPr="00D531C7" w14:paraId="5CC7022C" w14:textId="77777777" w:rsidTr="008C215C">
        <w:trPr>
          <w:trHeight w:val="324"/>
        </w:trPr>
        <w:tc>
          <w:tcPr>
            <w:tcW w:w="321" w:type="pct"/>
            <w:tcBorders>
              <w:top w:val="outset" w:sz="6" w:space="0" w:color="414142"/>
              <w:left w:val="outset" w:sz="6" w:space="0" w:color="414142"/>
              <w:bottom w:val="outset" w:sz="6" w:space="0" w:color="414142"/>
              <w:right w:val="outset" w:sz="6" w:space="0" w:color="414142"/>
            </w:tcBorders>
          </w:tcPr>
          <w:p w14:paraId="1E46AE61" w14:textId="77777777" w:rsidR="008C2713" w:rsidRDefault="008C2713" w:rsidP="008C2713">
            <w:pPr>
              <w:suppressAutoHyphens/>
              <w:spacing w:before="100" w:beforeAutospacing="1" w:after="100" w:afterAutospacing="1" w:line="293" w:lineRule="atLeast"/>
              <w:jc w:val="center"/>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2.</w:t>
            </w:r>
          </w:p>
          <w:p w14:paraId="618A7027" w14:textId="31477B01" w:rsidR="005A3B32" w:rsidRPr="00E3190E" w:rsidRDefault="005A3B32" w:rsidP="00E3190E">
            <w:pPr>
              <w:rPr>
                <w:rFonts w:ascii="Times New Roman" w:eastAsia="Times New Roman" w:hAnsi="Times New Roman" w:cs="Times New Roman"/>
                <w:sz w:val="24"/>
                <w:szCs w:val="24"/>
                <w:lang w:eastAsia="lv-LV"/>
              </w:rPr>
            </w:pPr>
          </w:p>
        </w:tc>
        <w:tc>
          <w:tcPr>
            <w:tcW w:w="1501" w:type="pct"/>
            <w:tcBorders>
              <w:top w:val="outset" w:sz="6" w:space="0" w:color="414142"/>
              <w:left w:val="outset" w:sz="6" w:space="0" w:color="414142"/>
              <w:bottom w:val="outset" w:sz="6" w:space="0" w:color="414142"/>
              <w:right w:val="outset" w:sz="6" w:space="0" w:color="414142"/>
            </w:tcBorders>
          </w:tcPr>
          <w:p w14:paraId="16FD7B1C"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lastRenderedPageBreak/>
              <w:t xml:space="preserve">Pašreizējā situācija un problēmas, kuru risināšanai tiesību akta projekts </w:t>
            </w:r>
            <w:r w:rsidRPr="00D531C7">
              <w:rPr>
                <w:rFonts w:ascii="Times New Roman" w:eastAsia="Times New Roman" w:hAnsi="Times New Roman" w:cs="Times New Roman"/>
                <w:kern w:val="1"/>
                <w:sz w:val="24"/>
                <w:szCs w:val="24"/>
                <w:lang w:eastAsia="lv-LV"/>
              </w:rPr>
              <w:lastRenderedPageBreak/>
              <w:t>izstrādāts, tiesiskā regulējuma mērķis un būtība</w:t>
            </w:r>
          </w:p>
        </w:tc>
        <w:tc>
          <w:tcPr>
            <w:tcW w:w="3178" w:type="pct"/>
            <w:tcBorders>
              <w:top w:val="outset" w:sz="6" w:space="0" w:color="414142"/>
              <w:left w:val="outset" w:sz="6" w:space="0" w:color="414142"/>
              <w:bottom w:val="outset" w:sz="6" w:space="0" w:color="414142"/>
              <w:right w:val="outset" w:sz="6" w:space="0" w:color="414142"/>
            </w:tcBorders>
          </w:tcPr>
          <w:p w14:paraId="1568AD14" w14:textId="1C14F8A2" w:rsidR="008C2713" w:rsidRPr="00D531C7" w:rsidRDefault="008C2713" w:rsidP="008C2713">
            <w:pPr>
              <w:tabs>
                <w:tab w:val="left" w:pos="915"/>
              </w:tabs>
              <w:suppressAutoHyphens/>
              <w:spacing w:after="0" w:line="240" w:lineRule="auto"/>
              <w:jc w:val="both"/>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lastRenderedPageBreak/>
              <w:t>Tā kā tiek pagarināta esošā plānošanas perioda 2014.</w:t>
            </w:r>
            <w:r w:rsidR="00282FB4" w:rsidRPr="00D531C7">
              <w:rPr>
                <w:rFonts w:ascii="Times New Roman" w:eastAsia="Times New Roman" w:hAnsi="Times New Roman" w:cs="Times New Roman"/>
                <w:kern w:val="1"/>
                <w:sz w:val="24"/>
                <w:szCs w:val="24"/>
                <w:lang w:eastAsia="lv-LV"/>
              </w:rPr>
              <w:t>–</w:t>
            </w:r>
            <w:r w:rsidRPr="00D531C7">
              <w:rPr>
                <w:rFonts w:ascii="Times New Roman" w:eastAsia="Times New Roman" w:hAnsi="Times New Roman" w:cs="Times New Roman"/>
                <w:kern w:val="1"/>
                <w:sz w:val="24"/>
                <w:szCs w:val="24"/>
                <w:lang w:eastAsia="lv-LV"/>
              </w:rPr>
              <w:t>2020.</w:t>
            </w:r>
            <w:r w:rsidR="00282FB4"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 xml:space="preserve">gadam atbalsta programmu īstenošana, nosakot 2021. un 2022. gadu </w:t>
            </w:r>
            <w:r w:rsidR="00282FB4" w:rsidRPr="00D531C7">
              <w:rPr>
                <w:rFonts w:ascii="Times New Roman" w:eastAsia="Times New Roman" w:hAnsi="Times New Roman" w:cs="Times New Roman"/>
                <w:kern w:val="1"/>
                <w:sz w:val="24"/>
                <w:szCs w:val="24"/>
                <w:lang w:eastAsia="lv-LV"/>
              </w:rPr>
              <w:t>par</w:t>
            </w:r>
            <w:r w:rsidRPr="00D531C7">
              <w:rPr>
                <w:rFonts w:ascii="Times New Roman" w:eastAsia="Times New Roman" w:hAnsi="Times New Roman" w:cs="Times New Roman"/>
                <w:kern w:val="1"/>
                <w:sz w:val="24"/>
                <w:szCs w:val="24"/>
                <w:lang w:eastAsia="lv-LV"/>
              </w:rPr>
              <w:t xml:space="preserve"> pārejas periodu, </w:t>
            </w:r>
            <w:r w:rsidR="00282FB4" w:rsidRPr="00D531C7">
              <w:rPr>
                <w:rFonts w:ascii="Times New Roman" w:eastAsia="Times New Roman" w:hAnsi="Times New Roman" w:cs="Times New Roman"/>
                <w:kern w:val="1"/>
                <w:sz w:val="24"/>
                <w:szCs w:val="24"/>
                <w:lang w:eastAsia="lv-LV"/>
              </w:rPr>
              <w:t xml:space="preserve">tad, ievērojot </w:t>
            </w:r>
            <w:r w:rsidRPr="00D531C7">
              <w:rPr>
                <w:rFonts w:ascii="Times New Roman" w:eastAsia="Times New Roman" w:hAnsi="Times New Roman" w:cs="Times New Roman"/>
                <w:kern w:val="1"/>
                <w:sz w:val="24"/>
                <w:szCs w:val="24"/>
                <w:lang w:eastAsia="lv-LV"/>
              </w:rPr>
              <w:t xml:space="preserve">arī MK </w:t>
            </w:r>
            <w:r w:rsidRPr="00D531C7">
              <w:rPr>
                <w:rFonts w:ascii="Times New Roman" w:eastAsia="Times New Roman" w:hAnsi="Times New Roman" w:cs="Times New Roman"/>
                <w:kern w:val="1"/>
                <w:sz w:val="24"/>
                <w:szCs w:val="24"/>
                <w:lang w:eastAsia="lv-LV"/>
              </w:rPr>
              <w:lastRenderedPageBreak/>
              <w:t>rīkojuma 1.5.</w:t>
            </w:r>
            <w:r w:rsidR="000C0038"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 xml:space="preserve">apakšpunktā minēto, ir </w:t>
            </w:r>
            <w:r w:rsidR="00282FB4" w:rsidRPr="00D531C7">
              <w:rPr>
                <w:rFonts w:ascii="Times New Roman" w:eastAsia="Times New Roman" w:hAnsi="Times New Roman" w:cs="Times New Roman"/>
                <w:kern w:val="1"/>
                <w:sz w:val="24"/>
                <w:szCs w:val="24"/>
                <w:lang w:eastAsia="lv-LV"/>
              </w:rPr>
              <w:t>jā</w:t>
            </w:r>
            <w:r w:rsidRPr="00D531C7">
              <w:rPr>
                <w:rFonts w:ascii="Times New Roman" w:eastAsia="Times New Roman" w:hAnsi="Times New Roman" w:cs="Times New Roman"/>
                <w:kern w:val="1"/>
                <w:sz w:val="24"/>
                <w:szCs w:val="24"/>
                <w:lang w:eastAsia="lv-LV"/>
              </w:rPr>
              <w:t>izdar</w:t>
            </w:r>
            <w:r w:rsidR="00282FB4" w:rsidRPr="00D531C7">
              <w:rPr>
                <w:rFonts w:ascii="Times New Roman" w:eastAsia="Times New Roman" w:hAnsi="Times New Roman" w:cs="Times New Roman"/>
                <w:kern w:val="1"/>
                <w:sz w:val="24"/>
                <w:szCs w:val="24"/>
                <w:lang w:eastAsia="lv-LV"/>
              </w:rPr>
              <w:t>a</w:t>
            </w:r>
            <w:r w:rsidRPr="00D531C7">
              <w:rPr>
                <w:rFonts w:ascii="Times New Roman" w:eastAsia="Times New Roman" w:hAnsi="Times New Roman" w:cs="Times New Roman"/>
                <w:kern w:val="1"/>
                <w:sz w:val="24"/>
                <w:szCs w:val="24"/>
                <w:lang w:eastAsia="lv-LV"/>
              </w:rPr>
              <w:t xml:space="preserve"> grozījum</w:t>
            </w:r>
            <w:r w:rsidR="00282FB4" w:rsidRPr="00D531C7">
              <w:rPr>
                <w:rFonts w:ascii="Times New Roman" w:eastAsia="Times New Roman" w:hAnsi="Times New Roman" w:cs="Times New Roman"/>
                <w:kern w:val="1"/>
                <w:sz w:val="24"/>
                <w:szCs w:val="24"/>
                <w:lang w:eastAsia="lv-LV"/>
              </w:rPr>
              <w:t>i</w:t>
            </w:r>
            <w:r w:rsidRPr="00D531C7">
              <w:rPr>
                <w:rFonts w:ascii="Times New Roman" w:eastAsia="Times New Roman" w:hAnsi="Times New Roman" w:cs="Times New Roman"/>
                <w:kern w:val="1"/>
                <w:sz w:val="24"/>
                <w:szCs w:val="24"/>
                <w:lang w:eastAsia="lv-LV"/>
              </w:rPr>
              <w:t xml:space="preserve"> Ministru kabineta 2015.</w:t>
            </w:r>
            <w:r w:rsidR="000C0038"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gada 3.</w:t>
            </w:r>
            <w:r w:rsidR="000C0038"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februāra noteikumos Nr.</w:t>
            </w:r>
            <w:r w:rsidR="000C0038"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 xml:space="preserve">60 </w:t>
            </w:r>
            <w:r w:rsidR="00282FB4" w:rsidRPr="00D531C7">
              <w:rPr>
                <w:rFonts w:ascii="Times New Roman" w:eastAsia="Times New Roman" w:hAnsi="Times New Roman" w:cs="Times New Roman"/>
                <w:kern w:val="1"/>
                <w:sz w:val="24"/>
                <w:szCs w:val="24"/>
                <w:lang w:eastAsia="lv-LV"/>
              </w:rPr>
              <w:t>“</w:t>
            </w:r>
            <w:r w:rsidRPr="00D531C7">
              <w:rPr>
                <w:rFonts w:ascii="Times New Roman" w:eastAsia="Times New Roman" w:hAnsi="Times New Roman" w:cs="Times New Roman"/>
                <w:kern w:val="1"/>
                <w:sz w:val="24"/>
                <w:szCs w:val="24"/>
                <w:lang w:eastAsia="lv-LV"/>
              </w:rPr>
              <w:t xml:space="preserve">Kārtība, kādā piešķir valsts un Eiropas Savienības atbalstu pasākumam </w:t>
            </w:r>
            <w:r w:rsidR="00282FB4" w:rsidRPr="00D531C7">
              <w:rPr>
                <w:rFonts w:ascii="Times New Roman" w:eastAsia="Times New Roman" w:hAnsi="Times New Roman" w:cs="Times New Roman"/>
                <w:kern w:val="1"/>
                <w:sz w:val="24"/>
                <w:szCs w:val="24"/>
                <w:lang w:eastAsia="lv-LV"/>
              </w:rPr>
              <w:t>“</w:t>
            </w:r>
            <w:r w:rsidRPr="00D531C7">
              <w:rPr>
                <w:rFonts w:ascii="Times New Roman" w:eastAsia="Times New Roman" w:hAnsi="Times New Roman" w:cs="Times New Roman"/>
                <w:kern w:val="1"/>
                <w:sz w:val="24"/>
                <w:szCs w:val="24"/>
                <w:lang w:eastAsia="lv-LV"/>
              </w:rPr>
              <w:t>Ražotāju grupu un organizāciju izveide”” (turpmāk – noteikumi).</w:t>
            </w:r>
          </w:p>
          <w:p w14:paraId="6BC48BD0" w14:textId="2DE941C3"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projekta 1.</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punkts paredz papildināt </w:t>
            </w:r>
            <w:r w:rsidR="000C0038" w:rsidRPr="00D531C7">
              <w:rPr>
                <w:rFonts w:ascii="Times New Roman" w:eastAsia="Times New Roman" w:hAnsi="Times New Roman" w:cs="Times New Roman"/>
                <w:sz w:val="24"/>
                <w:szCs w:val="24"/>
                <w:lang w:eastAsia="lv-LV"/>
              </w:rPr>
              <w:t>noteikumus</w:t>
            </w:r>
            <w:r w:rsidRPr="00D531C7">
              <w:rPr>
                <w:rFonts w:ascii="Times New Roman" w:eastAsia="Times New Roman" w:hAnsi="Times New Roman" w:cs="Times New Roman"/>
                <w:sz w:val="24"/>
                <w:szCs w:val="24"/>
                <w:lang w:eastAsia="lv-LV"/>
              </w:rPr>
              <w:t xml:space="preserve"> ar atsauci uz pārejas periodu, kā arī atbilstoši pārejas periodam</w:t>
            </w:r>
            <w:r w:rsidR="000C0038" w:rsidRPr="00D531C7">
              <w:rPr>
                <w:rFonts w:ascii="Times New Roman" w:eastAsia="Times New Roman" w:hAnsi="Times New Roman" w:cs="Times New Roman"/>
                <w:sz w:val="24"/>
                <w:szCs w:val="24"/>
                <w:lang w:eastAsia="lv-LV"/>
              </w:rPr>
              <w:t xml:space="preserve"> paredz</w:t>
            </w:r>
            <w:r w:rsidRPr="00D531C7">
              <w:rPr>
                <w:rFonts w:ascii="Times New Roman" w:eastAsia="Times New Roman" w:hAnsi="Times New Roman" w:cs="Times New Roman"/>
                <w:sz w:val="24"/>
                <w:szCs w:val="24"/>
                <w:lang w:eastAsia="lv-LV"/>
              </w:rPr>
              <w:t>, ka uz ražotāju grupu un organizāciju izveides atbalstu (turpmāk – izveides atbalsts) var pretendēt kooperatīvās sabiedrības, kas atbilstības statusu ieguvušas pēc 2019.</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gada 1.</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janvāra.</w:t>
            </w:r>
          </w:p>
          <w:p w14:paraId="6E34A990" w14:textId="0A3DE85F" w:rsidR="008C2713" w:rsidRPr="00D531C7" w:rsidRDefault="008C2713" w:rsidP="00282FB4">
            <w:pPr>
              <w:tabs>
                <w:tab w:val="left" w:pos="915"/>
              </w:tab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2014.</w:t>
            </w:r>
            <w:r w:rsidR="00282FB4"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2020.</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gada plānošanas periodā izveides atbalstu saņēma </w:t>
            </w:r>
            <w:r w:rsidR="00282FB4" w:rsidRPr="00D531C7">
              <w:rPr>
                <w:rFonts w:ascii="Times New Roman" w:eastAsia="Times New Roman" w:hAnsi="Times New Roman" w:cs="Times New Roman"/>
                <w:sz w:val="24"/>
                <w:szCs w:val="24"/>
                <w:lang w:eastAsia="lv-LV"/>
              </w:rPr>
              <w:t>trīs</w:t>
            </w:r>
            <w:r w:rsidRPr="00D531C7">
              <w:rPr>
                <w:rFonts w:ascii="Times New Roman" w:eastAsia="Times New Roman" w:hAnsi="Times New Roman" w:cs="Times New Roman"/>
                <w:sz w:val="24"/>
                <w:szCs w:val="24"/>
                <w:lang w:eastAsia="lv-LV"/>
              </w:rPr>
              <w:t xml:space="preserve"> kooperatīvās sabiedrības mežsaimniecības nozarē, no kurām viena vēl turpin</w:t>
            </w:r>
            <w:r w:rsidR="000C0038" w:rsidRPr="00D531C7">
              <w:rPr>
                <w:rFonts w:ascii="Times New Roman" w:eastAsia="Times New Roman" w:hAnsi="Times New Roman" w:cs="Times New Roman"/>
                <w:sz w:val="24"/>
                <w:szCs w:val="24"/>
                <w:lang w:eastAsia="lv-LV"/>
              </w:rPr>
              <w:t>a</w:t>
            </w:r>
            <w:r w:rsidRPr="00D531C7">
              <w:rPr>
                <w:rFonts w:ascii="Times New Roman" w:eastAsia="Times New Roman" w:hAnsi="Times New Roman" w:cs="Times New Roman"/>
                <w:sz w:val="24"/>
                <w:szCs w:val="24"/>
                <w:lang w:eastAsia="lv-LV"/>
              </w:rPr>
              <w:t xml:space="preserve"> biznesa plāna īstenošan</w:t>
            </w:r>
            <w:r w:rsidR="000C0038" w:rsidRPr="00D531C7">
              <w:rPr>
                <w:rFonts w:ascii="Times New Roman" w:eastAsia="Times New Roman" w:hAnsi="Times New Roman" w:cs="Times New Roman"/>
                <w:sz w:val="24"/>
                <w:szCs w:val="24"/>
                <w:lang w:eastAsia="lv-LV"/>
              </w:rPr>
              <w:t>u.</w:t>
            </w:r>
            <w:r w:rsidRPr="00D531C7">
              <w:rPr>
                <w:rFonts w:ascii="Times New Roman" w:eastAsia="Times New Roman" w:hAnsi="Times New Roman" w:cs="Times New Roman"/>
                <w:sz w:val="24"/>
                <w:szCs w:val="24"/>
                <w:lang w:eastAsia="lv-LV"/>
              </w:rPr>
              <w:t xml:space="preserve"> </w:t>
            </w:r>
            <w:r w:rsidR="000C0038" w:rsidRPr="00D531C7">
              <w:rPr>
                <w:rFonts w:ascii="Times New Roman" w:eastAsia="Times New Roman" w:hAnsi="Times New Roman" w:cs="Times New Roman"/>
                <w:sz w:val="24"/>
                <w:szCs w:val="24"/>
                <w:lang w:eastAsia="lv-LV"/>
              </w:rPr>
              <w:t>Š</w:t>
            </w:r>
            <w:r w:rsidRPr="00D531C7">
              <w:rPr>
                <w:rFonts w:ascii="Times New Roman" w:eastAsia="Times New Roman" w:hAnsi="Times New Roman" w:cs="Times New Roman"/>
                <w:sz w:val="24"/>
                <w:szCs w:val="24"/>
                <w:lang w:eastAsia="lv-LV"/>
              </w:rPr>
              <w:t>ajā periodā izveides atbalst</w:t>
            </w:r>
            <w:r w:rsidR="00282FB4" w:rsidRPr="00D531C7">
              <w:rPr>
                <w:rFonts w:ascii="Times New Roman" w:eastAsia="Times New Roman" w:hAnsi="Times New Roman" w:cs="Times New Roman"/>
                <w:sz w:val="24"/>
                <w:szCs w:val="24"/>
                <w:lang w:eastAsia="lv-LV"/>
              </w:rPr>
              <w:t>s tika</w:t>
            </w:r>
            <w:r w:rsidRPr="00D531C7">
              <w:rPr>
                <w:rFonts w:ascii="Times New Roman" w:eastAsia="Times New Roman" w:hAnsi="Times New Roman" w:cs="Times New Roman"/>
                <w:sz w:val="24"/>
                <w:szCs w:val="24"/>
                <w:lang w:eastAsia="lv-LV"/>
              </w:rPr>
              <w:t xml:space="preserve"> </w:t>
            </w:r>
            <w:r w:rsidR="000C0038" w:rsidRPr="00D531C7">
              <w:rPr>
                <w:rFonts w:ascii="Times New Roman" w:eastAsia="Times New Roman" w:hAnsi="Times New Roman" w:cs="Times New Roman"/>
                <w:sz w:val="24"/>
                <w:szCs w:val="24"/>
                <w:lang w:eastAsia="lv-LV"/>
              </w:rPr>
              <w:t>piešķ</w:t>
            </w:r>
            <w:r w:rsidR="00282FB4" w:rsidRPr="00D531C7">
              <w:rPr>
                <w:rFonts w:ascii="Times New Roman" w:eastAsia="Times New Roman" w:hAnsi="Times New Roman" w:cs="Times New Roman"/>
                <w:sz w:val="24"/>
                <w:szCs w:val="24"/>
                <w:lang w:eastAsia="lv-LV"/>
              </w:rPr>
              <w:t>irts</w:t>
            </w:r>
            <w:r w:rsidR="000C0038"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 xml:space="preserve">kā </w:t>
            </w:r>
            <w:proofErr w:type="spellStart"/>
            <w:r w:rsidRPr="00D531C7">
              <w:rPr>
                <w:rFonts w:ascii="Times New Roman" w:eastAsia="Times New Roman" w:hAnsi="Times New Roman" w:cs="Times New Roman"/>
                <w:i/>
                <w:sz w:val="24"/>
                <w:szCs w:val="24"/>
                <w:lang w:eastAsia="lv-LV"/>
              </w:rPr>
              <w:t>de</w:t>
            </w:r>
            <w:proofErr w:type="spellEnd"/>
            <w:r w:rsidRPr="00D531C7">
              <w:rPr>
                <w:rFonts w:ascii="Times New Roman" w:eastAsia="Times New Roman" w:hAnsi="Times New Roman" w:cs="Times New Roman"/>
                <w:i/>
                <w:sz w:val="24"/>
                <w:szCs w:val="24"/>
                <w:lang w:eastAsia="lv-LV"/>
              </w:rPr>
              <w:t xml:space="preserve"> </w:t>
            </w:r>
            <w:proofErr w:type="spellStart"/>
            <w:r w:rsidRPr="00D531C7">
              <w:rPr>
                <w:rFonts w:ascii="Times New Roman" w:eastAsia="Times New Roman" w:hAnsi="Times New Roman" w:cs="Times New Roman"/>
                <w:i/>
                <w:sz w:val="24"/>
                <w:szCs w:val="24"/>
                <w:lang w:eastAsia="lv-LV"/>
              </w:rPr>
              <w:t>minimis</w:t>
            </w:r>
            <w:proofErr w:type="spellEnd"/>
            <w:r w:rsidRPr="00D531C7">
              <w:rPr>
                <w:rFonts w:ascii="Times New Roman" w:eastAsia="Times New Roman" w:hAnsi="Times New Roman" w:cs="Times New Roman"/>
                <w:sz w:val="24"/>
                <w:szCs w:val="24"/>
                <w:lang w:eastAsia="lv-LV"/>
              </w:rPr>
              <w:t xml:space="preserve"> atbalst</w:t>
            </w:r>
            <w:r w:rsidR="00282FB4" w:rsidRPr="00D531C7">
              <w:rPr>
                <w:rFonts w:ascii="Times New Roman" w:eastAsia="Times New Roman" w:hAnsi="Times New Roman" w:cs="Times New Roman"/>
                <w:sz w:val="24"/>
                <w:szCs w:val="24"/>
                <w:lang w:eastAsia="lv-LV"/>
              </w:rPr>
              <w:t>s</w:t>
            </w:r>
            <w:r w:rsidRPr="00D531C7">
              <w:rPr>
                <w:rFonts w:ascii="Times New Roman" w:eastAsia="Times New Roman" w:hAnsi="Times New Roman" w:cs="Times New Roman"/>
                <w:sz w:val="24"/>
                <w:szCs w:val="24"/>
                <w:lang w:eastAsia="lv-LV"/>
              </w:rPr>
              <w:t xml:space="preserve"> atbilstoši Komisijas 2013.</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gada 18.</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decembra Regulai (ES) Nr.</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1407/2013 par Līguma par Eiropas Savienības darbību 107. un 108.</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panta piemērošanu </w:t>
            </w:r>
            <w:proofErr w:type="spellStart"/>
            <w:r w:rsidRPr="00D531C7">
              <w:rPr>
                <w:rFonts w:ascii="Times New Roman" w:eastAsia="Times New Roman" w:hAnsi="Times New Roman" w:cs="Times New Roman"/>
                <w:i/>
                <w:sz w:val="24"/>
                <w:szCs w:val="24"/>
                <w:lang w:eastAsia="lv-LV"/>
              </w:rPr>
              <w:t>de</w:t>
            </w:r>
            <w:proofErr w:type="spellEnd"/>
            <w:r w:rsidRPr="00D531C7">
              <w:rPr>
                <w:rFonts w:ascii="Times New Roman" w:eastAsia="Times New Roman" w:hAnsi="Times New Roman" w:cs="Times New Roman"/>
                <w:i/>
                <w:sz w:val="24"/>
                <w:szCs w:val="24"/>
                <w:lang w:eastAsia="lv-LV"/>
              </w:rPr>
              <w:t xml:space="preserve"> </w:t>
            </w:r>
            <w:proofErr w:type="spellStart"/>
            <w:r w:rsidRPr="00D531C7">
              <w:rPr>
                <w:rFonts w:ascii="Times New Roman" w:eastAsia="Times New Roman" w:hAnsi="Times New Roman" w:cs="Times New Roman"/>
                <w:i/>
                <w:sz w:val="24"/>
                <w:szCs w:val="24"/>
                <w:lang w:eastAsia="lv-LV"/>
              </w:rPr>
              <w:t>minimis</w:t>
            </w:r>
            <w:proofErr w:type="spellEnd"/>
            <w:r w:rsidRPr="00D531C7">
              <w:rPr>
                <w:rFonts w:ascii="Times New Roman" w:eastAsia="Times New Roman" w:hAnsi="Times New Roman" w:cs="Times New Roman"/>
                <w:sz w:val="24"/>
                <w:szCs w:val="24"/>
                <w:lang w:eastAsia="lv-LV"/>
              </w:rPr>
              <w:t xml:space="preserve"> atbalstam (turpmāk – Regula Nr.</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1407/2013). </w:t>
            </w:r>
          </w:p>
          <w:p w14:paraId="7559F504" w14:textId="6933D16F" w:rsidR="008C2713" w:rsidRPr="00D531C7" w:rsidRDefault="008C2713" w:rsidP="00282FB4">
            <w:pPr>
              <w:tabs>
                <w:tab w:val="left" w:pos="915"/>
              </w:tab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 xml:space="preserve">Indikatīvi pārejas periodā izveides atbalstu varētu saņemt </w:t>
            </w:r>
            <w:r w:rsidR="00282FB4" w:rsidRPr="00D531C7">
              <w:rPr>
                <w:rFonts w:ascii="Times New Roman" w:eastAsia="Times New Roman" w:hAnsi="Times New Roman" w:cs="Times New Roman"/>
                <w:sz w:val="24"/>
                <w:szCs w:val="24"/>
                <w:lang w:eastAsia="lv-LV"/>
              </w:rPr>
              <w:t>piecas</w:t>
            </w:r>
            <w:r w:rsidRPr="00D531C7">
              <w:rPr>
                <w:rFonts w:ascii="Times New Roman" w:eastAsia="Times New Roman" w:hAnsi="Times New Roman" w:cs="Times New Roman"/>
                <w:sz w:val="24"/>
                <w:szCs w:val="24"/>
                <w:lang w:eastAsia="lv-LV"/>
              </w:rPr>
              <w:t xml:space="preserve"> kooperatīvās sabiedrības lauksaimniecības nozarē, ta</w:t>
            </w:r>
            <w:r w:rsidR="00282FB4" w:rsidRPr="00D531C7">
              <w:rPr>
                <w:rFonts w:ascii="Times New Roman" w:eastAsia="Times New Roman" w:hAnsi="Times New Roman" w:cs="Times New Roman"/>
                <w:sz w:val="24"/>
                <w:szCs w:val="24"/>
                <w:lang w:eastAsia="lv-LV"/>
              </w:rPr>
              <w:t>jā</w:t>
            </w:r>
            <w:r w:rsidRPr="00D531C7">
              <w:rPr>
                <w:rFonts w:ascii="Times New Roman" w:eastAsia="Times New Roman" w:hAnsi="Times New Roman" w:cs="Times New Roman"/>
                <w:sz w:val="24"/>
                <w:szCs w:val="24"/>
                <w:lang w:eastAsia="lv-LV"/>
              </w:rPr>
              <w:t xml:space="preserve"> skaitā viena kooperatīvu apvienība</w:t>
            </w:r>
            <w:r w:rsidR="000C0038"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 xml:space="preserve"> </w:t>
            </w:r>
            <w:r w:rsidR="000C0038" w:rsidRPr="00D531C7">
              <w:rPr>
                <w:rFonts w:ascii="Times New Roman" w:eastAsia="Times New Roman" w:hAnsi="Times New Roman" w:cs="Times New Roman"/>
                <w:sz w:val="24"/>
                <w:szCs w:val="24"/>
                <w:lang w:eastAsia="lv-LV"/>
              </w:rPr>
              <w:t>Pārejas periodā</w:t>
            </w:r>
            <w:r w:rsidRPr="00D531C7">
              <w:rPr>
                <w:rFonts w:ascii="Times New Roman" w:eastAsia="Times New Roman" w:hAnsi="Times New Roman" w:cs="Times New Roman"/>
                <w:sz w:val="24"/>
                <w:szCs w:val="24"/>
                <w:lang w:eastAsia="lv-LV"/>
              </w:rPr>
              <w:t xml:space="preserve"> izveides atbalst</w:t>
            </w:r>
            <w:r w:rsidR="00282FB4" w:rsidRPr="00D531C7">
              <w:rPr>
                <w:rFonts w:ascii="Times New Roman" w:eastAsia="Times New Roman" w:hAnsi="Times New Roman" w:cs="Times New Roman"/>
                <w:sz w:val="24"/>
                <w:szCs w:val="24"/>
                <w:lang w:eastAsia="lv-LV"/>
              </w:rPr>
              <w:t>s tiks</w:t>
            </w:r>
            <w:r w:rsidRPr="00D531C7">
              <w:rPr>
                <w:rFonts w:ascii="Times New Roman" w:eastAsia="Times New Roman" w:hAnsi="Times New Roman" w:cs="Times New Roman"/>
                <w:sz w:val="24"/>
                <w:szCs w:val="24"/>
                <w:lang w:eastAsia="lv-LV"/>
              </w:rPr>
              <w:t xml:space="preserve"> piešķir</w:t>
            </w:r>
            <w:r w:rsidR="00282FB4" w:rsidRPr="00D531C7">
              <w:rPr>
                <w:rFonts w:ascii="Times New Roman" w:eastAsia="Times New Roman" w:hAnsi="Times New Roman" w:cs="Times New Roman"/>
                <w:sz w:val="24"/>
                <w:szCs w:val="24"/>
                <w:lang w:eastAsia="lv-LV"/>
              </w:rPr>
              <w:t>t</w:t>
            </w:r>
            <w:r w:rsidRPr="00D531C7">
              <w:rPr>
                <w:rFonts w:ascii="Times New Roman" w:eastAsia="Times New Roman" w:hAnsi="Times New Roman" w:cs="Times New Roman"/>
                <w:sz w:val="24"/>
                <w:szCs w:val="24"/>
                <w:lang w:eastAsia="lv-LV"/>
              </w:rPr>
              <w:t>s saskaņā ar Padomes 2013.</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gada 17.</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decembra Regulas (EK) Nr.</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1305/2013 par atbalstu lauku attīstībai no Eiropas Lauksaimniecības fonda lauku attīstībai (ELFLA) un ar ko atceļ Padomes Regulu (EK) Nr.</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1698/2005 27.</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pantu.</w:t>
            </w:r>
          </w:p>
          <w:p w14:paraId="17199676" w14:textId="469385DA"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projekta 2.</w:t>
            </w:r>
            <w:r w:rsidR="000C003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punktā ir</w:t>
            </w:r>
            <w:r w:rsidR="0014674D" w:rsidRPr="00D531C7">
              <w:rPr>
                <w:rFonts w:ascii="Times New Roman" w:eastAsia="Times New Roman" w:hAnsi="Times New Roman" w:cs="Times New Roman"/>
                <w:sz w:val="24"/>
                <w:szCs w:val="24"/>
                <w:lang w:eastAsia="lv-LV"/>
              </w:rPr>
              <w:t xml:space="preserve"> papildināts atbalsta saņēmēju loks, paredzot atbalstu arī</w:t>
            </w:r>
            <w:r w:rsidRPr="00D531C7">
              <w:rPr>
                <w:rFonts w:ascii="Times New Roman" w:eastAsia="Times New Roman" w:hAnsi="Times New Roman" w:cs="Times New Roman"/>
                <w:sz w:val="24"/>
                <w:szCs w:val="24"/>
                <w:lang w:eastAsia="lv-LV"/>
              </w:rPr>
              <w:t xml:space="preserve"> </w:t>
            </w:r>
            <w:r w:rsidR="0014674D" w:rsidRPr="00D531C7">
              <w:rPr>
                <w:rFonts w:ascii="Times New Roman" w:hAnsi="Times New Roman" w:cs="Times New Roman"/>
                <w:sz w:val="24"/>
                <w:szCs w:val="28"/>
              </w:rPr>
              <w:t>mazajām un vidējām lauksamniecības un mežsaimniecības kooperatīvajām sabiedrībām,</w:t>
            </w:r>
            <w:r w:rsidRPr="00D531C7">
              <w:rPr>
                <w:rFonts w:ascii="Times New Roman" w:eastAsia="Times New Roman" w:hAnsi="Times New Roman" w:cs="Times New Roman"/>
                <w:sz w:val="24"/>
                <w:szCs w:val="24"/>
                <w:lang w:eastAsia="lv-LV"/>
              </w:rPr>
              <w:t xml:space="preserve"> pamatojoties uz </w:t>
            </w:r>
            <w:r w:rsidR="005F4D0B">
              <w:rPr>
                <w:rFonts w:ascii="Times New Roman" w:eastAsia="Times New Roman" w:hAnsi="Times New Roman" w:cs="Times New Roman"/>
                <w:sz w:val="24"/>
                <w:szCs w:val="24"/>
                <w:lang w:eastAsia="lv-LV"/>
              </w:rPr>
              <w:t>Regulu</w:t>
            </w:r>
            <w:r w:rsidR="00383ACC">
              <w:rPr>
                <w:rFonts w:ascii="Times New Roman" w:eastAsia="Times New Roman" w:hAnsi="Times New Roman" w:cs="Times New Roman"/>
                <w:sz w:val="24"/>
                <w:szCs w:val="24"/>
                <w:lang w:eastAsia="lv-LV"/>
              </w:rPr>
              <w:t xml:space="preserve"> Nr. 1407/2013.</w:t>
            </w:r>
            <w:r w:rsidRPr="00D531C7">
              <w:rPr>
                <w:rFonts w:ascii="Times New Roman" w:eastAsia="Times New Roman" w:hAnsi="Times New Roman" w:cs="Times New Roman"/>
                <w:sz w:val="24"/>
                <w:szCs w:val="24"/>
                <w:lang w:eastAsia="lv-LV"/>
              </w:rPr>
              <w:t xml:space="preserve"> </w:t>
            </w:r>
          </w:p>
          <w:p w14:paraId="4BADF805" w14:textId="56405567"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5.2.</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apakšpunkt</w:t>
            </w:r>
            <w:r w:rsidR="00F0476B" w:rsidRPr="00D531C7">
              <w:rPr>
                <w:rFonts w:ascii="Times New Roman" w:eastAsia="Times New Roman" w:hAnsi="Times New Roman" w:cs="Times New Roman"/>
                <w:sz w:val="24"/>
                <w:szCs w:val="24"/>
                <w:lang w:eastAsia="lv-LV"/>
              </w:rPr>
              <w:t>s papildināts</w:t>
            </w:r>
            <w:r w:rsidRPr="00D531C7">
              <w:rPr>
                <w:rFonts w:ascii="Times New Roman" w:eastAsia="Times New Roman" w:hAnsi="Times New Roman" w:cs="Times New Roman"/>
                <w:sz w:val="24"/>
                <w:szCs w:val="24"/>
                <w:lang w:eastAsia="lv-LV"/>
              </w:rPr>
              <w:t xml:space="preserve"> ar norādi, ka uz atbalstu nevar pieteikties pretendenti, kas to jau ir saņēmuši 2014.</w:t>
            </w:r>
            <w:r w:rsidR="00282FB4"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2020.</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 xml:space="preserve">gada plānošanas periodā, </w:t>
            </w:r>
            <w:r w:rsidR="00282FB4" w:rsidRPr="00D531C7">
              <w:rPr>
                <w:rFonts w:ascii="Times New Roman" w:eastAsia="Times New Roman" w:hAnsi="Times New Roman" w:cs="Times New Roman"/>
                <w:sz w:val="24"/>
                <w:szCs w:val="24"/>
                <w:lang w:eastAsia="lv-LV"/>
              </w:rPr>
              <w:t>un ir</w:t>
            </w:r>
            <w:r w:rsidRPr="00D531C7">
              <w:rPr>
                <w:rFonts w:ascii="Times New Roman" w:eastAsia="Times New Roman" w:hAnsi="Times New Roman" w:cs="Times New Roman"/>
                <w:sz w:val="24"/>
                <w:szCs w:val="24"/>
                <w:lang w:eastAsia="lv-LV"/>
              </w:rPr>
              <w:t xml:space="preserve"> arī aktualizēts gads, līdz kuram pretendentam, iegūstot atbilstības statusu pirmo reizi, </w:t>
            </w:r>
            <w:r w:rsidR="00F0476B" w:rsidRPr="00D531C7">
              <w:rPr>
                <w:rFonts w:ascii="Times New Roman" w:eastAsia="Times New Roman" w:hAnsi="Times New Roman" w:cs="Times New Roman"/>
                <w:sz w:val="24"/>
                <w:szCs w:val="24"/>
                <w:lang w:eastAsia="lv-LV"/>
              </w:rPr>
              <w:t>kā arī</w:t>
            </w:r>
            <w:r w:rsidRPr="00D531C7">
              <w:rPr>
                <w:rFonts w:ascii="Times New Roman" w:eastAsia="Times New Roman" w:hAnsi="Times New Roman" w:cs="Times New Roman"/>
                <w:sz w:val="24"/>
                <w:szCs w:val="24"/>
                <w:lang w:eastAsia="lv-LV"/>
              </w:rPr>
              <w:t xml:space="preserve"> reorganizējoties un dibinoties no jauna, ir liegts pieteikties atbalstam. </w:t>
            </w:r>
          </w:p>
          <w:p w14:paraId="6C10B8C5" w14:textId="50607303" w:rsidR="008C2713" w:rsidRPr="00500B0B"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Ņemot vērā Regulas 2020/2220 1.</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 xml:space="preserve">pantā noteikto, ka </w:t>
            </w:r>
            <w:r w:rsidR="00F0476B" w:rsidRPr="00D531C7">
              <w:rPr>
                <w:rFonts w:ascii="Times New Roman" w:eastAsia="Times New Roman" w:hAnsi="Times New Roman" w:cs="Times New Roman"/>
                <w:sz w:val="24"/>
                <w:szCs w:val="24"/>
                <w:lang w:eastAsia="lv-LV"/>
              </w:rPr>
              <w:t xml:space="preserve">uz </w:t>
            </w:r>
            <w:r w:rsidRPr="00D531C7">
              <w:rPr>
                <w:rFonts w:ascii="Times New Roman" w:eastAsia="Times New Roman" w:hAnsi="Times New Roman" w:cs="Times New Roman"/>
                <w:sz w:val="24"/>
                <w:szCs w:val="24"/>
                <w:lang w:eastAsia="lv-LV"/>
              </w:rPr>
              <w:t>pārejas period</w:t>
            </w:r>
            <w:r w:rsidR="00F0476B" w:rsidRPr="00D531C7">
              <w:rPr>
                <w:rFonts w:ascii="Times New Roman" w:eastAsia="Times New Roman" w:hAnsi="Times New Roman" w:cs="Times New Roman"/>
                <w:sz w:val="24"/>
                <w:szCs w:val="24"/>
                <w:lang w:eastAsia="lv-LV"/>
              </w:rPr>
              <w:t>u</w:t>
            </w:r>
            <w:r w:rsidRPr="00D531C7">
              <w:rPr>
                <w:rFonts w:ascii="Times New Roman" w:eastAsia="Times New Roman" w:hAnsi="Times New Roman" w:cs="Times New Roman"/>
                <w:sz w:val="24"/>
                <w:szCs w:val="24"/>
                <w:lang w:eastAsia="lv-LV"/>
              </w:rPr>
              <w:t xml:space="preserve"> </w:t>
            </w:r>
            <w:r w:rsidR="00F0476B" w:rsidRPr="00D531C7">
              <w:rPr>
                <w:rFonts w:ascii="Times New Roman" w:eastAsia="Times New Roman" w:hAnsi="Times New Roman" w:cs="Times New Roman"/>
                <w:sz w:val="24"/>
                <w:szCs w:val="24"/>
                <w:lang w:eastAsia="lv-LV"/>
              </w:rPr>
              <w:t>ir</w:t>
            </w:r>
            <w:r w:rsidRPr="00D531C7">
              <w:rPr>
                <w:rFonts w:ascii="Times New Roman" w:eastAsia="Times New Roman" w:hAnsi="Times New Roman" w:cs="Times New Roman"/>
                <w:sz w:val="24"/>
                <w:szCs w:val="24"/>
                <w:lang w:eastAsia="lv-LV"/>
              </w:rPr>
              <w:t xml:space="preserve"> pagarināts R</w:t>
            </w:r>
            <w:r w:rsidRPr="00D531C7">
              <w:rPr>
                <w:rFonts w:ascii="Times New Roman" w:eastAsia="Times New Roman" w:hAnsi="Times New Roman" w:cs="Times New Roman"/>
                <w:kern w:val="1"/>
                <w:sz w:val="24"/>
                <w:szCs w:val="24"/>
                <w:shd w:val="clear" w:color="auto" w:fill="FFFFFF"/>
                <w:lang w:eastAsia="ar-SA"/>
              </w:rPr>
              <w:t>egulas Nr. </w:t>
            </w:r>
            <w:hyperlink r:id="rId10" w:tgtFrame="_blank" w:history="1">
              <w:r w:rsidRPr="00D531C7">
                <w:rPr>
                  <w:rFonts w:ascii="Times New Roman" w:eastAsia="Times New Roman" w:hAnsi="Times New Roman" w:cs="Times New Roman"/>
                  <w:kern w:val="1"/>
                  <w:sz w:val="24"/>
                  <w:szCs w:val="24"/>
                  <w:u w:val="single"/>
                  <w:shd w:val="clear" w:color="auto" w:fill="FFFFFF"/>
                  <w:lang w:eastAsia="ar-SA"/>
                </w:rPr>
                <w:t>1407/2013</w:t>
              </w:r>
            </w:hyperlink>
            <w:r w:rsidRPr="00D531C7">
              <w:rPr>
                <w:rFonts w:ascii="Times New Roman" w:eastAsia="Times New Roman" w:hAnsi="Times New Roman" w:cs="Times New Roman"/>
                <w:kern w:val="1"/>
                <w:sz w:val="24"/>
                <w:szCs w:val="24"/>
                <w:shd w:val="clear" w:color="auto" w:fill="FFFFFF"/>
                <w:lang w:eastAsia="ar-SA"/>
              </w:rPr>
              <w:t xml:space="preserve"> spēkā esības termiņš, noteikumu projekta 4.</w:t>
            </w:r>
            <w:r w:rsidR="00F0476B" w:rsidRPr="00D531C7">
              <w:rPr>
                <w:rFonts w:ascii="Times New Roman" w:eastAsia="Times New Roman" w:hAnsi="Times New Roman" w:cs="Times New Roman"/>
                <w:kern w:val="1"/>
                <w:sz w:val="24"/>
                <w:szCs w:val="24"/>
                <w:shd w:val="clear" w:color="auto" w:fill="FFFFFF"/>
                <w:lang w:eastAsia="ar-SA"/>
              </w:rPr>
              <w:t> </w:t>
            </w:r>
            <w:r w:rsidRPr="00D531C7">
              <w:rPr>
                <w:rFonts w:ascii="Times New Roman" w:eastAsia="Times New Roman" w:hAnsi="Times New Roman" w:cs="Times New Roman"/>
                <w:kern w:val="1"/>
                <w:sz w:val="24"/>
                <w:szCs w:val="24"/>
                <w:shd w:val="clear" w:color="auto" w:fill="FFFFFF"/>
                <w:lang w:eastAsia="ar-SA"/>
              </w:rPr>
              <w:t>punktā aktualizēti lēmumu pieņemšanas termiņi</w:t>
            </w:r>
            <w:r w:rsidR="00500B0B">
              <w:rPr>
                <w:rFonts w:ascii="Times New Roman" w:eastAsia="Times New Roman" w:hAnsi="Times New Roman" w:cs="Times New Roman"/>
                <w:kern w:val="1"/>
                <w:sz w:val="24"/>
                <w:szCs w:val="24"/>
                <w:shd w:val="clear" w:color="auto" w:fill="FFFFFF"/>
                <w:lang w:eastAsia="ar-SA"/>
              </w:rPr>
              <w:t>, kā arī noteikumu projekta 6.</w:t>
            </w:r>
            <w:r w:rsidR="000D1CB0">
              <w:rPr>
                <w:rFonts w:ascii="Times New Roman" w:eastAsia="Times New Roman" w:hAnsi="Times New Roman" w:cs="Times New Roman"/>
                <w:kern w:val="1"/>
                <w:sz w:val="24"/>
                <w:szCs w:val="24"/>
                <w:shd w:val="clear" w:color="auto" w:fill="FFFFFF"/>
                <w:lang w:eastAsia="ar-SA"/>
              </w:rPr>
              <w:t> </w:t>
            </w:r>
            <w:r w:rsidR="00500B0B">
              <w:rPr>
                <w:rFonts w:ascii="Times New Roman" w:eastAsia="Times New Roman" w:hAnsi="Times New Roman" w:cs="Times New Roman"/>
                <w:kern w:val="1"/>
                <w:sz w:val="24"/>
                <w:szCs w:val="24"/>
                <w:shd w:val="clear" w:color="auto" w:fill="FFFFFF"/>
                <w:lang w:eastAsia="ar-SA"/>
              </w:rPr>
              <w:t xml:space="preserve">punktā ir noteiktas sankcijas, </w:t>
            </w:r>
            <w:r w:rsidR="00500B0B" w:rsidRPr="00500B0B">
              <w:rPr>
                <w:rFonts w:ascii="Times New Roman" w:hAnsi="Times New Roman" w:cs="Times New Roman"/>
                <w:iCs/>
                <w:sz w:val="24"/>
                <w:szCs w:val="24"/>
              </w:rPr>
              <w:t xml:space="preserve">ja tiek konstatēts, ka ir pārkāptas </w:t>
            </w:r>
            <w:r w:rsidR="000D1CB0">
              <w:rPr>
                <w:rFonts w:ascii="Times New Roman" w:hAnsi="Times New Roman" w:cs="Times New Roman"/>
                <w:iCs/>
                <w:sz w:val="24"/>
                <w:szCs w:val="24"/>
              </w:rPr>
              <w:t>R</w:t>
            </w:r>
            <w:r w:rsidR="00500B0B" w:rsidRPr="00500B0B">
              <w:rPr>
                <w:rFonts w:ascii="Times New Roman" w:hAnsi="Times New Roman" w:cs="Times New Roman"/>
                <w:iCs/>
                <w:sz w:val="24"/>
                <w:szCs w:val="24"/>
              </w:rPr>
              <w:t>egulas Nr.</w:t>
            </w:r>
            <w:r w:rsidR="000D1CB0">
              <w:rPr>
                <w:rFonts w:ascii="Times New Roman" w:hAnsi="Times New Roman" w:cs="Times New Roman"/>
                <w:iCs/>
                <w:sz w:val="24"/>
                <w:szCs w:val="24"/>
              </w:rPr>
              <w:t xml:space="preserve"> </w:t>
            </w:r>
            <w:r w:rsidR="00500B0B" w:rsidRPr="00500B0B">
              <w:rPr>
                <w:rFonts w:ascii="Times New Roman" w:hAnsi="Times New Roman" w:cs="Times New Roman"/>
                <w:iCs/>
                <w:sz w:val="24"/>
                <w:szCs w:val="24"/>
              </w:rPr>
              <w:t>1407/2013 prasības</w:t>
            </w:r>
            <w:r w:rsidR="00500B0B">
              <w:rPr>
                <w:rFonts w:ascii="Times New Roman" w:hAnsi="Times New Roman" w:cs="Times New Roman"/>
                <w:iCs/>
                <w:sz w:val="24"/>
                <w:szCs w:val="24"/>
              </w:rPr>
              <w:t>.</w:t>
            </w:r>
          </w:p>
          <w:p w14:paraId="588D5F6A" w14:textId="20BFD661"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projekta 7.</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punkts paredz</w:t>
            </w:r>
            <w:r w:rsidR="00F0476B" w:rsidRPr="00D531C7">
              <w:rPr>
                <w:rFonts w:ascii="Times New Roman" w:eastAsia="Times New Roman" w:hAnsi="Times New Roman" w:cs="Times New Roman"/>
                <w:sz w:val="24"/>
                <w:szCs w:val="24"/>
                <w:lang w:eastAsia="lv-LV"/>
              </w:rPr>
              <w:t xml:space="preserve"> nosacījumu</w:t>
            </w:r>
            <w:r w:rsidRPr="00D531C7">
              <w:rPr>
                <w:rFonts w:ascii="Times New Roman" w:eastAsia="Times New Roman" w:hAnsi="Times New Roman" w:cs="Times New Roman"/>
                <w:sz w:val="24"/>
                <w:szCs w:val="24"/>
                <w:lang w:eastAsia="lv-LV"/>
              </w:rPr>
              <w:t>, ka atbalsta pretendents ir tiesīgs vienlai</w:t>
            </w:r>
            <w:r w:rsidR="00282FB4" w:rsidRPr="00D531C7">
              <w:rPr>
                <w:rFonts w:ascii="Times New Roman" w:eastAsia="Times New Roman" w:hAnsi="Times New Roman" w:cs="Times New Roman"/>
                <w:sz w:val="24"/>
                <w:szCs w:val="24"/>
                <w:lang w:eastAsia="lv-LV"/>
              </w:rPr>
              <w:t>kus</w:t>
            </w:r>
            <w:r w:rsidRPr="00D531C7">
              <w:rPr>
                <w:rFonts w:ascii="Times New Roman" w:eastAsia="Times New Roman" w:hAnsi="Times New Roman" w:cs="Times New Roman"/>
                <w:sz w:val="24"/>
                <w:szCs w:val="24"/>
                <w:lang w:eastAsia="lv-LV"/>
              </w:rPr>
              <w:t xml:space="preserve"> saņemt tikai vienu no atbalsta maksājumiem</w:t>
            </w:r>
            <w:r w:rsidR="00ED65A6" w:rsidRPr="00D531C7">
              <w:rPr>
                <w:rFonts w:ascii="Times New Roman" w:eastAsia="Times New Roman" w:hAnsi="Times New Roman" w:cs="Times New Roman"/>
                <w:sz w:val="24"/>
                <w:szCs w:val="24"/>
                <w:lang w:eastAsia="lv-LV"/>
              </w:rPr>
              <w:t>.</w:t>
            </w:r>
          </w:p>
          <w:p w14:paraId="42925D78" w14:textId="1F292337"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Attiecībā uz noteikumu projekta 9.</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 xml:space="preserve">punktā </w:t>
            </w:r>
            <w:r w:rsidR="00282FB4" w:rsidRPr="00D531C7">
              <w:rPr>
                <w:rFonts w:ascii="Times New Roman" w:eastAsia="Times New Roman" w:hAnsi="Times New Roman" w:cs="Times New Roman"/>
                <w:sz w:val="24"/>
                <w:szCs w:val="24"/>
                <w:lang w:eastAsia="lv-LV"/>
              </w:rPr>
              <w:t xml:space="preserve">noteiktajiem </w:t>
            </w:r>
            <w:r w:rsidRPr="00D531C7">
              <w:rPr>
                <w:rFonts w:ascii="Times New Roman" w:eastAsia="Times New Roman" w:hAnsi="Times New Roman" w:cs="Times New Roman"/>
                <w:sz w:val="24"/>
                <w:szCs w:val="24"/>
                <w:lang w:eastAsia="lv-LV"/>
              </w:rPr>
              <w:t xml:space="preserve">sasniedzamajiem rādītājiem ir paredzēts, ka </w:t>
            </w:r>
            <w:r w:rsidR="00282FB4" w:rsidRPr="00D531C7">
              <w:rPr>
                <w:rFonts w:ascii="Times New Roman" w:eastAsia="Times New Roman" w:hAnsi="Times New Roman" w:cs="Times New Roman"/>
                <w:sz w:val="24"/>
                <w:szCs w:val="24"/>
                <w:lang w:eastAsia="lv-LV"/>
              </w:rPr>
              <w:t xml:space="preserve">sasniedzamais rādītājs </w:t>
            </w:r>
            <w:r w:rsidR="00FA63D2" w:rsidRPr="00D531C7">
              <w:rPr>
                <w:rFonts w:ascii="Times New Roman" w:eastAsia="Times New Roman" w:hAnsi="Times New Roman" w:cs="Times New Roman"/>
                <w:sz w:val="24"/>
                <w:szCs w:val="24"/>
                <w:lang w:eastAsia="lv-LV"/>
              </w:rPr>
              <w:t>netiek noteikts</w:t>
            </w:r>
            <w:r w:rsidR="00282FB4" w:rsidRPr="00D531C7">
              <w:rPr>
                <w:rFonts w:ascii="Times New Roman" w:eastAsia="Times New Roman" w:hAnsi="Times New Roman" w:cs="Times New Roman"/>
                <w:sz w:val="24"/>
                <w:szCs w:val="24"/>
                <w:lang w:eastAsia="lv-LV"/>
              </w:rPr>
              <w:t xml:space="preserve"> katru gadu</w:t>
            </w:r>
            <w:r w:rsidR="00FA63D2" w:rsidRPr="00D531C7">
              <w:rPr>
                <w:rFonts w:ascii="Times New Roman" w:eastAsia="Times New Roman" w:hAnsi="Times New Roman" w:cs="Times New Roman"/>
                <w:sz w:val="24"/>
                <w:szCs w:val="24"/>
                <w:lang w:eastAsia="lv-LV"/>
              </w:rPr>
              <w:t xml:space="preserve">, bet </w:t>
            </w:r>
            <w:r w:rsidR="00ED65A6" w:rsidRPr="00D531C7">
              <w:rPr>
                <w:rFonts w:ascii="Times New Roman" w:eastAsia="Times New Roman" w:hAnsi="Times New Roman" w:cs="Times New Roman"/>
                <w:sz w:val="24"/>
                <w:szCs w:val="24"/>
                <w:lang w:eastAsia="lv-LV"/>
              </w:rPr>
              <w:t>tiks</w:t>
            </w:r>
            <w:r w:rsidR="00FA63D2" w:rsidRPr="00D531C7">
              <w:rPr>
                <w:rFonts w:ascii="Times New Roman" w:eastAsia="Times New Roman" w:hAnsi="Times New Roman" w:cs="Times New Roman"/>
                <w:sz w:val="24"/>
                <w:szCs w:val="24"/>
                <w:lang w:eastAsia="lv-LV"/>
              </w:rPr>
              <w:t xml:space="preserve"> </w:t>
            </w:r>
            <w:r w:rsidR="00FA63D2" w:rsidRPr="00D531C7">
              <w:rPr>
                <w:rFonts w:ascii="Times New Roman" w:eastAsia="Times New Roman" w:hAnsi="Times New Roman" w:cs="Times New Roman"/>
                <w:sz w:val="24"/>
                <w:szCs w:val="24"/>
                <w:lang w:eastAsia="lv-LV"/>
              </w:rPr>
              <w:lastRenderedPageBreak/>
              <w:t>vērtēt</w:t>
            </w:r>
            <w:r w:rsidR="00ED65A6" w:rsidRPr="00D531C7">
              <w:rPr>
                <w:rFonts w:ascii="Times New Roman" w:eastAsia="Times New Roman" w:hAnsi="Times New Roman" w:cs="Times New Roman"/>
                <w:sz w:val="24"/>
                <w:szCs w:val="24"/>
                <w:lang w:eastAsia="lv-LV"/>
              </w:rPr>
              <w:t>i</w:t>
            </w:r>
            <w:r w:rsidR="00FA63D2" w:rsidRPr="00D531C7">
              <w:rPr>
                <w:rFonts w:ascii="Times New Roman" w:eastAsia="Times New Roman" w:hAnsi="Times New Roman" w:cs="Times New Roman"/>
                <w:sz w:val="24"/>
                <w:szCs w:val="24"/>
                <w:lang w:eastAsia="lv-LV"/>
              </w:rPr>
              <w:t xml:space="preserve"> 2024.</w:t>
            </w:r>
            <w:r w:rsidR="00282FB4" w:rsidRPr="00D531C7">
              <w:rPr>
                <w:rFonts w:ascii="Times New Roman" w:eastAsia="Times New Roman" w:hAnsi="Times New Roman" w:cs="Times New Roman"/>
                <w:sz w:val="24"/>
                <w:szCs w:val="24"/>
                <w:lang w:eastAsia="lv-LV"/>
              </w:rPr>
              <w:t xml:space="preserve"> </w:t>
            </w:r>
            <w:r w:rsidR="00FA63D2" w:rsidRPr="00D531C7">
              <w:rPr>
                <w:rFonts w:ascii="Times New Roman" w:eastAsia="Times New Roman" w:hAnsi="Times New Roman" w:cs="Times New Roman"/>
                <w:sz w:val="24"/>
                <w:szCs w:val="24"/>
                <w:lang w:eastAsia="lv-LV"/>
              </w:rPr>
              <w:t>gad</w:t>
            </w:r>
            <w:r w:rsidR="00335A69">
              <w:rPr>
                <w:rFonts w:ascii="Times New Roman" w:eastAsia="Times New Roman" w:hAnsi="Times New Roman" w:cs="Times New Roman"/>
                <w:sz w:val="24"/>
                <w:szCs w:val="24"/>
                <w:lang w:eastAsia="lv-LV"/>
              </w:rPr>
              <w:t>a rezultāti</w:t>
            </w:r>
            <w:r w:rsidRPr="00D531C7">
              <w:rPr>
                <w:rFonts w:ascii="Times New Roman" w:eastAsia="Times New Roman" w:hAnsi="Times New Roman" w:cs="Times New Roman"/>
                <w:sz w:val="24"/>
                <w:szCs w:val="24"/>
                <w:lang w:eastAsia="lv-LV"/>
              </w:rPr>
              <w:t>, jo lauksaimniecības nozare ir tieši atkarīga no tādiem riska faktoriem kā klimatiskie apstākļi, pandēmijas un citu faktoru izraisītās tirgus svārstības, kas potenciāli ietekmē atbalsta pretendenta iespējas katru gadu būtiski kāpināt sasniedzamos attīstības rādītājus</w:t>
            </w:r>
            <w:r w:rsidR="00C861ED" w:rsidRPr="00D531C7">
              <w:rPr>
                <w:rFonts w:ascii="Times New Roman" w:eastAsia="Times New Roman" w:hAnsi="Times New Roman" w:cs="Times New Roman"/>
                <w:sz w:val="24"/>
                <w:szCs w:val="24"/>
                <w:lang w:eastAsia="lv-LV"/>
              </w:rPr>
              <w:t>. Ņemot vērā neparedzamās cenu svārstības lauksaimniecības produkcijas tirgū, alternatīv</w:t>
            </w:r>
            <w:r w:rsidR="00997A11" w:rsidRPr="00D531C7">
              <w:rPr>
                <w:rFonts w:ascii="Times New Roman" w:eastAsia="Times New Roman" w:hAnsi="Times New Roman" w:cs="Times New Roman"/>
                <w:sz w:val="24"/>
                <w:szCs w:val="24"/>
                <w:lang w:eastAsia="lv-LV"/>
              </w:rPr>
              <w:t>i</w:t>
            </w:r>
            <w:r w:rsidR="00C861ED" w:rsidRPr="00D531C7">
              <w:rPr>
                <w:rFonts w:ascii="Times New Roman" w:eastAsia="Times New Roman" w:hAnsi="Times New Roman" w:cs="Times New Roman"/>
                <w:sz w:val="24"/>
                <w:szCs w:val="24"/>
                <w:lang w:eastAsia="lv-LV"/>
              </w:rPr>
              <w:t xml:space="preserve"> neto apgrozījuma pieaugumam var vērtēt arī </w:t>
            </w:r>
            <w:r w:rsidR="00997A11" w:rsidRPr="00D531C7">
              <w:rPr>
                <w:rFonts w:ascii="Times New Roman" w:eastAsia="Times New Roman" w:hAnsi="Times New Roman" w:cs="Times New Roman"/>
                <w:sz w:val="24"/>
                <w:szCs w:val="24"/>
                <w:lang w:eastAsia="lv-LV"/>
              </w:rPr>
              <w:t xml:space="preserve">ar </w:t>
            </w:r>
            <w:r w:rsidR="00C861ED" w:rsidRPr="00D531C7">
              <w:rPr>
                <w:rFonts w:ascii="Times New Roman" w:eastAsia="Times New Roman" w:hAnsi="Times New Roman" w:cs="Times New Roman"/>
                <w:sz w:val="24"/>
                <w:szCs w:val="24"/>
                <w:lang w:eastAsia="lv-LV"/>
              </w:rPr>
              <w:t xml:space="preserve">kooperatīvās sabiedrības starpniecību realizētās produkcijas apjomu tonnās. </w:t>
            </w:r>
            <w:r w:rsidR="00282FB4" w:rsidRPr="00D531C7">
              <w:rPr>
                <w:rFonts w:ascii="Times New Roman" w:eastAsia="Times New Roman" w:hAnsi="Times New Roman" w:cs="Times New Roman"/>
                <w:sz w:val="24"/>
                <w:szCs w:val="24"/>
                <w:lang w:eastAsia="lv-LV"/>
              </w:rPr>
              <w:t>Sasniedzamais rādītājs a</w:t>
            </w:r>
            <w:r w:rsidRPr="00D531C7">
              <w:rPr>
                <w:rFonts w:ascii="Times New Roman" w:eastAsia="Times New Roman" w:hAnsi="Times New Roman" w:cs="Times New Roman"/>
                <w:sz w:val="24"/>
                <w:szCs w:val="24"/>
                <w:lang w:eastAsia="lv-LV"/>
              </w:rPr>
              <w:t xml:space="preserve">ttiecībā uz biedru skaita pieaugumu ir būtiski samazināts, jo noteikumu pašreizējā redakcijā izveides atbalsts bija </w:t>
            </w:r>
            <w:r w:rsidR="00282FB4" w:rsidRPr="00D531C7">
              <w:rPr>
                <w:rFonts w:ascii="Times New Roman" w:eastAsia="Times New Roman" w:hAnsi="Times New Roman" w:cs="Times New Roman"/>
                <w:sz w:val="24"/>
                <w:szCs w:val="24"/>
                <w:lang w:eastAsia="lv-LV"/>
              </w:rPr>
              <w:t>vērsts uz</w:t>
            </w:r>
            <w:r w:rsidRPr="00D531C7">
              <w:rPr>
                <w:rFonts w:ascii="Times New Roman" w:eastAsia="Times New Roman" w:hAnsi="Times New Roman" w:cs="Times New Roman"/>
                <w:sz w:val="24"/>
                <w:szCs w:val="24"/>
                <w:lang w:eastAsia="lv-LV"/>
              </w:rPr>
              <w:t xml:space="preserve"> kooperatīvajām sabiedrībām, kuras apvieno meža īpašniekus un kuru izaugsme un attīstība ir tieši saistīta ar iesaistīto biedru skaita p</w:t>
            </w:r>
            <w:r w:rsidR="00ED65A6" w:rsidRPr="00D531C7">
              <w:rPr>
                <w:rFonts w:ascii="Times New Roman" w:eastAsia="Times New Roman" w:hAnsi="Times New Roman" w:cs="Times New Roman"/>
                <w:sz w:val="24"/>
                <w:szCs w:val="24"/>
                <w:lang w:eastAsia="lv-LV"/>
              </w:rPr>
              <w:t>ieaugumu</w:t>
            </w:r>
            <w:r w:rsidRPr="00D531C7">
              <w:rPr>
                <w:rFonts w:ascii="Times New Roman" w:eastAsia="Times New Roman" w:hAnsi="Times New Roman" w:cs="Times New Roman"/>
                <w:sz w:val="24"/>
                <w:szCs w:val="24"/>
                <w:lang w:eastAsia="lv-LV"/>
              </w:rPr>
              <w:t xml:space="preserve">. Kooperatīvu apvienībām paredzēts atsevišķs sasniedzamais rādītājs, kura mērķis ir veicināt  kooperatīvo apvienību biedru pēc iespējas lielāku konsolidēšanos, arvien kāpinot katra biedra </w:t>
            </w:r>
            <w:r w:rsidR="00D531C7">
              <w:rPr>
                <w:rFonts w:ascii="Times New Roman" w:eastAsia="Times New Roman" w:hAnsi="Times New Roman" w:cs="Times New Roman"/>
                <w:sz w:val="24"/>
                <w:szCs w:val="24"/>
                <w:lang w:eastAsia="lv-LV"/>
              </w:rPr>
              <w:t xml:space="preserve">lomu </w:t>
            </w:r>
            <w:r w:rsidRPr="00D531C7">
              <w:rPr>
                <w:rFonts w:ascii="Times New Roman" w:eastAsia="Times New Roman" w:hAnsi="Times New Roman" w:cs="Times New Roman"/>
                <w:sz w:val="24"/>
                <w:szCs w:val="24"/>
                <w:lang w:eastAsia="lv-LV"/>
              </w:rPr>
              <w:t>ar kooperatīvu apvienības starpniecību produkcij</w:t>
            </w:r>
            <w:r w:rsidR="00ED65A6" w:rsidRPr="00D531C7">
              <w:rPr>
                <w:rFonts w:ascii="Times New Roman" w:eastAsia="Times New Roman" w:hAnsi="Times New Roman" w:cs="Times New Roman"/>
                <w:sz w:val="24"/>
                <w:szCs w:val="24"/>
                <w:lang w:eastAsia="lv-LV"/>
              </w:rPr>
              <w:t>as realizēšanā</w:t>
            </w:r>
            <w:r w:rsidRPr="00D531C7">
              <w:rPr>
                <w:rFonts w:ascii="Times New Roman" w:eastAsia="Times New Roman" w:hAnsi="Times New Roman" w:cs="Times New Roman"/>
                <w:sz w:val="24"/>
                <w:szCs w:val="24"/>
                <w:lang w:eastAsia="lv-LV"/>
              </w:rPr>
              <w:t xml:space="preserve">. </w:t>
            </w:r>
          </w:p>
          <w:p w14:paraId="04189705" w14:textId="0CB28645" w:rsidR="00FA63D2" w:rsidRPr="00D531C7" w:rsidRDefault="00FA63D2"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projekta 10.</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punkts precizē, ka</w:t>
            </w:r>
            <w:r w:rsidR="00ED65A6" w:rsidRPr="00D531C7">
              <w:rPr>
                <w:rFonts w:ascii="Times New Roman" w:eastAsia="Times New Roman" w:hAnsi="Times New Roman" w:cs="Times New Roman"/>
                <w:sz w:val="24"/>
                <w:szCs w:val="24"/>
                <w:lang w:eastAsia="lv-LV"/>
              </w:rPr>
              <w:t xml:space="preserve"> par </w:t>
            </w:r>
            <w:r w:rsidR="00D35382" w:rsidRPr="00D531C7">
              <w:rPr>
                <w:rFonts w:ascii="Times New Roman" w:eastAsia="Times New Roman" w:hAnsi="Times New Roman" w:cs="Times New Roman"/>
                <w:sz w:val="24"/>
                <w:szCs w:val="24"/>
                <w:lang w:eastAsia="lv-LV"/>
              </w:rPr>
              <w:t>atbalst</w:t>
            </w:r>
            <w:r w:rsidR="00ED65A6" w:rsidRPr="00D531C7">
              <w:rPr>
                <w:rFonts w:ascii="Times New Roman" w:eastAsia="Times New Roman" w:hAnsi="Times New Roman" w:cs="Times New Roman"/>
                <w:sz w:val="24"/>
                <w:szCs w:val="24"/>
                <w:lang w:eastAsia="lv-LV"/>
              </w:rPr>
              <w:t xml:space="preserve">a </w:t>
            </w:r>
            <w:r w:rsidR="00D35382" w:rsidRPr="00D531C7">
              <w:rPr>
                <w:rFonts w:ascii="Times New Roman" w:eastAsia="Times New Roman" w:hAnsi="Times New Roman" w:cs="Times New Roman"/>
                <w:sz w:val="24"/>
                <w:szCs w:val="24"/>
                <w:lang w:eastAsia="lv-LV"/>
              </w:rPr>
              <w:t>bāz</w:t>
            </w:r>
            <w:r w:rsidR="00ED65A6" w:rsidRPr="00D531C7">
              <w:rPr>
                <w:rFonts w:ascii="Times New Roman" w:eastAsia="Times New Roman" w:hAnsi="Times New Roman" w:cs="Times New Roman"/>
                <w:sz w:val="24"/>
                <w:szCs w:val="24"/>
                <w:lang w:eastAsia="lv-LV"/>
              </w:rPr>
              <w:t>i</w:t>
            </w:r>
            <w:r w:rsidR="00D35382" w:rsidRPr="00D531C7">
              <w:rPr>
                <w:rFonts w:ascii="Times New Roman" w:eastAsia="Times New Roman" w:hAnsi="Times New Roman" w:cs="Times New Roman"/>
                <w:sz w:val="24"/>
                <w:szCs w:val="24"/>
                <w:lang w:eastAsia="lv-LV"/>
              </w:rPr>
              <w:t xml:space="preserve"> izmanto tikai t</w:t>
            </w:r>
            <w:r w:rsidR="00ED65A6" w:rsidRPr="00D531C7">
              <w:rPr>
                <w:rFonts w:ascii="Times New Roman" w:eastAsia="Times New Roman" w:hAnsi="Times New Roman" w:cs="Times New Roman"/>
                <w:sz w:val="24"/>
                <w:szCs w:val="24"/>
                <w:lang w:eastAsia="lv-LV"/>
              </w:rPr>
              <w:t>o</w:t>
            </w:r>
            <w:r w:rsidR="00D35382" w:rsidRPr="00D531C7">
              <w:rPr>
                <w:rFonts w:ascii="Times New Roman" w:eastAsia="Times New Roman" w:hAnsi="Times New Roman" w:cs="Times New Roman"/>
                <w:sz w:val="24"/>
                <w:szCs w:val="24"/>
                <w:lang w:eastAsia="lv-LV"/>
              </w:rPr>
              <w:t xml:space="preserve"> apgrozījum</w:t>
            </w:r>
            <w:r w:rsidR="00ED65A6" w:rsidRPr="00D531C7">
              <w:rPr>
                <w:rFonts w:ascii="Times New Roman" w:eastAsia="Times New Roman" w:hAnsi="Times New Roman" w:cs="Times New Roman"/>
                <w:sz w:val="24"/>
                <w:szCs w:val="24"/>
                <w:lang w:eastAsia="lv-LV"/>
              </w:rPr>
              <w:t>u</w:t>
            </w:r>
            <w:r w:rsidR="00D35382" w:rsidRPr="00D531C7">
              <w:rPr>
                <w:rFonts w:ascii="Times New Roman" w:eastAsia="Times New Roman" w:hAnsi="Times New Roman" w:cs="Times New Roman"/>
                <w:sz w:val="24"/>
                <w:szCs w:val="24"/>
                <w:lang w:eastAsia="lv-LV"/>
              </w:rPr>
              <w:t xml:space="preserve">, ko veido kooperatīvo sabiedrību biedru </w:t>
            </w:r>
            <w:r w:rsidR="000D1CB0">
              <w:rPr>
                <w:rFonts w:ascii="Times New Roman" w:eastAsia="Times New Roman" w:hAnsi="Times New Roman" w:cs="Times New Roman"/>
                <w:sz w:val="24"/>
                <w:szCs w:val="24"/>
                <w:lang w:eastAsia="lv-LV"/>
              </w:rPr>
              <w:t xml:space="preserve">tās </w:t>
            </w:r>
            <w:r w:rsidR="000D1CB0" w:rsidRPr="00D531C7">
              <w:rPr>
                <w:rFonts w:ascii="Times New Roman" w:eastAsia="Times New Roman" w:hAnsi="Times New Roman" w:cs="Times New Roman"/>
                <w:sz w:val="24"/>
                <w:szCs w:val="24"/>
                <w:lang w:eastAsia="lv-LV"/>
              </w:rPr>
              <w:t>produkcijas apjoma vērtība</w:t>
            </w:r>
            <w:r w:rsidR="000D1CB0">
              <w:rPr>
                <w:rFonts w:ascii="Times New Roman" w:eastAsia="Times New Roman" w:hAnsi="Times New Roman" w:cs="Times New Roman"/>
                <w:sz w:val="24"/>
                <w:szCs w:val="24"/>
                <w:lang w:eastAsia="lv-LV"/>
              </w:rPr>
              <w:t>, kura</w:t>
            </w:r>
            <w:r w:rsidR="000D1CB0" w:rsidRPr="00D531C7">
              <w:rPr>
                <w:rFonts w:ascii="Times New Roman" w:eastAsia="Times New Roman" w:hAnsi="Times New Roman" w:cs="Times New Roman"/>
                <w:sz w:val="24"/>
                <w:szCs w:val="24"/>
                <w:lang w:eastAsia="lv-LV"/>
              </w:rPr>
              <w:t xml:space="preserve"> </w:t>
            </w:r>
            <w:r w:rsidR="000D1CB0">
              <w:rPr>
                <w:rFonts w:ascii="Times New Roman" w:eastAsia="Times New Roman" w:hAnsi="Times New Roman" w:cs="Times New Roman"/>
                <w:sz w:val="24"/>
                <w:szCs w:val="24"/>
                <w:lang w:eastAsia="lv-LV"/>
              </w:rPr>
              <w:t>realizēta ar</w:t>
            </w:r>
            <w:r w:rsidR="000D1CB0" w:rsidRPr="00D531C7">
              <w:rPr>
                <w:rFonts w:ascii="Times New Roman" w:eastAsia="Times New Roman" w:hAnsi="Times New Roman" w:cs="Times New Roman"/>
                <w:sz w:val="24"/>
                <w:szCs w:val="24"/>
                <w:lang w:eastAsia="lv-LV"/>
              </w:rPr>
              <w:t xml:space="preserve"> </w:t>
            </w:r>
            <w:r w:rsidR="000D1CB0">
              <w:rPr>
                <w:rFonts w:ascii="Times New Roman" w:eastAsia="Times New Roman" w:hAnsi="Times New Roman" w:cs="Times New Roman"/>
                <w:sz w:val="24"/>
                <w:szCs w:val="24"/>
                <w:lang w:eastAsia="lv-LV"/>
              </w:rPr>
              <w:t>attiecīgās sabiedrības starpniecību</w:t>
            </w:r>
            <w:r w:rsidR="00D35382" w:rsidRPr="00D531C7">
              <w:rPr>
                <w:rFonts w:ascii="Times New Roman" w:eastAsia="Times New Roman" w:hAnsi="Times New Roman" w:cs="Times New Roman"/>
                <w:sz w:val="24"/>
                <w:szCs w:val="24"/>
                <w:lang w:eastAsia="lv-LV"/>
              </w:rPr>
              <w:t>.</w:t>
            </w:r>
          </w:p>
          <w:p w14:paraId="3E6646CD" w14:textId="17F8CBE2" w:rsidR="008C2713" w:rsidRPr="00D531C7" w:rsidRDefault="008C2713"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Noteikumu projekta 1</w:t>
            </w:r>
            <w:r w:rsidR="00FA63D2" w:rsidRPr="00D531C7">
              <w:rPr>
                <w:rFonts w:ascii="Times New Roman" w:eastAsia="Times New Roman" w:hAnsi="Times New Roman" w:cs="Times New Roman"/>
                <w:sz w:val="24"/>
                <w:szCs w:val="24"/>
                <w:lang w:eastAsia="lv-LV"/>
              </w:rPr>
              <w:t>1</w:t>
            </w:r>
            <w:r w:rsidRPr="00D531C7">
              <w:rPr>
                <w:rFonts w:ascii="Times New Roman" w:eastAsia="Times New Roman" w:hAnsi="Times New Roman" w:cs="Times New Roman"/>
                <w:sz w:val="24"/>
                <w:szCs w:val="24"/>
                <w:lang w:eastAsia="lv-LV"/>
              </w:rPr>
              <w:t>.</w:t>
            </w:r>
            <w:r w:rsidR="00282FB4"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punkt</w:t>
            </w:r>
            <w:r w:rsidR="00282FB4" w:rsidRPr="00D531C7">
              <w:rPr>
                <w:rFonts w:ascii="Times New Roman" w:eastAsia="Times New Roman" w:hAnsi="Times New Roman" w:cs="Times New Roman"/>
                <w:sz w:val="24"/>
                <w:szCs w:val="24"/>
                <w:lang w:eastAsia="lv-LV"/>
              </w:rPr>
              <w:t>ā</w:t>
            </w:r>
            <w:r w:rsidRPr="00D531C7">
              <w:rPr>
                <w:rFonts w:ascii="Times New Roman" w:eastAsia="Times New Roman" w:hAnsi="Times New Roman" w:cs="Times New Roman"/>
                <w:sz w:val="24"/>
                <w:szCs w:val="24"/>
                <w:lang w:eastAsia="lv-LV"/>
              </w:rPr>
              <w:t xml:space="preserve"> </w:t>
            </w:r>
            <w:r w:rsidR="00282FB4" w:rsidRPr="00D531C7">
              <w:rPr>
                <w:rFonts w:ascii="Times New Roman" w:eastAsia="Times New Roman" w:hAnsi="Times New Roman" w:cs="Times New Roman"/>
                <w:sz w:val="24"/>
                <w:szCs w:val="24"/>
                <w:lang w:eastAsia="lv-LV"/>
              </w:rPr>
              <w:t>noteikts</w:t>
            </w:r>
            <w:r w:rsidRPr="00D531C7">
              <w:rPr>
                <w:rFonts w:ascii="Times New Roman" w:eastAsia="Times New Roman" w:hAnsi="Times New Roman" w:cs="Times New Roman"/>
                <w:sz w:val="24"/>
                <w:szCs w:val="24"/>
                <w:lang w:eastAsia="lv-LV"/>
              </w:rPr>
              <w:t>, ka atbalsta apmēra samazinājumu nepiemēro kooperatīvu apvienībām.</w:t>
            </w:r>
          </w:p>
          <w:p w14:paraId="74B6F1D9" w14:textId="6E7653DA" w:rsidR="008C2713" w:rsidRDefault="00AF29FB" w:rsidP="00282FB4">
            <w:pPr>
              <w:numPr>
                <w:ilvl w:val="0"/>
                <w:numId w:val="3"/>
              </w:numPr>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N</w:t>
            </w:r>
            <w:r w:rsidR="008C2713" w:rsidRPr="00D531C7">
              <w:rPr>
                <w:rFonts w:ascii="Times New Roman" w:eastAsia="Times New Roman" w:hAnsi="Times New Roman" w:cs="Times New Roman"/>
                <w:sz w:val="24"/>
                <w:szCs w:val="24"/>
                <w:lang w:eastAsia="lv-LV"/>
              </w:rPr>
              <w:t>oteikumu projekta 1</w:t>
            </w:r>
            <w:r w:rsidR="00D35382" w:rsidRPr="00D531C7">
              <w:rPr>
                <w:rFonts w:ascii="Times New Roman" w:eastAsia="Times New Roman" w:hAnsi="Times New Roman" w:cs="Times New Roman"/>
                <w:sz w:val="24"/>
                <w:szCs w:val="24"/>
                <w:lang w:eastAsia="lv-LV"/>
              </w:rPr>
              <w:t>2</w:t>
            </w:r>
            <w:r w:rsidR="008C2713"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 </w:t>
            </w:r>
            <w:r w:rsidR="008C2713" w:rsidRPr="00D531C7">
              <w:rPr>
                <w:rFonts w:ascii="Times New Roman" w:eastAsia="Times New Roman" w:hAnsi="Times New Roman" w:cs="Times New Roman"/>
                <w:sz w:val="24"/>
                <w:szCs w:val="24"/>
                <w:lang w:eastAsia="lv-LV"/>
              </w:rPr>
              <w:t>punkt</w:t>
            </w:r>
            <w:r w:rsidRPr="00D531C7">
              <w:rPr>
                <w:rFonts w:ascii="Times New Roman" w:eastAsia="Times New Roman" w:hAnsi="Times New Roman" w:cs="Times New Roman"/>
                <w:sz w:val="24"/>
                <w:szCs w:val="24"/>
                <w:lang w:eastAsia="lv-LV"/>
              </w:rPr>
              <w:t>s paredz</w:t>
            </w:r>
            <w:r w:rsidR="008C2713" w:rsidRPr="00D531C7">
              <w:rPr>
                <w:rFonts w:ascii="Times New Roman" w:eastAsia="Times New Roman" w:hAnsi="Times New Roman" w:cs="Times New Roman"/>
                <w:sz w:val="24"/>
                <w:szCs w:val="24"/>
                <w:lang w:eastAsia="lv-LV"/>
              </w:rPr>
              <w:t xml:space="preserve"> svītrot</w:t>
            </w:r>
            <w:r w:rsidRPr="00D531C7">
              <w:rPr>
                <w:rFonts w:ascii="Times New Roman" w:eastAsia="Times New Roman" w:hAnsi="Times New Roman" w:cs="Times New Roman"/>
                <w:sz w:val="24"/>
                <w:szCs w:val="24"/>
                <w:lang w:eastAsia="lv-LV"/>
              </w:rPr>
              <w:t xml:space="preserve"> nosacījumu</w:t>
            </w:r>
            <w:r w:rsidR="008C2713" w:rsidRPr="00D531C7">
              <w:rPr>
                <w:rFonts w:ascii="Times New Roman" w:eastAsia="Times New Roman" w:hAnsi="Times New Roman" w:cs="Times New Roman"/>
                <w:sz w:val="24"/>
                <w:szCs w:val="24"/>
                <w:lang w:eastAsia="lv-LV"/>
              </w:rPr>
              <w:t xml:space="preserve"> attiecībā uz atbalsta samazināšanu, ja atbalsta pretendents uz atbalstu piesakās otrajā, trešajā, ceturtajā vai piektajā gadā pēc atbilstības statusa iegūšanas. Ņemot vērā Latvijas Lauksaimniecības kooperatīvu asociācijas informāciju, pēc 2019.</w:t>
            </w:r>
            <w:r w:rsidRPr="00D531C7">
              <w:rPr>
                <w:rFonts w:ascii="Times New Roman" w:eastAsia="Times New Roman" w:hAnsi="Times New Roman" w:cs="Times New Roman"/>
                <w:sz w:val="24"/>
                <w:szCs w:val="24"/>
                <w:lang w:eastAsia="lv-LV"/>
              </w:rPr>
              <w:t> </w:t>
            </w:r>
            <w:r w:rsidR="008C2713" w:rsidRPr="00D531C7">
              <w:rPr>
                <w:rFonts w:ascii="Times New Roman" w:eastAsia="Times New Roman" w:hAnsi="Times New Roman" w:cs="Times New Roman"/>
                <w:sz w:val="24"/>
                <w:szCs w:val="24"/>
                <w:lang w:eastAsia="lv-LV"/>
              </w:rPr>
              <w:t xml:space="preserve">gada atbilstības statusu pirmo reizi ir ieguvušas tikai </w:t>
            </w:r>
            <w:r w:rsidR="00282FB4" w:rsidRPr="00D531C7">
              <w:rPr>
                <w:rFonts w:ascii="Times New Roman" w:eastAsia="Times New Roman" w:hAnsi="Times New Roman" w:cs="Times New Roman"/>
                <w:sz w:val="24"/>
                <w:szCs w:val="24"/>
                <w:lang w:eastAsia="lv-LV"/>
              </w:rPr>
              <w:t>piecas</w:t>
            </w:r>
            <w:r w:rsidR="008C2713" w:rsidRPr="00D531C7">
              <w:rPr>
                <w:rFonts w:ascii="Times New Roman" w:eastAsia="Times New Roman" w:hAnsi="Times New Roman" w:cs="Times New Roman"/>
                <w:sz w:val="24"/>
                <w:szCs w:val="24"/>
                <w:lang w:eastAsia="lv-LV"/>
              </w:rPr>
              <w:t xml:space="preserve"> kooperatīvās sabiedrības</w:t>
            </w:r>
            <w:r w:rsidR="00282FB4" w:rsidRPr="00D531C7">
              <w:rPr>
                <w:rFonts w:ascii="Times New Roman" w:eastAsia="Times New Roman" w:hAnsi="Times New Roman" w:cs="Times New Roman"/>
                <w:sz w:val="24"/>
                <w:szCs w:val="24"/>
                <w:lang w:eastAsia="lv-LV"/>
              </w:rPr>
              <w:t>,</w:t>
            </w:r>
            <w:r w:rsidR="008C2713" w:rsidRPr="00D531C7">
              <w:rPr>
                <w:rFonts w:ascii="Times New Roman" w:eastAsia="Times New Roman" w:hAnsi="Times New Roman" w:cs="Times New Roman"/>
                <w:sz w:val="24"/>
                <w:szCs w:val="24"/>
                <w:lang w:eastAsia="lv-LV"/>
              </w:rPr>
              <w:t xml:space="preserve"> un pārejas periodā, izvērtējot lēno tempu, kādā Latvijā veidojas un atbilstības statusu iegūst jaunas kooperatīvās sabiedrības, nav paredzēts samazināt atbalsta likmi atkarībā no tā, vai kooperatīvā sabiedrība atbilstības statusu būs saņēmusi 2019. vai 2020.gadā.</w:t>
            </w:r>
          </w:p>
          <w:p w14:paraId="3CB48472" w14:textId="60524938" w:rsidR="00FF7C79" w:rsidRPr="00551FC5" w:rsidRDefault="00282FB4" w:rsidP="00551FC5">
            <w:pPr>
              <w:numPr>
                <w:ilvl w:val="0"/>
                <w:numId w:val="3"/>
              </w:numPr>
              <w:suppressAutoHyphens/>
              <w:spacing w:after="0" w:line="240" w:lineRule="auto"/>
              <w:ind w:left="395"/>
              <w:contextualSpacing/>
              <w:jc w:val="both"/>
              <w:rPr>
                <w:rFonts w:ascii="Times New Roman" w:eastAsia="Times New Roman" w:hAnsi="Times New Roman" w:cs="Times New Roman"/>
                <w:sz w:val="24"/>
                <w:szCs w:val="24"/>
                <w:lang w:eastAsia="lv-LV"/>
              </w:rPr>
            </w:pPr>
            <w:r w:rsidRPr="00551FC5">
              <w:rPr>
                <w:rFonts w:ascii="Times New Roman" w:eastAsia="Times New Roman" w:hAnsi="Times New Roman" w:cs="Times New Roman"/>
                <w:sz w:val="24"/>
                <w:szCs w:val="24"/>
                <w:lang w:eastAsia="lv-LV"/>
              </w:rPr>
              <w:t>P</w:t>
            </w:r>
            <w:r w:rsidR="00D35382" w:rsidRPr="00551FC5">
              <w:rPr>
                <w:rFonts w:ascii="Times New Roman" w:eastAsia="Times New Roman" w:hAnsi="Times New Roman" w:cs="Times New Roman"/>
                <w:sz w:val="24"/>
                <w:szCs w:val="24"/>
                <w:lang w:eastAsia="lv-LV"/>
              </w:rPr>
              <w:t>ārejas period</w:t>
            </w:r>
            <w:r w:rsidRPr="00551FC5">
              <w:rPr>
                <w:rFonts w:ascii="Times New Roman" w:eastAsia="Times New Roman" w:hAnsi="Times New Roman" w:cs="Times New Roman"/>
                <w:sz w:val="24"/>
                <w:szCs w:val="24"/>
                <w:lang w:eastAsia="lv-LV"/>
              </w:rPr>
              <w:t>ā ir</w:t>
            </w:r>
            <w:r w:rsidR="00D35382" w:rsidRPr="00551FC5">
              <w:rPr>
                <w:rFonts w:ascii="Times New Roman" w:eastAsia="Times New Roman" w:hAnsi="Times New Roman" w:cs="Times New Roman"/>
                <w:sz w:val="24"/>
                <w:szCs w:val="24"/>
                <w:lang w:eastAsia="lv-LV"/>
              </w:rPr>
              <w:t xml:space="preserve"> jāīsteno n+3 pieeja, kā arī Lauku attīstības programmā </w:t>
            </w:r>
            <w:r w:rsidR="00F92C07" w:rsidRPr="00551FC5">
              <w:rPr>
                <w:rFonts w:ascii="Times New Roman" w:eastAsia="Times New Roman" w:hAnsi="Times New Roman" w:cs="Times New Roman"/>
                <w:sz w:val="24"/>
                <w:szCs w:val="24"/>
                <w:lang w:eastAsia="lv-LV"/>
              </w:rPr>
              <w:t>ietvert</w:t>
            </w:r>
            <w:r w:rsidRPr="00551FC5">
              <w:rPr>
                <w:rFonts w:ascii="Times New Roman" w:eastAsia="Times New Roman" w:hAnsi="Times New Roman" w:cs="Times New Roman"/>
                <w:sz w:val="24"/>
                <w:szCs w:val="24"/>
                <w:lang w:eastAsia="lv-LV"/>
              </w:rPr>
              <w:t>ā</w:t>
            </w:r>
            <w:r w:rsidR="00F92C07" w:rsidRPr="00551FC5">
              <w:rPr>
                <w:rFonts w:ascii="Times New Roman" w:eastAsia="Times New Roman" w:hAnsi="Times New Roman" w:cs="Times New Roman"/>
                <w:sz w:val="24"/>
                <w:szCs w:val="24"/>
                <w:lang w:eastAsia="lv-LV"/>
              </w:rPr>
              <w:t xml:space="preserve"> </w:t>
            </w:r>
            <w:r w:rsidR="00AF29FB" w:rsidRPr="00551FC5">
              <w:rPr>
                <w:rFonts w:ascii="Times New Roman" w:eastAsia="Times New Roman" w:hAnsi="Times New Roman" w:cs="Times New Roman"/>
                <w:sz w:val="24"/>
                <w:szCs w:val="24"/>
                <w:lang w:eastAsia="lv-LV"/>
              </w:rPr>
              <w:t>elastīg</w:t>
            </w:r>
            <w:r w:rsidRPr="00551FC5">
              <w:rPr>
                <w:rFonts w:ascii="Times New Roman" w:eastAsia="Times New Roman" w:hAnsi="Times New Roman" w:cs="Times New Roman"/>
                <w:sz w:val="24"/>
                <w:szCs w:val="24"/>
                <w:lang w:eastAsia="lv-LV"/>
              </w:rPr>
              <w:t>ā</w:t>
            </w:r>
            <w:r w:rsidR="00AF29FB" w:rsidRPr="00551FC5">
              <w:rPr>
                <w:rFonts w:ascii="Times New Roman" w:eastAsia="Times New Roman" w:hAnsi="Times New Roman" w:cs="Times New Roman"/>
                <w:sz w:val="24"/>
                <w:szCs w:val="24"/>
                <w:lang w:eastAsia="lv-LV"/>
              </w:rPr>
              <w:t xml:space="preserve"> pieej</w:t>
            </w:r>
            <w:r w:rsidRPr="00551FC5">
              <w:rPr>
                <w:rFonts w:ascii="Times New Roman" w:eastAsia="Times New Roman" w:hAnsi="Times New Roman" w:cs="Times New Roman"/>
                <w:sz w:val="24"/>
                <w:szCs w:val="24"/>
                <w:lang w:eastAsia="lv-LV"/>
              </w:rPr>
              <w:t>a</w:t>
            </w:r>
            <w:r w:rsidR="00AF29FB" w:rsidRPr="00551FC5">
              <w:rPr>
                <w:rFonts w:ascii="Times New Roman" w:eastAsia="Times New Roman" w:hAnsi="Times New Roman" w:cs="Times New Roman"/>
                <w:sz w:val="24"/>
                <w:szCs w:val="24"/>
                <w:lang w:eastAsia="lv-LV"/>
              </w:rPr>
              <w:t xml:space="preserve"> </w:t>
            </w:r>
            <w:r w:rsidR="00F92C07" w:rsidRPr="00551FC5">
              <w:rPr>
                <w:rFonts w:ascii="Times New Roman" w:eastAsia="Times New Roman" w:hAnsi="Times New Roman" w:cs="Times New Roman"/>
                <w:sz w:val="24"/>
                <w:szCs w:val="24"/>
                <w:lang w:eastAsia="lv-LV"/>
              </w:rPr>
              <w:t>attiecībā uz šo pasākumu</w:t>
            </w:r>
            <w:r w:rsidR="00AF29FB" w:rsidRPr="00551FC5">
              <w:rPr>
                <w:rFonts w:ascii="Times New Roman" w:eastAsia="Times New Roman" w:hAnsi="Times New Roman" w:cs="Times New Roman"/>
                <w:sz w:val="24"/>
                <w:szCs w:val="24"/>
                <w:lang w:eastAsia="lv-LV"/>
              </w:rPr>
              <w:t xml:space="preserve"> īstenošanu</w:t>
            </w:r>
            <w:r w:rsidR="00361F22" w:rsidRPr="00551FC5">
              <w:rPr>
                <w:rFonts w:ascii="Times New Roman" w:hAnsi="Times New Roman" w:cs="Times New Roman"/>
                <w:sz w:val="24"/>
                <w:szCs w:val="24"/>
              </w:rPr>
              <w:t>.</w:t>
            </w:r>
            <w:r w:rsidR="008C215C" w:rsidRPr="00551FC5">
              <w:rPr>
                <w:rFonts w:ascii="Times New Roman" w:hAnsi="Times New Roman" w:cs="Times New Roman"/>
                <w:sz w:val="24"/>
                <w:szCs w:val="24"/>
              </w:rPr>
              <w:t xml:space="preserve"> </w:t>
            </w:r>
            <w:r w:rsidR="00361F22" w:rsidRPr="00551FC5">
              <w:rPr>
                <w:rFonts w:ascii="Times New Roman" w:hAnsi="Times New Roman" w:cs="Times New Roman"/>
                <w:sz w:val="24"/>
                <w:szCs w:val="24"/>
              </w:rPr>
              <w:t>A</w:t>
            </w:r>
            <w:r w:rsidR="008C215C" w:rsidRPr="00551FC5">
              <w:rPr>
                <w:rFonts w:ascii="Times New Roman" w:hAnsi="Times New Roman" w:cs="Times New Roman"/>
                <w:sz w:val="24"/>
                <w:szCs w:val="24"/>
              </w:rPr>
              <w:t>tkarībā no pretendenta biznesa plānā ietverto aktivitāšu</w:t>
            </w:r>
            <w:r w:rsidR="00361F22" w:rsidRPr="00551FC5">
              <w:rPr>
                <w:rFonts w:ascii="Times New Roman" w:hAnsi="Times New Roman" w:cs="Times New Roman"/>
                <w:sz w:val="24"/>
                <w:szCs w:val="24"/>
              </w:rPr>
              <w:t xml:space="preserve"> īstenošanas termiņiem atbalsta pretendents</w:t>
            </w:r>
            <w:r w:rsidR="008C215C" w:rsidRPr="00551FC5">
              <w:rPr>
                <w:rFonts w:ascii="Times New Roman" w:hAnsi="Times New Roman" w:cs="Times New Roman"/>
                <w:sz w:val="24"/>
                <w:szCs w:val="24"/>
              </w:rPr>
              <w:t xml:space="preserve"> pēc biznesa plāna daļas </w:t>
            </w:r>
            <w:r w:rsidR="00F434D0" w:rsidRPr="00551FC5">
              <w:rPr>
                <w:rFonts w:ascii="Times New Roman" w:hAnsi="Times New Roman" w:cs="Times New Roman"/>
                <w:sz w:val="24"/>
                <w:szCs w:val="24"/>
              </w:rPr>
              <w:t xml:space="preserve">vai vairāku biznesa plāna daļu </w:t>
            </w:r>
            <w:r w:rsidR="008C215C" w:rsidRPr="00551FC5">
              <w:rPr>
                <w:rFonts w:ascii="Times New Roman" w:hAnsi="Times New Roman" w:cs="Times New Roman"/>
                <w:sz w:val="24"/>
                <w:szCs w:val="24"/>
              </w:rPr>
              <w:t>īstenošanas</w:t>
            </w:r>
            <w:r w:rsidR="00361F22" w:rsidRPr="00551FC5">
              <w:rPr>
                <w:rFonts w:ascii="Times New Roman" w:hAnsi="Times New Roman" w:cs="Times New Roman"/>
                <w:sz w:val="24"/>
                <w:szCs w:val="24"/>
              </w:rPr>
              <w:t>,</w:t>
            </w:r>
            <w:r w:rsidR="008C215C" w:rsidRPr="00551FC5">
              <w:rPr>
                <w:rFonts w:ascii="Times New Roman" w:hAnsi="Times New Roman" w:cs="Times New Roman"/>
                <w:sz w:val="24"/>
                <w:szCs w:val="24"/>
              </w:rPr>
              <w:t xml:space="preserve"> pamatojoties uz izdevumus apliecinošajiem dokumentiem</w:t>
            </w:r>
            <w:r w:rsidR="000D1CB0">
              <w:rPr>
                <w:rFonts w:ascii="Times New Roman" w:hAnsi="Times New Roman" w:cs="Times New Roman"/>
                <w:sz w:val="24"/>
                <w:szCs w:val="24"/>
              </w:rPr>
              <w:t xml:space="preserve"> un ievērojot</w:t>
            </w:r>
            <w:r w:rsidR="008C215C" w:rsidRPr="00551FC5">
              <w:rPr>
                <w:rFonts w:ascii="Times New Roman" w:hAnsi="Times New Roman" w:cs="Times New Roman"/>
                <w:sz w:val="24"/>
                <w:szCs w:val="24"/>
              </w:rPr>
              <w:t xml:space="preserve"> </w:t>
            </w:r>
            <w:r w:rsidR="008C215C" w:rsidRPr="00551FC5">
              <w:rPr>
                <w:rFonts w:ascii="Times New Roman" w:hAnsi="Times New Roman" w:cs="Times New Roman"/>
                <w:sz w:val="24"/>
                <w:szCs w:val="24"/>
                <w:shd w:val="clear" w:color="auto" w:fill="FFFFFF"/>
              </w:rPr>
              <w:t>Lauku atbalsta dienesta lēmumā par projekta iesnieguma apstiprināšanu noteikto termiņu</w:t>
            </w:r>
            <w:r w:rsidR="008C215C" w:rsidRPr="00551FC5">
              <w:rPr>
                <w:rFonts w:ascii="Times New Roman" w:hAnsi="Times New Roman" w:cs="Times New Roman"/>
                <w:sz w:val="24"/>
                <w:szCs w:val="24"/>
              </w:rPr>
              <w:t>,</w:t>
            </w:r>
            <w:r w:rsidR="00F434D0" w:rsidRPr="00551FC5">
              <w:rPr>
                <w:rFonts w:ascii="Times New Roman" w:hAnsi="Times New Roman" w:cs="Times New Roman"/>
                <w:sz w:val="24"/>
                <w:szCs w:val="24"/>
              </w:rPr>
              <w:t xml:space="preserve"> </w:t>
            </w:r>
            <w:r w:rsidR="008C215C" w:rsidRPr="00551FC5">
              <w:rPr>
                <w:rFonts w:ascii="Times New Roman" w:hAnsi="Times New Roman" w:cs="Times New Roman"/>
                <w:sz w:val="24"/>
                <w:szCs w:val="24"/>
              </w:rPr>
              <w:t xml:space="preserve">bet ne vēlāk kā </w:t>
            </w:r>
            <w:r w:rsidR="00335A69" w:rsidRPr="00551FC5">
              <w:rPr>
                <w:rFonts w:ascii="Times New Roman" w:hAnsi="Times New Roman" w:cs="Times New Roman"/>
                <w:sz w:val="24"/>
                <w:szCs w:val="24"/>
              </w:rPr>
              <w:t xml:space="preserve">pēc priekšpēdējās biznesa plāna daļas īstenošanas </w:t>
            </w:r>
            <w:r w:rsidR="008C215C" w:rsidRPr="00551FC5">
              <w:rPr>
                <w:rFonts w:ascii="Times New Roman" w:hAnsi="Times New Roman" w:cs="Times New Roman"/>
                <w:sz w:val="24"/>
                <w:szCs w:val="24"/>
              </w:rPr>
              <w:t xml:space="preserve">iesniedz Lauku atbalsta dienestā maksājuma pieprasījumu par </w:t>
            </w:r>
            <w:r w:rsidRPr="00551FC5">
              <w:rPr>
                <w:rFonts w:ascii="Times New Roman" w:hAnsi="Times New Roman" w:cs="Times New Roman"/>
                <w:sz w:val="24"/>
                <w:szCs w:val="24"/>
              </w:rPr>
              <w:t>savām</w:t>
            </w:r>
            <w:r w:rsidR="008C215C" w:rsidRPr="00551FC5">
              <w:rPr>
                <w:rFonts w:ascii="Times New Roman" w:hAnsi="Times New Roman" w:cs="Times New Roman"/>
                <w:sz w:val="24"/>
                <w:szCs w:val="24"/>
              </w:rPr>
              <w:t xml:space="preserve"> faktiskajām </w:t>
            </w:r>
            <w:r w:rsidR="008C215C" w:rsidRPr="00551FC5">
              <w:rPr>
                <w:rFonts w:ascii="Times New Roman" w:hAnsi="Times New Roman" w:cs="Times New Roman"/>
                <w:sz w:val="24"/>
                <w:szCs w:val="24"/>
              </w:rPr>
              <w:lastRenderedPageBreak/>
              <w:t>attiecināmajām izmaksām</w:t>
            </w:r>
            <w:r w:rsidRPr="00551FC5">
              <w:rPr>
                <w:rFonts w:ascii="Times New Roman" w:hAnsi="Times New Roman" w:cs="Times New Roman"/>
                <w:sz w:val="24"/>
                <w:szCs w:val="24"/>
              </w:rPr>
              <w:t>,</w:t>
            </w:r>
            <w:r w:rsidR="00F434D0" w:rsidRPr="00551FC5">
              <w:rPr>
                <w:rFonts w:ascii="Times New Roman" w:hAnsi="Times New Roman" w:cs="Times New Roman"/>
                <w:sz w:val="24"/>
                <w:szCs w:val="24"/>
              </w:rPr>
              <w:t xml:space="preserve"> un </w:t>
            </w:r>
            <w:r w:rsidRPr="00551FC5">
              <w:rPr>
                <w:rFonts w:ascii="Times New Roman" w:hAnsi="Times New Roman" w:cs="Times New Roman"/>
                <w:sz w:val="24"/>
                <w:szCs w:val="24"/>
              </w:rPr>
              <w:t>L</w:t>
            </w:r>
            <w:r w:rsidR="00F434D0" w:rsidRPr="00551FC5">
              <w:rPr>
                <w:rFonts w:ascii="Times New Roman" w:hAnsi="Times New Roman" w:cs="Times New Roman"/>
                <w:sz w:val="24"/>
                <w:szCs w:val="24"/>
              </w:rPr>
              <w:t xml:space="preserve">auku atbalsta dienests izvērtē iesniegtos dokumentus un </w:t>
            </w:r>
            <w:r w:rsidRPr="00551FC5">
              <w:rPr>
                <w:rFonts w:ascii="Times New Roman" w:hAnsi="Times New Roman" w:cs="Times New Roman"/>
                <w:sz w:val="24"/>
                <w:szCs w:val="24"/>
              </w:rPr>
              <w:t xml:space="preserve">pārskaita </w:t>
            </w:r>
            <w:r w:rsidR="00F434D0" w:rsidRPr="00551FC5">
              <w:rPr>
                <w:rFonts w:ascii="Times New Roman" w:hAnsi="Times New Roman" w:cs="Times New Roman"/>
                <w:sz w:val="24"/>
                <w:szCs w:val="24"/>
              </w:rPr>
              <w:t xml:space="preserve">atbalstu. Pēdējo maksājumu </w:t>
            </w:r>
            <w:r w:rsidR="00AF29FB" w:rsidRPr="00551FC5">
              <w:rPr>
                <w:rFonts w:ascii="Times New Roman" w:hAnsi="Times New Roman" w:cs="Times New Roman"/>
                <w:sz w:val="24"/>
                <w:szCs w:val="24"/>
              </w:rPr>
              <w:t>L</w:t>
            </w:r>
            <w:r w:rsidR="00F434D0" w:rsidRPr="00551FC5">
              <w:rPr>
                <w:rFonts w:ascii="Times New Roman" w:hAnsi="Times New Roman" w:cs="Times New Roman"/>
                <w:sz w:val="24"/>
                <w:szCs w:val="24"/>
              </w:rPr>
              <w:t>auku atbalsta dienests izmaksā tikai pēc biznesa plān</w:t>
            </w:r>
            <w:r w:rsidR="00AF29FB" w:rsidRPr="00551FC5">
              <w:rPr>
                <w:rFonts w:ascii="Times New Roman" w:hAnsi="Times New Roman" w:cs="Times New Roman"/>
                <w:sz w:val="24"/>
                <w:szCs w:val="24"/>
              </w:rPr>
              <w:t>ā</w:t>
            </w:r>
            <w:r w:rsidR="00F434D0" w:rsidRPr="00551FC5">
              <w:rPr>
                <w:rFonts w:ascii="Times New Roman" w:hAnsi="Times New Roman" w:cs="Times New Roman"/>
                <w:sz w:val="24"/>
                <w:szCs w:val="24"/>
              </w:rPr>
              <w:t xml:space="preserve"> noteikto mērķu un sasniedzamo rādītāju </w:t>
            </w:r>
            <w:r w:rsidR="000D1CB0">
              <w:rPr>
                <w:rFonts w:ascii="Times New Roman" w:hAnsi="Times New Roman" w:cs="Times New Roman"/>
                <w:sz w:val="24"/>
                <w:szCs w:val="24"/>
              </w:rPr>
              <w:t>piepildī</w:t>
            </w:r>
            <w:r w:rsidR="00F434D0" w:rsidRPr="00551FC5">
              <w:rPr>
                <w:rFonts w:ascii="Times New Roman" w:hAnsi="Times New Roman" w:cs="Times New Roman"/>
                <w:sz w:val="24"/>
                <w:szCs w:val="24"/>
              </w:rPr>
              <w:t>šanas</w:t>
            </w:r>
            <w:r w:rsidR="00AF29FB" w:rsidRPr="00551FC5">
              <w:rPr>
                <w:rFonts w:ascii="Times New Roman" w:hAnsi="Times New Roman" w:cs="Times New Roman"/>
                <w:sz w:val="24"/>
                <w:szCs w:val="24"/>
              </w:rPr>
              <w:t>.</w:t>
            </w:r>
            <w:r w:rsidR="00F434D0" w:rsidRPr="00551FC5">
              <w:rPr>
                <w:rFonts w:ascii="Times New Roman" w:hAnsi="Times New Roman" w:cs="Times New Roman"/>
                <w:sz w:val="24"/>
                <w:szCs w:val="24"/>
              </w:rPr>
              <w:t xml:space="preserve"> </w:t>
            </w:r>
            <w:r w:rsidR="00933E30" w:rsidRPr="00551FC5">
              <w:rPr>
                <w:rFonts w:ascii="Times New Roman" w:eastAsia="Times New Roman" w:hAnsi="Times New Roman" w:cs="Times New Roman"/>
                <w:sz w:val="24"/>
                <w:szCs w:val="24"/>
                <w:lang w:eastAsia="lv-LV"/>
              </w:rPr>
              <w:t>Biznesa plāna īstenošanas laikā kooperatīvajai sabiedrībai ir tiesības četras reizes pieprasīt priekšapmaksu, k</w:t>
            </w:r>
            <w:r w:rsidR="00997A11" w:rsidRPr="00551FC5">
              <w:rPr>
                <w:rFonts w:ascii="Times New Roman" w:eastAsia="Times New Roman" w:hAnsi="Times New Roman" w:cs="Times New Roman"/>
                <w:sz w:val="24"/>
                <w:szCs w:val="24"/>
                <w:lang w:eastAsia="lv-LV"/>
              </w:rPr>
              <w:t>o</w:t>
            </w:r>
            <w:r w:rsidR="00933E30" w:rsidRPr="00551FC5">
              <w:rPr>
                <w:rFonts w:ascii="Times New Roman" w:eastAsia="Times New Roman" w:hAnsi="Times New Roman" w:cs="Times New Roman"/>
                <w:sz w:val="24"/>
                <w:szCs w:val="24"/>
                <w:lang w:eastAsia="lv-LV"/>
              </w:rPr>
              <w:t xml:space="preserve"> </w:t>
            </w:r>
            <w:r w:rsidR="00997A11" w:rsidRPr="00551FC5">
              <w:rPr>
                <w:rFonts w:ascii="Times New Roman" w:eastAsia="Times New Roman" w:hAnsi="Times New Roman" w:cs="Times New Roman"/>
                <w:sz w:val="24"/>
                <w:szCs w:val="24"/>
                <w:lang w:eastAsia="lv-LV"/>
              </w:rPr>
              <w:t xml:space="preserve">Lauku atbalsta dienests </w:t>
            </w:r>
            <w:r w:rsidR="00933E30" w:rsidRPr="00551FC5">
              <w:rPr>
                <w:rFonts w:ascii="Times New Roman" w:eastAsia="Times New Roman" w:hAnsi="Times New Roman" w:cs="Times New Roman"/>
                <w:sz w:val="24"/>
                <w:szCs w:val="24"/>
                <w:lang w:eastAsia="lv-LV"/>
              </w:rPr>
              <w:t>pēc maksājuma pieprasījuma saņemšanas pārskaita uz atbalsta pretendenta norēķinu kontu kredītiestādē.</w:t>
            </w:r>
            <w:r w:rsidR="00C861ED" w:rsidRPr="00551FC5">
              <w:rPr>
                <w:rFonts w:ascii="Times New Roman" w:eastAsia="Times New Roman" w:hAnsi="Times New Roman" w:cs="Times New Roman"/>
                <w:sz w:val="24"/>
                <w:szCs w:val="24"/>
                <w:lang w:eastAsia="lv-LV"/>
              </w:rPr>
              <w:t xml:space="preserve"> </w:t>
            </w:r>
            <w:r w:rsidR="00933E30" w:rsidRPr="00551FC5">
              <w:rPr>
                <w:rFonts w:ascii="Times New Roman" w:eastAsia="Times New Roman" w:hAnsi="Times New Roman" w:cs="Times New Roman"/>
                <w:color w:val="000000" w:themeColor="text1"/>
                <w:sz w:val="24"/>
                <w:szCs w:val="24"/>
                <w:lang w:eastAsia="lv-LV"/>
              </w:rPr>
              <w:t xml:space="preserve">Gan </w:t>
            </w:r>
            <w:r w:rsidR="00C861ED" w:rsidRPr="00551FC5">
              <w:rPr>
                <w:rFonts w:ascii="Times New Roman" w:eastAsia="Times New Roman" w:hAnsi="Times New Roman" w:cs="Times New Roman"/>
                <w:color w:val="000000" w:themeColor="text1"/>
                <w:sz w:val="24"/>
                <w:szCs w:val="24"/>
                <w:lang w:eastAsia="lv-LV"/>
              </w:rPr>
              <w:t>priekšapmaksas, gan atbalsta maksājumu pieprasījumu, gan dokumentu iesniegšanas</w:t>
            </w:r>
            <w:r w:rsidR="00933E30" w:rsidRPr="00551FC5">
              <w:rPr>
                <w:rFonts w:ascii="Times New Roman" w:eastAsia="Times New Roman" w:hAnsi="Times New Roman" w:cs="Times New Roman"/>
                <w:color w:val="000000" w:themeColor="text1"/>
                <w:sz w:val="24"/>
                <w:szCs w:val="24"/>
                <w:lang w:eastAsia="lv-LV"/>
              </w:rPr>
              <w:t xml:space="preserve"> termiņi tiks ietverti </w:t>
            </w:r>
            <w:r w:rsidR="00933E30" w:rsidRPr="00551FC5">
              <w:rPr>
                <w:rFonts w:ascii="Times New Roman" w:hAnsi="Times New Roman" w:cs="Times New Roman"/>
                <w:color w:val="000000" w:themeColor="text1"/>
                <w:sz w:val="24"/>
                <w:szCs w:val="24"/>
                <w:shd w:val="clear" w:color="auto" w:fill="FFFFFF"/>
              </w:rPr>
              <w:t>Lauku atbalsta dienesta lēmumā par projekta iesnieguma apstiprināšanu.</w:t>
            </w:r>
            <w:r w:rsidR="00FF7C79" w:rsidRPr="00551FC5">
              <w:rPr>
                <w:rFonts w:ascii="Times New Roman" w:hAnsi="Times New Roman" w:cs="Times New Roman"/>
                <w:color w:val="000000" w:themeColor="text1"/>
                <w:sz w:val="24"/>
                <w:szCs w:val="24"/>
                <w:shd w:val="clear" w:color="auto" w:fill="FFFFFF"/>
              </w:rPr>
              <w:t xml:space="preserve"> Turklāt priekšapmaksas pieprasīšanas iespēja</w:t>
            </w:r>
            <w:r w:rsidR="00551FC5">
              <w:rPr>
                <w:rFonts w:ascii="Times New Roman" w:hAnsi="Times New Roman" w:cs="Times New Roman"/>
                <w:color w:val="000000" w:themeColor="text1"/>
                <w:sz w:val="24"/>
                <w:szCs w:val="24"/>
                <w:shd w:val="clear" w:color="auto" w:fill="FFFFFF"/>
              </w:rPr>
              <w:t>s</w:t>
            </w:r>
            <w:r w:rsidR="00FF7C79" w:rsidRPr="00551FC5">
              <w:rPr>
                <w:rFonts w:ascii="Times New Roman" w:hAnsi="Times New Roman" w:cs="Times New Roman"/>
                <w:color w:val="000000" w:themeColor="text1"/>
                <w:sz w:val="24"/>
                <w:szCs w:val="24"/>
                <w:shd w:val="clear" w:color="auto" w:fill="FFFFFF"/>
              </w:rPr>
              <w:t xml:space="preserve"> </w:t>
            </w:r>
            <w:r w:rsidR="00551FC5">
              <w:rPr>
                <w:rFonts w:ascii="Times New Roman" w:hAnsi="Times New Roman" w:cs="Times New Roman"/>
                <w:color w:val="000000" w:themeColor="text1"/>
                <w:sz w:val="24"/>
                <w:szCs w:val="24"/>
                <w:shd w:val="clear" w:color="auto" w:fill="FFFFFF"/>
              </w:rPr>
              <w:t>reižu samazināšana no piecām uz četrām</w:t>
            </w:r>
            <w:r w:rsidR="00FF55E3" w:rsidRPr="00551FC5">
              <w:rPr>
                <w:rFonts w:ascii="Times New Roman" w:hAnsi="Times New Roman" w:cs="Times New Roman"/>
                <w:color w:val="000000" w:themeColor="text1"/>
                <w:sz w:val="24"/>
                <w:szCs w:val="24"/>
                <w:shd w:val="clear" w:color="auto" w:fill="FFFFFF"/>
              </w:rPr>
              <w:t>,</w:t>
            </w:r>
            <w:r w:rsidR="00FF7C79" w:rsidRPr="00551FC5">
              <w:rPr>
                <w:rFonts w:ascii="Times New Roman" w:hAnsi="Times New Roman" w:cs="Times New Roman"/>
                <w:color w:val="000000" w:themeColor="text1"/>
                <w:sz w:val="24"/>
                <w:szCs w:val="24"/>
                <w:shd w:val="clear" w:color="auto" w:fill="FFFFFF"/>
              </w:rPr>
              <w:t xml:space="preserve"> kā tas </w:t>
            </w:r>
            <w:r w:rsidR="000D1CB0">
              <w:rPr>
                <w:rFonts w:ascii="Times New Roman" w:hAnsi="Times New Roman" w:cs="Times New Roman"/>
                <w:color w:val="000000" w:themeColor="text1"/>
                <w:sz w:val="24"/>
                <w:szCs w:val="24"/>
                <w:shd w:val="clear" w:color="auto" w:fill="FFFFFF"/>
              </w:rPr>
              <w:t>paredzēts</w:t>
            </w:r>
            <w:r w:rsidR="00FF7C79" w:rsidRPr="00551FC5">
              <w:rPr>
                <w:rFonts w:ascii="Times New Roman" w:hAnsi="Times New Roman" w:cs="Times New Roman"/>
                <w:color w:val="000000" w:themeColor="text1"/>
                <w:sz w:val="24"/>
                <w:szCs w:val="24"/>
                <w:shd w:val="clear" w:color="auto" w:fill="FFFFFF"/>
              </w:rPr>
              <w:t xml:space="preserve"> spēkā esošajos noteikumos, ir </w:t>
            </w:r>
            <w:r w:rsidR="00551FC5">
              <w:rPr>
                <w:rFonts w:ascii="Times New Roman" w:hAnsi="Times New Roman" w:cs="Times New Roman"/>
                <w:color w:val="000000" w:themeColor="text1"/>
                <w:sz w:val="24"/>
                <w:szCs w:val="24"/>
                <w:shd w:val="clear" w:color="auto" w:fill="FFFFFF"/>
              </w:rPr>
              <w:t>noteikta</w:t>
            </w:r>
            <w:r w:rsidR="00FF7C79" w:rsidRPr="00551FC5">
              <w:rPr>
                <w:rFonts w:ascii="Times New Roman" w:hAnsi="Times New Roman" w:cs="Times New Roman"/>
                <w:color w:val="000000" w:themeColor="text1"/>
                <w:sz w:val="24"/>
                <w:szCs w:val="24"/>
                <w:shd w:val="clear" w:color="auto" w:fill="FFFFFF"/>
              </w:rPr>
              <w:t xml:space="preserve">, lai nodrošinātu </w:t>
            </w:r>
            <w:r w:rsidR="00551FC5" w:rsidRPr="00551FC5">
              <w:rPr>
                <w:rFonts w:ascii="Times New Roman" w:hAnsi="Times New Roman" w:cs="Times New Roman"/>
                <w:sz w:val="24"/>
                <w:szCs w:val="24"/>
                <w:shd w:val="clear" w:color="auto" w:fill="FFFFFF"/>
              </w:rPr>
              <w:t>Padomes 2013. gada 17. decembra Regul</w:t>
            </w:r>
            <w:r w:rsidR="00551FC5">
              <w:rPr>
                <w:rFonts w:ascii="Times New Roman" w:hAnsi="Times New Roman" w:cs="Times New Roman"/>
                <w:sz w:val="24"/>
                <w:szCs w:val="24"/>
                <w:shd w:val="clear" w:color="auto" w:fill="FFFFFF"/>
              </w:rPr>
              <w:t>as</w:t>
            </w:r>
            <w:r w:rsidR="00551FC5" w:rsidRPr="00551FC5">
              <w:rPr>
                <w:rFonts w:ascii="Times New Roman" w:hAnsi="Times New Roman" w:cs="Times New Roman"/>
                <w:sz w:val="24"/>
                <w:szCs w:val="24"/>
                <w:shd w:val="clear" w:color="auto" w:fill="FFFFFF"/>
              </w:rPr>
              <w:t xml:space="preserve"> (EK) Nr. 1305/2013 par atbalstu lauku attīstībai no Eiropas Lauksaimniecības fonda lauku attīstībai (ELFLA) un ar ko atceļ Padomes Regulu (EK) Nr. </w:t>
            </w:r>
            <w:r w:rsidR="00551FC5" w:rsidRPr="00551FC5">
              <w:rPr>
                <w:rFonts w:ascii="Times New Roman" w:hAnsi="Times New Roman" w:cs="Times New Roman"/>
                <w:sz w:val="24"/>
                <w:szCs w:val="24"/>
              </w:rPr>
              <w:t xml:space="preserve"> 1698/2005</w:t>
            </w:r>
            <w:r w:rsidR="00551FC5">
              <w:rPr>
                <w:rFonts w:ascii="Times New Roman" w:hAnsi="Times New Roman" w:cs="Times New Roman"/>
                <w:color w:val="000000" w:themeColor="text1"/>
                <w:sz w:val="24"/>
                <w:szCs w:val="24"/>
                <w:shd w:val="clear" w:color="auto" w:fill="FFFFFF"/>
              </w:rPr>
              <w:t xml:space="preserve"> </w:t>
            </w:r>
            <w:r w:rsidR="00FF7C79" w:rsidRPr="00551FC5">
              <w:rPr>
                <w:rFonts w:ascii="Times New Roman" w:hAnsi="Times New Roman" w:cs="Times New Roman"/>
                <w:color w:val="000000" w:themeColor="text1"/>
                <w:sz w:val="24"/>
                <w:szCs w:val="24"/>
                <w:shd w:val="clear" w:color="auto" w:fill="FFFFFF"/>
              </w:rPr>
              <w:t>27.</w:t>
            </w:r>
            <w:r w:rsidR="000D1CB0">
              <w:rPr>
                <w:rFonts w:ascii="Times New Roman" w:hAnsi="Times New Roman" w:cs="Times New Roman"/>
                <w:color w:val="000000" w:themeColor="text1"/>
                <w:sz w:val="24"/>
                <w:szCs w:val="24"/>
                <w:shd w:val="clear" w:color="auto" w:fill="FFFFFF"/>
              </w:rPr>
              <w:t> </w:t>
            </w:r>
            <w:r w:rsidR="00FF7C79" w:rsidRPr="00551FC5">
              <w:rPr>
                <w:rFonts w:ascii="Times New Roman" w:hAnsi="Times New Roman" w:cs="Times New Roman"/>
                <w:color w:val="000000" w:themeColor="text1"/>
                <w:sz w:val="24"/>
                <w:szCs w:val="24"/>
                <w:shd w:val="clear" w:color="auto" w:fill="FFFFFF"/>
              </w:rPr>
              <w:t>panta 3.</w:t>
            </w:r>
            <w:r w:rsidR="000D1CB0">
              <w:rPr>
                <w:rFonts w:ascii="Times New Roman" w:hAnsi="Times New Roman" w:cs="Times New Roman"/>
                <w:color w:val="000000" w:themeColor="text1"/>
                <w:sz w:val="24"/>
                <w:szCs w:val="24"/>
                <w:shd w:val="clear" w:color="auto" w:fill="FFFFFF"/>
              </w:rPr>
              <w:t xml:space="preserve"> </w:t>
            </w:r>
            <w:r w:rsidR="00FF7C79" w:rsidRPr="00551FC5">
              <w:rPr>
                <w:rFonts w:ascii="Times New Roman" w:hAnsi="Times New Roman" w:cs="Times New Roman"/>
                <w:color w:val="000000" w:themeColor="text1"/>
                <w:sz w:val="24"/>
                <w:szCs w:val="24"/>
                <w:shd w:val="clear" w:color="auto" w:fill="FFFFFF"/>
              </w:rPr>
              <w:t xml:space="preserve">punkta precīzāku izpildi, </w:t>
            </w:r>
            <w:r w:rsidR="000D1CB0">
              <w:rPr>
                <w:rFonts w:ascii="Times New Roman" w:hAnsi="Times New Roman" w:cs="Times New Roman"/>
                <w:color w:val="000000" w:themeColor="text1"/>
                <w:sz w:val="24"/>
                <w:szCs w:val="24"/>
                <w:shd w:val="clear" w:color="auto" w:fill="FFFFFF"/>
              </w:rPr>
              <w:t>jo tajā</w:t>
            </w:r>
            <w:r w:rsidR="000D1CB0" w:rsidRPr="00551FC5">
              <w:rPr>
                <w:rFonts w:ascii="Times New Roman" w:hAnsi="Times New Roman" w:cs="Times New Roman"/>
                <w:color w:val="000000" w:themeColor="text1"/>
                <w:sz w:val="24"/>
                <w:szCs w:val="24"/>
                <w:shd w:val="clear" w:color="auto" w:fill="FFFFFF"/>
              </w:rPr>
              <w:t xml:space="preserve"> </w:t>
            </w:r>
            <w:r w:rsidR="00FF7C79" w:rsidRPr="00551FC5">
              <w:rPr>
                <w:rFonts w:ascii="Times New Roman" w:hAnsi="Times New Roman" w:cs="Times New Roman"/>
                <w:color w:val="000000" w:themeColor="text1"/>
                <w:sz w:val="24"/>
                <w:szCs w:val="24"/>
                <w:shd w:val="clear" w:color="auto" w:fill="FFFFFF"/>
              </w:rPr>
              <w:t xml:space="preserve">noteikts, </w:t>
            </w:r>
            <w:r w:rsidR="00FF7C79" w:rsidRPr="00551FC5">
              <w:rPr>
                <w:rFonts w:ascii="Times New Roman" w:hAnsi="Times New Roman" w:cs="Times New Roman"/>
                <w:sz w:val="24"/>
                <w:szCs w:val="24"/>
                <w:shd w:val="clear" w:color="auto" w:fill="FFFFFF"/>
              </w:rPr>
              <w:t xml:space="preserve">ka dalībvalstis pēdējo atbalsta daļu izmaksā tikai pēc tam, kad ir pārbaudīta </w:t>
            </w:r>
            <w:proofErr w:type="spellStart"/>
            <w:r w:rsidR="00FF7C79" w:rsidRPr="00551FC5">
              <w:rPr>
                <w:rFonts w:ascii="Times New Roman" w:hAnsi="Times New Roman" w:cs="Times New Roman"/>
                <w:sz w:val="24"/>
                <w:szCs w:val="24"/>
                <w:shd w:val="clear" w:color="auto" w:fill="FFFFFF"/>
              </w:rPr>
              <w:t>darījumdarbības</w:t>
            </w:r>
            <w:proofErr w:type="spellEnd"/>
            <w:r w:rsidR="00FF7C79" w:rsidRPr="00551FC5">
              <w:rPr>
                <w:rFonts w:ascii="Times New Roman" w:hAnsi="Times New Roman" w:cs="Times New Roman"/>
                <w:sz w:val="24"/>
                <w:szCs w:val="24"/>
                <w:shd w:val="clear" w:color="auto" w:fill="FFFFFF"/>
              </w:rPr>
              <w:t xml:space="preserve"> plāna pareiza īstenošana.</w:t>
            </w:r>
            <w:r w:rsidR="00FF55E3" w:rsidRPr="00551FC5">
              <w:rPr>
                <w:rFonts w:ascii="Times New Roman" w:hAnsi="Times New Roman" w:cs="Times New Roman"/>
                <w:sz w:val="24"/>
                <w:szCs w:val="24"/>
                <w:shd w:val="clear" w:color="auto" w:fill="FFFFFF"/>
              </w:rPr>
              <w:t xml:space="preserve"> Šāda pieeja ir izv</w:t>
            </w:r>
            <w:r w:rsidR="008661C7">
              <w:rPr>
                <w:rFonts w:ascii="Times New Roman" w:hAnsi="Times New Roman" w:cs="Times New Roman"/>
                <w:sz w:val="24"/>
                <w:szCs w:val="24"/>
                <w:shd w:val="clear" w:color="auto" w:fill="FFFFFF"/>
              </w:rPr>
              <w:t>ē</w:t>
            </w:r>
            <w:r w:rsidR="00FF55E3" w:rsidRPr="00551FC5">
              <w:rPr>
                <w:rFonts w:ascii="Times New Roman" w:hAnsi="Times New Roman" w:cs="Times New Roman"/>
                <w:sz w:val="24"/>
                <w:szCs w:val="24"/>
                <w:shd w:val="clear" w:color="auto" w:fill="FFFFFF"/>
              </w:rPr>
              <w:t xml:space="preserve">lēta, lai nodrošinātu </w:t>
            </w:r>
            <w:proofErr w:type="spellStart"/>
            <w:r w:rsidR="00FF55E3" w:rsidRPr="00551FC5">
              <w:rPr>
                <w:rFonts w:ascii="Times New Roman" w:hAnsi="Times New Roman" w:cs="Times New Roman"/>
                <w:sz w:val="24"/>
                <w:szCs w:val="24"/>
                <w:shd w:val="clear" w:color="auto" w:fill="FFFFFF"/>
              </w:rPr>
              <w:t>darījumdarbības</w:t>
            </w:r>
            <w:proofErr w:type="spellEnd"/>
            <w:r w:rsidR="00FF55E3" w:rsidRPr="00551FC5">
              <w:rPr>
                <w:rFonts w:ascii="Times New Roman" w:hAnsi="Times New Roman" w:cs="Times New Roman"/>
                <w:sz w:val="24"/>
                <w:szCs w:val="24"/>
                <w:shd w:val="clear" w:color="auto" w:fill="FFFFFF"/>
              </w:rPr>
              <w:t xml:space="preserve"> plān</w:t>
            </w:r>
            <w:r w:rsidR="000D1CB0">
              <w:rPr>
                <w:rFonts w:ascii="Times New Roman" w:hAnsi="Times New Roman" w:cs="Times New Roman"/>
                <w:sz w:val="24"/>
                <w:szCs w:val="24"/>
                <w:shd w:val="clear" w:color="auto" w:fill="FFFFFF"/>
              </w:rPr>
              <w:t>a</w:t>
            </w:r>
            <w:r w:rsidR="00FF55E3" w:rsidRPr="00551FC5">
              <w:rPr>
                <w:rFonts w:ascii="Times New Roman" w:hAnsi="Times New Roman" w:cs="Times New Roman"/>
                <w:sz w:val="24"/>
                <w:szCs w:val="24"/>
                <w:shd w:val="clear" w:color="auto" w:fill="FFFFFF"/>
              </w:rPr>
              <w:t xml:space="preserve"> izpildes stingrāku uzraudzību.</w:t>
            </w:r>
            <w:r w:rsidR="00FF7C79" w:rsidRPr="00551FC5">
              <w:rPr>
                <w:rFonts w:ascii="Times New Roman" w:hAnsi="Times New Roman" w:cs="Times New Roman"/>
                <w:sz w:val="24"/>
                <w:szCs w:val="24"/>
                <w:shd w:val="clear" w:color="auto" w:fill="FFFFFF"/>
              </w:rPr>
              <w:t xml:space="preserve"> Turklāt </w:t>
            </w:r>
            <w:r w:rsidR="00FF55E3" w:rsidRPr="00551FC5">
              <w:rPr>
                <w:rFonts w:ascii="Times New Roman" w:hAnsi="Times New Roman" w:cs="Times New Roman"/>
                <w:sz w:val="24"/>
                <w:szCs w:val="24"/>
                <w:shd w:val="clear" w:color="auto" w:fill="FFFFFF"/>
              </w:rPr>
              <w:t xml:space="preserve">vienīgā </w:t>
            </w:r>
            <w:r w:rsidR="00FF7C79" w:rsidRPr="00551FC5">
              <w:rPr>
                <w:rFonts w:ascii="Times New Roman" w:hAnsi="Times New Roman" w:cs="Times New Roman"/>
                <w:sz w:val="24"/>
                <w:szCs w:val="24"/>
                <w:shd w:val="clear" w:color="auto" w:fill="FFFFFF"/>
              </w:rPr>
              <w:t>atbilstīg</w:t>
            </w:r>
            <w:r w:rsidR="00FF55E3" w:rsidRPr="00551FC5">
              <w:rPr>
                <w:rFonts w:ascii="Times New Roman" w:hAnsi="Times New Roman" w:cs="Times New Roman"/>
                <w:sz w:val="24"/>
                <w:szCs w:val="24"/>
                <w:shd w:val="clear" w:color="auto" w:fill="FFFFFF"/>
              </w:rPr>
              <w:t>ā</w:t>
            </w:r>
            <w:r w:rsidR="00FF7C79" w:rsidRPr="00551FC5">
              <w:rPr>
                <w:rFonts w:ascii="Times New Roman" w:hAnsi="Times New Roman" w:cs="Times New Roman"/>
                <w:sz w:val="24"/>
                <w:szCs w:val="24"/>
                <w:shd w:val="clear" w:color="auto" w:fill="FFFFFF"/>
              </w:rPr>
              <w:t xml:space="preserve"> kooperatīv</w:t>
            </w:r>
            <w:r w:rsidR="00FF55E3" w:rsidRPr="00551FC5">
              <w:rPr>
                <w:rFonts w:ascii="Times New Roman" w:hAnsi="Times New Roman" w:cs="Times New Roman"/>
                <w:sz w:val="24"/>
                <w:szCs w:val="24"/>
                <w:shd w:val="clear" w:color="auto" w:fill="FFFFFF"/>
              </w:rPr>
              <w:t>ā</w:t>
            </w:r>
            <w:r w:rsidR="00FF7C79" w:rsidRPr="00551FC5">
              <w:rPr>
                <w:rFonts w:ascii="Times New Roman" w:hAnsi="Times New Roman" w:cs="Times New Roman"/>
                <w:sz w:val="24"/>
                <w:szCs w:val="24"/>
                <w:shd w:val="clear" w:color="auto" w:fill="FFFFFF"/>
              </w:rPr>
              <w:t xml:space="preserve"> sabiedrība</w:t>
            </w:r>
            <w:r w:rsidR="00FF55E3" w:rsidRPr="00551FC5">
              <w:rPr>
                <w:rFonts w:ascii="Times New Roman" w:hAnsi="Times New Roman" w:cs="Times New Roman"/>
                <w:sz w:val="24"/>
                <w:szCs w:val="24"/>
                <w:shd w:val="clear" w:color="auto" w:fill="FFFFFF"/>
              </w:rPr>
              <w:t xml:space="preserve"> mežsaimniecības jomā</w:t>
            </w:r>
            <w:r w:rsidR="00FF7C79" w:rsidRPr="00551FC5">
              <w:rPr>
                <w:rFonts w:ascii="Times New Roman" w:hAnsi="Times New Roman" w:cs="Times New Roman"/>
                <w:sz w:val="24"/>
                <w:szCs w:val="24"/>
                <w:shd w:val="clear" w:color="auto" w:fill="FFFFFF"/>
              </w:rPr>
              <w:t>,</w:t>
            </w:r>
            <w:r w:rsidR="00FF55E3" w:rsidRPr="00551FC5">
              <w:rPr>
                <w:rFonts w:ascii="Times New Roman" w:hAnsi="Times New Roman" w:cs="Times New Roman"/>
                <w:sz w:val="24"/>
                <w:szCs w:val="24"/>
                <w:shd w:val="clear" w:color="auto" w:fill="FFFFFF"/>
              </w:rPr>
              <w:t xml:space="preserve"> kura</w:t>
            </w:r>
            <w:r w:rsidR="00551FC5">
              <w:rPr>
                <w:rFonts w:ascii="Times New Roman" w:hAnsi="Times New Roman" w:cs="Times New Roman"/>
                <w:sz w:val="24"/>
                <w:szCs w:val="24"/>
                <w:shd w:val="clear" w:color="auto" w:fill="FFFFFF"/>
              </w:rPr>
              <w:t xml:space="preserve"> 2014.</w:t>
            </w:r>
            <w:r w:rsidR="000D1CB0">
              <w:rPr>
                <w:rFonts w:ascii="Times New Roman" w:hAnsi="Times New Roman" w:cs="Times New Roman"/>
                <w:sz w:val="24"/>
                <w:szCs w:val="24"/>
                <w:shd w:val="clear" w:color="auto" w:fill="FFFFFF"/>
              </w:rPr>
              <w:t>–</w:t>
            </w:r>
            <w:r w:rsidR="00551FC5">
              <w:rPr>
                <w:rFonts w:ascii="Times New Roman" w:hAnsi="Times New Roman" w:cs="Times New Roman"/>
                <w:sz w:val="24"/>
                <w:szCs w:val="24"/>
                <w:shd w:val="clear" w:color="auto" w:fill="FFFFFF"/>
              </w:rPr>
              <w:t xml:space="preserve">2020.gada plānošanas periodā uzsāka un </w:t>
            </w:r>
            <w:r w:rsidR="00FF55E3" w:rsidRPr="00551FC5">
              <w:rPr>
                <w:rFonts w:ascii="Times New Roman" w:hAnsi="Times New Roman" w:cs="Times New Roman"/>
                <w:sz w:val="24"/>
                <w:szCs w:val="24"/>
                <w:shd w:val="clear" w:color="auto" w:fill="FFFFFF"/>
              </w:rPr>
              <w:t xml:space="preserve">vēl turpina </w:t>
            </w:r>
            <w:proofErr w:type="spellStart"/>
            <w:r w:rsidR="00FF55E3" w:rsidRPr="00551FC5">
              <w:rPr>
                <w:rFonts w:ascii="Times New Roman" w:hAnsi="Times New Roman" w:cs="Times New Roman"/>
                <w:sz w:val="24"/>
                <w:szCs w:val="24"/>
                <w:shd w:val="clear" w:color="auto" w:fill="FFFFFF"/>
              </w:rPr>
              <w:t>darījumdarbības</w:t>
            </w:r>
            <w:proofErr w:type="spellEnd"/>
            <w:r w:rsidR="00FF55E3" w:rsidRPr="00551FC5">
              <w:rPr>
                <w:rFonts w:ascii="Times New Roman" w:hAnsi="Times New Roman" w:cs="Times New Roman"/>
                <w:sz w:val="24"/>
                <w:szCs w:val="24"/>
                <w:shd w:val="clear" w:color="auto" w:fill="FFFFFF"/>
              </w:rPr>
              <w:t xml:space="preserve"> plāna īstenošanu 2021.</w:t>
            </w:r>
            <w:r w:rsidR="000D1CB0">
              <w:rPr>
                <w:rFonts w:ascii="Times New Roman" w:hAnsi="Times New Roman" w:cs="Times New Roman"/>
                <w:sz w:val="24"/>
                <w:szCs w:val="24"/>
                <w:shd w:val="clear" w:color="auto" w:fill="FFFFFF"/>
              </w:rPr>
              <w:t> </w:t>
            </w:r>
            <w:r w:rsidR="00FF55E3" w:rsidRPr="00551FC5">
              <w:rPr>
                <w:rFonts w:ascii="Times New Roman" w:hAnsi="Times New Roman" w:cs="Times New Roman"/>
                <w:sz w:val="24"/>
                <w:szCs w:val="24"/>
                <w:shd w:val="clear" w:color="auto" w:fill="FFFFFF"/>
              </w:rPr>
              <w:t>gadā un</w:t>
            </w:r>
            <w:r w:rsidR="00FF7C79" w:rsidRPr="00551FC5">
              <w:rPr>
                <w:rFonts w:ascii="Times New Roman" w:hAnsi="Times New Roman" w:cs="Times New Roman"/>
                <w:sz w:val="24"/>
                <w:szCs w:val="24"/>
                <w:shd w:val="clear" w:color="auto" w:fill="FFFFFF"/>
              </w:rPr>
              <w:t xml:space="preserve"> kurai šis ir </w:t>
            </w:r>
            <w:proofErr w:type="spellStart"/>
            <w:r w:rsidR="00FF7C79" w:rsidRPr="00551FC5">
              <w:rPr>
                <w:rFonts w:ascii="Times New Roman" w:hAnsi="Times New Roman" w:cs="Times New Roman"/>
                <w:sz w:val="24"/>
                <w:szCs w:val="24"/>
                <w:shd w:val="clear" w:color="auto" w:fill="FFFFFF"/>
              </w:rPr>
              <w:t>darījumdarbības</w:t>
            </w:r>
            <w:proofErr w:type="spellEnd"/>
            <w:r w:rsidR="00FF7C79" w:rsidRPr="00551FC5">
              <w:rPr>
                <w:rFonts w:ascii="Times New Roman" w:hAnsi="Times New Roman" w:cs="Times New Roman"/>
                <w:sz w:val="24"/>
                <w:szCs w:val="24"/>
                <w:shd w:val="clear" w:color="auto" w:fill="FFFFFF"/>
              </w:rPr>
              <w:t xml:space="preserve"> plāna īstenošanas </w:t>
            </w:r>
            <w:r w:rsidR="000D1CB0">
              <w:rPr>
                <w:rFonts w:ascii="Times New Roman" w:hAnsi="Times New Roman" w:cs="Times New Roman"/>
                <w:sz w:val="24"/>
                <w:szCs w:val="24"/>
                <w:shd w:val="clear" w:color="auto" w:fill="FFFFFF"/>
              </w:rPr>
              <w:t xml:space="preserve">beigu </w:t>
            </w:r>
            <w:r w:rsidR="00FF7C79" w:rsidRPr="00551FC5">
              <w:rPr>
                <w:rFonts w:ascii="Times New Roman" w:hAnsi="Times New Roman" w:cs="Times New Roman"/>
                <w:sz w:val="24"/>
                <w:szCs w:val="24"/>
                <w:shd w:val="clear" w:color="auto" w:fill="FFFFFF"/>
              </w:rPr>
              <w:t>posms, priekšapmaks</w:t>
            </w:r>
            <w:r w:rsidR="00FF55E3" w:rsidRPr="00551FC5">
              <w:rPr>
                <w:rFonts w:ascii="Times New Roman" w:hAnsi="Times New Roman" w:cs="Times New Roman"/>
                <w:sz w:val="24"/>
                <w:szCs w:val="24"/>
                <w:shd w:val="clear" w:color="auto" w:fill="FFFFFF"/>
              </w:rPr>
              <w:t>as pieprasīšanas iespēju šajā periodā ne reizi nav izmantojusi.</w:t>
            </w:r>
          </w:p>
          <w:p w14:paraId="3D5906DD" w14:textId="4697952E" w:rsidR="008C215C" w:rsidRPr="00FF55E3" w:rsidRDefault="00AF29FB" w:rsidP="00FF55E3">
            <w:pPr>
              <w:numPr>
                <w:ilvl w:val="0"/>
                <w:numId w:val="3"/>
              </w:numPr>
              <w:shd w:val="clear" w:color="auto" w:fill="FFFFFF"/>
              <w:suppressAutoHyphens/>
              <w:spacing w:after="0" w:line="293" w:lineRule="atLeast"/>
              <w:ind w:left="395"/>
              <w:contextualSpacing/>
              <w:jc w:val="both"/>
              <w:rPr>
                <w:rFonts w:ascii="Times New Roman" w:hAnsi="Times New Roman" w:cs="Times New Roman"/>
                <w:color w:val="000000" w:themeColor="text1"/>
                <w:sz w:val="24"/>
                <w:szCs w:val="24"/>
              </w:rPr>
            </w:pPr>
            <w:r w:rsidRPr="00FF55E3">
              <w:rPr>
                <w:rFonts w:ascii="Times New Roman" w:eastAsia="Times New Roman" w:hAnsi="Times New Roman" w:cs="Times New Roman"/>
                <w:sz w:val="24"/>
                <w:szCs w:val="24"/>
                <w:lang w:eastAsia="lv-LV"/>
              </w:rPr>
              <w:t>Tiek</w:t>
            </w:r>
            <w:r w:rsidR="00E706EE" w:rsidRPr="00FF55E3">
              <w:rPr>
                <w:rFonts w:ascii="Times New Roman" w:eastAsia="Times New Roman" w:hAnsi="Times New Roman" w:cs="Times New Roman"/>
                <w:sz w:val="24"/>
                <w:szCs w:val="24"/>
                <w:lang w:eastAsia="lv-LV"/>
              </w:rPr>
              <w:t xml:space="preserve"> svītrots noteikumu 28.</w:t>
            </w:r>
            <w:r w:rsidR="00282FB4" w:rsidRPr="00FF55E3">
              <w:rPr>
                <w:rFonts w:ascii="Times New Roman" w:eastAsia="Times New Roman" w:hAnsi="Times New Roman" w:cs="Times New Roman"/>
                <w:sz w:val="24"/>
                <w:szCs w:val="24"/>
                <w:lang w:eastAsia="lv-LV"/>
              </w:rPr>
              <w:t xml:space="preserve"> </w:t>
            </w:r>
            <w:r w:rsidR="00E706EE" w:rsidRPr="00FF55E3">
              <w:rPr>
                <w:rFonts w:ascii="Times New Roman" w:eastAsia="Times New Roman" w:hAnsi="Times New Roman" w:cs="Times New Roman"/>
                <w:sz w:val="24"/>
                <w:szCs w:val="24"/>
                <w:lang w:eastAsia="lv-LV"/>
              </w:rPr>
              <w:t>punkts, kura norma ie</w:t>
            </w:r>
            <w:r w:rsidR="00282FB4" w:rsidRPr="00FF55E3">
              <w:rPr>
                <w:rFonts w:ascii="Times New Roman" w:eastAsia="Times New Roman" w:hAnsi="Times New Roman" w:cs="Times New Roman"/>
                <w:sz w:val="24"/>
                <w:szCs w:val="24"/>
                <w:lang w:eastAsia="lv-LV"/>
              </w:rPr>
              <w:t>tver</w:t>
            </w:r>
            <w:r w:rsidR="00E706EE" w:rsidRPr="00FF55E3">
              <w:rPr>
                <w:rFonts w:ascii="Times New Roman" w:eastAsia="Times New Roman" w:hAnsi="Times New Roman" w:cs="Times New Roman"/>
                <w:sz w:val="24"/>
                <w:szCs w:val="24"/>
                <w:lang w:eastAsia="lv-LV"/>
              </w:rPr>
              <w:t>ta noteikumu 25.</w:t>
            </w:r>
            <w:r w:rsidR="00282FB4" w:rsidRPr="00FF55E3">
              <w:rPr>
                <w:rFonts w:ascii="Times New Roman" w:eastAsia="Times New Roman" w:hAnsi="Times New Roman" w:cs="Times New Roman"/>
                <w:sz w:val="24"/>
                <w:szCs w:val="24"/>
                <w:lang w:eastAsia="lv-LV"/>
              </w:rPr>
              <w:t xml:space="preserve"> </w:t>
            </w:r>
            <w:r w:rsidR="00E706EE" w:rsidRPr="00FF55E3">
              <w:rPr>
                <w:rFonts w:ascii="Times New Roman" w:eastAsia="Times New Roman" w:hAnsi="Times New Roman" w:cs="Times New Roman"/>
                <w:sz w:val="24"/>
                <w:szCs w:val="24"/>
                <w:lang w:eastAsia="lv-LV"/>
              </w:rPr>
              <w:t>punktā.</w:t>
            </w:r>
          </w:p>
          <w:p w14:paraId="1B6925E7" w14:textId="0CE35B16" w:rsidR="008C2713" w:rsidRPr="00D531C7" w:rsidRDefault="005A03F2"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Ar n</w:t>
            </w:r>
            <w:r w:rsidR="008C2713" w:rsidRPr="00D531C7">
              <w:rPr>
                <w:rFonts w:ascii="Times New Roman" w:eastAsia="Times New Roman" w:hAnsi="Times New Roman" w:cs="Times New Roman"/>
                <w:sz w:val="24"/>
                <w:szCs w:val="24"/>
                <w:lang w:eastAsia="lv-LV"/>
              </w:rPr>
              <w:t>oteikumu projekta 1</w:t>
            </w:r>
            <w:r w:rsidR="00E706EE" w:rsidRPr="00D531C7">
              <w:rPr>
                <w:rFonts w:ascii="Times New Roman" w:eastAsia="Times New Roman" w:hAnsi="Times New Roman" w:cs="Times New Roman"/>
                <w:sz w:val="24"/>
                <w:szCs w:val="24"/>
                <w:lang w:eastAsia="lv-LV"/>
              </w:rPr>
              <w:t>5</w:t>
            </w:r>
            <w:r w:rsidR="008C2713" w:rsidRPr="00D531C7">
              <w:rPr>
                <w:rFonts w:ascii="Times New Roman" w:eastAsia="Times New Roman" w:hAnsi="Times New Roman" w:cs="Times New Roman"/>
                <w:sz w:val="24"/>
                <w:szCs w:val="24"/>
                <w:lang w:eastAsia="lv-LV"/>
              </w:rPr>
              <w:t>.</w:t>
            </w:r>
            <w:r w:rsidR="00F85BF8" w:rsidRPr="00D531C7">
              <w:rPr>
                <w:rFonts w:ascii="Times New Roman" w:eastAsia="Times New Roman" w:hAnsi="Times New Roman" w:cs="Times New Roman"/>
                <w:sz w:val="24"/>
                <w:szCs w:val="24"/>
                <w:lang w:eastAsia="lv-LV"/>
              </w:rPr>
              <w:t> </w:t>
            </w:r>
            <w:r w:rsidR="008C2713" w:rsidRPr="00D531C7">
              <w:rPr>
                <w:rFonts w:ascii="Times New Roman" w:eastAsia="Times New Roman" w:hAnsi="Times New Roman" w:cs="Times New Roman"/>
                <w:sz w:val="24"/>
                <w:szCs w:val="24"/>
                <w:lang w:eastAsia="lv-LV"/>
              </w:rPr>
              <w:t>punkt</w:t>
            </w:r>
            <w:r w:rsidRPr="00D531C7">
              <w:rPr>
                <w:rFonts w:ascii="Times New Roman" w:eastAsia="Times New Roman" w:hAnsi="Times New Roman" w:cs="Times New Roman"/>
                <w:sz w:val="24"/>
                <w:szCs w:val="24"/>
                <w:lang w:eastAsia="lv-LV"/>
              </w:rPr>
              <w:t>u</w:t>
            </w:r>
            <w:r w:rsidR="008C2713" w:rsidRPr="00D531C7">
              <w:rPr>
                <w:rFonts w:ascii="Times New Roman" w:eastAsia="Times New Roman" w:hAnsi="Times New Roman" w:cs="Times New Roman"/>
                <w:sz w:val="24"/>
                <w:szCs w:val="24"/>
                <w:lang w:eastAsia="lv-LV"/>
              </w:rPr>
              <w:t xml:space="preserve"> papildināts attiecināmo izmaksu saraksts</w:t>
            </w:r>
            <w:r w:rsidR="00F85BF8" w:rsidRPr="00D531C7">
              <w:rPr>
                <w:rFonts w:ascii="Times New Roman" w:eastAsia="Times New Roman" w:hAnsi="Times New Roman" w:cs="Times New Roman"/>
                <w:sz w:val="24"/>
                <w:szCs w:val="24"/>
                <w:lang w:eastAsia="lv-LV"/>
              </w:rPr>
              <w:t xml:space="preserve">, iekļaujot tajā </w:t>
            </w:r>
            <w:r w:rsidR="008C2713" w:rsidRPr="00D531C7">
              <w:rPr>
                <w:rFonts w:ascii="Times New Roman" w:eastAsia="Times New Roman" w:hAnsi="Times New Roman" w:cs="Times New Roman"/>
                <w:sz w:val="24"/>
                <w:szCs w:val="24"/>
                <w:lang w:eastAsia="lv-LV"/>
              </w:rPr>
              <w:t xml:space="preserve">sertifikācijas procesa izmaksas produkcijas kvalitātes sertifikāta iegūšanai, </w:t>
            </w:r>
            <w:r w:rsidRPr="00D531C7">
              <w:rPr>
                <w:rFonts w:ascii="Times New Roman" w:eastAsia="Times New Roman" w:hAnsi="Times New Roman" w:cs="Times New Roman"/>
                <w:sz w:val="24"/>
                <w:szCs w:val="24"/>
                <w:lang w:eastAsia="lv-LV"/>
              </w:rPr>
              <w:t xml:space="preserve">jo tas </w:t>
            </w:r>
            <w:r w:rsidR="008C2713" w:rsidRPr="00D531C7">
              <w:rPr>
                <w:rFonts w:ascii="Times New Roman" w:eastAsia="Times New Roman" w:hAnsi="Times New Roman" w:cs="Times New Roman"/>
                <w:sz w:val="24"/>
                <w:szCs w:val="24"/>
                <w:lang w:eastAsia="lv-LV"/>
              </w:rPr>
              <w:t xml:space="preserve">būtiski uzlabotu kooperatīvo sabiedrību produkcijas eksporta potenciālu. </w:t>
            </w:r>
          </w:p>
          <w:p w14:paraId="092A07E1" w14:textId="4FFF034B" w:rsidR="008733CA" w:rsidRPr="00D531C7" w:rsidRDefault="00806358" w:rsidP="00282FB4">
            <w:pPr>
              <w:numPr>
                <w:ilvl w:val="0"/>
                <w:numId w:val="3"/>
              </w:numPr>
              <w:tabs>
                <w:tab w:val="left" w:pos="915"/>
              </w:tabs>
              <w:suppressAutoHyphen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 xml:space="preserve">Lai radītu iespēju izveides atbalstu saņemt arī atbilstīgām kooperatīvajām sabiedrībām, </w:t>
            </w:r>
            <w:r w:rsidRPr="00D531C7">
              <w:rPr>
                <w:rFonts w:ascii="Times New Roman" w:hAnsi="Times New Roman" w:cs="Times New Roman"/>
                <w:sz w:val="24"/>
                <w:szCs w:val="24"/>
                <w:shd w:val="clear" w:color="auto" w:fill="FFFFFF"/>
              </w:rPr>
              <w:t>kas darbojas pārtikas, dzērienu un amatniecības nozarē un apvieno lauksaimniekus, mājražotājus, dzērienu ražotājus un amatniekus, noteikumu projekta 18.</w:t>
            </w:r>
            <w:r w:rsidR="00997A11" w:rsidRPr="00D531C7">
              <w:rPr>
                <w:rFonts w:ascii="Times New Roman" w:hAnsi="Times New Roman" w:cs="Times New Roman"/>
                <w:sz w:val="24"/>
                <w:szCs w:val="24"/>
                <w:shd w:val="clear" w:color="auto" w:fill="FFFFFF"/>
              </w:rPr>
              <w:t xml:space="preserve"> </w:t>
            </w:r>
            <w:r w:rsidRPr="00D531C7">
              <w:rPr>
                <w:rFonts w:ascii="Times New Roman" w:hAnsi="Times New Roman" w:cs="Times New Roman"/>
                <w:sz w:val="24"/>
                <w:szCs w:val="24"/>
                <w:shd w:val="clear" w:color="auto" w:fill="FFFFFF"/>
              </w:rPr>
              <w:t xml:space="preserve">punktā ir </w:t>
            </w:r>
            <w:r w:rsidR="00997A11" w:rsidRPr="00D531C7">
              <w:rPr>
                <w:rFonts w:ascii="Times New Roman" w:hAnsi="Times New Roman" w:cs="Times New Roman"/>
                <w:sz w:val="24"/>
                <w:szCs w:val="24"/>
                <w:shd w:val="clear" w:color="auto" w:fill="FFFFFF"/>
              </w:rPr>
              <w:t xml:space="preserve">paredzēta </w:t>
            </w:r>
            <w:r w:rsidRPr="00D531C7">
              <w:rPr>
                <w:rFonts w:ascii="Times New Roman" w:hAnsi="Times New Roman" w:cs="Times New Roman"/>
                <w:sz w:val="24"/>
                <w:szCs w:val="24"/>
                <w:shd w:val="clear" w:color="auto" w:fill="FFFFFF"/>
              </w:rPr>
              <w:t>iespēja pārtraukt noteikumu VI²</w:t>
            </w:r>
            <w:r w:rsidR="008F7FF2" w:rsidRPr="00D531C7">
              <w:rPr>
                <w:rFonts w:ascii="Times New Roman" w:hAnsi="Times New Roman" w:cs="Times New Roman"/>
                <w:sz w:val="24"/>
                <w:szCs w:val="24"/>
                <w:shd w:val="clear" w:color="auto" w:fill="FFFFFF"/>
              </w:rPr>
              <w:t xml:space="preserve"> nodaļas biznesa plāna īstenošanu un atmaksāt tikai attiecīgajā gadā saņemto atbalsta summu.</w:t>
            </w:r>
          </w:p>
          <w:p w14:paraId="2BDFCBB0" w14:textId="67F1DB2D" w:rsidR="008C2713" w:rsidRPr="00D531C7" w:rsidRDefault="008C2713" w:rsidP="005A03F2">
            <w:pPr>
              <w:numPr>
                <w:ilvl w:val="0"/>
                <w:numId w:val="3"/>
              </w:numPr>
              <w:tabs>
                <w:tab w:val="left" w:pos="915"/>
                <w:tab w:val="left" w:pos="7155"/>
              </w:tabs>
              <w:suppressAutoHyphens/>
              <w:spacing w:after="0" w:line="240" w:lineRule="auto"/>
              <w:ind w:left="395"/>
              <w:contextualSpacing/>
              <w:jc w:val="both"/>
              <w:rPr>
                <w:rFonts w:ascii="Times New Roman" w:eastAsia="Times New Roman" w:hAnsi="Times New Roman" w:cs="Times New Roman"/>
                <w:sz w:val="24"/>
                <w:szCs w:val="24"/>
                <w:lang w:eastAsia="ar-SA"/>
              </w:rPr>
            </w:pPr>
            <w:r w:rsidRPr="00D531C7">
              <w:rPr>
                <w:rFonts w:ascii="Times New Roman" w:eastAsia="Times New Roman" w:hAnsi="Times New Roman" w:cs="Times New Roman"/>
                <w:sz w:val="24"/>
                <w:szCs w:val="24"/>
                <w:lang w:eastAsia="lv-LV"/>
              </w:rPr>
              <w:t xml:space="preserve">Lauksaimniecības produkcijas ražotāju, mežsaimnieku un mājražotāju kooperācija ir ļoti nozīmīga, lai nodrošinātu </w:t>
            </w:r>
            <w:r w:rsidR="005A03F2" w:rsidRPr="00D531C7">
              <w:rPr>
                <w:rFonts w:ascii="Times New Roman" w:eastAsia="Times New Roman" w:hAnsi="Times New Roman" w:cs="Times New Roman"/>
                <w:sz w:val="24"/>
                <w:szCs w:val="24"/>
                <w:lang w:eastAsia="lv-LV"/>
              </w:rPr>
              <w:t>to</w:t>
            </w:r>
            <w:r w:rsidRPr="00D531C7">
              <w:rPr>
                <w:rFonts w:ascii="Times New Roman" w:eastAsia="Times New Roman" w:hAnsi="Times New Roman" w:cs="Times New Roman"/>
                <w:sz w:val="24"/>
                <w:szCs w:val="24"/>
                <w:lang w:eastAsia="lv-LV"/>
              </w:rPr>
              <w:t xml:space="preserve"> konkurētspēju un pozīciju nostiprināšanu tirgū Covid-19 pandēmijas apstākļos. Latvijas situācijā, kad ir ļoti liels skaits mazu saimniecību, būtiski ir samazināt tirgus riska </w:t>
            </w:r>
            <w:r w:rsidRPr="00D531C7">
              <w:rPr>
                <w:rFonts w:ascii="Times New Roman" w:eastAsia="Times New Roman" w:hAnsi="Times New Roman" w:cs="Times New Roman"/>
                <w:sz w:val="24"/>
                <w:szCs w:val="24"/>
                <w:lang w:eastAsia="lv-LV"/>
              </w:rPr>
              <w:lastRenderedPageBreak/>
              <w:t>faktorus un darījumu izmaksas. Kooperācija arī nodrošina kooperatīvu biedru – ražotāju – pieeju tirgiem un papildu resursiem.</w:t>
            </w:r>
            <w:r w:rsidR="00F85BF8" w:rsidRPr="00D531C7">
              <w:rPr>
                <w:rFonts w:ascii="Times New Roman" w:eastAsia="Times New Roman" w:hAnsi="Times New Roman" w:cs="Times New Roman"/>
                <w:sz w:val="24"/>
                <w:szCs w:val="24"/>
                <w:lang w:eastAsia="lv-LV"/>
              </w:rPr>
              <w:t xml:space="preserve"> T</w:t>
            </w:r>
            <w:r w:rsidRPr="00D531C7">
              <w:rPr>
                <w:rFonts w:ascii="Times New Roman" w:eastAsia="Times New Roman" w:hAnsi="Times New Roman" w:cs="Times New Roman"/>
                <w:sz w:val="24"/>
                <w:szCs w:val="24"/>
                <w:lang w:eastAsia="lv-LV"/>
              </w:rPr>
              <w:t>ikai apvienojoties un kļūstot ietekmīgākiem, aptverot jaunas tirdzniecības iespējas un nostiprinot tirgus varu, ir iespējams kļūt konkurētspējīgākiem arī Covid-19 pandēmijas apstākļos.</w:t>
            </w:r>
          </w:p>
          <w:p w14:paraId="4395DE54" w14:textId="5865B4A8" w:rsidR="008C2713" w:rsidRPr="00D531C7" w:rsidRDefault="008C2713" w:rsidP="005A03F2">
            <w:pPr>
              <w:tabs>
                <w:tab w:val="left" w:pos="915"/>
                <w:tab w:val="left" w:pos="7155"/>
              </w:tabs>
              <w:spacing w:after="0" w:line="240" w:lineRule="auto"/>
              <w:ind w:left="395"/>
              <w:contextualSpacing/>
              <w:jc w:val="both"/>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 xml:space="preserve">Noteikumu projekta </w:t>
            </w:r>
            <w:r w:rsidRPr="00161EE0">
              <w:rPr>
                <w:rFonts w:ascii="Times New Roman" w:eastAsia="Times New Roman" w:hAnsi="Times New Roman" w:cs="Times New Roman"/>
                <w:sz w:val="24"/>
                <w:szCs w:val="24"/>
                <w:lang w:eastAsia="lv-LV"/>
              </w:rPr>
              <w:t>1</w:t>
            </w:r>
            <w:r w:rsidR="001F4F8E" w:rsidRPr="00161EE0">
              <w:rPr>
                <w:rFonts w:ascii="Times New Roman" w:eastAsia="Times New Roman" w:hAnsi="Times New Roman" w:cs="Times New Roman"/>
                <w:sz w:val="24"/>
                <w:szCs w:val="24"/>
                <w:lang w:eastAsia="lv-LV"/>
              </w:rPr>
              <w:t>9</w:t>
            </w:r>
            <w:r w:rsidRPr="00161EE0">
              <w:rPr>
                <w:rFonts w:ascii="Times New Roman" w:eastAsia="Times New Roman" w:hAnsi="Times New Roman" w:cs="Times New Roman"/>
                <w:sz w:val="24"/>
                <w:szCs w:val="24"/>
                <w:lang w:eastAsia="lv-LV"/>
              </w:rPr>
              <w:t>.</w:t>
            </w:r>
            <w:r w:rsidR="005A03F2"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punkts paredz atbalstu</w:t>
            </w:r>
            <w:r w:rsidR="00E706EE" w:rsidRPr="00D531C7">
              <w:rPr>
                <w:rFonts w:ascii="Times New Roman" w:eastAsia="Times New Roman" w:hAnsi="Times New Roman" w:cs="Times New Roman"/>
                <w:sz w:val="24"/>
                <w:szCs w:val="24"/>
                <w:lang w:eastAsia="lv-LV"/>
              </w:rPr>
              <w:t xml:space="preserve"> mazo un vidējo kooperatīvo sabiedrību attīstībai</w:t>
            </w:r>
            <w:r w:rsidRPr="00D531C7">
              <w:rPr>
                <w:rFonts w:ascii="Times New Roman" w:eastAsia="Times New Roman" w:hAnsi="Times New Roman" w:cs="Times New Roman"/>
                <w:sz w:val="24"/>
                <w:szCs w:val="24"/>
                <w:lang w:eastAsia="lv-LV"/>
              </w:rPr>
              <w:t xml:space="preserve">, lai nodrošinātu sadarbības formu attīstību un stiprinātu mazo un vidējo kooperatīvo sabiedrību tirgus varu, administratīvo un ekonomisko kapacitāti. </w:t>
            </w:r>
          </w:p>
          <w:p w14:paraId="677F099D" w14:textId="14E15555" w:rsidR="008C2713" w:rsidRPr="00D531C7" w:rsidRDefault="008C2713" w:rsidP="005A03F2">
            <w:pPr>
              <w:tabs>
                <w:tab w:val="left" w:pos="915"/>
                <w:tab w:val="left" w:pos="7155"/>
              </w:tabs>
              <w:spacing w:after="0" w:line="240" w:lineRule="auto"/>
              <w:ind w:left="395"/>
              <w:contextualSpacing/>
              <w:jc w:val="both"/>
              <w:rPr>
                <w:rFonts w:ascii="Times New Roman" w:eastAsia="Times New Roman" w:hAnsi="Times New Roman" w:cs="Times New Roman"/>
                <w:i/>
                <w:sz w:val="24"/>
                <w:szCs w:val="24"/>
                <w:lang w:eastAsia="lv-LV"/>
              </w:rPr>
            </w:pPr>
            <w:r w:rsidRPr="00D531C7">
              <w:rPr>
                <w:rFonts w:ascii="Times New Roman" w:eastAsia="Times New Roman" w:hAnsi="Times New Roman" w:cs="Times New Roman"/>
                <w:sz w:val="24"/>
                <w:szCs w:val="24"/>
                <w:lang w:eastAsia="lv-LV"/>
              </w:rPr>
              <w:t>Atbalstu piešķir tādai atbilstīgai kooperatīvai sabiedrībai, k</w:t>
            </w:r>
            <w:r w:rsidR="005A03F2" w:rsidRPr="00D531C7">
              <w:rPr>
                <w:rFonts w:ascii="Times New Roman" w:eastAsia="Times New Roman" w:hAnsi="Times New Roman" w:cs="Times New Roman"/>
                <w:sz w:val="24"/>
                <w:szCs w:val="24"/>
                <w:lang w:eastAsia="lv-LV"/>
              </w:rPr>
              <w:t>ura</w:t>
            </w:r>
            <w:r w:rsidRPr="00D531C7">
              <w:rPr>
                <w:rFonts w:ascii="Times New Roman" w:eastAsia="Times New Roman" w:hAnsi="Times New Roman" w:cs="Times New Roman"/>
                <w:sz w:val="24"/>
                <w:szCs w:val="24"/>
                <w:lang w:eastAsia="lv-LV"/>
              </w:rPr>
              <w:t xml:space="preserve"> 2021.</w:t>
            </w:r>
            <w:r w:rsidR="00F85BF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gadā ieguvusi atbilstības statusu un kurai 2020.</w:t>
            </w:r>
            <w:r w:rsidR="00F85BF8" w:rsidRPr="00D531C7">
              <w:rPr>
                <w:rFonts w:ascii="Times New Roman" w:eastAsia="Times New Roman" w:hAnsi="Times New Roman" w:cs="Times New Roman"/>
                <w:sz w:val="24"/>
                <w:szCs w:val="24"/>
                <w:lang w:eastAsia="lv-LV"/>
              </w:rPr>
              <w:t> </w:t>
            </w:r>
            <w:r w:rsidRPr="00D531C7">
              <w:rPr>
                <w:rFonts w:ascii="Times New Roman" w:eastAsia="Times New Roman" w:hAnsi="Times New Roman" w:cs="Times New Roman"/>
                <w:sz w:val="24"/>
                <w:szCs w:val="24"/>
                <w:lang w:eastAsia="lv-LV"/>
              </w:rPr>
              <w:t xml:space="preserve">gadā lauksaimniecības vai mežsaimniecības preču un pakalpojumu apgrozījums vidēji starp sabiedrību un vienu tās biedru nepārsniedza 60 000 </w:t>
            </w:r>
            <w:proofErr w:type="spellStart"/>
            <w:r w:rsidRPr="00D531C7">
              <w:rPr>
                <w:rFonts w:ascii="Times New Roman" w:eastAsia="Times New Roman" w:hAnsi="Times New Roman" w:cs="Times New Roman"/>
                <w:i/>
                <w:sz w:val="24"/>
                <w:szCs w:val="24"/>
                <w:lang w:eastAsia="lv-LV"/>
              </w:rPr>
              <w:t>euro</w:t>
            </w:r>
            <w:proofErr w:type="spellEnd"/>
            <w:r w:rsidRPr="00D531C7">
              <w:rPr>
                <w:rFonts w:ascii="Times New Roman" w:eastAsia="Times New Roman" w:hAnsi="Times New Roman" w:cs="Times New Roman"/>
                <w:i/>
                <w:sz w:val="24"/>
                <w:szCs w:val="24"/>
                <w:lang w:eastAsia="lv-LV"/>
              </w:rPr>
              <w:t>.</w:t>
            </w:r>
            <w:r w:rsidRPr="00D531C7">
              <w:rPr>
                <w:rFonts w:ascii="Times New Roman" w:eastAsia="Times New Roman" w:hAnsi="Times New Roman" w:cs="Times New Roman"/>
                <w:sz w:val="24"/>
                <w:szCs w:val="24"/>
                <w:lang w:eastAsia="lv-LV"/>
              </w:rPr>
              <w:t xml:space="preserve"> Šādi apgrozījuma griesti noteikti, jo arī Lauku attīstības programm</w:t>
            </w:r>
            <w:r w:rsidR="005A03F2" w:rsidRPr="00D531C7">
              <w:rPr>
                <w:rFonts w:ascii="Times New Roman" w:eastAsia="Times New Roman" w:hAnsi="Times New Roman" w:cs="Times New Roman"/>
                <w:sz w:val="24"/>
                <w:szCs w:val="24"/>
                <w:lang w:eastAsia="lv-LV"/>
              </w:rPr>
              <w:t>ā</w:t>
            </w:r>
            <w:r w:rsidRPr="00D531C7">
              <w:rPr>
                <w:rFonts w:ascii="Times New Roman" w:eastAsia="Times New Roman" w:hAnsi="Times New Roman" w:cs="Times New Roman"/>
                <w:sz w:val="24"/>
                <w:szCs w:val="24"/>
                <w:lang w:eastAsia="lv-LV"/>
              </w:rPr>
              <w:t xml:space="preserve"> par mazajiem un vidējiem lauksaimniekiem tiek uzskatīti tādi, kuru gada apgrozījums nepārsniedz 70 000 </w:t>
            </w:r>
            <w:proofErr w:type="spellStart"/>
            <w:r w:rsidRPr="00D531C7">
              <w:rPr>
                <w:rFonts w:ascii="Times New Roman" w:eastAsia="Times New Roman" w:hAnsi="Times New Roman" w:cs="Times New Roman"/>
                <w:i/>
                <w:sz w:val="24"/>
                <w:szCs w:val="24"/>
                <w:lang w:eastAsia="lv-LV"/>
              </w:rPr>
              <w:t>euro</w:t>
            </w:r>
            <w:proofErr w:type="spellEnd"/>
            <w:r w:rsidRPr="00D531C7">
              <w:rPr>
                <w:rFonts w:ascii="Times New Roman" w:eastAsia="Times New Roman" w:hAnsi="Times New Roman" w:cs="Times New Roman"/>
                <w:i/>
                <w:sz w:val="24"/>
                <w:szCs w:val="24"/>
                <w:lang w:eastAsia="lv-LV"/>
              </w:rPr>
              <w:t xml:space="preserve">. </w:t>
            </w:r>
          </w:p>
          <w:p w14:paraId="0FA0C8B8" w14:textId="23935B3F" w:rsidR="008C2713" w:rsidRPr="00D531C7" w:rsidRDefault="008C2713" w:rsidP="005A03F2">
            <w:pPr>
              <w:tabs>
                <w:tab w:val="left" w:pos="915"/>
                <w:tab w:val="left" w:pos="7155"/>
              </w:tabs>
              <w:spacing w:after="0" w:line="240" w:lineRule="auto"/>
              <w:ind w:left="395"/>
              <w:contextualSpacing/>
              <w:jc w:val="both"/>
              <w:rPr>
                <w:rFonts w:ascii="Times New Roman" w:eastAsia="Times New Roman" w:hAnsi="Times New Roman" w:cs="Times New Roman"/>
                <w:sz w:val="24"/>
                <w:szCs w:val="24"/>
                <w:lang w:eastAsia="ar-SA"/>
              </w:rPr>
            </w:pPr>
            <w:r w:rsidRPr="00D531C7">
              <w:rPr>
                <w:rFonts w:ascii="Times New Roman" w:eastAsia="Times New Roman" w:hAnsi="Times New Roman" w:cs="Times New Roman"/>
                <w:sz w:val="24"/>
                <w:szCs w:val="24"/>
                <w:lang w:eastAsia="lv-LV"/>
              </w:rPr>
              <w:t xml:space="preserve">Atbalstu piešķir kā vienreizēju maksājumu līdz 20 000 </w:t>
            </w:r>
            <w:proofErr w:type="spellStart"/>
            <w:r w:rsidRPr="00D531C7">
              <w:rPr>
                <w:rFonts w:ascii="Times New Roman" w:eastAsia="Times New Roman" w:hAnsi="Times New Roman" w:cs="Times New Roman"/>
                <w:i/>
                <w:sz w:val="24"/>
                <w:szCs w:val="24"/>
                <w:lang w:eastAsia="lv-LV"/>
              </w:rPr>
              <w:t>euro</w:t>
            </w:r>
            <w:proofErr w:type="spellEnd"/>
            <w:r w:rsidRPr="00D531C7">
              <w:rPr>
                <w:rFonts w:ascii="Times New Roman" w:eastAsia="Times New Roman" w:hAnsi="Times New Roman" w:cs="Times New Roman"/>
                <w:sz w:val="24"/>
                <w:szCs w:val="24"/>
                <w:lang w:eastAsia="lv-LV"/>
              </w:rPr>
              <w:t xml:space="preserve"> biznesa plāna 2021.</w:t>
            </w:r>
            <w:r w:rsidR="005A03F2" w:rsidRPr="00D531C7">
              <w:rPr>
                <w:rFonts w:ascii="Times New Roman" w:eastAsia="Times New Roman" w:hAnsi="Times New Roman" w:cs="Times New Roman"/>
                <w:sz w:val="24"/>
                <w:szCs w:val="24"/>
                <w:lang w:eastAsia="lv-LV"/>
              </w:rPr>
              <w:t>–</w:t>
            </w:r>
            <w:r w:rsidRPr="00D531C7">
              <w:rPr>
                <w:rFonts w:ascii="Times New Roman" w:eastAsia="Times New Roman" w:hAnsi="Times New Roman" w:cs="Times New Roman"/>
                <w:sz w:val="24"/>
                <w:szCs w:val="24"/>
                <w:lang w:eastAsia="lv-LV"/>
              </w:rPr>
              <w:t>2025.</w:t>
            </w:r>
            <w:r w:rsidR="005A03F2" w:rsidRPr="00D531C7">
              <w:rPr>
                <w:rFonts w:ascii="Times New Roman" w:eastAsia="Times New Roman" w:hAnsi="Times New Roman" w:cs="Times New Roman"/>
                <w:sz w:val="24"/>
                <w:szCs w:val="24"/>
                <w:lang w:eastAsia="lv-LV"/>
              </w:rPr>
              <w:t xml:space="preserve"> </w:t>
            </w:r>
            <w:r w:rsidRPr="00D531C7">
              <w:rPr>
                <w:rFonts w:ascii="Times New Roman" w:eastAsia="Times New Roman" w:hAnsi="Times New Roman" w:cs="Times New Roman"/>
                <w:sz w:val="24"/>
                <w:szCs w:val="24"/>
                <w:lang w:eastAsia="lv-LV"/>
              </w:rPr>
              <w:t xml:space="preserve">gadam </w:t>
            </w:r>
            <w:bookmarkStart w:id="5" w:name="_Hlk69979389"/>
            <w:r w:rsidRPr="00D531C7">
              <w:rPr>
                <w:rFonts w:ascii="Times New Roman" w:eastAsia="Times New Roman" w:hAnsi="Times New Roman" w:cs="Times New Roman"/>
                <w:sz w:val="24"/>
                <w:szCs w:val="24"/>
                <w:lang w:eastAsia="lv-LV"/>
              </w:rPr>
              <w:t>kvantitatīvo un kvalitatīvo</w:t>
            </w:r>
            <w:bookmarkEnd w:id="5"/>
            <w:r w:rsidRPr="00D531C7">
              <w:rPr>
                <w:rFonts w:ascii="Times New Roman" w:eastAsia="Times New Roman" w:hAnsi="Times New Roman" w:cs="Times New Roman"/>
                <w:sz w:val="24"/>
                <w:szCs w:val="24"/>
                <w:lang w:eastAsia="lv-LV"/>
              </w:rPr>
              <w:t xml:space="preserve"> attīstības rādītāju izpildei, un to aprēķina atbilstoši sasniedzamo attīstības rādītāju biznesa plānā paredzētajam izpildes apjomam. </w:t>
            </w:r>
          </w:p>
          <w:p w14:paraId="28A20A46" w14:textId="77777777" w:rsidR="00500B0B" w:rsidRDefault="001064BB" w:rsidP="001064BB">
            <w:pPr>
              <w:tabs>
                <w:tab w:val="left" w:pos="7155"/>
              </w:tabs>
              <w:suppressAutoHyphens/>
              <w:spacing w:after="120" w:line="240" w:lineRule="auto"/>
              <w:ind w:left="396"/>
              <w:jc w:val="both"/>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ar-SA"/>
              </w:rPr>
              <w:t>At</w:t>
            </w:r>
            <w:r w:rsidRPr="00D531C7">
              <w:rPr>
                <w:rFonts w:ascii="Times New Roman" w:eastAsia="Times New Roman" w:hAnsi="Times New Roman" w:cs="Times New Roman"/>
                <w:kern w:val="1"/>
                <w:sz w:val="24"/>
                <w:szCs w:val="24"/>
                <w:lang w:eastAsia="lv-LV"/>
              </w:rPr>
              <w:t xml:space="preserve">balsts attiecināmajām izmaksām pamatots un </w:t>
            </w:r>
            <w:r w:rsidR="00997A11" w:rsidRPr="00D531C7">
              <w:rPr>
                <w:rFonts w:ascii="Times New Roman" w:eastAsia="Times New Roman" w:hAnsi="Times New Roman" w:cs="Times New Roman"/>
                <w:kern w:val="1"/>
                <w:sz w:val="24"/>
                <w:szCs w:val="24"/>
                <w:lang w:eastAsia="lv-LV"/>
              </w:rPr>
              <w:t xml:space="preserve">ir </w:t>
            </w:r>
            <w:r w:rsidRPr="00D531C7">
              <w:rPr>
                <w:rFonts w:ascii="Times New Roman" w:eastAsia="Times New Roman" w:hAnsi="Times New Roman" w:cs="Times New Roman"/>
                <w:kern w:val="1"/>
                <w:sz w:val="24"/>
                <w:szCs w:val="24"/>
                <w:lang w:eastAsia="lv-LV"/>
              </w:rPr>
              <w:t xml:space="preserve">tieši saistīts ar biznesa plānā </w:t>
            </w:r>
            <w:r w:rsidRPr="00D531C7">
              <w:rPr>
                <w:rFonts w:ascii="Times New Roman" w:eastAsia="Times New Roman" w:hAnsi="Times New Roman" w:cs="Times New Roman"/>
                <w:kern w:val="1"/>
                <w:sz w:val="24"/>
                <w:szCs w:val="24"/>
                <w:lang w:eastAsia="ar-SA"/>
              </w:rPr>
              <w:t xml:space="preserve">noteikto </w:t>
            </w:r>
            <w:r w:rsidRPr="00D531C7">
              <w:rPr>
                <w:rFonts w:ascii="Times New Roman" w:eastAsia="Times New Roman" w:hAnsi="Times New Roman" w:cs="Times New Roman"/>
                <w:kern w:val="1"/>
                <w:sz w:val="24"/>
                <w:szCs w:val="24"/>
                <w:lang w:eastAsia="lv-LV"/>
              </w:rPr>
              <w:t xml:space="preserve">kvantitatīvo un kvalitatīvo attīstības rādītāju sasniegšanu. </w:t>
            </w:r>
          </w:p>
          <w:p w14:paraId="71DA7513" w14:textId="0ED8A797" w:rsidR="001064BB" w:rsidRPr="00D531C7" w:rsidRDefault="001064BB" w:rsidP="001064BB">
            <w:pPr>
              <w:tabs>
                <w:tab w:val="left" w:pos="7155"/>
              </w:tabs>
              <w:suppressAutoHyphens/>
              <w:spacing w:after="120" w:line="240" w:lineRule="auto"/>
              <w:ind w:left="396"/>
              <w:jc w:val="both"/>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 xml:space="preserve">Noteikumu projektā ir noteikti </w:t>
            </w:r>
            <w:r w:rsidR="008F7FF2" w:rsidRPr="00D531C7">
              <w:rPr>
                <w:rFonts w:ascii="Times New Roman" w:eastAsia="Times New Roman" w:hAnsi="Times New Roman" w:cs="Times New Roman"/>
                <w:kern w:val="1"/>
                <w:sz w:val="24"/>
                <w:szCs w:val="24"/>
                <w:lang w:eastAsia="lv-LV"/>
              </w:rPr>
              <w:t>seši</w:t>
            </w:r>
            <w:r w:rsidRPr="00D531C7">
              <w:rPr>
                <w:rFonts w:ascii="Times New Roman" w:eastAsia="Times New Roman" w:hAnsi="Times New Roman" w:cs="Times New Roman"/>
                <w:kern w:val="1"/>
                <w:sz w:val="24"/>
                <w:szCs w:val="24"/>
                <w:lang w:eastAsia="lv-LV"/>
              </w:rPr>
              <w:t xml:space="preserve"> kvantitatīvie attīstības rādītāji, kas paredz biedru skaita, apgrozījuma, realizētās produkcijas apjoma, biedru ar sabiedrības starpniecību realizētās produkcijas īpatsvara pieaugumu, apgrozījuma ar vienu biedru palielinājumu, kā arī pārstrādātās produkcijas apjoma vai apmēra kāpināšanu ne vēlāk kā 2025.</w:t>
            </w:r>
            <w:r w:rsidR="00997A11" w:rsidRPr="00D531C7">
              <w:rPr>
                <w:rFonts w:ascii="Times New Roman" w:eastAsia="Times New Roman" w:hAnsi="Times New Roman" w:cs="Times New Roman"/>
                <w:kern w:val="1"/>
                <w:sz w:val="24"/>
                <w:szCs w:val="24"/>
                <w:lang w:eastAsia="lv-LV"/>
              </w:rPr>
              <w:t xml:space="preserve"> </w:t>
            </w:r>
            <w:r w:rsidRPr="00D531C7">
              <w:rPr>
                <w:rFonts w:ascii="Times New Roman" w:eastAsia="Times New Roman" w:hAnsi="Times New Roman" w:cs="Times New Roman"/>
                <w:kern w:val="1"/>
                <w:sz w:val="24"/>
                <w:szCs w:val="24"/>
                <w:lang w:eastAsia="lv-LV"/>
              </w:rPr>
              <w:t>gadā salīdzin</w:t>
            </w:r>
            <w:r w:rsidR="00997A11" w:rsidRPr="00D531C7">
              <w:rPr>
                <w:rFonts w:ascii="Times New Roman" w:eastAsia="Times New Roman" w:hAnsi="Times New Roman" w:cs="Times New Roman"/>
                <w:kern w:val="1"/>
                <w:sz w:val="24"/>
                <w:szCs w:val="24"/>
                <w:lang w:eastAsia="lv-LV"/>
              </w:rPr>
              <w:t>ājumā</w:t>
            </w:r>
            <w:r w:rsidRPr="00D531C7">
              <w:rPr>
                <w:rFonts w:ascii="Times New Roman" w:eastAsia="Times New Roman" w:hAnsi="Times New Roman" w:cs="Times New Roman"/>
                <w:kern w:val="1"/>
                <w:sz w:val="24"/>
                <w:szCs w:val="24"/>
                <w:lang w:eastAsia="lv-LV"/>
              </w:rPr>
              <w:t xml:space="preserve"> ar 2020.</w:t>
            </w:r>
            <w:r w:rsidR="00BA03E4" w:rsidRPr="00D531C7">
              <w:rPr>
                <w:rFonts w:ascii="Times New Roman" w:eastAsia="Times New Roman" w:hAnsi="Times New Roman" w:cs="Times New Roman"/>
                <w:kern w:val="1"/>
                <w:sz w:val="24"/>
                <w:szCs w:val="24"/>
                <w:lang w:eastAsia="lv-LV"/>
              </w:rPr>
              <w:t xml:space="preserve"> </w:t>
            </w:r>
            <w:r w:rsidRPr="00D531C7">
              <w:rPr>
                <w:rFonts w:ascii="Times New Roman" w:eastAsia="Times New Roman" w:hAnsi="Times New Roman" w:cs="Times New Roman"/>
                <w:kern w:val="1"/>
                <w:sz w:val="24"/>
                <w:szCs w:val="24"/>
                <w:lang w:eastAsia="lv-LV"/>
              </w:rPr>
              <w:t xml:space="preserve">gadu. </w:t>
            </w:r>
            <w:r w:rsidR="00997A11" w:rsidRPr="00D531C7">
              <w:rPr>
                <w:rFonts w:ascii="Times New Roman" w:eastAsia="Times New Roman" w:hAnsi="Times New Roman" w:cs="Times New Roman"/>
                <w:kern w:val="1"/>
                <w:sz w:val="24"/>
                <w:szCs w:val="24"/>
                <w:lang w:eastAsia="lv-LV"/>
              </w:rPr>
              <w:t>Š</w:t>
            </w:r>
            <w:r w:rsidRPr="00D531C7">
              <w:rPr>
                <w:rFonts w:ascii="Times New Roman" w:eastAsia="Times New Roman" w:hAnsi="Times New Roman" w:cs="Times New Roman"/>
                <w:kern w:val="1"/>
                <w:sz w:val="24"/>
                <w:szCs w:val="24"/>
                <w:lang w:eastAsia="lv-LV"/>
              </w:rPr>
              <w:t xml:space="preserve">ie kritēriji ir tieši saistīti ar kooperatīvās sabiedrības produkcijas apgrozījuma kāpināšanu </w:t>
            </w:r>
            <w:r w:rsidR="00BA03E4" w:rsidRPr="00D531C7">
              <w:rPr>
                <w:rFonts w:ascii="Times New Roman" w:eastAsia="Times New Roman" w:hAnsi="Times New Roman" w:cs="Times New Roman"/>
                <w:kern w:val="1"/>
                <w:sz w:val="24"/>
                <w:szCs w:val="24"/>
                <w:lang w:eastAsia="lv-LV"/>
              </w:rPr>
              <w:t xml:space="preserve">attiecībā </w:t>
            </w:r>
            <w:r w:rsidRPr="00D531C7">
              <w:rPr>
                <w:rFonts w:ascii="Times New Roman" w:eastAsia="Times New Roman" w:hAnsi="Times New Roman" w:cs="Times New Roman"/>
                <w:kern w:val="1"/>
                <w:sz w:val="24"/>
                <w:szCs w:val="24"/>
                <w:lang w:eastAsia="lv-LV"/>
              </w:rPr>
              <w:t xml:space="preserve">gan uz kooperatīvo sabiedrību kopumā, gan uz katru biedru.  </w:t>
            </w:r>
          </w:p>
          <w:p w14:paraId="2640F7EA" w14:textId="44B9BEE5" w:rsidR="008C2713" w:rsidRDefault="001064BB" w:rsidP="008F7FF2">
            <w:pPr>
              <w:tabs>
                <w:tab w:val="left" w:pos="7155"/>
              </w:tabs>
              <w:suppressAutoHyphens/>
              <w:spacing w:after="120" w:line="240" w:lineRule="auto"/>
              <w:ind w:left="396"/>
              <w:jc w:val="both"/>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 xml:space="preserve">Noteikumu projektā ir noteikti </w:t>
            </w:r>
            <w:r w:rsidR="008F7FF2" w:rsidRPr="00D531C7">
              <w:rPr>
                <w:rFonts w:ascii="Times New Roman" w:eastAsia="Times New Roman" w:hAnsi="Times New Roman" w:cs="Times New Roman"/>
                <w:kern w:val="1"/>
                <w:sz w:val="24"/>
                <w:szCs w:val="24"/>
                <w:lang w:eastAsia="lv-LV"/>
              </w:rPr>
              <w:t>seši</w:t>
            </w:r>
            <w:r w:rsidRPr="00D531C7">
              <w:rPr>
                <w:rFonts w:ascii="Times New Roman" w:eastAsia="Times New Roman" w:hAnsi="Times New Roman" w:cs="Times New Roman"/>
                <w:kern w:val="1"/>
                <w:sz w:val="24"/>
                <w:szCs w:val="24"/>
                <w:lang w:eastAsia="lv-LV"/>
              </w:rPr>
              <w:t xml:space="preserve"> kvalitatīvie attīstības rādītāji. Tajos ietverts tāds rādītājs kā jauna pakalpojuma ieviešana biedriem</w:t>
            </w:r>
            <w:r w:rsidR="00BA03E4" w:rsidRPr="00D531C7">
              <w:rPr>
                <w:rFonts w:ascii="Times New Roman" w:eastAsia="Times New Roman" w:hAnsi="Times New Roman" w:cs="Times New Roman"/>
                <w:kern w:val="1"/>
                <w:sz w:val="24"/>
                <w:szCs w:val="24"/>
                <w:lang w:eastAsia="lv-LV"/>
              </w:rPr>
              <w:t> – tas</w:t>
            </w:r>
            <w:r w:rsidRPr="00D531C7">
              <w:rPr>
                <w:rFonts w:ascii="Times New Roman" w:eastAsia="Times New Roman" w:hAnsi="Times New Roman" w:cs="Times New Roman"/>
                <w:kern w:val="1"/>
                <w:sz w:val="24"/>
                <w:szCs w:val="24"/>
                <w:lang w:eastAsia="lv-LV"/>
              </w:rPr>
              <w:t xml:space="preserve"> saistīts ar biedru efektivitātes palielināšanu un sadarbības tālāku stiprināšanu.   Sabiedrības vadītāja un darbinieku kvalifikācijas paaugstināšana un sabiedrības biedru izglītošana kā kritēriji tiek </w:t>
            </w:r>
            <w:r w:rsidR="00BA03E4" w:rsidRPr="00D531C7">
              <w:rPr>
                <w:rFonts w:ascii="Times New Roman" w:eastAsia="Times New Roman" w:hAnsi="Times New Roman" w:cs="Times New Roman"/>
                <w:kern w:val="1"/>
                <w:sz w:val="24"/>
                <w:szCs w:val="24"/>
                <w:lang w:eastAsia="lv-LV"/>
              </w:rPr>
              <w:t>iz</w:t>
            </w:r>
            <w:r w:rsidRPr="00D531C7">
              <w:rPr>
                <w:rFonts w:ascii="Times New Roman" w:eastAsia="Times New Roman" w:hAnsi="Times New Roman" w:cs="Times New Roman"/>
                <w:kern w:val="1"/>
                <w:sz w:val="24"/>
                <w:szCs w:val="24"/>
                <w:lang w:eastAsia="lv-LV"/>
              </w:rPr>
              <w:t>virzīti</w:t>
            </w:r>
            <w:r w:rsidR="00BA03E4" w:rsidRPr="00D531C7">
              <w:rPr>
                <w:rFonts w:ascii="Times New Roman" w:eastAsia="Times New Roman" w:hAnsi="Times New Roman" w:cs="Times New Roman"/>
                <w:kern w:val="1"/>
                <w:sz w:val="24"/>
                <w:szCs w:val="24"/>
                <w:lang w:eastAsia="lv-LV"/>
              </w:rPr>
              <w:t xml:space="preserve"> tāpēc</w:t>
            </w:r>
            <w:r w:rsidRPr="00D531C7">
              <w:rPr>
                <w:rFonts w:ascii="Times New Roman" w:eastAsia="Times New Roman" w:hAnsi="Times New Roman" w:cs="Times New Roman"/>
                <w:kern w:val="1"/>
                <w:sz w:val="24"/>
                <w:szCs w:val="24"/>
                <w:lang w:eastAsia="lv-LV"/>
              </w:rPr>
              <w:t xml:space="preserve">, </w:t>
            </w:r>
            <w:r w:rsidR="00BA03E4" w:rsidRPr="00D531C7">
              <w:rPr>
                <w:rFonts w:ascii="Times New Roman" w:eastAsia="Times New Roman" w:hAnsi="Times New Roman" w:cs="Times New Roman"/>
                <w:kern w:val="1"/>
                <w:sz w:val="24"/>
                <w:szCs w:val="24"/>
                <w:lang w:eastAsia="lv-LV"/>
              </w:rPr>
              <w:t>ka</w:t>
            </w:r>
            <w:r w:rsidRPr="00D531C7">
              <w:rPr>
                <w:rFonts w:ascii="Times New Roman" w:eastAsia="Times New Roman" w:hAnsi="Times New Roman" w:cs="Times New Roman"/>
                <w:kern w:val="1"/>
                <w:sz w:val="24"/>
                <w:szCs w:val="24"/>
                <w:lang w:eastAsia="lv-LV"/>
              </w:rPr>
              <w:t xml:space="preserve"> ir vērsti uz kooperatīvās sabiedrības attīstību ilgtermiņā, paaugstinot gan kooperatīva administrācijas, gan biedru zināšanu līmeni par dažādiem praktiskiem, </w:t>
            </w:r>
            <w:r w:rsidR="00BA03E4" w:rsidRPr="00D531C7">
              <w:rPr>
                <w:rFonts w:ascii="Times New Roman" w:eastAsia="Times New Roman" w:hAnsi="Times New Roman" w:cs="Times New Roman"/>
                <w:kern w:val="1"/>
                <w:sz w:val="24"/>
                <w:szCs w:val="24"/>
                <w:lang w:eastAsia="lv-LV"/>
              </w:rPr>
              <w:t>kā</w:t>
            </w:r>
            <w:r w:rsidRPr="00D531C7">
              <w:rPr>
                <w:rFonts w:ascii="Times New Roman" w:eastAsia="Times New Roman" w:hAnsi="Times New Roman" w:cs="Times New Roman"/>
                <w:kern w:val="1"/>
                <w:sz w:val="24"/>
                <w:szCs w:val="24"/>
                <w:lang w:eastAsia="lv-LV"/>
              </w:rPr>
              <w:t xml:space="preserve"> arī ar kooperatīvu turpmāku attīstību saistītiem jautājumiem. Jauna digitālā risinājuma ieviešana atbilstīgās kooperatīvās sabiedrības darbības un </w:t>
            </w:r>
            <w:r w:rsidRPr="00D531C7">
              <w:rPr>
                <w:rFonts w:ascii="Times New Roman" w:eastAsia="Times New Roman" w:hAnsi="Times New Roman" w:cs="Times New Roman"/>
                <w:kern w:val="1"/>
                <w:sz w:val="24"/>
                <w:szCs w:val="24"/>
                <w:lang w:eastAsia="lv-LV"/>
              </w:rPr>
              <w:lastRenderedPageBreak/>
              <w:t>efektivitātes uzlabošanai ir kritērijs, kas saistīts ar jaun</w:t>
            </w:r>
            <w:r w:rsidR="00BA03E4" w:rsidRPr="00D531C7">
              <w:rPr>
                <w:rFonts w:ascii="Times New Roman" w:eastAsia="Times New Roman" w:hAnsi="Times New Roman" w:cs="Times New Roman"/>
                <w:kern w:val="1"/>
                <w:sz w:val="24"/>
                <w:szCs w:val="24"/>
                <w:lang w:eastAsia="lv-LV"/>
              </w:rPr>
              <w:t>u</w:t>
            </w:r>
            <w:r w:rsidRPr="00D531C7">
              <w:rPr>
                <w:rFonts w:ascii="Times New Roman" w:eastAsia="Times New Roman" w:hAnsi="Times New Roman" w:cs="Times New Roman"/>
                <w:kern w:val="1"/>
                <w:sz w:val="24"/>
                <w:szCs w:val="24"/>
                <w:lang w:eastAsia="lv-LV"/>
              </w:rPr>
              <w:t xml:space="preserve"> mūsdienīg</w:t>
            </w:r>
            <w:r w:rsidR="00BA03E4" w:rsidRPr="00D531C7">
              <w:rPr>
                <w:rFonts w:ascii="Times New Roman" w:eastAsia="Times New Roman" w:hAnsi="Times New Roman" w:cs="Times New Roman"/>
                <w:kern w:val="1"/>
                <w:sz w:val="24"/>
                <w:szCs w:val="24"/>
                <w:lang w:eastAsia="lv-LV"/>
              </w:rPr>
              <w:t>u</w:t>
            </w:r>
            <w:r w:rsidRPr="00D531C7">
              <w:rPr>
                <w:rFonts w:ascii="Times New Roman" w:eastAsia="Times New Roman" w:hAnsi="Times New Roman" w:cs="Times New Roman"/>
                <w:kern w:val="1"/>
                <w:sz w:val="24"/>
                <w:szCs w:val="24"/>
                <w:lang w:eastAsia="lv-LV"/>
              </w:rPr>
              <w:t xml:space="preserve"> metožu iekļaušanu kooperatīva ikdienā, </w:t>
            </w:r>
            <w:r w:rsidR="00BA03E4" w:rsidRPr="00D531C7">
              <w:rPr>
                <w:rFonts w:ascii="Times New Roman" w:eastAsia="Times New Roman" w:hAnsi="Times New Roman" w:cs="Times New Roman"/>
                <w:kern w:val="1"/>
                <w:sz w:val="24"/>
                <w:szCs w:val="24"/>
                <w:lang w:eastAsia="lv-LV"/>
              </w:rPr>
              <w:t>lai palielinātu</w:t>
            </w:r>
            <w:r w:rsidRPr="00D531C7">
              <w:rPr>
                <w:rFonts w:ascii="Times New Roman" w:eastAsia="Times New Roman" w:hAnsi="Times New Roman" w:cs="Times New Roman"/>
                <w:kern w:val="1"/>
                <w:sz w:val="24"/>
                <w:szCs w:val="24"/>
                <w:lang w:eastAsia="lv-LV"/>
              </w:rPr>
              <w:t xml:space="preserve"> kooperatīva efektivitāt</w:t>
            </w:r>
            <w:r w:rsidR="00BA03E4" w:rsidRPr="00D531C7">
              <w:rPr>
                <w:rFonts w:ascii="Times New Roman" w:eastAsia="Times New Roman" w:hAnsi="Times New Roman" w:cs="Times New Roman"/>
                <w:kern w:val="1"/>
                <w:sz w:val="24"/>
                <w:szCs w:val="24"/>
                <w:lang w:eastAsia="lv-LV"/>
              </w:rPr>
              <w:t>i</w:t>
            </w:r>
            <w:r w:rsidRPr="00D531C7">
              <w:rPr>
                <w:rFonts w:ascii="Times New Roman" w:eastAsia="Times New Roman" w:hAnsi="Times New Roman" w:cs="Times New Roman"/>
                <w:kern w:val="1"/>
                <w:sz w:val="24"/>
                <w:szCs w:val="24"/>
                <w:lang w:eastAsia="lv-LV"/>
              </w:rPr>
              <w:t>. Jauna noieta tirgus apgūšana ietver, piemēram, jauna sadarbības partnera iegūšanu, jauna eksporta tirgus atrašan</w:t>
            </w:r>
            <w:r w:rsidR="00BA03E4" w:rsidRPr="00D531C7">
              <w:rPr>
                <w:rFonts w:ascii="Times New Roman" w:eastAsia="Times New Roman" w:hAnsi="Times New Roman" w:cs="Times New Roman"/>
                <w:kern w:val="1"/>
                <w:sz w:val="24"/>
                <w:szCs w:val="24"/>
                <w:lang w:eastAsia="lv-LV"/>
              </w:rPr>
              <w:t>u</w:t>
            </w:r>
            <w:r w:rsidRPr="00D531C7">
              <w:rPr>
                <w:rFonts w:ascii="Times New Roman" w:eastAsia="Times New Roman" w:hAnsi="Times New Roman" w:cs="Times New Roman"/>
                <w:kern w:val="1"/>
                <w:sz w:val="24"/>
                <w:szCs w:val="24"/>
                <w:lang w:eastAsia="lv-LV"/>
              </w:rPr>
              <w:t xml:space="preserve">, </w:t>
            </w:r>
            <w:r w:rsidR="00BA03E4" w:rsidRPr="00D531C7">
              <w:rPr>
                <w:rFonts w:ascii="Times New Roman" w:eastAsia="Times New Roman" w:hAnsi="Times New Roman" w:cs="Times New Roman"/>
                <w:kern w:val="1"/>
                <w:sz w:val="24"/>
                <w:szCs w:val="24"/>
                <w:lang w:eastAsia="lv-LV"/>
              </w:rPr>
              <w:t>jo tas</w:t>
            </w:r>
            <w:r w:rsidRPr="00D531C7">
              <w:rPr>
                <w:rFonts w:ascii="Times New Roman" w:eastAsia="Times New Roman" w:hAnsi="Times New Roman" w:cs="Times New Roman"/>
                <w:kern w:val="1"/>
                <w:sz w:val="24"/>
                <w:szCs w:val="24"/>
                <w:lang w:eastAsia="lv-LV"/>
              </w:rPr>
              <w:t xml:space="preserve"> ir būtisks faktors kooperatīvās sabiedrības ekonomisko rādītāju uzlabošanai un līdz ar to kooperatīvas sabiedrības biedru ieņēmumu palielināšanai. Produkcijas pārstrādes uzsākšana ir būtisks attīstības rādītājs, kas liecina</w:t>
            </w:r>
            <w:r w:rsidR="00BA03E4" w:rsidRPr="00D531C7">
              <w:rPr>
                <w:rFonts w:ascii="Times New Roman" w:eastAsia="Times New Roman" w:hAnsi="Times New Roman" w:cs="Times New Roman"/>
                <w:kern w:val="1"/>
                <w:sz w:val="24"/>
                <w:szCs w:val="24"/>
                <w:lang w:eastAsia="lv-LV"/>
              </w:rPr>
              <w:t xml:space="preserve"> par to</w:t>
            </w:r>
            <w:r w:rsidRPr="00D531C7">
              <w:rPr>
                <w:rFonts w:ascii="Times New Roman" w:eastAsia="Times New Roman" w:hAnsi="Times New Roman" w:cs="Times New Roman"/>
                <w:kern w:val="1"/>
                <w:sz w:val="24"/>
                <w:szCs w:val="24"/>
                <w:lang w:eastAsia="lv-LV"/>
              </w:rPr>
              <w:t>, ka kooperatīvā sabiedrība uzsāk pievienotās vērtības radīšanu savu biedru saražotajai produkcijai. Šis ir ļoti nozīmīgs rādītājs, jo Latvijā lielākā daļa kooperatīvo sabiedrību nodarbojas ar izejvielas tirdzniecību, taču šī kritērija izpilde norādīs uz kooperatīvas sabiedrības nokļūšanu</w:t>
            </w:r>
            <w:r w:rsidR="008F7FF2" w:rsidRPr="00D531C7">
              <w:rPr>
                <w:rFonts w:ascii="Times New Roman" w:eastAsia="Times New Roman" w:hAnsi="Times New Roman" w:cs="Times New Roman"/>
                <w:kern w:val="1"/>
                <w:sz w:val="24"/>
                <w:szCs w:val="24"/>
                <w:lang w:eastAsia="lv-LV"/>
              </w:rPr>
              <w:t xml:space="preserve"> </w:t>
            </w:r>
            <w:r w:rsidRPr="00D531C7">
              <w:rPr>
                <w:rFonts w:ascii="Times New Roman" w:eastAsia="Times New Roman" w:hAnsi="Times New Roman" w:cs="Times New Roman"/>
                <w:kern w:val="1"/>
                <w:sz w:val="24"/>
                <w:szCs w:val="24"/>
                <w:lang w:eastAsia="lv-LV"/>
              </w:rPr>
              <w:t xml:space="preserve">augstākā attīstības līmenī. </w:t>
            </w:r>
          </w:p>
          <w:p w14:paraId="5BBB465B" w14:textId="78B287B1" w:rsidR="00AB2D6E" w:rsidRPr="00500B0B" w:rsidRDefault="00161EE0" w:rsidP="00AB2D6E">
            <w:pPr>
              <w:tabs>
                <w:tab w:val="left" w:pos="7155"/>
              </w:tabs>
              <w:suppressAutoHyphens/>
              <w:spacing w:after="120" w:line="240" w:lineRule="auto"/>
              <w:ind w:left="396"/>
              <w:jc w:val="both"/>
              <w:rPr>
                <w:rFonts w:ascii="Times New Roman" w:hAnsi="Times New Roman" w:cs="Times New Roman"/>
                <w:color w:val="000000"/>
                <w:sz w:val="24"/>
                <w:szCs w:val="24"/>
                <w:shd w:val="clear" w:color="auto" w:fill="FFFFFF"/>
              </w:rPr>
            </w:pPr>
            <w:r w:rsidRPr="00500B0B">
              <w:rPr>
                <w:rFonts w:ascii="Times New Roman" w:eastAsia="Times New Roman" w:hAnsi="Times New Roman" w:cs="Times New Roman"/>
                <w:sz w:val="24"/>
                <w:szCs w:val="24"/>
                <w:lang w:eastAsia="lv-LV"/>
              </w:rPr>
              <w:t>Īstenojot biznesa plānu,</w:t>
            </w:r>
            <w:r w:rsidR="00C91A44" w:rsidRPr="00500B0B">
              <w:rPr>
                <w:rFonts w:ascii="Times New Roman" w:eastAsia="Times New Roman" w:hAnsi="Times New Roman" w:cs="Times New Roman"/>
                <w:sz w:val="24"/>
                <w:szCs w:val="24"/>
                <w:lang w:eastAsia="lv-LV"/>
              </w:rPr>
              <w:t xml:space="preserve"> </w:t>
            </w:r>
            <w:r w:rsidRPr="00500B0B">
              <w:rPr>
                <w:rFonts w:ascii="Times New Roman" w:eastAsia="Times New Roman" w:hAnsi="Times New Roman" w:cs="Times New Roman"/>
                <w:sz w:val="24"/>
                <w:szCs w:val="24"/>
                <w:lang w:eastAsia="lv-LV"/>
              </w:rPr>
              <w:t>kooperatīvajām sabiedrībām</w:t>
            </w:r>
            <w:r w:rsidR="00C91A44" w:rsidRPr="00500B0B">
              <w:rPr>
                <w:rFonts w:ascii="Times New Roman" w:eastAsia="Times New Roman" w:hAnsi="Times New Roman" w:cs="Times New Roman"/>
                <w:sz w:val="24"/>
                <w:szCs w:val="24"/>
                <w:lang w:eastAsia="lv-LV"/>
              </w:rPr>
              <w:t xml:space="preserve"> ir iespēja </w:t>
            </w:r>
            <w:r w:rsidR="00E712D3" w:rsidRPr="00500B0B">
              <w:rPr>
                <w:rFonts w:ascii="Times New Roman" w:eastAsia="Times New Roman" w:hAnsi="Times New Roman" w:cs="Times New Roman"/>
                <w:sz w:val="24"/>
                <w:szCs w:val="24"/>
                <w:lang w:eastAsia="lv-LV"/>
              </w:rPr>
              <w:t>attiecināmajās izmaksās iekļaut arī mārketinga, noieta veicināšanas un tirgvedības, tajā skaitā patērētāju informētības izdevumus</w:t>
            </w:r>
            <w:r w:rsidR="000D1CB0">
              <w:rPr>
                <w:rFonts w:ascii="Times New Roman" w:eastAsia="Times New Roman" w:hAnsi="Times New Roman" w:cs="Times New Roman"/>
                <w:sz w:val="24"/>
                <w:szCs w:val="24"/>
                <w:lang w:eastAsia="lv-LV"/>
              </w:rPr>
              <w:t xml:space="preserve"> </w:t>
            </w:r>
            <w:r w:rsidR="00E712D3" w:rsidRPr="00500B0B">
              <w:rPr>
                <w:rFonts w:ascii="Times New Roman" w:eastAsia="Times New Roman" w:hAnsi="Times New Roman" w:cs="Times New Roman"/>
                <w:sz w:val="24"/>
                <w:szCs w:val="24"/>
                <w:lang w:eastAsia="lv-LV"/>
              </w:rPr>
              <w:t>– tirgus izpētes un konsultāciju pakalpojumu</w:t>
            </w:r>
            <w:r w:rsidR="00C91A44" w:rsidRPr="00500B0B">
              <w:rPr>
                <w:rFonts w:ascii="Times New Roman" w:eastAsia="Times New Roman" w:hAnsi="Times New Roman" w:cs="Times New Roman"/>
                <w:sz w:val="24"/>
                <w:szCs w:val="24"/>
                <w:lang w:eastAsia="lv-LV"/>
              </w:rPr>
              <w:t xml:space="preserve"> izdevumus</w:t>
            </w:r>
            <w:r w:rsidR="00E712D3" w:rsidRPr="00500B0B">
              <w:rPr>
                <w:rFonts w:ascii="Times New Roman" w:eastAsia="Times New Roman" w:hAnsi="Times New Roman" w:cs="Times New Roman"/>
                <w:sz w:val="24"/>
                <w:szCs w:val="24"/>
                <w:lang w:eastAsia="lv-LV"/>
              </w:rPr>
              <w:t>, reklāmas izdevumus</w:t>
            </w:r>
            <w:r w:rsidR="00C91A44" w:rsidRPr="00500B0B">
              <w:rPr>
                <w:rFonts w:ascii="Times New Roman" w:eastAsia="Times New Roman" w:hAnsi="Times New Roman" w:cs="Times New Roman"/>
                <w:sz w:val="24"/>
                <w:szCs w:val="24"/>
                <w:lang w:eastAsia="lv-LV"/>
              </w:rPr>
              <w:t>, kas saistīti ar esošo, kā arī jaunu produktu laišanu tirgū</w:t>
            </w:r>
            <w:r w:rsidRPr="00500B0B">
              <w:rPr>
                <w:rFonts w:ascii="Times New Roman" w:eastAsia="Times New Roman" w:hAnsi="Times New Roman" w:cs="Times New Roman"/>
                <w:sz w:val="24"/>
                <w:szCs w:val="24"/>
                <w:lang w:eastAsia="lv-LV"/>
              </w:rPr>
              <w:t xml:space="preserve"> un tirdzniecības veicināšanu dažādos kanālos</w:t>
            </w:r>
            <w:r w:rsidR="00E712D3" w:rsidRPr="00500B0B">
              <w:rPr>
                <w:rFonts w:ascii="Times New Roman" w:eastAsia="Times New Roman" w:hAnsi="Times New Roman" w:cs="Times New Roman"/>
                <w:sz w:val="24"/>
                <w:szCs w:val="24"/>
                <w:lang w:eastAsia="lv-LV"/>
              </w:rPr>
              <w:t>, taču tie</w:t>
            </w:r>
            <w:r w:rsidR="00E712D3" w:rsidRPr="00500B0B">
              <w:rPr>
                <w:rFonts w:ascii="Times New Roman" w:hAnsi="Times New Roman" w:cs="Times New Roman"/>
                <w:color w:val="000000"/>
                <w:sz w:val="24"/>
                <w:szCs w:val="24"/>
                <w:shd w:val="clear" w:color="auto" w:fill="FFFFFF"/>
              </w:rPr>
              <w:t xml:space="preserve"> nedrīkst būt tieš</w:t>
            </w:r>
            <w:r w:rsidR="000D1CB0">
              <w:rPr>
                <w:rFonts w:ascii="Times New Roman" w:hAnsi="Times New Roman" w:cs="Times New Roman"/>
                <w:color w:val="000000"/>
                <w:sz w:val="24"/>
                <w:szCs w:val="24"/>
                <w:shd w:val="clear" w:color="auto" w:fill="FFFFFF"/>
              </w:rPr>
              <w:t>i</w:t>
            </w:r>
            <w:r w:rsidR="00E712D3" w:rsidRPr="00500B0B">
              <w:rPr>
                <w:rFonts w:ascii="Times New Roman" w:hAnsi="Times New Roman" w:cs="Times New Roman"/>
                <w:color w:val="000000"/>
                <w:sz w:val="24"/>
                <w:szCs w:val="24"/>
                <w:shd w:val="clear" w:color="auto" w:fill="FFFFFF"/>
              </w:rPr>
              <w:t xml:space="preserve"> saistīti ar eksportēt</w:t>
            </w:r>
            <w:r w:rsidR="000D1CB0">
              <w:rPr>
                <w:rFonts w:ascii="Times New Roman" w:hAnsi="Times New Roman" w:cs="Times New Roman"/>
                <w:color w:val="000000"/>
                <w:sz w:val="24"/>
                <w:szCs w:val="24"/>
                <w:shd w:val="clear" w:color="auto" w:fill="FFFFFF"/>
              </w:rPr>
              <w:t>o</w:t>
            </w:r>
            <w:r w:rsidR="00E712D3" w:rsidRPr="00500B0B">
              <w:rPr>
                <w:rFonts w:ascii="Times New Roman" w:hAnsi="Times New Roman" w:cs="Times New Roman"/>
                <w:color w:val="000000"/>
                <w:sz w:val="24"/>
                <w:szCs w:val="24"/>
                <w:shd w:val="clear" w:color="auto" w:fill="FFFFFF"/>
              </w:rPr>
              <w:t xml:space="preserve"> daudzum</w:t>
            </w:r>
            <w:r w:rsidR="000D1CB0">
              <w:rPr>
                <w:rFonts w:ascii="Times New Roman" w:hAnsi="Times New Roman" w:cs="Times New Roman"/>
                <w:color w:val="000000"/>
                <w:sz w:val="24"/>
                <w:szCs w:val="24"/>
                <w:shd w:val="clear" w:color="auto" w:fill="FFFFFF"/>
              </w:rPr>
              <w:t>u</w:t>
            </w:r>
            <w:r w:rsidR="00E712D3" w:rsidRPr="00500B0B">
              <w:rPr>
                <w:rFonts w:ascii="Times New Roman" w:hAnsi="Times New Roman" w:cs="Times New Roman"/>
                <w:color w:val="000000"/>
                <w:sz w:val="24"/>
                <w:szCs w:val="24"/>
                <w:shd w:val="clear" w:color="auto" w:fill="FFFFFF"/>
              </w:rPr>
              <w:t>, izplatīšanas tīkla izveidi un darbību vai citiem kārtējiem izdevumiem, kas saistīti ar eksporta darbībām</w:t>
            </w:r>
            <w:r w:rsidR="00694200" w:rsidRPr="00500B0B">
              <w:rPr>
                <w:rFonts w:ascii="Times New Roman" w:hAnsi="Times New Roman" w:cs="Times New Roman"/>
                <w:color w:val="000000"/>
                <w:sz w:val="24"/>
                <w:szCs w:val="24"/>
                <w:shd w:val="clear" w:color="auto" w:fill="FFFFFF"/>
              </w:rPr>
              <w:t xml:space="preserve"> atbilstoši </w:t>
            </w:r>
            <w:r w:rsidR="000D1CB0">
              <w:rPr>
                <w:rFonts w:ascii="Times New Roman" w:hAnsi="Times New Roman" w:cs="Times New Roman"/>
                <w:color w:val="000000"/>
                <w:sz w:val="24"/>
                <w:szCs w:val="24"/>
                <w:shd w:val="clear" w:color="auto" w:fill="FFFFFF"/>
              </w:rPr>
              <w:t>R</w:t>
            </w:r>
            <w:r w:rsidR="00694200" w:rsidRPr="00500B0B">
              <w:rPr>
                <w:rFonts w:ascii="Times New Roman" w:hAnsi="Times New Roman" w:cs="Times New Roman"/>
                <w:color w:val="000000"/>
                <w:sz w:val="24"/>
                <w:szCs w:val="24"/>
                <w:shd w:val="clear" w:color="auto" w:fill="FFFFFF"/>
              </w:rPr>
              <w:t>egulas Nr.</w:t>
            </w:r>
            <w:r w:rsidR="000D1CB0">
              <w:rPr>
                <w:rFonts w:ascii="Times New Roman" w:hAnsi="Times New Roman" w:cs="Times New Roman"/>
                <w:color w:val="000000"/>
                <w:sz w:val="24"/>
                <w:szCs w:val="24"/>
                <w:shd w:val="clear" w:color="auto" w:fill="FFFFFF"/>
              </w:rPr>
              <w:t> </w:t>
            </w:r>
            <w:r w:rsidR="00694200" w:rsidRPr="00500B0B">
              <w:rPr>
                <w:rFonts w:ascii="Times New Roman" w:hAnsi="Times New Roman" w:cs="Times New Roman"/>
                <w:color w:val="000000"/>
                <w:sz w:val="24"/>
                <w:szCs w:val="24"/>
                <w:shd w:val="clear" w:color="auto" w:fill="FFFFFF"/>
              </w:rPr>
              <w:t>1407/2013 1.</w:t>
            </w:r>
            <w:r w:rsidR="000D1CB0">
              <w:rPr>
                <w:rFonts w:ascii="Times New Roman" w:hAnsi="Times New Roman" w:cs="Times New Roman"/>
                <w:color w:val="000000"/>
                <w:sz w:val="24"/>
                <w:szCs w:val="24"/>
                <w:shd w:val="clear" w:color="auto" w:fill="FFFFFF"/>
              </w:rPr>
              <w:t> </w:t>
            </w:r>
            <w:r w:rsidR="00694200" w:rsidRPr="00500B0B">
              <w:rPr>
                <w:rFonts w:ascii="Times New Roman" w:hAnsi="Times New Roman" w:cs="Times New Roman"/>
                <w:color w:val="000000"/>
                <w:sz w:val="24"/>
                <w:szCs w:val="24"/>
                <w:shd w:val="clear" w:color="auto" w:fill="FFFFFF"/>
              </w:rPr>
              <w:t>panta 1.</w:t>
            </w:r>
            <w:r w:rsidR="000D1CB0">
              <w:rPr>
                <w:rFonts w:ascii="Times New Roman" w:hAnsi="Times New Roman" w:cs="Times New Roman"/>
                <w:color w:val="000000"/>
                <w:sz w:val="24"/>
                <w:szCs w:val="24"/>
                <w:shd w:val="clear" w:color="auto" w:fill="FFFFFF"/>
              </w:rPr>
              <w:t> </w:t>
            </w:r>
            <w:r w:rsidR="00694200" w:rsidRPr="00500B0B">
              <w:rPr>
                <w:rFonts w:ascii="Times New Roman" w:hAnsi="Times New Roman" w:cs="Times New Roman"/>
                <w:color w:val="000000"/>
                <w:sz w:val="24"/>
                <w:szCs w:val="24"/>
                <w:shd w:val="clear" w:color="auto" w:fill="FFFFFF"/>
              </w:rPr>
              <w:t xml:space="preserve">punkta </w:t>
            </w:r>
            <w:r w:rsidR="000D1CB0">
              <w:rPr>
                <w:rFonts w:ascii="Times New Roman" w:hAnsi="Times New Roman" w:cs="Times New Roman"/>
                <w:color w:val="000000"/>
                <w:sz w:val="24"/>
                <w:szCs w:val="24"/>
                <w:shd w:val="clear" w:color="auto" w:fill="FFFFFF"/>
              </w:rPr>
              <w:t>“</w:t>
            </w:r>
            <w:r w:rsidR="00694200" w:rsidRPr="00500B0B">
              <w:rPr>
                <w:rFonts w:ascii="Times New Roman" w:hAnsi="Times New Roman" w:cs="Times New Roman"/>
                <w:color w:val="000000"/>
                <w:sz w:val="24"/>
                <w:szCs w:val="24"/>
                <w:shd w:val="clear" w:color="auto" w:fill="FFFFFF"/>
              </w:rPr>
              <w:t>d</w:t>
            </w:r>
            <w:r w:rsidR="000D1CB0">
              <w:rPr>
                <w:rFonts w:ascii="Times New Roman" w:hAnsi="Times New Roman" w:cs="Times New Roman"/>
                <w:color w:val="000000"/>
                <w:sz w:val="24"/>
                <w:szCs w:val="24"/>
                <w:shd w:val="clear" w:color="auto" w:fill="FFFFFF"/>
              </w:rPr>
              <w:t>” </w:t>
            </w:r>
            <w:r w:rsidR="00694200" w:rsidRPr="00500B0B">
              <w:rPr>
                <w:rFonts w:ascii="Times New Roman" w:hAnsi="Times New Roman" w:cs="Times New Roman"/>
                <w:color w:val="000000"/>
                <w:sz w:val="24"/>
                <w:szCs w:val="24"/>
                <w:shd w:val="clear" w:color="auto" w:fill="FFFFFF"/>
              </w:rPr>
              <w:t>apakšpunktam, k</w:t>
            </w:r>
            <w:r w:rsidR="000D1CB0">
              <w:rPr>
                <w:rFonts w:ascii="Times New Roman" w:hAnsi="Times New Roman" w:cs="Times New Roman"/>
                <w:color w:val="000000"/>
                <w:sz w:val="24"/>
                <w:szCs w:val="24"/>
                <w:shd w:val="clear" w:color="auto" w:fill="FFFFFF"/>
              </w:rPr>
              <w:t>urš</w:t>
            </w:r>
            <w:r w:rsidR="00694200" w:rsidRPr="00500B0B">
              <w:rPr>
                <w:rFonts w:ascii="Times New Roman" w:hAnsi="Times New Roman" w:cs="Times New Roman"/>
                <w:color w:val="000000"/>
                <w:sz w:val="24"/>
                <w:szCs w:val="24"/>
                <w:shd w:val="clear" w:color="auto" w:fill="FFFFFF"/>
              </w:rPr>
              <w:t xml:space="preserve"> paredz ierobežojumu sniegt atbalstu </w:t>
            </w:r>
            <w:r w:rsidR="007F3F43">
              <w:rPr>
                <w:rFonts w:ascii="Times New Roman" w:hAnsi="Times New Roman" w:cs="Times New Roman"/>
                <w:color w:val="000000"/>
                <w:sz w:val="24"/>
                <w:szCs w:val="24"/>
                <w:shd w:val="clear" w:color="auto" w:fill="FFFFFF"/>
              </w:rPr>
              <w:t xml:space="preserve">saskaņā </w:t>
            </w:r>
            <w:r w:rsidR="00694200" w:rsidRPr="00500B0B">
              <w:rPr>
                <w:rFonts w:ascii="Times New Roman" w:hAnsi="Times New Roman" w:cs="Times New Roman"/>
                <w:color w:val="000000"/>
                <w:sz w:val="24"/>
                <w:szCs w:val="24"/>
                <w:shd w:val="clear" w:color="auto" w:fill="FFFFFF"/>
              </w:rPr>
              <w:t xml:space="preserve">ar </w:t>
            </w:r>
            <w:r w:rsidR="007F3F43">
              <w:rPr>
                <w:rFonts w:ascii="Times New Roman" w:hAnsi="Times New Roman" w:cs="Times New Roman"/>
                <w:color w:val="000000"/>
                <w:sz w:val="24"/>
                <w:szCs w:val="24"/>
                <w:shd w:val="clear" w:color="auto" w:fill="FFFFFF"/>
              </w:rPr>
              <w:t>R</w:t>
            </w:r>
            <w:r w:rsidR="00694200" w:rsidRPr="00500B0B">
              <w:rPr>
                <w:rFonts w:ascii="Times New Roman" w:hAnsi="Times New Roman" w:cs="Times New Roman"/>
                <w:color w:val="000000"/>
                <w:sz w:val="24"/>
                <w:szCs w:val="24"/>
                <w:shd w:val="clear" w:color="auto" w:fill="FFFFFF"/>
              </w:rPr>
              <w:t>egulu Nr.</w:t>
            </w:r>
            <w:r w:rsidR="007F3F43">
              <w:rPr>
                <w:rFonts w:ascii="Times New Roman" w:hAnsi="Times New Roman" w:cs="Times New Roman"/>
                <w:color w:val="000000"/>
                <w:sz w:val="24"/>
                <w:szCs w:val="24"/>
                <w:shd w:val="clear" w:color="auto" w:fill="FFFFFF"/>
              </w:rPr>
              <w:t xml:space="preserve"> </w:t>
            </w:r>
            <w:r w:rsidR="00694200" w:rsidRPr="00500B0B">
              <w:rPr>
                <w:rFonts w:ascii="Times New Roman" w:hAnsi="Times New Roman" w:cs="Times New Roman"/>
                <w:color w:val="000000"/>
                <w:sz w:val="24"/>
                <w:szCs w:val="24"/>
                <w:shd w:val="clear" w:color="auto" w:fill="FFFFFF"/>
              </w:rPr>
              <w:t xml:space="preserve">1407/2013 tādām darbībām, kas saistītas ar eksportu uz trešajām valstīm vai dalībvalstīm. Lauku atbalsta dienests vērtēs katra atsevišķa projekta atbilstību šim </w:t>
            </w:r>
            <w:r w:rsidR="007F3F43">
              <w:rPr>
                <w:rFonts w:ascii="Times New Roman" w:hAnsi="Times New Roman" w:cs="Times New Roman"/>
                <w:color w:val="000000"/>
                <w:sz w:val="24"/>
                <w:szCs w:val="24"/>
                <w:shd w:val="clear" w:color="auto" w:fill="FFFFFF"/>
              </w:rPr>
              <w:t>R</w:t>
            </w:r>
            <w:r w:rsidR="00694200" w:rsidRPr="00500B0B">
              <w:rPr>
                <w:rFonts w:ascii="Times New Roman" w:hAnsi="Times New Roman" w:cs="Times New Roman"/>
                <w:color w:val="000000"/>
                <w:sz w:val="24"/>
                <w:szCs w:val="24"/>
                <w:shd w:val="clear" w:color="auto" w:fill="FFFFFF"/>
              </w:rPr>
              <w:t>egulas Nr.</w:t>
            </w:r>
            <w:r w:rsidR="007F3F43">
              <w:rPr>
                <w:rFonts w:ascii="Times New Roman" w:hAnsi="Times New Roman" w:cs="Times New Roman"/>
                <w:color w:val="000000"/>
                <w:sz w:val="24"/>
                <w:szCs w:val="24"/>
                <w:shd w:val="clear" w:color="auto" w:fill="FFFFFF"/>
              </w:rPr>
              <w:t> </w:t>
            </w:r>
            <w:r w:rsidR="00694200" w:rsidRPr="00500B0B">
              <w:rPr>
                <w:rFonts w:ascii="Times New Roman" w:hAnsi="Times New Roman" w:cs="Times New Roman"/>
                <w:color w:val="000000"/>
                <w:sz w:val="24"/>
                <w:szCs w:val="24"/>
                <w:shd w:val="clear" w:color="auto" w:fill="FFFFFF"/>
              </w:rPr>
              <w:t>1407/2013 nosacījumam</w:t>
            </w:r>
            <w:r w:rsidR="00C91A44" w:rsidRPr="00500B0B">
              <w:rPr>
                <w:rFonts w:ascii="Times New Roman" w:hAnsi="Times New Roman" w:cs="Times New Roman"/>
                <w:color w:val="000000"/>
                <w:sz w:val="24"/>
                <w:szCs w:val="24"/>
                <w:shd w:val="clear" w:color="auto" w:fill="FFFFFF"/>
              </w:rPr>
              <w:t>.</w:t>
            </w:r>
          </w:p>
          <w:p w14:paraId="67EDE7CD" w14:textId="590E0272" w:rsidR="00D207ED" w:rsidRPr="00D207ED" w:rsidRDefault="00AB2D6E" w:rsidP="00AB2D6E">
            <w:pPr>
              <w:spacing w:after="0" w:line="240" w:lineRule="auto"/>
              <w:ind w:left="396"/>
              <w:jc w:val="both"/>
              <w:rPr>
                <w:rFonts w:ascii="Times New Roman" w:hAnsi="Times New Roman" w:cs="Times New Roman"/>
                <w:color w:val="000000"/>
                <w:sz w:val="24"/>
                <w:szCs w:val="24"/>
                <w:shd w:val="clear" w:color="auto" w:fill="FFFFFF"/>
              </w:rPr>
            </w:pPr>
            <w:r w:rsidRPr="00500B0B">
              <w:rPr>
                <w:rFonts w:ascii="Times New Roman" w:eastAsia="Calibri" w:hAnsi="Times New Roman" w:cs="Times New Roman"/>
                <w:sz w:val="24"/>
                <w:szCs w:val="24"/>
                <w:lang w:eastAsia="lv-LV"/>
              </w:rPr>
              <w:t xml:space="preserve">Lauku atbalsta dienests vērtēs arī katra atsevišķa projekta, tā īstenoto aktivitāšu un attiecināmo izmaksu demarkāciju, lai izvairītos no </w:t>
            </w:r>
            <w:r w:rsidR="00D207ED" w:rsidRPr="00500B0B">
              <w:rPr>
                <w:rFonts w:ascii="Times New Roman" w:eastAsia="Calibri" w:hAnsi="Times New Roman" w:cs="Times New Roman"/>
                <w:sz w:val="24"/>
                <w:szCs w:val="24"/>
                <w:lang w:eastAsia="lv-LV"/>
              </w:rPr>
              <w:t>darbību pārklāšan</w:t>
            </w:r>
            <w:r w:rsidR="00161EE0" w:rsidRPr="00500B0B">
              <w:rPr>
                <w:rFonts w:ascii="Times New Roman" w:eastAsia="Calibri" w:hAnsi="Times New Roman" w:cs="Times New Roman"/>
                <w:sz w:val="24"/>
                <w:szCs w:val="24"/>
                <w:lang w:eastAsia="lv-LV"/>
              </w:rPr>
              <w:t>ā</w:t>
            </w:r>
            <w:r w:rsidR="00D207ED" w:rsidRPr="00500B0B">
              <w:rPr>
                <w:rFonts w:ascii="Times New Roman" w:eastAsia="Calibri" w:hAnsi="Times New Roman" w:cs="Times New Roman"/>
                <w:sz w:val="24"/>
                <w:szCs w:val="24"/>
                <w:lang w:eastAsia="lv-LV"/>
              </w:rPr>
              <w:t>s</w:t>
            </w:r>
            <w:r w:rsidR="00161EE0" w:rsidRPr="00500B0B">
              <w:rPr>
                <w:rFonts w:ascii="Times New Roman" w:eastAsia="Calibri" w:hAnsi="Times New Roman" w:cs="Times New Roman"/>
                <w:sz w:val="24"/>
                <w:szCs w:val="24"/>
                <w:lang w:eastAsia="lv-LV"/>
              </w:rPr>
              <w:t xml:space="preserve"> un </w:t>
            </w:r>
            <w:r w:rsidR="00D207ED" w:rsidRPr="00500B0B">
              <w:rPr>
                <w:rFonts w:ascii="Times New Roman" w:eastAsia="Calibri" w:hAnsi="Times New Roman" w:cs="Times New Roman"/>
                <w:sz w:val="24"/>
                <w:szCs w:val="24"/>
                <w:lang w:eastAsia="lv-LV"/>
              </w:rPr>
              <w:t>nodrošin</w:t>
            </w:r>
            <w:r w:rsidR="00161EE0" w:rsidRPr="00500B0B">
              <w:rPr>
                <w:rFonts w:ascii="Times New Roman" w:eastAsia="Calibri" w:hAnsi="Times New Roman" w:cs="Times New Roman"/>
                <w:sz w:val="24"/>
                <w:szCs w:val="24"/>
                <w:lang w:eastAsia="lv-LV"/>
              </w:rPr>
              <w:t>ātu</w:t>
            </w:r>
            <w:r w:rsidR="00D207ED" w:rsidRPr="00500B0B">
              <w:rPr>
                <w:rFonts w:ascii="Times New Roman" w:eastAsia="Calibri" w:hAnsi="Times New Roman" w:cs="Times New Roman"/>
                <w:sz w:val="24"/>
                <w:szCs w:val="24"/>
                <w:lang w:eastAsia="lv-LV"/>
              </w:rPr>
              <w:t xml:space="preserve"> atbalstāmo nozaru, jomu</w:t>
            </w:r>
            <w:r w:rsidR="007F3F43">
              <w:rPr>
                <w:rFonts w:ascii="Times New Roman" w:eastAsia="Calibri" w:hAnsi="Times New Roman" w:cs="Times New Roman"/>
                <w:sz w:val="24"/>
                <w:szCs w:val="24"/>
                <w:lang w:eastAsia="lv-LV"/>
              </w:rPr>
              <w:t xml:space="preserve"> un</w:t>
            </w:r>
            <w:r w:rsidR="00D207ED" w:rsidRPr="00500B0B">
              <w:rPr>
                <w:rFonts w:ascii="Times New Roman" w:eastAsia="Calibri" w:hAnsi="Times New Roman" w:cs="Times New Roman"/>
                <w:sz w:val="24"/>
                <w:szCs w:val="24"/>
                <w:lang w:eastAsia="lv-LV"/>
              </w:rPr>
              <w:t xml:space="preserve"> mērķa grupu demarkācij</w:t>
            </w:r>
            <w:r w:rsidR="00161EE0" w:rsidRPr="00500B0B">
              <w:rPr>
                <w:rFonts w:ascii="Times New Roman" w:eastAsia="Calibri" w:hAnsi="Times New Roman" w:cs="Times New Roman"/>
                <w:sz w:val="24"/>
                <w:szCs w:val="24"/>
                <w:lang w:eastAsia="lv-LV"/>
              </w:rPr>
              <w:t>u</w:t>
            </w:r>
            <w:r w:rsidR="00D207ED" w:rsidRPr="00500B0B">
              <w:rPr>
                <w:rFonts w:ascii="Times New Roman" w:eastAsia="Calibri" w:hAnsi="Times New Roman" w:cs="Times New Roman"/>
                <w:sz w:val="24"/>
                <w:szCs w:val="24"/>
                <w:lang w:eastAsia="lv-LV"/>
              </w:rPr>
              <w:t xml:space="preserve">. </w:t>
            </w:r>
            <w:r w:rsidR="00161EE0" w:rsidRPr="00500B0B">
              <w:rPr>
                <w:rFonts w:ascii="Times New Roman" w:eastAsia="Calibri" w:hAnsi="Times New Roman" w:cs="Times New Roman"/>
                <w:sz w:val="24"/>
                <w:szCs w:val="24"/>
                <w:lang w:eastAsia="lv-LV"/>
              </w:rPr>
              <w:t>Taču</w:t>
            </w:r>
            <w:r w:rsidR="00D207ED" w:rsidRPr="00500B0B">
              <w:rPr>
                <w:rFonts w:ascii="Times New Roman" w:eastAsia="Calibri" w:hAnsi="Times New Roman" w:cs="Times New Roman"/>
                <w:sz w:val="24"/>
                <w:szCs w:val="24"/>
                <w:lang w:eastAsia="lv-LV"/>
              </w:rPr>
              <w:t xml:space="preserve">, </w:t>
            </w:r>
            <w:r w:rsidR="007F3F43">
              <w:rPr>
                <w:rFonts w:ascii="Times New Roman" w:hAnsi="Times New Roman"/>
                <w:sz w:val="24"/>
                <w:szCs w:val="24"/>
              </w:rPr>
              <w:t xml:space="preserve">tā </w:t>
            </w:r>
            <w:r w:rsidR="00500B0B">
              <w:rPr>
                <w:rFonts w:ascii="Times New Roman" w:hAnsi="Times New Roman"/>
                <w:sz w:val="24"/>
                <w:szCs w:val="24"/>
              </w:rPr>
              <w:t>kā</w:t>
            </w:r>
            <w:r w:rsidR="007F3F43">
              <w:rPr>
                <w:rFonts w:ascii="Times New Roman" w:hAnsi="Times New Roman"/>
                <w:sz w:val="24"/>
                <w:szCs w:val="24"/>
              </w:rPr>
              <w:t>, īstenojot</w:t>
            </w:r>
            <w:r w:rsidR="00500B0B">
              <w:rPr>
                <w:rFonts w:ascii="Times New Roman" w:hAnsi="Times New Roman"/>
                <w:sz w:val="24"/>
                <w:szCs w:val="24"/>
              </w:rPr>
              <w:t xml:space="preserve"> dažu</w:t>
            </w:r>
            <w:r w:rsidR="007F3F43">
              <w:rPr>
                <w:rFonts w:ascii="Times New Roman" w:hAnsi="Times New Roman"/>
                <w:sz w:val="24"/>
                <w:szCs w:val="24"/>
              </w:rPr>
              <w:t>s</w:t>
            </w:r>
            <w:r w:rsidR="00500B0B">
              <w:rPr>
                <w:rFonts w:ascii="Times New Roman" w:hAnsi="Times New Roman"/>
                <w:sz w:val="24"/>
                <w:szCs w:val="24"/>
              </w:rPr>
              <w:t xml:space="preserve"> specifisko</w:t>
            </w:r>
            <w:r w:rsidR="007F3F43">
              <w:rPr>
                <w:rFonts w:ascii="Times New Roman" w:hAnsi="Times New Roman"/>
                <w:sz w:val="24"/>
                <w:szCs w:val="24"/>
              </w:rPr>
              <w:t>s</w:t>
            </w:r>
            <w:r w:rsidR="00500B0B">
              <w:rPr>
                <w:rFonts w:ascii="Times New Roman" w:hAnsi="Times New Roman"/>
                <w:sz w:val="24"/>
                <w:szCs w:val="24"/>
              </w:rPr>
              <w:t xml:space="preserve"> atbalsta mērķ</w:t>
            </w:r>
            <w:r w:rsidR="007F3F43">
              <w:rPr>
                <w:rFonts w:ascii="Times New Roman" w:hAnsi="Times New Roman"/>
                <w:sz w:val="24"/>
                <w:szCs w:val="24"/>
              </w:rPr>
              <w:t>u</w:t>
            </w:r>
            <w:r w:rsidR="00500B0B" w:rsidRPr="00FC3FE5">
              <w:rPr>
                <w:rFonts w:ascii="Times New Roman" w:hAnsi="Times New Roman"/>
                <w:sz w:val="24"/>
                <w:szCs w:val="24"/>
              </w:rPr>
              <w:t>s</w:t>
            </w:r>
            <w:r w:rsidR="007F3F43">
              <w:rPr>
                <w:rFonts w:ascii="Times New Roman" w:hAnsi="Times New Roman"/>
                <w:sz w:val="24"/>
                <w:szCs w:val="24"/>
              </w:rPr>
              <w:t>,</w:t>
            </w:r>
            <w:r w:rsidR="00500B0B" w:rsidRPr="00FC3FE5">
              <w:rPr>
                <w:rFonts w:ascii="Times New Roman" w:hAnsi="Times New Roman"/>
                <w:sz w:val="24"/>
                <w:szCs w:val="24"/>
              </w:rPr>
              <w:t xml:space="preserve"> ir iespējam</w:t>
            </w:r>
            <w:r w:rsidR="007F3F43">
              <w:rPr>
                <w:rFonts w:ascii="Times New Roman" w:hAnsi="Times New Roman"/>
                <w:sz w:val="24"/>
                <w:szCs w:val="24"/>
              </w:rPr>
              <w:t>as</w:t>
            </w:r>
            <w:r w:rsidR="00500B0B" w:rsidRPr="00FC3FE5">
              <w:rPr>
                <w:rFonts w:ascii="Times New Roman" w:hAnsi="Times New Roman"/>
                <w:sz w:val="24"/>
                <w:szCs w:val="24"/>
              </w:rPr>
              <w:t xml:space="preserve"> līdzīgas aktivitātes</w:t>
            </w:r>
            <w:r w:rsidR="00500B0B">
              <w:rPr>
                <w:rFonts w:ascii="Times New Roman" w:hAnsi="Times New Roman"/>
                <w:sz w:val="24"/>
                <w:szCs w:val="24"/>
              </w:rPr>
              <w:t>,</w:t>
            </w:r>
            <w:r w:rsidR="00500B0B" w:rsidRPr="00500B0B">
              <w:rPr>
                <w:rFonts w:ascii="Times New Roman" w:eastAsia="Calibri" w:hAnsi="Times New Roman" w:cs="Times New Roman"/>
                <w:sz w:val="24"/>
                <w:szCs w:val="24"/>
                <w:lang w:eastAsia="lv-LV"/>
              </w:rPr>
              <w:t xml:space="preserve"> </w:t>
            </w:r>
            <w:r w:rsidR="00D207ED" w:rsidRPr="00500B0B">
              <w:rPr>
                <w:rFonts w:ascii="Times New Roman" w:eastAsia="Calibri" w:hAnsi="Times New Roman" w:cs="Times New Roman"/>
                <w:sz w:val="24"/>
                <w:szCs w:val="24"/>
                <w:lang w:eastAsia="lv-LV"/>
              </w:rPr>
              <w:t xml:space="preserve">piemēram, </w:t>
            </w:r>
            <w:r w:rsidR="007F3F43">
              <w:rPr>
                <w:rFonts w:ascii="Times New Roman" w:eastAsia="Calibri" w:hAnsi="Times New Roman" w:cs="Times New Roman"/>
                <w:sz w:val="24"/>
                <w:szCs w:val="24"/>
                <w:lang w:eastAsia="lv-LV"/>
              </w:rPr>
              <w:t>d</w:t>
            </w:r>
            <w:r w:rsidR="00D207ED" w:rsidRPr="00500B0B">
              <w:rPr>
                <w:rFonts w:ascii="Times New Roman" w:eastAsia="Calibri" w:hAnsi="Times New Roman" w:cs="Times New Roman"/>
                <w:sz w:val="24"/>
                <w:szCs w:val="24"/>
                <w:lang w:eastAsia="lv-LV"/>
              </w:rPr>
              <w:t xml:space="preserve">arbības programmas </w:t>
            </w:r>
            <w:r w:rsidR="007F3F43">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 xml:space="preserve">Izaugsme un nodarbinātība” (turpmāk – DP) 1.2.2. specifiskā atbalsta mērķa </w:t>
            </w:r>
            <w:r w:rsidR="007F3F43">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 xml:space="preserve">Veicināt inovāciju ieviešanu komersantos” 1.2.2.1. pasākumā </w:t>
            </w:r>
            <w:r w:rsidR="007F3F43">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Atbalsts nodarbināto apmācībām”</w:t>
            </w:r>
            <w:r w:rsidR="007F3F43">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 xml:space="preserve"> </w:t>
            </w:r>
            <w:r w:rsidR="00500B0B">
              <w:rPr>
                <w:rFonts w:ascii="Times New Roman" w:eastAsia="Calibri" w:hAnsi="Times New Roman" w:cs="Times New Roman"/>
                <w:sz w:val="24"/>
                <w:szCs w:val="24"/>
                <w:lang w:eastAsia="lv-LV"/>
              </w:rPr>
              <w:t xml:space="preserve">tika secināts, ka </w:t>
            </w:r>
            <w:r w:rsidR="00D207ED" w:rsidRPr="00500B0B">
              <w:rPr>
                <w:rFonts w:ascii="Times New Roman" w:eastAsia="Calibri" w:hAnsi="Times New Roman" w:cs="Times New Roman"/>
                <w:sz w:val="24"/>
                <w:szCs w:val="24"/>
                <w:lang w:eastAsia="lv-LV"/>
              </w:rPr>
              <w:t xml:space="preserve">finansējums tiek paredzēts nodarbināto mācībām rūpniecības apakšnozarē, informācijas un komunikācijas tehnoloģiju nozarē vai izmitināšanas un ēdināšanas pakalpojumu nozarē, bet lauksaimniecības un mežsaimniecības kooperatīvās sabiedrības attiecīgajās nozarēs nedarbojas. Tāpat DP 8.4.1. specifiskā atbalsta mērķa pasākuma “Pilnveidot nodarbināto personu profesionālo kompetenci” mērķgrupa (labuma guvēji) ir </w:t>
            </w:r>
            <w:r w:rsidR="00D207ED" w:rsidRPr="00500B0B">
              <w:rPr>
                <w:rFonts w:ascii="Times New Roman" w:eastAsia="Calibri" w:hAnsi="Times New Roman" w:cs="Times New Roman"/>
                <w:sz w:val="24"/>
                <w:szCs w:val="24"/>
                <w:lang w:eastAsia="lv-LV"/>
              </w:rPr>
              <w:lastRenderedPageBreak/>
              <w:t>bezdarba un sociālās atstumtības riskam pakļautie iedzīvotāji (t</w:t>
            </w:r>
            <w:r w:rsidR="007F3F43">
              <w:rPr>
                <w:rFonts w:ascii="Times New Roman" w:eastAsia="Calibri" w:hAnsi="Times New Roman" w:cs="Times New Roman"/>
                <w:sz w:val="24"/>
                <w:szCs w:val="24"/>
                <w:lang w:eastAsia="lv-LV"/>
              </w:rPr>
              <w:t>ostarp</w:t>
            </w:r>
            <w:r w:rsidR="00D207ED" w:rsidRPr="00500B0B">
              <w:rPr>
                <w:rFonts w:ascii="Times New Roman" w:eastAsia="Calibri" w:hAnsi="Times New Roman" w:cs="Times New Roman"/>
                <w:sz w:val="24"/>
                <w:szCs w:val="24"/>
                <w:lang w:eastAsia="lv-LV"/>
              </w:rPr>
              <w:t xml:space="preserve"> personas ar invaliditāti, trūcīgas personas, personas vecumā virs 45 gadiem, personas ar zemām prasmēm u</w:t>
            </w:r>
            <w:r w:rsidR="007F3F43">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 xml:space="preserve">tml.), bet noteikumu projektā paredzēts, ka </w:t>
            </w:r>
            <w:r w:rsidR="00161EE0" w:rsidRPr="00500B0B">
              <w:rPr>
                <w:rFonts w:ascii="Times New Roman" w:eastAsia="Calibri" w:hAnsi="Times New Roman" w:cs="Times New Roman"/>
                <w:sz w:val="24"/>
                <w:szCs w:val="24"/>
                <w:lang w:eastAsia="lv-LV"/>
              </w:rPr>
              <w:t>mērķgrupa</w:t>
            </w:r>
            <w:r w:rsidR="00500B0B">
              <w:rPr>
                <w:rFonts w:ascii="Times New Roman" w:eastAsia="Calibri" w:hAnsi="Times New Roman" w:cs="Times New Roman"/>
                <w:sz w:val="24"/>
                <w:szCs w:val="24"/>
                <w:lang w:eastAsia="lv-LV"/>
              </w:rPr>
              <w:t>, īstenojot kvalitatīvo attīstības kritēriju attiecībā uz kooperatīvo sabiedrību biedru, darbinieku un vadītāju apmācīb</w:t>
            </w:r>
            <w:r w:rsidR="007F3F43">
              <w:rPr>
                <w:rFonts w:ascii="Times New Roman" w:eastAsia="Calibri" w:hAnsi="Times New Roman" w:cs="Times New Roman"/>
                <w:sz w:val="24"/>
                <w:szCs w:val="24"/>
                <w:lang w:eastAsia="lv-LV"/>
              </w:rPr>
              <w:t>u</w:t>
            </w:r>
            <w:r w:rsidR="0037293D">
              <w:rPr>
                <w:rFonts w:ascii="Times New Roman" w:eastAsia="Calibri" w:hAnsi="Times New Roman" w:cs="Times New Roman"/>
                <w:sz w:val="24"/>
                <w:szCs w:val="24"/>
                <w:lang w:eastAsia="lv-LV"/>
              </w:rPr>
              <w:t>,</w:t>
            </w:r>
            <w:r w:rsidR="00D207ED" w:rsidRPr="00500B0B">
              <w:rPr>
                <w:rFonts w:ascii="Times New Roman" w:eastAsia="Calibri" w:hAnsi="Times New Roman" w:cs="Times New Roman"/>
                <w:sz w:val="24"/>
                <w:szCs w:val="24"/>
                <w:lang w:eastAsia="lv-LV"/>
              </w:rPr>
              <w:t xml:space="preserve"> ir lauksaimniecības un mežsaimniecības kooperatīvos strādājošie</w:t>
            </w:r>
            <w:r w:rsidR="0037293D">
              <w:rPr>
                <w:rFonts w:ascii="Times New Roman" w:eastAsia="Calibri" w:hAnsi="Times New Roman" w:cs="Times New Roman"/>
                <w:sz w:val="24"/>
                <w:szCs w:val="24"/>
                <w:lang w:eastAsia="lv-LV"/>
              </w:rPr>
              <w:t xml:space="preserve"> un vadītāji</w:t>
            </w:r>
            <w:r w:rsidR="00D207ED" w:rsidRPr="00500B0B">
              <w:rPr>
                <w:rFonts w:ascii="Times New Roman" w:eastAsia="Calibri" w:hAnsi="Times New Roman" w:cs="Times New Roman"/>
                <w:sz w:val="24"/>
                <w:szCs w:val="24"/>
                <w:lang w:eastAsia="lv-LV"/>
              </w:rPr>
              <w:t>, šo kooperatīvu biedri – lauksaimniecības un mežsaimniecības nozarē iesaistītās juridiskās un fiziskās personas.</w:t>
            </w:r>
            <w:r w:rsidR="00D207ED" w:rsidRPr="00D207ED">
              <w:rPr>
                <w:rFonts w:ascii="Times New Roman" w:eastAsia="Calibri" w:hAnsi="Times New Roman" w:cs="Times New Roman"/>
                <w:sz w:val="24"/>
                <w:szCs w:val="24"/>
                <w:lang w:eastAsia="lv-LV"/>
              </w:rPr>
              <w:t xml:space="preserve"> </w:t>
            </w:r>
          </w:p>
          <w:p w14:paraId="257380E9" w14:textId="37EC4534" w:rsidR="008C2713" w:rsidRPr="00D531C7" w:rsidRDefault="005A03F2" w:rsidP="001064BB">
            <w:pPr>
              <w:tabs>
                <w:tab w:val="left" w:pos="7155"/>
              </w:tabs>
              <w:suppressAutoHyphens/>
              <w:spacing w:after="0" w:line="240" w:lineRule="auto"/>
              <w:ind w:left="397"/>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A</w:t>
            </w:r>
            <w:r w:rsidR="008C2713" w:rsidRPr="00D531C7">
              <w:rPr>
                <w:rFonts w:ascii="Times New Roman" w:eastAsia="Times New Roman" w:hAnsi="Times New Roman" w:cs="Times New Roman"/>
                <w:kern w:val="1"/>
                <w:sz w:val="24"/>
                <w:szCs w:val="24"/>
                <w:lang w:eastAsia="ar-SA"/>
              </w:rPr>
              <w:t>tbilstīgās kooperatīvās sabiedrības biznesa plāna īstenošan</w:t>
            </w:r>
            <w:r w:rsidR="007F3F43">
              <w:rPr>
                <w:rFonts w:ascii="Times New Roman" w:eastAsia="Times New Roman" w:hAnsi="Times New Roman" w:cs="Times New Roman"/>
                <w:kern w:val="1"/>
                <w:sz w:val="24"/>
                <w:szCs w:val="24"/>
                <w:lang w:eastAsia="ar-SA"/>
              </w:rPr>
              <w:t>u</w:t>
            </w:r>
            <w:r w:rsidR="008C2713" w:rsidRPr="00D531C7">
              <w:rPr>
                <w:rFonts w:ascii="Times New Roman" w:eastAsia="Times New Roman" w:hAnsi="Times New Roman" w:cs="Times New Roman"/>
                <w:kern w:val="1"/>
                <w:sz w:val="24"/>
                <w:szCs w:val="24"/>
                <w:lang w:eastAsia="ar-SA"/>
              </w:rPr>
              <w:t xml:space="preserve"> uzraudzī</w:t>
            </w:r>
            <w:r w:rsidR="007F3F43">
              <w:rPr>
                <w:rFonts w:ascii="Times New Roman" w:eastAsia="Times New Roman" w:hAnsi="Times New Roman" w:cs="Times New Roman"/>
                <w:kern w:val="1"/>
                <w:sz w:val="24"/>
                <w:szCs w:val="24"/>
                <w:lang w:eastAsia="ar-SA"/>
              </w:rPr>
              <w:t>s</w:t>
            </w:r>
            <w:r w:rsidR="008C2713" w:rsidRPr="00D531C7">
              <w:rPr>
                <w:rFonts w:ascii="Times New Roman" w:eastAsia="Times New Roman" w:hAnsi="Times New Roman" w:cs="Times New Roman"/>
                <w:kern w:val="1"/>
                <w:sz w:val="24"/>
                <w:szCs w:val="24"/>
                <w:lang w:eastAsia="ar-SA"/>
              </w:rPr>
              <w:t xml:space="preserve"> Latvijas Lauksaimniecības kooperatīvu asociācijas valde.</w:t>
            </w:r>
          </w:p>
          <w:p w14:paraId="5B252743" w14:textId="2FDE8E99" w:rsidR="008C2713" w:rsidRPr="00D531C7" w:rsidRDefault="008C2713" w:rsidP="001064BB">
            <w:pPr>
              <w:tabs>
                <w:tab w:val="left" w:pos="7155"/>
              </w:tabs>
              <w:suppressAutoHyphens/>
              <w:spacing w:after="0" w:line="240" w:lineRule="auto"/>
              <w:ind w:left="397"/>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Atbilstīg</w:t>
            </w:r>
            <w:r w:rsidR="00CE1602" w:rsidRPr="00D531C7">
              <w:rPr>
                <w:rFonts w:ascii="Times New Roman" w:eastAsia="Times New Roman" w:hAnsi="Times New Roman" w:cs="Times New Roman"/>
                <w:kern w:val="1"/>
                <w:sz w:val="24"/>
                <w:szCs w:val="24"/>
                <w:lang w:eastAsia="ar-SA"/>
              </w:rPr>
              <w:t>ā</w:t>
            </w:r>
            <w:r w:rsidRPr="00D531C7">
              <w:rPr>
                <w:rFonts w:ascii="Times New Roman" w:eastAsia="Times New Roman" w:hAnsi="Times New Roman" w:cs="Times New Roman"/>
                <w:kern w:val="1"/>
                <w:sz w:val="24"/>
                <w:szCs w:val="24"/>
                <w:lang w:eastAsia="ar-SA"/>
              </w:rPr>
              <w:t xml:space="preserve"> kooperatīv</w:t>
            </w:r>
            <w:r w:rsidR="00CE1602" w:rsidRPr="00D531C7">
              <w:rPr>
                <w:rFonts w:ascii="Times New Roman" w:eastAsia="Times New Roman" w:hAnsi="Times New Roman" w:cs="Times New Roman"/>
                <w:kern w:val="1"/>
                <w:sz w:val="24"/>
                <w:szCs w:val="24"/>
                <w:lang w:eastAsia="ar-SA"/>
              </w:rPr>
              <w:t>ā</w:t>
            </w:r>
            <w:r w:rsidRPr="00D531C7">
              <w:rPr>
                <w:rFonts w:ascii="Times New Roman" w:eastAsia="Times New Roman" w:hAnsi="Times New Roman" w:cs="Times New Roman"/>
                <w:kern w:val="1"/>
                <w:sz w:val="24"/>
                <w:szCs w:val="24"/>
                <w:lang w:eastAsia="ar-SA"/>
              </w:rPr>
              <w:t xml:space="preserve"> sabiedrība ik gadu Latvijas Lauksaimniecības kooperatīvu asociācijā apstiprina un Lauku atbalsta dienestā </w:t>
            </w:r>
            <w:r w:rsidR="00CE1602" w:rsidRPr="00D531C7">
              <w:rPr>
                <w:rFonts w:ascii="Times New Roman" w:eastAsia="Times New Roman" w:hAnsi="Times New Roman" w:cs="Times New Roman"/>
                <w:kern w:val="1"/>
                <w:sz w:val="24"/>
                <w:szCs w:val="24"/>
                <w:lang w:eastAsia="ar-SA"/>
              </w:rPr>
              <w:t>ie</w:t>
            </w:r>
            <w:r w:rsidRPr="00D531C7">
              <w:rPr>
                <w:rFonts w:ascii="Times New Roman" w:eastAsia="Times New Roman" w:hAnsi="Times New Roman" w:cs="Times New Roman"/>
                <w:kern w:val="1"/>
                <w:sz w:val="24"/>
                <w:szCs w:val="24"/>
                <w:lang w:eastAsia="ar-SA"/>
              </w:rPr>
              <w:t>sniedz starp</w:t>
            </w:r>
            <w:r w:rsidR="005A03F2" w:rsidRPr="00D531C7">
              <w:rPr>
                <w:rFonts w:ascii="Times New Roman" w:eastAsia="Times New Roman" w:hAnsi="Times New Roman" w:cs="Times New Roman"/>
                <w:kern w:val="1"/>
                <w:sz w:val="24"/>
                <w:szCs w:val="24"/>
                <w:lang w:eastAsia="ar-SA"/>
              </w:rPr>
              <w:t>pārskatu</w:t>
            </w:r>
            <w:r w:rsidRPr="00D531C7">
              <w:rPr>
                <w:rFonts w:ascii="Times New Roman" w:eastAsia="Times New Roman" w:hAnsi="Times New Roman" w:cs="Times New Roman"/>
                <w:kern w:val="1"/>
                <w:sz w:val="24"/>
                <w:szCs w:val="24"/>
                <w:lang w:eastAsia="ar-SA"/>
              </w:rPr>
              <w:t xml:space="preserve"> par biznesa plāna izpildes gaitu un saņemtā atbalsta izlietojuma progresu un 2026.</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sniedz gala </w:t>
            </w:r>
            <w:r w:rsidR="005A03F2" w:rsidRPr="00D531C7">
              <w:rPr>
                <w:rFonts w:ascii="Times New Roman" w:eastAsia="Times New Roman" w:hAnsi="Times New Roman" w:cs="Times New Roman"/>
                <w:kern w:val="1"/>
                <w:sz w:val="24"/>
                <w:szCs w:val="24"/>
                <w:lang w:eastAsia="ar-SA"/>
              </w:rPr>
              <w:t>pārskatu</w:t>
            </w:r>
            <w:r w:rsidRPr="00D531C7">
              <w:rPr>
                <w:rFonts w:ascii="Times New Roman" w:eastAsia="Times New Roman" w:hAnsi="Times New Roman" w:cs="Times New Roman"/>
                <w:kern w:val="1"/>
                <w:sz w:val="24"/>
                <w:szCs w:val="24"/>
                <w:lang w:eastAsia="ar-SA"/>
              </w:rPr>
              <w:t xml:space="preserve"> par biznesa plāna izpildi un atbalsta izlietojuma izdevumu tāmi.</w:t>
            </w:r>
          </w:p>
          <w:p w14:paraId="3B600D28" w14:textId="081148AB" w:rsidR="00CD4F3E" w:rsidRPr="00D531C7" w:rsidRDefault="00CD4F3E" w:rsidP="001064BB">
            <w:pPr>
              <w:tabs>
                <w:tab w:val="left" w:pos="7155"/>
              </w:tabs>
              <w:suppressAutoHyphens/>
              <w:spacing w:after="0" w:line="240" w:lineRule="auto"/>
              <w:ind w:left="397"/>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Ja atbilstīgā kooperatīvā sabiedrība 2025.</w:t>
            </w:r>
            <w:r w:rsidR="00CE160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gadā nesasniedz biznesa plānā iekļautos kvantitatīvos un kvalitatīvos rādītājus, Lauku atbalsta dienests veic pārrēķinu, ņemot vērā faktiski izpildītos kvantitatīvos un kvalitatīvos rādītājus, un atgūst neatbilstoši saņemto atbalsta summu.</w:t>
            </w:r>
          </w:p>
          <w:p w14:paraId="775A42F1" w14:textId="7E27B0A2" w:rsidR="008C2713" w:rsidRPr="00D531C7" w:rsidRDefault="00CD4F3E" w:rsidP="001064BB">
            <w:pPr>
              <w:tabs>
                <w:tab w:val="left" w:pos="7155"/>
              </w:tabs>
              <w:suppressAutoHyphens/>
              <w:spacing w:after="0" w:line="240" w:lineRule="auto"/>
              <w:ind w:left="397"/>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Ja atbilstīgā kooperatīvā sabiedrība kādā biznesa plāna īstenošanas gadā neiegūst atbilstības statusu, pārtrauc biznesa plāna īstenošanu vai 2025.</w:t>
            </w:r>
            <w:r w:rsidR="00CE160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gadā nav sasniegusi nevienu no biznesa plānā iekļautajiem kvantitatīviem un kvalitatīviem rādītājiem, tā atmaksā visu saņemto atbalstu.</w:t>
            </w:r>
          </w:p>
        </w:tc>
      </w:tr>
      <w:tr w:rsidR="008C2713" w:rsidRPr="00D531C7" w14:paraId="78676031" w14:textId="77777777" w:rsidTr="008C215C">
        <w:trPr>
          <w:trHeight w:val="372"/>
        </w:trPr>
        <w:tc>
          <w:tcPr>
            <w:tcW w:w="321" w:type="pct"/>
            <w:tcBorders>
              <w:top w:val="outset" w:sz="6" w:space="0" w:color="414142"/>
              <w:left w:val="outset" w:sz="6" w:space="0" w:color="414142"/>
              <w:bottom w:val="outset" w:sz="6" w:space="0" w:color="414142"/>
              <w:right w:val="outset" w:sz="6" w:space="0" w:color="414142"/>
            </w:tcBorders>
            <w:hideMark/>
          </w:tcPr>
          <w:p w14:paraId="59AB3E1B" w14:textId="77777777" w:rsidR="008C2713" w:rsidRPr="00D531C7" w:rsidRDefault="008C2713" w:rsidP="008C2713">
            <w:pPr>
              <w:suppressAutoHyphens/>
              <w:spacing w:before="100" w:beforeAutospacing="1" w:after="100" w:afterAutospacing="1" w:line="293" w:lineRule="atLeast"/>
              <w:jc w:val="center"/>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197A6FC5"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Projekta izstrādē iesaistītās institūcijas</w:t>
            </w:r>
          </w:p>
        </w:tc>
        <w:sdt>
          <w:sdtPr>
            <w:rPr>
              <w:rFonts w:ascii="Times New Roman" w:eastAsia="Times New Roman" w:hAnsi="Times New Roman" w:cs="Times New Roman"/>
              <w:kern w:val="1"/>
              <w:sz w:val="24"/>
              <w:szCs w:val="24"/>
              <w:lang w:eastAsia="lv-LV"/>
            </w:rPr>
            <w:id w:val="281316415"/>
            <w:placeholder>
              <w:docPart w:val="5A5AC52E1C9341B89952D126D1EA5B6A"/>
            </w:placeholder>
            <w:text/>
          </w:sdtPr>
          <w:sdtEndPr/>
          <w:sdtContent>
            <w:tc>
              <w:tcPr>
                <w:tcW w:w="3178" w:type="pct"/>
                <w:tcBorders>
                  <w:top w:val="outset" w:sz="6" w:space="0" w:color="414142"/>
                  <w:left w:val="outset" w:sz="6" w:space="0" w:color="414142"/>
                  <w:bottom w:val="outset" w:sz="6" w:space="0" w:color="414142"/>
                  <w:right w:val="outset" w:sz="6" w:space="0" w:color="414142"/>
                </w:tcBorders>
                <w:hideMark/>
              </w:tcPr>
              <w:p w14:paraId="091EA9DE" w14:textId="039D5C09"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 xml:space="preserve">Zemkopības ministrija, Latvijas </w:t>
                </w:r>
                <w:r w:rsidR="00D46AF5">
                  <w:rPr>
                    <w:rFonts w:ascii="Times New Roman" w:eastAsia="Times New Roman" w:hAnsi="Times New Roman" w:cs="Times New Roman"/>
                    <w:kern w:val="1"/>
                    <w:sz w:val="24"/>
                    <w:szCs w:val="24"/>
                    <w:lang w:eastAsia="lv-LV"/>
                  </w:rPr>
                  <w:t>L</w:t>
                </w:r>
                <w:r w:rsidRPr="00D531C7">
                  <w:rPr>
                    <w:rFonts w:ascii="Times New Roman" w:eastAsia="Times New Roman" w:hAnsi="Times New Roman" w:cs="Times New Roman"/>
                    <w:kern w:val="1"/>
                    <w:sz w:val="24"/>
                    <w:szCs w:val="24"/>
                    <w:lang w:eastAsia="lv-LV"/>
                  </w:rPr>
                  <w:t>auksaimniecības kooperatīvu asociācija</w:t>
                </w:r>
              </w:p>
            </w:tc>
          </w:sdtContent>
        </w:sdt>
      </w:tr>
      <w:tr w:rsidR="008C2713" w:rsidRPr="00D531C7" w14:paraId="44E372BD" w14:textId="77777777" w:rsidTr="008C215C">
        <w:tc>
          <w:tcPr>
            <w:tcW w:w="321" w:type="pct"/>
            <w:tcBorders>
              <w:top w:val="outset" w:sz="6" w:space="0" w:color="414142"/>
              <w:left w:val="outset" w:sz="6" w:space="0" w:color="414142"/>
              <w:bottom w:val="outset" w:sz="6" w:space="0" w:color="414142"/>
              <w:right w:val="outset" w:sz="6" w:space="0" w:color="414142"/>
            </w:tcBorders>
            <w:hideMark/>
          </w:tcPr>
          <w:p w14:paraId="30E240FF" w14:textId="77777777" w:rsidR="008C2713" w:rsidRPr="00D531C7" w:rsidRDefault="008C2713" w:rsidP="008C2713">
            <w:pPr>
              <w:suppressAutoHyphens/>
              <w:spacing w:before="100" w:beforeAutospacing="1" w:after="100" w:afterAutospacing="1" w:line="293" w:lineRule="atLeast"/>
              <w:jc w:val="center"/>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72E44097"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Cita informācija</w:t>
            </w:r>
          </w:p>
          <w:p w14:paraId="398EC569"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p>
        </w:tc>
        <w:sdt>
          <w:sdtPr>
            <w:rPr>
              <w:rFonts w:ascii="Times New Roman" w:eastAsia="Times New Roman" w:hAnsi="Times New Roman" w:cs="Times New Roman"/>
              <w:kern w:val="1"/>
              <w:sz w:val="24"/>
              <w:szCs w:val="24"/>
              <w:lang w:eastAsia="lv-LV"/>
            </w:rPr>
            <w:id w:val="1021208832"/>
            <w:placeholder>
              <w:docPart w:val="4D10602A713D4A75950BF4F2DCF81BE5"/>
            </w:placeholder>
            <w:text/>
          </w:sdtPr>
          <w:sdtEndPr/>
          <w:sdtContent>
            <w:tc>
              <w:tcPr>
                <w:tcW w:w="3178" w:type="pct"/>
                <w:tcBorders>
                  <w:top w:val="outset" w:sz="6" w:space="0" w:color="414142"/>
                  <w:left w:val="outset" w:sz="6" w:space="0" w:color="414142"/>
                  <w:bottom w:val="outset" w:sz="6" w:space="0" w:color="414142"/>
                  <w:right w:val="outset" w:sz="6" w:space="0" w:color="414142"/>
                </w:tcBorders>
                <w:hideMark/>
              </w:tcPr>
              <w:p w14:paraId="35381DFE"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Nav.</w:t>
                </w:r>
              </w:p>
            </w:tc>
          </w:sdtContent>
        </w:sdt>
      </w:tr>
      <w:bookmarkEnd w:id="0"/>
      <w:bookmarkEnd w:id="1"/>
      <w:bookmarkEnd w:id="2"/>
      <w:bookmarkEnd w:id="3"/>
    </w:tbl>
    <w:p w14:paraId="24A94631" w14:textId="56D13DEF" w:rsidR="008C2713" w:rsidRDefault="008C2713" w:rsidP="008C2713">
      <w:pPr>
        <w:suppressAutoHyphens/>
        <w:spacing w:after="0" w:line="240" w:lineRule="auto"/>
        <w:rPr>
          <w:rFonts w:ascii="Times New Roman" w:eastAsia="Times New Roman" w:hAnsi="Times New Roman" w:cs="Times New Roman"/>
          <w:kern w:val="1"/>
          <w:sz w:val="24"/>
          <w:szCs w:val="24"/>
          <w:lang w:eastAsia="ar-S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5"/>
        <w:gridCol w:w="696"/>
        <w:gridCol w:w="2530"/>
        <w:gridCol w:w="5944"/>
        <w:gridCol w:w="151"/>
      </w:tblGrid>
      <w:tr w:rsidR="006003A3" w:rsidRPr="00180784" w14:paraId="00D65FF6" w14:textId="77777777" w:rsidTr="006003A3">
        <w:trPr>
          <w:gridBefore w:val="1"/>
          <w:wBefore w:w="35" w:type="dxa"/>
        </w:trPr>
        <w:tc>
          <w:tcPr>
            <w:tcW w:w="9321" w:type="dxa"/>
            <w:gridSpan w:val="4"/>
            <w:tcBorders>
              <w:top w:val="single" w:sz="4" w:space="0" w:color="auto"/>
              <w:left w:val="single" w:sz="4" w:space="0" w:color="auto"/>
              <w:bottom w:val="single" w:sz="4" w:space="0" w:color="auto"/>
              <w:right w:val="single" w:sz="4" w:space="0" w:color="auto"/>
            </w:tcBorders>
          </w:tcPr>
          <w:p w14:paraId="433FC787" w14:textId="77777777" w:rsidR="006003A3" w:rsidRPr="006003A3" w:rsidRDefault="006003A3" w:rsidP="006003A3">
            <w:pPr>
              <w:suppressAutoHyphens/>
              <w:snapToGrid w:val="0"/>
              <w:spacing w:after="0" w:line="240" w:lineRule="auto"/>
              <w:ind w:left="222"/>
              <w:jc w:val="center"/>
              <w:rPr>
                <w:rFonts w:ascii="Times New Roman" w:eastAsia="Times New Roman" w:hAnsi="Times New Roman" w:cs="Times New Roman"/>
                <w:b/>
                <w:sz w:val="24"/>
                <w:szCs w:val="24"/>
                <w:lang w:eastAsia="lv-LV"/>
              </w:rPr>
            </w:pPr>
            <w:r w:rsidRPr="006003A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CE7087" w:rsidRPr="00180784" w14:paraId="358527CA" w14:textId="77777777" w:rsidTr="006003A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51" w:type="dxa"/>
          <w:tblCellSpacing w:w="15" w:type="dxa"/>
        </w:trPr>
        <w:tc>
          <w:tcPr>
            <w:tcW w:w="731" w:type="dxa"/>
            <w:gridSpan w:val="2"/>
            <w:tcBorders>
              <w:top w:val="outset" w:sz="6" w:space="0" w:color="auto"/>
              <w:left w:val="outset" w:sz="6" w:space="0" w:color="auto"/>
              <w:bottom w:val="outset" w:sz="6" w:space="0" w:color="auto"/>
              <w:right w:val="outset" w:sz="6" w:space="0" w:color="auto"/>
            </w:tcBorders>
            <w:hideMark/>
          </w:tcPr>
          <w:p w14:paraId="3B2C12A5"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1.</w:t>
            </w:r>
          </w:p>
        </w:tc>
        <w:tc>
          <w:tcPr>
            <w:tcW w:w="2530" w:type="dxa"/>
            <w:tcBorders>
              <w:top w:val="outset" w:sz="6" w:space="0" w:color="auto"/>
              <w:left w:val="outset" w:sz="6" w:space="0" w:color="auto"/>
              <w:bottom w:val="outset" w:sz="6" w:space="0" w:color="auto"/>
              <w:right w:val="outset" w:sz="6" w:space="0" w:color="auto"/>
            </w:tcBorders>
            <w:hideMark/>
          </w:tcPr>
          <w:p w14:paraId="24D41937"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Sabiedrības mērķgrupas, kuras tiesiskais regulējums ietekmē vai varētu ietekmēt</w:t>
            </w:r>
          </w:p>
        </w:tc>
        <w:tc>
          <w:tcPr>
            <w:tcW w:w="5944" w:type="dxa"/>
            <w:tcBorders>
              <w:top w:val="outset" w:sz="6" w:space="0" w:color="auto"/>
              <w:left w:val="outset" w:sz="6" w:space="0" w:color="auto"/>
              <w:bottom w:val="outset" w:sz="6" w:space="0" w:color="auto"/>
              <w:right w:val="outset" w:sz="6" w:space="0" w:color="auto"/>
            </w:tcBorders>
            <w:hideMark/>
          </w:tcPr>
          <w:p w14:paraId="4403E484" w14:textId="081EABCD" w:rsidR="00CE7087" w:rsidRDefault="00CE7087" w:rsidP="00CE7087">
            <w:pPr>
              <w:spacing w:after="0" w:line="240" w:lineRule="auto"/>
              <w:jc w:val="both"/>
              <w:rPr>
                <w:rFonts w:asciiTheme="majorBidi" w:hAnsiTheme="majorBidi" w:cstheme="majorBidi"/>
                <w:sz w:val="24"/>
                <w:szCs w:val="24"/>
                <w:lang w:eastAsia="lv-LV" w:bidi="he-IL"/>
              </w:rPr>
            </w:pPr>
            <w:r w:rsidRPr="00180784">
              <w:rPr>
                <w:rFonts w:asciiTheme="majorBidi" w:hAnsiTheme="majorBidi" w:cstheme="majorBidi"/>
                <w:sz w:val="24"/>
                <w:szCs w:val="24"/>
                <w:lang w:eastAsia="lv-LV" w:bidi="he-IL"/>
              </w:rPr>
              <w:t xml:space="preserve">Noteikumu projektā ietvertais tiesiskais regulējums ietekmēs </w:t>
            </w:r>
            <w:r w:rsidRPr="00D531C7">
              <w:rPr>
                <w:rFonts w:ascii="Times New Roman" w:eastAsia="Times New Roman" w:hAnsi="Times New Roman" w:cs="Times New Roman"/>
                <w:kern w:val="1"/>
                <w:sz w:val="24"/>
                <w:szCs w:val="24"/>
                <w:lang w:eastAsia="ar-SA"/>
              </w:rPr>
              <w:t>atbilstīgas kooperatīvās sabiedrības</w:t>
            </w:r>
            <w:r w:rsidRPr="00180784">
              <w:rPr>
                <w:rFonts w:asciiTheme="majorBidi" w:hAnsiTheme="majorBidi" w:cstheme="majorBidi"/>
                <w:sz w:val="24"/>
                <w:szCs w:val="24"/>
                <w:lang w:eastAsia="lv-LV" w:bidi="he-IL"/>
              </w:rPr>
              <w:t>, kuras iesaistītas lauksaimniecības</w:t>
            </w:r>
            <w:r>
              <w:rPr>
                <w:rFonts w:asciiTheme="majorBidi" w:hAnsiTheme="majorBidi" w:cstheme="majorBidi"/>
                <w:sz w:val="24"/>
                <w:szCs w:val="24"/>
                <w:lang w:eastAsia="lv-LV" w:bidi="he-IL"/>
              </w:rPr>
              <w:t>, mājražošanas</w:t>
            </w:r>
            <w:r w:rsidRPr="00180784">
              <w:rPr>
                <w:rFonts w:asciiTheme="majorBidi" w:hAnsiTheme="majorBidi" w:cstheme="majorBidi"/>
                <w:sz w:val="24"/>
                <w:szCs w:val="24"/>
                <w:lang w:eastAsia="lv-LV" w:bidi="he-IL"/>
              </w:rPr>
              <w:t xml:space="preserve"> vai mežsaimniecības nozarē</w:t>
            </w:r>
            <w:r>
              <w:rPr>
                <w:rFonts w:asciiTheme="majorBidi" w:hAnsiTheme="majorBidi" w:cstheme="majorBidi"/>
                <w:sz w:val="24"/>
                <w:szCs w:val="24"/>
                <w:lang w:eastAsia="lv-LV" w:bidi="he-IL"/>
              </w:rPr>
              <w:t xml:space="preserve"> un</w:t>
            </w:r>
            <w:r w:rsidRPr="00180784">
              <w:rPr>
                <w:rFonts w:asciiTheme="majorBidi" w:hAnsiTheme="majorBidi" w:cstheme="majorBidi"/>
                <w:sz w:val="24"/>
                <w:szCs w:val="24"/>
                <w:lang w:eastAsia="lv-LV" w:bidi="he-IL"/>
              </w:rPr>
              <w:t xml:space="preserve"> kas atbilst atbalsta saņemšanas nosacījumiem</w:t>
            </w:r>
            <w:r>
              <w:rPr>
                <w:rFonts w:asciiTheme="majorBidi" w:hAnsiTheme="majorBidi" w:cstheme="majorBidi"/>
                <w:sz w:val="24"/>
                <w:szCs w:val="24"/>
                <w:lang w:eastAsia="lv-LV" w:bidi="he-IL"/>
              </w:rPr>
              <w:t xml:space="preserve">, šo atbilstīgo kooperatīvo sabiedrību biedrus, Latvijas Lauksaimniecības kooperatīvu asociāciju un arī Lauku atbalsta dienestu kā pasākuma administrējošo iestādi. </w:t>
            </w:r>
          </w:p>
          <w:p w14:paraId="77D806AE" w14:textId="65B9A862" w:rsidR="00CE7087" w:rsidRPr="00180784" w:rsidRDefault="00CE7087" w:rsidP="00CE7087">
            <w:pPr>
              <w:spacing w:after="0" w:line="240" w:lineRule="auto"/>
              <w:jc w:val="both"/>
              <w:rPr>
                <w:rFonts w:asciiTheme="majorBidi" w:hAnsiTheme="majorBidi" w:cstheme="majorBidi"/>
                <w:sz w:val="24"/>
                <w:szCs w:val="24"/>
                <w:lang w:eastAsia="lv-LV" w:bidi="he-IL"/>
              </w:rPr>
            </w:pPr>
            <w:r>
              <w:rPr>
                <w:rFonts w:asciiTheme="majorBidi" w:hAnsiTheme="majorBidi" w:cstheme="majorBidi"/>
                <w:sz w:val="24"/>
                <w:szCs w:val="24"/>
                <w:lang w:eastAsia="lv-LV" w:bidi="he-IL"/>
              </w:rPr>
              <w:t xml:space="preserve">Plānots, ka uz izveides atbalstu varētu pretendēt piecas atbilstīgās kooperatīvās sabiedrības un uz </w:t>
            </w:r>
            <w:r w:rsidRPr="00D531C7">
              <w:rPr>
                <w:rFonts w:ascii="Times New Roman" w:eastAsia="Times New Roman" w:hAnsi="Times New Roman" w:cs="Times New Roman"/>
                <w:sz w:val="24"/>
                <w:szCs w:val="24"/>
                <w:lang w:eastAsia="lv-LV"/>
              </w:rPr>
              <w:t>atbalstu mazo un vidējo kooperatīvo sabiedrību attīstībai</w:t>
            </w:r>
            <w:r>
              <w:rPr>
                <w:rFonts w:ascii="Times New Roman" w:eastAsia="Times New Roman" w:hAnsi="Times New Roman" w:cs="Times New Roman"/>
                <w:sz w:val="24"/>
                <w:szCs w:val="24"/>
                <w:lang w:eastAsia="lv-LV"/>
              </w:rPr>
              <w:t xml:space="preserve"> potenciāli 30 kooperatīvās sabiedrības.</w:t>
            </w:r>
          </w:p>
        </w:tc>
      </w:tr>
      <w:tr w:rsidR="00CE7087" w:rsidRPr="006003A3" w14:paraId="6A1CF43E" w14:textId="77777777" w:rsidTr="006003A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51" w:type="dxa"/>
          <w:tblCellSpacing w:w="15" w:type="dxa"/>
        </w:trPr>
        <w:tc>
          <w:tcPr>
            <w:tcW w:w="731" w:type="dxa"/>
            <w:gridSpan w:val="2"/>
            <w:tcBorders>
              <w:top w:val="outset" w:sz="6" w:space="0" w:color="auto"/>
              <w:left w:val="outset" w:sz="6" w:space="0" w:color="auto"/>
              <w:bottom w:val="outset" w:sz="6" w:space="0" w:color="auto"/>
              <w:right w:val="outset" w:sz="6" w:space="0" w:color="auto"/>
            </w:tcBorders>
            <w:hideMark/>
          </w:tcPr>
          <w:p w14:paraId="50543D7C"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lastRenderedPageBreak/>
              <w:t>2.</w:t>
            </w:r>
          </w:p>
        </w:tc>
        <w:tc>
          <w:tcPr>
            <w:tcW w:w="2530" w:type="dxa"/>
            <w:tcBorders>
              <w:top w:val="outset" w:sz="6" w:space="0" w:color="auto"/>
              <w:left w:val="outset" w:sz="6" w:space="0" w:color="auto"/>
              <w:bottom w:val="outset" w:sz="6" w:space="0" w:color="auto"/>
              <w:right w:val="outset" w:sz="6" w:space="0" w:color="auto"/>
            </w:tcBorders>
            <w:hideMark/>
          </w:tcPr>
          <w:p w14:paraId="4AC7945D"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Tiesiskā regulējuma ietekme uz tautsaimniecību un administratīvo slogu</w:t>
            </w:r>
          </w:p>
        </w:tc>
        <w:tc>
          <w:tcPr>
            <w:tcW w:w="5944" w:type="dxa"/>
            <w:tcBorders>
              <w:top w:val="outset" w:sz="6" w:space="0" w:color="auto"/>
              <w:left w:val="outset" w:sz="6" w:space="0" w:color="auto"/>
              <w:bottom w:val="outset" w:sz="6" w:space="0" w:color="auto"/>
              <w:right w:val="outset" w:sz="6" w:space="0" w:color="auto"/>
            </w:tcBorders>
            <w:hideMark/>
          </w:tcPr>
          <w:p w14:paraId="3F1D5921" w14:textId="77777777" w:rsidR="00CE7087" w:rsidRDefault="00CE7087" w:rsidP="00CE7087">
            <w:pPr>
              <w:pStyle w:val="Paraststmeklis"/>
              <w:jc w:val="both"/>
              <w:rPr>
                <w:rFonts w:ascii="Times New Roman" w:eastAsia="Times New Roman" w:hAnsi="Times New Roman" w:cs="Times New Roman"/>
                <w:sz w:val="24"/>
                <w:szCs w:val="24"/>
              </w:rPr>
            </w:pPr>
            <w:r w:rsidRPr="007A5D8B">
              <w:rPr>
                <w:rFonts w:ascii="Times New Roman" w:eastAsia="Times New Roman" w:hAnsi="Times New Roman" w:cs="Times New Roman"/>
                <w:iCs/>
                <w:sz w:val="24"/>
                <w:szCs w:val="24"/>
              </w:rPr>
              <w:t xml:space="preserve">Projektam būs pozitīva ietekme uz tautsaimniecību, jo </w:t>
            </w:r>
            <w:r>
              <w:rPr>
                <w:rFonts w:ascii="Times New Roman" w:eastAsia="Times New Roman" w:hAnsi="Times New Roman" w:cs="Times New Roman"/>
                <w:iCs/>
                <w:sz w:val="24"/>
                <w:szCs w:val="24"/>
              </w:rPr>
              <w:t>atbilstīgas kooperatīvās sabiedrības varēs saņemt izveides atbalstu, kas veicinās kooperatīvu attīstību pirmajā posmā pēc tā dibināšanas. Mazajām un vidējām atbilstīgajām kooperatīvajām sabiedrībām, kas jau aktīvi darbojas tirgū</w:t>
            </w:r>
            <w:r w:rsidRPr="00D53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atbalsts veicinās</w:t>
            </w:r>
            <w:r w:rsidRPr="00D53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D53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tālāku </w:t>
            </w:r>
            <w:r w:rsidRPr="00D531C7">
              <w:rPr>
                <w:rFonts w:ascii="Times New Roman" w:eastAsia="Times New Roman" w:hAnsi="Times New Roman" w:cs="Times New Roman"/>
                <w:sz w:val="24"/>
                <w:szCs w:val="24"/>
              </w:rPr>
              <w:t>attīstību un stiprinā</w:t>
            </w:r>
            <w:r>
              <w:rPr>
                <w:rFonts w:ascii="Times New Roman" w:eastAsia="Times New Roman" w:hAnsi="Times New Roman" w:cs="Times New Roman"/>
                <w:sz w:val="24"/>
                <w:szCs w:val="24"/>
              </w:rPr>
              <w:t>s</w:t>
            </w:r>
            <w:r w:rsidRPr="00D53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D531C7">
              <w:rPr>
                <w:rFonts w:ascii="Times New Roman" w:eastAsia="Times New Roman" w:hAnsi="Times New Roman" w:cs="Times New Roman"/>
                <w:sz w:val="24"/>
                <w:szCs w:val="24"/>
              </w:rPr>
              <w:t xml:space="preserve"> tirgus varu, administratīvo un ekonomisko kapacitāti</w:t>
            </w:r>
            <w:r>
              <w:rPr>
                <w:rFonts w:ascii="Times New Roman" w:eastAsia="Times New Roman" w:hAnsi="Times New Roman" w:cs="Times New Roman"/>
                <w:sz w:val="24"/>
                <w:szCs w:val="24"/>
              </w:rPr>
              <w:t>, kā rezultātā palielināsies pozitīvā ietekme uz tautsaimniecību ilgtermiņā.</w:t>
            </w:r>
          </w:p>
          <w:p w14:paraId="65939737" w14:textId="58A5045A" w:rsidR="00CE7087" w:rsidRPr="006003A3" w:rsidRDefault="00CE7087" w:rsidP="001E3AEA">
            <w:pPr>
              <w:pStyle w:val="Paraststmeklis"/>
              <w:jc w:val="both"/>
            </w:pPr>
            <w:r>
              <w:rPr>
                <w:rFonts w:ascii="Times New Roman" w:hAnsi="Times New Roman" w:cs="Times New Roman"/>
                <w:sz w:val="24"/>
                <w:szCs w:val="24"/>
              </w:rPr>
              <w:t xml:space="preserve">Pārskata par biznesa plāna izpildi sniegšanas pienākuma administratīvās izmaksas (naudas izteiksmē) gada laikā mērķgrupai, ko veido juridiskas personas nepārsniedz 2000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tc>
      </w:tr>
      <w:tr w:rsidR="00CE7087" w:rsidRPr="00180784" w14:paraId="58D9063A" w14:textId="77777777" w:rsidTr="006003A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51" w:type="dxa"/>
          <w:tblCellSpacing w:w="15" w:type="dxa"/>
        </w:trPr>
        <w:tc>
          <w:tcPr>
            <w:tcW w:w="731" w:type="dxa"/>
            <w:gridSpan w:val="2"/>
            <w:tcBorders>
              <w:top w:val="outset" w:sz="6" w:space="0" w:color="auto"/>
              <w:left w:val="outset" w:sz="6" w:space="0" w:color="auto"/>
              <w:bottom w:val="outset" w:sz="6" w:space="0" w:color="auto"/>
              <w:right w:val="outset" w:sz="6" w:space="0" w:color="auto"/>
            </w:tcBorders>
            <w:hideMark/>
          </w:tcPr>
          <w:p w14:paraId="73D2D180"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3.</w:t>
            </w:r>
          </w:p>
        </w:tc>
        <w:tc>
          <w:tcPr>
            <w:tcW w:w="2530" w:type="dxa"/>
            <w:tcBorders>
              <w:top w:val="outset" w:sz="6" w:space="0" w:color="auto"/>
              <w:left w:val="outset" w:sz="6" w:space="0" w:color="auto"/>
              <w:bottom w:val="outset" w:sz="6" w:space="0" w:color="auto"/>
              <w:right w:val="outset" w:sz="6" w:space="0" w:color="auto"/>
            </w:tcBorders>
            <w:hideMark/>
          </w:tcPr>
          <w:p w14:paraId="79BC19AD"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Administratīvo izmaksu monetārs novērtējums</w:t>
            </w:r>
          </w:p>
        </w:tc>
        <w:tc>
          <w:tcPr>
            <w:tcW w:w="5944" w:type="dxa"/>
            <w:tcBorders>
              <w:top w:val="outset" w:sz="6" w:space="0" w:color="auto"/>
              <w:left w:val="outset" w:sz="6" w:space="0" w:color="auto"/>
              <w:bottom w:val="outset" w:sz="6" w:space="0" w:color="auto"/>
              <w:right w:val="outset" w:sz="6" w:space="0" w:color="auto"/>
            </w:tcBorders>
            <w:hideMark/>
          </w:tcPr>
          <w:p w14:paraId="04FECB53" w14:textId="77777777" w:rsidR="00CE7087" w:rsidRDefault="00CE7087" w:rsidP="00CE7087">
            <w:pPr>
              <w:pStyle w:val="Paraststmeklis"/>
              <w:rPr>
                <w:rFonts w:ascii="Times New Roman" w:hAnsi="Times New Roman" w:cs="Times New Roman"/>
                <w:sz w:val="24"/>
                <w:szCs w:val="24"/>
              </w:rPr>
            </w:pPr>
            <w:r w:rsidRPr="006003A3">
              <w:rPr>
                <w:rFonts w:ascii="Times New Roman" w:hAnsi="Times New Roman" w:cs="Times New Roman"/>
                <w:sz w:val="24"/>
                <w:szCs w:val="24"/>
              </w:rPr>
              <w:t>Pārskata par biznesa plāna izpildi sniegšanas pienākuma administratīv</w:t>
            </w:r>
            <w:r>
              <w:rPr>
                <w:rFonts w:ascii="Times New Roman" w:hAnsi="Times New Roman" w:cs="Times New Roman"/>
                <w:sz w:val="24"/>
                <w:szCs w:val="24"/>
              </w:rPr>
              <w:t>o</w:t>
            </w:r>
            <w:r w:rsidRPr="006003A3">
              <w:rPr>
                <w:rFonts w:ascii="Times New Roman" w:hAnsi="Times New Roman" w:cs="Times New Roman"/>
                <w:sz w:val="24"/>
                <w:szCs w:val="24"/>
              </w:rPr>
              <w:t xml:space="preserve"> izmaks</w:t>
            </w:r>
            <w:r>
              <w:rPr>
                <w:rFonts w:ascii="Times New Roman" w:hAnsi="Times New Roman" w:cs="Times New Roman"/>
                <w:sz w:val="24"/>
                <w:szCs w:val="24"/>
              </w:rPr>
              <w:t>u</w:t>
            </w:r>
            <w:r w:rsidRPr="006003A3">
              <w:rPr>
                <w:rFonts w:ascii="Times New Roman" w:hAnsi="Times New Roman" w:cs="Times New Roman"/>
                <w:sz w:val="24"/>
                <w:szCs w:val="24"/>
              </w:rPr>
              <w:t xml:space="preserve"> </w:t>
            </w:r>
            <w:r>
              <w:rPr>
                <w:rFonts w:ascii="Times New Roman" w:hAnsi="Times New Roman" w:cs="Times New Roman"/>
                <w:sz w:val="24"/>
                <w:szCs w:val="24"/>
              </w:rPr>
              <w:t xml:space="preserve">novērtējums </w:t>
            </w:r>
            <w:r w:rsidRPr="006003A3">
              <w:rPr>
                <w:rFonts w:ascii="Times New Roman" w:hAnsi="Times New Roman" w:cs="Times New Roman"/>
                <w:sz w:val="24"/>
                <w:szCs w:val="24"/>
              </w:rPr>
              <w:t xml:space="preserve">(naudas izteiksmē) gada laikā </w:t>
            </w:r>
            <w:r>
              <w:rPr>
                <w:rFonts w:ascii="Times New Roman" w:hAnsi="Times New Roman" w:cs="Times New Roman"/>
                <w:sz w:val="24"/>
                <w:szCs w:val="24"/>
              </w:rPr>
              <w:t>atbilstīgām kooperatīvām sabiedrībām, kas pretendē uz izveides atbalstu:</w:t>
            </w:r>
          </w:p>
          <w:p w14:paraId="3DCAE121" w14:textId="77777777" w:rsidR="00CE7087" w:rsidRDefault="00CE7087" w:rsidP="00CE7087">
            <w:pPr>
              <w:pStyle w:val="Paraststmeklis"/>
              <w:numPr>
                <w:ilvl w:val="0"/>
                <w:numId w:val="6"/>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pārskatu skaits – 5;</w:t>
            </w:r>
          </w:p>
          <w:p w14:paraId="2B2B8EC0" w14:textId="77777777"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vienam pārskatam patērējamais laiks stundās – vidēji 2;</w:t>
            </w:r>
          </w:p>
          <w:p w14:paraId="41101479" w14:textId="550927D9"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vienas stundas darbaspēka bruto izmaksas augkopībā un lopkopībā (CSP veidlapa DIS 010, par 2019. gadu) – 5,99 </w:t>
            </w:r>
            <w:proofErr w:type="spellStart"/>
            <w:r w:rsidR="00992D5E" w:rsidRPr="00992D5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20EE2CB1" w14:textId="5CD89665"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kopējās administratīvās izmaksas – 59,9 </w:t>
            </w:r>
            <w:proofErr w:type="spellStart"/>
            <w:r w:rsidR="00992D5E" w:rsidRPr="00992D5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6C3547C2" w14:textId="77777777" w:rsidR="00CE7087" w:rsidRDefault="00CE7087" w:rsidP="00CE70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Lauku atbalsta dienestam radīto administratīvo izmaksu novērtējums:</w:t>
            </w:r>
          </w:p>
          <w:p w14:paraId="530EC5ED" w14:textId="77777777"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pārskatu skaits – 5; </w:t>
            </w:r>
          </w:p>
          <w:p w14:paraId="78CBF707" w14:textId="77777777"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viena pārskata apstrādei un administrēšanai  patērējamais laiks stundās – vidēji 5;</w:t>
            </w:r>
          </w:p>
          <w:p w14:paraId="43D0B0E4" w14:textId="305AA4D5" w:rsidR="00CE7087" w:rsidRDefault="00CE7087" w:rsidP="00CE7087">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vienas stundas darbaspēka bruto izmaksas valsts pārvaldē (CSP veidlapa DIS 010, par 2019. gadu) – 9,25 </w:t>
            </w:r>
            <w:proofErr w:type="spellStart"/>
            <w:r w:rsidR="00992D5E" w:rsidRPr="00992D5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4031FD8E" w14:textId="74C457BF" w:rsidR="00CE7087" w:rsidRPr="00180784" w:rsidRDefault="00CE7087" w:rsidP="00CE708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kopējās administratīvās izmaksas iestādei – 231,25 </w:t>
            </w:r>
            <w:proofErr w:type="spellStart"/>
            <w:r w:rsidR="00992D5E" w:rsidRPr="00992D5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tc>
      </w:tr>
      <w:tr w:rsidR="00CE7087" w:rsidRPr="00180784" w14:paraId="6EAA0527" w14:textId="77777777" w:rsidTr="006003A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51" w:type="dxa"/>
          <w:tblCellSpacing w:w="15" w:type="dxa"/>
        </w:trPr>
        <w:tc>
          <w:tcPr>
            <w:tcW w:w="731" w:type="dxa"/>
            <w:gridSpan w:val="2"/>
            <w:tcBorders>
              <w:top w:val="outset" w:sz="6" w:space="0" w:color="auto"/>
              <w:left w:val="outset" w:sz="6" w:space="0" w:color="auto"/>
              <w:bottom w:val="outset" w:sz="6" w:space="0" w:color="auto"/>
              <w:right w:val="outset" w:sz="6" w:space="0" w:color="auto"/>
            </w:tcBorders>
            <w:hideMark/>
          </w:tcPr>
          <w:p w14:paraId="18D0D084"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4.</w:t>
            </w:r>
          </w:p>
        </w:tc>
        <w:tc>
          <w:tcPr>
            <w:tcW w:w="2530" w:type="dxa"/>
            <w:tcBorders>
              <w:top w:val="outset" w:sz="6" w:space="0" w:color="auto"/>
              <w:left w:val="outset" w:sz="6" w:space="0" w:color="auto"/>
              <w:bottom w:val="outset" w:sz="6" w:space="0" w:color="auto"/>
              <w:right w:val="outset" w:sz="6" w:space="0" w:color="auto"/>
            </w:tcBorders>
            <w:hideMark/>
          </w:tcPr>
          <w:p w14:paraId="1DDC0B95"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Atbilstības izmaksu monetārs novērtējums</w:t>
            </w:r>
          </w:p>
        </w:tc>
        <w:tc>
          <w:tcPr>
            <w:tcW w:w="5944" w:type="dxa"/>
            <w:tcBorders>
              <w:top w:val="outset" w:sz="6" w:space="0" w:color="auto"/>
              <w:left w:val="outset" w:sz="6" w:space="0" w:color="auto"/>
              <w:bottom w:val="outset" w:sz="6" w:space="0" w:color="auto"/>
              <w:right w:val="outset" w:sz="6" w:space="0" w:color="auto"/>
            </w:tcBorders>
            <w:hideMark/>
          </w:tcPr>
          <w:p w14:paraId="1DB50C60"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Projekts šo jomu neskar.</w:t>
            </w:r>
          </w:p>
          <w:p w14:paraId="45A89006"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p>
        </w:tc>
      </w:tr>
      <w:tr w:rsidR="00CE7087" w:rsidRPr="00180784" w14:paraId="0DE9D32B" w14:textId="77777777" w:rsidTr="006003A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151" w:type="dxa"/>
          <w:tblCellSpacing w:w="15" w:type="dxa"/>
        </w:trPr>
        <w:tc>
          <w:tcPr>
            <w:tcW w:w="731" w:type="dxa"/>
            <w:gridSpan w:val="2"/>
            <w:tcBorders>
              <w:top w:val="outset" w:sz="6" w:space="0" w:color="auto"/>
              <w:left w:val="outset" w:sz="6" w:space="0" w:color="auto"/>
              <w:bottom w:val="outset" w:sz="6" w:space="0" w:color="auto"/>
              <w:right w:val="outset" w:sz="6" w:space="0" w:color="auto"/>
            </w:tcBorders>
            <w:hideMark/>
          </w:tcPr>
          <w:p w14:paraId="0B94943E"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5.</w:t>
            </w:r>
          </w:p>
        </w:tc>
        <w:tc>
          <w:tcPr>
            <w:tcW w:w="2530" w:type="dxa"/>
            <w:tcBorders>
              <w:top w:val="outset" w:sz="6" w:space="0" w:color="auto"/>
              <w:left w:val="outset" w:sz="6" w:space="0" w:color="auto"/>
              <w:bottom w:val="outset" w:sz="6" w:space="0" w:color="auto"/>
              <w:right w:val="outset" w:sz="6" w:space="0" w:color="auto"/>
            </w:tcBorders>
            <w:hideMark/>
          </w:tcPr>
          <w:p w14:paraId="5E07D7BA"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Cita informācija</w:t>
            </w:r>
          </w:p>
        </w:tc>
        <w:tc>
          <w:tcPr>
            <w:tcW w:w="5944" w:type="dxa"/>
            <w:tcBorders>
              <w:top w:val="outset" w:sz="6" w:space="0" w:color="auto"/>
              <w:left w:val="outset" w:sz="6" w:space="0" w:color="auto"/>
              <w:bottom w:val="outset" w:sz="6" w:space="0" w:color="auto"/>
              <w:right w:val="outset" w:sz="6" w:space="0" w:color="auto"/>
            </w:tcBorders>
            <w:hideMark/>
          </w:tcPr>
          <w:p w14:paraId="6DEBE62A" w14:textId="77777777" w:rsidR="00CE7087" w:rsidRPr="00180784" w:rsidRDefault="00CE7087" w:rsidP="00CE708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Nav.</w:t>
            </w:r>
          </w:p>
        </w:tc>
      </w:tr>
    </w:tbl>
    <w:p w14:paraId="01CF5F41"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bl>
      <w:tblPr>
        <w:tblW w:w="5081"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844"/>
        <w:gridCol w:w="1274"/>
        <w:gridCol w:w="1418"/>
        <w:gridCol w:w="850"/>
        <w:gridCol w:w="992"/>
        <w:gridCol w:w="851"/>
        <w:gridCol w:w="991"/>
        <w:gridCol w:w="987"/>
      </w:tblGrid>
      <w:tr w:rsidR="008C2713" w:rsidRPr="00D531C7" w14:paraId="2DEEDCA7" w14:textId="77777777" w:rsidTr="006003A3">
        <w:trPr>
          <w:tblCellSpacing w:w="15" w:type="dxa"/>
        </w:trPr>
        <w:tc>
          <w:tcPr>
            <w:tcW w:w="9147" w:type="dxa"/>
            <w:gridSpan w:val="8"/>
            <w:vAlign w:val="center"/>
            <w:hideMark/>
          </w:tcPr>
          <w:p w14:paraId="0B85FAB0" w14:textId="77777777" w:rsidR="008C2713" w:rsidRPr="00D531C7" w:rsidRDefault="008C2713" w:rsidP="008C2713">
            <w:pPr>
              <w:suppressAutoHyphens/>
              <w:spacing w:after="0" w:line="240" w:lineRule="auto"/>
              <w:jc w:val="center"/>
              <w:rPr>
                <w:rFonts w:ascii="Times New Roman" w:eastAsia="Times New Roman" w:hAnsi="Times New Roman" w:cs="Times New Roman"/>
                <w:b/>
                <w:bCs/>
                <w:iCs/>
                <w:color w:val="414142"/>
                <w:kern w:val="1"/>
                <w:sz w:val="24"/>
                <w:szCs w:val="24"/>
                <w:lang w:eastAsia="lv-LV"/>
              </w:rPr>
            </w:pPr>
            <w:r w:rsidRPr="00D531C7">
              <w:rPr>
                <w:rFonts w:ascii="Times New Roman" w:eastAsia="Times New Roman" w:hAnsi="Times New Roman" w:cs="Times New Roman"/>
                <w:b/>
                <w:bCs/>
                <w:iCs/>
                <w:color w:val="414142"/>
                <w:kern w:val="1"/>
                <w:sz w:val="24"/>
                <w:szCs w:val="24"/>
                <w:lang w:eastAsia="lv-LV"/>
              </w:rPr>
              <w:t>III. Tiesību akta projekta ietekme uz valsts budžetu un pašvaldību budžetiem</w:t>
            </w:r>
          </w:p>
        </w:tc>
      </w:tr>
      <w:tr w:rsidR="008C2713" w:rsidRPr="00D531C7" w14:paraId="3B4AD397" w14:textId="77777777" w:rsidTr="004651F6">
        <w:trPr>
          <w:tblCellSpacing w:w="15" w:type="dxa"/>
        </w:trPr>
        <w:tc>
          <w:tcPr>
            <w:tcW w:w="1799" w:type="dxa"/>
            <w:vMerge w:val="restart"/>
            <w:vAlign w:val="center"/>
            <w:hideMark/>
          </w:tcPr>
          <w:p w14:paraId="3F93AB4E"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Rādītāji</w:t>
            </w:r>
          </w:p>
        </w:tc>
        <w:tc>
          <w:tcPr>
            <w:tcW w:w="2662" w:type="dxa"/>
            <w:gridSpan w:val="2"/>
            <w:vMerge w:val="restart"/>
            <w:vAlign w:val="center"/>
            <w:hideMark/>
          </w:tcPr>
          <w:p w14:paraId="1F1FA63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2021. gads</w:t>
            </w:r>
          </w:p>
        </w:tc>
        <w:tc>
          <w:tcPr>
            <w:tcW w:w="4626" w:type="dxa"/>
            <w:gridSpan w:val="5"/>
            <w:vAlign w:val="center"/>
            <w:hideMark/>
          </w:tcPr>
          <w:p w14:paraId="1C386A1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Turpmākie trīs gadi (</w:t>
            </w:r>
            <w:proofErr w:type="spellStart"/>
            <w:r w:rsidRPr="00D531C7">
              <w:rPr>
                <w:rFonts w:ascii="Times New Roman" w:eastAsia="Times New Roman" w:hAnsi="Times New Roman" w:cs="Times New Roman"/>
                <w:i/>
                <w:iCs/>
                <w:color w:val="414142"/>
                <w:kern w:val="1"/>
                <w:sz w:val="24"/>
                <w:szCs w:val="24"/>
                <w:lang w:eastAsia="lv-LV"/>
              </w:rPr>
              <w:t>euro</w:t>
            </w:r>
            <w:proofErr w:type="spellEnd"/>
            <w:r w:rsidRPr="00D531C7">
              <w:rPr>
                <w:rFonts w:ascii="Times New Roman" w:eastAsia="Times New Roman" w:hAnsi="Times New Roman" w:cs="Times New Roman"/>
                <w:iCs/>
                <w:color w:val="414142"/>
                <w:kern w:val="1"/>
                <w:sz w:val="24"/>
                <w:szCs w:val="24"/>
                <w:lang w:eastAsia="lv-LV"/>
              </w:rPr>
              <w:t>)</w:t>
            </w:r>
          </w:p>
        </w:tc>
      </w:tr>
      <w:tr w:rsidR="008C2713" w:rsidRPr="00D531C7" w14:paraId="5379D640" w14:textId="77777777" w:rsidTr="004651F6">
        <w:trPr>
          <w:tblCellSpacing w:w="15" w:type="dxa"/>
        </w:trPr>
        <w:tc>
          <w:tcPr>
            <w:tcW w:w="1799" w:type="dxa"/>
            <w:vMerge/>
            <w:vAlign w:val="center"/>
            <w:hideMark/>
          </w:tcPr>
          <w:p w14:paraId="40A41C86"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c>
        <w:tc>
          <w:tcPr>
            <w:tcW w:w="2662" w:type="dxa"/>
            <w:gridSpan w:val="2"/>
            <w:vMerge/>
            <w:vAlign w:val="center"/>
            <w:hideMark/>
          </w:tcPr>
          <w:p w14:paraId="72E72442"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c>
        <w:tc>
          <w:tcPr>
            <w:tcW w:w="1812" w:type="dxa"/>
            <w:gridSpan w:val="2"/>
            <w:vAlign w:val="center"/>
            <w:hideMark/>
          </w:tcPr>
          <w:p w14:paraId="2866E12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2022. gads</w:t>
            </w:r>
          </w:p>
        </w:tc>
        <w:tc>
          <w:tcPr>
            <w:tcW w:w="1812" w:type="dxa"/>
            <w:gridSpan w:val="2"/>
            <w:vAlign w:val="center"/>
            <w:hideMark/>
          </w:tcPr>
          <w:p w14:paraId="0DD9561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2023. gads</w:t>
            </w:r>
          </w:p>
        </w:tc>
        <w:tc>
          <w:tcPr>
            <w:tcW w:w="942" w:type="dxa"/>
            <w:vAlign w:val="center"/>
            <w:hideMark/>
          </w:tcPr>
          <w:p w14:paraId="65C8628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2024. gads</w:t>
            </w:r>
          </w:p>
        </w:tc>
      </w:tr>
      <w:tr w:rsidR="008C2713" w:rsidRPr="00D531C7" w14:paraId="527308FB" w14:textId="77777777" w:rsidTr="004651F6">
        <w:trPr>
          <w:tblCellSpacing w:w="15" w:type="dxa"/>
        </w:trPr>
        <w:tc>
          <w:tcPr>
            <w:tcW w:w="1799" w:type="dxa"/>
            <w:vMerge/>
            <w:vAlign w:val="center"/>
            <w:hideMark/>
          </w:tcPr>
          <w:p w14:paraId="041D27FA"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c>
        <w:tc>
          <w:tcPr>
            <w:tcW w:w="1244" w:type="dxa"/>
            <w:vAlign w:val="center"/>
            <w:hideMark/>
          </w:tcPr>
          <w:p w14:paraId="6D93435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t>saskaņā ar valsts budžetu kārtējam gadam</w:t>
            </w:r>
          </w:p>
        </w:tc>
        <w:tc>
          <w:tcPr>
            <w:tcW w:w="1388" w:type="dxa"/>
            <w:vAlign w:val="center"/>
            <w:hideMark/>
          </w:tcPr>
          <w:p w14:paraId="458A355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t>izmaiņas kārtējā gadā, salīdzinot ar valsts budžetu kārtējam gadam</w:t>
            </w:r>
          </w:p>
        </w:tc>
        <w:tc>
          <w:tcPr>
            <w:tcW w:w="820" w:type="dxa"/>
            <w:vAlign w:val="center"/>
            <w:hideMark/>
          </w:tcPr>
          <w:p w14:paraId="622C5BE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t>saskaņā ar vidēja termiņa budžeta ietvaru</w:t>
            </w:r>
          </w:p>
        </w:tc>
        <w:tc>
          <w:tcPr>
            <w:tcW w:w="962" w:type="dxa"/>
            <w:vAlign w:val="center"/>
            <w:hideMark/>
          </w:tcPr>
          <w:p w14:paraId="5ACFD52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t xml:space="preserve">izmaiņas, salīdzinot ar vidēja termiņa budžeta ietvaru </w:t>
            </w:r>
            <w:r w:rsidRPr="00D531C7">
              <w:rPr>
                <w:rFonts w:ascii="Times New Roman" w:eastAsia="Times New Roman" w:hAnsi="Times New Roman" w:cs="Times New Roman"/>
                <w:iCs/>
                <w:color w:val="414142"/>
                <w:kern w:val="1"/>
                <w:sz w:val="20"/>
                <w:szCs w:val="20"/>
                <w:lang w:eastAsia="lv-LV"/>
              </w:rPr>
              <w:lastRenderedPageBreak/>
              <w:t>2022. gadam</w:t>
            </w:r>
          </w:p>
        </w:tc>
        <w:tc>
          <w:tcPr>
            <w:tcW w:w="821" w:type="dxa"/>
            <w:vAlign w:val="center"/>
            <w:hideMark/>
          </w:tcPr>
          <w:p w14:paraId="723170F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lastRenderedPageBreak/>
              <w:t>saskaņā ar vidēja termiņa budžeta ietvaru</w:t>
            </w:r>
          </w:p>
        </w:tc>
        <w:tc>
          <w:tcPr>
            <w:tcW w:w="961" w:type="dxa"/>
            <w:vAlign w:val="center"/>
            <w:hideMark/>
          </w:tcPr>
          <w:p w14:paraId="6DC7A33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t xml:space="preserve">izmaiņas, salīdzinot ar vidēja termiņa budžeta ietvaru </w:t>
            </w:r>
            <w:r w:rsidRPr="00D531C7">
              <w:rPr>
                <w:rFonts w:ascii="Times New Roman" w:eastAsia="Times New Roman" w:hAnsi="Times New Roman" w:cs="Times New Roman"/>
                <w:iCs/>
                <w:color w:val="414142"/>
                <w:kern w:val="1"/>
                <w:sz w:val="20"/>
                <w:szCs w:val="20"/>
                <w:lang w:eastAsia="lv-LV"/>
              </w:rPr>
              <w:lastRenderedPageBreak/>
              <w:t>2023. gadam</w:t>
            </w:r>
          </w:p>
        </w:tc>
        <w:tc>
          <w:tcPr>
            <w:tcW w:w="942" w:type="dxa"/>
            <w:vAlign w:val="center"/>
            <w:hideMark/>
          </w:tcPr>
          <w:p w14:paraId="1ECDA65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0"/>
                <w:szCs w:val="20"/>
                <w:lang w:eastAsia="lv-LV"/>
              </w:rPr>
            </w:pPr>
            <w:r w:rsidRPr="00D531C7">
              <w:rPr>
                <w:rFonts w:ascii="Times New Roman" w:eastAsia="Times New Roman" w:hAnsi="Times New Roman" w:cs="Times New Roman"/>
                <w:iCs/>
                <w:color w:val="414142"/>
                <w:kern w:val="1"/>
                <w:sz w:val="20"/>
                <w:szCs w:val="20"/>
                <w:lang w:eastAsia="lv-LV"/>
              </w:rPr>
              <w:lastRenderedPageBreak/>
              <w:t xml:space="preserve">izmaiņas, salīdzinot ar vidēja termiņa budžeta ietvaru </w:t>
            </w:r>
            <w:r w:rsidRPr="00D531C7">
              <w:rPr>
                <w:rFonts w:ascii="Times New Roman" w:eastAsia="Times New Roman" w:hAnsi="Times New Roman" w:cs="Times New Roman"/>
                <w:iCs/>
                <w:color w:val="414142"/>
                <w:kern w:val="1"/>
                <w:sz w:val="20"/>
                <w:szCs w:val="20"/>
                <w:lang w:eastAsia="lv-LV"/>
              </w:rPr>
              <w:lastRenderedPageBreak/>
              <w:t>2023. gadam</w:t>
            </w:r>
          </w:p>
        </w:tc>
      </w:tr>
      <w:tr w:rsidR="008C2713" w:rsidRPr="00D531C7" w14:paraId="497BD89E" w14:textId="77777777" w:rsidTr="004651F6">
        <w:trPr>
          <w:tblCellSpacing w:w="15" w:type="dxa"/>
        </w:trPr>
        <w:tc>
          <w:tcPr>
            <w:tcW w:w="1799" w:type="dxa"/>
            <w:vAlign w:val="center"/>
            <w:hideMark/>
          </w:tcPr>
          <w:p w14:paraId="222C79E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lastRenderedPageBreak/>
              <w:t>1</w:t>
            </w:r>
          </w:p>
        </w:tc>
        <w:tc>
          <w:tcPr>
            <w:tcW w:w="1244" w:type="dxa"/>
            <w:vAlign w:val="center"/>
            <w:hideMark/>
          </w:tcPr>
          <w:p w14:paraId="1F4E2C6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w:t>
            </w:r>
          </w:p>
        </w:tc>
        <w:tc>
          <w:tcPr>
            <w:tcW w:w="1388" w:type="dxa"/>
            <w:vAlign w:val="center"/>
            <w:hideMark/>
          </w:tcPr>
          <w:p w14:paraId="150B1556"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w:t>
            </w:r>
          </w:p>
        </w:tc>
        <w:tc>
          <w:tcPr>
            <w:tcW w:w="820" w:type="dxa"/>
            <w:vAlign w:val="center"/>
            <w:hideMark/>
          </w:tcPr>
          <w:p w14:paraId="653E3F82"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4</w:t>
            </w:r>
          </w:p>
        </w:tc>
        <w:tc>
          <w:tcPr>
            <w:tcW w:w="962" w:type="dxa"/>
            <w:vAlign w:val="center"/>
            <w:hideMark/>
          </w:tcPr>
          <w:p w14:paraId="20175211"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5</w:t>
            </w:r>
          </w:p>
        </w:tc>
        <w:tc>
          <w:tcPr>
            <w:tcW w:w="821" w:type="dxa"/>
            <w:vAlign w:val="center"/>
            <w:hideMark/>
          </w:tcPr>
          <w:p w14:paraId="39B428F9"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w:t>
            </w:r>
          </w:p>
        </w:tc>
        <w:tc>
          <w:tcPr>
            <w:tcW w:w="961" w:type="dxa"/>
            <w:vAlign w:val="center"/>
            <w:hideMark/>
          </w:tcPr>
          <w:p w14:paraId="4F94A74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w:t>
            </w:r>
          </w:p>
        </w:tc>
        <w:tc>
          <w:tcPr>
            <w:tcW w:w="942" w:type="dxa"/>
            <w:vAlign w:val="center"/>
            <w:hideMark/>
          </w:tcPr>
          <w:p w14:paraId="14E2524C"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8</w:t>
            </w:r>
          </w:p>
        </w:tc>
      </w:tr>
      <w:tr w:rsidR="008C2713" w:rsidRPr="00D531C7" w14:paraId="2BAD0AB3" w14:textId="77777777" w:rsidTr="004651F6">
        <w:trPr>
          <w:tblCellSpacing w:w="15" w:type="dxa"/>
        </w:trPr>
        <w:tc>
          <w:tcPr>
            <w:tcW w:w="1799" w:type="dxa"/>
            <w:hideMark/>
          </w:tcPr>
          <w:p w14:paraId="2F320947"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 Budžeta ieņēmumi</w:t>
            </w:r>
          </w:p>
        </w:tc>
        <w:tc>
          <w:tcPr>
            <w:tcW w:w="1244" w:type="dxa"/>
            <w:vAlign w:val="center"/>
            <w:hideMark/>
          </w:tcPr>
          <w:p w14:paraId="2D9AC78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25E46A1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132 056</w:t>
            </w:r>
          </w:p>
        </w:tc>
        <w:tc>
          <w:tcPr>
            <w:tcW w:w="820" w:type="dxa"/>
            <w:vAlign w:val="center"/>
            <w:hideMark/>
          </w:tcPr>
          <w:p w14:paraId="46C7DAF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7C27F5F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151 232</w:t>
            </w:r>
          </w:p>
        </w:tc>
        <w:tc>
          <w:tcPr>
            <w:tcW w:w="821" w:type="dxa"/>
            <w:vAlign w:val="center"/>
            <w:hideMark/>
          </w:tcPr>
          <w:p w14:paraId="241311F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0AA419E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155 720</w:t>
            </w:r>
          </w:p>
        </w:tc>
        <w:tc>
          <w:tcPr>
            <w:tcW w:w="942" w:type="dxa"/>
            <w:vAlign w:val="center"/>
            <w:hideMark/>
          </w:tcPr>
          <w:p w14:paraId="5482741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137 088</w:t>
            </w:r>
          </w:p>
        </w:tc>
      </w:tr>
      <w:tr w:rsidR="008C2713" w:rsidRPr="00D531C7" w14:paraId="51FDC963" w14:textId="77777777" w:rsidTr="004651F6">
        <w:trPr>
          <w:tblCellSpacing w:w="15" w:type="dxa"/>
        </w:trPr>
        <w:tc>
          <w:tcPr>
            <w:tcW w:w="1799" w:type="dxa"/>
            <w:hideMark/>
          </w:tcPr>
          <w:p w14:paraId="2880352B"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1.1. valsts pamatbudžets, tai skaitā ieņēmumi no maksas pakalpojumiem un citi pašu ieņēmumi</w:t>
            </w:r>
          </w:p>
        </w:tc>
        <w:tc>
          <w:tcPr>
            <w:tcW w:w="1244" w:type="dxa"/>
            <w:vAlign w:val="center"/>
            <w:hideMark/>
          </w:tcPr>
          <w:p w14:paraId="598478A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4A167EA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132 056</w:t>
            </w:r>
          </w:p>
        </w:tc>
        <w:tc>
          <w:tcPr>
            <w:tcW w:w="820" w:type="dxa"/>
            <w:vAlign w:val="center"/>
            <w:hideMark/>
          </w:tcPr>
          <w:p w14:paraId="5C06C06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0A0F746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151 232</w:t>
            </w:r>
          </w:p>
        </w:tc>
        <w:tc>
          <w:tcPr>
            <w:tcW w:w="821" w:type="dxa"/>
            <w:vAlign w:val="center"/>
            <w:hideMark/>
          </w:tcPr>
          <w:p w14:paraId="0DF05B9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58F7A6F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155 720</w:t>
            </w:r>
          </w:p>
        </w:tc>
        <w:tc>
          <w:tcPr>
            <w:tcW w:w="942" w:type="dxa"/>
            <w:vAlign w:val="center"/>
            <w:hideMark/>
          </w:tcPr>
          <w:p w14:paraId="2FCC76F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137 088</w:t>
            </w:r>
          </w:p>
        </w:tc>
      </w:tr>
      <w:tr w:rsidR="008C2713" w:rsidRPr="00D531C7" w14:paraId="6B71D6EA" w14:textId="77777777" w:rsidTr="004651F6">
        <w:trPr>
          <w:tblCellSpacing w:w="15" w:type="dxa"/>
        </w:trPr>
        <w:tc>
          <w:tcPr>
            <w:tcW w:w="1799" w:type="dxa"/>
            <w:hideMark/>
          </w:tcPr>
          <w:p w14:paraId="1023B003"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1.2. valsts speciālais budžets</w:t>
            </w:r>
          </w:p>
        </w:tc>
        <w:tc>
          <w:tcPr>
            <w:tcW w:w="1244" w:type="dxa"/>
            <w:vAlign w:val="center"/>
            <w:hideMark/>
          </w:tcPr>
          <w:p w14:paraId="44241CC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38711F9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66D6A6A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53C3F54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1FA4E5B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140D067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52BE593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77858250" w14:textId="77777777" w:rsidTr="004651F6">
        <w:trPr>
          <w:tblCellSpacing w:w="15" w:type="dxa"/>
        </w:trPr>
        <w:tc>
          <w:tcPr>
            <w:tcW w:w="1799" w:type="dxa"/>
            <w:hideMark/>
          </w:tcPr>
          <w:p w14:paraId="094ECED7"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1.3. pašvaldību budžets</w:t>
            </w:r>
          </w:p>
        </w:tc>
        <w:tc>
          <w:tcPr>
            <w:tcW w:w="1244" w:type="dxa"/>
            <w:vAlign w:val="center"/>
            <w:hideMark/>
          </w:tcPr>
          <w:p w14:paraId="2F61BD1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539FCA8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342ABA6C"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663E9F5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0B73D23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7553E98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2F33F68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0C9226F7" w14:textId="77777777" w:rsidTr="004651F6">
        <w:trPr>
          <w:tblCellSpacing w:w="15" w:type="dxa"/>
        </w:trPr>
        <w:tc>
          <w:tcPr>
            <w:tcW w:w="1799" w:type="dxa"/>
            <w:hideMark/>
          </w:tcPr>
          <w:p w14:paraId="57E53F22"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 Budžeta izdevumi</w:t>
            </w:r>
          </w:p>
        </w:tc>
        <w:tc>
          <w:tcPr>
            <w:tcW w:w="1244" w:type="dxa"/>
            <w:vAlign w:val="center"/>
            <w:hideMark/>
          </w:tcPr>
          <w:p w14:paraId="10B3CFC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5D3793C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874 200</w:t>
            </w:r>
          </w:p>
        </w:tc>
        <w:tc>
          <w:tcPr>
            <w:tcW w:w="820" w:type="dxa"/>
            <w:vAlign w:val="center"/>
            <w:hideMark/>
          </w:tcPr>
          <w:p w14:paraId="382D553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3E2B1EF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222 400</w:t>
            </w:r>
          </w:p>
        </w:tc>
        <w:tc>
          <w:tcPr>
            <w:tcW w:w="821" w:type="dxa"/>
            <w:vAlign w:val="center"/>
            <w:hideMark/>
          </w:tcPr>
          <w:p w14:paraId="174F802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5FF37E1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229 000</w:t>
            </w:r>
          </w:p>
        </w:tc>
        <w:tc>
          <w:tcPr>
            <w:tcW w:w="942" w:type="dxa"/>
            <w:vAlign w:val="center"/>
            <w:hideMark/>
          </w:tcPr>
          <w:p w14:paraId="1B399EE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201 600</w:t>
            </w:r>
          </w:p>
        </w:tc>
      </w:tr>
      <w:tr w:rsidR="008C2713" w:rsidRPr="00D531C7" w14:paraId="20B74328" w14:textId="77777777" w:rsidTr="004651F6">
        <w:trPr>
          <w:tblCellSpacing w:w="15" w:type="dxa"/>
        </w:trPr>
        <w:tc>
          <w:tcPr>
            <w:tcW w:w="1799" w:type="dxa"/>
            <w:hideMark/>
          </w:tcPr>
          <w:p w14:paraId="5DED8ECC"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2.1. valsts pamatbudžets</w:t>
            </w:r>
          </w:p>
        </w:tc>
        <w:tc>
          <w:tcPr>
            <w:tcW w:w="1244" w:type="dxa"/>
            <w:vAlign w:val="center"/>
            <w:hideMark/>
          </w:tcPr>
          <w:p w14:paraId="7D8C035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7F6A367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874 200</w:t>
            </w:r>
          </w:p>
        </w:tc>
        <w:tc>
          <w:tcPr>
            <w:tcW w:w="820" w:type="dxa"/>
            <w:vAlign w:val="center"/>
            <w:hideMark/>
          </w:tcPr>
          <w:p w14:paraId="28B957A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6964F12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222 400</w:t>
            </w:r>
          </w:p>
        </w:tc>
        <w:tc>
          <w:tcPr>
            <w:tcW w:w="821" w:type="dxa"/>
            <w:vAlign w:val="center"/>
            <w:hideMark/>
          </w:tcPr>
          <w:p w14:paraId="6083F0D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40BBE84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229 000</w:t>
            </w:r>
          </w:p>
        </w:tc>
        <w:tc>
          <w:tcPr>
            <w:tcW w:w="942" w:type="dxa"/>
            <w:vAlign w:val="center"/>
            <w:hideMark/>
          </w:tcPr>
          <w:p w14:paraId="03CB137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201 600</w:t>
            </w:r>
          </w:p>
        </w:tc>
      </w:tr>
      <w:tr w:rsidR="008C2713" w:rsidRPr="00D531C7" w14:paraId="23FD5DAA" w14:textId="77777777" w:rsidTr="004651F6">
        <w:trPr>
          <w:tblCellSpacing w:w="15" w:type="dxa"/>
        </w:trPr>
        <w:tc>
          <w:tcPr>
            <w:tcW w:w="1799" w:type="dxa"/>
            <w:hideMark/>
          </w:tcPr>
          <w:p w14:paraId="3198177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2.2. valsts speciālais budžets</w:t>
            </w:r>
          </w:p>
        </w:tc>
        <w:tc>
          <w:tcPr>
            <w:tcW w:w="1244" w:type="dxa"/>
            <w:vAlign w:val="center"/>
            <w:hideMark/>
          </w:tcPr>
          <w:p w14:paraId="32C92A7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6A6DEE5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165D6FC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1995D58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242E34C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1BAC674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4001E6B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3E73C425" w14:textId="77777777" w:rsidTr="004651F6">
        <w:trPr>
          <w:tblCellSpacing w:w="15" w:type="dxa"/>
        </w:trPr>
        <w:tc>
          <w:tcPr>
            <w:tcW w:w="1799" w:type="dxa"/>
            <w:hideMark/>
          </w:tcPr>
          <w:p w14:paraId="49FF126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2.3. pašvaldību budžets</w:t>
            </w:r>
          </w:p>
        </w:tc>
        <w:tc>
          <w:tcPr>
            <w:tcW w:w="1244" w:type="dxa"/>
            <w:vAlign w:val="center"/>
            <w:hideMark/>
          </w:tcPr>
          <w:p w14:paraId="5971FCD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04FDB4E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1410B70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6049CC6C"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0A343F6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11700E2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12DCDF6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64DD5995" w14:textId="77777777" w:rsidTr="004651F6">
        <w:trPr>
          <w:tblCellSpacing w:w="15" w:type="dxa"/>
        </w:trPr>
        <w:tc>
          <w:tcPr>
            <w:tcW w:w="1799" w:type="dxa"/>
            <w:hideMark/>
          </w:tcPr>
          <w:p w14:paraId="7A3882B9"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 Finansiālā ietekme</w:t>
            </w:r>
          </w:p>
        </w:tc>
        <w:tc>
          <w:tcPr>
            <w:tcW w:w="1244" w:type="dxa"/>
            <w:vAlign w:val="center"/>
            <w:hideMark/>
          </w:tcPr>
          <w:p w14:paraId="64FBF7C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315C8D6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–742 144</w:t>
            </w:r>
          </w:p>
        </w:tc>
        <w:tc>
          <w:tcPr>
            <w:tcW w:w="820" w:type="dxa"/>
            <w:vAlign w:val="center"/>
            <w:hideMark/>
          </w:tcPr>
          <w:p w14:paraId="46A90CD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5E5E9A4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–71 168</w:t>
            </w:r>
          </w:p>
        </w:tc>
        <w:tc>
          <w:tcPr>
            <w:tcW w:w="821" w:type="dxa"/>
            <w:vAlign w:val="center"/>
            <w:hideMark/>
          </w:tcPr>
          <w:p w14:paraId="6E52620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6987692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–73 280</w:t>
            </w:r>
          </w:p>
        </w:tc>
        <w:tc>
          <w:tcPr>
            <w:tcW w:w="942" w:type="dxa"/>
            <w:vAlign w:val="center"/>
            <w:hideMark/>
          </w:tcPr>
          <w:p w14:paraId="0AD9E97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–64 512</w:t>
            </w:r>
          </w:p>
        </w:tc>
      </w:tr>
      <w:tr w:rsidR="008C2713" w:rsidRPr="00D531C7" w14:paraId="599DC81D" w14:textId="77777777" w:rsidTr="004651F6">
        <w:trPr>
          <w:tblCellSpacing w:w="15" w:type="dxa"/>
        </w:trPr>
        <w:tc>
          <w:tcPr>
            <w:tcW w:w="1799" w:type="dxa"/>
            <w:hideMark/>
          </w:tcPr>
          <w:p w14:paraId="1AC2988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3.1. valsts pamatbudžets</w:t>
            </w:r>
          </w:p>
        </w:tc>
        <w:tc>
          <w:tcPr>
            <w:tcW w:w="1244" w:type="dxa"/>
            <w:vAlign w:val="center"/>
            <w:hideMark/>
          </w:tcPr>
          <w:p w14:paraId="3663108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117D9A1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–742 144</w:t>
            </w:r>
          </w:p>
        </w:tc>
        <w:tc>
          <w:tcPr>
            <w:tcW w:w="820" w:type="dxa"/>
            <w:vAlign w:val="center"/>
            <w:hideMark/>
          </w:tcPr>
          <w:p w14:paraId="1A8DC4D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4BC54D7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–71 168</w:t>
            </w:r>
          </w:p>
        </w:tc>
        <w:tc>
          <w:tcPr>
            <w:tcW w:w="821" w:type="dxa"/>
            <w:vAlign w:val="center"/>
            <w:hideMark/>
          </w:tcPr>
          <w:p w14:paraId="6B3899A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756B7EF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–73 280</w:t>
            </w:r>
          </w:p>
        </w:tc>
        <w:tc>
          <w:tcPr>
            <w:tcW w:w="942" w:type="dxa"/>
            <w:vAlign w:val="center"/>
            <w:hideMark/>
          </w:tcPr>
          <w:p w14:paraId="37F1FDA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–64 512</w:t>
            </w:r>
          </w:p>
        </w:tc>
      </w:tr>
      <w:tr w:rsidR="008C2713" w:rsidRPr="00D531C7" w14:paraId="292A6AA4" w14:textId="77777777" w:rsidTr="004651F6">
        <w:trPr>
          <w:tblCellSpacing w:w="15" w:type="dxa"/>
        </w:trPr>
        <w:tc>
          <w:tcPr>
            <w:tcW w:w="1799" w:type="dxa"/>
            <w:hideMark/>
          </w:tcPr>
          <w:p w14:paraId="1512DA74"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3.2. speciālais budžets</w:t>
            </w:r>
          </w:p>
        </w:tc>
        <w:tc>
          <w:tcPr>
            <w:tcW w:w="1244" w:type="dxa"/>
            <w:vAlign w:val="center"/>
            <w:hideMark/>
          </w:tcPr>
          <w:p w14:paraId="0F53466C"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08C14C2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7A92CFA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6D360E7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4DD4E2C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7B0D1BD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40F2441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0422D82D" w14:textId="77777777" w:rsidTr="004651F6">
        <w:trPr>
          <w:tblCellSpacing w:w="15" w:type="dxa"/>
        </w:trPr>
        <w:tc>
          <w:tcPr>
            <w:tcW w:w="1799" w:type="dxa"/>
            <w:hideMark/>
          </w:tcPr>
          <w:p w14:paraId="5B49D1F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3.3. pašvaldību budžets</w:t>
            </w:r>
          </w:p>
        </w:tc>
        <w:tc>
          <w:tcPr>
            <w:tcW w:w="1244" w:type="dxa"/>
            <w:vAlign w:val="center"/>
            <w:hideMark/>
          </w:tcPr>
          <w:p w14:paraId="3A09005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1388" w:type="dxa"/>
            <w:vAlign w:val="center"/>
            <w:hideMark/>
          </w:tcPr>
          <w:p w14:paraId="065FF7DC"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Align w:val="center"/>
            <w:hideMark/>
          </w:tcPr>
          <w:p w14:paraId="2AB4610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2" w:type="dxa"/>
            <w:vAlign w:val="center"/>
            <w:hideMark/>
          </w:tcPr>
          <w:p w14:paraId="64FA320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6D5E78D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61" w:type="dxa"/>
            <w:vAlign w:val="center"/>
            <w:hideMark/>
          </w:tcPr>
          <w:p w14:paraId="5C4E5CF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45525F6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1B41E38C" w14:textId="77777777" w:rsidTr="004651F6">
        <w:trPr>
          <w:tblCellSpacing w:w="15" w:type="dxa"/>
        </w:trPr>
        <w:tc>
          <w:tcPr>
            <w:tcW w:w="1799" w:type="dxa"/>
            <w:hideMark/>
          </w:tcPr>
          <w:p w14:paraId="47CBDD16"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4. Finanšu līdzekļi papildu izdevumu finansēšanai (kompensējošu izdevumu samazinājumu norāda ar "+" zīmi)</w:t>
            </w:r>
          </w:p>
        </w:tc>
        <w:tc>
          <w:tcPr>
            <w:tcW w:w="1244" w:type="dxa"/>
            <w:vAlign w:val="center"/>
            <w:hideMark/>
          </w:tcPr>
          <w:p w14:paraId="72ED6B4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1388" w:type="dxa"/>
            <w:vAlign w:val="center"/>
            <w:hideMark/>
          </w:tcPr>
          <w:p w14:paraId="193A992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680 000</w:t>
            </w:r>
          </w:p>
        </w:tc>
        <w:tc>
          <w:tcPr>
            <w:tcW w:w="820" w:type="dxa"/>
            <w:vAlign w:val="center"/>
            <w:hideMark/>
          </w:tcPr>
          <w:p w14:paraId="7811625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962" w:type="dxa"/>
            <w:vAlign w:val="center"/>
            <w:hideMark/>
          </w:tcPr>
          <w:p w14:paraId="4DF5F41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Align w:val="center"/>
            <w:hideMark/>
          </w:tcPr>
          <w:p w14:paraId="6FA25D4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961" w:type="dxa"/>
            <w:vAlign w:val="center"/>
            <w:hideMark/>
          </w:tcPr>
          <w:p w14:paraId="42E1C38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6A174F1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3D1354CB" w14:textId="77777777" w:rsidTr="004651F6">
        <w:trPr>
          <w:tblCellSpacing w:w="15" w:type="dxa"/>
        </w:trPr>
        <w:tc>
          <w:tcPr>
            <w:tcW w:w="1799" w:type="dxa"/>
            <w:hideMark/>
          </w:tcPr>
          <w:p w14:paraId="49C3428F"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lastRenderedPageBreak/>
              <w:t>5. Precizēta finansiālā ietekme</w:t>
            </w:r>
          </w:p>
        </w:tc>
        <w:tc>
          <w:tcPr>
            <w:tcW w:w="1244" w:type="dxa"/>
            <w:vMerge w:val="restart"/>
            <w:vAlign w:val="center"/>
            <w:hideMark/>
          </w:tcPr>
          <w:p w14:paraId="62DD337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5B0CACC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104C555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5B737DD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78AE9B2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5D8249E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1388" w:type="dxa"/>
            <w:vAlign w:val="center"/>
            <w:hideMark/>
          </w:tcPr>
          <w:p w14:paraId="6A59378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62 144</w:t>
            </w:r>
          </w:p>
        </w:tc>
        <w:tc>
          <w:tcPr>
            <w:tcW w:w="820" w:type="dxa"/>
            <w:vMerge w:val="restart"/>
            <w:vAlign w:val="center"/>
            <w:hideMark/>
          </w:tcPr>
          <w:p w14:paraId="7BB4C48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60E48AF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3AB425C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2C1A53C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090BF4C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2AB910D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962" w:type="dxa"/>
            <w:vAlign w:val="center"/>
            <w:hideMark/>
          </w:tcPr>
          <w:p w14:paraId="18C8C11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71 168</w:t>
            </w:r>
          </w:p>
        </w:tc>
        <w:tc>
          <w:tcPr>
            <w:tcW w:w="821" w:type="dxa"/>
            <w:vMerge w:val="restart"/>
            <w:vAlign w:val="center"/>
            <w:hideMark/>
          </w:tcPr>
          <w:p w14:paraId="68A4117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793E6C4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6ACCB12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49B57C4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526DE93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p w14:paraId="5D99B881"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X</w:t>
            </w:r>
          </w:p>
        </w:tc>
        <w:tc>
          <w:tcPr>
            <w:tcW w:w="961" w:type="dxa"/>
            <w:vAlign w:val="center"/>
            <w:hideMark/>
          </w:tcPr>
          <w:p w14:paraId="6D48038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73 280</w:t>
            </w:r>
          </w:p>
        </w:tc>
        <w:tc>
          <w:tcPr>
            <w:tcW w:w="942" w:type="dxa"/>
            <w:vAlign w:val="center"/>
            <w:hideMark/>
          </w:tcPr>
          <w:p w14:paraId="7EBD3E7E"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64 512</w:t>
            </w:r>
          </w:p>
        </w:tc>
      </w:tr>
      <w:tr w:rsidR="008C2713" w:rsidRPr="00D531C7" w14:paraId="3CAFC99F" w14:textId="77777777" w:rsidTr="004651F6">
        <w:trPr>
          <w:tblCellSpacing w:w="15" w:type="dxa"/>
        </w:trPr>
        <w:tc>
          <w:tcPr>
            <w:tcW w:w="1799" w:type="dxa"/>
            <w:hideMark/>
          </w:tcPr>
          <w:p w14:paraId="29A8D4A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5.1. valsts pamatbudžets</w:t>
            </w:r>
          </w:p>
        </w:tc>
        <w:tc>
          <w:tcPr>
            <w:tcW w:w="1244" w:type="dxa"/>
            <w:vMerge/>
            <w:vAlign w:val="center"/>
            <w:hideMark/>
          </w:tcPr>
          <w:p w14:paraId="4CF3BE0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1388" w:type="dxa"/>
            <w:vAlign w:val="center"/>
            <w:hideMark/>
          </w:tcPr>
          <w:p w14:paraId="3DCDC97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62 144</w:t>
            </w:r>
          </w:p>
        </w:tc>
        <w:tc>
          <w:tcPr>
            <w:tcW w:w="820" w:type="dxa"/>
            <w:vMerge/>
            <w:vAlign w:val="center"/>
            <w:hideMark/>
          </w:tcPr>
          <w:p w14:paraId="1AB6B98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2" w:type="dxa"/>
            <w:vAlign w:val="center"/>
            <w:hideMark/>
          </w:tcPr>
          <w:p w14:paraId="6EF8BEC4"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71 168</w:t>
            </w:r>
          </w:p>
        </w:tc>
        <w:tc>
          <w:tcPr>
            <w:tcW w:w="821" w:type="dxa"/>
            <w:vMerge/>
            <w:vAlign w:val="center"/>
            <w:hideMark/>
          </w:tcPr>
          <w:p w14:paraId="57BB6B0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1" w:type="dxa"/>
            <w:vAlign w:val="center"/>
            <w:hideMark/>
          </w:tcPr>
          <w:p w14:paraId="4C05AEE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73 280</w:t>
            </w:r>
          </w:p>
        </w:tc>
        <w:tc>
          <w:tcPr>
            <w:tcW w:w="942" w:type="dxa"/>
            <w:vAlign w:val="center"/>
            <w:hideMark/>
          </w:tcPr>
          <w:p w14:paraId="1113B91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64 512</w:t>
            </w:r>
          </w:p>
        </w:tc>
      </w:tr>
      <w:tr w:rsidR="008C2713" w:rsidRPr="00D531C7" w14:paraId="041E3557" w14:textId="77777777" w:rsidTr="004651F6">
        <w:trPr>
          <w:tblCellSpacing w:w="15" w:type="dxa"/>
        </w:trPr>
        <w:tc>
          <w:tcPr>
            <w:tcW w:w="1799" w:type="dxa"/>
            <w:hideMark/>
          </w:tcPr>
          <w:p w14:paraId="3ED6A9AF"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5.2. speciālais budžets</w:t>
            </w:r>
          </w:p>
        </w:tc>
        <w:tc>
          <w:tcPr>
            <w:tcW w:w="1244" w:type="dxa"/>
            <w:vMerge/>
            <w:vAlign w:val="center"/>
            <w:hideMark/>
          </w:tcPr>
          <w:p w14:paraId="4C387F02"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1388" w:type="dxa"/>
            <w:vAlign w:val="center"/>
            <w:hideMark/>
          </w:tcPr>
          <w:p w14:paraId="2E6D40CD"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Merge/>
            <w:vAlign w:val="center"/>
            <w:hideMark/>
          </w:tcPr>
          <w:p w14:paraId="305BC07B"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2" w:type="dxa"/>
            <w:vAlign w:val="center"/>
            <w:hideMark/>
          </w:tcPr>
          <w:p w14:paraId="4AF3F783"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Merge/>
            <w:vAlign w:val="center"/>
            <w:hideMark/>
          </w:tcPr>
          <w:p w14:paraId="0C6B4BB6"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1" w:type="dxa"/>
            <w:vAlign w:val="center"/>
            <w:hideMark/>
          </w:tcPr>
          <w:p w14:paraId="0B4446E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5560F830"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7C8D08B2" w14:textId="77777777" w:rsidTr="004651F6">
        <w:trPr>
          <w:tblCellSpacing w:w="15" w:type="dxa"/>
        </w:trPr>
        <w:tc>
          <w:tcPr>
            <w:tcW w:w="1799" w:type="dxa"/>
            <w:hideMark/>
          </w:tcPr>
          <w:p w14:paraId="15F0ED4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5.3. pašvaldību budžets</w:t>
            </w:r>
          </w:p>
        </w:tc>
        <w:tc>
          <w:tcPr>
            <w:tcW w:w="1244" w:type="dxa"/>
            <w:vMerge/>
            <w:vAlign w:val="center"/>
            <w:hideMark/>
          </w:tcPr>
          <w:p w14:paraId="56CC5A45"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1388" w:type="dxa"/>
            <w:vAlign w:val="center"/>
            <w:hideMark/>
          </w:tcPr>
          <w:p w14:paraId="78AFE4DA"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0" w:type="dxa"/>
            <w:vMerge/>
            <w:vAlign w:val="center"/>
            <w:hideMark/>
          </w:tcPr>
          <w:p w14:paraId="0EEB6C9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2" w:type="dxa"/>
            <w:vAlign w:val="center"/>
            <w:hideMark/>
          </w:tcPr>
          <w:p w14:paraId="78B1BE2F"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821" w:type="dxa"/>
            <w:vMerge/>
            <w:vAlign w:val="center"/>
            <w:hideMark/>
          </w:tcPr>
          <w:p w14:paraId="55DA0F67"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p>
        </w:tc>
        <w:tc>
          <w:tcPr>
            <w:tcW w:w="961" w:type="dxa"/>
            <w:vAlign w:val="center"/>
            <w:hideMark/>
          </w:tcPr>
          <w:p w14:paraId="298DC5D9"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c>
          <w:tcPr>
            <w:tcW w:w="942" w:type="dxa"/>
            <w:vAlign w:val="center"/>
            <w:hideMark/>
          </w:tcPr>
          <w:p w14:paraId="3EEBF118" w14:textId="77777777" w:rsidR="008C2713" w:rsidRPr="00D531C7" w:rsidRDefault="008C2713" w:rsidP="008C2713">
            <w:pPr>
              <w:suppressAutoHyphens/>
              <w:spacing w:after="0" w:line="240" w:lineRule="auto"/>
              <w:jc w:val="center"/>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0</w:t>
            </w:r>
          </w:p>
        </w:tc>
      </w:tr>
      <w:tr w:rsidR="008C2713" w:rsidRPr="00D531C7" w14:paraId="4709717B" w14:textId="77777777" w:rsidTr="004651F6">
        <w:trPr>
          <w:tblCellSpacing w:w="15" w:type="dxa"/>
        </w:trPr>
        <w:tc>
          <w:tcPr>
            <w:tcW w:w="1799" w:type="dxa"/>
            <w:hideMark/>
          </w:tcPr>
          <w:p w14:paraId="499392D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 Detalizēts ieņēmumu un izdevumu aprēķins (ja nepieciešams, detalizētu ieņēmumu un izdevumu aprēķinu var pievienot anotācijas pielikumā)</w:t>
            </w:r>
          </w:p>
        </w:tc>
        <w:tc>
          <w:tcPr>
            <w:tcW w:w="7318" w:type="dxa"/>
            <w:gridSpan w:val="7"/>
            <w:vMerge w:val="restart"/>
            <w:hideMark/>
          </w:tcPr>
          <w:p w14:paraId="3D753DD0" w14:textId="0DCBC289"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1.</w:t>
            </w:r>
            <w:r w:rsidR="005A03F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Lauku attīstības programmas pasākuma “Ražotāju grupu un organizāciju izveide” pārejas periodā ir apstiprināts pārejas perioda finansējums 1</w:t>
            </w:r>
            <w:r w:rsidR="005A03F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000</w:t>
            </w:r>
            <w:r w:rsidR="005A03F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 xml:space="preserve">000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ar ES līdzfinansējumu 68% apmērā un valsts līdzfinansējumu 32% apmērā.</w:t>
            </w:r>
          </w:p>
          <w:p w14:paraId="55D12A21" w14:textId="5CF2C714"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Lauku attīstības programmas grozījumi par papildu publisko finansējumu pasākumā tika saskaņoti 2021. gada 11. februāra Lauku attīstības programmas uzraudzības komitejas sēdē, un 2021. gada 19.</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martā tie tika iesniegti Eiropas Komisijā ar elektroniskās datu apmaiņas sistēmas </w:t>
            </w:r>
            <w:r w:rsidRPr="00D531C7">
              <w:rPr>
                <w:rFonts w:ascii="Times New Roman" w:eastAsia="Times New Roman" w:hAnsi="Times New Roman" w:cs="Times New Roman"/>
                <w:i/>
                <w:kern w:val="1"/>
                <w:sz w:val="24"/>
                <w:szCs w:val="24"/>
                <w:lang w:eastAsia="ar-SA"/>
              </w:rPr>
              <w:t>SFC</w:t>
            </w:r>
            <w:r w:rsidR="005A03F2" w:rsidRPr="00D531C7">
              <w:rPr>
                <w:rFonts w:ascii="Times New Roman" w:eastAsia="Times New Roman" w:hAnsi="Times New Roman" w:cs="Times New Roman"/>
                <w:i/>
                <w:kern w:val="1"/>
                <w:sz w:val="24"/>
                <w:szCs w:val="24"/>
                <w:lang w:eastAsia="ar-SA"/>
              </w:rPr>
              <w:t> </w:t>
            </w:r>
            <w:r w:rsidRPr="00D531C7">
              <w:rPr>
                <w:rFonts w:ascii="Times New Roman" w:eastAsia="Times New Roman" w:hAnsi="Times New Roman" w:cs="Times New Roman"/>
                <w:i/>
                <w:kern w:val="1"/>
                <w:sz w:val="24"/>
                <w:szCs w:val="24"/>
                <w:lang w:eastAsia="ar-SA"/>
              </w:rPr>
              <w:t>2014</w:t>
            </w:r>
            <w:r w:rsidRPr="00D531C7">
              <w:rPr>
                <w:rFonts w:ascii="Times New Roman" w:eastAsia="Times New Roman" w:hAnsi="Times New Roman" w:cs="Times New Roman"/>
                <w:kern w:val="1"/>
                <w:sz w:val="24"/>
                <w:szCs w:val="24"/>
                <w:lang w:eastAsia="ar-SA"/>
              </w:rPr>
              <w:t xml:space="preserve"> starpniecību.</w:t>
            </w:r>
          </w:p>
          <w:p w14:paraId="544A1E76" w14:textId="68CC24C7" w:rsidR="008C2713" w:rsidRPr="00D531C7" w:rsidRDefault="005A03F2"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Tādējādi</w:t>
            </w:r>
            <w:r w:rsidR="008C2713" w:rsidRPr="00D531C7">
              <w:rPr>
                <w:rFonts w:ascii="Times New Roman" w:eastAsia="Times New Roman" w:hAnsi="Times New Roman" w:cs="Times New Roman"/>
                <w:kern w:val="1"/>
                <w:sz w:val="24"/>
                <w:szCs w:val="24"/>
                <w:lang w:eastAsia="ar-SA"/>
              </w:rPr>
              <w:t xml:space="preserve"> valsts budžetā pasākumā “Ražotāju grupu un organizāciju izveide” papildus nepieciešami pārejas perioda finanšu līdzekļi:</w:t>
            </w:r>
          </w:p>
          <w:p w14:paraId="3A7F72FA" w14:textId="7AABD050"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2021.</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 194 200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apmērā;</w:t>
            </w:r>
          </w:p>
          <w:p w14:paraId="466AC00E" w14:textId="2C638E1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2022.</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 222 400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apmērā;</w:t>
            </w:r>
          </w:p>
          <w:p w14:paraId="0856ADC2" w14:textId="024EDA1B"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2023.</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 229 000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apmērā;</w:t>
            </w:r>
          </w:p>
          <w:p w14:paraId="0054A8B2" w14:textId="2611F7CE"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2024.</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 201 600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apmērā;</w:t>
            </w:r>
          </w:p>
          <w:p w14:paraId="4AD87780" w14:textId="1A5C63F2"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2025.</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gadā – 152 800 </w:t>
            </w:r>
            <w:proofErr w:type="spellStart"/>
            <w:r w:rsidR="005A03F2" w:rsidRPr="00D531C7">
              <w:rPr>
                <w:rFonts w:ascii="Times New Roman" w:eastAsia="Times New Roman" w:hAnsi="Times New Roman" w:cs="Times New Roman"/>
                <w:i/>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apmērā.</w:t>
            </w:r>
          </w:p>
          <w:p w14:paraId="13DFBF1D" w14:textId="6572F7AE" w:rsidR="008C2713" w:rsidRPr="00D531C7" w:rsidRDefault="008C2713" w:rsidP="001064BB">
            <w:pPr>
              <w:suppressAutoHyphens/>
              <w:spacing w:after="0" w:line="240" w:lineRule="auto"/>
              <w:jc w:val="both"/>
              <w:rPr>
                <w:rFonts w:ascii="Times New Roman" w:eastAsia="Times New Roman" w:hAnsi="Times New Roman" w:cs="Times New Roman"/>
                <w:iCs/>
                <w:sz w:val="24"/>
                <w:szCs w:val="24"/>
                <w:lang w:eastAsia="lv-LV"/>
              </w:rPr>
            </w:pPr>
            <w:r w:rsidRPr="00D531C7">
              <w:rPr>
                <w:rFonts w:ascii="Times New Roman" w:eastAsia="Times New Roman" w:hAnsi="Times New Roman" w:cs="Times New Roman"/>
                <w:kern w:val="1"/>
                <w:sz w:val="24"/>
                <w:szCs w:val="24"/>
                <w:lang w:eastAsia="ar-SA"/>
              </w:rPr>
              <w:t>Zemkopības ministrija atbalstu pasākuma īstenošanai izmaksās no budžeta apakšprogrammas 65.08.00. “Maksājumu iestādes izdevumi Eiropas Lauksaimniecības fonda lauku attīstībai (ELFLA) projektu un pasākumu īstenošanai (2014–2020)”.</w:t>
            </w:r>
          </w:p>
          <w:p w14:paraId="09B38531" w14:textId="11C8D7D6" w:rsidR="008C2713" w:rsidRPr="00D531C7" w:rsidRDefault="008C2713" w:rsidP="008C2713">
            <w:pPr>
              <w:tabs>
                <w:tab w:val="left" w:pos="7155"/>
              </w:tabs>
              <w:suppressAutoHyphens/>
              <w:spacing w:after="120" w:line="240" w:lineRule="auto"/>
              <w:jc w:val="both"/>
              <w:rPr>
                <w:rFonts w:ascii="Times New Roman" w:eastAsia="Times New Roman" w:hAnsi="Times New Roman" w:cs="Times New Roman"/>
                <w:sz w:val="24"/>
                <w:szCs w:val="24"/>
              </w:rPr>
            </w:pPr>
            <w:r w:rsidRPr="00D531C7">
              <w:rPr>
                <w:rFonts w:ascii="Times New Roman" w:eastAsia="Times New Roman" w:hAnsi="Times New Roman" w:cs="Times New Roman"/>
                <w:iCs/>
                <w:kern w:val="1"/>
                <w:sz w:val="24"/>
                <w:szCs w:val="24"/>
                <w:lang w:eastAsia="ar-SA"/>
              </w:rPr>
              <w:t>2.</w:t>
            </w:r>
            <w:r w:rsidR="005A03F2" w:rsidRPr="00D531C7">
              <w:rPr>
                <w:rFonts w:ascii="Times New Roman" w:eastAsia="Times New Roman" w:hAnsi="Times New Roman" w:cs="Times New Roman"/>
                <w:iCs/>
                <w:kern w:val="1"/>
                <w:sz w:val="24"/>
                <w:szCs w:val="24"/>
                <w:lang w:eastAsia="ar-SA"/>
              </w:rPr>
              <w:t> </w:t>
            </w:r>
            <w:r w:rsidRPr="00D531C7">
              <w:rPr>
                <w:rFonts w:ascii="Times New Roman" w:eastAsia="Times New Roman" w:hAnsi="Times New Roman" w:cs="Times New Roman"/>
                <w:iCs/>
                <w:kern w:val="1"/>
                <w:sz w:val="24"/>
                <w:szCs w:val="24"/>
                <w:lang w:eastAsia="ar-SA"/>
              </w:rPr>
              <w:t xml:space="preserve">No valsts budžeta programmas 02.00.00 "Līdzekļi neparedzētiem gadījumiem" </w:t>
            </w:r>
            <w:r w:rsidRPr="00D531C7">
              <w:rPr>
                <w:rFonts w:ascii="Times New Roman" w:eastAsia="Times New Roman" w:hAnsi="Times New Roman" w:cs="Times New Roman"/>
                <w:kern w:val="1"/>
                <w:sz w:val="24"/>
                <w:szCs w:val="24"/>
                <w:lang w:eastAsia="ar-SA"/>
              </w:rPr>
              <w:t>saskaņā ar Ministru kabineta 2021.</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gada 17.</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februāra rīkojuma Nr.96 “Par finanšu līdzekļu piešķiršanu no valsts budžeta programmas “Līdzekļi neparedzētiem gadījumiem”” 1.5.</w:t>
            </w:r>
            <w:r w:rsidR="005A03F2"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apakšpunktu piešķirts finansējums 680 000 </w:t>
            </w:r>
            <w:proofErr w:type="spellStart"/>
            <w:r w:rsidRPr="00D531C7">
              <w:rPr>
                <w:rFonts w:ascii="Times New Roman" w:eastAsia="Times New Roman" w:hAnsi="Times New Roman" w:cs="Times New Roman"/>
                <w:i/>
                <w:iCs/>
                <w:kern w:val="1"/>
                <w:sz w:val="24"/>
                <w:szCs w:val="24"/>
                <w:lang w:eastAsia="ar-SA"/>
              </w:rPr>
              <w:t>euro</w:t>
            </w:r>
            <w:proofErr w:type="spellEnd"/>
            <w:r w:rsidRPr="00D531C7">
              <w:rPr>
                <w:rFonts w:ascii="Times New Roman" w:eastAsia="Times New Roman" w:hAnsi="Times New Roman" w:cs="Times New Roman"/>
                <w:kern w:val="1"/>
                <w:sz w:val="24"/>
                <w:szCs w:val="24"/>
                <w:lang w:eastAsia="ar-SA"/>
              </w:rPr>
              <w:t xml:space="preserve"> sadarbības formu attīstībai, lai stiprinātu mazo un vidējo kooperatīvo sabiedrību tirgus varu, kā arī administratīvo un ekonomisko kapacitāti. </w:t>
            </w:r>
            <w:r w:rsidRPr="00D531C7">
              <w:rPr>
                <w:rFonts w:ascii="Times New Roman" w:eastAsia="Times New Roman" w:hAnsi="Times New Roman" w:cs="Times New Roman"/>
                <w:iCs/>
                <w:kern w:val="1"/>
                <w:sz w:val="24"/>
                <w:szCs w:val="24"/>
                <w:lang w:eastAsia="ar-SA"/>
              </w:rPr>
              <w:t>Saskaņā ar Ministru kabineta 2021. gada 17.</w:t>
            </w:r>
            <w:r w:rsidR="005A03F2" w:rsidRPr="00D531C7">
              <w:rPr>
                <w:rFonts w:ascii="Times New Roman" w:eastAsia="Times New Roman" w:hAnsi="Times New Roman" w:cs="Times New Roman"/>
                <w:iCs/>
                <w:kern w:val="1"/>
                <w:sz w:val="24"/>
                <w:szCs w:val="24"/>
                <w:lang w:eastAsia="ar-SA"/>
              </w:rPr>
              <w:t> </w:t>
            </w:r>
            <w:r w:rsidRPr="00D531C7">
              <w:rPr>
                <w:rFonts w:ascii="Times New Roman" w:eastAsia="Times New Roman" w:hAnsi="Times New Roman" w:cs="Times New Roman"/>
                <w:iCs/>
                <w:kern w:val="1"/>
                <w:sz w:val="24"/>
                <w:szCs w:val="24"/>
                <w:lang w:eastAsia="ar-SA"/>
              </w:rPr>
              <w:t>februāra rīkojumā Nr. 96 noteikto</w:t>
            </w:r>
            <w:r w:rsidRPr="00D531C7">
              <w:rPr>
                <w:rFonts w:ascii="Times New Roman" w:eastAsia="Times New Roman" w:hAnsi="Times New Roman" w:cs="Times New Roman"/>
                <w:kern w:val="1"/>
                <w:sz w:val="24"/>
                <w:szCs w:val="24"/>
                <w:lang w:eastAsia="ar-SA"/>
              </w:rPr>
              <w:t xml:space="preserve"> līdzekļi no valsts budžeta programmas 02.00.00 “Līdzekļi neparedzētiem gadījumiem” piešķirami </w:t>
            </w:r>
            <w:r w:rsidRPr="00D531C7">
              <w:rPr>
                <w:rFonts w:ascii="Times New Roman" w:eastAsia="Times New Roman" w:hAnsi="Times New Roman" w:cs="Times New Roman"/>
                <w:iCs/>
                <w:kern w:val="1"/>
                <w:sz w:val="24"/>
                <w:szCs w:val="24"/>
                <w:lang w:eastAsia="ar-SA"/>
              </w:rPr>
              <w:t>atbilstoši faktiski nepieciešamajam finansējumam.</w:t>
            </w:r>
          </w:p>
        </w:tc>
      </w:tr>
      <w:tr w:rsidR="008C2713" w:rsidRPr="00D531C7" w14:paraId="11552A5F" w14:textId="77777777" w:rsidTr="004651F6">
        <w:trPr>
          <w:tblCellSpacing w:w="15" w:type="dxa"/>
        </w:trPr>
        <w:tc>
          <w:tcPr>
            <w:tcW w:w="1799" w:type="dxa"/>
            <w:hideMark/>
          </w:tcPr>
          <w:p w14:paraId="50535CD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6.1. detalizēts ieņēmumu aprēķins</w:t>
            </w:r>
          </w:p>
        </w:tc>
        <w:tc>
          <w:tcPr>
            <w:tcW w:w="7318" w:type="dxa"/>
            <w:gridSpan w:val="7"/>
            <w:vMerge/>
            <w:vAlign w:val="center"/>
            <w:hideMark/>
          </w:tcPr>
          <w:p w14:paraId="291E7AAE"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c>
      </w:tr>
      <w:tr w:rsidR="008C2713" w:rsidRPr="00D531C7" w14:paraId="4B8A26E4" w14:textId="77777777" w:rsidTr="004651F6">
        <w:trPr>
          <w:tblCellSpacing w:w="15" w:type="dxa"/>
        </w:trPr>
        <w:tc>
          <w:tcPr>
            <w:tcW w:w="1799" w:type="dxa"/>
            <w:hideMark/>
          </w:tcPr>
          <w:p w14:paraId="0B474B1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6.2. detalizēts izdevumu aprēķins</w:t>
            </w:r>
          </w:p>
        </w:tc>
        <w:tc>
          <w:tcPr>
            <w:tcW w:w="7318" w:type="dxa"/>
            <w:gridSpan w:val="7"/>
            <w:vMerge/>
            <w:vAlign w:val="center"/>
            <w:hideMark/>
          </w:tcPr>
          <w:p w14:paraId="49187D42"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c>
      </w:tr>
      <w:tr w:rsidR="008C2713" w:rsidRPr="00D531C7" w14:paraId="0BC295E3" w14:textId="77777777" w:rsidTr="004651F6">
        <w:trPr>
          <w:tblCellSpacing w:w="15" w:type="dxa"/>
        </w:trPr>
        <w:tc>
          <w:tcPr>
            <w:tcW w:w="1799" w:type="dxa"/>
            <w:hideMark/>
          </w:tcPr>
          <w:p w14:paraId="0E02D179"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7. Amata vietu skaita izmaiņas</w:t>
            </w:r>
          </w:p>
        </w:tc>
        <w:tc>
          <w:tcPr>
            <w:tcW w:w="7318" w:type="dxa"/>
            <w:gridSpan w:val="7"/>
            <w:hideMark/>
          </w:tcPr>
          <w:p w14:paraId="1D2ABDDD" w14:textId="77777777" w:rsidR="008C2713" w:rsidRPr="00D531C7" w:rsidRDefault="008C2713" w:rsidP="008C2713">
            <w:pPr>
              <w:suppressAutoHyphens/>
              <w:spacing w:after="0" w:line="240" w:lineRule="auto"/>
              <w:rPr>
                <w:rFonts w:ascii="Times New Roman" w:eastAsia="Times New Roman" w:hAnsi="Times New Roman" w:cs="Times New Roman"/>
                <w:iCs/>
                <w:color w:val="A6A6A6" w:themeColor="background1" w:themeShade="A6"/>
                <w:kern w:val="1"/>
                <w:sz w:val="24"/>
                <w:szCs w:val="24"/>
                <w:lang w:eastAsia="lv-LV"/>
              </w:rPr>
            </w:pPr>
            <w:r w:rsidRPr="00D531C7">
              <w:rPr>
                <w:rFonts w:ascii="Times New Roman" w:eastAsia="Times New Roman" w:hAnsi="Times New Roman" w:cs="Times New Roman"/>
                <w:iCs/>
                <w:kern w:val="1"/>
                <w:sz w:val="24"/>
                <w:szCs w:val="24"/>
                <w:lang w:eastAsia="lv-LV"/>
              </w:rPr>
              <w:t>Nav plānotas.</w:t>
            </w:r>
          </w:p>
        </w:tc>
      </w:tr>
      <w:tr w:rsidR="008C2713" w:rsidRPr="00D531C7" w14:paraId="7D8462CF" w14:textId="77777777" w:rsidTr="004651F6">
        <w:trPr>
          <w:tblCellSpacing w:w="15" w:type="dxa"/>
        </w:trPr>
        <w:tc>
          <w:tcPr>
            <w:tcW w:w="1799" w:type="dxa"/>
            <w:hideMark/>
          </w:tcPr>
          <w:p w14:paraId="42FCEDB2" w14:textId="77777777" w:rsidR="008C2713" w:rsidRPr="00D531C7" w:rsidRDefault="008C2713" w:rsidP="008C2713">
            <w:pPr>
              <w:suppressAutoHyphens/>
              <w:spacing w:after="0" w:line="240" w:lineRule="auto"/>
              <w:rPr>
                <w:rFonts w:ascii="Times New Roman" w:eastAsia="Times New Roman" w:hAnsi="Times New Roman" w:cs="Times New Roman"/>
                <w:iCs/>
                <w:kern w:val="1"/>
                <w:sz w:val="24"/>
                <w:szCs w:val="24"/>
                <w:lang w:eastAsia="lv-LV"/>
              </w:rPr>
            </w:pPr>
            <w:r w:rsidRPr="00D531C7">
              <w:rPr>
                <w:rFonts w:ascii="Times New Roman" w:eastAsia="Times New Roman" w:hAnsi="Times New Roman" w:cs="Times New Roman"/>
                <w:iCs/>
                <w:kern w:val="1"/>
                <w:sz w:val="24"/>
                <w:szCs w:val="24"/>
                <w:lang w:eastAsia="lv-LV"/>
              </w:rPr>
              <w:t>8. Cita informācija</w:t>
            </w:r>
          </w:p>
        </w:tc>
        <w:tc>
          <w:tcPr>
            <w:tcW w:w="7318" w:type="dxa"/>
            <w:gridSpan w:val="7"/>
            <w:hideMark/>
          </w:tcPr>
          <w:p w14:paraId="7C37A365"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Nav.</w:t>
            </w:r>
          </w:p>
        </w:tc>
      </w:tr>
    </w:tbl>
    <w:p w14:paraId="5ACF889F"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0"/>
      </w:tblGrid>
      <w:tr w:rsidR="008C2713" w:rsidRPr="00D531C7" w14:paraId="68C5E0DA" w14:textId="77777777" w:rsidTr="008C215C">
        <w:tc>
          <w:tcPr>
            <w:tcW w:w="0" w:type="auto"/>
            <w:vAlign w:val="center"/>
            <w:hideMark/>
          </w:tcPr>
          <w:p w14:paraId="66B92B7A" w14:textId="77777777" w:rsidR="008C2713" w:rsidRPr="00D531C7" w:rsidRDefault="008C2713" w:rsidP="008C2713">
            <w:pPr>
              <w:suppressAutoHyphens/>
              <w:spacing w:before="100" w:beforeAutospacing="1" w:after="100" w:afterAutospacing="1" w:line="240" w:lineRule="auto"/>
              <w:ind w:firstLine="300"/>
              <w:jc w:val="center"/>
              <w:rPr>
                <w:rFonts w:ascii="Times New Roman" w:eastAsia="Times New Roman" w:hAnsi="Times New Roman" w:cs="Times New Roman"/>
                <w:b/>
                <w:bCs/>
                <w:kern w:val="1"/>
                <w:sz w:val="24"/>
                <w:szCs w:val="24"/>
                <w:lang w:eastAsia="lv-LV"/>
              </w:rPr>
            </w:pPr>
            <w:r w:rsidRPr="00D531C7">
              <w:rPr>
                <w:rFonts w:ascii="Times New Roman" w:eastAsia="Times New Roman" w:hAnsi="Times New Roman" w:cs="Times New Roman"/>
                <w:b/>
                <w:bCs/>
                <w:kern w:val="1"/>
                <w:sz w:val="24"/>
                <w:szCs w:val="24"/>
                <w:lang w:eastAsia="lv-LV"/>
              </w:rPr>
              <w:t>IV. Tiesību akta projekta ietekme uz spēkā esošo tiesību normu sistēmu</w:t>
            </w:r>
          </w:p>
        </w:tc>
      </w:tr>
      <w:tr w:rsidR="008C2713" w:rsidRPr="00D531C7" w14:paraId="39A472D1" w14:textId="77777777" w:rsidTr="008C215C">
        <w:tc>
          <w:tcPr>
            <w:tcW w:w="5000" w:type="pct"/>
            <w:hideMark/>
          </w:tcPr>
          <w:p w14:paraId="0A4FFCDD" w14:textId="77777777" w:rsidR="008C2713" w:rsidRPr="00D531C7" w:rsidRDefault="008C2713" w:rsidP="008C2713">
            <w:pPr>
              <w:suppressAutoHyphens/>
              <w:spacing w:after="0" w:line="240" w:lineRule="auto"/>
              <w:jc w:val="center"/>
              <w:rPr>
                <w:rFonts w:ascii="Times New Roman" w:eastAsia="Times New Roman" w:hAnsi="Times New Roman" w:cs="Times New Roman"/>
                <w:kern w:val="1"/>
                <w:sz w:val="24"/>
                <w:szCs w:val="24"/>
                <w:lang w:eastAsia="lv-LV"/>
              </w:rPr>
            </w:pPr>
            <w:r w:rsidRPr="00D531C7">
              <w:rPr>
                <w:rFonts w:ascii="Times New Roman" w:eastAsia="Times New Roman" w:hAnsi="Times New Roman" w:cs="Times New Roman"/>
                <w:kern w:val="1"/>
                <w:sz w:val="24"/>
                <w:szCs w:val="24"/>
                <w:lang w:eastAsia="lv-LV"/>
              </w:rPr>
              <w:t>Projekts šo jomu neskar.</w:t>
            </w:r>
          </w:p>
        </w:tc>
      </w:tr>
    </w:tbl>
    <w:p w14:paraId="74D58F2B"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09"/>
      </w:tblGrid>
      <w:tr w:rsidR="008C2713" w:rsidRPr="00D531C7" w14:paraId="6A207189" w14:textId="77777777" w:rsidTr="008C215C">
        <w:trPr>
          <w:tblCellSpacing w:w="15" w:type="dxa"/>
        </w:trPr>
        <w:tc>
          <w:tcPr>
            <w:tcW w:w="0" w:type="auto"/>
            <w:gridSpan w:val="3"/>
            <w:vAlign w:val="center"/>
            <w:hideMark/>
          </w:tcPr>
          <w:p w14:paraId="3FE25D42" w14:textId="77777777" w:rsidR="008C2713" w:rsidRPr="00D531C7" w:rsidRDefault="008C2713" w:rsidP="008C2713">
            <w:pPr>
              <w:suppressAutoHyphens/>
              <w:spacing w:after="0" w:line="240" w:lineRule="auto"/>
              <w:rPr>
                <w:rFonts w:ascii="Times New Roman" w:eastAsia="Times New Roman" w:hAnsi="Times New Roman" w:cs="Times New Roman"/>
                <w:b/>
                <w:bCs/>
                <w:iCs/>
                <w:color w:val="414142"/>
                <w:kern w:val="1"/>
                <w:sz w:val="24"/>
                <w:szCs w:val="24"/>
                <w:lang w:eastAsia="lv-LV"/>
              </w:rPr>
            </w:pPr>
            <w:r w:rsidRPr="00D531C7">
              <w:rPr>
                <w:rFonts w:ascii="Times New Roman" w:eastAsia="Times New Roman" w:hAnsi="Times New Roman" w:cs="Times New Roman"/>
                <w:b/>
                <w:bCs/>
                <w:iCs/>
                <w:color w:val="414142"/>
                <w:kern w:val="1"/>
                <w:sz w:val="24"/>
                <w:szCs w:val="24"/>
                <w:lang w:eastAsia="lv-LV"/>
              </w:rPr>
              <w:lastRenderedPageBreak/>
              <w:t>V. Tiesību akta projekta atbilstība Latvijas Republikas starptautiskajām saistībām</w:t>
            </w:r>
          </w:p>
        </w:tc>
      </w:tr>
      <w:tr w:rsidR="008C2713" w:rsidRPr="00D531C7" w14:paraId="5B546967" w14:textId="77777777" w:rsidTr="008C215C">
        <w:trPr>
          <w:tblCellSpacing w:w="15" w:type="dxa"/>
        </w:trPr>
        <w:tc>
          <w:tcPr>
            <w:tcW w:w="296" w:type="pct"/>
            <w:hideMark/>
          </w:tcPr>
          <w:p w14:paraId="79B07653"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1.</w:t>
            </w:r>
          </w:p>
        </w:tc>
        <w:tc>
          <w:tcPr>
            <w:tcW w:w="1678" w:type="pct"/>
            <w:hideMark/>
          </w:tcPr>
          <w:p w14:paraId="01B83B07"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Saistības pret Eiropas Savienību</w:t>
            </w:r>
          </w:p>
        </w:tc>
        <w:tc>
          <w:tcPr>
            <w:tcW w:w="2960" w:type="pct"/>
            <w:hideMark/>
          </w:tcPr>
          <w:p w14:paraId="13BD2C2D"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Komisijas 2013. gada 18. decembra Regula (ES) Nr. 1407/2013 par Līguma par Eiropas Savienības darbību 107. un 108. panta piemērošanu </w:t>
            </w:r>
            <w:proofErr w:type="spellStart"/>
            <w:r w:rsidRPr="00D531C7">
              <w:rPr>
                <w:rFonts w:ascii="Times New Roman" w:eastAsia="Times New Roman" w:hAnsi="Times New Roman" w:cs="Times New Roman"/>
                <w:i/>
                <w:kern w:val="1"/>
                <w:sz w:val="24"/>
                <w:szCs w:val="24"/>
                <w:lang w:eastAsia="ar-SA"/>
              </w:rPr>
              <w:t>de</w:t>
            </w:r>
            <w:proofErr w:type="spellEnd"/>
            <w:r w:rsidRPr="00D531C7">
              <w:rPr>
                <w:rFonts w:ascii="Times New Roman" w:eastAsia="Times New Roman" w:hAnsi="Times New Roman" w:cs="Times New Roman"/>
                <w:i/>
                <w:kern w:val="1"/>
                <w:sz w:val="24"/>
                <w:szCs w:val="24"/>
                <w:lang w:eastAsia="ar-SA"/>
              </w:rPr>
              <w:t xml:space="preserve"> </w:t>
            </w:r>
            <w:proofErr w:type="spellStart"/>
            <w:r w:rsidRPr="00D531C7">
              <w:rPr>
                <w:rFonts w:ascii="Times New Roman" w:eastAsia="Times New Roman" w:hAnsi="Times New Roman" w:cs="Times New Roman"/>
                <w:i/>
                <w:kern w:val="1"/>
                <w:sz w:val="24"/>
                <w:szCs w:val="24"/>
                <w:lang w:eastAsia="ar-SA"/>
              </w:rPr>
              <w:t>minimis</w:t>
            </w:r>
            <w:proofErr w:type="spellEnd"/>
            <w:r w:rsidRPr="00D531C7">
              <w:rPr>
                <w:rFonts w:ascii="Times New Roman" w:eastAsia="Times New Roman" w:hAnsi="Times New Roman" w:cs="Times New Roman"/>
                <w:kern w:val="1"/>
                <w:sz w:val="24"/>
                <w:szCs w:val="24"/>
                <w:lang w:eastAsia="ar-SA"/>
              </w:rPr>
              <w:t xml:space="preserve"> atbalstam (Eiropas Savienības Oficiālais Vēstnesis, 2013. gada 24. decembris, Nr. L 352).</w:t>
            </w:r>
          </w:p>
        </w:tc>
      </w:tr>
      <w:tr w:rsidR="008C2713" w:rsidRPr="00D531C7" w14:paraId="01C46871" w14:textId="77777777" w:rsidTr="008C215C">
        <w:trPr>
          <w:tblCellSpacing w:w="15" w:type="dxa"/>
        </w:trPr>
        <w:tc>
          <w:tcPr>
            <w:tcW w:w="296" w:type="pct"/>
            <w:hideMark/>
          </w:tcPr>
          <w:p w14:paraId="505C87F5"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2.</w:t>
            </w:r>
          </w:p>
        </w:tc>
        <w:tc>
          <w:tcPr>
            <w:tcW w:w="1678" w:type="pct"/>
            <w:hideMark/>
          </w:tcPr>
          <w:p w14:paraId="08D89F4B"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Citas starptautiskās saistības</w:t>
            </w:r>
          </w:p>
        </w:tc>
        <w:tc>
          <w:tcPr>
            <w:tcW w:w="2960" w:type="pct"/>
            <w:hideMark/>
          </w:tcPr>
          <w:p w14:paraId="7963B930"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color w:val="000000"/>
                <w:kern w:val="1"/>
                <w:sz w:val="24"/>
                <w:szCs w:val="24"/>
                <w:lang w:eastAsia="ar-SA"/>
              </w:rPr>
              <w:t>Projekts šo jomu neskar.</w:t>
            </w:r>
          </w:p>
        </w:tc>
      </w:tr>
      <w:tr w:rsidR="008C2713" w:rsidRPr="00D531C7" w14:paraId="434B0FF2" w14:textId="77777777" w:rsidTr="008C215C">
        <w:trPr>
          <w:tblCellSpacing w:w="15" w:type="dxa"/>
        </w:trPr>
        <w:tc>
          <w:tcPr>
            <w:tcW w:w="296" w:type="pct"/>
            <w:hideMark/>
          </w:tcPr>
          <w:p w14:paraId="66E7703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3.</w:t>
            </w:r>
          </w:p>
        </w:tc>
        <w:tc>
          <w:tcPr>
            <w:tcW w:w="1678" w:type="pct"/>
            <w:hideMark/>
          </w:tcPr>
          <w:p w14:paraId="57C904E3"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Cita informācija</w:t>
            </w:r>
          </w:p>
        </w:tc>
        <w:tc>
          <w:tcPr>
            <w:tcW w:w="2960" w:type="pct"/>
            <w:hideMark/>
          </w:tcPr>
          <w:p w14:paraId="55CD6290" w14:textId="77777777" w:rsidR="008C2713" w:rsidRPr="00D531C7" w:rsidRDefault="008C2713" w:rsidP="008C2713">
            <w:pPr>
              <w:suppressAutoHyphens/>
              <w:autoSpaceDE w:val="0"/>
              <w:autoSpaceDN w:val="0"/>
              <w:adjustRightInd w:val="0"/>
              <w:spacing w:after="0" w:line="240" w:lineRule="auto"/>
              <w:jc w:val="both"/>
              <w:rPr>
                <w:rFonts w:ascii="Times New Roman" w:eastAsia="Calibri" w:hAnsi="Times New Roman" w:cs="EUAlbertina"/>
                <w:kern w:val="1"/>
                <w:sz w:val="24"/>
                <w:szCs w:val="24"/>
                <w:lang w:eastAsia="lv-LV"/>
              </w:rPr>
            </w:pPr>
            <w:r w:rsidRPr="00D531C7">
              <w:rPr>
                <w:rFonts w:ascii="Times New Roman" w:eastAsia="Calibri" w:hAnsi="Times New Roman" w:cs="EUAlbertina"/>
                <w:kern w:val="1"/>
                <w:sz w:val="24"/>
                <w:szCs w:val="24"/>
                <w:lang w:eastAsia="lv-LV"/>
              </w:rPr>
              <w:t>Nav.</w:t>
            </w:r>
          </w:p>
        </w:tc>
      </w:tr>
    </w:tbl>
    <w:p w14:paraId="31AF8464"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78"/>
        <w:gridCol w:w="1985"/>
        <w:gridCol w:w="1129"/>
        <w:gridCol w:w="1139"/>
        <w:gridCol w:w="2829"/>
      </w:tblGrid>
      <w:tr w:rsidR="008C2713" w:rsidRPr="00D531C7" w14:paraId="28287174" w14:textId="77777777" w:rsidTr="008C215C">
        <w:trPr>
          <w:tblCellSpacing w:w="15" w:type="dxa"/>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14:paraId="3576C320" w14:textId="77777777" w:rsidR="008C2713" w:rsidRPr="00D531C7" w:rsidRDefault="008C2713" w:rsidP="008C2713">
            <w:pPr>
              <w:suppressAutoHyphens/>
              <w:spacing w:after="0" w:line="240" w:lineRule="auto"/>
              <w:rPr>
                <w:rFonts w:ascii="Times New Roman" w:eastAsia="Times New Roman" w:hAnsi="Times New Roman" w:cs="Times New Roman"/>
                <w:b/>
                <w:bCs/>
                <w:iCs/>
                <w:color w:val="414142"/>
                <w:kern w:val="1"/>
                <w:sz w:val="24"/>
                <w:szCs w:val="24"/>
                <w:lang w:eastAsia="lv-LV"/>
              </w:rPr>
            </w:pPr>
            <w:r w:rsidRPr="00D531C7">
              <w:rPr>
                <w:rFonts w:ascii="Times New Roman" w:eastAsia="Times New Roman" w:hAnsi="Times New Roman" w:cs="Times New Roman"/>
                <w:b/>
                <w:bCs/>
                <w:iCs/>
                <w:color w:val="414142"/>
                <w:kern w:val="1"/>
                <w:sz w:val="24"/>
                <w:szCs w:val="24"/>
                <w:lang w:eastAsia="lv-LV"/>
              </w:rPr>
              <w:t>1. tabula</w:t>
            </w:r>
            <w:r w:rsidRPr="00D531C7">
              <w:rPr>
                <w:rFonts w:ascii="Times New Roman" w:eastAsia="Times New Roman" w:hAnsi="Times New Roman" w:cs="Times New Roman"/>
                <w:b/>
                <w:bCs/>
                <w:iCs/>
                <w:color w:val="414142"/>
                <w:kern w:val="1"/>
                <w:sz w:val="24"/>
                <w:szCs w:val="24"/>
                <w:lang w:eastAsia="lv-LV"/>
              </w:rPr>
              <w:br/>
              <w:t>Tiesību akta projekta atbilstība ES tiesību aktiem</w:t>
            </w:r>
          </w:p>
        </w:tc>
      </w:tr>
      <w:tr w:rsidR="008C2713" w:rsidRPr="00D531C7" w14:paraId="577A219B"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329525EA"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Attiecīgā ES tiesību akta datums, numurs un nosaukums</w:t>
            </w:r>
          </w:p>
        </w:tc>
        <w:tc>
          <w:tcPr>
            <w:tcW w:w="7037" w:type="dxa"/>
            <w:gridSpan w:val="4"/>
            <w:tcBorders>
              <w:top w:val="single" w:sz="4" w:space="0" w:color="auto"/>
              <w:left w:val="single" w:sz="4" w:space="0" w:color="auto"/>
              <w:bottom w:val="single" w:sz="4" w:space="0" w:color="auto"/>
              <w:right w:val="single" w:sz="4" w:space="0" w:color="auto"/>
            </w:tcBorders>
            <w:hideMark/>
          </w:tcPr>
          <w:p w14:paraId="0577941F" w14:textId="26FE2B49"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Komisijas 2013. gada 18. decembra Regula (ES) Nr. 1407/2013 par Līguma par Eiropas Savienības darbību 107. un 108. panta piemērošanu </w:t>
            </w:r>
            <w:proofErr w:type="spellStart"/>
            <w:r w:rsidRPr="00D531C7">
              <w:rPr>
                <w:rFonts w:ascii="Times New Roman" w:eastAsia="Times New Roman" w:hAnsi="Times New Roman" w:cs="Times New Roman"/>
                <w:i/>
                <w:kern w:val="1"/>
                <w:sz w:val="24"/>
                <w:szCs w:val="24"/>
                <w:lang w:eastAsia="ar-SA"/>
              </w:rPr>
              <w:t>de</w:t>
            </w:r>
            <w:proofErr w:type="spellEnd"/>
            <w:r w:rsidRPr="00D531C7">
              <w:rPr>
                <w:rFonts w:ascii="Times New Roman" w:eastAsia="Times New Roman" w:hAnsi="Times New Roman" w:cs="Times New Roman"/>
                <w:i/>
                <w:kern w:val="1"/>
                <w:sz w:val="24"/>
                <w:szCs w:val="24"/>
                <w:lang w:eastAsia="ar-SA"/>
              </w:rPr>
              <w:t xml:space="preserve"> </w:t>
            </w:r>
            <w:proofErr w:type="spellStart"/>
            <w:r w:rsidRPr="00D531C7">
              <w:rPr>
                <w:rFonts w:ascii="Times New Roman" w:eastAsia="Times New Roman" w:hAnsi="Times New Roman" w:cs="Times New Roman"/>
                <w:i/>
                <w:kern w:val="1"/>
                <w:sz w:val="24"/>
                <w:szCs w:val="24"/>
                <w:lang w:eastAsia="ar-SA"/>
              </w:rPr>
              <w:t>minimis</w:t>
            </w:r>
            <w:proofErr w:type="spellEnd"/>
            <w:r w:rsidRPr="00D531C7">
              <w:rPr>
                <w:rFonts w:ascii="Times New Roman" w:eastAsia="Times New Roman" w:hAnsi="Times New Roman" w:cs="Times New Roman"/>
                <w:kern w:val="1"/>
                <w:sz w:val="24"/>
                <w:szCs w:val="24"/>
                <w:lang w:eastAsia="ar-SA"/>
              </w:rPr>
              <w:t xml:space="preserve"> atbalstam (Eiropas Savienības Oficiālais Vēstnesis, 2013. gada 24. decembris, Nr. L 352) (turpmāk – Komisijas regula Nr.</w:t>
            </w:r>
            <w:r w:rsidR="005A03F2"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1407/2013)</w:t>
            </w:r>
          </w:p>
        </w:tc>
      </w:tr>
      <w:tr w:rsidR="008C2713" w:rsidRPr="00D531C7" w14:paraId="6DF058E5"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vAlign w:val="center"/>
            <w:hideMark/>
          </w:tcPr>
          <w:p w14:paraId="036827EE"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A</w:t>
            </w:r>
          </w:p>
        </w:tc>
        <w:tc>
          <w:tcPr>
            <w:tcW w:w="1955" w:type="dxa"/>
            <w:tcBorders>
              <w:top w:val="single" w:sz="4" w:space="0" w:color="auto"/>
              <w:left w:val="single" w:sz="4" w:space="0" w:color="auto"/>
              <w:bottom w:val="single" w:sz="4" w:space="0" w:color="auto"/>
              <w:right w:val="single" w:sz="4" w:space="0" w:color="auto"/>
            </w:tcBorders>
            <w:vAlign w:val="center"/>
            <w:hideMark/>
          </w:tcPr>
          <w:p w14:paraId="4DD08929"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B</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542AD07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C</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98C7EFD"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D</w:t>
            </w:r>
          </w:p>
        </w:tc>
      </w:tr>
      <w:tr w:rsidR="008C2713" w:rsidRPr="00D531C7" w14:paraId="4CDAB529"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388F30BE"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Attiecīgā ES tiesību akta panta numurs (uzskaitot katru tiesību akta vienību – pantu, daļu, punktu, apakšpunktu)</w:t>
            </w:r>
          </w:p>
        </w:tc>
        <w:tc>
          <w:tcPr>
            <w:tcW w:w="1955" w:type="dxa"/>
            <w:tcBorders>
              <w:top w:val="single" w:sz="4" w:space="0" w:color="auto"/>
              <w:left w:val="single" w:sz="4" w:space="0" w:color="auto"/>
              <w:bottom w:val="single" w:sz="4" w:space="0" w:color="auto"/>
              <w:right w:val="single" w:sz="4" w:space="0" w:color="auto"/>
            </w:tcBorders>
            <w:hideMark/>
          </w:tcPr>
          <w:p w14:paraId="684DC40F"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Projekta vienība, kas pārņem vai ievieš katru šīs tabulas A ailē minēto ES tiesību akta vienību, vai tiesību akts, kur attiecīgā ES tiesību akta vienība pārņemta vai ieviesta</w:t>
            </w:r>
          </w:p>
        </w:tc>
        <w:tc>
          <w:tcPr>
            <w:tcW w:w="2238" w:type="dxa"/>
            <w:gridSpan w:val="2"/>
            <w:tcBorders>
              <w:top w:val="single" w:sz="4" w:space="0" w:color="auto"/>
              <w:left w:val="single" w:sz="4" w:space="0" w:color="auto"/>
              <w:bottom w:val="single" w:sz="4" w:space="0" w:color="auto"/>
              <w:right w:val="single" w:sz="4" w:space="0" w:color="auto"/>
            </w:tcBorders>
            <w:hideMark/>
          </w:tcPr>
          <w:p w14:paraId="0A6767E4"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Informācija par to, vai šīs tabulas A ailē minētās ES tiesību akta vienības tiek pārņemtas vai ieviestas pilnībā vai daļēji.</w:t>
            </w:r>
            <w:r w:rsidRPr="00D531C7">
              <w:rPr>
                <w:rFonts w:ascii="Times New Roman" w:eastAsia="Times New Roman" w:hAnsi="Times New Roman" w:cs="Times New Roman"/>
                <w:iCs/>
                <w:color w:val="414142"/>
                <w:kern w:val="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531C7">
              <w:rPr>
                <w:rFonts w:ascii="Times New Roman" w:eastAsia="Times New Roman" w:hAnsi="Times New Roman" w:cs="Times New Roman"/>
                <w:iCs/>
                <w:color w:val="414142"/>
                <w:kern w:val="1"/>
                <w:sz w:val="24"/>
                <w:szCs w:val="24"/>
                <w:lang w:eastAsia="lv-LV"/>
              </w:rPr>
              <w:br/>
              <w:t>Norāda institūciju, kas ir atbildīga par šo saistību izpildi pilnībā</w:t>
            </w:r>
          </w:p>
        </w:tc>
        <w:tc>
          <w:tcPr>
            <w:tcW w:w="2784" w:type="dxa"/>
            <w:tcBorders>
              <w:top w:val="single" w:sz="4" w:space="0" w:color="auto"/>
              <w:left w:val="single" w:sz="4" w:space="0" w:color="auto"/>
              <w:bottom w:val="single" w:sz="4" w:space="0" w:color="auto"/>
              <w:right w:val="single" w:sz="4" w:space="0" w:color="auto"/>
            </w:tcBorders>
            <w:hideMark/>
          </w:tcPr>
          <w:p w14:paraId="3C0953A5"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Informācija par to, vai šīs tabulas B ailē minētās projekta vienības paredz stingrākas prasības nekā šīs tabulas A ailē minētās ES tiesību akta vienības.</w:t>
            </w:r>
            <w:r w:rsidRPr="00D531C7">
              <w:rPr>
                <w:rFonts w:ascii="Times New Roman" w:eastAsia="Times New Roman" w:hAnsi="Times New Roman" w:cs="Times New Roman"/>
                <w:iCs/>
                <w:color w:val="414142"/>
                <w:kern w:val="1"/>
                <w:sz w:val="24"/>
                <w:szCs w:val="24"/>
                <w:lang w:eastAsia="lv-LV"/>
              </w:rPr>
              <w:br/>
              <w:t>Ja projekts satur stingrākas prasības nekā attiecīgais ES tiesību akts, norāda pamatojumu un samērīgumu.</w:t>
            </w:r>
            <w:r w:rsidRPr="00D531C7">
              <w:rPr>
                <w:rFonts w:ascii="Times New Roman" w:eastAsia="Times New Roman" w:hAnsi="Times New Roman" w:cs="Times New Roman"/>
                <w:iCs/>
                <w:color w:val="414142"/>
                <w:kern w:val="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C2713" w:rsidRPr="00D531C7" w14:paraId="078CF9F7"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7D64C606"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Komisijas regulas Nr. 1407/2013 7.panta 4. punkts un 8. pants</w:t>
            </w:r>
          </w:p>
        </w:tc>
        <w:tc>
          <w:tcPr>
            <w:tcW w:w="1955" w:type="dxa"/>
            <w:tcBorders>
              <w:top w:val="single" w:sz="4" w:space="0" w:color="auto"/>
              <w:left w:val="single" w:sz="4" w:space="0" w:color="auto"/>
              <w:bottom w:val="single" w:sz="4" w:space="0" w:color="auto"/>
              <w:right w:val="single" w:sz="4" w:space="0" w:color="auto"/>
            </w:tcBorders>
          </w:tcPr>
          <w:p w14:paraId="1E0DD61C" w14:textId="695B80B9"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Noteikumu </w:t>
            </w:r>
            <w:r w:rsidR="00697739" w:rsidRPr="00D531C7">
              <w:rPr>
                <w:rFonts w:ascii="Times New Roman" w:eastAsia="Times New Roman" w:hAnsi="Times New Roman" w:cs="Times New Roman"/>
                <w:kern w:val="1"/>
                <w:sz w:val="24"/>
                <w:szCs w:val="24"/>
                <w:lang w:eastAsia="ar-SA"/>
              </w:rPr>
              <w:t xml:space="preserve">projekta </w:t>
            </w:r>
            <w:r w:rsidRPr="00D531C7">
              <w:rPr>
                <w:rFonts w:ascii="Times New Roman" w:eastAsia="Times New Roman" w:hAnsi="Times New Roman" w:cs="Times New Roman"/>
                <w:kern w:val="1"/>
                <w:sz w:val="24"/>
                <w:szCs w:val="24"/>
                <w:lang w:eastAsia="ar-SA"/>
              </w:rPr>
              <w:t>4.punktā izteiktais 5.</w:t>
            </w:r>
            <w:r w:rsidRPr="00D531C7">
              <w:rPr>
                <w:rFonts w:ascii="Times New Roman" w:eastAsia="Times New Roman" w:hAnsi="Times New Roman" w:cs="Times New Roman"/>
                <w:kern w:val="24"/>
                <w:sz w:val="24"/>
                <w:szCs w:val="24"/>
                <w:vertAlign w:val="superscript"/>
                <w:lang w:eastAsia="ar-SA"/>
              </w:rPr>
              <w:t>2</w:t>
            </w:r>
            <w:r w:rsidRPr="00D531C7">
              <w:rPr>
                <w:rFonts w:ascii="Times New Roman" w:eastAsia="Times New Roman" w:hAnsi="Times New Roman" w:cs="Times New Roman"/>
                <w:kern w:val="1"/>
                <w:sz w:val="24"/>
                <w:szCs w:val="24"/>
                <w:lang w:eastAsia="ar-SA"/>
              </w:rPr>
              <w:t xml:space="preserve"> punkt</w:t>
            </w:r>
            <w:r w:rsidR="008C7219">
              <w:rPr>
                <w:rFonts w:ascii="Times New Roman" w:eastAsia="Times New Roman" w:hAnsi="Times New Roman" w:cs="Times New Roman"/>
                <w:kern w:val="1"/>
                <w:sz w:val="24"/>
                <w:szCs w:val="24"/>
                <w:lang w:eastAsia="ar-SA"/>
              </w:rPr>
              <w:t>a pirmais teikums</w:t>
            </w:r>
          </w:p>
        </w:tc>
        <w:tc>
          <w:tcPr>
            <w:tcW w:w="2238" w:type="dxa"/>
            <w:gridSpan w:val="2"/>
            <w:tcBorders>
              <w:top w:val="single" w:sz="4" w:space="0" w:color="auto"/>
              <w:left w:val="single" w:sz="4" w:space="0" w:color="auto"/>
              <w:bottom w:val="single" w:sz="4" w:space="0" w:color="auto"/>
              <w:right w:val="single" w:sz="4" w:space="0" w:color="auto"/>
            </w:tcBorders>
          </w:tcPr>
          <w:p w14:paraId="13DBA274" w14:textId="6F583654"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r w:rsidR="00697739" w:rsidRPr="00D531C7">
              <w:rPr>
                <w:rFonts w:ascii="Times New Roman" w:eastAsia="Times New Roman" w:hAnsi="Times New Roman" w:cs="Times New Roman"/>
                <w:kern w:val="1"/>
                <w:sz w:val="24"/>
                <w:szCs w:val="24"/>
                <w:lang w:eastAsia="ar-SA"/>
              </w:rPr>
              <w:t>.</w:t>
            </w:r>
          </w:p>
        </w:tc>
        <w:tc>
          <w:tcPr>
            <w:tcW w:w="2784" w:type="dxa"/>
            <w:tcBorders>
              <w:top w:val="single" w:sz="4" w:space="0" w:color="auto"/>
              <w:left w:val="single" w:sz="4" w:space="0" w:color="auto"/>
              <w:bottom w:val="single" w:sz="4" w:space="0" w:color="auto"/>
              <w:right w:val="single" w:sz="4" w:space="0" w:color="auto"/>
            </w:tcBorders>
          </w:tcPr>
          <w:p w14:paraId="6BF3EB0B"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011ADCA0"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465E1AAC" w14:textId="649E126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Komisijas regulas Nr. 1407/2013 6.</w:t>
            </w:r>
            <w:r w:rsidR="00697739" w:rsidRPr="00D531C7">
              <w:rPr>
                <w:rFonts w:ascii="Times New Roman" w:eastAsia="Times New Roman" w:hAnsi="Times New Roman" w:cs="Times New Roman"/>
                <w:kern w:val="1"/>
                <w:sz w:val="24"/>
                <w:szCs w:val="24"/>
                <w:lang w:eastAsia="ar-SA"/>
              </w:rPr>
              <w:t> </w:t>
            </w:r>
            <w:r w:rsidRPr="00D531C7">
              <w:rPr>
                <w:rFonts w:ascii="Times New Roman" w:eastAsia="Times New Roman" w:hAnsi="Times New Roman" w:cs="Times New Roman"/>
                <w:kern w:val="1"/>
                <w:sz w:val="24"/>
                <w:szCs w:val="24"/>
                <w:lang w:eastAsia="ar-SA"/>
              </w:rPr>
              <w:t>panta 4. punkts</w:t>
            </w:r>
          </w:p>
        </w:tc>
        <w:tc>
          <w:tcPr>
            <w:tcW w:w="1955" w:type="dxa"/>
            <w:tcBorders>
              <w:top w:val="single" w:sz="4" w:space="0" w:color="auto"/>
              <w:left w:val="single" w:sz="4" w:space="0" w:color="auto"/>
              <w:bottom w:val="single" w:sz="4" w:space="0" w:color="auto"/>
              <w:right w:val="single" w:sz="4" w:space="0" w:color="auto"/>
            </w:tcBorders>
          </w:tcPr>
          <w:p w14:paraId="23321D31" w14:textId="5BB7C2D8"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Noteikumu </w:t>
            </w:r>
            <w:r w:rsidR="00697739" w:rsidRPr="00D531C7">
              <w:rPr>
                <w:rFonts w:ascii="Times New Roman" w:eastAsia="Times New Roman" w:hAnsi="Times New Roman" w:cs="Times New Roman"/>
                <w:kern w:val="1"/>
                <w:sz w:val="24"/>
                <w:szCs w:val="24"/>
                <w:lang w:eastAsia="ar-SA"/>
              </w:rPr>
              <w:t xml:space="preserve">projekta </w:t>
            </w:r>
            <w:r w:rsidRPr="00D531C7">
              <w:rPr>
                <w:rFonts w:ascii="Times New Roman" w:eastAsia="Times New Roman" w:hAnsi="Times New Roman" w:cs="Times New Roman"/>
                <w:kern w:val="1"/>
                <w:sz w:val="24"/>
                <w:szCs w:val="24"/>
                <w:lang w:eastAsia="ar-SA"/>
              </w:rPr>
              <w:t xml:space="preserve">5.punktā izteiktais </w:t>
            </w:r>
            <w:r w:rsidRPr="00D531C7">
              <w:rPr>
                <w:rFonts w:ascii="Times New Roman" w:eastAsia="Times New Roman" w:hAnsi="Times New Roman" w:cs="Times New Roman"/>
                <w:kern w:val="1"/>
                <w:sz w:val="24"/>
                <w:szCs w:val="24"/>
                <w:lang w:eastAsia="lv-LV"/>
              </w:rPr>
              <w:t>5.</w:t>
            </w:r>
            <w:r w:rsidRPr="00D531C7">
              <w:rPr>
                <w:rFonts w:ascii="Times New Roman" w:eastAsia="Times New Roman" w:hAnsi="Times New Roman" w:cs="Times New Roman"/>
                <w:kern w:val="1"/>
                <w:sz w:val="24"/>
                <w:szCs w:val="24"/>
                <w:vertAlign w:val="superscript"/>
                <w:lang w:eastAsia="lv-LV"/>
              </w:rPr>
              <w:t>3</w:t>
            </w:r>
            <w:r w:rsidRPr="00D531C7">
              <w:rPr>
                <w:rFonts w:ascii="Times New Roman" w:eastAsia="Times New Roman" w:hAnsi="Times New Roman" w:cs="Times New Roman"/>
                <w:kern w:val="1"/>
                <w:sz w:val="24"/>
                <w:szCs w:val="24"/>
                <w:lang w:eastAsia="lv-LV"/>
              </w:rPr>
              <w:t xml:space="preserve"> </w:t>
            </w:r>
            <w:r w:rsidRPr="00D531C7">
              <w:rPr>
                <w:rFonts w:ascii="Times New Roman" w:eastAsia="Times New Roman" w:hAnsi="Times New Roman" w:cs="Times New Roman"/>
                <w:kern w:val="1"/>
                <w:sz w:val="24"/>
                <w:szCs w:val="24"/>
                <w:lang w:eastAsia="ar-SA"/>
              </w:rPr>
              <w:t>un 5.</w:t>
            </w:r>
            <w:r w:rsidRPr="00D531C7">
              <w:rPr>
                <w:rFonts w:ascii="Times New Roman" w:eastAsia="Times New Roman" w:hAnsi="Times New Roman" w:cs="Times New Roman"/>
                <w:kern w:val="1"/>
                <w:sz w:val="24"/>
                <w:szCs w:val="24"/>
                <w:vertAlign w:val="superscript"/>
                <w:lang w:eastAsia="lv-LV"/>
              </w:rPr>
              <w:t>4</w:t>
            </w:r>
            <w:r w:rsidR="00697739" w:rsidRPr="00D531C7">
              <w:rPr>
                <w:rFonts w:ascii="Times New Roman" w:eastAsia="Times New Roman" w:hAnsi="Times New Roman" w:cs="Times New Roman"/>
                <w:kern w:val="1"/>
                <w:sz w:val="24"/>
                <w:szCs w:val="24"/>
                <w:vertAlign w:val="superscript"/>
                <w:lang w:eastAsia="lv-LV"/>
              </w:rPr>
              <w:t> </w:t>
            </w:r>
            <w:r w:rsidRPr="00D531C7">
              <w:rPr>
                <w:rFonts w:ascii="Times New Roman" w:eastAsia="Times New Roman" w:hAnsi="Times New Roman" w:cs="Times New Roman"/>
                <w:kern w:val="1"/>
                <w:sz w:val="24"/>
                <w:szCs w:val="24"/>
                <w:lang w:eastAsia="ar-SA"/>
              </w:rPr>
              <w:t>punkts</w:t>
            </w:r>
          </w:p>
        </w:tc>
        <w:tc>
          <w:tcPr>
            <w:tcW w:w="2238" w:type="dxa"/>
            <w:gridSpan w:val="2"/>
            <w:tcBorders>
              <w:top w:val="single" w:sz="4" w:space="0" w:color="auto"/>
              <w:left w:val="single" w:sz="4" w:space="0" w:color="auto"/>
              <w:bottom w:val="single" w:sz="4" w:space="0" w:color="auto"/>
              <w:right w:val="single" w:sz="4" w:space="0" w:color="auto"/>
            </w:tcBorders>
          </w:tcPr>
          <w:p w14:paraId="54969912" w14:textId="26291699"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r w:rsidR="00697739" w:rsidRPr="00D531C7">
              <w:rPr>
                <w:rFonts w:ascii="Times New Roman" w:eastAsia="Times New Roman" w:hAnsi="Times New Roman" w:cs="Times New Roman"/>
                <w:kern w:val="1"/>
                <w:sz w:val="24"/>
                <w:szCs w:val="24"/>
                <w:lang w:eastAsia="ar-SA"/>
              </w:rPr>
              <w:t>.</w:t>
            </w:r>
          </w:p>
        </w:tc>
        <w:tc>
          <w:tcPr>
            <w:tcW w:w="2784" w:type="dxa"/>
            <w:tcBorders>
              <w:top w:val="single" w:sz="4" w:space="0" w:color="auto"/>
              <w:left w:val="single" w:sz="4" w:space="0" w:color="auto"/>
              <w:bottom w:val="single" w:sz="4" w:space="0" w:color="auto"/>
              <w:right w:val="single" w:sz="4" w:space="0" w:color="auto"/>
            </w:tcBorders>
          </w:tcPr>
          <w:p w14:paraId="307B3130"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4B394278"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69F6EF90" w14:textId="3C0B3411"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lastRenderedPageBreak/>
              <w:t xml:space="preserve">Komisijas regulas </w:t>
            </w:r>
            <w:r w:rsidRPr="00D531C7">
              <w:rPr>
                <w:rFonts w:ascii="Times New Roman" w:eastAsia="Times New Roman" w:hAnsi="Times New Roman" w:cs="Times New Roman"/>
                <w:kern w:val="1"/>
                <w:sz w:val="24"/>
                <w:szCs w:val="24"/>
                <w:lang w:eastAsia="lv-LV"/>
              </w:rPr>
              <w:t>Nr. </w:t>
            </w:r>
            <w:hyperlink r:id="rId11" w:tgtFrame="_blank" w:history="1">
              <w:r w:rsidRPr="00D531C7">
                <w:rPr>
                  <w:rFonts w:ascii="Times New Roman" w:eastAsia="Times New Roman" w:hAnsi="Times New Roman" w:cs="Times New Roman"/>
                  <w:kern w:val="1"/>
                  <w:sz w:val="24"/>
                  <w:szCs w:val="24"/>
                  <w:lang w:eastAsia="lv-LV"/>
                </w:rPr>
                <w:t>1407/2013</w:t>
              </w:r>
            </w:hyperlink>
            <w:r w:rsidRPr="00D531C7">
              <w:rPr>
                <w:rFonts w:ascii="Times New Roman" w:eastAsia="Times New Roman" w:hAnsi="Times New Roman" w:cs="Times New Roman"/>
                <w:kern w:val="1"/>
                <w:sz w:val="24"/>
                <w:szCs w:val="24"/>
                <w:lang w:eastAsia="lv-LV"/>
              </w:rPr>
              <w:t xml:space="preserve"> 3.</w:t>
            </w:r>
            <w:r w:rsidR="00697739" w:rsidRPr="00D531C7">
              <w:rPr>
                <w:rFonts w:ascii="Times New Roman" w:eastAsia="Times New Roman" w:hAnsi="Times New Roman" w:cs="Times New Roman"/>
                <w:kern w:val="1"/>
                <w:sz w:val="24"/>
                <w:szCs w:val="24"/>
                <w:lang w:eastAsia="lv-LV"/>
              </w:rPr>
              <w:t> </w:t>
            </w:r>
            <w:r w:rsidRPr="00D531C7">
              <w:rPr>
                <w:rFonts w:ascii="Times New Roman" w:eastAsia="Times New Roman" w:hAnsi="Times New Roman" w:cs="Times New Roman"/>
                <w:kern w:val="1"/>
                <w:sz w:val="24"/>
                <w:szCs w:val="24"/>
                <w:lang w:eastAsia="lv-LV"/>
              </w:rPr>
              <w:t>panta 2. punkt</w:t>
            </w:r>
            <w:r w:rsidR="00697739" w:rsidRPr="00D531C7">
              <w:rPr>
                <w:rFonts w:ascii="Times New Roman" w:eastAsia="Times New Roman" w:hAnsi="Times New Roman" w:cs="Times New Roman"/>
                <w:kern w:val="1"/>
                <w:sz w:val="24"/>
                <w:szCs w:val="24"/>
                <w:lang w:eastAsia="lv-LV"/>
              </w:rPr>
              <w:t>s</w:t>
            </w:r>
          </w:p>
        </w:tc>
        <w:tc>
          <w:tcPr>
            <w:tcW w:w="1955" w:type="dxa"/>
            <w:tcBorders>
              <w:top w:val="single" w:sz="4" w:space="0" w:color="auto"/>
              <w:left w:val="single" w:sz="4" w:space="0" w:color="auto"/>
              <w:bottom w:val="single" w:sz="4" w:space="0" w:color="auto"/>
              <w:right w:val="single" w:sz="4" w:space="0" w:color="auto"/>
            </w:tcBorders>
          </w:tcPr>
          <w:p w14:paraId="415167F7" w14:textId="766636A3"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1</w:t>
            </w:r>
            <w:r w:rsidR="00CD4F3E" w:rsidRPr="00D531C7">
              <w:rPr>
                <w:rFonts w:ascii="Times New Roman" w:eastAsia="Times New Roman" w:hAnsi="Times New Roman" w:cs="Times New Roman"/>
                <w:kern w:val="1"/>
                <w:sz w:val="24"/>
                <w:szCs w:val="24"/>
                <w:lang w:eastAsia="ar-SA"/>
              </w:rPr>
              <w:t>9</w:t>
            </w:r>
            <w:r w:rsidRPr="00D531C7">
              <w:rPr>
                <w:rFonts w:ascii="Times New Roman" w:eastAsia="Times New Roman" w:hAnsi="Times New Roman" w:cs="Times New Roman"/>
                <w:kern w:val="1"/>
                <w:sz w:val="24"/>
                <w:szCs w:val="24"/>
                <w:lang w:eastAsia="ar-SA"/>
              </w:rPr>
              <w:t>.</w:t>
            </w:r>
            <w:r w:rsidR="00697739" w:rsidRPr="00D531C7">
              <w:rPr>
                <w:rFonts w:ascii="Times New Roman" w:eastAsia="Times New Roman" w:hAnsi="Times New Roman" w:cs="Times New Roman"/>
                <w:kern w:val="1"/>
                <w:sz w:val="24"/>
                <w:szCs w:val="24"/>
                <w:lang w:eastAsia="ar-SA"/>
              </w:rPr>
              <w:t xml:space="preserve"> </w:t>
            </w:r>
            <w:r w:rsidRPr="00D531C7">
              <w:rPr>
                <w:rFonts w:ascii="Times New Roman" w:eastAsia="Times New Roman" w:hAnsi="Times New Roman" w:cs="Times New Roman"/>
                <w:kern w:val="1"/>
                <w:sz w:val="24"/>
                <w:szCs w:val="24"/>
                <w:lang w:eastAsia="ar-SA"/>
              </w:rPr>
              <w:t xml:space="preserve">punktā izteiktais noteikumu </w:t>
            </w:r>
            <w:r w:rsidRPr="00D531C7">
              <w:rPr>
                <w:rFonts w:ascii="Times New Roman" w:eastAsia="Times New Roman" w:hAnsi="Times New Roman" w:cs="Times New Roman"/>
                <w:kern w:val="1"/>
                <w:sz w:val="24"/>
                <w:szCs w:val="24"/>
                <w:lang w:eastAsia="lv-LV"/>
              </w:rPr>
              <w:t>38.</w:t>
            </w:r>
            <w:r w:rsidRPr="00D531C7">
              <w:rPr>
                <w:rFonts w:ascii="Times New Roman" w:eastAsia="Times New Roman" w:hAnsi="Times New Roman" w:cs="Times New Roman"/>
                <w:kern w:val="1"/>
                <w:sz w:val="24"/>
                <w:szCs w:val="24"/>
                <w:vertAlign w:val="superscript"/>
                <w:lang w:eastAsia="lv-LV"/>
              </w:rPr>
              <w:t>35</w:t>
            </w:r>
            <w:r w:rsidRPr="00D531C7">
              <w:rPr>
                <w:rFonts w:ascii="Times New Roman" w:eastAsia="Times New Roman" w:hAnsi="Times New Roman" w:cs="Times New Roman"/>
                <w:kern w:val="1"/>
                <w:sz w:val="24"/>
                <w:szCs w:val="24"/>
                <w:lang w:eastAsia="ar-SA"/>
              </w:rPr>
              <w:t xml:space="preserve"> un </w:t>
            </w:r>
            <w:r w:rsidRPr="00D531C7">
              <w:rPr>
                <w:rFonts w:ascii="Times New Roman" w:eastAsia="Times New Roman" w:hAnsi="Times New Roman" w:cs="Times New Roman"/>
                <w:kern w:val="1"/>
                <w:sz w:val="24"/>
                <w:szCs w:val="24"/>
                <w:lang w:eastAsia="lv-LV"/>
              </w:rPr>
              <w:t>38.</w:t>
            </w:r>
            <w:r w:rsidRPr="00D531C7">
              <w:rPr>
                <w:rFonts w:ascii="Times New Roman" w:eastAsia="Times New Roman" w:hAnsi="Times New Roman" w:cs="Times New Roman"/>
                <w:kern w:val="1"/>
                <w:sz w:val="24"/>
                <w:szCs w:val="24"/>
                <w:vertAlign w:val="superscript"/>
                <w:lang w:eastAsia="lv-LV"/>
              </w:rPr>
              <w:t xml:space="preserve">36 </w:t>
            </w:r>
            <w:r w:rsidRPr="00D531C7">
              <w:rPr>
                <w:rFonts w:ascii="Times New Roman" w:eastAsia="Times New Roman" w:hAnsi="Times New Roman" w:cs="Times New Roman"/>
                <w:kern w:val="1"/>
                <w:sz w:val="24"/>
                <w:szCs w:val="24"/>
                <w:lang w:eastAsia="ar-SA"/>
              </w:rPr>
              <w:t>punkts</w:t>
            </w:r>
          </w:p>
        </w:tc>
        <w:tc>
          <w:tcPr>
            <w:tcW w:w="2238" w:type="dxa"/>
            <w:gridSpan w:val="2"/>
            <w:tcBorders>
              <w:top w:val="single" w:sz="4" w:space="0" w:color="auto"/>
              <w:left w:val="single" w:sz="4" w:space="0" w:color="auto"/>
              <w:bottom w:val="single" w:sz="4" w:space="0" w:color="auto"/>
              <w:right w:val="single" w:sz="4" w:space="0" w:color="auto"/>
            </w:tcBorders>
          </w:tcPr>
          <w:p w14:paraId="6B0E43D9"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p>
        </w:tc>
        <w:tc>
          <w:tcPr>
            <w:tcW w:w="2784" w:type="dxa"/>
            <w:tcBorders>
              <w:top w:val="single" w:sz="4" w:space="0" w:color="auto"/>
              <w:left w:val="single" w:sz="4" w:space="0" w:color="auto"/>
              <w:bottom w:val="single" w:sz="4" w:space="0" w:color="auto"/>
              <w:right w:val="single" w:sz="4" w:space="0" w:color="auto"/>
            </w:tcBorders>
          </w:tcPr>
          <w:p w14:paraId="1D4DC2DC"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73524E05"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6EB7D98C" w14:textId="621A9928"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Komisijas regulas </w:t>
            </w:r>
            <w:r w:rsidRPr="00D531C7">
              <w:rPr>
                <w:rFonts w:ascii="Times New Roman" w:eastAsia="Times New Roman" w:hAnsi="Times New Roman" w:cs="Times New Roman"/>
                <w:kern w:val="1"/>
                <w:sz w:val="24"/>
                <w:szCs w:val="24"/>
                <w:lang w:eastAsia="lv-LV"/>
              </w:rPr>
              <w:t>Nr. </w:t>
            </w:r>
            <w:hyperlink r:id="rId12" w:tgtFrame="_blank" w:history="1">
              <w:r w:rsidRPr="00D531C7">
                <w:rPr>
                  <w:rFonts w:ascii="Times New Roman" w:eastAsia="Times New Roman" w:hAnsi="Times New Roman" w:cs="Times New Roman"/>
                  <w:kern w:val="1"/>
                  <w:sz w:val="24"/>
                  <w:szCs w:val="24"/>
                  <w:lang w:eastAsia="lv-LV"/>
                </w:rPr>
                <w:t>1407/2013</w:t>
              </w:r>
            </w:hyperlink>
            <w:r w:rsidRPr="00D531C7">
              <w:rPr>
                <w:rFonts w:ascii="Times New Roman" w:eastAsia="Times New Roman" w:hAnsi="Times New Roman" w:cs="Times New Roman"/>
                <w:kern w:val="1"/>
                <w:sz w:val="24"/>
                <w:szCs w:val="24"/>
                <w:lang w:eastAsia="lv-LV"/>
              </w:rPr>
              <w:t xml:space="preserve"> 2. panta 2. punkt</w:t>
            </w:r>
            <w:r w:rsidR="00697739" w:rsidRPr="00D531C7">
              <w:rPr>
                <w:rFonts w:ascii="Times New Roman" w:eastAsia="Times New Roman" w:hAnsi="Times New Roman" w:cs="Times New Roman"/>
                <w:kern w:val="1"/>
                <w:sz w:val="24"/>
                <w:szCs w:val="24"/>
                <w:lang w:eastAsia="lv-LV"/>
              </w:rPr>
              <w:t>s</w:t>
            </w:r>
          </w:p>
        </w:tc>
        <w:tc>
          <w:tcPr>
            <w:tcW w:w="1955" w:type="dxa"/>
            <w:tcBorders>
              <w:top w:val="single" w:sz="4" w:space="0" w:color="auto"/>
              <w:left w:val="single" w:sz="4" w:space="0" w:color="auto"/>
              <w:bottom w:val="single" w:sz="4" w:space="0" w:color="auto"/>
              <w:right w:val="single" w:sz="4" w:space="0" w:color="auto"/>
            </w:tcBorders>
          </w:tcPr>
          <w:p w14:paraId="1E21B58A" w14:textId="4A4AF311"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1</w:t>
            </w:r>
            <w:r w:rsidR="00CD4F3E" w:rsidRPr="00D531C7">
              <w:rPr>
                <w:rFonts w:ascii="Times New Roman" w:eastAsia="Times New Roman" w:hAnsi="Times New Roman" w:cs="Times New Roman"/>
                <w:kern w:val="1"/>
                <w:sz w:val="24"/>
                <w:szCs w:val="24"/>
                <w:lang w:eastAsia="ar-SA"/>
              </w:rPr>
              <w:t>9</w:t>
            </w:r>
            <w:r w:rsidRPr="00D531C7">
              <w:rPr>
                <w:rFonts w:ascii="Times New Roman" w:eastAsia="Times New Roman" w:hAnsi="Times New Roman" w:cs="Times New Roman"/>
                <w:kern w:val="1"/>
                <w:sz w:val="24"/>
                <w:szCs w:val="24"/>
                <w:lang w:eastAsia="ar-SA"/>
              </w:rPr>
              <w:t xml:space="preserve">.punktā izteiktais noteikumu </w:t>
            </w:r>
            <w:r w:rsidRPr="00D531C7">
              <w:rPr>
                <w:rFonts w:ascii="Times New Roman" w:eastAsia="Times New Roman" w:hAnsi="Times New Roman" w:cs="Times New Roman"/>
                <w:kern w:val="1"/>
                <w:sz w:val="24"/>
                <w:szCs w:val="24"/>
                <w:lang w:eastAsia="lv-LV"/>
              </w:rPr>
              <w:t>38.</w:t>
            </w:r>
            <w:r w:rsidRPr="00D531C7">
              <w:rPr>
                <w:rFonts w:ascii="Times New Roman" w:eastAsia="Times New Roman" w:hAnsi="Times New Roman" w:cs="Times New Roman"/>
                <w:kern w:val="1"/>
                <w:sz w:val="24"/>
                <w:szCs w:val="24"/>
                <w:vertAlign w:val="superscript"/>
                <w:lang w:eastAsia="lv-LV"/>
              </w:rPr>
              <w:t>35</w:t>
            </w:r>
            <w:r w:rsidR="00697739" w:rsidRPr="00D531C7">
              <w:rPr>
                <w:rFonts w:ascii="Times New Roman" w:eastAsia="Times New Roman" w:hAnsi="Times New Roman" w:cs="Times New Roman"/>
                <w:kern w:val="1"/>
                <w:sz w:val="24"/>
                <w:szCs w:val="24"/>
                <w:vertAlign w:val="superscript"/>
                <w:lang w:eastAsia="lv-LV"/>
              </w:rPr>
              <w:t> </w:t>
            </w:r>
            <w:r w:rsidRPr="00D531C7">
              <w:rPr>
                <w:rFonts w:ascii="Times New Roman" w:eastAsia="Times New Roman" w:hAnsi="Times New Roman" w:cs="Times New Roman"/>
                <w:kern w:val="1"/>
                <w:sz w:val="24"/>
                <w:szCs w:val="24"/>
                <w:lang w:eastAsia="ar-SA"/>
              </w:rPr>
              <w:t>punkts</w:t>
            </w:r>
          </w:p>
        </w:tc>
        <w:tc>
          <w:tcPr>
            <w:tcW w:w="2238" w:type="dxa"/>
            <w:gridSpan w:val="2"/>
            <w:tcBorders>
              <w:top w:val="single" w:sz="4" w:space="0" w:color="auto"/>
              <w:left w:val="single" w:sz="4" w:space="0" w:color="auto"/>
              <w:bottom w:val="single" w:sz="4" w:space="0" w:color="auto"/>
              <w:right w:val="single" w:sz="4" w:space="0" w:color="auto"/>
            </w:tcBorders>
          </w:tcPr>
          <w:p w14:paraId="0E3E3558"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p>
        </w:tc>
        <w:tc>
          <w:tcPr>
            <w:tcW w:w="2784" w:type="dxa"/>
            <w:tcBorders>
              <w:top w:val="single" w:sz="4" w:space="0" w:color="auto"/>
              <w:left w:val="single" w:sz="4" w:space="0" w:color="auto"/>
              <w:bottom w:val="single" w:sz="4" w:space="0" w:color="auto"/>
              <w:right w:val="single" w:sz="4" w:space="0" w:color="auto"/>
            </w:tcBorders>
          </w:tcPr>
          <w:p w14:paraId="03912C04"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4FA46720"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37881B57" w14:textId="5CEEAC84"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8"/>
                <w:lang w:eastAsia="lv-LV"/>
              </w:rPr>
              <w:t>Komisijas regulas Nr. </w:t>
            </w:r>
            <w:hyperlink r:id="rId13" w:tgtFrame="_blank" w:history="1">
              <w:r w:rsidRPr="00D531C7">
                <w:rPr>
                  <w:rFonts w:ascii="Times New Roman" w:eastAsia="Times New Roman" w:hAnsi="Times New Roman" w:cs="Times New Roman"/>
                  <w:kern w:val="1"/>
                  <w:sz w:val="24"/>
                  <w:szCs w:val="28"/>
                  <w:lang w:eastAsia="lv-LV"/>
                </w:rPr>
                <w:t>1407/2013</w:t>
              </w:r>
            </w:hyperlink>
            <w:r w:rsidRPr="00D531C7">
              <w:rPr>
                <w:rFonts w:ascii="Times New Roman" w:eastAsia="Times New Roman" w:hAnsi="Times New Roman" w:cs="Times New Roman"/>
                <w:kern w:val="1"/>
                <w:sz w:val="24"/>
                <w:szCs w:val="28"/>
                <w:lang w:eastAsia="lv-LV"/>
              </w:rPr>
              <w:t xml:space="preserve"> 5.</w:t>
            </w:r>
            <w:r w:rsidR="00697739" w:rsidRPr="00D531C7">
              <w:rPr>
                <w:rFonts w:ascii="Times New Roman" w:eastAsia="Times New Roman" w:hAnsi="Times New Roman" w:cs="Times New Roman"/>
                <w:kern w:val="1"/>
                <w:sz w:val="24"/>
                <w:szCs w:val="28"/>
                <w:lang w:eastAsia="lv-LV"/>
              </w:rPr>
              <w:t> </w:t>
            </w:r>
            <w:r w:rsidRPr="00D531C7">
              <w:rPr>
                <w:rFonts w:ascii="Times New Roman" w:eastAsia="Times New Roman" w:hAnsi="Times New Roman" w:cs="Times New Roman"/>
                <w:kern w:val="1"/>
                <w:sz w:val="24"/>
                <w:szCs w:val="28"/>
                <w:lang w:eastAsia="lv-LV"/>
              </w:rPr>
              <w:t>panta 1. un 2. punkts</w:t>
            </w:r>
          </w:p>
        </w:tc>
        <w:tc>
          <w:tcPr>
            <w:tcW w:w="1955" w:type="dxa"/>
            <w:tcBorders>
              <w:top w:val="single" w:sz="4" w:space="0" w:color="auto"/>
              <w:left w:val="single" w:sz="4" w:space="0" w:color="auto"/>
              <w:bottom w:val="single" w:sz="4" w:space="0" w:color="auto"/>
              <w:right w:val="single" w:sz="4" w:space="0" w:color="auto"/>
            </w:tcBorders>
          </w:tcPr>
          <w:p w14:paraId="7B8DA674" w14:textId="385BA3B9"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1</w:t>
            </w:r>
            <w:r w:rsidR="00CD4F3E" w:rsidRPr="00D531C7">
              <w:rPr>
                <w:rFonts w:ascii="Times New Roman" w:eastAsia="Times New Roman" w:hAnsi="Times New Roman" w:cs="Times New Roman"/>
                <w:kern w:val="1"/>
                <w:sz w:val="24"/>
                <w:szCs w:val="24"/>
                <w:lang w:eastAsia="ar-SA"/>
              </w:rPr>
              <w:t>9</w:t>
            </w:r>
            <w:r w:rsidRPr="00D531C7">
              <w:rPr>
                <w:rFonts w:ascii="Times New Roman" w:eastAsia="Times New Roman" w:hAnsi="Times New Roman" w:cs="Times New Roman"/>
                <w:kern w:val="1"/>
                <w:sz w:val="24"/>
                <w:szCs w:val="24"/>
                <w:lang w:eastAsia="ar-SA"/>
              </w:rPr>
              <w:t xml:space="preserve">.punktā izteiktais noteikumu </w:t>
            </w:r>
            <w:r w:rsidRPr="00D531C7">
              <w:rPr>
                <w:rFonts w:ascii="Times New Roman" w:eastAsia="Times New Roman" w:hAnsi="Times New Roman" w:cs="Times New Roman"/>
                <w:kern w:val="1"/>
                <w:sz w:val="24"/>
                <w:szCs w:val="28"/>
                <w:lang w:eastAsia="lv-LV"/>
              </w:rPr>
              <w:t>38.</w:t>
            </w:r>
            <w:r w:rsidRPr="00D531C7">
              <w:rPr>
                <w:rFonts w:ascii="Times New Roman" w:eastAsia="Times New Roman" w:hAnsi="Times New Roman" w:cs="Times New Roman"/>
                <w:kern w:val="1"/>
                <w:sz w:val="24"/>
                <w:szCs w:val="28"/>
                <w:vertAlign w:val="superscript"/>
                <w:lang w:eastAsia="lv-LV"/>
              </w:rPr>
              <w:t>36</w:t>
            </w:r>
            <w:r w:rsidR="00697739" w:rsidRPr="00D531C7">
              <w:rPr>
                <w:rFonts w:ascii="Times New Roman" w:eastAsia="Times New Roman" w:hAnsi="Times New Roman" w:cs="Times New Roman"/>
                <w:kern w:val="1"/>
                <w:sz w:val="24"/>
                <w:szCs w:val="28"/>
                <w:vertAlign w:val="superscript"/>
                <w:lang w:eastAsia="lv-LV"/>
              </w:rPr>
              <w:t> </w:t>
            </w:r>
            <w:r w:rsidRPr="00D531C7">
              <w:rPr>
                <w:rFonts w:ascii="Times New Roman" w:eastAsia="Times New Roman" w:hAnsi="Times New Roman" w:cs="Times New Roman"/>
                <w:kern w:val="1"/>
                <w:sz w:val="24"/>
                <w:szCs w:val="24"/>
                <w:lang w:eastAsia="ar-SA"/>
              </w:rPr>
              <w:t>punkts</w:t>
            </w:r>
          </w:p>
        </w:tc>
        <w:tc>
          <w:tcPr>
            <w:tcW w:w="2238" w:type="dxa"/>
            <w:gridSpan w:val="2"/>
            <w:tcBorders>
              <w:top w:val="single" w:sz="4" w:space="0" w:color="auto"/>
              <w:left w:val="single" w:sz="4" w:space="0" w:color="auto"/>
              <w:bottom w:val="single" w:sz="4" w:space="0" w:color="auto"/>
              <w:right w:val="single" w:sz="4" w:space="0" w:color="auto"/>
            </w:tcBorders>
          </w:tcPr>
          <w:p w14:paraId="0437A5C8"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p>
        </w:tc>
        <w:tc>
          <w:tcPr>
            <w:tcW w:w="2784" w:type="dxa"/>
            <w:tcBorders>
              <w:top w:val="single" w:sz="4" w:space="0" w:color="auto"/>
              <w:left w:val="single" w:sz="4" w:space="0" w:color="auto"/>
              <w:bottom w:val="single" w:sz="4" w:space="0" w:color="auto"/>
              <w:right w:val="single" w:sz="4" w:space="0" w:color="auto"/>
            </w:tcBorders>
          </w:tcPr>
          <w:p w14:paraId="65DFA406"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44740EC7"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71151482" w14:textId="78197C73" w:rsidR="008C2713" w:rsidRPr="00D531C7" w:rsidRDefault="008C2713" w:rsidP="008C2713">
            <w:pPr>
              <w:suppressAutoHyphens/>
              <w:spacing w:after="0" w:line="240" w:lineRule="auto"/>
              <w:rPr>
                <w:rFonts w:ascii="Times New Roman" w:eastAsia="Times New Roman" w:hAnsi="Times New Roman" w:cs="Times New Roman"/>
                <w:kern w:val="1"/>
                <w:sz w:val="24"/>
                <w:szCs w:val="28"/>
                <w:lang w:eastAsia="lv-LV"/>
              </w:rPr>
            </w:pPr>
            <w:r w:rsidRPr="00D531C7">
              <w:rPr>
                <w:rFonts w:ascii="Times New Roman" w:eastAsia="Times New Roman" w:hAnsi="Times New Roman" w:cs="Times New Roman"/>
                <w:kern w:val="1"/>
                <w:sz w:val="24"/>
                <w:szCs w:val="28"/>
                <w:lang w:eastAsia="lv-LV"/>
              </w:rPr>
              <w:t>Komisijas regulas Nr. </w:t>
            </w:r>
            <w:hyperlink r:id="rId14" w:tgtFrame="_blank" w:history="1">
              <w:r w:rsidRPr="00D531C7">
                <w:rPr>
                  <w:rFonts w:ascii="Times New Roman" w:eastAsia="Times New Roman" w:hAnsi="Times New Roman" w:cs="Times New Roman"/>
                  <w:kern w:val="1"/>
                  <w:sz w:val="24"/>
                  <w:szCs w:val="28"/>
                  <w:lang w:eastAsia="lv-LV"/>
                </w:rPr>
                <w:t>1407/2013</w:t>
              </w:r>
            </w:hyperlink>
            <w:r w:rsidRPr="00D531C7">
              <w:rPr>
                <w:rFonts w:ascii="Times New Roman" w:eastAsia="Times New Roman" w:hAnsi="Times New Roman" w:cs="Times New Roman"/>
                <w:kern w:val="1"/>
                <w:sz w:val="24"/>
                <w:szCs w:val="28"/>
                <w:lang w:eastAsia="lv-LV"/>
              </w:rPr>
              <w:t xml:space="preserve"> 1.</w:t>
            </w:r>
            <w:r w:rsidR="00697739" w:rsidRPr="00D531C7">
              <w:rPr>
                <w:rFonts w:ascii="Times New Roman" w:eastAsia="Times New Roman" w:hAnsi="Times New Roman" w:cs="Times New Roman"/>
                <w:kern w:val="1"/>
                <w:sz w:val="24"/>
                <w:szCs w:val="28"/>
                <w:lang w:eastAsia="lv-LV"/>
              </w:rPr>
              <w:t> </w:t>
            </w:r>
            <w:r w:rsidRPr="00D531C7">
              <w:rPr>
                <w:rFonts w:ascii="Times New Roman" w:eastAsia="Times New Roman" w:hAnsi="Times New Roman" w:cs="Times New Roman"/>
                <w:kern w:val="1"/>
                <w:sz w:val="24"/>
                <w:szCs w:val="28"/>
                <w:lang w:eastAsia="lv-LV"/>
              </w:rPr>
              <w:t>panta 1. punkts</w:t>
            </w:r>
          </w:p>
        </w:tc>
        <w:tc>
          <w:tcPr>
            <w:tcW w:w="1955" w:type="dxa"/>
            <w:tcBorders>
              <w:top w:val="single" w:sz="4" w:space="0" w:color="auto"/>
              <w:left w:val="single" w:sz="4" w:space="0" w:color="auto"/>
              <w:bottom w:val="single" w:sz="4" w:space="0" w:color="auto"/>
              <w:right w:val="single" w:sz="4" w:space="0" w:color="auto"/>
            </w:tcBorders>
          </w:tcPr>
          <w:p w14:paraId="50C0AFEB" w14:textId="11112A48" w:rsidR="008C2713" w:rsidRPr="00D531C7" w:rsidRDefault="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1</w:t>
            </w:r>
            <w:r w:rsidR="00CD4F3E" w:rsidRPr="00D531C7">
              <w:rPr>
                <w:rFonts w:ascii="Times New Roman" w:eastAsia="Times New Roman" w:hAnsi="Times New Roman" w:cs="Times New Roman"/>
                <w:kern w:val="1"/>
                <w:sz w:val="24"/>
                <w:szCs w:val="24"/>
                <w:lang w:eastAsia="ar-SA"/>
              </w:rPr>
              <w:t>9</w:t>
            </w:r>
            <w:r w:rsidRPr="00D531C7">
              <w:rPr>
                <w:rFonts w:ascii="Times New Roman" w:eastAsia="Times New Roman" w:hAnsi="Times New Roman" w:cs="Times New Roman"/>
                <w:kern w:val="1"/>
                <w:sz w:val="24"/>
                <w:szCs w:val="24"/>
                <w:lang w:eastAsia="ar-SA"/>
              </w:rPr>
              <w:t xml:space="preserve">.punktā izteiktais noteikumu </w:t>
            </w:r>
            <w:r w:rsidRPr="00D531C7">
              <w:rPr>
                <w:rFonts w:ascii="Times New Roman" w:eastAsia="Times New Roman" w:hAnsi="Times New Roman" w:cs="Times New Roman"/>
                <w:kern w:val="1"/>
                <w:sz w:val="24"/>
                <w:szCs w:val="28"/>
                <w:lang w:eastAsia="lv-LV"/>
              </w:rPr>
              <w:t>38.</w:t>
            </w:r>
            <w:r w:rsidRPr="00D531C7">
              <w:rPr>
                <w:rFonts w:ascii="Times New Roman" w:eastAsia="Times New Roman" w:hAnsi="Times New Roman" w:cs="Times New Roman"/>
                <w:kern w:val="1"/>
                <w:sz w:val="24"/>
                <w:szCs w:val="28"/>
                <w:vertAlign w:val="superscript"/>
                <w:lang w:eastAsia="lv-LV"/>
              </w:rPr>
              <w:t>37</w:t>
            </w:r>
            <w:r w:rsidRPr="00D531C7">
              <w:rPr>
                <w:rFonts w:ascii="Times New Roman" w:eastAsia="Times New Roman" w:hAnsi="Times New Roman" w:cs="Times New Roman"/>
                <w:kern w:val="1"/>
                <w:sz w:val="24"/>
                <w:szCs w:val="24"/>
                <w:lang w:eastAsia="ar-SA"/>
              </w:rPr>
              <w:t>1</w:t>
            </w:r>
            <w:r w:rsidR="00697739"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 xml:space="preserve"> apakšpunkts</w:t>
            </w:r>
          </w:p>
        </w:tc>
        <w:tc>
          <w:tcPr>
            <w:tcW w:w="2238" w:type="dxa"/>
            <w:gridSpan w:val="2"/>
            <w:tcBorders>
              <w:top w:val="single" w:sz="4" w:space="0" w:color="auto"/>
              <w:left w:val="single" w:sz="4" w:space="0" w:color="auto"/>
              <w:bottom w:val="single" w:sz="4" w:space="0" w:color="auto"/>
              <w:right w:val="single" w:sz="4" w:space="0" w:color="auto"/>
            </w:tcBorders>
          </w:tcPr>
          <w:p w14:paraId="0B29AB68"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nodrošina atbilstību Komisijas regulai Nr. 1407/2013.</w:t>
            </w:r>
          </w:p>
        </w:tc>
        <w:tc>
          <w:tcPr>
            <w:tcW w:w="2784" w:type="dxa"/>
            <w:tcBorders>
              <w:top w:val="single" w:sz="4" w:space="0" w:color="auto"/>
              <w:left w:val="single" w:sz="4" w:space="0" w:color="auto"/>
              <w:bottom w:val="single" w:sz="4" w:space="0" w:color="auto"/>
              <w:right w:val="single" w:sz="4" w:space="0" w:color="auto"/>
            </w:tcBorders>
          </w:tcPr>
          <w:p w14:paraId="58A170DF"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Noteikumu projekta vienības neparedz stingrākas prasības kā šīs tabulas A ailē minētās ES tiesību akta vienības.</w:t>
            </w:r>
          </w:p>
        </w:tc>
      </w:tr>
      <w:tr w:rsidR="008C2713" w:rsidRPr="00D531C7" w14:paraId="04E82875"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tcPr>
          <w:p w14:paraId="3367B41F" w14:textId="77777777" w:rsidR="008C2713" w:rsidRPr="00D531C7" w:rsidRDefault="008C2713" w:rsidP="008C2713">
            <w:pPr>
              <w:suppressAutoHyphens/>
              <w:spacing w:after="0" w:line="240" w:lineRule="auto"/>
              <w:rPr>
                <w:rFonts w:ascii="Times New Roman" w:eastAsia="Times New Roman" w:hAnsi="Times New Roman" w:cs="Times New Roman"/>
                <w:kern w:val="1"/>
                <w:sz w:val="28"/>
                <w:szCs w:val="28"/>
                <w:lang w:eastAsia="lv-LV"/>
              </w:rPr>
            </w:pPr>
          </w:p>
        </w:tc>
        <w:tc>
          <w:tcPr>
            <w:tcW w:w="1955" w:type="dxa"/>
            <w:tcBorders>
              <w:top w:val="single" w:sz="4" w:space="0" w:color="auto"/>
              <w:left w:val="single" w:sz="4" w:space="0" w:color="auto"/>
              <w:bottom w:val="single" w:sz="4" w:space="0" w:color="auto"/>
              <w:right w:val="single" w:sz="4" w:space="0" w:color="auto"/>
            </w:tcBorders>
          </w:tcPr>
          <w:p w14:paraId="2C75DC35"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c>
        <w:tc>
          <w:tcPr>
            <w:tcW w:w="2238" w:type="dxa"/>
            <w:gridSpan w:val="2"/>
            <w:tcBorders>
              <w:top w:val="single" w:sz="4" w:space="0" w:color="auto"/>
              <w:left w:val="single" w:sz="4" w:space="0" w:color="auto"/>
              <w:bottom w:val="single" w:sz="4" w:space="0" w:color="auto"/>
              <w:right w:val="single" w:sz="4" w:space="0" w:color="auto"/>
            </w:tcBorders>
          </w:tcPr>
          <w:p w14:paraId="408DBA04"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c>
        <w:tc>
          <w:tcPr>
            <w:tcW w:w="2784" w:type="dxa"/>
            <w:tcBorders>
              <w:top w:val="single" w:sz="4" w:space="0" w:color="auto"/>
              <w:left w:val="single" w:sz="4" w:space="0" w:color="auto"/>
              <w:bottom w:val="single" w:sz="4" w:space="0" w:color="auto"/>
              <w:right w:val="single" w:sz="4" w:space="0" w:color="auto"/>
            </w:tcBorders>
          </w:tcPr>
          <w:p w14:paraId="1826005A"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c>
      </w:tr>
      <w:tr w:rsidR="008C2713" w:rsidRPr="00D531C7" w14:paraId="1E0EAF9E"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5964C6FA"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Kā ir izmantota ES tiesību aktā paredzētā rīcības brīvība dalībvalstij pārņemt vai ieviest noteiktas ES tiesību akta normas? Kādēļ?</w:t>
            </w:r>
          </w:p>
        </w:tc>
        <w:tc>
          <w:tcPr>
            <w:tcW w:w="7037" w:type="dxa"/>
            <w:gridSpan w:val="4"/>
            <w:tcBorders>
              <w:top w:val="single" w:sz="4" w:space="0" w:color="auto"/>
              <w:left w:val="single" w:sz="4" w:space="0" w:color="auto"/>
              <w:bottom w:val="single" w:sz="4" w:space="0" w:color="auto"/>
              <w:right w:val="single" w:sz="4" w:space="0" w:color="auto"/>
            </w:tcBorders>
            <w:hideMark/>
          </w:tcPr>
          <w:p w14:paraId="0A3240B0"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šo jomu neskar.</w:t>
            </w:r>
          </w:p>
          <w:p w14:paraId="44E84793" w14:textId="77777777" w:rsidR="008C2713" w:rsidRPr="00D531C7" w:rsidRDefault="008C2713" w:rsidP="008C2713">
            <w:pPr>
              <w:suppressAutoHyphens/>
              <w:spacing w:after="0" w:line="240" w:lineRule="auto"/>
              <w:rPr>
                <w:rFonts w:ascii="Times New Roman" w:eastAsia="Times New Roman" w:hAnsi="Times New Roman" w:cs="Times New Roman"/>
                <w:iCs/>
                <w:color w:val="A6A6A6" w:themeColor="background1" w:themeShade="A6"/>
                <w:kern w:val="1"/>
                <w:sz w:val="24"/>
                <w:szCs w:val="24"/>
                <w:lang w:eastAsia="lv-LV"/>
              </w:rPr>
            </w:pPr>
          </w:p>
        </w:tc>
      </w:tr>
      <w:tr w:rsidR="008C2713" w:rsidRPr="00D531C7" w14:paraId="568B21EF"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3473F260"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37" w:type="dxa"/>
            <w:gridSpan w:val="4"/>
            <w:tcBorders>
              <w:top w:val="single" w:sz="4" w:space="0" w:color="auto"/>
              <w:left w:val="single" w:sz="4" w:space="0" w:color="auto"/>
              <w:bottom w:val="single" w:sz="4" w:space="0" w:color="auto"/>
              <w:right w:val="single" w:sz="4" w:space="0" w:color="auto"/>
            </w:tcBorders>
          </w:tcPr>
          <w:p w14:paraId="5F262CA2" w14:textId="77777777" w:rsidR="008C2713" w:rsidRPr="00D531C7" w:rsidRDefault="008C2713" w:rsidP="008C2713">
            <w:pPr>
              <w:suppressAutoHyphens/>
              <w:spacing w:after="0" w:line="240" w:lineRule="auto"/>
              <w:jc w:val="both"/>
              <w:rPr>
                <w:rFonts w:ascii="Times New Roman" w:eastAsia="Times New Roman" w:hAnsi="Times New Roman" w:cs="Times New Roman"/>
                <w:iCs/>
                <w:color w:val="A6A6A6" w:themeColor="background1" w:themeShade="A6"/>
                <w:kern w:val="1"/>
                <w:sz w:val="24"/>
                <w:szCs w:val="24"/>
                <w:lang w:eastAsia="lv-LV"/>
              </w:rPr>
            </w:pPr>
          </w:p>
        </w:tc>
      </w:tr>
      <w:tr w:rsidR="008C2713" w:rsidRPr="00D531C7" w14:paraId="0E100141"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32A1BAEC"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Cita informācija</w:t>
            </w:r>
          </w:p>
        </w:tc>
        <w:tc>
          <w:tcPr>
            <w:tcW w:w="7037" w:type="dxa"/>
            <w:gridSpan w:val="4"/>
            <w:tcBorders>
              <w:top w:val="single" w:sz="4" w:space="0" w:color="auto"/>
              <w:left w:val="single" w:sz="4" w:space="0" w:color="auto"/>
              <w:bottom w:val="single" w:sz="4" w:space="0" w:color="auto"/>
              <w:right w:val="single" w:sz="4" w:space="0" w:color="auto"/>
            </w:tcBorders>
            <w:hideMark/>
          </w:tcPr>
          <w:p w14:paraId="018CB532"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Nav.</w:t>
            </w:r>
          </w:p>
        </w:tc>
      </w:tr>
      <w:tr w:rsidR="008C2713" w:rsidRPr="00D531C7" w14:paraId="627BD7D2" w14:textId="77777777" w:rsidTr="008C215C">
        <w:trPr>
          <w:tblCellSpacing w:w="15" w:type="dxa"/>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14:paraId="170CD609" w14:textId="77777777" w:rsidR="008C2713" w:rsidRPr="00D531C7" w:rsidRDefault="008C2713" w:rsidP="008C2713">
            <w:pPr>
              <w:suppressAutoHyphens/>
              <w:spacing w:after="0" w:line="240" w:lineRule="auto"/>
              <w:rPr>
                <w:rFonts w:ascii="Times New Roman" w:eastAsia="Times New Roman" w:hAnsi="Times New Roman" w:cs="Times New Roman"/>
                <w:b/>
                <w:bCs/>
                <w:iCs/>
                <w:color w:val="414142"/>
                <w:kern w:val="1"/>
                <w:sz w:val="24"/>
                <w:szCs w:val="24"/>
                <w:lang w:eastAsia="lv-LV"/>
              </w:rPr>
            </w:pPr>
            <w:r w:rsidRPr="00D531C7">
              <w:rPr>
                <w:rFonts w:ascii="Times New Roman" w:eastAsia="Times New Roman" w:hAnsi="Times New Roman" w:cs="Times New Roman"/>
                <w:b/>
                <w:bCs/>
                <w:iCs/>
                <w:color w:val="414142"/>
                <w:kern w:val="1"/>
                <w:sz w:val="24"/>
                <w:szCs w:val="24"/>
                <w:lang w:eastAsia="lv-LV"/>
              </w:rPr>
              <w:lastRenderedPageBreak/>
              <w:t>2. tabula</w:t>
            </w:r>
            <w:r w:rsidRPr="00D531C7">
              <w:rPr>
                <w:rFonts w:ascii="Times New Roman" w:eastAsia="Times New Roman" w:hAnsi="Times New Roman" w:cs="Times New Roman"/>
                <w:b/>
                <w:bCs/>
                <w:iCs/>
                <w:color w:val="414142"/>
                <w:kern w:val="1"/>
                <w:sz w:val="24"/>
                <w:szCs w:val="24"/>
                <w:lang w:eastAsia="lv-LV"/>
              </w:rPr>
              <w:br/>
              <w:t>Ar tiesību akta projektu izpildītās vai uzņemtās saistības, kas izriet no starptautiskajiem tiesību aktiem vai starptautiskas institūcijas vai organizācijas dokumentiem.</w:t>
            </w:r>
            <w:r w:rsidRPr="00D531C7">
              <w:rPr>
                <w:rFonts w:ascii="Times New Roman" w:eastAsia="Times New Roman" w:hAnsi="Times New Roman" w:cs="Times New Roman"/>
                <w:b/>
                <w:bCs/>
                <w:iCs/>
                <w:color w:val="414142"/>
                <w:kern w:val="1"/>
                <w:sz w:val="24"/>
                <w:szCs w:val="24"/>
                <w:lang w:eastAsia="lv-LV"/>
              </w:rPr>
              <w:br/>
              <w:t>Pasākumi šo saistību izpildei</w:t>
            </w:r>
          </w:p>
        </w:tc>
      </w:tr>
      <w:tr w:rsidR="008C2713" w:rsidRPr="00D531C7" w14:paraId="07F084A7"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44136C7E"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Attiecīgā starptautiskā tiesību akta vai starptautiskas institūcijas vai organizācijas dokumenta (turpmāk – starptautiskais dokuments) datums, numurs un nosaukums</w:t>
            </w:r>
          </w:p>
        </w:tc>
        <w:tc>
          <w:tcPr>
            <w:tcW w:w="7037" w:type="dxa"/>
            <w:gridSpan w:val="4"/>
            <w:tcBorders>
              <w:top w:val="single" w:sz="4" w:space="0" w:color="auto"/>
              <w:left w:val="single" w:sz="4" w:space="0" w:color="auto"/>
              <w:bottom w:val="single" w:sz="4" w:space="0" w:color="auto"/>
              <w:right w:val="single" w:sz="4" w:space="0" w:color="auto"/>
            </w:tcBorders>
            <w:hideMark/>
          </w:tcPr>
          <w:p w14:paraId="3835EDCC" w14:textId="77777777" w:rsidR="008C2713" w:rsidRPr="00D531C7" w:rsidRDefault="008C2713" w:rsidP="008C2713">
            <w:pPr>
              <w:suppressAutoHyphens/>
              <w:spacing w:after="0" w:line="240" w:lineRule="auto"/>
              <w:rPr>
                <w:rFonts w:ascii="Times New Roman" w:eastAsia="Times New Roman" w:hAnsi="Times New Roman" w:cs="Times New Roman"/>
                <w:iCs/>
                <w:color w:val="A6A6A6" w:themeColor="background1" w:themeShade="A6"/>
                <w:kern w:val="1"/>
                <w:sz w:val="24"/>
                <w:szCs w:val="24"/>
                <w:lang w:eastAsia="lv-LV"/>
              </w:rPr>
            </w:pPr>
            <w:r w:rsidRPr="00D531C7">
              <w:rPr>
                <w:rFonts w:ascii="Times New Roman" w:eastAsia="Times New Roman" w:hAnsi="Times New Roman" w:cs="Times New Roman"/>
                <w:kern w:val="1"/>
                <w:sz w:val="24"/>
                <w:szCs w:val="24"/>
                <w:lang w:eastAsia="ar-SA"/>
              </w:rPr>
              <w:t>Projekts šo jomu neskar.</w:t>
            </w:r>
          </w:p>
        </w:tc>
      </w:tr>
      <w:tr w:rsidR="008C2713" w:rsidRPr="00D531C7" w14:paraId="268B409C"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vAlign w:val="center"/>
            <w:hideMark/>
          </w:tcPr>
          <w:p w14:paraId="311DB07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A</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B07AF1A"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B</w:t>
            </w:r>
          </w:p>
        </w:tc>
        <w:tc>
          <w:tcPr>
            <w:tcW w:w="3923" w:type="dxa"/>
            <w:gridSpan w:val="2"/>
            <w:tcBorders>
              <w:top w:val="single" w:sz="4" w:space="0" w:color="auto"/>
              <w:left w:val="single" w:sz="4" w:space="0" w:color="auto"/>
              <w:bottom w:val="single" w:sz="4" w:space="0" w:color="auto"/>
              <w:right w:val="single" w:sz="4" w:space="0" w:color="auto"/>
            </w:tcBorders>
            <w:vAlign w:val="center"/>
            <w:hideMark/>
          </w:tcPr>
          <w:p w14:paraId="50D56B89"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C</w:t>
            </w:r>
          </w:p>
        </w:tc>
      </w:tr>
      <w:tr w:rsidR="008C2713" w:rsidRPr="00D531C7" w14:paraId="2082D20F"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473A7258"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Starptautiskās saistības (pēc būtības), kas izriet no norādītā starptautiskā dokumenta.</w:t>
            </w:r>
            <w:r w:rsidRPr="00D531C7">
              <w:rPr>
                <w:rFonts w:ascii="Times New Roman" w:eastAsia="Times New Roman" w:hAnsi="Times New Roman" w:cs="Times New Roman"/>
                <w:iCs/>
                <w:color w:val="414142"/>
                <w:kern w:val="1"/>
                <w:sz w:val="24"/>
                <w:szCs w:val="24"/>
                <w:lang w:eastAsia="lv-LV"/>
              </w:rPr>
              <w:br/>
              <w:t>Konkrēti veicamie pasākumi vai uzdevumi, kas nepieciešami šo starptautisko saistību izpildei</w:t>
            </w:r>
          </w:p>
        </w:tc>
        <w:tc>
          <w:tcPr>
            <w:tcW w:w="3084" w:type="dxa"/>
            <w:gridSpan w:val="2"/>
            <w:tcBorders>
              <w:top w:val="single" w:sz="4" w:space="0" w:color="auto"/>
              <w:left w:val="single" w:sz="4" w:space="0" w:color="auto"/>
              <w:bottom w:val="single" w:sz="4" w:space="0" w:color="auto"/>
              <w:right w:val="single" w:sz="4" w:space="0" w:color="auto"/>
            </w:tcBorders>
            <w:hideMark/>
          </w:tcPr>
          <w:p w14:paraId="2841735C"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23" w:type="dxa"/>
            <w:gridSpan w:val="2"/>
            <w:tcBorders>
              <w:top w:val="single" w:sz="4" w:space="0" w:color="auto"/>
              <w:left w:val="single" w:sz="4" w:space="0" w:color="auto"/>
              <w:bottom w:val="single" w:sz="4" w:space="0" w:color="auto"/>
              <w:right w:val="single" w:sz="4" w:space="0" w:color="auto"/>
            </w:tcBorders>
            <w:hideMark/>
          </w:tcPr>
          <w:p w14:paraId="71F35EA5" w14:textId="77777777" w:rsidR="008C2713" w:rsidRPr="00D531C7" w:rsidRDefault="008C2713" w:rsidP="008C2713">
            <w:pPr>
              <w:suppressAutoHyphens/>
              <w:spacing w:after="0" w:line="240" w:lineRule="auto"/>
              <w:rPr>
                <w:rFonts w:ascii="Times New Roman" w:eastAsia="Times New Roman" w:hAnsi="Times New Roman" w:cs="Times New Roman"/>
                <w:iCs/>
                <w:color w:val="414142"/>
                <w:kern w:val="1"/>
                <w:sz w:val="24"/>
                <w:szCs w:val="24"/>
                <w:lang w:eastAsia="lv-LV"/>
              </w:rPr>
            </w:pPr>
            <w:r w:rsidRPr="00D531C7">
              <w:rPr>
                <w:rFonts w:ascii="Times New Roman" w:eastAsia="Times New Roman" w:hAnsi="Times New Roman" w:cs="Times New Roman"/>
                <w:iCs/>
                <w:color w:val="414142"/>
                <w:kern w:val="1"/>
                <w:sz w:val="24"/>
                <w:szCs w:val="24"/>
                <w:lang w:eastAsia="lv-LV"/>
              </w:rPr>
              <w:t>Informācija par to, vai starptautiskās saistības, kas minētas šīs tabulas A ailē, tiek izpildītas pilnībā vai daļēji.</w:t>
            </w:r>
            <w:r w:rsidRPr="00D531C7">
              <w:rPr>
                <w:rFonts w:ascii="Times New Roman" w:eastAsia="Times New Roman" w:hAnsi="Times New Roman" w:cs="Times New Roman"/>
                <w:iCs/>
                <w:color w:val="414142"/>
                <w:kern w:val="1"/>
                <w:sz w:val="24"/>
                <w:szCs w:val="24"/>
                <w:lang w:eastAsia="lv-LV"/>
              </w:rPr>
              <w:br/>
              <w:t>Ja attiecīgās starptautiskās saistības tiek izpildītas daļēji, sniedz skaidrojumu, kā arī precīzi norāda, kad un kādā veidā starptautiskās saistības tiks izpildītas pilnībā.</w:t>
            </w:r>
            <w:r w:rsidRPr="00D531C7">
              <w:rPr>
                <w:rFonts w:ascii="Times New Roman" w:eastAsia="Times New Roman" w:hAnsi="Times New Roman" w:cs="Times New Roman"/>
                <w:iCs/>
                <w:color w:val="414142"/>
                <w:kern w:val="1"/>
                <w:sz w:val="24"/>
                <w:szCs w:val="24"/>
                <w:lang w:eastAsia="lv-LV"/>
              </w:rPr>
              <w:br/>
              <w:t>Norāda institūciju, kas ir atbildīga par šo saistību izpildi pilnībā</w:t>
            </w:r>
          </w:p>
        </w:tc>
      </w:tr>
      <w:tr w:rsidR="008C2713" w:rsidRPr="00D531C7" w14:paraId="07AA56D1"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55C15580"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šo jomu neskar.</w:t>
            </w:r>
          </w:p>
        </w:tc>
        <w:tc>
          <w:tcPr>
            <w:tcW w:w="3084" w:type="dxa"/>
            <w:gridSpan w:val="2"/>
            <w:tcBorders>
              <w:top w:val="single" w:sz="4" w:space="0" w:color="auto"/>
              <w:left w:val="single" w:sz="4" w:space="0" w:color="auto"/>
              <w:bottom w:val="single" w:sz="4" w:space="0" w:color="auto"/>
              <w:right w:val="single" w:sz="4" w:space="0" w:color="auto"/>
            </w:tcBorders>
            <w:hideMark/>
          </w:tcPr>
          <w:p w14:paraId="74F9F759"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šo jomu neskar.</w:t>
            </w:r>
          </w:p>
        </w:tc>
        <w:tc>
          <w:tcPr>
            <w:tcW w:w="3923" w:type="dxa"/>
            <w:gridSpan w:val="2"/>
            <w:tcBorders>
              <w:top w:val="single" w:sz="4" w:space="0" w:color="auto"/>
              <w:left w:val="single" w:sz="4" w:space="0" w:color="auto"/>
              <w:bottom w:val="single" w:sz="4" w:space="0" w:color="auto"/>
              <w:right w:val="single" w:sz="4" w:space="0" w:color="auto"/>
            </w:tcBorders>
            <w:hideMark/>
          </w:tcPr>
          <w:p w14:paraId="34930818"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šo jomu neskar.</w:t>
            </w:r>
          </w:p>
        </w:tc>
      </w:tr>
      <w:tr w:rsidR="008C2713" w:rsidRPr="00D531C7" w14:paraId="46360E41"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2CD13817" w14:textId="77777777" w:rsidR="008C2713" w:rsidRPr="00D531C7" w:rsidRDefault="008C2713" w:rsidP="008C2713">
            <w:pPr>
              <w:suppressAutoHyphens/>
              <w:spacing w:after="0" w:line="240" w:lineRule="auto"/>
              <w:rPr>
                <w:rFonts w:ascii="Times New Roman" w:eastAsia="Times New Roman" w:hAnsi="Times New Roman" w:cs="Times New Roman"/>
                <w:iCs/>
                <w:kern w:val="1"/>
                <w:sz w:val="24"/>
                <w:szCs w:val="24"/>
                <w:lang w:eastAsia="lv-LV"/>
              </w:rPr>
            </w:pPr>
            <w:r w:rsidRPr="00D531C7">
              <w:rPr>
                <w:rFonts w:ascii="Times New Roman" w:eastAsia="Times New Roman" w:hAnsi="Times New Roman" w:cs="Times New Roman"/>
                <w:iCs/>
                <w:kern w:val="1"/>
                <w:sz w:val="24"/>
                <w:szCs w:val="24"/>
                <w:lang w:eastAsia="lv-LV"/>
              </w:rPr>
              <w:t>Vai starptautiskajā dokumentā paredzētās saistības nav pretrunā ar jau esošajām Latvijas Republikas starptautiskajām saistībām</w:t>
            </w:r>
          </w:p>
        </w:tc>
        <w:tc>
          <w:tcPr>
            <w:tcW w:w="7037" w:type="dxa"/>
            <w:gridSpan w:val="4"/>
            <w:tcBorders>
              <w:top w:val="single" w:sz="4" w:space="0" w:color="auto"/>
              <w:left w:val="single" w:sz="4" w:space="0" w:color="auto"/>
              <w:bottom w:val="single" w:sz="4" w:space="0" w:color="auto"/>
              <w:right w:val="single" w:sz="4" w:space="0" w:color="auto"/>
            </w:tcBorders>
            <w:hideMark/>
          </w:tcPr>
          <w:p w14:paraId="71618B9E" w14:textId="77777777" w:rsidR="008C2713" w:rsidRPr="00D531C7" w:rsidRDefault="008C2713" w:rsidP="008C2713">
            <w:pPr>
              <w:suppressAutoHyphens/>
              <w:spacing w:after="0" w:line="240" w:lineRule="auto"/>
              <w:rPr>
                <w:rFonts w:ascii="Times New Roman" w:eastAsia="Times New Roman" w:hAnsi="Times New Roman" w:cs="Times New Roman"/>
                <w:iCs/>
                <w:kern w:val="1"/>
                <w:sz w:val="24"/>
                <w:szCs w:val="24"/>
                <w:lang w:eastAsia="lv-LV"/>
              </w:rPr>
            </w:pPr>
            <w:r w:rsidRPr="00D531C7">
              <w:rPr>
                <w:rFonts w:ascii="Times New Roman" w:eastAsia="Times New Roman" w:hAnsi="Times New Roman" w:cs="Times New Roman"/>
                <w:kern w:val="1"/>
                <w:sz w:val="24"/>
                <w:szCs w:val="24"/>
                <w:lang w:eastAsia="ar-SA"/>
              </w:rPr>
              <w:t>Projekts šo jomu neskar.</w:t>
            </w:r>
          </w:p>
        </w:tc>
      </w:tr>
      <w:tr w:rsidR="008C2713" w:rsidRPr="00D531C7" w14:paraId="27D45C45" w14:textId="77777777" w:rsidTr="008C215C">
        <w:trPr>
          <w:tblCellSpacing w:w="15" w:type="dxa"/>
        </w:trPr>
        <w:tc>
          <w:tcPr>
            <w:tcW w:w="1933" w:type="dxa"/>
            <w:tcBorders>
              <w:top w:val="single" w:sz="4" w:space="0" w:color="auto"/>
              <w:left w:val="single" w:sz="4" w:space="0" w:color="auto"/>
              <w:bottom w:val="single" w:sz="4" w:space="0" w:color="auto"/>
              <w:right w:val="single" w:sz="4" w:space="0" w:color="auto"/>
            </w:tcBorders>
            <w:hideMark/>
          </w:tcPr>
          <w:p w14:paraId="22CDB625" w14:textId="77777777" w:rsidR="008C2713" w:rsidRPr="00D531C7" w:rsidRDefault="008C2713" w:rsidP="008C2713">
            <w:pPr>
              <w:suppressAutoHyphens/>
              <w:spacing w:after="0" w:line="240" w:lineRule="auto"/>
              <w:rPr>
                <w:rFonts w:ascii="Times New Roman" w:eastAsia="Times New Roman" w:hAnsi="Times New Roman" w:cs="Times New Roman"/>
                <w:iCs/>
                <w:kern w:val="1"/>
                <w:sz w:val="24"/>
                <w:szCs w:val="24"/>
                <w:lang w:eastAsia="lv-LV"/>
              </w:rPr>
            </w:pPr>
            <w:r w:rsidRPr="00D531C7">
              <w:rPr>
                <w:rFonts w:ascii="Times New Roman" w:eastAsia="Times New Roman" w:hAnsi="Times New Roman" w:cs="Times New Roman"/>
                <w:iCs/>
                <w:kern w:val="1"/>
                <w:sz w:val="24"/>
                <w:szCs w:val="24"/>
                <w:lang w:eastAsia="lv-LV"/>
              </w:rPr>
              <w:t>Cita informācija</w:t>
            </w:r>
          </w:p>
        </w:tc>
        <w:tc>
          <w:tcPr>
            <w:tcW w:w="7037" w:type="dxa"/>
            <w:gridSpan w:val="4"/>
            <w:tcBorders>
              <w:top w:val="single" w:sz="4" w:space="0" w:color="auto"/>
              <w:left w:val="single" w:sz="4" w:space="0" w:color="auto"/>
              <w:bottom w:val="single" w:sz="4" w:space="0" w:color="auto"/>
              <w:right w:val="single" w:sz="4" w:space="0" w:color="auto"/>
            </w:tcBorders>
            <w:hideMark/>
          </w:tcPr>
          <w:p w14:paraId="48D17DCF" w14:textId="77777777" w:rsidR="008C2713" w:rsidRPr="00D531C7" w:rsidRDefault="008C2713" w:rsidP="008C2713">
            <w:pPr>
              <w:suppressAutoHyphens/>
              <w:spacing w:after="0" w:line="240" w:lineRule="auto"/>
              <w:rPr>
                <w:rFonts w:ascii="Times New Roman" w:eastAsia="Times New Roman" w:hAnsi="Times New Roman" w:cs="Times New Roman"/>
                <w:iCs/>
                <w:kern w:val="1"/>
                <w:sz w:val="24"/>
                <w:szCs w:val="24"/>
                <w:lang w:eastAsia="lv-LV"/>
              </w:rPr>
            </w:pPr>
            <w:r w:rsidRPr="00D531C7">
              <w:rPr>
                <w:rFonts w:ascii="Times New Roman" w:eastAsia="Times New Roman" w:hAnsi="Times New Roman" w:cs="Times New Roman"/>
                <w:iCs/>
                <w:kern w:val="1"/>
                <w:sz w:val="24"/>
                <w:szCs w:val="24"/>
                <w:lang w:eastAsia="lv-LV"/>
              </w:rPr>
              <w:t>Nav.</w:t>
            </w:r>
          </w:p>
        </w:tc>
      </w:tr>
    </w:tbl>
    <w:p w14:paraId="63BAD333"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4402"/>
        <w:gridCol w:w="4670"/>
      </w:tblGrid>
      <w:tr w:rsidR="008C2713" w:rsidRPr="00D531C7" w14:paraId="279CF775" w14:textId="77777777" w:rsidTr="008C215C">
        <w:tc>
          <w:tcPr>
            <w:tcW w:w="9356" w:type="dxa"/>
            <w:gridSpan w:val="3"/>
          </w:tcPr>
          <w:p w14:paraId="114538B3" w14:textId="77777777" w:rsidR="008C2713" w:rsidRPr="00D531C7" w:rsidRDefault="008C2713" w:rsidP="008C2713">
            <w:pPr>
              <w:suppressAutoHyphens/>
              <w:snapToGrid w:val="0"/>
              <w:spacing w:after="0" w:line="240" w:lineRule="auto"/>
              <w:ind w:firstLine="254"/>
              <w:jc w:val="center"/>
              <w:rPr>
                <w:rFonts w:ascii="Times New Roman" w:eastAsia="Times New Roman" w:hAnsi="Times New Roman" w:cs="Times New Roman"/>
                <w:b/>
                <w:bCs/>
                <w:kern w:val="1"/>
                <w:sz w:val="24"/>
                <w:szCs w:val="24"/>
                <w:lang w:eastAsia="ar-SA"/>
              </w:rPr>
            </w:pPr>
            <w:r w:rsidRPr="00D531C7">
              <w:rPr>
                <w:rFonts w:ascii="Times New Roman" w:eastAsia="Times New Roman" w:hAnsi="Times New Roman" w:cs="Times New Roman"/>
                <w:b/>
                <w:bCs/>
                <w:kern w:val="1"/>
                <w:sz w:val="24"/>
                <w:szCs w:val="24"/>
                <w:lang w:eastAsia="ar-SA"/>
              </w:rPr>
              <w:t>VI. Sabiedrības līdzdalība un komunikācijas aktivitātes</w:t>
            </w:r>
          </w:p>
        </w:tc>
      </w:tr>
      <w:tr w:rsidR="008C2713" w:rsidRPr="00D531C7" w14:paraId="5CC402E3" w14:textId="77777777" w:rsidTr="008C215C">
        <w:tc>
          <w:tcPr>
            <w:tcW w:w="284" w:type="dxa"/>
          </w:tcPr>
          <w:p w14:paraId="4BCE0178"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1.</w:t>
            </w:r>
          </w:p>
        </w:tc>
        <w:tc>
          <w:tcPr>
            <w:tcW w:w="4402" w:type="dxa"/>
          </w:tcPr>
          <w:p w14:paraId="391B3AC0" w14:textId="77777777" w:rsidR="008C2713" w:rsidRPr="00D531C7" w:rsidRDefault="008C2713" w:rsidP="008C2713">
            <w:pPr>
              <w:suppressAutoHyphens/>
              <w:snapToGrid w:val="0"/>
              <w:spacing w:after="0" w:line="240" w:lineRule="auto"/>
              <w:rPr>
                <w:rFonts w:ascii="Times New Roman" w:eastAsia="Times New Roman" w:hAnsi="Times New Roman" w:cs="Times New Roman"/>
                <w:strike/>
                <w:kern w:val="1"/>
                <w:sz w:val="24"/>
                <w:szCs w:val="24"/>
                <w:lang w:eastAsia="ar-SA"/>
              </w:rPr>
            </w:pPr>
            <w:r w:rsidRPr="00D531C7">
              <w:rPr>
                <w:rFonts w:ascii="Times New Roman" w:eastAsia="Times New Roman" w:hAnsi="Times New Roman" w:cs="Times New Roman"/>
                <w:kern w:val="1"/>
                <w:sz w:val="24"/>
                <w:szCs w:val="24"/>
                <w:lang w:eastAsia="ar-SA"/>
              </w:rPr>
              <w:t>Plānotās sabiedrības līdzdalības un komunikācijas aktivitātes saistībā ar projektu</w:t>
            </w:r>
          </w:p>
        </w:tc>
        <w:tc>
          <w:tcPr>
            <w:tcW w:w="4670" w:type="dxa"/>
          </w:tcPr>
          <w:p w14:paraId="64A9AFA4" w14:textId="37225D52" w:rsidR="008C2713" w:rsidRPr="00D531C7" w:rsidRDefault="00B775C5" w:rsidP="008C2713">
            <w:pPr>
              <w:suppressAutoHyphens/>
              <w:spacing w:after="0" w:line="240" w:lineRule="auto"/>
              <w:jc w:val="both"/>
              <w:rPr>
                <w:rFonts w:ascii="Times New Roman" w:eastAsia="Times New Roman" w:hAnsi="Times New Roman" w:cs="Times New Roman"/>
                <w:kern w:val="1"/>
                <w:sz w:val="24"/>
                <w:szCs w:val="24"/>
                <w:lang w:eastAsia="ar-SA"/>
              </w:rPr>
            </w:pPr>
            <w:sdt>
              <w:sdtPr>
                <w:rPr>
                  <w:rFonts w:ascii="Times New Roman" w:eastAsia="Times New Roman" w:hAnsi="Times New Roman" w:cs="Times New Roman"/>
                  <w:kern w:val="1"/>
                  <w:sz w:val="24"/>
                  <w:szCs w:val="24"/>
                  <w:lang w:eastAsia="lv-LV"/>
                </w:rPr>
                <w:id w:val="1413748079"/>
                <w:placeholder>
                  <w:docPart w:val="AED0D95D5C2E4682B2C590D648AAE542"/>
                </w:placeholder>
                <w:text/>
              </w:sdtPr>
              <w:sdtEndPr/>
              <w:sdtContent>
                <w:r w:rsidR="00630AA6" w:rsidRPr="00D531C7">
                  <w:rPr>
                    <w:rFonts w:ascii="Times New Roman" w:eastAsia="Times New Roman" w:hAnsi="Times New Roman" w:cs="Times New Roman"/>
                    <w:kern w:val="1"/>
                    <w:sz w:val="24"/>
                    <w:szCs w:val="24"/>
                    <w:lang w:eastAsia="lv-LV"/>
                  </w:rPr>
                  <w:t xml:space="preserve">Sabiedrības līdzdalība tika nodrošināta, ievietojot noteikumu projektu publiskai apspriešanai no 20.05.2021. līdz 03.06.2021. </w:t>
                </w:r>
                <w:r w:rsidR="00630AA6" w:rsidRPr="00D531C7">
                  <w:rPr>
                    <w:rFonts w:ascii="Times New Roman" w:eastAsia="Times New Roman" w:hAnsi="Times New Roman" w:cs="Times New Roman"/>
                    <w:kern w:val="1"/>
                    <w:sz w:val="24"/>
                    <w:szCs w:val="24"/>
                    <w:lang w:eastAsia="lv-LV"/>
                  </w:rPr>
                  <w:lastRenderedPageBreak/>
                  <w:t>Zemkopības ministrijas tīmekļvietnē www.zm.gov.lv sadaļā “Sabiedr</w:t>
                </w:r>
                <w:r w:rsidR="00C867D4">
                  <w:rPr>
                    <w:rFonts w:ascii="Times New Roman" w:eastAsia="Times New Roman" w:hAnsi="Times New Roman" w:cs="Times New Roman"/>
                    <w:kern w:val="1"/>
                    <w:sz w:val="24"/>
                    <w:szCs w:val="24"/>
                    <w:lang w:eastAsia="lv-LV"/>
                  </w:rPr>
                  <w:t>ības līdzdalība</w:t>
                </w:r>
                <w:r w:rsidR="00630AA6" w:rsidRPr="00D531C7">
                  <w:rPr>
                    <w:rFonts w:ascii="Times New Roman" w:eastAsia="Times New Roman" w:hAnsi="Times New Roman" w:cs="Times New Roman"/>
                    <w:kern w:val="1"/>
                    <w:sz w:val="24"/>
                    <w:szCs w:val="24"/>
                    <w:lang w:eastAsia="lv-LV"/>
                  </w:rPr>
                  <w:t>”.</w:t>
                </w:r>
              </w:sdtContent>
            </w:sdt>
            <w:r w:rsidR="008C2713" w:rsidRPr="00D531C7">
              <w:rPr>
                <w:rFonts w:ascii="Times New Roman" w:eastAsia="Times New Roman" w:hAnsi="Times New Roman" w:cs="Times New Roman"/>
                <w:kern w:val="1"/>
                <w:sz w:val="24"/>
                <w:szCs w:val="24"/>
                <w:lang w:eastAsia="ar-SA"/>
              </w:rPr>
              <w:t xml:space="preserve"> </w:t>
            </w:r>
          </w:p>
        </w:tc>
      </w:tr>
      <w:tr w:rsidR="008C2713" w:rsidRPr="00D531C7" w14:paraId="5E1F764E" w14:textId="77777777" w:rsidTr="008C215C">
        <w:tc>
          <w:tcPr>
            <w:tcW w:w="284" w:type="dxa"/>
          </w:tcPr>
          <w:p w14:paraId="66AFB646"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lastRenderedPageBreak/>
              <w:t>2.</w:t>
            </w:r>
          </w:p>
        </w:tc>
        <w:tc>
          <w:tcPr>
            <w:tcW w:w="4402" w:type="dxa"/>
          </w:tcPr>
          <w:p w14:paraId="7DF08646"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Sabiedrības līdzdalība projekta izstrādē</w:t>
            </w:r>
          </w:p>
        </w:tc>
        <w:tc>
          <w:tcPr>
            <w:tcW w:w="4670" w:type="dxa"/>
          </w:tcPr>
          <w:p w14:paraId="0F5C2C62" w14:textId="5E56CC7C" w:rsidR="008C2713" w:rsidRPr="00D531C7" w:rsidRDefault="00633A5E">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Publiskās apspriešanas laikā </w:t>
            </w:r>
            <w:r w:rsidR="00697739" w:rsidRPr="00D531C7">
              <w:rPr>
                <w:rFonts w:ascii="Times New Roman" w:eastAsia="Times New Roman" w:hAnsi="Times New Roman" w:cs="Times New Roman"/>
                <w:kern w:val="1"/>
                <w:sz w:val="24"/>
                <w:szCs w:val="24"/>
                <w:lang w:eastAsia="ar-SA"/>
              </w:rPr>
              <w:t xml:space="preserve">netika saņemti </w:t>
            </w:r>
            <w:r w:rsidRPr="00D531C7">
              <w:rPr>
                <w:rFonts w:ascii="Times New Roman" w:eastAsia="Times New Roman" w:hAnsi="Times New Roman" w:cs="Times New Roman"/>
                <w:kern w:val="1"/>
                <w:sz w:val="24"/>
                <w:szCs w:val="24"/>
                <w:lang w:eastAsia="ar-SA"/>
              </w:rPr>
              <w:t>priekšlikumi par noteikumu projektu</w:t>
            </w:r>
            <w:r w:rsidR="00697739" w:rsidRPr="00D531C7">
              <w:rPr>
                <w:rFonts w:ascii="Times New Roman" w:eastAsia="Times New Roman" w:hAnsi="Times New Roman" w:cs="Times New Roman"/>
                <w:kern w:val="1"/>
                <w:sz w:val="24"/>
                <w:szCs w:val="24"/>
                <w:lang w:eastAsia="ar-SA"/>
              </w:rPr>
              <w:t>.</w:t>
            </w:r>
            <w:r w:rsidRPr="00D531C7">
              <w:rPr>
                <w:rFonts w:ascii="Times New Roman" w:eastAsia="Times New Roman" w:hAnsi="Times New Roman" w:cs="Times New Roman"/>
                <w:kern w:val="1"/>
                <w:sz w:val="24"/>
                <w:szCs w:val="24"/>
                <w:lang w:eastAsia="ar-SA"/>
              </w:rPr>
              <w:t xml:space="preserve"> </w:t>
            </w:r>
          </w:p>
        </w:tc>
      </w:tr>
      <w:tr w:rsidR="008C2713" w:rsidRPr="00D531C7" w14:paraId="6A79A648" w14:textId="77777777" w:rsidTr="008C215C">
        <w:tc>
          <w:tcPr>
            <w:tcW w:w="284" w:type="dxa"/>
          </w:tcPr>
          <w:p w14:paraId="780A6BD8"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3.</w:t>
            </w:r>
          </w:p>
        </w:tc>
        <w:tc>
          <w:tcPr>
            <w:tcW w:w="4402" w:type="dxa"/>
          </w:tcPr>
          <w:p w14:paraId="42D831AF" w14:textId="77777777" w:rsidR="008C2713" w:rsidRPr="00D531C7" w:rsidRDefault="008C2713" w:rsidP="008C2713">
            <w:pPr>
              <w:suppressAutoHyphens/>
              <w:snapToGrid w:val="0"/>
              <w:spacing w:after="28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Sabiedrības līdzdalības rezultāti</w:t>
            </w:r>
          </w:p>
        </w:tc>
        <w:tc>
          <w:tcPr>
            <w:tcW w:w="4670" w:type="dxa"/>
          </w:tcPr>
          <w:p w14:paraId="7AF6D5EC" w14:textId="42EF8C29" w:rsidR="008C2713" w:rsidRPr="00D531C7" w:rsidRDefault="00633A5E">
            <w:pPr>
              <w:suppressAutoHyphens/>
              <w:snapToGrid w:val="0"/>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 xml:space="preserve">Publiskās apspriešanas laikā </w:t>
            </w:r>
            <w:r w:rsidR="00697739" w:rsidRPr="00D531C7">
              <w:rPr>
                <w:rFonts w:ascii="Times New Roman" w:eastAsia="Times New Roman" w:hAnsi="Times New Roman" w:cs="Times New Roman"/>
                <w:kern w:val="1"/>
                <w:sz w:val="24"/>
                <w:szCs w:val="24"/>
                <w:lang w:eastAsia="ar-SA"/>
              </w:rPr>
              <w:t xml:space="preserve">netika saņemti </w:t>
            </w:r>
            <w:r w:rsidRPr="00D531C7">
              <w:rPr>
                <w:rFonts w:ascii="Times New Roman" w:eastAsia="Times New Roman" w:hAnsi="Times New Roman" w:cs="Times New Roman"/>
                <w:kern w:val="1"/>
                <w:sz w:val="24"/>
                <w:szCs w:val="24"/>
                <w:lang w:eastAsia="ar-SA"/>
              </w:rPr>
              <w:t>priekšlikumi par noteikumu projektu</w:t>
            </w:r>
            <w:r w:rsidR="00697739" w:rsidRPr="00D531C7">
              <w:rPr>
                <w:rFonts w:ascii="Times New Roman" w:eastAsia="Times New Roman" w:hAnsi="Times New Roman" w:cs="Times New Roman"/>
                <w:kern w:val="1"/>
                <w:sz w:val="24"/>
                <w:szCs w:val="24"/>
                <w:lang w:eastAsia="ar-SA"/>
              </w:rPr>
              <w:t>.</w:t>
            </w:r>
          </w:p>
        </w:tc>
      </w:tr>
      <w:tr w:rsidR="008C2713" w:rsidRPr="00D531C7" w14:paraId="113FABB7" w14:textId="77777777" w:rsidTr="008C215C">
        <w:trPr>
          <w:trHeight w:val="292"/>
        </w:trPr>
        <w:tc>
          <w:tcPr>
            <w:tcW w:w="284" w:type="dxa"/>
          </w:tcPr>
          <w:p w14:paraId="57ED198E"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4.</w:t>
            </w:r>
          </w:p>
        </w:tc>
        <w:tc>
          <w:tcPr>
            <w:tcW w:w="4402" w:type="dxa"/>
          </w:tcPr>
          <w:p w14:paraId="3DFA5106"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Cita informācija</w:t>
            </w:r>
          </w:p>
        </w:tc>
        <w:tc>
          <w:tcPr>
            <w:tcW w:w="4670" w:type="dxa"/>
          </w:tcPr>
          <w:p w14:paraId="616F98A4" w14:textId="7AE0D5EF"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Nav.</w:t>
            </w:r>
          </w:p>
        </w:tc>
      </w:tr>
    </w:tbl>
    <w:p w14:paraId="52AB40AE" w14:textId="77777777" w:rsidR="008C2713" w:rsidRPr="00D531C7" w:rsidRDefault="008C2713" w:rsidP="008C2713">
      <w:pPr>
        <w:suppressAutoHyphens/>
        <w:spacing w:after="0" w:line="240" w:lineRule="auto"/>
        <w:rPr>
          <w:rFonts w:ascii="Times New Roman" w:eastAsia="Times New Roman" w:hAnsi="Times New Roman" w:cs="Times New Roman"/>
          <w:kern w:val="1"/>
          <w:sz w:val="24"/>
          <w:szCs w:val="24"/>
          <w:lang w:eastAsia="ar-S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4402"/>
        <w:gridCol w:w="4670"/>
      </w:tblGrid>
      <w:tr w:rsidR="008C2713" w:rsidRPr="00D531C7" w14:paraId="55E25FB9" w14:textId="77777777" w:rsidTr="008C215C">
        <w:tc>
          <w:tcPr>
            <w:tcW w:w="9356" w:type="dxa"/>
            <w:gridSpan w:val="3"/>
          </w:tcPr>
          <w:p w14:paraId="0EDD2BB4" w14:textId="77777777" w:rsidR="008C2713" w:rsidRPr="00D531C7" w:rsidRDefault="008C2713" w:rsidP="008C2713">
            <w:pPr>
              <w:suppressAutoHyphens/>
              <w:snapToGrid w:val="0"/>
              <w:spacing w:after="0" w:line="240" w:lineRule="auto"/>
              <w:ind w:left="222"/>
              <w:jc w:val="center"/>
              <w:rPr>
                <w:rFonts w:ascii="Times New Roman" w:eastAsia="Times New Roman" w:hAnsi="Times New Roman" w:cs="Times New Roman"/>
                <w:b/>
                <w:kern w:val="1"/>
                <w:sz w:val="24"/>
                <w:szCs w:val="24"/>
                <w:lang w:eastAsia="ar-SA"/>
              </w:rPr>
            </w:pPr>
            <w:r w:rsidRPr="00D531C7">
              <w:rPr>
                <w:rFonts w:ascii="Times New Roman" w:eastAsia="Times New Roman" w:hAnsi="Times New Roman" w:cs="Times New Roman"/>
                <w:b/>
                <w:bCs/>
                <w:kern w:val="1"/>
                <w:sz w:val="24"/>
                <w:szCs w:val="24"/>
                <w:lang w:eastAsia="ar-SA"/>
              </w:rPr>
              <w:t>VII. Tiesību akta projekta izpildes nodrošināšana un tās ietekme uz institūcijām</w:t>
            </w:r>
          </w:p>
        </w:tc>
      </w:tr>
      <w:tr w:rsidR="008C2713" w:rsidRPr="00D531C7" w14:paraId="70555B9A" w14:textId="77777777" w:rsidTr="008C215C">
        <w:tc>
          <w:tcPr>
            <w:tcW w:w="284" w:type="dxa"/>
          </w:tcPr>
          <w:p w14:paraId="687F130C"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1.</w:t>
            </w:r>
          </w:p>
        </w:tc>
        <w:tc>
          <w:tcPr>
            <w:tcW w:w="4402" w:type="dxa"/>
          </w:tcPr>
          <w:p w14:paraId="6E0AA134"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Projekta izpildē iesaistītās institūcijas</w:t>
            </w:r>
          </w:p>
        </w:tc>
        <w:tc>
          <w:tcPr>
            <w:tcW w:w="4670" w:type="dxa"/>
          </w:tcPr>
          <w:p w14:paraId="61D981CC" w14:textId="1E869DA2" w:rsidR="008C2713" w:rsidRPr="00D531C7" w:rsidRDefault="008C2713" w:rsidP="008C2713">
            <w:pPr>
              <w:suppressAutoHyphens/>
              <w:snapToGrid w:val="0"/>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Lauku atbalsta dienests</w:t>
            </w:r>
            <w:r w:rsidR="00697739" w:rsidRPr="00D531C7">
              <w:rPr>
                <w:rFonts w:ascii="Times New Roman" w:eastAsia="Times New Roman" w:hAnsi="Times New Roman" w:cs="Times New Roman"/>
                <w:kern w:val="1"/>
                <w:sz w:val="24"/>
                <w:szCs w:val="24"/>
                <w:lang w:eastAsia="ar-SA"/>
              </w:rPr>
              <w:t xml:space="preserve"> un</w:t>
            </w:r>
            <w:r w:rsidRPr="00D531C7">
              <w:rPr>
                <w:rFonts w:ascii="Times New Roman" w:eastAsia="Times New Roman" w:hAnsi="Times New Roman" w:cs="Times New Roman"/>
                <w:kern w:val="1"/>
                <w:sz w:val="24"/>
                <w:szCs w:val="24"/>
                <w:lang w:eastAsia="ar-SA"/>
              </w:rPr>
              <w:t xml:space="preserve"> Latvijas Lauksaimniecības kooperatīvu asociācija</w:t>
            </w:r>
          </w:p>
        </w:tc>
      </w:tr>
      <w:tr w:rsidR="008C2713" w:rsidRPr="00D531C7" w14:paraId="34D6159E" w14:textId="77777777" w:rsidTr="008C215C">
        <w:tc>
          <w:tcPr>
            <w:tcW w:w="284" w:type="dxa"/>
          </w:tcPr>
          <w:p w14:paraId="15A823C0"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2.</w:t>
            </w:r>
          </w:p>
        </w:tc>
        <w:tc>
          <w:tcPr>
            <w:tcW w:w="4402" w:type="dxa"/>
          </w:tcPr>
          <w:p w14:paraId="6E703984" w14:textId="77777777" w:rsidR="008C2713" w:rsidRPr="00D531C7" w:rsidRDefault="008C2713" w:rsidP="008C2713">
            <w:pPr>
              <w:spacing w:after="0" w:line="240" w:lineRule="auto"/>
              <w:rPr>
                <w:rFonts w:ascii="Times New Roman" w:eastAsia="Times New Roman" w:hAnsi="Times New Roman" w:cs="Times New Roman"/>
                <w:sz w:val="24"/>
                <w:szCs w:val="24"/>
                <w:lang w:eastAsia="lv-LV"/>
              </w:rPr>
            </w:pPr>
            <w:r w:rsidRPr="00D531C7">
              <w:rPr>
                <w:rFonts w:ascii="Times New Roman" w:eastAsia="Times New Roman" w:hAnsi="Times New Roman" w:cs="Times New Roman"/>
                <w:sz w:val="24"/>
                <w:szCs w:val="24"/>
                <w:lang w:eastAsia="lv-LV"/>
              </w:rPr>
              <w:t xml:space="preserve">Projekta izpildes ietekme uz pārvaldes funkcijām un institucionālo struktūru. </w:t>
            </w:r>
          </w:p>
          <w:p w14:paraId="625B62B4"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670" w:type="dxa"/>
          </w:tcPr>
          <w:p w14:paraId="66E68701" w14:textId="77777777" w:rsidR="008C2713" w:rsidRPr="00D531C7" w:rsidRDefault="008C2713" w:rsidP="008C2713">
            <w:pPr>
              <w:suppressAutoHyphens/>
              <w:spacing w:after="0" w:line="240" w:lineRule="auto"/>
              <w:jc w:val="both"/>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Projekts iesaistīto institūciju funkcijas un uzdevumus nemaina un nepaplašina. Projekts tiks ieviests ar esošajiem cilvēkresursiem.</w:t>
            </w:r>
          </w:p>
        </w:tc>
      </w:tr>
      <w:tr w:rsidR="008C2713" w:rsidRPr="00D531C7" w14:paraId="189CD825" w14:textId="77777777" w:rsidTr="008C215C">
        <w:tc>
          <w:tcPr>
            <w:tcW w:w="284" w:type="dxa"/>
          </w:tcPr>
          <w:p w14:paraId="14082997"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3.</w:t>
            </w:r>
          </w:p>
        </w:tc>
        <w:tc>
          <w:tcPr>
            <w:tcW w:w="4402" w:type="dxa"/>
          </w:tcPr>
          <w:p w14:paraId="18303B82" w14:textId="77777777"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Cita informācija</w:t>
            </w:r>
          </w:p>
        </w:tc>
        <w:tc>
          <w:tcPr>
            <w:tcW w:w="4670" w:type="dxa"/>
          </w:tcPr>
          <w:p w14:paraId="5B6A5071" w14:textId="2D5A140A" w:rsidR="008C2713" w:rsidRPr="00D531C7" w:rsidRDefault="008C2713" w:rsidP="008C2713">
            <w:pPr>
              <w:suppressAutoHyphens/>
              <w:snapToGrid w:val="0"/>
              <w:spacing w:after="0" w:line="240" w:lineRule="auto"/>
              <w:rPr>
                <w:rFonts w:ascii="Times New Roman" w:eastAsia="Times New Roman" w:hAnsi="Times New Roman" w:cs="Times New Roman"/>
                <w:kern w:val="1"/>
                <w:sz w:val="24"/>
                <w:szCs w:val="24"/>
                <w:lang w:eastAsia="ar-SA"/>
              </w:rPr>
            </w:pPr>
            <w:r w:rsidRPr="00D531C7">
              <w:rPr>
                <w:rFonts w:ascii="Times New Roman" w:eastAsia="Times New Roman" w:hAnsi="Times New Roman" w:cs="Times New Roman"/>
                <w:kern w:val="1"/>
                <w:sz w:val="24"/>
                <w:szCs w:val="24"/>
                <w:lang w:eastAsia="ar-SA"/>
              </w:rPr>
              <w:t>Nav.</w:t>
            </w:r>
          </w:p>
        </w:tc>
      </w:tr>
    </w:tbl>
    <w:p w14:paraId="541CB5CB" w14:textId="77777777" w:rsidR="008C2713" w:rsidRPr="00D531C7" w:rsidRDefault="008C2713" w:rsidP="008C2713">
      <w:pPr>
        <w:tabs>
          <w:tab w:val="left" w:pos="7200"/>
        </w:tabs>
        <w:suppressAutoHyphens/>
        <w:spacing w:after="0" w:line="240" w:lineRule="auto"/>
        <w:outlineLvl w:val="4"/>
        <w:rPr>
          <w:rFonts w:ascii="Times New Roman" w:eastAsia="Times New Roman" w:hAnsi="Times New Roman" w:cs="Times New Roman"/>
          <w:bCs/>
          <w:iCs/>
          <w:kern w:val="1"/>
          <w:sz w:val="24"/>
          <w:szCs w:val="24"/>
          <w:lang w:eastAsia="ar-SA"/>
        </w:rPr>
      </w:pPr>
    </w:p>
    <w:p w14:paraId="2DA07607" w14:textId="0E4C9868" w:rsidR="008C2713" w:rsidRDefault="008C2713" w:rsidP="008C2713">
      <w:pPr>
        <w:suppressAutoHyphens/>
        <w:spacing w:after="0" w:line="240" w:lineRule="auto"/>
        <w:rPr>
          <w:rFonts w:ascii="Times New Roman" w:eastAsia="Times New Roman" w:hAnsi="Times New Roman" w:cs="Times New Roman"/>
          <w:kern w:val="1"/>
          <w:sz w:val="24"/>
          <w:szCs w:val="24"/>
          <w:lang w:eastAsia="ar-SA"/>
        </w:rPr>
      </w:pPr>
    </w:p>
    <w:p w14:paraId="2B7F7EF0" w14:textId="553576A8" w:rsidR="00053681" w:rsidRDefault="00053681" w:rsidP="008C2713">
      <w:pPr>
        <w:suppressAutoHyphens/>
        <w:spacing w:after="0" w:line="240" w:lineRule="auto"/>
        <w:rPr>
          <w:rFonts w:ascii="Times New Roman" w:eastAsia="Times New Roman" w:hAnsi="Times New Roman" w:cs="Times New Roman"/>
          <w:kern w:val="1"/>
          <w:sz w:val="24"/>
          <w:szCs w:val="24"/>
          <w:lang w:eastAsia="ar-SA"/>
        </w:rPr>
      </w:pPr>
    </w:p>
    <w:p w14:paraId="7F15F114" w14:textId="77777777" w:rsidR="00053681" w:rsidRPr="00D531C7" w:rsidRDefault="00053681" w:rsidP="008C2713">
      <w:pPr>
        <w:suppressAutoHyphens/>
        <w:spacing w:after="0" w:line="240" w:lineRule="auto"/>
        <w:rPr>
          <w:rFonts w:ascii="Times New Roman" w:eastAsia="Times New Roman" w:hAnsi="Times New Roman" w:cs="Times New Roman"/>
          <w:kern w:val="1"/>
          <w:sz w:val="24"/>
          <w:szCs w:val="24"/>
          <w:lang w:eastAsia="ar-SA"/>
        </w:rPr>
      </w:pPr>
    </w:p>
    <w:p w14:paraId="7FDCB34B" w14:textId="060AD1A0" w:rsidR="008C2713" w:rsidRPr="00D531C7" w:rsidRDefault="008C2713" w:rsidP="008C2713">
      <w:pPr>
        <w:suppressAutoHyphens/>
        <w:spacing w:after="0" w:line="240" w:lineRule="auto"/>
        <w:outlineLvl w:val="4"/>
        <w:rPr>
          <w:rFonts w:ascii="Times New Roman" w:eastAsia="Times New Roman" w:hAnsi="Times New Roman" w:cs="Times New Roman"/>
          <w:bCs/>
          <w:iCs/>
          <w:kern w:val="1"/>
          <w:sz w:val="24"/>
          <w:szCs w:val="24"/>
          <w:lang w:eastAsia="ar-SA"/>
        </w:rPr>
      </w:pPr>
      <w:r w:rsidRPr="00D531C7">
        <w:rPr>
          <w:rFonts w:ascii="Times New Roman" w:eastAsia="Times New Roman" w:hAnsi="Times New Roman" w:cs="Times New Roman"/>
          <w:bCs/>
          <w:iCs/>
          <w:kern w:val="1"/>
          <w:sz w:val="24"/>
          <w:szCs w:val="24"/>
          <w:lang w:eastAsia="ar-SA"/>
        </w:rPr>
        <w:tab/>
      </w:r>
      <w:r w:rsidRPr="00053681">
        <w:rPr>
          <w:rFonts w:ascii="Times New Roman" w:eastAsia="Times New Roman" w:hAnsi="Times New Roman" w:cs="Times New Roman"/>
          <w:bCs/>
          <w:iCs/>
          <w:kern w:val="1"/>
          <w:sz w:val="28"/>
          <w:szCs w:val="28"/>
          <w:lang w:eastAsia="ar-SA"/>
        </w:rPr>
        <w:t>Zemkopības ministr</w:t>
      </w:r>
      <w:r w:rsidR="00D975D1">
        <w:rPr>
          <w:rFonts w:ascii="Times New Roman" w:eastAsia="Times New Roman" w:hAnsi="Times New Roman" w:cs="Times New Roman"/>
          <w:bCs/>
          <w:iCs/>
          <w:kern w:val="1"/>
          <w:sz w:val="28"/>
          <w:szCs w:val="28"/>
          <w:lang w:eastAsia="ar-SA"/>
        </w:rPr>
        <w:t>s</w:t>
      </w:r>
      <w:r w:rsidRPr="00053681">
        <w:rPr>
          <w:rFonts w:ascii="Times New Roman" w:eastAsia="Times New Roman" w:hAnsi="Times New Roman" w:cs="Times New Roman"/>
          <w:bCs/>
          <w:iCs/>
          <w:kern w:val="1"/>
          <w:sz w:val="28"/>
          <w:szCs w:val="28"/>
          <w:lang w:eastAsia="ar-SA"/>
        </w:rPr>
        <w:tab/>
      </w:r>
      <w:r w:rsidRPr="00053681">
        <w:rPr>
          <w:rFonts w:ascii="Times New Roman" w:eastAsia="Times New Roman" w:hAnsi="Times New Roman" w:cs="Times New Roman"/>
          <w:bCs/>
          <w:iCs/>
          <w:kern w:val="1"/>
          <w:sz w:val="28"/>
          <w:szCs w:val="28"/>
          <w:lang w:eastAsia="ar-SA"/>
        </w:rPr>
        <w:tab/>
      </w:r>
      <w:r w:rsidR="00164018">
        <w:rPr>
          <w:rFonts w:ascii="Times New Roman" w:eastAsia="Times New Roman" w:hAnsi="Times New Roman" w:cs="Times New Roman"/>
          <w:bCs/>
          <w:iCs/>
          <w:kern w:val="1"/>
          <w:sz w:val="28"/>
          <w:szCs w:val="28"/>
          <w:lang w:eastAsia="ar-SA"/>
        </w:rPr>
        <w:t xml:space="preserve">             </w:t>
      </w:r>
      <w:r w:rsidR="00B775C5">
        <w:rPr>
          <w:rFonts w:ascii="Times New Roman" w:eastAsia="Times New Roman" w:hAnsi="Times New Roman" w:cs="Times New Roman"/>
          <w:bCs/>
          <w:iCs/>
          <w:kern w:val="1"/>
          <w:sz w:val="28"/>
          <w:szCs w:val="28"/>
          <w:lang w:eastAsia="ar-SA"/>
        </w:rPr>
        <w:tab/>
      </w:r>
      <w:r w:rsidR="00B775C5">
        <w:rPr>
          <w:rFonts w:ascii="Times New Roman" w:eastAsia="Times New Roman" w:hAnsi="Times New Roman" w:cs="Times New Roman"/>
          <w:bCs/>
          <w:iCs/>
          <w:kern w:val="1"/>
          <w:sz w:val="28"/>
          <w:szCs w:val="28"/>
          <w:lang w:eastAsia="ar-SA"/>
        </w:rPr>
        <w:tab/>
      </w:r>
      <w:r w:rsidR="00164018">
        <w:rPr>
          <w:rFonts w:ascii="Times New Roman" w:eastAsia="Times New Roman" w:hAnsi="Times New Roman" w:cs="Times New Roman"/>
          <w:bCs/>
          <w:iCs/>
          <w:kern w:val="1"/>
          <w:sz w:val="28"/>
          <w:szCs w:val="28"/>
          <w:lang w:eastAsia="ar-SA"/>
        </w:rPr>
        <w:t xml:space="preserve">                 </w:t>
      </w:r>
      <w:r w:rsidR="00D975D1">
        <w:rPr>
          <w:rFonts w:ascii="Times New Roman" w:eastAsia="Times New Roman" w:hAnsi="Times New Roman" w:cs="Times New Roman"/>
          <w:bCs/>
          <w:iCs/>
          <w:kern w:val="1"/>
          <w:sz w:val="28"/>
          <w:szCs w:val="28"/>
          <w:lang w:eastAsia="ar-SA"/>
        </w:rPr>
        <w:t>K.Gerhards</w:t>
      </w:r>
    </w:p>
    <w:p w14:paraId="50D752C2" w14:textId="77777777" w:rsidR="008C2713" w:rsidRPr="00D531C7" w:rsidRDefault="008C2713" w:rsidP="008C2713">
      <w:pPr>
        <w:spacing w:after="0" w:line="240" w:lineRule="auto"/>
        <w:jc w:val="both"/>
        <w:rPr>
          <w:rFonts w:ascii="Times New Roman" w:eastAsia="Calibri" w:hAnsi="Times New Roman" w:cs="Times New Roman"/>
          <w:sz w:val="24"/>
          <w:szCs w:val="24"/>
        </w:rPr>
      </w:pPr>
    </w:p>
    <w:p w14:paraId="6F8EC8E5" w14:textId="77777777" w:rsidR="008C2713" w:rsidRPr="00D531C7" w:rsidRDefault="008C2713" w:rsidP="008C2713">
      <w:pPr>
        <w:spacing w:after="0" w:line="240" w:lineRule="auto"/>
        <w:jc w:val="both"/>
        <w:rPr>
          <w:rFonts w:ascii="Times New Roman" w:eastAsia="Calibri" w:hAnsi="Times New Roman" w:cs="Times New Roman"/>
          <w:sz w:val="24"/>
          <w:szCs w:val="24"/>
        </w:rPr>
      </w:pPr>
    </w:p>
    <w:p w14:paraId="53BDF306" w14:textId="0E2B08C3" w:rsidR="008C2713" w:rsidRDefault="008C2713" w:rsidP="008C2713">
      <w:pPr>
        <w:spacing w:after="0" w:line="240" w:lineRule="auto"/>
        <w:jc w:val="both"/>
        <w:rPr>
          <w:rFonts w:ascii="Times New Roman" w:eastAsia="Calibri" w:hAnsi="Times New Roman" w:cs="Times New Roman"/>
          <w:sz w:val="24"/>
          <w:szCs w:val="24"/>
        </w:rPr>
      </w:pPr>
    </w:p>
    <w:p w14:paraId="23FBD511" w14:textId="0F29C34F" w:rsidR="00053681" w:rsidRDefault="00053681" w:rsidP="008C2713">
      <w:pPr>
        <w:spacing w:after="0" w:line="240" w:lineRule="auto"/>
        <w:jc w:val="both"/>
        <w:rPr>
          <w:rFonts w:ascii="Times New Roman" w:eastAsia="Calibri" w:hAnsi="Times New Roman" w:cs="Times New Roman"/>
          <w:sz w:val="24"/>
          <w:szCs w:val="24"/>
        </w:rPr>
      </w:pPr>
    </w:p>
    <w:p w14:paraId="244B8272" w14:textId="7FD8171E" w:rsidR="00053681" w:rsidRDefault="00053681" w:rsidP="008C2713">
      <w:pPr>
        <w:spacing w:after="0" w:line="240" w:lineRule="auto"/>
        <w:jc w:val="both"/>
        <w:rPr>
          <w:rFonts w:ascii="Times New Roman" w:eastAsia="Calibri" w:hAnsi="Times New Roman" w:cs="Times New Roman"/>
          <w:sz w:val="24"/>
          <w:szCs w:val="24"/>
        </w:rPr>
      </w:pPr>
    </w:p>
    <w:p w14:paraId="1FFBD396" w14:textId="1AF0D45F" w:rsidR="00053681" w:rsidRDefault="00053681" w:rsidP="008C2713">
      <w:pPr>
        <w:spacing w:after="0" w:line="240" w:lineRule="auto"/>
        <w:jc w:val="both"/>
        <w:rPr>
          <w:rFonts w:ascii="Times New Roman" w:eastAsia="Calibri" w:hAnsi="Times New Roman" w:cs="Times New Roman"/>
          <w:sz w:val="24"/>
          <w:szCs w:val="24"/>
        </w:rPr>
      </w:pPr>
    </w:p>
    <w:p w14:paraId="451C8536" w14:textId="6818A696" w:rsidR="008C2713" w:rsidRDefault="008C2713" w:rsidP="008C2713">
      <w:pPr>
        <w:spacing w:after="0" w:line="240" w:lineRule="auto"/>
        <w:jc w:val="both"/>
        <w:rPr>
          <w:rFonts w:ascii="Times New Roman" w:eastAsia="Calibri" w:hAnsi="Times New Roman" w:cs="Times New Roman"/>
          <w:sz w:val="32"/>
          <w:szCs w:val="32"/>
        </w:rPr>
      </w:pPr>
    </w:p>
    <w:p w14:paraId="14BBC2EE" w14:textId="0231D04C" w:rsidR="00B775C5" w:rsidRDefault="00B775C5" w:rsidP="008C2713">
      <w:pPr>
        <w:spacing w:after="0" w:line="240" w:lineRule="auto"/>
        <w:jc w:val="both"/>
        <w:rPr>
          <w:rFonts w:ascii="Times New Roman" w:eastAsia="Calibri" w:hAnsi="Times New Roman" w:cs="Times New Roman"/>
          <w:sz w:val="32"/>
          <w:szCs w:val="32"/>
        </w:rPr>
      </w:pPr>
    </w:p>
    <w:p w14:paraId="4C10B10D" w14:textId="37651778" w:rsidR="00B775C5" w:rsidRDefault="00B775C5" w:rsidP="008C2713">
      <w:pPr>
        <w:spacing w:after="0" w:line="240" w:lineRule="auto"/>
        <w:jc w:val="both"/>
        <w:rPr>
          <w:rFonts w:ascii="Times New Roman" w:eastAsia="Calibri" w:hAnsi="Times New Roman" w:cs="Times New Roman"/>
          <w:sz w:val="32"/>
          <w:szCs w:val="32"/>
        </w:rPr>
      </w:pPr>
    </w:p>
    <w:p w14:paraId="3C42159C" w14:textId="4E43D24B" w:rsidR="00B775C5" w:rsidRDefault="00B775C5" w:rsidP="008C2713">
      <w:pPr>
        <w:spacing w:after="0" w:line="240" w:lineRule="auto"/>
        <w:jc w:val="both"/>
        <w:rPr>
          <w:rFonts w:ascii="Times New Roman" w:eastAsia="Calibri" w:hAnsi="Times New Roman" w:cs="Times New Roman"/>
          <w:sz w:val="32"/>
          <w:szCs w:val="32"/>
        </w:rPr>
      </w:pPr>
    </w:p>
    <w:p w14:paraId="1AE7722C" w14:textId="3C13BD2E" w:rsidR="00B775C5" w:rsidRDefault="00B775C5" w:rsidP="008C2713">
      <w:pPr>
        <w:spacing w:after="0" w:line="240" w:lineRule="auto"/>
        <w:jc w:val="both"/>
        <w:rPr>
          <w:rFonts w:ascii="Times New Roman" w:eastAsia="Calibri" w:hAnsi="Times New Roman" w:cs="Times New Roman"/>
          <w:sz w:val="32"/>
          <w:szCs w:val="32"/>
        </w:rPr>
      </w:pPr>
    </w:p>
    <w:p w14:paraId="5C4D5438" w14:textId="1DA4BF43" w:rsidR="00B775C5" w:rsidRDefault="00B775C5" w:rsidP="008C2713">
      <w:pPr>
        <w:spacing w:after="0" w:line="240" w:lineRule="auto"/>
        <w:jc w:val="both"/>
        <w:rPr>
          <w:rFonts w:ascii="Times New Roman" w:eastAsia="Calibri" w:hAnsi="Times New Roman" w:cs="Times New Roman"/>
          <w:sz w:val="32"/>
          <w:szCs w:val="32"/>
        </w:rPr>
      </w:pPr>
    </w:p>
    <w:p w14:paraId="544A3BCA" w14:textId="3EE4950A" w:rsidR="00B775C5" w:rsidRDefault="00B775C5" w:rsidP="008C2713">
      <w:pPr>
        <w:spacing w:after="0" w:line="240" w:lineRule="auto"/>
        <w:jc w:val="both"/>
        <w:rPr>
          <w:rFonts w:ascii="Times New Roman" w:eastAsia="Calibri" w:hAnsi="Times New Roman" w:cs="Times New Roman"/>
          <w:sz w:val="32"/>
          <w:szCs w:val="32"/>
        </w:rPr>
      </w:pPr>
    </w:p>
    <w:p w14:paraId="6236869C" w14:textId="60D6F0AD" w:rsidR="00B775C5" w:rsidRDefault="00B775C5" w:rsidP="008C2713">
      <w:pPr>
        <w:spacing w:after="0" w:line="240" w:lineRule="auto"/>
        <w:jc w:val="both"/>
        <w:rPr>
          <w:rFonts w:ascii="Times New Roman" w:eastAsia="Calibri" w:hAnsi="Times New Roman" w:cs="Times New Roman"/>
          <w:sz w:val="32"/>
          <w:szCs w:val="32"/>
        </w:rPr>
      </w:pPr>
    </w:p>
    <w:p w14:paraId="30DC0D2B" w14:textId="04F1E8D1" w:rsidR="00B775C5" w:rsidRDefault="00B775C5" w:rsidP="008C2713">
      <w:pPr>
        <w:spacing w:after="0" w:line="240" w:lineRule="auto"/>
        <w:jc w:val="both"/>
        <w:rPr>
          <w:rFonts w:ascii="Times New Roman" w:eastAsia="Calibri" w:hAnsi="Times New Roman" w:cs="Times New Roman"/>
          <w:sz w:val="32"/>
          <w:szCs w:val="32"/>
        </w:rPr>
      </w:pPr>
    </w:p>
    <w:p w14:paraId="4F7D4442" w14:textId="13B089DF" w:rsidR="00B775C5" w:rsidRDefault="00B775C5" w:rsidP="008C2713">
      <w:pPr>
        <w:spacing w:after="0" w:line="240" w:lineRule="auto"/>
        <w:jc w:val="both"/>
        <w:rPr>
          <w:rFonts w:ascii="Times New Roman" w:eastAsia="Calibri" w:hAnsi="Times New Roman" w:cs="Times New Roman"/>
          <w:sz w:val="32"/>
          <w:szCs w:val="32"/>
        </w:rPr>
      </w:pPr>
    </w:p>
    <w:p w14:paraId="76A5E715" w14:textId="559EFDE0" w:rsidR="00B775C5" w:rsidRDefault="00B775C5" w:rsidP="008C2713">
      <w:pPr>
        <w:spacing w:after="0" w:line="240" w:lineRule="auto"/>
        <w:jc w:val="both"/>
        <w:rPr>
          <w:rFonts w:ascii="Times New Roman" w:eastAsia="Calibri" w:hAnsi="Times New Roman" w:cs="Times New Roman"/>
          <w:sz w:val="32"/>
          <w:szCs w:val="32"/>
        </w:rPr>
      </w:pPr>
    </w:p>
    <w:p w14:paraId="4F7E4DEB" w14:textId="3B801E84" w:rsidR="00B775C5" w:rsidRDefault="00B775C5" w:rsidP="008C2713">
      <w:pPr>
        <w:spacing w:after="0" w:line="240" w:lineRule="auto"/>
        <w:jc w:val="both"/>
        <w:rPr>
          <w:rFonts w:ascii="Times New Roman" w:eastAsia="Calibri" w:hAnsi="Times New Roman" w:cs="Times New Roman"/>
          <w:sz w:val="32"/>
          <w:szCs w:val="32"/>
        </w:rPr>
      </w:pPr>
    </w:p>
    <w:p w14:paraId="3D1F883E" w14:textId="77777777" w:rsidR="00B775C5" w:rsidRPr="00B775C5" w:rsidRDefault="00B775C5" w:rsidP="008C2713">
      <w:pPr>
        <w:spacing w:after="0" w:line="240" w:lineRule="auto"/>
        <w:jc w:val="both"/>
        <w:rPr>
          <w:rFonts w:ascii="Times New Roman" w:eastAsia="Calibri" w:hAnsi="Times New Roman" w:cs="Times New Roman"/>
          <w:sz w:val="32"/>
          <w:szCs w:val="32"/>
        </w:rPr>
      </w:pPr>
      <w:bookmarkStart w:id="6" w:name="_GoBack"/>
      <w:bookmarkEnd w:id="6"/>
    </w:p>
    <w:p w14:paraId="722F351E" w14:textId="77777777" w:rsidR="008C2713" w:rsidRPr="00B775C5" w:rsidRDefault="008C2713" w:rsidP="008C2713">
      <w:pPr>
        <w:spacing w:after="0" w:line="240" w:lineRule="auto"/>
        <w:jc w:val="both"/>
        <w:rPr>
          <w:rFonts w:ascii="Times New Roman" w:eastAsia="Calibri" w:hAnsi="Times New Roman" w:cs="Times New Roman"/>
          <w:sz w:val="24"/>
          <w:szCs w:val="24"/>
        </w:rPr>
      </w:pPr>
      <w:r w:rsidRPr="00B775C5">
        <w:rPr>
          <w:rFonts w:ascii="Times New Roman" w:eastAsia="Calibri" w:hAnsi="Times New Roman" w:cs="Times New Roman"/>
          <w:sz w:val="24"/>
          <w:szCs w:val="24"/>
        </w:rPr>
        <w:t>Štromberga 67027156</w:t>
      </w:r>
    </w:p>
    <w:p w14:paraId="1815AB33" w14:textId="77777777" w:rsidR="008C215C" w:rsidRPr="00B775C5" w:rsidRDefault="008C2713" w:rsidP="008C2713">
      <w:pPr>
        <w:spacing w:after="0" w:line="240" w:lineRule="auto"/>
        <w:jc w:val="both"/>
        <w:rPr>
          <w:rFonts w:ascii="Times New Roman" w:eastAsia="Calibri" w:hAnsi="Times New Roman" w:cs="Times New Roman"/>
          <w:sz w:val="24"/>
          <w:szCs w:val="24"/>
        </w:rPr>
      </w:pPr>
      <w:r w:rsidRPr="00B775C5">
        <w:rPr>
          <w:rFonts w:ascii="Times New Roman" w:eastAsia="Calibri" w:hAnsi="Times New Roman" w:cs="Times New Roman"/>
          <w:sz w:val="24"/>
          <w:szCs w:val="24"/>
        </w:rPr>
        <w:t>Inese.Stromberga@zm.gov.lv</w:t>
      </w:r>
    </w:p>
    <w:sectPr w:rsidR="008C215C" w:rsidRPr="00B775C5" w:rsidSect="008C215C">
      <w:headerReference w:type="even" r:id="rId15"/>
      <w:headerReference w:type="default" r:id="rId16"/>
      <w:footerReference w:type="default" r:id="rId17"/>
      <w:footerReference w:type="first" r:id="rId18"/>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CBB3" w14:textId="77777777" w:rsidR="00D975D1" w:rsidRDefault="00D975D1" w:rsidP="008C2713">
      <w:pPr>
        <w:spacing w:after="0" w:line="240" w:lineRule="auto"/>
      </w:pPr>
      <w:r>
        <w:separator/>
      </w:r>
    </w:p>
  </w:endnote>
  <w:endnote w:type="continuationSeparator" w:id="0">
    <w:p w14:paraId="217CB839" w14:textId="77777777" w:rsidR="00D975D1" w:rsidRDefault="00D975D1" w:rsidP="008C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EB71" w14:textId="172487D7" w:rsidR="00D975D1" w:rsidRPr="00B775C5" w:rsidRDefault="00B775C5" w:rsidP="00B775C5">
    <w:pPr>
      <w:pStyle w:val="Kjene"/>
    </w:pPr>
    <w:r w:rsidRPr="00B775C5">
      <w:rPr>
        <w:sz w:val="20"/>
        <w:szCs w:val="20"/>
      </w:rPr>
      <w:t>ZManot_020821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A4EA" w14:textId="5D79B767" w:rsidR="00D975D1" w:rsidRPr="00B775C5" w:rsidRDefault="00B775C5" w:rsidP="00B775C5">
    <w:pPr>
      <w:pStyle w:val="Kjene"/>
    </w:pPr>
    <w:r w:rsidRPr="00B775C5">
      <w:rPr>
        <w:sz w:val="20"/>
        <w:szCs w:val="20"/>
      </w:rPr>
      <w:t>ZManot_020821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A541" w14:textId="77777777" w:rsidR="00D975D1" w:rsidRDefault="00D975D1" w:rsidP="008C2713">
      <w:pPr>
        <w:spacing w:after="0" w:line="240" w:lineRule="auto"/>
      </w:pPr>
      <w:r>
        <w:separator/>
      </w:r>
    </w:p>
  </w:footnote>
  <w:footnote w:type="continuationSeparator" w:id="0">
    <w:p w14:paraId="42E0313D" w14:textId="77777777" w:rsidR="00D975D1" w:rsidRDefault="00D975D1" w:rsidP="008C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12A4" w14:textId="77777777" w:rsidR="00D975D1" w:rsidRDefault="00D975D1" w:rsidP="008C21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DE8FB3D" w14:textId="77777777" w:rsidR="00D975D1" w:rsidRDefault="00D975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E750" w14:textId="77777777" w:rsidR="00D975D1" w:rsidRDefault="00D975D1" w:rsidP="008C21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766AA307" w14:textId="77777777" w:rsidR="00D975D1" w:rsidRDefault="00D975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45528"/>
    <w:multiLevelType w:val="hybridMultilevel"/>
    <w:tmpl w:val="72ACA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5D096B"/>
    <w:multiLevelType w:val="hybridMultilevel"/>
    <w:tmpl w:val="BDE6A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697BD0"/>
    <w:multiLevelType w:val="hybridMultilevel"/>
    <w:tmpl w:val="3F6218FA"/>
    <w:lvl w:ilvl="0" w:tplc="04260011">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3876BA"/>
    <w:multiLevelType w:val="hybridMultilevel"/>
    <w:tmpl w:val="409CED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8DD4216"/>
    <w:multiLevelType w:val="hybridMultilevel"/>
    <w:tmpl w:val="12E66F76"/>
    <w:lvl w:ilvl="0" w:tplc="6F7C672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2A65F0"/>
    <w:multiLevelType w:val="hybridMultilevel"/>
    <w:tmpl w:val="D342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13"/>
    <w:rsid w:val="000149AC"/>
    <w:rsid w:val="00024F64"/>
    <w:rsid w:val="00053681"/>
    <w:rsid w:val="000929C5"/>
    <w:rsid w:val="000A7185"/>
    <w:rsid w:val="000C0038"/>
    <w:rsid w:val="000D192D"/>
    <w:rsid w:val="000D1CB0"/>
    <w:rsid w:val="001064BB"/>
    <w:rsid w:val="00110972"/>
    <w:rsid w:val="0011742F"/>
    <w:rsid w:val="001431F2"/>
    <w:rsid w:val="0014674D"/>
    <w:rsid w:val="00161EE0"/>
    <w:rsid w:val="00164018"/>
    <w:rsid w:val="001E3AEA"/>
    <w:rsid w:val="001E5A37"/>
    <w:rsid w:val="001F4F8E"/>
    <w:rsid w:val="001F7B42"/>
    <w:rsid w:val="00261A50"/>
    <w:rsid w:val="00271D9A"/>
    <w:rsid w:val="00282FB4"/>
    <w:rsid w:val="0028446E"/>
    <w:rsid w:val="002C69D1"/>
    <w:rsid w:val="002F42AB"/>
    <w:rsid w:val="00324DA3"/>
    <w:rsid w:val="00335A69"/>
    <w:rsid w:val="00357E22"/>
    <w:rsid w:val="00361F22"/>
    <w:rsid w:val="00370CA4"/>
    <w:rsid w:val="0037293D"/>
    <w:rsid w:val="00383ACC"/>
    <w:rsid w:val="00383DA1"/>
    <w:rsid w:val="004651F6"/>
    <w:rsid w:val="004D012F"/>
    <w:rsid w:val="004D4EBC"/>
    <w:rsid w:val="004F135C"/>
    <w:rsid w:val="00500B0B"/>
    <w:rsid w:val="00545CAD"/>
    <w:rsid w:val="00551FC5"/>
    <w:rsid w:val="005A03F2"/>
    <w:rsid w:val="005A3B32"/>
    <w:rsid w:val="005E6A1E"/>
    <w:rsid w:val="005F4D0B"/>
    <w:rsid w:val="006003A3"/>
    <w:rsid w:val="00630AA6"/>
    <w:rsid w:val="00633A5E"/>
    <w:rsid w:val="00694200"/>
    <w:rsid w:val="00697739"/>
    <w:rsid w:val="00725FF1"/>
    <w:rsid w:val="007353F1"/>
    <w:rsid w:val="007B4279"/>
    <w:rsid w:val="007F3F43"/>
    <w:rsid w:val="00806358"/>
    <w:rsid w:val="00850F0F"/>
    <w:rsid w:val="008661C7"/>
    <w:rsid w:val="008733CA"/>
    <w:rsid w:val="008C215C"/>
    <w:rsid w:val="008C2713"/>
    <w:rsid w:val="008C7219"/>
    <w:rsid w:val="008F140E"/>
    <w:rsid w:val="008F7FF2"/>
    <w:rsid w:val="00933E30"/>
    <w:rsid w:val="0094070E"/>
    <w:rsid w:val="00955476"/>
    <w:rsid w:val="00992D5E"/>
    <w:rsid w:val="00997A11"/>
    <w:rsid w:val="009C14D2"/>
    <w:rsid w:val="009E02CD"/>
    <w:rsid w:val="00A26E1A"/>
    <w:rsid w:val="00A40BAF"/>
    <w:rsid w:val="00AB099B"/>
    <w:rsid w:val="00AB2D6E"/>
    <w:rsid w:val="00AF29FB"/>
    <w:rsid w:val="00B775C5"/>
    <w:rsid w:val="00B8295F"/>
    <w:rsid w:val="00B94606"/>
    <w:rsid w:val="00B9700D"/>
    <w:rsid w:val="00BA03E4"/>
    <w:rsid w:val="00BF7F1F"/>
    <w:rsid w:val="00C434B0"/>
    <w:rsid w:val="00C50156"/>
    <w:rsid w:val="00C851BC"/>
    <w:rsid w:val="00C861ED"/>
    <w:rsid w:val="00C867D4"/>
    <w:rsid w:val="00C91A44"/>
    <w:rsid w:val="00CB5FBC"/>
    <w:rsid w:val="00CD4F3E"/>
    <w:rsid w:val="00CE1602"/>
    <w:rsid w:val="00CE7087"/>
    <w:rsid w:val="00D207ED"/>
    <w:rsid w:val="00D35382"/>
    <w:rsid w:val="00D46AF5"/>
    <w:rsid w:val="00D47492"/>
    <w:rsid w:val="00D531C7"/>
    <w:rsid w:val="00D660DD"/>
    <w:rsid w:val="00D96B09"/>
    <w:rsid w:val="00D975D1"/>
    <w:rsid w:val="00DF44DC"/>
    <w:rsid w:val="00E100B2"/>
    <w:rsid w:val="00E3190E"/>
    <w:rsid w:val="00E362BA"/>
    <w:rsid w:val="00E706EE"/>
    <w:rsid w:val="00E712D3"/>
    <w:rsid w:val="00E91793"/>
    <w:rsid w:val="00ED65A6"/>
    <w:rsid w:val="00EF2E86"/>
    <w:rsid w:val="00F0476B"/>
    <w:rsid w:val="00F434D0"/>
    <w:rsid w:val="00F7076E"/>
    <w:rsid w:val="00F85BF8"/>
    <w:rsid w:val="00F92C07"/>
    <w:rsid w:val="00FA63D2"/>
    <w:rsid w:val="00FD7E9A"/>
    <w:rsid w:val="00FF55E3"/>
    <w:rsid w:val="00FF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68D36"/>
  <w15:chartTrackingRefBased/>
  <w15:docId w15:val="{36ED780A-AAF4-4930-BAFF-888CA4BB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8C2713"/>
  </w:style>
  <w:style w:type="paragraph" w:styleId="Galvene">
    <w:name w:val="header"/>
    <w:basedOn w:val="Parasts"/>
    <w:link w:val="GalveneRakstz"/>
    <w:rsid w:val="008C2713"/>
    <w:pPr>
      <w:tabs>
        <w:tab w:val="center" w:pos="4153"/>
        <w:tab w:val="right" w:pos="8306"/>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GalveneRakstz">
    <w:name w:val="Galvene Rakstz."/>
    <w:basedOn w:val="Noklusjumarindkopasfonts"/>
    <w:link w:val="Galvene"/>
    <w:rsid w:val="008C2713"/>
    <w:rPr>
      <w:rFonts w:ascii="Times New Roman" w:eastAsia="Times New Roman" w:hAnsi="Times New Roman" w:cs="Times New Roman"/>
      <w:kern w:val="1"/>
      <w:sz w:val="24"/>
      <w:szCs w:val="24"/>
      <w:lang w:eastAsia="ar-SA"/>
    </w:rPr>
  </w:style>
  <w:style w:type="paragraph" w:styleId="Kjene">
    <w:name w:val="footer"/>
    <w:basedOn w:val="Parasts"/>
    <w:link w:val="KjeneRakstz"/>
    <w:rsid w:val="008C2713"/>
    <w:pPr>
      <w:tabs>
        <w:tab w:val="center" w:pos="4153"/>
        <w:tab w:val="right" w:pos="8306"/>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KjeneRakstz">
    <w:name w:val="Kājene Rakstz."/>
    <w:basedOn w:val="Noklusjumarindkopasfonts"/>
    <w:link w:val="Kjene"/>
    <w:rsid w:val="008C2713"/>
    <w:rPr>
      <w:rFonts w:ascii="Times New Roman" w:eastAsia="Times New Roman" w:hAnsi="Times New Roman" w:cs="Times New Roman"/>
      <w:kern w:val="1"/>
      <w:sz w:val="24"/>
      <w:szCs w:val="24"/>
      <w:lang w:eastAsia="ar-SA"/>
    </w:rPr>
  </w:style>
  <w:style w:type="paragraph" w:customStyle="1" w:styleId="tv213">
    <w:name w:val="tv213"/>
    <w:basedOn w:val="Parasts"/>
    <w:rsid w:val="008C215C"/>
    <w:pPr>
      <w:spacing w:before="100" w:beforeAutospacing="1" w:after="100" w:afterAutospacing="1" w:line="240" w:lineRule="auto"/>
    </w:pPr>
    <w:rPr>
      <w:rFonts w:ascii="Calibri" w:eastAsia="Times New Roman" w:hAnsi="Calibri" w:cs="Calibri"/>
      <w:lang w:eastAsia="lv-LV"/>
    </w:rPr>
  </w:style>
  <w:style w:type="character" w:styleId="Komentraatsauce">
    <w:name w:val="annotation reference"/>
    <w:basedOn w:val="Noklusjumarindkopasfonts"/>
    <w:uiPriority w:val="99"/>
    <w:semiHidden/>
    <w:unhideWhenUsed/>
    <w:rsid w:val="00282FB4"/>
    <w:rPr>
      <w:sz w:val="16"/>
      <w:szCs w:val="16"/>
    </w:rPr>
  </w:style>
  <w:style w:type="paragraph" w:styleId="Komentrateksts">
    <w:name w:val="annotation text"/>
    <w:basedOn w:val="Parasts"/>
    <w:link w:val="KomentratekstsRakstz"/>
    <w:uiPriority w:val="99"/>
    <w:semiHidden/>
    <w:unhideWhenUsed/>
    <w:rsid w:val="00282F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2FB4"/>
    <w:rPr>
      <w:sz w:val="20"/>
      <w:szCs w:val="20"/>
    </w:rPr>
  </w:style>
  <w:style w:type="paragraph" w:styleId="Komentratma">
    <w:name w:val="annotation subject"/>
    <w:basedOn w:val="Komentrateksts"/>
    <w:next w:val="Komentrateksts"/>
    <w:link w:val="KomentratmaRakstz"/>
    <w:uiPriority w:val="99"/>
    <w:semiHidden/>
    <w:unhideWhenUsed/>
    <w:rsid w:val="00282FB4"/>
    <w:rPr>
      <w:b/>
      <w:bCs/>
    </w:rPr>
  </w:style>
  <w:style w:type="character" w:customStyle="1" w:styleId="KomentratmaRakstz">
    <w:name w:val="Komentāra tēma Rakstz."/>
    <w:basedOn w:val="KomentratekstsRakstz"/>
    <w:link w:val="Komentratma"/>
    <w:uiPriority w:val="99"/>
    <w:semiHidden/>
    <w:rsid w:val="00282FB4"/>
    <w:rPr>
      <w:b/>
      <w:bCs/>
      <w:sz w:val="20"/>
      <w:szCs w:val="20"/>
    </w:rPr>
  </w:style>
  <w:style w:type="paragraph" w:styleId="Balonteksts">
    <w:name w:val="Balloon Text"/>
    <w:basedOn w:val="Parasts"/>
    <w:link w:val="BalontekstsRakstz"/>
    <w:uiPriority w:val="99"/>
    <w:semiHidden/>
    <w:unhideWhenUsed/>
    <w:rsid w:val="00282FB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2FB4"/>
    <w:rPr>
      <w:rFonts w:ascii="Segoe UI" w:hAnsi="Segoe UI" w:cs="Segoe UI"/>
      <w:sz w:val="18"/>
      <w:szCs w:val="18"/>
    </w:rPr>
  </w:style>
  <w:style w:type="paragraph" w:styleId="Sarakstarindkopa">
    <w:name w:val="List Paragraph"/>
    <w:basedOn w:val="Parasts"/>
    <w:uiPriority w:val="34"/>
    <w:qFormat/>
    <w:rsid w:val="00357E22"/>
    <w:pPr>
      <w:ind w:left="720"/>
      <w:contextualSpacing/>
    </w:pPr>
  </w:style>
  <w:style w:type="paragraph" w:styleId="Paraststmeklis">
    <w:name w:val="Normal (Web)"/>
    <w:basedOn w:val="Parasts"/>
    <w:uiPriority w:val="99"/>
    <w:unhideWhenUsed/>
    <w:rsid w:val="00A40BAF"/>
    <w:pPr>
      <w:spacing w:before="100" w:beforeAutospacing="1" w:after="100" w:afterAutospacing="1" w:line="240" w:lineRule="auto"/>
    </w:pPr>
    <w:rPr>
      <w:rFonts w:ascii="Calibri" w:hAnsi="Calibri" w:cs="Calibri"/>
      <w:lang w:eastAsia="lv-LV"/>
    </w:rPr>
  </w:style>
  <w:style w:type="paragraph" w:customStyle="1" w:styleId="naisc">
    <w:name w:val="naisc"/>
    <w:basedOn w:val="Parasts"/>
    <w:rsid w:val="006003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6003A3"/>
    <w:rPr>
      <w:b/>
      <w:bCs/>
    </w:rPr>
  </w:style>
  <w:style w:type="character" w:styleId="Hipersaite">
    <w:name w:val="Hyperlink"/>
    <w:basedOn w:val="Noklusjumarindkopasfonts"/>
    <w:uiPriority w:val="99"/>
    <w:semiHidden/>
    <w:unhideWhenUsed/>
    <w:rsid w:val="0055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2367">
      <w:bodyDiv w:val="1"/>
      <w:marLeft w:val="0"/>
      <w:marRight w:val="0"/>
      <w:marTop w:val="0"/>
      <w:marBottom w:val="0"/>
      <w:divBdr>
        <w:top w:val="none" w:sz="0" w:space="0" w:color="auto"/>
        <w:left w:val="none" w:sz="0" w:space="0" w:color="auto"/>
        <w:bottom w:val="none" w:sz="0" w:space="0" w:color="auto"/>
        <w:right w:val="none" w:sz="0" w:space="0" w:color="auto"/>
      </w:divBdr>
    </w:div>
    <w:div w:id="897937638">
      <w:bodyDiv w:val="1"/>
      <w:marLeft w:val="0"/>
      <w:marRight w:val="0"/>
      <w:marTop w:val="0"/>
      <w:marBottom w:val="0"/>
      <w:divBdr>
        <w:top w:val="none" w:sz="0" w:space="0" w:color="auto"/>
        <w:left w:val="none" w:sz="0" w:space="0" w:color="auto"/>
        <w:bottom w:val="none" w:sz="0" w:space="0" w:color="auto"/>
        <w:right w:val="none" w:sz="0" w:space="0" w:color="auto"/>
      </w:divBdr>
    </w:div>
    <w:div w:id="941449113">
      <w:bodyDiv w:val="1"/>
      <w:marLeft w:val="0"/>
      <w:marRight w:val="0"/>
      <w:marTop w:val="0"/>
      <w:marBottom w:val="0"/>
      <w:divBdr>
        <w:top w:val="none" w:sz="0" w:space="0" w:color="auto"/>
        <w:left w:val="none" w:sz="0" w:space="0" w:color="auto"/>
        <w:bottom w:val="none" w:sz="0" w:space="0" w:color="auto"/>
        <w:right w:val="none" w:sz="0" w:space="0" w:color="auto"/>
      </w:divBdr>
    </w:div>
    <w:div w:id="18670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oj/?locale=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eur-lex.europa.eu/eli/reg/2013/1407/oj/?locale=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7/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AC52E1C9341B89952D126D1EA5B6A"/>
        <w:category>
          <w:name w:val="General"/>
          <w:gallery w:val="placeholder"/>
        </w:category>
        <w:types>
          <w:type w:val="bbPlcHdr"/>
        </w:types>
        <w:behaviors>
          <w:behavior w:val="content"/>
        </w:behaviors>
        <w:guid w:val="{78098E83-1B0D-4D11-97D9-BBD22CF907EF}"/>
      </w:docPartPr>
      <w:docPartBody>
        <w:p w:rsidR="00CA2731" w:rsidRDefault="00B16D84" w:rsidP="00B16D84">
          <w:pPr>
            <w:pStyle w:val="5A5AC52E1C9341B89952D126D1EA5B6A"/>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D10602A713D4A75950BF4F2DCF81BE5"/>
        <w:category>
          <w:name w:val="General"/>
          <w:gallery w:val="placeholder"/>
        </w:category>
        <w:types>
          <w:type w:val="bbPlcHdr"/>
        </w:types>
        <w:behaviors>
          <w:behavior w:val="content"/>
        </w:behaviors>
        <w:guid w:val="{CD2D5F86-D6CB-488C-8A28-B776A7251191}"/>
      </w:docPartPr>
      <w:docPartBody>
        <w:p w:rsidR="00B16D84" w:rsidRPr="00894C55" w:rsidRDefault="00B16D84" w:rsidP="00555568">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A2731" w:rsidRDefault="00B16D84" w:rsidP="00B16D84">
          <w:pPr>
            <w:pStyle w:val="4D10602A713D4A75950BF4F2DCF81BE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ED0D95D5C2E4682B2C590D648AAE542"/>
        <w:category>
          <w:name w:val="General"/>
          <w:gallery w:val="placeholder"/>
        </w:category>
        <w:types>
          <w:type w:val="bbPlcHdr"/>
        </w:types>
        <w:behaviors>
          <w:behavior w:val="content"/>
        </w:behaviors>
        <w:guid w:val="{B0940836-8EA0-4E8F-9718-AE8542C3AE66}"/>
      </w:docPartPr>
      <w:docPartBody>
        <w:p w:rsidR="00CA2731" w:rsidRDefault="00B16D84" w:rsidP="00B16D84">
          <w:pPr>
            <w:pStyle w:val="AED0D95D5C2E4682B2C590D648AAE542"/>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84"/>
    <w:rsid w:val="001117CD"/>
    <w:rsid w:val="00251AB6"/>
    <w:rsid w:val="00340F21"/>
    <w:rsid w:val="00396383"/>
    <w:rsid w:val="005012EF"/>
    <w:rsid w:val="00555568"/>
    <w:rsid w:val="005C5845"/>
    <w:rsid w:val="00765EE8"/>
    <w:rsid w:val="008E1139"/>
    <w:rsid w:val="00AD72CE"/>
    <w:rsid w:val="00B16D84"/>
    <w:rsid w:val="00CA2731"/>
    <w:rsid w:val="00D33D67"/>
    <w:rsid w:val="00DB3801"/>
    <w:rsid w:val="00F93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5A5AC52E1C9341B89952D126D1EA5B6A">
    <w:name w:val="5A5AC52E1C9341B89952D126D1EA5B6A"/>
    <w:rsid w:val="00B16D84"/>
  </w:style>
  <w:style w:type="paragraph" w:customStyle="1" w:styleId="4D10602A713D4A75950BF4F2DCF81BE5">
    <w:name w:val="4D10602A713D4A75950BF4F2DCF81BE5"/>
    <w:rsid w:val="00B16D84"/>
  </w:style>
  <w:style w:type="paragraph" w:customStyle="1" w:styleId="AED0D95D5C2E4682B2C590D648AAE542">
    <w:name w:val="AED0D95D5C2E4682B2C590D648AAE542"/>
    <w:rsid w:val="00B16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7801A-E530-4B4B-997E-12116978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F5CCA-865A-4100-ADAA-BD23DE322F1F}">
  <ds:schemaRefs>
    <ds:schemaRef ds:uri="http://schemas.microsoft.com/sharepoint/v3/contenttype/forms"/>
  </ds:schemaRefs>
</ds:datastoreItem>
</file>

<file path=customXml/itemProps3.xml><?xml version="1.0" encoding="utf-8"?>
<ds:datastoreItem xmlns:ds="http://schemas.openxmlformats.org/officeDocument/2006/customXml" ds:itemID="{BD4648F1-DEE8-44CE-A46C-9C9119618F44}">
  <ds:schemaRefs>
    <ds:schemaRef ds:uri="f9fe6767-2bd7-40ea-8fa8-309452e799bd"/>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19581</Words>
  <Characters>11162</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Grozījumi Ministru kabineta 2015. gada 3. februāra noteikumos Nr. 60 „Kārtība, kādā piešķir valsts un Eiropas Savienības atbalstu pasākumam „Ražotāju grupu un organizāciju izveide"</vt:lpstr>
    </vt:vector>
  </TitlesOfParts>
  <Company>Zemkopības Ministrija</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 februāra noteikumos Nr. 60 „Kārtība, kādā piešķir valsts un Eiropas Savienības atbalstu pasākumam „Ražotāju grupu un organizāciju izveide"</dc:title>
  <dc:subject>anotācijai</dc:subject>
  <dc:creator>Inese Štromberga</dc:creator>
  <cp:keywords/>
  <dc:description>Štromberga 67027156 Inese.Stromberga@zm.gov.lv</dc:description>
  <cp:lastModifiedBy>Sanita Papinova</cp:lastModifiedBy>
  <cp:revision>3</cp:revision>
  <dcterms:created xsi:type="dcterms:W3CDTF">2021-08-02T12:25:00Z</dcterms:created>
  <dcterms:modified xsi:type="dcterms:W3CDTF">2021-08-02T13:20:00Z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