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ABEB" w14:textId="130AF03B" w:rsidR="004B4FF0" w:rsidRDefault="004B4FF0">
      <w:pPr>
        <w:pStyle w:val="BodyA"/>
        <w:tabs>
          <w:tab w:val="left" w:pos="6804"/>
        </w:tabs>
        <w:rPr>
          <w:b/>
          <w:bCs/>
          <w:i/>
          <w:iCs/>
        </w:rPr>
      </w:pPr>
    </w:p>
    <w:p w14:paraId="25AEBA29" w14:textId="3B288F9C" w:rsidR="0033512D" w:rsidRDefault="0033512D">
      <w:pPr>
        <w:pStyle w:val="BodyA"/>
        <w:tabs>
          <w:tab w:val="left" w:pos="6804"/>
        </w:tabs>
        <w:rPr>
          <w:b/>
          <w:bCs/>
          <w:i/>
          <w:iCs/>
        </w:rPr>
      </w:pPr>
    </w:p>
    <w:p w14:paraId="1E1A2FE9" w14:textId="77777777" w:rsidR="0033512D" w:rsidRDefault="0033512D">
      <w:pPr>
        <w:pStyle w:val="BodyA"/>
        <w:tabs>
          <w:tab w:val="left" w:pos="6804"/>
        </w:tabs>
        <w:rPr>
          <w:sz w:val="28"/>
          <w:szCs w:val="28"/>
        </w:rPr>
      </w:pPr>
    </w:p>
    <w:p w14:paraId="0C9F9713" w14:textId="64D3DE66" w:rsidR="00386124" w:rsidRPr="00122766" w:rsidRDefault="00386124" w:rsidP="00386124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122766">
        <w:rPr>
          <w:rFonts w:eastAsia="Times New Roman"/>
          <w:sz w:val="28"/>
          <w:szCs w:val="28"/>
        </w:rPr>
        <w:t>2021</w:t>
      </w:r>
      <w:r w:rsidRPr="00122766">
        <w:rPr>
          <w:sz w:val="28"/>
          <w:szCs w:val="28"/>
        </w:rPr>
        <w:t>. </w:t>
      </w:r>
      <w:proofErr w:type="spellStart"/>
      <w:r w:rsidRPr="00122766">
        <w:rPr>
          <w:sz w:val="28"/>
          <w:szCs w:val="28"/>
        </w:rPr>
        <w:t>gada</w:t>
      </w:r>
      <w:proofErr w:type="spellEnd"/>
      <w:r w:rsidRPr="00122766">
        <w:rPr>
          <w:sz w:val="28"/>
          <w:szCs w:val="28"/>
        </w:rPr>
        <w:t xml:space="preserve"> </w:t>
      </w:r>
      <w:r w:rsidR="00EC4BCA">
        <w:rPr>
          <w:sz w:val="28"/>
          <w:szCs w:val="28"/>
        </w:rPr>
        <w:t>10. </w:t>
      </w:r>
      <w:proofErr w:type="spellStart"/>
      <w:r w:rsidR="00EC4BCA">
        <w:rPr>
          <w:sz w:val="28"/>
          <w:szCs w:val="28"/>
        </w:rPr>
        <w:t>augustā</w:t>
      </w:r>
      <w:proofErr w:type="spellEnd"/>
      <w:r w:rsidRPr="00122766">
        <w:rPr>
          <w:sz w:val="28"/>
          <w:szCs w:val="28"/>
        </w:rPr>
        <w:tab/>
      </w:r>
      <w:proofErr w:type="spellStart"/>
      <w:r w:rsidRPr="00122766">
        <w:rPr>
          <w:sz w:val="28"/>
          <w:szCs w:val="28"/>
        </w:rPr>
        <w:t>Noteikumi</w:t>
      </w:r>
      <w:proofErr w:type="spellEnd"/>
      <w:r w:rsidRPr="00122766">
        <w:rPr>
          <w:rFonts w:eastAsia="Times New Roman"/>
          <w:sz w:val="28"/>
          <w:szCs w:val="28"/>
        </w:rPr>
        <w:t xml:space="preserve"> Nr.</w:t>
      </w:r>
      <w:r w:rsidR="00EC4BCA">
        <w:rPr>
          <w:rFonts w:eastAsia="Times New Roman"/>
          <w:sz w:val="28"/>
          <w:szCs w:val="28"/>
        </w:rPr>
        <w:t> 541</w:t>
      </w:r>
    </w:p>
    <w:p w14:paraId="61736A60" w14:textId="29B72F90" w:rsidR="00386124" w:rsidRPr="00122766" w:rsidRDefault="00386124" w:rsidP="00386124">
      <w:pPr>
        <w:tabs>
          <w:tab w:val="left" w:pos="6663"/>
        </w:tabs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Rīgā</w:t>
      </w:r>
      <w:proofErr w:type="spellEnd"/>
      <w:r>
        <w:rPr>
          <w:rFonts w:eastAsia="Times New Roman"/>
          <w:sz w:val="28"/>
          <w:szCs w:val="28"/>
        </w:rPr>
        <w:tab/>
        <w:t>(</w:t>
      </w:r>
      <w:proofErr w:type="spellStart"/>
      <w:r>
        <w:rPr>
          <w:rFonts w:eastAsia="Times New Roman"/>
          <w:sz w:val="28"/>
          <w:szCs w:val="28"/>
        </w:rPr>
        <w:t>prot.</w:t>
      </w:r>
      <w:proofErr w:type="spellEnd"/>
      <w:r>
        <w:rPr>
          <w:rFonts w:eastAsia="Times New Roman"/>
          <w:sz w:val="28"/>
          <w:szCs w:val="28"/>
        </w:rPr>
        <w:t xml:space="preserve"> Nr.</w:t>
      </w:r>
      <w:r w:rsidR="00EC4BCA">
        <w:rPr>
          <w:rFonts w:eastAsia="Times New Roman"/>
          <w:sz w:val="28"/>
          <w:szCs w:val="28"/>
        </w:rPr>
        <w:t> 55 54</w:t>
      </w:r>
      <w:bookmarkStart w:id="0" w:name="_GoBack"/>
      <w:bookmarkEnd w:id="0"/>
      <w:r w:rsidRPr="00122766">
        <w:rPr>
          <w:rFonts w:eastAsia="Times New Roman"/>
          <w:sz w:val="28"/>
          <w:szCs w:val="28"/>
        </w:rPr>
        <w:t>. §)</w:t>
      </w:r>
    </w:p>
    <w:p w14:paraId="2B11909B" w14:textId="77777777" w:rsidR="00386124" w:rsidRPr="0033512D" w:rsidRDefault="00386124">
      <w:pPr>
        <w:pStyle w:val="BodyA"/>
        <w:jc w:val="center"/>
        <w:rPr>
          <w:sz w:val="28"/>
          <w:szCs w:val="28"/>
        </w:rPr>
      </w:pPr>
    </w:p>
    <w:p w14:paraId="5E39F92F" w14:textId="77777777" w:rsidR="00AC32C1" w:rsidRPr="004B70DD" w:rsidRDefault="00FA0E14">
      <w:pPr>
        <w:pStyle w:val="BodyA"/>
        <w:jc w:val="center"/>
        <w:rPr>
          <w:b/>
          <w:bCs/>
          <w:sz w:val="28"/>
          <w:szCs w:val="28"/>
        </w:rPr>
      </w:pPr>
      <w:r w:rsidRPr="004B70DD">
        <w:rPr>
          <w:b/>
          <w:bCs/>
          <w:sz w:val="28"/>
          <w:szCs w:val="28"/>
        </w:rPr>
        <w:t>Grozījumi Ministru kabineta 2015. gada 25. augusta noteikumos Nr. 492</w:t>
      </w:r>
      <w:r w:rsidRPr="004B70DD">
        <w:rPr>
          <w:rFonts w:ascii="Arial Unicode MS" w:hAnsi="Arial Unicode MS"/>
          <w:sz w:val="28"/>
          <w:szCs w:val="28"/>
          <w:rtl/>
        </w:rPr>
        <w:t xml:space="preserve"> </w:t>
      </w:r>
      <w:r w:rsidRPr="004B70DD">
        <w:rPr>
          <w:b/>
          <w:bCs/>
          <w:sz w:val="28"/>
          <w:szCs w:val="28"/>
        </w:rPr>
        <w:t>"Noteikumi par valsts un Eiropas Savienības atbalsta piešķiršanu ražas, dzīvnieku un augu apdrošināšanai 2014.–2020. gada plānošanas periodā"</w:t>
      </w:r>
    </w:p>
    <w:p w14:paraId="71195CAF" w14:textId="77777777" w:rsidR="00AC32C1" w:rsidRPr="00FF05F6" w:rsidRDefault="00AC32C1">
      <w:pPr>
        <w:pStyle w:val="BodyA"/>
        <w:jc w:val="center"/>
        <w:rPr>
          <w:sz w:val="28"/>
          <w:szCs w:val="28"/>
        </w:rPr>
      </w:pPr>
    </w:p>
    <w:p w14:paraId="7C20404D" w14:textId="77777777" w:rsidR="00386124" w:rsidRDefault="00FA0E14">
      <w:pPr>
        <w:pStyle w:val="BodyA"/>
        <w:jc w:val="right"/>
        <w:rPr>
          <w:sz w:val="28"/>
          <w:szCs w:val="28"/>
        </w:rPr>
      </w:pPr>
      <w:r w:rsidRPr="004B70DD">
        <w:rPr>
          <w:sz w:val="28"/>
          <w:szCs w:val="28"/>
        </w:rPr>
        <w:t xml:space="preserve">Izdoti saskaņā ar </w:t>
      </w:r>
    </w:p>
    <w:p w14:paraId="55A8F928" w14:textId="32F3E01B" w:rsidR="00386124" w:rsidRDefault="00FA0E14">
      <w:pPr>
        <w:pStyle w:val="BodyA"/>
        <w:jc w:val="right"/>
        <w:rPr>
          <w:sz w:val="28"/>
          <w:szCs w:val="28"/>
        </w:rPr>
      </w:pPr>
      <w:r w:rsidRPr="004B70DD">
        <w:rPr>
          <w:sz w:val="28"/>
          <w:szCs w:val="28"/>
        </w:rPr>
        <w:t>Lauksaimniecības un lauku</w:t>
      </w:r>
      <w:r w:rsidR="00386124">
        <w:rPr>
          <w:sz w:val="28"/>
          <w:szCs w:val="28"/>
        </w:rPr>
        <w:t xml:space="preserve"> </w:t>
      </w:r>
      <w:r w:rsidRPr="004B70DD">
        <w:rPr>
          <w:sz w:val="28"/>
          <w:szCs w:val="28"/>
        </w:rPr>
        <w:t xml:space="preserve">attīstības </w:t>
      </w:r>
    </w:p>
    <w:p w14:paraId="71E135A1" w14:textId="52D49EF5" w:rsidR="00AC32C1" w:rsidRPr="004B70DD" w:rsidRDefault="0033512D">
      <w:pPr>
        <w:pStyle w:val="BodyA"/>
        <w:jc w:val="right"/>
        <w:rPr>
          <w:sz w:val="28"/>
          <w:szCs w:val="28"/>
        </w:rPr>
      </w:pPr>
      <w:r w:rsidRPr="004B70DD">
        <w:rPr>
          <w:sz w:val="28"/>
          <w:szCs w:val="28"/>
        </w:rPr>
        <w:t xml:space="preserve">likuma </w:t>
      </w:r>
      <w:r w:rsidR="00FA0E14" w:rsidRPr="004B70DD">
        <w:rPr>
          <w:sz w:val="28"/>
          <w:szCs w:val="28"/>
        </w:rPr>
        <w:t>5</w:t>
      </w:r>
      <w:r w:rsidR="00E3473A" w:rsidRPr="004B70DD">
        <w:rPr>
          <w:sz w:val="28"/>
          <w:szCs w:val="28"/>
        </w:rPr>
        <w:t>.</w:t>
      </w:r>
      <w:r w:rsidR="00E3473A">
        <w:rPr>
          <w:sz w:val="28"/>
          <w:szCs w:val="28"/>
        </w:rPr>
        <w:t> </w:t>
      </w:r>
      <w:r w:rsidR="00FA0E14" w:rsidRPr="004B70DD">
        <w:rPr>
          <w:sz w:val="28"/>
          <w:szCs w:val="28"/>
        </w:rPr>
        <w:t>panta ceturto daļu</w:t>
      </w:r>
    </w:p>
    <w:p w14:paraId="67D3449E" w14:textId="77777777" w:rsidR="00AC32C1" w:rsidRPr="00FF05F6" w:rsidRDefault="00AC32C1">
      <w:pPr>
        <w:pStyle w:val="BodyA"/>
        <w:ind w:firstLine="709"/>
        <w:jc w:val="both"/>
        <w:rPr>
          <w:sz w:val="28"/>
          <w:szCs w:val="28"/>
        </w:rPr>
      </w:pPr>
    </w:p>
    <w:p w14:paraId="2EFC473A" w14:textId="15158858" w:rsidR="00AC32C1" w:rsidRPr="004B70DD" w:rsidRDefault="00FA0E14" w:rsidP="00386124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 xml:space="preserve">Izdarīt Ministru kabineta 2015. gada 25. augusta noteikumos Nr. 492 "Noteikumi par valsts un Eiropas Savienības atbalsta piešķiršanu ražas, dzīvnieku un augu apdrošināšanai 2014.–2020. gada plānošanas periodā" </w:t>
      </w:r>
      <w:proofErr w:type="gramStart"/>
      <w:r w:rsidRPr="004B70DD">
        <w:rPr>
          <w:sz w:val="28"/>
          <w:szCs w:val="28"/>
        </w:rPr>
        <w:t>(</w:t>
      </w:r>
      <w:proofErr w:type="gramEnd"/>
      <w:r w:rsidR="002F1D26" w:rsidRPr="002F1D26">
        <w:rPr>
          <w:sz w:val="28"/>
          <w:szCs w:val="28"/>
        </w:rPr>
        <w:t xml:space="preserve">Latvijas Vēstnesis, 2015, 172., 207. nr.; 2016, 196. nr.; 2018, 187. nr.; 2019, 48., 227. </w:t>
      </w:r>
      <w:r w:rsidRPr="004B70DD">
        <w:rPr>
          <w:sz w:val="28"/>
          <w:szCs w:val="28"/>
        </w:rPr>
        <w:t>nr.; 2020, 74A. nr.) šādus grozījumus:</w:t>
      </w:r>
    </w:p>
    <w:p w14:paraId="1F455024" w14:textId="77777777" w:rsidR="00AC32C1" w:rsidRPr="004B70DD" w:rsidRDefault="00AC32C1" w:rsidP="00386124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41204746" w14:textId="77777777" w:rsidR="00AC32C1" w:rsidRPr="004B70DD" w:rsidRDefault="00FA0E14" w:rsidP="00FF05F6">
      <w:pPr>
        <w:pStyle w:val="ListParagraph"/>
        <w:numPr>
          <w:ilvl w:val="0"/>
          <w:numId w:val="2"/>
        </w:numPr>
        <w:tabs>
          <w:tab w:val="clear" w:pos="1134"/>
          <w:tab w:val="left" w:pos="993"/>
        </w:tabs>
        <w:ind w:left="0"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>Izteikt 3.</w:t>
      </w:r>
      <w:r w:rsidRPr="004B70DD">
        <w:rPr>
          <w:sz w:val="28"/>
          <w:szCs w:val="28"/>
          <w:vertAlign w:val="superscript"/>
        </w:rPr>
        <w:t>1</w:t>
      </w:r>
      <w:r w:rsidRPr="004B70DD">
        <w:rPr>
          <w:sz w:val="28"/>
          <w:szCs w:val="28"/>
        </w:rPr>
        <w:t xml:space="preserve"> punktu šādā redakcijā:</w:t>
      </w:r>
    </w:p>
    <w:p w14:paraId="0E5B2C3D" w14:textId="77777777" w:rsidR="00AC32C1" w:rsidRPr="004B70DD" w:rsidRDefault="00AC32C1" w:rsidP="00386124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023F79EB" w14:textId="3C440135" w:rsidR="00AC32C1" w:rsidRPr="004B70DD" w:rsidRDefault="00FA0E14" w:rsidP="00386124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_Hlk74138006"/>
      <w:r w:rsidRPr="004B70DD">
        <w:rPr>
          <w:sz w:val="28"/>
          <w:szCs w:val="28"/>
        </w:rPr>
        <w:t>"3.</w:t>
      </w:r>
      <w:r w:rsidRPr="004B70DD">
        <w:rPr>
          <w:sz w:val="28"/>
          <w:szCs w:val="28"/>
          <w:vertAlign w:val="superscript"/>
        </w:rPr>
        <w:t>1</w:t>
      </w:r>
      <w:r w:rsidR="0033512D">
        <w:rPr>
          <w:sz w:val="28"/>
          <w:szCs w:val="28"/>
        </w:rPr>
        <w:t> </w:t>
      </w:r>
      <w:r w:rsidRPr="004B70DD">
        <w:rPr>
          <w:sz w:val="28"/>
          <w:szCs w:val="28"/>
        </w:rPr>
        <w:t xml:space="preserve"> </w:t>
      </w:r>
      <w:r w:rsidR="0033512D">
        <w:rPr>
          <w:sz w:val="28"/>
          <w:szCs w:val="28"/>
        </w:rPr>
        <w:t xml:space="preserve">Pēc </w:t>
      </w:r>
      <w:r w:rsidR="001B033E">
        <w:rPr>
          <w:sz w:val="28"/>
          <w:szCs w:val="28"/>
        </w:rPr>
        <w:t xml:space="preserve">iesnieguma saņemšanas </w:t>
      </w:r>
      <w:r w:rsidR="0033512D" w:rsidRPr="004B70DD">
        <w:rPr>
          <w:sz w:val="28"/>
          <w:szCs w:val="28"/>
        </w:rPr>
        <w:t xml:space="preserve">Lauku atbalsta dienests </w:t>
      </w:r>
      <w:r w:rsidR="001B033E">
        <w:rPr>
          <w:sz w:val="28"/>
          <w:szCs w:val="28"/>
        </w:rPr>
        <w:t xml:space="preserve">Administratīvā procesa likumā noteiktajā kārtībā pieņem lēmumu par atbalsta piešķiršanu vai atteikumu piešķirt atbalstu. </w:t>
      </w:r>
      <w:proofErr w:type="gramStart"/>
      <w:r w:rsidR="001B033E">
        <w:rPr>
          <w:sz w:val="28"/>
          <w:szCs w:val="28"/>
        </w:rPr>
        <w:t>Ja ir</w:t>
      </w:r>
      <w:proofErr w:type="gramEnd"/>
      <w:r w:rsidR="001B033E">
        <w:rPr>
          <w:sz w:val="28"/>
          <w:szCs w:val="28"/>
        </w:rPr>
        <w:t xml:space="preserve"> aizdomas </w:t>
      </w:r>
      <w:r w:rsidR="001B033E" w:rsidRPr="004B70DD">
        <w:rPr>
          <w:sz w:val="28"/>
          <w:szCs w:val="28"/>
        </w:rPr>
        <w:t>par ekonomiski nepamatotu un apdrošināšanas mērķim neatbilstošu polisi</w:t>
      </w:r>
      <w:r w:rsidR="001B033E">
        <w:rPr>
          <w:sz w:val="28"/>
          <w:szCs w:val="28"/>
        </w:rPr>
        <w:t xml:space="preserve">, Lauku atbalsta dienests </w:t>
      </w:r>
      <w:r w:rsidR="001B033E" w:rsidRPr="004B70DD">
        <w:rPr>
          <w:sz w:val="28"/>
          <w:szCs w:val="28"/>
        </w:rPr>
        <w:t>pieprasa no apdrošināšanas pakalpojuma sniedzēja vai atbalsta pretendenta skaidrojumu par aprēķināto prēmiju un atlīdzības limitu attiecībā uz apdrošināšanas polisē ietvertajiem riska faktoriem un citiem nosacījumiem</w:t>
      </w:r>
      <w:r w:rsidR="001B033E">
        <w:rPr>
          <w:sz w:val="28"/>
          <w:szCs w:val="28"/>
        </w:rPr>
        <w:t>.</w:t>
      </w:r>
      <w:bookmarkEnd w:id="1"/>
      <w:r w:rsidRPr="004B70DD">
        <w:rPr>
          <w:sz w:val="28"/>
          <w:szCs w:val="28"/>
        </w:rPr>
        <w:t xml:space="preserve">" </w:t>
      </w:r>
    </w:p>
    <w:p w14:paraId="5834F01B" w14:textId="77777777" w:rsidR="00AC32C1" w:rsidRPr="004B70DD" w:rsidRDefault="00AC32C1" w:rsidP="00386124">
      <w:pPr>
        <w:pStyle w:val="BodyA"/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bookmarkStart w:id="2" w:name="_Hlk72765038"/>
    </w:p>
    <w:p w14:paraId="01EC1D72" w14:textId="77777777" w:rsidR="00AC32C1" w:rsidRPr="004B70DD" w:rsidRDefault="00FA0E14" w:rsidP="00386124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>Izteikt 4. punkta otro teikumu šādā redakcijā:</w:t>
      </w:r>
      <w:bookmarkEnd w:id="2"/>
    </w:p>
    <w:p w14:paraId="5A325C87" w14:textId="77777777" w:rsidR="00AC32C1" w:rsidRPr="004B70DD" w:rsidRDefault="00AC32C1" w:rsidP="00386124">
      <w:pPr>
        <w:pStyle w:val="ListParagraph"/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Hlk72765061"/>
    </w:p>
    <w:p w14:paraId="59149723" w14:textId="41042A2C" w:rsidR="00AC32C1" w:rsidRPr="004B70DD" w:rsidRDefault="00FA0E14" w:rsidP="00386124">
      <w:pPr>
        <w:pStyle w:val="BodyA"/>
        <w:tabs>
          <w:tab w:val="left" w:pos="284"/>
          <w:tab w:val="left" w:pos="426"/>
          <w:tab w:val="left" w:pos="1560"/>
        </w:tabs>
        <w:ind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>"</w:t>
      </w:r>
      <w:proofErr w:type="gramStart"/>
      <w:r w:rsidRPr="004B70DD">
        <w:rPr>
          <w:sz w:val="28"/>
          <w:szCs w:val="28"/>
        </w:rPr>
        <w:t>Ja pieteiktais atbalsta finansējums pārsniedz konkrētajā kārtā pieejamo finansējumu, Lauku atbalsta</w:t>
      </w:r>
      <w:proofErr w:type="gramEnd"/>
      <w:r w:rsidRPr="004B70DD">
        <w:rPr>
          <w:sz w:val="28"/>
          <w:szCs w:val="28"/>
        </w:rPr>
        <w:t xml:space="preserve"> dienests proporcionāli samazina izmaksājamā atbalsta apmēru par vienu hektāru vai vienu liellopu vienību tiem atbalsta pretendentiem, kas iesniegumu atbalsta saņemšanai iesnieguši pēc tam, kad </w:t>
      </w:r>
      <w:r w:rsidR="001B16CB">
        <w:rPr>
          <w:sz w:val="28"/>
          <w:szCs w:val="28"/>
        </w:rPr>
        <w:t>atbalstam pieteiktais</w:t>
      </w:r>
      <w:r w:rsidRPr="004B70DD">
        <w:rPr>
          <w:sz w:val="28"/>
          <w:szCs w:val="28"/>
        </w:rPr>
        <w:t xml:space="preserve"> publiskais finansējums sasniedzis 90</w:t>
      </w:r>
      <w:r w:rsidR="00E84EFC">
        <w:rPr>
          <w:sz w:val="28"/>
          <w:szCs w:val="28"/>
        </w:rPr>
        <w:t> </w:t>
      </w:r>
      <w:r w:rsidRPr="004B70DD">
        <w:rPr>
          <w:sz w:val="28"/>
          <w:szCs w:val="28"/>
        </w:rPr>
        <w:t>procentus no pieejamā finansējuma."</w:t>
      </w:r>
      <w:bookmarkEnd w:id="3"/>
    </w:p>
    <w:p w14:paraId="05F7005F" w14:textId="77777777" w:rsidR="004B70DD" w:rsidRDefault="004B70DD" w:rsidP="00386124">
      <w:pPr>
        <w:pStyle w:val="Default"/>
        <w:spacing w:before="0"/>
        <w:ind w:firstLine="709"/>
        <w:rPr>
          <w:rFonts w:ascii="Times New Roman" w:hAnsi="Times New Roman"/>
          <w:color w:val="414142"/>
          <w:sz w:val="28"/>
          <w:szCs w:val="28"/>
          <w:u w:color="414142"/>
          <w:lang w:val="lv-LV"/>
        </w:rPr>
      </w:pPr>
    </w:p>
    <w:p w14:paraId="6FD5EA24" w14:textId="77777777" w:rsidR="00AC32C1" w:rsidRPr="004B70DD" w:rsidRDefault="00FA0E14" w:rsidP="00386124">
      <w:pPr>
        <w:pStyle w:val="Default"/>
        <w:spacing w:before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u w:color="414142"/>
          <w:lang w:val="lv-LV"/>
        </w:rPr>
      </w:pPr>
      <w:r w:rsidRPr="004B70DD">
        <w:rPr>
          <w:rFonts w:ascii="Times New Roman" w:hAnsi="Times New Roman"/>
          <w:color w:val="auto"/>
          <w:sz w:val="28"/>
          <w:szCs w:val="28"/>
          <w:u w:color="414142"/>
          <w:lang w:val="lv-LV"/>
        </w:rPr>
        <w:t>3. Izteikt 9.6. apakšpunktu šādā redakcijā:</w:t>
      </w:r>
    </w:p>
    <w:p w14:paraId="7C8458AB" w14:textId="77777777" w:rsidR="00AC32C1" w:rsidRPr="004B70DD" w:rsidRDefault="00AC32C1" w:rsidP="00386124">
      <w:pPr>
        <w:pStyle w:val="ListParagraph"/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</w:p>
    <w:p w14:paraId="7C4A800B" w14:textId="75DFB2C8" w:rsidR="00AC32C1" w:rsidRPr="004B70DD" w:rsidRDefault="00FA0E14" w:rsidP="00386124">
      <w:pPr>
        <w:pStyle w:val="BodyA"/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lastRenderedPageBreak/>
        <w:t xml:space="preserve">"9.6. tam saskaņā ar Valsts ieņēmumu dienesta administrēto nodokļu (nodevu) parādnieku datubāzē pieejamo informāciju nav nodokļu (nodevu) parādu, kas kopsummā pārsniedz </w:t>
      </w:r>
      <w:r w:rsidR="001C7600" w:rsidRPr="004B70DD">
        <w:rPr>
          <w:sz w:val="28"/>
          <w:szCs w:val="28"/>
        </w:rPr>
        <w:t>150</w:t>
      </w:r>
      <w:r w:rsidR="001C7600">
        <w:rPr>
          <w:sz w:val="28"/>
          <w:szCs w:val="28"/>
        </w:rPr>
        <w:t> </w:t>
      </w:r>
      <w:r w:rsidRPr="004B70DD">
        <w:rPr>
          <w:i/>
          <w:iCs/>
          <w:sz w:val="28"/>
          <w:szCs w:val="28"/>
        </w:rPr>
        <w:t>euro</w:t>
      </w:r>
      <w:r w:rsidRPr="004B70DD">
        <w:rPr>
          <w:sz w:val="28"/>
          <w:szCs w:val="28"/>
        </w:rPr>
        <w:t>."</w:t>
      </w:r>
    </w:p>
    <w:p w14:paraId="511F23CD" w14:textId="77777777" w:rsidR="00AC32C1" w:rsidRPr="004B70DD" w:rsidRDefault="00AC32C1" w:rsidP="00386124">
      <w:pPr>
        <w:pStyle w:val="ListParagraph"/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</w:p>
    <w:p w14:paraId="350DD4B6" w14:textId="17FC61D7" w:rsidR="002F1D26" w:rsidRPr="00420EE1" w:rsidRDefault="002F1D26" w:rsidP="00386124">
      <w:pPr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 w:rsidRPr="00420EE1">
        <w:rPr>
          <w:sz w:val="28"/>
          <w:szCs w:val="28"/>
          <w:lang w:val="lv-LV"/>
        </w:rPr>
        <w:t xml:space="preserve">4. Izteikt </w:t>
      </w:r>
      <w:r w:rsidR="00FA0E14" w:rsidRPr="00420EE1">
        <w:rPr>
          <w:sz w:val="28"/>
          <w:szCs w:val="28"/>
          <w:lang w:val="lv-LV"/>
        </w:rPr>
        <w:t>10.1. apakšpunkt</w:t>
      </w:r>
      <w:r w:rsidRPr="00420EE1">
        <w:rPr>
          <w:sz w:val="28"/>
          <w:szCs w:val="28"/>
          <w:lang w:val="lv-LV"/>
        </w:rPr>
        <w:t xml:space="preserve">u šādā redakcijā: </w:t>
      </w:r>
    </w:p>
    <w:p w14:paraId="586282C9" w14:textId="77777777" w:rsidR="002F1D26" w:rsidRDefault="002F1D26" w:rsidP="00386124">
      <w:pPr>
        <w:pStyle w:val="ListParagraph"/>
        <w:tabs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0635A990" w14:textId="0CEB1024" w:rsidR="002F1D26" w:rsidRPr="002F1D26" w:rsidRDefault="00386124" w:rsidP="00386124">
      <w:pPr>
        <w:tabs>
          <w:tab w:val="left" w:pos="284"/>
          <w:tab w:val="left" w:pos="426"/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2F1D26" w:rsidRPr="002F1D26">
        <w:rPr>
          <w:sz w:val="28"/>
          <w:szCs w:val="28"/>
          <w:lang w:val="lv-LV"/>
        </w:rPr>
        <w:t>10.1</w:t>
      </w:r>
      <w:r w:rsidR="0033512D" w:rsidRPr="002F1D26">
        <w:rPr>
          <w:sz w:val="28"/>
          <w:szCs w:val="28"/>
          <w:lang w:val="lv-LV"/>
        </w:rPr>
        <w:t>.</w:t>
      </w:r>
      <w:r w:rsidR="0033512D">
        <w:rPr>
          <w:sz w:val="28"/>
          <w:szCs w:val="28"/>
          <w:lang w:val="lv-LV"/>
        </w:rPr>
        <w:t> </w:t>
      </w:r>
      <w:r w:rsidR="002F1D26" w:rsidRPr="002F1D26">
        <w:rPr>
          <w:sz w:val="28"/>
          <w:szCs w:val="28"/>
          <w:lang w:val="lv-LV"/>
        </w:rPr>
        <w:t>segt tos atbalsta pretendenta zaudējumus, kurus radījuši nelabvēlīgi klimatiskie apstākļi, dzīvnieku vai augu slimība (izņemot slimības, kas minētas normatīvajos aktos par valsts uzraudzībā esoš</w:t>
      </w:r>
      <w:r w:rsidR="002F1D26" w:rsidRPr="00D3369A">
        <w:rPr>
          <w:sz w:val="28"/>
          <w:szCs w:val="28"/>
          <w:lang w:val="lv-LV"/>
        </w:rPr>
        <w:t>ās</w:t>
      </w:r>
      <w:r w:rsidR="002F1D26" w:rsidRPr="002F1D26">
        <w:rPr>
          <w:sz w:val="28"/>
          <w:szCs w:val="28"/>
          <w:lang w:val="lv-LV"/>
        </w:rPr>
        <w:t xml:space="preserve"> dzīvnieku infekcijas slimības vai epizootijas uzliesmojuma laikā radušos zaudējumu kompensāciju), kaitēkļu invāzija vai pasākums, kas tiek īstenots, lai izskaustu vai apturētu augu slimību un kaitēkļu invāziju regulas Nr</w:t>
      </w:r>
      <w:r w:rsidR="0033512D" w:rsidRPr="002F1D26">
        <w:rPr>
          <w:sz w:val="28"/>
          <w:szCs w:val="28"/>
          <w:lang w:val="lv-LV"/>
        </w:rPr>
        <w:t>.</w:t>
      </w:r>
      <w:r w:rsidR="0033512D">
        <w:rPr>
          <w:sz w:val="28"/>
          <w:szCs w:val="28"/>
          <w:lang w:val="lv-LV"/>
        </w:rPr>
        <w:t> </w:t>
      </w:r>
      <w:r w:rsidR="002F1D26" w:rsidRPr="002F1D26">
        <w:rPr>
          <w:sz w:val="28"/>
          <w:szCs w:val="28"/>
          <w:lang w:val="lv-LV"/>
        </w:rPr>
        <w:t>1305/2013 37</w:t>
      </w:r>
      <w:r w:rsidR="0033512D" w:rsidRPr="002F1D26">
        <w:rPr>
          <w:sz w:val="28"/>
          <w:szCs w:val="28"/>
          <w:lang w:val="lv-LV"/>
        </w:rPr>
        <w:t>.</w:t>
      </w:r>
      <w:r w:rsidR="0033512D">
        <w:rPr>
          <w:sz w:val="28"/>
          <w:szCs w:val="28"/>
          <w:lang w:val="lv-LV"/>
        </w:rPr>
        <w:t> </w:t>
      </w:r>
      <w:r w:rsidR="002F1D26" w:rsidRPr="002F1D26">
        <w:rPr>
          <w:sz w:val="28"/>
          <w:szCs w:val="28"/>
          <w:lang w:val="lv-LV"/>
        </w:rPr>
        <w:t>panta 1</w:t>
      </w:r>
      <w:r w:rsidR="0033512D" w:rsidRPr="002F1D26">
        <w:rPr>
          <w:sz w:val="28"/>
          <w:szCs w:val="28"/>
          <w:lang w:val="lv-LV"/>
        </w:rPr>
        <w:t>.</w:t>
      </w:r>
      <w:r w:rsidR="0033512D">
        <w:rPr>
          <w:sz w:val="28"/>
          <w:szCs w:val="28"/>
          <w:lang w:val="lv-LV"/>
        </w:rPr>
        <w:t> </w:t>
      </w:r>
      <w:r w:rsidR="002F1D26" w:rsidRPr="002F1D26">
        <w:rPr>
          <w:sz w:val="28"/>
          <w:szCs w:val="28"/>
          <w:lang w:val="lv-LV"/>
        </w:rPr>
        <w:t>punkta izpratnē;</w:t>
      </w:r>
      <w:r>
        <w:rPr>
          <w:sz w:val="28"/>
          <w:szCs w:val="28"/>
          <w:lang w:val="lv-LV"/>
        </w:rPr>
        <w:t>"</w:t>
      </w:r>
      <w:r w:rsidR="000E0DAA">
        <w:rPr>
          <w:sz w:val="28"/>
          <w:szCs w:val="28"/>
          <w:lang w:val="lv-LV"/>
        </w:rPr>
        <w:t>.</w:t>
      </w:r>
    </w:p>
    <w:p w14:paraId="3CBFD549" w14:textId="77777777" w:rsidR="00AC32C1" w:rsidRPr="004B70DD" w:rsidRDefault="00AC32C1" w:rsidP="00386124">
      <w:pPr>
        <w:pStyle w:val="BodyA"/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14:paraId="26663600" w14:textId="30D6F3DF" w:rsidR="00AC32C1" w:rsidRPr="004B70DD" w:rsidRDefault="00FA0E14" w:rsidP="00386124">
      <w:pPr>
        <w:pStyle w:val="BodyA"/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 xml:space="preserve">5. Papildināt </w:t>
      </w:r>
      <w:r w:rsidR="0033512D">
        <w:rPr>
          <w:sz w:val="28"/>
          <w:szCs w:val="28"/>
        </w:rPr>
        <w:t>noteikumus</w:t>
      </w:r>
      <w:r w:rsidRPr="004B70DD">
        <w:rPr>
          <w:sz w:val="28"/>
          <w:szCs w:val="28"/>
        </w:rPr>
        <w:t xml:space="preserve"> ar 10.6. un 10.7. apakšpunktu šādā redakcijā:</w:t>
      </w:r>
    </w:p>
    <w:p w14:paraId="67BA7E63" w14:textId="77777777" w:rsidR="00386124" w:rsidRDefault="00386124" w:rsidP="00386124">
      <w:pPr>
        <w:pStyle w:val="BodyA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F2B0494" w14:textId="41566DBB" w:rsidR="00A97730" w:rsidRPr="004B70DD" w:rsidRDefault="00FA0E14" w:rsidP="00386124">
      <w:pPr>
        <w:pStyle w:val="BodyA"/>
        <w:tabs>
          <w:tab w:val="left" w:pos="993"/>
        </w:tabs>
        <w:ind w:firstLine="709"/>
        <w:jc w:val="both"/>
        <w:rPr>
          <w:strike/>
          <w:sz w:val="28"/>
          <w:szCs w:val="28"/>
        </w:rPr>
      </w:pPr>
      <w:r w:rsidRPr="004B70DD">
        <w:rPr>
          <w:sz w:val="28"/>
          <w:szCs w:val="28"/>
        </w:rPr>
        <w:t>"10.6</w:t>
      </w:r>
      <w:r w:rsidR="0033512D" w:rsidRPr="004B70DD">
        <w:rPr>
          <w:sz w:val="28"/>
          <w:szCs w:val="28"/>
        </w:rPr>
        <w:t>.</w:t>
      </w:r>
      <w:r w:rsidR="0033512D">
        <w:rPr>
          <w:sz w:val="28"/>
          <w:szCs w:val="28"/>
        </w:rPr>
        <w:t> </w:t>
      </w:r>
      <w:r w:rsidRPr="004B70DD">
        <w:rPr>
          <w:sz w:val="28"/>
          <w:szCs w:val="28"/>
        </w:rPr>
        <w:t>atlīdzības limitu vismaz 200</w:t>
      </w:r>
      <w:r w:rsidR="00E84EFC">
        <w:rPr>
          <w:sz w:val="28"/>
          <w:szCs w:val="28"/>
        </w:rPr>
        <w:t> </w:t>
      </w:r>
      <w:r w:rsidRPr="004B70DD">
        <w:rPr>
          <w:sz w:val="28"/>
          <w:szCs w:val="28"/>
        </w:rPr>
        <w:t>procentu apmērā no apdrošināšanas prēmijas par polisē</w:t>
      </w:r>
      <w:r w:rsidRPr="004B70DD">
        <w:rPr>
          <w:color w:val="00B050"/>
          <w:sz w:val="28"/>
          <w:szCs w:val="28"/>
          <w:u w:color="00B050"/>
        </w:rPr>
        <w:t xml:space="preserve"> </w:t>
      </w:r>
      <w:r w:rsidRPr="004B70DD">
        <w:rPr>
          <w:sz w:val="28"/>
          <w:szCs w:val="28"/>
        </w:rPr>
        <w:t>minētajiem riska faktoriem;</w:t>
      </w:r>
      <w:r w:rsidRPr="004B70DD">
        <w:rPr>
          <w:strike/>
          <w:sz w:val="28"/>
          <w:szCs w:val="28"/>
        </w:rPr>
        <w:t xml:space="preserve"> </w:t>
      </w:r>
    </w:p>
    <w:p w14:paraId="49347131" w14:textId="2BBC6FDC" w:rsidR="00AC32C1" w:rsidRPr="004B70DD" w:rsidRDefault="00FA0E14" w:rsidP="00386124">
      <w:pPr>
        <w:pStyle w:val="BodyA"/>
        <w:ind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>10.7</w:t>
      </w:r>
      <w:r w:rsidR="0033512D" w:rsidRPr="004B70DD">
        <w:rPr>
          <w:sz w:val="28"/>
          <w:szCs w:val="28"/>
        </w:rPr>
        <w:t>.</w:t>
      </w:r>
      <w:r w:rsidR="0033512D">
        <w:rPr>
          <w:sz w:val="28"/>
          <w:szCs w:val="28"/>
        </w:rPr>
        <w:t> </w:t>
      </w:r>
      <w:r w:rsidRPr="004B70DD">
        <w:rPr>
          <w:sz w:val="28"/>
          <w:szCs w:val="28"/>
        </w:rPr>
        <w:t>ka pašrisks, iestājoties polisē minētajiem riska faktoriem, nemainās atkarībā no iepriekš izmaksātās apdrošināšanas atlīdzības par jebkuru no attiecīgajā polisē minētajiem riska faktoriem."</w:t>
      </w:r>
    </w:p>
    <w:p w14:paraId="7BE72F34" w14:textId="77777777" w:rsidR="00AC32C1" w:rsidRPr="004B70DD" w:rsidRDefault="00FA0E14" w:rsidP="00386124">
      <w:pPr>
        <w:pStyle w:val="BodyA"/>
        <w:ind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 xml:space="preserve"> </w:t>
      </w:r>
    </w:p>
    <w:p w14:paraId="6F0AC5E3" w14:textId="08F85559" w:rsidR="00AC32C1" w:rsidRPr="004B70DD" w:rsidRDefault="00FA0E14" w:rsidP="00386124">
      <w:pPr>
        <w:pStyle w:val="BodyA"/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>6. Papildināt noteikumus ar 12.</w:t>
      </w:r>
      <w:r w:rsidR="0033512D" w:rsidRPr="004B70DD">
        <w:rPr>
          <w:sz w:val="28"/>
          <w:szCs w:val="28"/>
          <w:vertAlign w:val="superscript"/>
        </w:rPr>
        <w:t>1</w:t>
      </w:r>
      <w:r w:rsidR="0033512D">
        <w:rPr>
          <w:sz w:val="28"/>
          <w:szCs w:val="28"/>
        </w:rPr>
        <w:t> </w:t>
      </w:r>
      <w:r w:rsidRPr="004B70DD">
        <w:rPr>
          <w:sz w:val="28"/>
          <w:szCs w:val="28"/>
        </w:rPr>
        <w:t>punktu šādā redakcijā:</w:t>
      </w:r>
    </w:p>
    <w:p w14:paraId="0B569A2B" w14:textId="77777777" w:rsidR="00AC32C1" w:rsidRPr="004B70DD" w:rsidRDefault="00AC32C1" w:rsidP="00386124">
      <w:pPr>
        <w:pStyle w:val="BodyA"/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14650B1C" w14:textId="5520E639" w:rsidR="00AC32C1" w:rsidRPr="004B70DD" w:rsidRDefault="00FA0E14" w:rsidP="00386124">
      <w:pPr>
        <w:pStyle w:val="BodyA"/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>"12.</w:t>
      </w:r>
      <w:r w:rsidR="0033512D" w:rsidRPr="004B70DD">
        <w:rPr>
          <w:sz w:val="28"/>
          <w:szCs w:val="28"/>
          <w:vertAlign w:val="superscript"/>
        </w:rPr>
        <w:t>1</w:t>
      </w:r>
      <w:r w:rsidR="0033512D">
        <w:rPr>
          <w:sz w:val="28"/>
          <w:szCs w:val="28"/>
        </w:rPr>
        <w:t> </w:t>
      </w:r>
      <w:r w:rsidRPr="004B70DD">
        <w:rPr>
          <w:sz w:val="28"/>
          <w:szCs w:val="28"/>
        </w:rPr>
        <w:t xml:space="preserve">Ja termiņš apdrošināšanas līgumam, ar kuru apdrošināti dzīvnieki, ir īsāks par </w:t>
      </w:r>
      <w:r w:rsidR="0033512D" w:rsidRPr="004B70DD">
        <w:rPr>
          <w:sz w:val="28"/>
          <w:szCs w:val="28"/>
        </w:rPr>
        <w:t>kalendār</w:t>
      </w:r>
      <w:r w:rsidR="0033512D">
        <w:rPr>
          <w:sz w:val="28"/>
          <w:szCs w:val="28"/>
        </w:rPr>
        <w:t>a</w:t>
      </w:r>
      <w:r w:rsidR="0033512D" w:rsidRPr="004B70DD">
        <w:rPr>
          <w:sz w:val="28"/>
          <w:szCs w:val="28"/>
        </w:rPr>
        <w:t xml:space="preserve"> </w:t>
      </w:r>
      <w:r w:rsidRPr="004B70DD">
        <w:rPr>
          <w:sz w:val="28"/>
          <w:szCs w:val="28"/>
        </w:rPr>
        <w:t>gadu, maksimālo atbalstu par vienu liellopa vienību proporcionāli samazina atbilstoši līguma darbības termiņa dienu skaitam."</w:t>
      </w:r>
    </w:p>
    <w:p w14:paraId="03680073" w14:textId="77777777" w:rsidR="00AC32C1" w:rsidRPr="004B70DD" w:rsidRDefault="00AC32C1" w:rsidP="00386124">
      <w:pPr>
        <w:pStyle w:val="ListParagraph"/>
        <w:ind w:left="0" w:firstLine="709"/>
        <w:rPr>
          <w:sz w:val="28"/>
          <w:szCs w:val="28"/>
        </w:rPr>
      </w:pPr>
    </w:p>
    <w:p w14:paraId="47E5F5FF" w14:textId="29ED7CD2" w:rsidR="00AC32C1" w:rsidRPr="004B70DD" w:rsidRDefault="00FA0E14" w:rsidP="00386124">
      <w:pPr>
        <w:pStyle w:val="ListParagraph"/>
        <w:tabs>
          <w:tab w:val="left" w:pos="284"/>
          <w:tab w:val="left" w:pos="426"/>
          <w:tab w:val="left" w:pos="1418"/>
        </w:tabs>
        <w:ind w:left="0"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>7</w:t>
      </w:r>
      <w:r w:rsidR="0033512D" w:rsidRPr="004B70DD">
        <w:rPr>
          <w:sz w:val="28"/>
          <w:szCs w:val="28"/>
        </w:rPr>
        <w:t>.</w:t>
      </w:r>
      <w:r w:rsidR="0033512D">
        <w:rPr>
          <w:sz w:val="28"/>
          <w:szCs w:val="28"/>
        </w:rPr>
        <w:t> </w:t>
      </w:r>
      <w:r w:rsidRPr="004B70DD">
        <w:rPr>
          <w:sz w:val="28"/>
          <w:szCs w:val="28"/>
        </w:rPr>
        <w:t>Aizstāt 14.1. apakšpunktā vārdu</w:t>
      </w:r>
      <w:r w:rsidR="00C87129">
        <w:rPr>
          <w:sz w:val="28"/>
          <w:szCs w:val="28"/>
        </w:rPr>
        <w:t xml:space="preserve"> "</w:t>
      </w:r>
      <w:r w:rsidRPr="004B70DD">
        <w:rPr>
          <w:sz w:val="28"/>
          <w:szCs w:val="28"/>
        </w:rPr>
        <w:t>apdrošināšanas" ar vārdiem "spēkā esošas apdrošināšanas".</w:t>
      </w:r>
    </w:p>
    <w:p w14:paraId="5C1B16A5" w14:textId="77777777" w:rsidR="00AC32C1" w:rsidRPr="004B70DD" w:rsidRDefault="00AC32C1" w:rsidP="00386124">
      <w:pPr>
        <w:pStyle w:val="BodyA"/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14:paraId="16409E12" w14:textId="16DA5118" w:rsidR="00AC32C1" w:rsidRPr="004B70DD" w:rsidRDefault="00FA0E14" w:rsidP="00386124">
      <w:pPr>
        <w:pStyle w:val="BodyA"/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 xml:space="preserve">8. Papildināt </w:t>
      </w:r>
      <w:r w:rsidR="0033512D">
        <w:rPr>
          <w:sz w:val="28"/>
          <w:szCs w:val="28"/>
        </w:rPr>
        <w:t>noteikumus</w:t>
      </w:r>
      <w:r w:rsidRPr="004B70DD">
        <w:rPr>
          <w:sz w:val="28"/>
          <w:szCs w:val="28"/>
        </w:rPr>
        <w:t xml:space="preserve"> ar 14.4. apakšpunktu šādā redakcijā:</w:t>
      </w:r>
    </w:p>
    <w:p w14:paraId="47FCE21E" w14:textId="77777777" w:rsidR="00AC32C1" w:rsidRPr="004B70DD" w:rsidRDefault="00AC32C1" w:rsidP="00386124">
      <w:pPr>
        <w:pStyle w:val="ListParagraph"/>
        <w:ind w:left="0" w:firstLine="709"/>
        <w:rPr>
          <w:sz w:val="28"/>
          <w:szCs w:val="28"/>
        </w:rPr>
      </w:pPr>
    </w:p>
    <w:p w14:paraId="4B7B80F9" w14:textId="5065C02A" w:rsidR="00AC32C1" w:rsidRPr="004B70DD" w:rsidRDefault="00FA0E14" w:rsidP="00386124">
      <w:pPr>
        <w:pStyle w:val="BodyA"/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>"14.4</w:t>
      </w:r>
      <w:r w:rsidR="0033512D" w:rsidRPr="004B70DD">
        <w:rPr>
          <w:sz w:val="28"/>
          <w:szCs w:val="28"/>
        </w:rPr>
        <w:t>.</w:t>
      </w:r>
      <w:r w:rsidR="0033512D">
        <w:rPr>
          <w:sz w:val="28"/>
          <w:szCs w:val="28"/>
        </w:rPr>
        <w:t> </w:t>
      </w:r>
      <w:r w:rsidRPr="004B70DD">
        <w:rPr>
          <w:sz w:val="28"/>
          <w:szCs w:val="28"/>
        </w:rPr>
        <w:t>apdrošināšanas līguma un tā pielikumu kopiju, kā arī citus dokumentus, kuros norādīta informācija par apdrošināšanas polises atlīdzības limitu un pašrisku."</w:t>
      </w:r>
    </w:p>
    <w:p w14:paraId="5C0FB5C2" w14:textId="77777777" w:rsidR="00AC32C1" w:rsidRPr="004B70DD" w:rsidRDefault="00AC32C1" w:rsidP="00386124">
      <w:pPr>
        <w:pStyle w:val="BodyA"/>
        <w:ind w:firstLine="709"/>
        <w:rPr>
          <w:sz w:val="28"/>
          <w:szCs w:val="28"/>
        </w:rPr>
      </w:pPr>
    </w:p>
    <w:p w14:paraId="61BCC37E" w14:textId="0FC80C70" w:rsidR="00AC32C1" w:rsidRPr="004B70DD" w:rsidRDefault="00FA0E14" w:rsidP="00386124">
      <w:pPr>
        <w:pStyle w:val="BodyA"/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>9</w:t>
      </w:r>
      <w:r w:rsidR="0033512D" w:rsidRPr="004B70DD">
        <w:rPr>
          <w:sz w:val="28"/>
          <w:szCs w:val="28"/>
        </w:rPr>
        <w:t>.</w:t>
      </w:r>
      <w:r w:rsidR="0033512D">
        <w:rPr>
          <w:sz w:val="28"/>
          <w:szCs w:val="28"/>
        </w:rPr>
        <w:t> </w:t>
      </w:r>
      <w:r w:rsidRPr="004B70DD">
        <w:rPr>
          <w:sz w:val="28"/>
          <w:szCs w:val="28"/>
        </w:rPr>
        <w:t>Papildināt 14.</w:t>
      </w:r>
      <w:r w:rsidR="0033512D" w:rsidRPr="004B70DD">
        <w:rPr>
          <w:sz w:val="28"/>
          <w:szCs w:val="28"/>
          <w:vertAlign w:val="superscript"/>
        </w:rPr>
        <w:t>1</w:t>
      </w:r>
      <w:r w:rsidR="0033512D">
        <w:rPr>
          <w:sz w:val="28"/>
          <w:szCs w:val="28"/>
        </w:rPr>
        <w:t> </w:t>
      </w:r>
      <w:r w:rsidRPr="004B70DD">
        <w:rPr>
          <w:sz w:val="28"/>
          <w:szCs w:val="28"/>
        </w:rPr>
        <w:t>punktu ar otro teikumu šādā redakcijā:</w:t>
      </w:r>
    </w:p>
    <w:p w14:paraId="21A4A7D2" w14:textId="77777777" w:rsidR="00AC32C1" w:rsidRPr="004B70DD" w:rsidRDefault="00AC32C1" w:rsidP="00386124">
      <w:pPr>
        <w:pStyle w:val="BodyA"/>
        <w:tabs>
          <w:tab w:val="left" w:pos="284"/>
          <w:tab w:val="left" w:pos="426"/>
          <w:tab w:val="left" w:pos="993"/>
        </w:tabs>
        <w:ind w:firstLine="709"/>
        <w:jc w:val="both"/>
      </w:pPr>
    </w:p>
    <w:p w14:paraId="44C6DE1C" w14:textId="41F67CDD" w:rsidR="00AC32C1" w:rsidRPr="004B70DD" w:rsidRDefault="00386124" w:rsidP="00386124">
      <w:pPr>
        <w:pStyle w:val="BodyA"/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386124">
        <w:rPr>
          <w:rFonts w:cs="Times New Roman"/>
          <w:sz w:val="28"/>
          <w:szCs w:val="28"/>
          <w:rtl/>
        </w:rPr>
        <w:t>"</w:t>
      </w:r>
      <w:r w:rsidR="00FA0E14" w:rsidRPr="004B70DD">
        <w:rPr>
          <w:sz w:val="28"/>
          <w:szCs w:val="28"/>
        </w:rPr>
        <w:t>Apdrošināšanas prēmija ir pilnībā samaksāta līdz pieteikuma iesniegšanas termiņa beigām attiecīgajā kārtā.</w:t>
      </w:r>
      <w:r>
        <w:rPr>
          <w:sz w:val="28"/>
          <w:szCs w:val="28"/>
        </w:rPr>
        <w:t>"</w:t>
      </w:r>
    </w:p>
    <w:p w14:paraId="1C43A234" w14:textId="77777777" w:rsidR="00AC32C1" w:rsidRPr="004B70DD" w:rsidRDefault="00AC32C1" w:rsidP="00386124">
      <w:pPr>
        <w:pStyle w:val="BodyA"/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14:paraId="69B26A0C" w14:textId="5EAB6E97" w:rsidR="00AC32C1" w:rsidRPr="004B70DD" w:rsidRDefault="00FA0E14" w:rsidP="00386124">
      <w:pPr>
        <w:pStyle w:val="BodyA"/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>10. Papildināt II nodaļu ar 14.</w:t>
      </w:r>
      <w:r w:rsidRPr="004B70DD">
        <w:rPr>
          <w:sz w:val="28"/>
          <w:szCs w:val="28"/>
          <w:vertAlign w:val="superscript"/>
        </w:rPr>
        <w:t>2</w:t>
      </w:r>
      <w:r w:rsidRPr="004B70DD">
        <w:rPr>
          <w:sz w:val="28"/>
          <w:szCs w:val="28"/>
        </w:rPr>
        <w:t xml:space="preserve"> un 14.</w:t>
      </w:r>
      <w:r w:rsidR="0033512D" w:rsidRPr="004B70DD">
        <w:rPr>
          <w:sz w:val="28"/>
          <w:szCs w:val="28"/>
          <w:vertAlign w:val="superscript"/>
        </w:rPr>
        <w:t>3</w:t>
      </w:r>
      <w:r w:rsidR="0033512D">
        <w:rPr>
          <w:sz w:val="28"/>
          <w:szCs w:val="28"/>
        </w:rPr>
        <w:t> </w:t>
      </w:r>
      <w:r w:rsidRPr="004B70DD">
        <w:rPr>
          <w:sz w:val="28"/>
          <w:szCs w:val="28"/>
        </w:rPr>
        <w:t>punktu šādā redakcijā:</w:t>
      </w:r>
    </w:p>
    <w:p w14:paraId="7C9B414C" w14:textId="77777777" w:rsidR="00AC32C1" w:rsidRPr="004B70DD" w:rsidRDefault="00AC32C1" w:rsidP="00386124">
      <w:pPr>
        <w:pStyle w:val="BodyA"/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14:paraId="6B24F2DF" w14:textId="59419A2C" w:rsidR="00AC32C1" w:rsidRPr="004B70DD" w:rsidRDefault="00FA0E14" w:rsidP="00386124">
      <w:pPr>
        <w:pStyle w:val="BodyA"/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FA0E14">
        <w:rPr>
          <w:sz w:val="28"/>
          <w:szCs w:val="28"/>
        </w:rPr>
        <w:lastRenderedPageBreak/>
        <w:t>"14.</w:t>
      </w:r>
      <w:r w:rsidR="0033512D" w:rsidRPr="00FA0E14">
        <w:rPr>
          <w:sz w:val="28"/>
          <w:szCs w:val="28"/>
          <w:vertAlign w:val="superscript"/>
        </w:rPr>
        <w:t>2</w:t>
      </w:r>
      <w:r w:rsidR="0033512D">
        <w:rPr>
          <w:sz w:val="28"/>
          <w:szCs w:val="28"/>
        </w:rPr>
        <w:t> </w:t>
      </w:r>
      <w:r w:rsidRPr="00FA0E14">
        <w:rPr>
          <w:sz w:val="28"/>
          <w:szCs w:val="28"/>
        </w:rPr>
        <w:t>Apdrošināšanas pakalpojumu sniedzējs katru ceturksni</w:t>
      </w:r>
      <w:proofErr w:type="gramStart"/>
      <w:r w:rsidRPr="00FA0E14">
        <w:rPr>
          <w:sz w:val="28"/>
          <w:szCs w:val="28"/>
        </w:rPr>
        <w:t xml:space="preserve"> līdz nākamā ceturkšņa pirmā mēneša desmitajam datumam informē Lauku</w:t>
      </w:r>
      <w:proofErr w:type="gramEnd"/>
      <w:r w:rsidRPr="00FA0E14">
        <w:rPr>
          <w:sz w:val="28"/>
          <w:szCs w:val="28"/>
        </w:rPr>
        <w:t xml:space="preserve"> atbalsta dienestu</w:t>
      </w:r>
      <w:r w:rsidR="0033512D">
        <w:rPr>
          <w:sz w:val="28"/>
          <w:szCs w:val="28"/>
        </w:rPr>
        <w:t>,</w:t>
      </w:r>
      <w:r w:rsidRPr="00FA0E14">
        <w:rPr>
          <w:sz w:val="28"/>
          <w:szCs w:val="28"/>
        </w:rPr>
        <w:t xml:space="preserve"> </w:t>
      </w:r>
      <w:r w:rsidR="0033512D">
        <w:rPr>
          <w:sz w:val="28"/>
          <w:szCs w:val="28"/>
        </w:rPr>
        <w:t>ja</w:t>
      </w:r>
      <w:r w:rsidRPr="00FA0E14">
        <w:rPr>
          <w:sz w:val="28"/>
          <w:szCs w:val="28"/>
        </w:rPr>
        <w:t xml:space="preserve"> apdrošināšanas līgums </w:t>
      </w:r>
      <w:r w:rsidR="0033512D">
        <w:rPr>
          <w:sz w:val="28"/>
          <w:szCs w:val="28"/>
        </w:rPr>
        <w:t xml:space="preserve">tiek </w:t>
      </w:r>
      <w:r w:rsidRPr="00FA0E14">
        <w:rPr>
          <w:sz w:val="28"/>
          <w:szCs w:val="28"/>
        </w:rPr>
        <w:t xml:space="preserve">grozīts vai izbeigts pirms termiņa un lauksaimniekam atmaksāta apdrošināšanas prēmija vai tās daļa, </w:t>
      </w:r>
      <w:r w:rsidR="0033512D">
        <w:rPr>
          <w:sz w:val="28"/>
          <w:szCs w:val="28"/>
        </w:rPr>
        <w:t xml:space="preserve">un </w:t>
      </w:r>
      <w:r w:rsidR="0033512D" w:rsidRPr="00FA0E14">
        <w:rPr>
          <w:sz w:val="28"/>
          <w:szCs w:val="28"/>
        </w:rPr>
        <w:t>norād</w:t>
      </w:r>
      <w:r w:rsidR="0033512D">
        <w:rPr>
          <w:sz w:val="28"/>
          <w:szCs w:val="28"/>
        </w:rPr>
        <w:t>a</w:t>
      </w:r>
      <w:r w:rsidR="0033512D" w:rsidRPr="00FA0E14">
        <w:rPr>
          <w:sz w:val="28"/>
          <w:szCs w:val="28"/>
        </w:rPr>
        <w:t xml:space="preserve"> </w:t>
      </w:r>
      <w:r w:rsidRPr="00FA0E14">
        <w:rPr>
          <w:sz w:val="28"/>
          <w:szCs w:val="28"/>
        </w:rPr>
        <w:t>atmaksātās apdrošināšanas prēmijas apmēru, kā arī</w:t>
      </w:r>
      <w:r w:rsidRPr="004B70DD">
        <w:rPr>
          <w:sz w:val="28"/>
          <w:szCs w:val="28"/>
        </w:rPr>
        <w:t xml:space="preserve"> pievieno konkrētā lauksaimnieka apdrošināšanas polises kopiju.</w:t>
      </w:r>
    </w:p>
    <w:p w14:paraId="0386555E" w14:textId="77777777" w:rsidR="00AC32C1" w:rsidRPr="004B70DD" w:rsidRDefault="00AC32C1" w:rsidP="00386124">
      <w:pPr>
        <w:pStyle w:val="BodyA"/>
        <w:tabs>
          <w:tab w:val="left" w:pos="284"/>
          <w:tab w:val="left" w:pos="426"/>
          <w:tab w:val="left" w:pos="993"/>
        </w:tabs>
        <w:ind w:firstLine="709"/>
        <w:jc w:val="both"/>
      </w:pPr>
    </w:p>
    <w:p w14:paraId="5385B078" w14:textId="3FE84849" w:rsidR="00AC32C1" w:rsidRPr="004B70DD" w:rsidRDefault="00FA0E14" w:rsidP="00386124">
      <w:pPr>
        <w:pStyle w:val="BodyA"/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>14.</w:t>
      </w:r>
      <w:r w:rsidR="0033512D" w:rsidRPr="004B70DD">
        <w:rPr>
          <w:sz w:val="28"/>
          <w:szCs w:val="28"/>
          <w:vertAlign w:val="superscript"/>
        </w:rPr>
        <w:t>3</w:t>
      </w:r>
      <w:r w:rsidR="0033512D">
        <w:rPr>
          <w:sz w:val="28"/>
          <w:szCs w:val="28"/>
        </w:rPr>
        <w:t> </w:t>
      </w:r>
      <w:r w:rsidRPr="004B70DD">
        <w:rPr>
          <w:sz w:val="28"/>
          <w:szCs w:val="28"/>
        </w:rPr>
        <w:t>Lauku atbalsta dienests divu nedēļu laikā pēc šo noteikumu 14.</w:t>
      </w:r>
      <w:r w:rsidRPr="004B70DD">
        <w:rPr>
          <w:sz w:val="28"/>
          <w:szCs w:val="28"/>
          <w:vertAlign w:val="superscript"/>
        </w:rPr>
        <w:t>2</w:t>
      </w:r>
      <w:r w:rsidRPr="004B70DD">
        <w:rPr>
          <w:sz w:val="28"/>
          <w:szCs w:val="28"/>
        </w:rPr>
        <w:t> punktā minētās informācijas saņemšanas pārrēķina atbalsta saņēmējam piešķiramo atbalstu un pieprasa viņam atmaksāt pārmaksāto atbalstu vai tā daļu."</w:t>
      </w:r>
    </w:p>
    <w:p w14:paraId="4ACFC3B6" w14:textId="77777777" w:rsidR="00AC32C1" w:rsidRPr="004B70DD" w:rsidRDefault="00AC32C1" w:rsidP="00386124">
      <w:pPr>
        <w:pStyle w:val="BodyA"/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14:paraId="1F93E7F9" w14:textId="4D29FA4D" w:rsidR="00AC32C1" w:rsidRPr="004B70DD" w:rsidRDefault="00FA0E14" w:rsidP="00386124">
      <w:pPr>
        <w:pStyle w:val="BodyA"/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>11</w:t>
      </w:r>
      <w:r w:rsidR="0033512D" w:rsidRPr="004B70DD">
        <w:rPr>
          <w:sz w:val="28"/>
          <w:szCs w:val="28"/>
        </w:rPr>
        <w:t>.</w:t>
      </w:r>
      <w:r w:rsidR="0033512D">
        <w:rPr>
          <w:sz w:val="28"/>
          <w:szCs w:val="28"/>
        </w:rPr>
        <w:t> </w:t>
      </w:r>
      <w:r w:rsidRPr="004B70DD">
        <w:rPr>
          <w:sz w:val="28"/>
          <w:szCs w:val="28"/>
        </w:rPr>
        <w:t xml:space="preserve">Papildināt noteikumus ar 23. punktu šādā redakcijā: </w:t>
      </w:r>
    </w:p>
    <w:p w14:paraId="0837008B" w14:textId="77777777" w:rsidR="00AC32C1" w:rsidRPr="004B70DD" w:rsidRDefault="00AC32C1" w:rsidP="00386124">
      <w:pPr>
        <w:pStyle w:val="BodyA"/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411C9A1B" w14:textId="21BF0BF2" w:rsidR="00AC32C1" w:rsidRPr="004B70DD" w:rsidRDefault="00FA0E14" w:rsidP="00386124">
      <w:pPr>
        <w:pStyle w:val="BodyA"/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4B70DD">
        <w:rPr>
          <w:sz w:val="28"/>
          <w:szCs w:val="28"/>
        </w:rPr>
        <w:t>"23</w:t>
      </w:r>
      <w:r w:rsidR="0033512D" w:rsidRPr="004B70DD">
        <w:rPr>
          <w:sz w:val="28"/>
          <w:szCs w:val="28"/>
        </w:rPr>
        <w:t>.</w:t>
      </w:r>
      <w:r w:rsidR="0033512D">
        <w:rPr>
          <w:sz w:val="28"/>
          <w:szCs w:val="28"/>
        </w:rPr>
        <w:t> </w:t>
      </w:r>
      <w:r w:rsidRPr="004B70DD">
        <w:rPr>
          <w:sz w:val="28"/>
          <w:szCs w:val="28"/>
        </w:rPr>
        <w:t xml:space="preserve">Šo noteikumu 10.1. apakšpunktā minēto izņēmumu attiecībā uz slimībām, kas minētas normatīvajos aktos par valsts uzraudzībā </w:t>
      </w:r>
      <w:r w:rsidR="0000561D" w:rsidRPr="004B70DD">
        <w:rPr>
          <w:sz w:val="28"/>
          <w:szCs w:val="28"/>
        </w:rPr>
        <w:t>esoš</w:t>
      </w:r>
      <w:r w:rsidR="0000561D">
        <w:rPr>
          <w:sz w:val="28"/>
          <w:szCs w:val="28"/>
        </w:rPr>
        <w:t>ās</w:t>
      </w:r>
      <w:r w:rsidR="0000561D" w:rsidRPr="004B70DD">
        <w:rPr>
          <w:sz w:val="28"/>
          <w:szCs w:val="28"/>
        </w:rPr>
        <w:t xml:space="preserve"> </w:t>
      </w:r>
      <w:r w:rsidRPr="004B70DD">
        <w:rPr>
          <w:sz w:val="28"/>
          <w:szCs w:val="28"/>
        </w:rPr>
        <w:t xml:space="preserve">dzīvnieku infekcijas slimības vai epizootijas uzliesmojuma laikā radušos zaudējumu kompensāciju, kā arī šo noteikumu 10.6., 10.7. un 14.4. apakšpunktā minētos nosacījumus piemēro tiem apdrošināšanas līgumiem, kas noslēgti pēc 2021. gada </w:t>
      </w:r>
      <w:r w:rsidR="005A7BAA">
        <w:rPr>
          <w:sz w:val="28"/>
          <w:szCs w:val="28"/>
        </w:rPr>
        <w:t>20</w:t>
      </w:r>
      <w:r w:rsidRPr="004B70DD">
        <w:rPr>
          <w:sz w:val="28"/>
          <w:szCs w:val="28"/>
        </w:rPr>
        <w:t>. </w:t>
      </w:r>
      <w:r w:rsidR="005A7BAA">
        <w:rPr>
          <w:sz w:val="28"/>
          <w:szCs w:val="28"/>
        </w:rPr>
        <w:t>august</w:t>
      </w:r>
      <w:r w:rsidR="000A5E8D">
        <w:rPr>
          <w:sz w:val="28"/>
          <w:szCs w:val="28"/>
        </w:rPr>
        <w:t>a</w:t>
      </w:r>
      <w:r w:rsidRPr="004B70DD">
        <w:rPr>
          <w:sz w:val="28"/>
          <w:szCs w:val="28"/>
        </w:rPr>
        <w:t>."</w:t>
      </w:r>
    </w:p>
    <w:p w14:paraId="0150CDD6" w14:textId="77777777" w:rsidR="00AC32C1" w:rsidRPr="004B70DD" w:rsidRDefault="00AC32C1" w:rsidP="00386124">
      <w:pPr>
        <w:pStyle w:val="BodyA"/>
        <w:ind w:firstLine="709"/>
        <w:rPr>
          <w:sz w:val="28"/>
          <w:szCs w:val="28"/>
        </w:rPr>
      </w:pPr>
    </w:p>
    <w:p w14:paraId="13F53DEC" w14:textId="67A80F81" w:rsidR="00AC32C1" w:rsidRDefault="00AC32C1" w:rsidP="00386124">
      <w:pPr>
        <w:pStyle w:val="BodyA"/>
        <w:ind w:firstLine="709"/>
        <w:rPr>
          <w:sz w:val="28"/>
          <w:szCs w:val="28"/>
        </w:rPr>
      </w:pPr>
    </w:p>
    <w:p w14:paraId="3567C42C" w14:textId="77777777" w:rsidR="000D0D77" w:rsidRPr="004B70DD" w:rsidRDefault="000D0D77" w:rsidP="00FF05F6">
      <w:pPr>
        <w:pStyle w:val="BodyA"/>
        <w:tabs>
          <w:tab w:val="left" w:pos="6946"/>
        </w:tabs>
        <w:ind w:firstLine="709"/>
        <w:rPr>
          <w:sz w:val="28"/>
          <w:szCs w:val="28"/>
        </w:rPr>
      </w:pPr>
    </w:p>
    <w:p w14:paraId="42553C89" w14:textId="7E7B7CA4" w:rsidR="00AC32C1" w:rsidRPr="004B70DD" w:rsidRDefault="00386124" w:rsidP="00FF05F6">
      <w:pPr>
        <w:pStyle w:val="BodyA"/>
        <w:tabs>
          <w:tab w:val="left" w:pos="694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</w:t>
      </w:r>
      <w:r w:rsidR="00FA0E14" w:rsidRPr="004B70DD">
        <w:rPr>
          <w:sz w:val="28"/>
          <w:szCs w:val="28"/>
        </w:rPr>
        <w:t>Kariņš</w:t>
      </w:r>
    </w:p>
    <w:p w14:paraId="5B0022C8" w14:textId="77777777" w:rsidR="00AC32C1" w:rsidRDefault="00AC32C1" w:rsidP="00FF05F6">
      <w:pPr>
        <w:pStyle w:val="BodyA"/>
        <w:tabs>
          <w:tab w:val="left" w:pos="6946"/>
        </w:tabs>
        <w:ind w:firstLine="709"/>
        <w:rPr>
          <w:sz w:val="28"/>
          <w:szCs w:val="28"/>
        </w:rPr>
      </w:pPr>
    </w:p>
    <w:p w14:paraId="06FEE83E" w14:textId="77777777" w:rsidR="00386124" w:rsidRPr="004B70DD" w:rsidRDefault="00386124" w:rsidP="00FF05F6">
      <w:pPr>
        <w:pStyle w:val="BodyA"/>
        <w:tabs>
          <w:tab w:val="left" w:pos="6946"/>
        </w:tabs>
        <w:ind w:firstLine="709"/>
        <w:rPr>
          <w:sz w:val="28"/>
          <w:szCs w:val="28"/>
        </w:rPr>
      </w:pPr>
    </w:p>
    <w:p w14:paraId="2F432E12" w14:textId="77777777" w:rsidR="00AC32C1" w:rsidRPr="004B70DD" w:rsidRDefault="00AC32C1" w:rsidP="00FF05F6">
      <w:pPr>
        <w:pStyle w:val="BodyA"/>
        <w:tabs>
          <w:tab w:val="left" w:pos="6946"/>
        </w:tabs>
        <w:ind w:firstLine="709"/>
        <w:rPr>
          <w:sz w:val="28"/>
          <w:szCs w:val="28"/>
        </w:rPr>
      </w:pPr>
    </w:p>
    <w:p w14:paraId="3F4B3318" w14:textId="0723E46D" w:rsidR="00AC32C1" w:rsidRPr="004B70DD" w:rsidRDefault="00386124" w:rsidP="00FF05F6">
      <w:pPr>
        <w:pStyle w:val="BodyA"/>
        <w:tabs>
          <w:tab w:val="left" w:pos="6946"/>
        </w:tabs>
        <w:ind w:firstLine="709"/>
      </w:pPr>
      <w:r>
        <w:rPr>
          <w:sz w:val="28"/>
          <w:szCs w:val="28"/>
        </w:rPr>
        <w:t xml:space="preserve">Zemkopības ministrs </w:t>
      </w:r>
      <w:r>
        <w:rPr>
          <w:sz w:val="28"/>
          <w:szCs w:val="28"/>
        </w:rPr>
        <w:tab/>
        <w:t>K. </w:t>
      </w:r>
      <w:r w:rsidR="00FA0E14" w:rsidRPr="004B70DD">
        <w:rPr>
          <w:sz w:val="28"/>
          <w:szCs w:val="28"/>
        </w:rPr>
        <w:t>Gerhards</w:t>
      </w:r>
    </w:p>
    <w:sectPr w:rsidR="00AC32C1" w:rsidRPr="004B70DD" w:rsidSect="0038612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1FDAB" w14:textId="77777777" w:rsidR="001C2ABD" w:rsidRDefault="001C2ABD">
      <w:r>
        <w:separator/>
      </w:r>
    </w:p>
  </w:endnote>
  <w:endnote w:type="continuationSeparator" w:id="0">
    <w:p w14:paraId="1B462E33" w14:textId="77777777" w:rsidR="001C2ABD" w:rsidRDefault="001C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021D" w14:textId="77777777" w:rsidR="00386124" w:rsidRPr="00386124" w:rsidRDefault="00386124" w:rsidP="00386124">
    <w:pPr>
      <w:pStyle w:val="Footer"/>
      <w:rPr>
        <w:sz w:val="16"/>
        <w:szCs w:val="16"/>
      </w:rPr>
    </w:pPr>
    <w:r>
      <w:rPr>
        <w:sz w:val="16"/>
        <w:szCs w:val="16"/>
      </w:rPr>
      <w:t>N1642_1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7112D" w14:textId="7035061E" w:rsidR="00386124" w:rsidRPr="00386124" w:rsidRDefault="00386124">
    <w:pPr>
      <w:pStyle w:val="Footer"/>
      <w:rPr>
        <w:sz w:val="16"/>
        <w:szCs w:val="16"/>
      </w:rPr>
    </w:pPr>
    <w:r>
      <w:rPr>
        <w:sz w:val="16"/>
        <w:szCs w:val="16"/>
      </w:rPr>
      <w:t>N1642_1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1AF5" w14:textId="77777777" w:rsidR="001C2ABD" w:rsidRDefault="001C2ABD">
      <w:r>
        <w:separator/>
      </w:r>
    </w:p>
  </w:footnote>
  <w:footnote w:type="continuationSeparator" w:id="0">
    <w:p w14:paraId="3EFA87AF" w14:textId="77777777" w:rsidR="001C2ABD" w:rsidRDefault="001C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3C6C" w14:textId="77777777" w:rsidR="00AC32C1" w:rsidRDefault="00FA0E14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38612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E15E6" w14:textId="77777777" w:rsidR="00386124" w:rsidRDefault="00386124">
    <w:pPr>
      <w:pStyle w:val="Header"/>
    </w:pPr>
  </w:p>
  <w:p w14:paraId="6B3220D9" w14:textId="77777777" w:rsidR="00386124" w:rsidRDefault="00386124" w:rsidP="00911E66">
    <w:pPr>
      <w:pStyle w:val="Header"/>
    </w:pPr>
    <w:r>
      <w:rPr>
        <w:noProof/>
      </w:rPr>
      <w:drawing>
        <wp:inline distT="0" distB="0" distL="0" distR="0" wp14:anchorId="7D2308DC" wp14:editId="4417CCA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1877"/>
    <w:multiLevelType w:val="hybridMultilevel"/>
    <w:tmpl w:val="4DC4C090"/>
    <w:numStyleLink w:val="ImportedStyle1"/>
  </w:abstractNum>
  <w:abstractNum w:abstractNumId="1" w15:restartNumberingAfterBreak="0">
    <w:nsid w:val="5E9429F0"/>
    <w:multiLevelType w:val="hybridMultilevel"/>
    <w:tmpl w:val="4DC4C090"/>
    <w:styleLink w:val="ImportedStyle1"/>
    <w:lvl w:ilvl="0" w:tplc="C548D15C">
      <w:start w:val="1"/>
      <w:numFmt w:val="decimal"/>
      <w:lvlText w:val="%1."/>
      <w:lvlJc w:val="left"/>
      <w:pPr>
        <w:tabs>
          <w:tab w:val="left" w:pos="1134"/>
        </w:tabs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4E2BC2">
      <w:start w:val="1"/>
      <w:numFmt w:val="lowerLetter"/>
      <w:lvlText w:val="%2."/>
      <w:lvlJc w:val="left"/>
      <w:pPr>
        <w:tabs>
          <w:tab w:val="left" w:pos="1134"/>
        </w:tabs>
        <w:ind w:left="2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222222">
      <w:start w:val="1"/>
      <w:numFmt w:val="lowerRoman"/>
      <w:lvlText w:val="%3."/>
      <w:lvlJc w:val="left"/>
      <w:pPr>
        <w:tabs>
          <w:tab w:val="left" w:pos="1134"/>
        </w:tabs>
        <w:ind w:left="29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6AB356">
      <w:start w:val="1"/>
      <w:numFmt w:val="decimal"/>
      <w:lvlText w:val="%4."/>
      <w:lvlJc w:val="left"/>
      <w:pPr>
        <w:tabs>
          <w:tab w:val="left" w:pos="1134"/>
        </w:tabs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2073A">
      <w:start w:val="1"/>
      <w:numFmt w:val="lowerLetter"/>
      <w:lvlText w:val="%5."/>
      <w:lvlJc w:val="left"/>
      <w:pPr>
        <w:tabs>
          <w:tab w:val="left" w:pos="1134"/>
        </w:tabs>
        <w:ind w:left="4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065E2">
      <w:start w:val="1"/>
      <w:numFmt w:val="lowerRoman"/>
      <w:lvlText w:val="%6."/>
      <w:lvlJc w:val="left"/>
      <w:pPr>
        <w:tabs>
          <w:tab w:val="left" w:pos="1134"/>
        </w:tabs>
        <w:ind w:left="51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801660">
      <w:start w:val="1"/>
      <w:numFmt w:val="decimal"/>
      <w:lvlText w:val="%7."/>
      <w:lvlJc w:val="left"/>
      <w:pPr>
        <w:tabs>
          <w:tab w:val="left" w:pos="1134"/>
        </w:tabs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4ECA4">
      <w:start w:val="1"/>
      <w:numFmt w:val="lowerLetter"/>
      <w:lvlText w:val="%8."/>
      <w:lvlJc w:val="left"/>
      <w:pPr>
        <w:tabs>
          <w:tab w:val="left" w:pos="1134"/>
        </w:tabs>
        <w:ind w:left="6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A7930">
      <w:start w:val="1"/>
      <w:numFmt w:val="lowerRoman"/>
      <w:lvlText w:val="%9."/>
      <w:lvlJc w:val="left"/>
      <w:pPr>
        <w:tabs>
          <w:tab w:val="left" w:pos="1134"/>
        </w:tabs>
        <w:ind w:left="72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6FEA4B0">
        <w:start w:val="1"/>
        <w:numFmt w:val="decimal"/>
        <w:lvlText w:val="%1."/>
        <w:lvlJc w:val="left"/>
        <w:pPr>
          <w:tabs>
            <w:tab w:val="left" w:pos="284"/>
            <w:tab w:val="left" w:pos="426"/>
            <w:tab w:val="left" w:pos="993"/>
          </w:tabs>
          <w:ind w:left="15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22CC60">
        <w:start w:val="1"/>
        <w:numFmt w:val="lowerLetter"/>
        <w:lvlText w:val="%2."/>
        <w:lvlJc w:val="left"/>
        <w:pPr>
          <w:tabs>
            <w:tab w:val="left" w:pos="284"/>
            <w:tab w:val="left" w:pos="426"/>
            <w:tab w:val="left" w:pos="993"/>
          </w:tabs>
          <w:ind w:left="22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8050C8">
        <w:start w:val="1"/>
        <w:numFmt w:val="lowerRoman"/>
        <w:lvlText w:val="%3."/>
        <w:lvlJc w:val="left"/>
        <w:pPr>
          <w:tabs>
            <w:tab w:val="left" w:pos="284"/>
            <w:tab w:val="left" w:pos="426"/>
            <w:tab w:val="left" w:pos="993"/>
          </w:tabs>
          <w:ind w:left="29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38CC2A">
        <w:start w:val="1"/>
        <w:numFmt w:val="decimal"/>
        <w:lvlText w:val="%4."/>
        <w:lvlJc w:val="left"/>
        <w:pPr>
          <w:tabs>
            <w:tab w:val="left" w:pos="284"/>
            <w:tab w:val="left" w:pos="426"/>
            <w:tab w:val="left" w:pos="993"/>
          </w:tabs>
          <w:ind w:left="36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646C64">
        <w:start w:val="1"/>
        <w:numFmt w:val="lowerLetter"/>
        <w:lvlText w:val="%5."/>
        <w:lvlJc w:val="left"/>
        <w:pPr>
          <w:tabs>
            <w:tab w:val="left" w:pos="284"/>
            <w:tab w:val="left" w:pos="426"/>
            <w:tab w:val="left" w:pos="993"/>
          </w:tabs>
          <w:ind w:left="4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5E2EE0">
        <w:start w:val="1"/>
        <w:numFmt w:val="lowerRoman"/>
        <w:lvlText w:val="%6."/>
        <w:lvlJc w:val="left"/>
        <w:pPr>
          <w:tabs>
            <w:tab w:val="left" w:pos="284"/>
            <w:tab w:val="left" w:pos="426"/>
            <w:tab w:val="left" w:pos="993"/>
          </w:tabs>
          <w:ind w:left="51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A0D93E">
        <w:start w:val="1"/>
        <w:numFmt w:val="decimal"/>
        <w:lvlText w:val="%7."/>
        <w:lvlJc w:val="left"/>
        <w:pPr>
          <w:tabs>
            <w:tab w:val="left" w:pos="284"/>
            <w:tab w:val="left" w:pos="426"/>
            <w:tab w:val="left" w:pos="993"/>
          </w:tabs>
          <w:ind w:left="58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C6C86C">
        <w:start w:val="1"/>
        <w:numFmt w:val="lowerLetter"/>
        <w:lvlText w:val="%8."/>
        <w:lvlJc w:val="left"/>
        <w:pPr>
          <w:tabs>
            <w:tab w:val="left" w:pos="284"/>
            <w:tab w:val="left" w:pos="426"/>
            <w:tab w:val="left" w:pos="993"/>
          </w:tabs>
          <w:ind w:left="65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C66908">
        <w:start w:val="1"/>
        <w:numFmt w:val="lowerRoman"/>
        <w:lvlText w:val="%9."/>
        <w:lvlJc w:val="left"/>
        <w:pPr>
          <w:tabs>
            <w:tab w:val="left" w:pos="284"/>
            <w:tab w:val="left" w:pos="426"/>
            <w:tab w:val="left" w:pos="993"/>
          </w:tabs>
          <w:ind w:left="72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C1"/>
    <w:rsid w:val="0000561D"/>
    <w:rsid w:val="00012BD2"/>
    <w:rsid w:val="000A5E8D"/>
    <w:rsid w:val="000D0D77"/>
    <w:rsid w:val="000E0DAA"/>
    <w:rsid w:val="001378BB"/>
    <w:rsid w:val="001B033E"/>
    <w:rsid w:val="001B16CB"/>
    <w:rsid w:val="001C2ABD"/>
    <w:rsid w:val="001C7600"/>
    <w:rsid w:val="002170B9"/>
    <w:rsid w:val="0029646E"/>
    <w:rsid w:val="002B040A"/>
    <w:rsid w:val="002F1D26"/>
    <w:rsid w:val="0033512D"/>
    <w:rsid w:val="00352EAD"/>
    <w:rsid w:val="00386124"/>
    <w:rsid w:val="00420EE1"/>
    <w:rsid w:val="004B4FF0"/>
    <w:rsid w:val="004B70DD"/>
    <w:rsid w:val="005A7BAA"/>
    <w:rsid w:val="006E3C7F"/>
    <w:rsid w:val="008B0049"/>
    <w:rsid w:val="00A146A3"/>
    <w:rsid w:val="00A97730"/>
    <w:rsid w:val="00AC32C1"/>
    <w:rsid w:val="00B96310"/>
    <w:rsid w:val="00C179F4"/>
    <w:rsid w:val="00C87129"/>
    <w:rsid w:val="00D3369A"/>
    <w:rsid w:val="00D539A1"/>
    <w:rsid w:val="00D814EE"/>
    <w:rsid w:val="00E3473A"/>
    <w:rsid w:val="00E5484C"/>
    <w:rsid w:val="00E84EFC"/>
    <w:rsid w:val="00E96868"/>
    <w:rsid w:val="00EC4BCA"/>
    <w:rsid w:val="00F905FA"/>
    <w:rsid w:val="00FA0E14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701A"/>
  <w15:docId w15:val="{B17C4846-AC5B-433F-9AD6-0A9DCF8C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DD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0D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86124"/>
    <w:rPr>
      <w:rFonts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6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BD09-9B7C-4EB0-88DB-261D05F0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25.augusta noteikumos Nr.492 "Noteikumi par valsts un Eiropas Savienības atbalsta piešķiršanu ražas, dzīvnieku un augu apdrošināšanai 2014.-2020.gada plānošanas periodā""</vt:lpstr>
    </vt:vector>
  </TitlesOfParts>
  <Company>Zemkopības Ministrija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25.augusta noteikumos Nr.492 "Noteikumi par valsts un Eiropas Savienības atbalsta piešķiršanu ražas, dzīvnieku un augu apdrošināšanai 2014.-2020.gada plānošanas periodā""</dc:title>
  <dc:subject>Noteikumu projekts</dc:subject>
  <dc:creator>Ligija Ozoliņa</dc:creator>
  <dc:description>Ozoliņa 67027301 Ligija.Ozolina@zm.gov.lv</dc:description>
  <cp:lastModifiedBy>Leontine Babkina</cp:lastModifiedBy>
  <cp:revision>22</cp:revision>
  <dcterms:created xsi:type="dcterms:W3CDTF">2021-06-18T09:18:00Z</dcterms:created>
  <dcterms:modified xsi:type="dcterms:W3CDTF">2021-08-12T05:25:00Z</dcterms:modified>
</cp:coreProperties>
</file>