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39979" w14:textId="66C5894E" w:rsidR="00B24523" w:rsidRPr="00813C0A" w:rsidRDefault="00B24523" w:rsidP="00B24523">
      <w:pPr>
        <w:spacing w:after="0" w:line="240" w:lineRule="auto"/>
        <w:jc w:val="center"/>
        <w:rPr>
          <w:rFonts w:ascii="Gotham Pro LT" w:eastAsia="Times New Roman" w:hAnsi="Gotham Pro LT" w:cs="Gotham Pro LT"/>
          <w:sz w:val="21"/>
          <w:szCs w:val="21"/>
        </w:rPr>
      </w:pPr>
      <w:r w:rsidRPr="00813C0A">
        <w:rPr>
          <w:rFonts w:ascii="Gotham Pro LT" w:eastAsia="Times New Roman" w:hAnsi="Gotham Pro LT" w:cs="Gotham Pro LT"/>
          <w:sz w:val="21"/>
          <w:szCs w:val="21"/>
        </w:rPr>
        <w:t>Rīgā</w:t>
      </w:r>
    </w:p>
    <w:p w14:paraId="43315385" w14:textId="77777777" w:rsidR="00185F05" w:rsidRPr="00813C0A" w:rsidRDefault="00185F05" w:rsidP="00B24523">
      <w:pPr>
        <w:spacing w:after="0" w:line="240" w:lineRule="auto"/>
        <w:jc w:val="center"/>
        <w:rPr>
          <w:rFonts w:ascii="Gotham Pro LT" w:eastAsia="Times New Roman" w:hAnsi="Gotham Pro LT" w:cs="Gotham Pro LT"/>
          <w:sz w:val="21"/>
          <w:szCs w:val="21"/>
        </w:rPr>
      </w:pPr>
    </w:p>
    <w:tbl>
      <w:tblPr>
        <w:tblW w:w="9464" w:type="dxa"/>
        <w:tblLayout w:type="fixed"/>
        <w:tblLook w:val="0000" w:firstRow="0" w:lastRow="0" w:firstColumn="0" w:lastColumn="0" w:noHBand="0" w:noVBand="0"/>
      </w:tblPr>
      <w:tblGrid>
        <w:gridCol w:w="4928"/>
        <w:gridCol w:w="4536"/>
      </w:tblGrid>
      <w:tr w:rsidR="0026216F" w:rsidRPr="00813C0A" w14:paraId="08F3997E" w14:textId="77777777" w:rsidTr="00D07E80">
        <w:trPr>
          <w:cantSplit/>
          <w:trHeight w:val="971"/>
        </w:trPr>
        <w:tc>
          <w:tcPr>
            <w:tcW w:w="4928" w:type="dxa"/>
          </w:tcPr>
          <w:p w14:paraId="08F3997A" w14:textId="073B5E28" w:rsidR="00D07E80" w:rsidRPr="00813C0A" w:rsidRDefault="00531F4A" w:rsidP="001D43EA">
            <w:pPr>
              <w:spacing w:after="0" w:line="480" w:lineRule="auto"/>
              <w:jc w:val="both"/>
              <w:rPr>
                <w:rFonts w:ascii="Gotham Pro LT" w:eastAsia="Times New Roman" w:hAnsi="Gotham Pro LT" w:cs="Gotham Pro LT"/>
                <w:sz w:val="21"/>
                <w:szCs w:val="21"/>
              </w:rPr>
            </w:pPr>
            <w:sdt>
              <w:sdtPr>
                <w:rPr>
                  <w:rFonts w:ascii="Gotham Pro LT" w:eastAsia="Times New Roman" w:hAnsi="Gotham Pro LT" w:cs="Gotham Pro LT"/>
                  <w:sz w:val="21"/>
                  <w:szCs w:val="21"/>
                </w:rPr>
                <w:alias w:val="Reģistrēšanas datums"/>
                <w:tag w:val="DokRegDatums"/>
                <w:id w:val="-134111700"/>
                <w:placeholder>
                  <w:docPart w:val="A834D5A16F4C44F29DA4359B433FD429"/>
                </w:placeholder>
                <w:dataBinding w:prefixMappings="xmlns:ns0='http://schemas.microsoft.com/office/2006/metadata/properties' xmlns:ns1='http://www.w3.org/2001/XMLSchema-instance' xmlns:ns2='http://schemas.microsoft.com/office/infopath/2007/PartnerControls' xmlns:ns3='80613d6c-201e-4be1-b27a-7e1bf41d8677' xmlns:ns4='f123fc61-7915-4898-8636-52bfc24319d4' " w:xpath="/ns0:properties[1]/documentManagement[1]/ns4:DokRegDatums[1]" w:storeItemID="{2DFF2E7C-4C4B-44D9-AB99-D3D6EA390431}"/>
                <w:date w:fullDate="2021-08-19T13:26:00Z">
                  <w:dateFormat w:val="dd.MM.yyyy"/>
                  <w:lid w:val="lv-LV"/>
                  <w:storeMappedDataAs w:val="dateTime"/>
                  <w:calendar w:val="gregorian"/>
                </w:date>
              </w:sdtPr>
              <w:sdtEndPr/>
              <w:sdtContent>
                <w:r w:rsidR="00A1782B">
                  <w:rPr>
                    <w:rFonts w:ascii="Gotham Pro LT" w:eastAsia="Times New Roman" w:hAnsi="Gotham Pro LT" w:cs="Gotham Pro LT"/>
                    <w:sz w:val="21"/>
                    <w:szCs w:val="21"/>
                  </w:rPr>
                  <w:t>19.08.2021</w:t>
                </w:r>
              </w:sdtContent>
            </w:sdt>
            <w:r w:rsidR="00D07E80" w:rsidRPr="00813C0A">
              <w:rPr>
                <w:rFonts w:ascii="Gotham Pro LT" w:eastAsia="Times New Roman" w:hAnsi="Gotham Pro LT" w:cs="Gotham Pro LT"/>
                <w:sz w:val="21"/>
                <w:szCs w:val="21"/>
              </w:rPr>
              <w:t xml:space="preserve"> Nr. </w:t>
            </w:r>
            <w:sdt>
              <w:sdtPr>
                <w:rPr>
                  <w:rFonts w:ascii="Gotham Pro LT" w:eastAsia="Times New Roman" w:hAnsi="Gotham Pro LT" w:cs="Gotham Pro LT"/>
                  <w:sz w:val="21"/>
                  <w:szCs w:val="21"/>
                </w:rPr>
                <w:alias w:val="LTAB numurs"/>
                <w:tag w:val="DokNumurs"/>
                <w:id w:val="-502584971"/>
                <w:placeholder>
                  <w:docPart w:val="4E0FEC1A292F419C82C8398F35ED4E1E"/>
                </w:placeholder>
                <w:showingPlcHdr/>
                <w:dataBinding w:prefixMappings="xmlns:ns0='http://schemas.microsoft.com/office/2006/metadata/properties' xmlns:ns1='http://www.w3.org/2001/XMLSchema-instance' xmlns:ns2='http://schemas.microsoft.com/office/infopath/2007/PartnerControls' xmlns:ns3='80613d6c-201e-4be1-b27a-7e1bf41d8677' xmlns:ns4='f123fc61-7915-4898-8636-52bfc24319d4' " w:xpath="/ns0:properties[1]/documentManagement[1]/ns4:DokNumurs[1]" w:storeItemID="{2DFF2E7C-4C4B-44D9-AB99-D3D6EA390431}"/>
                <w:text/>
              </w:sdtPr>
              <w:sdtEndPr/>
              <w:sdtContent>
                <w:r w:rsidR="00F1339A" w:rsidRPr="008139CB">
                  <w:rPr>
                    <w:rStyle w:val="PlaceholderText"/>
                  </w:rPr>
                  <w:t>[LTAB numurs]</w:t>
                </w:r>
              </w:sdtContent>
            </w:sdt>
          </w:p>
          <w:p w14:paraId="08F3997C" w14:textId="4E357A3E" w:rsidR="00D07E80" w:rsidRPr="00813C0A" w:rsidRDefault="00D07E80" w:rsidP="00F86DEA">
            <w:pPr>
              <w:spacing w:after="0" w:line="480" w:lineRule="auto"/>
              <w:jc w:val="both"/>
              <w:rPr>
                <w:rFonts w:ascii="Gotham Pro LT" w:eastAsia="Times New Roman" w:hAnsi="Gotham Pro LT" w:cs="Gotham Pro LT"/>
                <w:sz w:val="21"/>
                <w:szCs w:val="21"/>
              </w:rPr>
            </w:pPr>
            <w:r w:rsidRPr="00813C0A">
              <w:rPr>
                <w:rFonts w:ascii="Gotham Pro LT" w:eastAsia="Times New Roman" w:hAnsi="Gotham Pro LT" w:cs="Gotham Pro LT"/>
                <w:sz w:val="21"/>
                <w:szCs w:val="21"/>
              </w:rPr>
              <w:t xml:space="preserve">Uz </w:t>
            </w:r>
            <w:r w:rsidR="000B0676" w:rsidRPr="00813C0A">
              <w:rPr>
                <w:rFonts w:ascii="Gotham Pro LT" w:hAnsi="Gotham Pro LT" w:cs="Gotham Pro LT"/>
                <w:color w:val="000000"/>
                <w:sz w:val="21"/>
                <w:szCs w:val="21"/>
              </w:rPr>
              <w:t xml:space="preserve">18.08.2021. </w:t>
            </w:r>
            <w:r w:rsidRPr="00813C0A">
              <w:rPr>
                <w:rFonts w:ascii="Gotham Pro LT" w:eastAsia="Times New Roman" w:hAnsi="Gotham Pro LT" w:cs="Gotham Pro LT"/>
                <w:sz w:val="21"/>
                <w:szCs w:val="21"/>
              </w:rPr>
              <w:t>Nr. _____________</w:t>
            </w:r>
          </w:p>
        </w:tc>
        <w:tc>
          <w:tcPr>
            <w:tcW w:w="4536" w:type="dxa"/>
          </w:tcPr>
          <w:p w14:paraId="6315DEDA" w14:textId="77777777" w:rsidR="000B0676" w:rsidRPr="00813C0A" w:rsidRDefault="000B0676" w:rsidP="000B0676">
            <w:pPr>
              <w:spacing w:after="0" w:line="240" w:lineRule="auto"/>
              <w:jc w:val="right"/>
              <w:rPr>
                <w:rFonts w:ascii="Gotham Pro LT" w:eastAsia="Times New Roman" w:hAnsi="Gotham Pro LT" w:cs="Gotham Pro LT"/>
                <w:b/>
                <w:bCs/>
                <w:sz w:val="21"/>
                <w:szCs w:val="21"/>
              </w:rPr>
            </w:pPr>
            <w:r w:rsidRPr="00813C0A">
              <w:rPr>
                <w:rFonts w:ascii="Gotham Pro LT" w:eastAsia="Times New Roman" w:hAnsi="Gotham Pro LT" w:cs="Gotham Pro LT"/>
                <w:b/>
                <w:bCs/>
                <w:sz w:val="21"/>
                <w:szCs w:val="21"/>
              </w:rPr>
              <w:t>Finanšu ministrijai</w:t>
            </w:r>
          </w:p>
          <w:p w14:paraId="5913499B" w14:textId="77777777" w:rsidR="000B0676" w:rsidRPr="00813C0A" w:rsidRDefault="00531F4A" w:rsidP="000B0676">
            <w:pPr>
              <w:spacing w:after="0" w:line="240" w:lineRule="auto"/>
              <w:jc w:val="right"/>
              <w:rPr>
                <w:rFonts w:ascii="Gotham Pro LT" w:hAnsi="Gotham Pro LT" w:cs="Gotham Pro LT"/>
                <w:sz w:val="21"/>
                <w:szCs w:val="21"/>
              </w:rPr>
            </w:pPr>
            <w:hyperlink r:id="rId11" w:history="1">
              <w:r w:rsidR="000B0676" w:rsidRPr="00813C0A">
                <w:rPr>
                  <w:rStyle w:val="Hyperlink"/>
                  <w:rFonts w:ascii="Gotham Pro LT" w:hAnsi="Gotham Pro LT" w:cs="Gotham Pro LT"/>
                  <w:color w:val="auto"/>
                  <w:sz w:val="21"/>
                  <w:szCs w:val="21"/>
                </w:rPr>
                <w:t>pasts@fm.gov.lv</w:t>
              </w:r>
            </w:hyperlink>
            <w:r w:rsidR="000B0676" w:rsidRPr="00813C0A">
              <w:rPr>
                <w:rFonts w:ascii="Gotham Pro LT" w:hAnsi="Gotham Pro LT" w:cs="Gotham Pro LT"/>
                <w:sz w:val="21"/>
                <w:szCs w:val="21"/>
              </w:rPr>
              <w:t xml:space="preserve"> </w:t>
            </w:r>
          </w:p>
          <w:p w14:paraId="53FB952D" w14:textId="77777777" w:rsidR="000B0676" w:rsidRPr="00813C0A" w:rsidRDefault="00531F4A" w:rsidP="000B0676">
            <w:pPr>
              <w:spacing w:after="0" w:line="240" w:lineRule="auto"/>
              <w:jc w:val="right"/>
              <w:rPr>
                <w:rFonts w:ascii="Gotham Pro LT" w:hAnsi="Gotham Pro LT" w:cs="Gotham Pro LT"/>
                <w:sz w:val="21"/>
                <w:szCs w:val="21"/>
              </w:rPr>
            </w:pPr>
            <w:hyperlink r:id="rId12" w:history="1">
              <w:r w:rsidR="000B0676" w:rsidRPr="00813C0A">
                <w:rPr>
                  <w:rStyle w:val="Hyperlink"/>
                  <w:rFonts w:ascii="Gotham Pro LT" w:hAnsi="Gotham Pro LT" w:cs="Gotham Pro LT"/>
                  <w:color w:val="auto"/>
                  <w:sz w:val="21"/>
                  <w:szCs w:val="21"/>
                </w:rPr>
                <w:t>Egita.Skibele@fm.gov.lv</w:t>
              </w:r>
            </w:hyperlink>
          </w:p>
          <w:p w14:paraId="017A6DEF" w14:textId="77777777" w:rsidR="0026216F" w:rsidRPr="00813C0A" w:rsidRDefault="00531F4A" w:rsidP="001D43EA">
            <w:pPr>
              <w:spacing w:after="0" w:line="240" w:lineRule="auto"/>
              <w:jc w:val="right"/>
              <w:rPr>
                <w:rFonts w:ascii="Gotham Pro LT" w:eastAsia="Times New Roman" w:hAnsi="Gotham Pro LT" w:cs="Gotham Pro LT"/>
                <w:sz w:val="21"/>
                <w:szCs w:val="21"/>
              </w:rPr>
            </w:pPr>
            <w:hyperlink r:id="rId13" w:history="1">
              <w:r w:rsidR="000B0676" w:rsidRPr="00813C0A">
                <w:rPr>
                  <w:rStyle w:val="Hyperlink"/>
                  <w:rFonts w:ascii="Gotham Pro LT" w:eastAsia="Times New Roman" w:hAnsi="Gotham Pro LT" w:cs="Gotham Pro LT"/>
                  <w:color w:val="auto"/>
                  <w:sz w:val="21"/>
                  <w:szCs w:val="21"/>
                </w:rPr>
                <w:t>Inese.Albova@fm.gov.lv</w:t>
              </w:r>
            </w:hyperlink>
          </w:p>
          <w:p w14:paraId="74D80D61" w14:textId="77777777" w:rsidR="00047D91" w:rsidRPr="00813C0A" w:rsidRDefault="00047D91" w:rsidP="001D43EA">
            <w:pPr>
              <w:spacing w:after="0" w:line="240" w:lineRule="auto"/>
              <w:jc w:val="right"/>
              <w:rPr>
                <w:rFonts w:ascii="Gotham Pro LT" w:eastAsia="Times New Roman" w:hAnsi="Gotham Pro LT" w:cs="Gotham Pro LT"/>
                <w:b/>
                <w:bCs/>
                <w:sz w:val="21"/>
                <w:szCs w:val="21"/>
              </w:rPr>
            </w:pPr>
          </w:p>
          <w:p w14:paraId="5F801D25" w14:textId="701871F1" w:rsidR="0026216F" w:rsidRPr="00813C0A" w:rsidRDefault="0026216F" w:rsidP="001D43EA">
            <w:pPr>
              <w:spacing w:after="0" w:line="240" w:lineRule="auto"/>
              <w:jc w:val="right"/>
              <w:rPr>
                <w:rFonts w:ascii="Gotham Pro LT" w:eastAsia="Times New Roman" w:hAnsi="Gotham Pro LT" w:cs="Gotham Pro LT"/>
                <w:b/>
                <w:bCs/>
                <w:sz w:val="21"/>
                <w:szCs w:val="21"/>
              </w:rPr>
            </w:pPr>
            <w:r w:rsidRPr="00813C0A">
              <w:rPr>
                <w:rFonts w:ascii="Gotham Pro LT" w:eastAsia="Times New Roman" w:hAnsi="Gotham Pro LT" w:cs="Gotham Pro LT"/>
                <w:b/>
                <w:bCs/>
                <w:sz w:val="21"/>
                <w:szCs w:val="21"/>
              </w:rPr>
              <w:t xml:space="preserve">Valsts kancelejai </w:t>
            </w:r>
          </w:p>
          <w:p w14:paraId="4E4A4615" w14:textId="16A78A25" w:rsidR="00D07E80" w:rsidRPr="00813C0A" w:rsidRDefault="00531F4A" w:rsidP="001D43EA">
            <w:pPr>
              <w:spacing w:after="0" w:line="240" w:lineRule="auto"/>
              <w:jc w:val="right"/>
              <w:rPr>
                <w:rFonts w:ascii="Gotham Pro LT" w:eastAsia="Times New Roman" w:hAnsi="Gotham Pro LT" w:cs="Gotham Pro LT"/>
                <w:b/>
                <w:sz w:val="21"/>
                <w:szCs w:val="21"/>
              </w:rPr>
            </w:pPr>
            <w:hyperlink r:id="rId14" w:history="1">
              <w:r w:rsidR="0026216F" w:rsidRPr="00813C0A">
                <w:rPr>
                  <w:rStyle w:val="Hyperlink"/>
                  <w:rFonts w:ascii="Gotham Pro LT" w:hAnsi="Gotham Pro LT" w:cs="Gotham Pro LT"/>
                  <w:color w:val="auto"/>
                  <w:sz w:val="21"/>
                  <w:szCs w:val="21"/>
                  <w:shd w:val="clear" w:color="auto" w:fill="FFFFFF"/>
                </w:rPr>
                <w:t>pasts@mk.gov.lv</w:t>
              </w:r>
            </w:hyperlink>
            <w:r w:rsidR="000B0676" w:rsidRPr="00813C0A">
              <w:rPr>
                <w:rFonts w:ascii="Gotham Pro LT" w:eastAsia="Times New Roman" w:hAnsi="Gotham Pro LT" w:cs="Gotham Pro LT"/>
                <w:b/>
                <w:sz w:val="21"/>
                <w:szCs w:val="21"/>
              </w:rPr>
              <w:t xml:space="preserve"> </w:t>
            </w:r>
          </w:p>
        </w:tc>
      </w:tr>
    </w:tbl>
    <w:p w14:paraId="698BB00E" w14:textId="77777777" w:rsidR="00047D91" w:rsidRPr="00813C0A" w:rsidRDefault="00047D91">
      <w:pPr>
        <w:rPr>
          <w:rFonts w:ascii="Gotham Pro LT" w:hAnsi="Gotham Pro LT" w:cs="Gotham Pro LT"/>
          <w:b/>
          <w:bCs/>
          <w:i/>
          <w:iCs/>
          <w:color w:val="000000"/>
          <w:sz w:val="21"/>
          <w:szCs w:val="21"/>
        </w:rPr>
      </w:pPr>
    </w:p>
    <w:p w14:paraId="25FCDCE2" w14:textId="4085D6BC" w:rsidR="000B0676" w:rsidRPr="00813C0A" w:rsidRDefault="000B0676">
      <w:pPr>
        <w:rPr>
          <w:rFonts w:ascii="Gotham Pro LT" w:hAnsi="Gotham Pro LT" w:cs="Gotham Pro LT"/>
          <w:b/>
          <w:bCs/>
          <w:i/>
          <w:iCs/>
          <w:sz w:val="21"/>
          <w:szCs w:val="21"/>
        </w:rPr>
      </w:pPr>
      <w:r w:rsidRPr="00813C0A">
        <w:rPr>
          <w:rFonts w:ascii="Gotham Pro LT" w:hAnsi="Gotham Pro LT" w:cs="Gotham Pro LT"/>
          <w:b/>
          <w:bCs/>
          <w:i/>
          <w:iCs/>
          <w:color w:val="000000"/>
          <w:sz w:val="21"/>
          <w:szCs w:val="21"/>
        </w:rPr>
        <w:t>Par informatīvā ziņojuma projektu “Par Sauszemes transportlīdzekļu īpašnieku civiltiesiskās atbildības obligātās apdrošināšanas likuma 14.pantā noteiktā tiesiskā regulējuma izvērtējumu”</w:t>
      </w:r>
    </w:p>
    <w:p w14:paraId="36CDDBE0" w14:textId="2EEDE70C" w:rsidR="000B0676" w:rsidRPr="00813C0A" w:rsidRDefault="000B0676" w:rsidP="000B0676">
      <w:pPr>
        <w:pStyle w:val="xxxmsonormal"/>
        <w:shd w:val="clear" w:color="auto" w:fill="FFFFFF"/>
        <w:rPr>
          <w:rFonts w:ascii="Gotham Pro LT" w:hAnsi="Gotham Pro LT" w:cs="Gotham Pro LT"/>
          <w:color w:val="000000"/>
          <w:sz w:val="21"/>
          <w:szCs w:val="21"/>
        </w:rPr>
      </w:pPr>
      <w:r w:rsidRPr="00813C0A">
        <w:rPr>
          <w:rFonts w:ascii="Gotham Pro LT" w:hAnsi="Gotham Pro LT" w:cs="Gotham Pro LT"/>
          <w:color w:val="000000"/>
          <w:sz w:val="21"/>
          <w:szCs w:val="21"/>
        </w:rPr>
        <w:t>Labdien!</w:t>
      </w:r>
    </w:p>
    <w:p w14:paraId="1278F473" w14:textId="77777777" w:rsidR="000B0676" w:rsidRPr="00813C0A" w:rsidRDefault="000B0676" w:rsidP="000B0676">
      <w:pPr>
        <w:pStyle w:val="xxxmsonormal"/>
        <w:shd w:val="clear" w:color="auto" w:fill="FFFFFF"/>
        <w:rPr>
          <w:rFonts w:ascii="Gotham Pro LT" w:hAnsi="Gotham Pro LT" w:cs="Gotham Pro LT"/>
          <w:color w:val="000000"/>
          <w:sz w:val="21"/>
          <w:szCs w:val="21"/>
        </w:rPr>
      </w:pPr>
    </w:p>
    <w:p w14:paraId="45468B9C" w14:textId="6EAEB896" w:rsidR="000B0676" w:rsidRPr="00813C0A" w:rsidRDefault="000B0676" w:rsidP="000B0676">
      <w:pPr>
        <w:pStyle w:val="xxxmsonormal"/>
        <w:shd w:val="clear" w:color="auto" w:fill="FFFFFF"/>
        <w:ind w:firstLine="720"/>
        <w:jc w:val="both"/>
        <w:rPr>
          <w:rFonts w:ascii="Gotham Pro LT" w:hAnsi="Gotham Pro LT" w:cs="Gotham Pro LT"/>
          <w:color w:val="000000"/>
          <w:sz w:val="21"/>
          <w:szCs w:val="21"/>
        </w:rPr>
      </w:pPr>
      <w:r w:rsidRPr="00813C0A">
        <w:rPr>
          <w:rFonts w:ascii="Gotham Pro LT" w:hAnsi="Gotham Pro LT" w:cs="Gotham Pro LT"/>
          <w:color w:val="000000"/>
          <w:sz w:val="21"/>
          <w:szCs w:val="21"/>
        </w:rPr>
        <w:t>Atbildot uz Finanšu ministrijas 18.08.2021. e-pasta vēstuli un izvērtējot precizēto informatīvā ziņojuma projektu “Par Sauszemes transportlīdzekļu īpašnieku civiltiesiskās atbildības obligātās apdrošināšanas likuma 14.pantā noteiktā tiesiskā regulējuma izvērtējumu”</w:t>
      </w:r>
      <w:r w:rsidR="00E64FE2" w:rsidRPr="00813C0A">
        <w:rPr>
          <w:rFonts w:ascii="Gotham Pro LT" w:hAnsi="Gotham Pro LT" w:cs="Gotham Pro LT"/>
          <w:color w:val="000000"/>
          <w:sz w:val="21"/>
          <w:szCs w:val="21"/>
        </w:rPr>
        <w:t xml:space="preserve"> (turpmāk – informatīvā ziņojuma projekts)</w:t>
      </w:r>
      <w:r w:rsidRPr="00813C0A">
        <w:rPr>
          <w:rFonts w:ascii="Gotham Pro LT" w:hAnsi="Gotham Pro LT" w:cs="Gotham Pro LT"/>
          <w:color w:val="000000"/>
          <w:sz w:val="21"/>
          <w:szCs w:val="21"/>
        </w:rPr>
        <w:t>, tam pievienoto Ministru kabineta sēdes protokollēmuma projektu “Par informatīvo ziņojumu “Par Sauszemes transportlīdzekļu īpašnieku civiltiesiskās atbildības obligātās apdrošināšanas likuma 14.pantā noteiktā tiesiskā regulējuma izvērtējumu”</w:t>
      </w:r>
      <w:r w:rsidR="00E64FE2" w:rsidRPr="00813C0A">
        <w:rPr>
          <w:rFonts w:ascii="Gotham Pro LT" w:hAnsi="Gotham Pro LT" w:cs="Gotham Pro LT"/>
          <w:color w:val="000000"/>
          <w:sz w:val="21"/>
          <w:szCs w:val="21"/>
        </w:rPr>
        <w:t xml:space="preserve">” (turpmāk - protokollēmuma projekts) </w:t>
      </w:r>
      <w:r w:rsidRPr="00813C0A">
        <w:rPr>
          <w:rFonts w:ascii="Gotham Pro LT" w:hAnsi="Gotham Pro LT" w:cs="Gotham Pro LT"/>
          <w:color w:val="000000"/>
          <w:sz w:val="21"/>
          <w:szCs w:val="21"/>
        </w:rPr>
        <w:t>un izziņu par atzinumos sniegtajiem iebildumiem</w:t>
      </w:r>
      <w:r w:rsidR="002E79FD" w:rsidRPr="00813C0A">
        <w:rPr>
          <w:rFonts w:ascii="Gotham Pro LT" w:hAnsi="Gotham Pro LT" w:cs="Gotham Pro LT"/>
          <w:color w:val="000000"/>
          <w:sz w:val="21"/>
          <w:szCs w:val="21"/>
        </w:rPr>
        <w:t xml:space="preserve">, </w:t>
      </w:r>
      <w:r w:rsidR="002E79FD" w:rsidRPr="00813C0A">
        <w:rPr>
          <w:rFonts w:ascii="Gotham Pro LT" w:hAnsi="Gotham Pro LT" w:cs="Gotham Pro LT"/>
          <w:b/>
          <w:bCs/>
          <w:color w:val="000000"/>
          <w:sz w:val="21"/>
          <w:szCs w:val="21"/>
        </w:rPr>
        <w:t xml:space="preserve">biedrība “Latvijas Transportlīdzekļu apdrošinātāju birojs” </w:t>
      </w:r>
      <w:r w:rsidR="002E79FD" w:rsidRPr="00813C0A">
        <w:rPr>
          <w:rFonts w:ascii="Gotham Pro LT" w:hAnsi="Gotham Pro LT" w:cs="Gotham Pro LT"/>
          <w:color w:val="000000"/>
          <w:sz w:val="21"/>
          <w:szCs w:val="21"/>
        </w:rPr>
        <w:t>(turpmāk – LTAB)</w:t>
      </w:r>
      <w:r w:rsidR="005B23B3" w:rsidRPr="00813C0A">
        <w:rPr>
          <w:rFonts w:ascii="Gotham Pro LT" w:hAnsi="Gotham Pro LT" w:cs="Gotham Pro LT"/>
          <w:color w:val="000000"/>
          <w:sz w:val="21"/>
          <w:szCs w:val="21"/>
        </w:rPr>
        <w:t xml:space="preserve">, </w:t>
      </w:r>
      <w:r w:rsidR="005B23B3" w:rsidRPr="00813C0A">
        <w:rPr>
          <w:rFonts w:ascii="Gotham Pro LT" w:hAnsi="Gotham Pro LT" w:cs="Gotham Pro LT"/>
          <w:sz w:val="21"/>
          <w:szCs w:val="21"/>
        </w:rPr>
        <w:t xml:space="preserve">kas saskaņā ar </w:t>
      </w:r>
      <w:r w:rsidR="005B23B3" w:rsidRPr="00813C0A">
        <w:rPr>
          <w:rFonts w:ascii="Gotham Pro LT" w:hAnsi="Gotham Pro LT" w:cs="Gotham Pro LT"/>
          <w:sz w:val="21"/>
          <w:szCs w:val="21"/>
          <w:shd w:val="clear" w:color="auto" w:fill="FFFFFF"/>
        </w:rPr>
        <w:t>Sauszemes transportlīdzekļu īpašnieku civiltiesiskās atbildības obligātās apdrošināšanas (turpmāk – OCTA) likuma 43.panta pirmo daļu ir atbildīga par OCTA sistēmas sekmīgu darbību valstī atbilstoši savam darbības mērķim un uzdevumiem un kurai ar likumu ir noteiktas tiesības sniegt priekšlikumus jautājumos, kas saistīti ar OCTA,</w:t>
      </w:r>
      <w:r w:rsidR="002E79FD" w:rsidRPr="00813C0A">
        <w:rPr>
          <w:rFonts w:ascii="Gotham Pro LT" w:hAnsi="Gotham Pro LT" w:cs="Gotham Pro LT"/>
          <w:b/>
          <w:bCs/>
          <w:color w:val="000000"/>
          <w:sz w:val="21"/>
          <w:szCs w:val="21"/>
        </w:rPr>
        <w:t xml:space="preserve"> uztur spēkā LTAB  04.08.2021. atzinumā Nr.07/02-16/78 “Par informatīvā ziņojuma saskaņošanu” </w:t>
      </w:r>
      <w:r w:rsidR="00E64FE2" w:rsidRPr="00813C0A">
        <w:rPr>
          <w:rFonts w:ascii="Gotham Pro LT" w:hAnsi="Gotham Pro LT" w:cs="Gotham Pro LT"/>
          <w:b/>
          <w:bCs/>
          <w:color w:val="000000"/>
          <w:sz w:val="21"/>
          <w:szCs w:val="21"/>
        </w:rPr>
        <w:t>izteiktos iebildumus</w:t>
      </w:r>
      <w:r w:rsidR="00241ABD" w:rsidRPr="00813C0A">
        <w:rPr>
          <w:rFonts w:ascii="Gotham Pro LT" w:hAnsi="Gotham Pro LT" w:cs="Gotham Pro LT"/>
          <w:b/>
          <w:bCs/>
          <w:color w:val="000000"/>
          <w:sz w:val="21"/>
          <w:szCs w:val="21"/>
        </w:rPr>
        <w:t xml:space="preserve"> </w:t>
      </w:r>
      <w:r w:rsidR="00241ABD" w:rsidRPr="00813C0A">
        <w:rPr>
          <w:rFonts w:ascii="Gotham Pro LT" w:hAnsi="Gotham Pro LT" w:cs="Gotham Pro LT"/>
          <w:color w:val="000000"/>
          <w:sz w:val="21"/>
          <w:szCs w:val="21"/>
        </w:rPr>
        <w:t>(</w:t>
      </w:r>
      <w:r w:rsidR="00241ABD" w:rsidRPr="00813C0A">
        <w:rPr>
          <w:rFonts w:ascii="Gotham Pro LT" w:hAnsi="Gotham Pro LT" w:cs="Gotham Pro LT"/>
          <w:i/>
          <w:iCs/>
          <w:color w:val="000000"/>
          <w:sz w:val="21"/>
          <w:szCs w:val="21"/>
        </w:rPr>
        <w:t>lūdzu skatīt 1.pielikumu</w:t>
      </w:r>
      <w:r w:rsidR="00241ABD" w:rsidRPr="00813C0A">
        <w:rPr>
          <w:rFonts w:ascii="Gotham Pro LT" w:hAnsi="Gotham Pro LT" w:cs="Gotham Pro LT"/>
          <w:color w:val="000000"/>
          <w:sz w:val="21"/>
          <w:szCs w:val="21"/>
        </w:rPr>
        <w:t>)</w:t>
      </w:r>
      <w:r w:rsidR="00E64FE2" w:rsidRPr="00813C0A">
        <w:rPr>
          <w:rFonts w:ascii="Gotham Pro LT" w:hAnsi="Gotham Pro LT" w:cs="Gotham Pro LT"/>
          <w:color w:val="000000"/>
          <w:sz w:val="21"/>
          <w:szCs w:val="21"/>
        </w:rPr>
        <w:t xml:space="preserve">. </w:t>
      </w:r>
    </w:p>
    <w:p w14:paraId="3E1C1E9F" w14:textId="77777777" w:rsidR="00AF48BA" w:rsidRPr="00813C0A" w:rsidRDefault="00AF48BA" w:rsidP="000B0676">
      <w:pPr>
        <w:pStyle w:val="xxxmsonormal"/>
        <w:shd w:val="clear" w:color="auto" w:fill="FFFFFF"/>
        <w:ind w:firstLine="720"/>
        <w:jc w:val="both"/>
        <w:rPr>
          <w:rFonts w:ascii="Gotham Pro LT" w:hAnsi="Gotham Pro LT" w:cs="Gotham Pro LT"/>
          <w:color w:val="000000"/>
          <w:sz w:val="21"/>
          <w:szCs w:val="21"/>
        </w:rPr>
      </w:pPr>
    </w:p>
    <w:p w14:paraId="14E1239C" w14:textId="534D774C" w:rsidR="00E64FE2" w:rsidRPr="00813C0A" w:rsidRDefault="0026216F" w:rsidP="00E840D6">
      <w:pPr>
        <w:pStyle w:val="xxxmsonormal"/>
        <w:shd w:val="clear" w:color="auto" w:fill="FFFFFF"/>
        <w:ind w:firstLine="720"/>
        <w:jc w:val="both"/>
        <w:rPr>
          <w:rFonts w:ascii="Gotham Pro LT" w:hAnsi="Gotham Pro LT" w:cs="Gotham Pro LT"/>
          <w:b/>
          <w:bCs/>
          <w:color w:val="000000"/>
          <w:sz w:val="21"/>
          <w:szCs w:val="21"/>
        </w:rPr>
      </w:pPr>
      <w:r w:rsidRPr="00813C0A">
        <w:rPr>
          <w:rFonts w:ascii="Gotham Pro LT" w:hAnsi="Gotham Pro LT" w:cs="Gotham Pro LT"/>
          <w:b/>
          <w:bCs/>
          <w:color w:val="000000"/>
          <w:sz w:val="21"/>
          <w:szCs w:val="21"/>
        </w:rPr>
        <w:t xml:space="preserve">Papildus jau iepriekš izteiktajiem iebildumiem </w:t>
      </w:r>
      <w:r w:rsidR="00E64FE2" w:rsidRPr="00813C0A">
        <w:rPr>
          <w:rFonts w:ascii="Gotham Pro LT" w:hAnsi="Gotham Pro LT" w:cs="Gotham Pro LT"/>
          <w:b/>
          <w:bCs/>
          <w:color w:val="000000"/>
          <w:sz w:val="21"/>
          <w:szCs w:val="21"/>
        </w:rPr>
        <w:t>sniedzam šādus iebildumus:</w:t>
      </w:r>
    </w:p>
    <w:p w14:paraId="4E842D77" w14:textId="77777777" w:rsidR="00AF48BA" w:rsidRPr="00813C0A" w:rsidRDefault="00AF48BA" w:rsidP="00E840D6">
      <w:pPr>
        <w:pStyle w:val="xxxmsonormal"/>
        <w:shd w:val="clear" w:color="auto" w:fill="FFFFFF"/>
        <w:ind w:firstLine="720"/>
        <w:jc w:val="both"/>
        <w:rPr>
          <w:rFonts w:ascii="Gotham Pro LT" w:hAnsi="Gotham Pro LT" w:cs="Gotham Pro LT"/>
          <w:b/>
          <w:bCs/>
          <w:color w:val="000000"/>
          <w:sz w:val="21"/>
          <w:szCs w:val="21"/>
        </w:rPr>
      </w:pPr>
    </w:p>
    <w:p w14:paraId="238C6A0C" w14:textId="73094D26" w:rsidR="00E64FE2" w:rsidRPr="00813C0A" w:rsidRDefault="00E41F11" w:rsidP="00AF48BA">
      <w:pPr>
        <w:pStyle w:val="ListParagraph"/>
        <w:numPr>
          <w:ilvl w:val="0"/>
          <w:numId w:val="2"/>
        </w:numPr>
        <w:spacing w:after="0" w:line="240" w:lineRule="auto"/>
        <w:ind w:left="0" w:firstLine="709"/>
        <w:jc w:val="both"/>
        <w:rPr>
          <w:rFonts w:ascii="Gotham Pro LT" w:eastAsia="Times New Roman" w:hAnsi="Gotham Pro LT" w:cs="Gotham Pro LT"/>
          <w:color w:val="000000" w:themeColor="text1"/>
          <w:sz w:val="21"/>
          <w:szCs w:val="21"/>
          <w:lang w:eastAsia="en-GB"/>
        </w:rPr>
      </w:pPr>
      <w:r w:rsidRPr="00813C0A">
        <w:rPr>
          <w:rFonts w:ascii="Gotham Pro LT" w:hAnsi="Gotham Pro LT" w:cs="Gotham Pro LT"/>
          <w:color w:val="000000"/>
          <w:sz w:val="21"/>
          <w:szCs w:val="21"/>
        </w:rPr>
        <w:t>Informatīvā ziņojuma projekta 7.sadaļa “</w:t>
      </w:r>
      <w:r w:rsidR="00E64FE2" w:rsidRPr="00813C0A">
        <w:rPr>
          <w:rFonts w:ascii="Gotham Pro LT" w:eastAsia="Times New Roman" w:hAnsi="Gotham Pro LT" w:cs="Gotham Pro LT"/>
          <w:color w:val="000000" w:themeColor="text1"/>
          <w:sz w:val="21"/>
          <w:szCs w:val="21"/>
          <w:lang w:eastAsia="en-GB"/>
        </w:rPr>
        <w:t>Apdrošināšanas prēmijas samazinājuma iespējamas pārskatīšanas finansiālā ietekme uz Garantijas fondu</w:t>
      </w:r>
      <w:r w:rsidRPr="00813C0A">
        <w:rPr>
          <w:rFonts w:ascii="Gotham Pro LT" w:eastAsia="Times New Roman" w:hAnsi="Gotham Pro LT" w:cs="Gotham Pro LT"/>
          <w:color w:val="000000" w:themeColor="text1"/>
          <w:sz w:val="21"/>
          <w:szCs w:val="21"/>
          <w:lang w:eastAsia="en-GB"/>
        </w:rPr>
        <w:t>” norādīti trīs iespējamie rīcības scenāriji</w:t>
      </w:r>
      <w:r w:rsidR="00D47922" w:rsidRPr="00813C0A">
        <w:rPr>
          <w:rFonts w:ascii="Gotham Pro LT" w:eastAsia="Times New Roman" w:hAnsi="Gotham Pro LT" w:cs="Gotham Pro LT"/>
          <w:color w:val="000000" w:themeColor="text1"/>
          <w:sz w:val="21"/>
          <w:szCs w:val="21"/>
          <w:lang w:eastAsia="en-GB"/>
        </w:rPr>
        <w:t xml:space="preserve"> </w:t>
      </w:r>
      <w:r w:rsidRPr="00813C0A">
        <w:rPr>
          <w:rFonts w:ascii="Gotham Pro LT" w:eastAsia="Times New Roman" w:hAnsi="Gotham Pro LT" w:cs="Gotham Pro LT"/>
          <w:color w:val="000000" w:themeColor="text1"/>
          <w:sz w:val="21"/>
          <w:szCs w:val="21"/>
          <w:lang w:eastAsia="en-GB"/>
        </w:rPr>
        <w:t xml:space="preserve">atbilstoši LTAB izvērtējumam. Vēršam uzmanību, ka nevaram piekrist šajā sadaļā minētajam, jo </w:t>
      </w:r>
      <w:r w:rsidRPr="00813C0A">
        <w:rPr>
          <w:rFonts w:ascii="Gotham Pro LT" w:eastAsia="Times New Roman" w:hAnsi="Gotham Pro LT" w:cs="Gotham Pro LT"/>
          <w:b/>
          <w:bCs/>
          <w:color w:val="000000" w:themeColor="text1"/>
          <w:sz w:val="21"/>
          <w:szCs w:val="21"/>
          <w:lang w:eastAsia="en-GB"/>
        </w:rPr>
        <w:t xml:space="preserve">LTAB piedāvāja </w:t>
      </w:r>
      <w:r w:rsidR="00E840D6" w:rsidRPr="00813C0A">
        <w:rPr>
          <w:rFonts w:ascii="Gotham Pro LT" w:eastAsia="Times New Roman" w:hAnsi="Gotham Pro LT" w:cs="Gotham Pro LT"/>
          <w:b/>
          <w:bCs/>
          <w:color w:val="000000" w:themeColor="text1"/>
          <w:sz w:val="21"/>
          <w:szCs w:val="21"/>
          <w:lang w:eastAsia="en-GB"/>
        </w:rPr>
        <w:t xml:space="preserve">citus </w:t>
      </w:r>
      <w:r w:rsidRPr="00813C0A">
        <w:rPr>
          <w:rFonts w:ascii="Gotham Pro LT" w:eastAsia="Times New Roman" w:hAnsi="Gotham Pro LT" w:cs="Gotham Pro LT"/>
          <w:b/>
          <w:bCs/>
          <w:color w:val="000000" w:themeColor="text1"/>
          <w:sz w:val="21"/>
          <w:szCs w:val="21"/>
          <w:lang w:eastAsia="en-GB"/>
        </w:rPr>
        <w:t>rīcības modeļus</w:t>
      </w:r>
      <w:r w:rsidR="00E840D6" w:rsidRPr="00813C0A">
        <w:rPr>
          <w:rFonts w:ascii="Gotham Pro LT" w:eastAsia="Times New Roman" w:hAnsi="Gotham Pro LT" w:cs="Gotham Pro LT"/>
          <w:b/>
          <w:bCs/>
          <w:color w:val="000000" w:themeColor="text1"/>
          <w:sz w:val="21"/>
          <w:szCs w:val="21"/>
          <w:lang w:eastAsia="en-GB"/>
        </w:rPr>
        <w:t xml:space="preserve">, </w:t>
      </w:r>
      <w:r w:rsidRPr="00813C0A">
        <w:rPr>
          <w:rFonts w:ascii="Gotham Pro LT" w:eastAsia="Times New Roman" w:hAnsi="Gotham Pro LT" w:cs="Gotham Pro LT"/>
          <w:b/>
          <w:bCs/>
          <w:color w:val="000000" w:themeColor="text1"/>
          <w:sz w:val="21"/>
          <w:szCs w:val="21"/>
          <w:lang w:eastAsia="en-GB"/>
        </w:rPr>
        <w:t>detalizētu skaidrojumu</w:t>
      </w:r>
      <w:r w:rsidR="00E840D6" w:rsidRPr="00813C0A">
        <w:rPr>
          <w:rFonts w:ascii="Gotham Pro LT" w:eastAsia="Times New Roman" w:hAnsi="Gotham Pro LT" w:cs="Gotham Pro LT"/>
          <w:b/>
          <w:bCs/>
          <w:color w:val="000000" w:themeColor="text1"/>
          <w:sz w:val="21"/>
          <w:szCs w:val="21"/>
          <w:lang w:eastAsia="en-GB"/>
        </w:rPr>
        <w:t xml:space="preserve"> katram no šiem rīcības modeļiem un priekšlikumus grozījumiem </w:t>
      </w:r>
      <w:r w:rsidR="005B23B3" w:rsidRPr="00813C0A">
        <w:rPr>
          <w:rFonts w:ascii="Gotham Pro LT" w:hAnsi="Gotham Pro LT" w:cs="Gotham Pro LT"/>
          <w:b/>
          <w:bCs/>
          <w:color w:val="000000"/>
          <w:sz w:val="21"/>
          <w:szCs w:val="21"/>
        </w:rPr>
        <w:t>OCTA</w:t>
      </w:r>
      <w:r w:rsidR="00E840D6" w:rsidRPr="00813C0A">
        <w:rPr>
          <w:rFonts w:ascii="Gotham Pro LT" w:hAnsi="Gotham Pro LT" w:cs="Gotham Pro LT"/>
          <w:b/>
          <w:bCs/>
          <w:color w:val="000000"/>
          <w:sz w:val="21"/>
          <w:szCs w:val="21"/>
        </w:rPr>
        <w:t xml:space="preserve"> likumā</w:t>
      </w:r>
      <w:r w:rsidR="00E840D6" w:rsidRPr="00813C0A">
        <w:rPr>
          <w:rFonts w:ascii="Gotham Pro LT" w:hAnsi="Gotham Pro LT" w:cs="Gotham Pro LT"/>
          <w:color w:val="000000"/>
          <w:sz w:val="21"/>
          <w:szCs w:val="21"/>
        </w:rPr>
        <w:t xml:space="preserve">, bet </w:t>
      </w:r>
      <w:r w:rsidR="00D47922" w:rsidRPr="00813C0A">
        <w:rPr>
          <w:rFonts w:ascii="Gotham Pro LT" w:hAnsi="Gotham Pro LT" w:cs="Gotham Pro LT"/>
          <w:color w:val="000000"/>
          <w:sz w:val="21"/>
          <w:szCs w:val="21"/>
        </w:rPr>
        <w:t>tas</w:t>
      </w:r>
      <w:r w:rsidR="00E840D6" w:rsidRPr="00813C0A">
        <w:rPr>
          <w:rFonts w:ascii="Gotham Pro LT" w:hAnsi="Gotham Pro LT" w:cs="Gotham Pro LT"/>
          <w:color w:val="000000"/>
          <w:sz w:val="21"/>
          <w:szCs w:val="21"/>
        </w:rPr>
        <w:t xml:space="preserve"> </w:t>
      </w:r>
      <w:r w:rsidRPr="00813C0A">
        <w:rPr>
          <w:rFonts w:ascii="Gotham Pro LT" w:eastAsia="Times New Roman" w:hAnsi="Gotham Pro LT" w:cs="Gotham Pro LT"/>
          <w:color w:val="000000" w:themeColor="text1"/>
          <w:sz w:val="21"/>
          <w:szCs w:val="21"/>
          <w:lang w:eastAsia="en-GB"/>
        </w:rPr>
        <w:t>netiek atspoguļots i</w:t>
      </w:r>
      <w:r w:rsidRPr="00813C0A">
        <w:rPr>
          <w:rFonts w:ascii="Gotham Pro LT" w:hAnsi="Gotham Pro LT" w:cs="Gotham Pro LT"/>
          <w:color w:val="000000"/>
          <w:sz w:val="21"/>
          <w:szCs w:val="21"/>
        </w:rPr>
        <w:t>nformatīvā ziņojuma projektā</w:t>
      </w:r>
      <w:r w:rsidR="00D47922" w:rsidRPr="00813C0A">
        <w:rPr>
          <w:rFonts w:ascii="Gotham Pro LT" w:hAnsi="Gotham Pro LT" w:cs="Gotham Pro LT"/>
          <w:color w:val="000000"/>
          <w:sz w:val="21"/>
          <w:szCs w:val="21"/>
        </w:rPr>
        <w:t xml:space="preserve"> (</w:t>
      </w:r>
      <w:r w:rsidR="00D47922" w:rsidRPr="00813C0A">
        <w:rPr>
          <w:rFonts w:ascii="Gotham Pro LT" w:hAnsi="Gotham Pro LT" w:cs="Gotham Pro LT"/>
          <w:i/>
          <w:iCs/>
          <w:color w:val="000000"/>
          <w:sz w:val="21"/>
          <w:szCs w:val="21"/>
        </w:rPr>
        <w:t xml:space="preserve">lūdzu skatīt </w:t>
      </w:r>
      <w:r w:rsidR="00CC09B7" w:rsidRPr="00813C0A">
        <w:rPr>
          <w:rFonts w:ascii="Gotham Pro LT" w:hAnsi="Gotham Pro LT" w:cs="Gotham Pro LT"/>
          <w:i/>
          <w:iCs/>
          <w:color w:val="000000"/>
          <w:sz w:val="21"/>
          <w:szCs w:val="21"/>
        </w:rPr>
        <w:t>2</w:t>
      </w:r>
      <w:r w:rsidR="00D47922" w:rsidRPr="00813C0A">
        <w:rPr>
          <w:rFonts w:ascii="Gotham Pro LT" w:hAnsi="Gotham Pro LT" w:cs="Gotham Pro LT"/>
          <w:i/>
          <w:iCs/>
          <w:color w:val="000000"/>
          <w:sz w:val="21"/>
          <w:szCs w:val="21"/>
        </w:rPr>
        <w:t xml:space="preserve">.pielikumā LTAB </w:t>
      </w:r>
      <w:r w:rsidR="00D47922" w:rsidRPr="00813C0A">
        <w:rPr>
          <w:rFonts w:ascii="Gotham Pro LT" w:hAnsi="Gotham Pro LT" w:cs="Gotham Pro LT"/>
          <w:i/>
          <w:iCs/>
          <w:sz w:val="21"/>
          <w:szCs w:val="21"/>
        </w:rPr>
        <w:t xml:space="preserve">piedāvātos risinājumus – rīcības modeļus turpmākajai rīcībai un priekšlikumus </w:t>
      </w:r>
      <w:r w:rsidR="00D47922" w:rsidRPr="00813C0A">
        <w:rPr>
          <w:rFonts w:ascii="Gotham Pro LT" w:hAnsi="Gotham Pro LT" w:cs="Gotham Pro LT"/>
          <w:i/>
          <w:iCs/>
          <w:sz w:val="21"/>
          <w:szCs w:val="21"/>
        </w:rPr>
        <w:lastRenderedPageBreak/>
        <w:t>grozījumiem OCTA likumā</w:t>
      </w:r>
      <w:r w:rsidR="00D47922" w:rsidRPr="00813C0A">
        <w:rPr>
          <w:rFonts w:ascii="Gotham Pro LT" w:hAnsi="Gotham Pro LT" w:cs="Gotham Pro LT"/>
          <w:sz w:val="21"/>
          <w:szCs w:val="21"/>
        </w:rPr>
        <w:t xml:space="preserve">). Līdz ar to </w:t>
      </w:r>
      <w:r w:rsidR="00D47922" w:rsidRPr="00813C0A">
        <w:rPr>
          <w:rFonts w:ascii="Gotham Pro LT" w:hAnsi="Gotham Pro LT" w:cs="Gotham Pro LT"/>
          <w:b/>
          <w:bCs/>
          <w:sz w:val="21"/>
          <w:szCs w:val="21"/>
        </w:rPr>
        <w:t xml:space="preserve">informatīvā ziņojuma </w:t>
      </w:r>
      <w:r w:rsidR="00D47922" w:rsidRPr="00813C0A">
        <w:rPr>
          <w:rFonts w:ascii="Gotham Pro LT" w:hAnsi="Gotham Pro LT" w:cs="Gotham Pro LT"/>
          <w:b/>
          <w:bCs/>
          <w:color w:val="000000"/>
          <w:sz w:val="21"/>
          <w:szCs w:val="21"/>
        </w:rPr>
        <w:t>7.sadaļa “</w:t>
      </w:r>
      <w:r w:rsidR="00D47922" w:rsidRPr="00813C0A">
        <w:rPr>
          <w:rFonts w:ascii="Gotham Pro LT" w:eastAsia="Times New Roman" w:hAnsi="Gotham Pro LT" w:cs="Gotham Pro LT"/>
          <w:b/>
          <w:bCs/>
          <w:color w:val="000000" w:themeColor="text1"/>
          <w:sz w:val="21"/>
          <w:szCs w:val="21"/>
          <w:lang w:eastAsia="en-GB"/>
        </w:rPr>
        <w:t>Apdrošināšanas prēmijas samazinājuma iespējamas pārskatīšanas finansiālā ietekme uz Garantijas fondu” precizējama  atbilstoši LTAB piedāvātajiem rīcības modeļiem vai attiecīgi izslēdzams šobrīd informatīvajā ziņojumā norādītais LTAB izvērtējums</w:t>
      </w:r>
      <w:r w:rsidR="00CC09B7" w:rsidRPr="00813C0A">
        <w:rPr>
          <w:rFonts w:ascii="Gotham Pro LT" w:eastAsia="Times New Roman" w:hAnsi="Gotham Pro LT" w:cs="Gotham Pro LT"/>
          <w:b/>
          <w:bCs/>
          <w:color w:val="000000" w:themeColor="text1"/>
          <w:sz w:val="21"/>
          <w:szCs w:val="21"/>
          <w:lang w:eastAsia="en-GB"/>
        </w:rPr>
        <w:t>, kas nesakrīt ar LTAB viedokli un piedāvātajiem risinājumiem</w:t>
      </w:r>
      <w:r w:rsidR="00D47922" w:rsidRPr="00813C0A">
        <w:rPr>
          <w:rFonts w:ascii="Gotham Pro LT" w:eastAsia="Times New Roman" w:hAnsi="Gotham Pro LT" w:cs="Gotham Pro LT"/>
          <w:b/>
          <w:bCs/>
          <w:color w:val="000000" w:themeColor="text1"/>
          <w:sz w:val="21"/>
          <w:szCs w:val="21"/>
          <w:lang w:eastAsia="en-GB"/>
        </w:rPr>
        <w:t>.</w:t>
      </w:r>
      <w:r w:rsidR="005B23B3" w:rsidRPr="00813C0A">
        <w:rPr>
          <w:rFonts w:ascii="Gotham Pro LT" w:eastAsia="Times New Roman" w:hAnsi="Gotham Pro LT" w:cs="Gotham Pro LT"/>
          <w:color w:val="000000" w:themeColor="text1"/>
          <w:sz w:val="21"/>
          <w:szCs w:val="21"/>
          <w:lang w:eastAsia="en-GB"/>
        </w:rPr>
        <w:t xml:space="preserve"> Uzskatām, ka LTAB piedāvātajiem rīcības modeļiem</w:t>
      </w:r>
      <w:r w:rsidR="0026216F" w:rsidRPr="00813C0A">
        <w:rPr>
          <w:rFonts w:ascii="Gotham Pro LT" w:eastAsia="Times New Roman" w:hAnsi="Gotham Pro LT" w:cs="Gotham Pro LT"/>
          <w:color w:val="000000" w:themeColor="text1"/>
          <w:sz w:val="21"/>
          <w:szCs w:val="21"/>
          <w:lang w:eastAsia="en-GB"/>
        </w:rPr>
        <w:t xml:space="preserve"> (</w:t>
      </w:r>
      <w:r w:rsidR="00CC09B7" w:rsidRPr="00813C0A">
        <w:rPr>
          <w:rFonts w:ascii="Gotham Pro LT" w:eastAsia="Times New Roman" w:hAnsi="Gotham Pro LT" w:cs="Gotham Pro LT"/>
          <w:i/>
          <w:iCs/>
          <w:color w:val="000000" w:themeColor="text1"/>
          <w:sz w:val="21"/>
          <w:szCs w:val="21"/>
          <w:lang w:eastAsia="en-GB"/>
        </w:rPr>
        <w:t>2</w:t>
      </w:r>
      <w:r w:rsidR="0026216F" w:rsidRPr="00813C0A">
        <w:rPr>
          <w:rFonts w:ascii="Gotham Pro LT" w:eastAsia="Times New Roman" w:hAnsi="Gotham Pro LT" w:cs="Gotham Pro LT"/>
          <w:i/>
          <w:iCs/>
          <w:color w:val="000000" w:themeColor="text1"/>
          <w:sz w:val="21"/>
          <w:szCs w:val="21"/>
          <w:lang w:eastAsia="en-GB"/>
        </w:rPr>
        <w:t>.pielikums</w:t>
      </w:r>
      <w:r w:rsidR="0026216F" w:rsidRPr="00813C0A">
        <w:rPr>
          <w:rFonts w:ascii="Gotham Pro LT" w:eastAsia="Times New Roman" w:hAnsi="Gotham Pro LT" w:cs="Gotham Pro LT"/>
          <w:color w:val="000000" w:themeColor="text1"/>
          <w:sz w:val="21"/>
          <w:szCs w:val="21"/>
          <w:lang w:eastAsia="en-GB"/>
        </w:rPr>
        <w:t>)</w:t>
      </w:r>
      <w:r w:rsidR="002476FD" w:rsidRPr="00813C0A">
        <w:rPr>
          <w:rFonts w:ascii="Gotham Pro LT" w:eastAsia="Times New Roman" w:hAnsi="Gotham Pro LT" w:cs="Gotham Pro LT"/>
          <w:color w:val="000000" w:themeColor="text1"/>
          <w:sz w:val="21"/>
          <w:szCs w:val="21"/>
          <w:lang w:eastAsia="en-GB"/>
        </w:rPr>
        <w:t xml:space="preserve"> tomēr </w:t>
      </w:r>
      <w:r w:rsidR="005B23B3" w:rsidRPr="00813C0A">
        <w:rPr>
          <w:rFonts w:ascii="Gotham Pro LT" w:eastAsia="Times New Roman" w:hAnsi="Gotham Pro LT" w:cs="Gotham Pro LT"/>
          <w:color w:val="000000" w:themeColor="text1"/>
          <w:sz w:val="21"/>
          <w:szCs w:val="21"/>
          <w:lang w:eastAsia="en-GB"/>
        </w:rPr>
        <w:t xml:space="preserve">būtu jāparādās informatīvajā ziņojumā (pašā tekstā vai tā pielikumos). </w:t>
      </w:r>
    </w:p>
    <w:p w14:paraId="767105A4" w14:textId="77777777" w:rsidR="00E41F11" w:rsidRPr="00813C0A" w:rsidRDefault="00E41F11" w:rsidP="00E840D6">
      <w:pPr>
        <w:pStyle w:val="ListParagraph"/>
        <w:spacing w:after="0" w:line="240" w:lineRule="auto"/>
        <w:ind w:left="1080"/>
        <w:jc w:val="both"/>
        <w:rPr>
          <w:rFonts w:ascii="Gotham Pro LT" w:eastAsia="Times New Roman" w:hAnsi="Gotham Pro LT" w:cs="Gotham Pro LT"/>
          <w:color w:val="000000" w:themeColor="text1"/>
          <w:sz w:val="21"/>
          <w:szCs w:val="21"/>
          <w:lang w:eastAsia="en-GB"/>
        </w:rPr>
      </w:pPr>
    </w:p>
    <w:p w14:paraId="2DE77478" w14:textId="582B5756" w:rsidR="0026216F" w:rsidRPr="00813C0A" w:rsidRDefault="00E64FE2" w:rsidP="00AF48BA">
      <w:pPr>
        <w:pStyle w:val="ListParagraph"/>
        <w:numPr>
          <w:ilvl w:val="0"/>
          <w:numId w:val="2"/>
        </w:numPr>
        <w:shd w:val="clear" w:color="auto" w:fill="FFFFFF"/>
        <w:spacing w:after="0" w:line="240" w:lineRule="auto"/>
        <w:ind w:left="0" w:firstLine="851"/>
        <w:jc w:val="both"/>
        <w:rPr>
          <w:rFonts w:ascii="Gotham Pro LT" w:eastAsia="Times New Roman" w:hAnsi="Gotham Pro LT" w:cs="Gotham Pro LT"/>
          <w:color w:val="000000" w:themeColor="text1"/>
          <w:sz w:val="21"/>
          <w:szCs w:val="21"/>
          <w:lang w:eastAsia="en-GB"/>
        </w:rPr>
      </w:pPr>
      <w:r w:rsidRPr="00813C0A">
        <w:rPr>
          <w:rFonts w:ascii="Gotham Pro LT" w:hAnsi="Gotham Pro LT" w:cs="Gotham Pro LT"/>
          <w:b/>
          <w:bCs/>
          <w:color w:val="000000"/>
          <w:sz w:val="21"/>
          <w:szCs w:val="21"/>
        </w:rPr>
        <w:t>Informatīvā ziņojuma projekta sadaļa “</w:t>
      </w:r>
      <w:r w:rsidRPr="00813C0A">
        <w:rPr>
          <w:rFonts w:ascii="Gotham Pro LT" w:eastAsia="Times New Roman" w:hAnsi="Gotham Pro LT" w:cs="Gotham Pro LT"/>
          <w:b/>
          <w:bCs/>
          <w:color w:val="000000" w:themeColor="text1"/>
          <w:sz w:val="21"/>
          <w:szCs w:val="21"/>
          <w:lang w:eastAsia="en-GB"/>
        </w:rPr>
        <w:t>Secinājumi un turpmākā rīcība” precizējama</w:t>
      </w:r>
      <w:r w:rsidRPr="00813C0A">
        <w:rPr>
          <w:rFonts w:ascii="Gotham Pro LT" w:eastAsia="Times New Roman" w:hAnsi="Gotham Pro LT" w:cs="Gotham Pro LT"/>
          <w:color w:val="000000" w:themeColor="text1"/>
          <w:sz w:val="21"/>
          <w:szCs w:val="21"/>
          <w:lang w:eastAsia="en-GB"/>
        </w:rPr>
        <w:t>,</w:t>
      </w:r>
      <w:r w:rsidR="00E840D6" w:rsidRPr="00813C0A">
        <w:rPr>
          <w:rFonts w:ascii="Gotham Pro LT" w:eastAsia="Times New Roman" w:hAnsi="Gotham Pro LT" w:cs="Gotham Pro LT"/>
          <w:color w:val="000000" w:themeColor="text1"/>
          <w:sz w:val="21"/>
          <w:szCs w:val="21"/>
          <w:lang w:eastAsia="en-GB"/>
        </w:rPr>
        <w:t xml:space="preserve"> jo </w:t>
      </w:r>
      <w:r w:rsidR="00E840D6" w:rsidRPr="00813C0A">
        <w:rPr>
          <w:rFonts w:ascii="Gotham Pro LT" w:hAnsi="Gotham Pro LT" w:cs="Gotham Pro LT"/>
          <w:sz w:val="21"/>
          <w:szCs w:val="21"/>
        </w:rPr>
        <w:t xml:space="preserve">izvērtējums par OCTA likuma 14.pantā noteikto tiesisko regulējumu attiecībā uz apdrošināšanas prēmijas maksājuma samazinājumu un iespējamo šā maksājuma samazinājuma pakāpenisku atcelšanu un turpmāko risinājumu nav atkarīgs no </w:t>
      </w:r>
      <w:r w:rsidR="00D47922" w:rsidRPr="00813C0A">
        <w:rPr>
          <w:rFonts w:ascii="Gotham Pro LT" w:hAnsi="Gotham Pro LT" w:cs="Gotham Pro LT"/>
          <w:sz w:val="21"/>
          <w:szCs w:val="21"/>
        </w:rPr>
        <w:t>OCTA likuma</w:t>
      </w:r>
      <w:r w:rsidR="00E840D6" w:rsidRPr="00813C0A">
        <w:rPr>
          <w:rFonts w:ascii="Gotham Pro LT" w:hAnsi="Gotham Pro LT" w:cs="Gotham Pro LT"/>
          <w:sz w:val="21"/>
          <w:szCs w:val="21"/>
        </w:rPr>
        <w:t xml:space="preserve"> grozījumu</w:t>
      </w:r>
      <w:r w:rsidR="00CC09B7" w:rsidRPr="00813C0A">
        <w:rPr>
          <w:rFonts w:ascii="Gotham Pro LT" w:hAnsi="Gotham Pro LT" w:cs="Gotham Pro LT"/>
          <w:sz w:val="21"/>
          <w:szCs w:val="21"/>
        </w:rPr>
        <w:t>, kas stājās spēkā 2021.gadā (12.01.2021. un 01.07.2021.),</w:t>
      </w:r>
      <w:r w:rsidR="00E840D6" w:rsidRPr="00813C0A">
        <w:rPr>
          <w:rFonts w:ascii="Gotham Pro LT" w:hAnsi="Gotham Pro LT" w:cs="Gotham Pro LT"/>
          <w:sz w:val="21"/>
          <w:szCs w:val="21"/>
        </w:rPr>
        <w:t xml:space="preserve"> finansiālās ietekmes izvērtējuma uz Garantijas fondu</w:t>
      </w:r>
      <w:r w:rsidR="00241ABD" w:rsidRPr="00813C0A">
        <w:rPr>
          <w:rFonts w:ascii="Gotham Pro LT" w:hAnsi="Gotham Pro LT" w:cs="Gotham Pro LT"/>
          <w:sz w:val="21"/>
          <w:szCs w:val="21"/>
        </w:rPr>
        <w:t xml:space="preserve"> un tā apmēru</w:t>
      </w:r>
      <w:r w:rsidR="00D47922" w:rsidRPr="00813C0A">
        <w:rPr>
          <w:rFonts w:ascii="Gotham Pro LT" w:hAnsi="Gotham Pro LT" w:cs="Gotham Pro LT"/>
          <w:sz w:val="21"/>
          <w:szCs w:val="21"/>
        </w:rPr>
        <w:t>.</w:t>
      </w:r>
      <w:r w:rsidR="00241ABD" w:rsidRPr="00813C0A">
        <w:rPr>
          <w:rFonts w:ascii="Gotham Pro LT" w:hAnsi="Gotham Pro LT" w:cs="Gotham Pro LT"/>
          <w:sz w:val="21"/>
          <w:szCs w:val="21"/>
        </w:rPr>
        <w:t xml:space="preserve"> Turklāt jāapzinās, ka liela daļa (ap 40-50%) no esošajiem Garantijas fonda līdzekļiem jau ir “rezervētās” Garantijas fonda saistības</w:t>
      </w:r>
      <w:r w:rsidR="00CC09B7" w:rsidRPr="00813C0A">
        <w:rPr>
          <w:rFonts w:ascii="Gotham Pro LT" w:hAnsi="Gotham Pro LT" w:cs="Gotham Pro LT"/>
          <w:sz w:val="21"/>
          <w:szCs w:val="21"/>
        </w:rPr>
        <w:t xml:space="preserve"> apdrošināšanas atlīdzības izmaksām ceļu satiksmes negadījumā cietušajām trešajām personām</w:t>
      </w:r>
      <w:r w:rsidR="00047D91" w:rsidRPr="00813C0A">
        <w:rPr>
          <w:rFonts w:ascii="Gotham Pro LT" w:hAnsi="Gotham Pro LT" w:cs="Gotham Pro LT"/>
          <w:sz w:val="21"/>
          <w:szCs w:val="21"/>
        </w:rPr>
        <w:t xml:space="preserve">, un papildu finansiālais slogs gaidāms nākotnē saistībā ar gaidāmajiem OCTA direktīvas (2009/103/EK) grozījumiem pārrobežu apdrošinātāju maksātnespējas gadījumos. Tomēr, gatavojot OCTA likuma 14.panta tiesiskā regulējuma izvērtējumu, nedrīkst aizmirst, ka Garantijas fonds tika izveidots pilnīgi citiem mērķiem (OCTA likuma 51.panta pirmā un otrā daļa) atbilstoši Latvijas starptautiskajām saistībām – apdrošināšanas atlīdzību izmaksām ceļu satiksmes negadījumā cietušajām personām, šo personu interešu aizsardzībai.  Līdz ar to </w:t>
      </w:r>
      <w:r w:rsidR="00CC09B7" w:rsidRPr="00813C0A">
        <w:rPr>
          <w:rFonts w:ascii="Gotham Pro LT" w:hAnsi="Gotham Pro LT" w:cs="Gotham Pro LT"/>
          <w:b/>
          <w:bCs/>
          <w:sz w:val="21"/>
          <w:szCs w:val="21"/>
        </w:rPr>
        <w:t>O</w:t>
      </w:r>
      <w:r w:rsidR="00D47922" w:rsidRPr="00813C0A">
        <w:rPr>
          <w:rFonts w:ascii="Gotham Pro LT" w:hAnsi="Gotham Pro LT" w:cs="Gotham Pro LT"/>
          <w:b/>
          <w:bCs/>
          <w:sz w:val="21"/>
          <w:szCs w:val="21"/>
        </w:rPr>
        <w:t xml:space="preserve">CTA likuma 14.pantā noteiktā  tiesiskā regulējuma izvērtējums jāveic, skatoties </w:t>
      </w:r>
      <w:r w:rsidR="005B23B3" w:rsidRPr="00813C0A">
        <w:rPr>
          <w:rFonts w:ascii="Gotham Pro LT" w:hAnsi="Gotham Pro LT" w:cs="Gotham Pro LT"/>
          <w:b/>
          <w:bCs/>
          <w:sz w:val="21"/>
          <w:szCs w:val="21"/>
        </w:rPr>
        <w:t>Garantijas fonda izveides mērķi un spēkā esošā regulējuma pirmsšķietamo atbilstību Satversmei</w:t>
      </w:r>
      <w:r w:rsidR="005B23B3" w:rsidRPr="00813C0A">
        <w:rPr>
          <w:rFonts w:ascii="Gotham Pro LT" w:hAnsi="Gotham Pro LT" w:cs="Gotham Pro LT"/>
          <w:sz w:val="21"/>
          <w:szCs w:val="21"/>
        </w:rPr>
        <w:t xml:space="preserve"> </w:t>
      </w:r>
      <w:r w:rsidR="00D47922" w:rsidRPr="00813C0A">
        <w:rPr>
          <w:rFonts w:ascii="Gotham Pro LT" w:hAnsi="Gotham Pro LT" w:cs="Gotham Pro LT"/>
          <w:sz w:val="21"/>
          <w:szCs w:val="21"/>
        </w:rPr>
        <w:t>(</w:t>
      </w:r>
      <w:r w:rsidR="00D47922" w:rsidRPr="00813C0A">
        <w:rPr>
          <w:rFonts w:ascii="Gotham Pro LT" w:hAnsi="Gotham Pro LT" w:cs="Gotham Pro LT"/>
          <w:i/>
          <w:iCs/>
          <w:color w:val="000000"/>
          <w:sz w:val="21"/>
          <w:szCs w:val="21"/>
        </w:rPr>
        <w:t xml:space="preserve">lūdzu skatīt </w:t>
      </w:r>
      <w:r w:rsidR="00CC09B7" w:rsidRPr="00813C0A">
        <w:rPr>
          <w:rFonts w:ascii="Gotham Pro LT" w:hAnsi="Gotham Pro LT" w:cs="Gotham Pro LT"/>
          <w:i/>
          <w:iCs/>
          <w:color w:val="000000"/>
          <w:sz w:val="21"/>
          <w:szCs w:val="21"/>
        </w:rPr>
        <w:t>3</w:t>
      </w:r>
      <w:r w:rsidR="00D47922" w:rsidRPr="00813C0A">
        <w:rPr>
          <w:rFonts w:ascii="Gotham Pro LT" w:hAnsi="Gotham Pro LT" w:cs="Gotham Pro LT"/>
          <w:i/>
          <w:iCs/>
          <w:color w:val="000000"/>
          <w:sz w:val="21"/>
          <w:szCs w:val="21"/>
        </w:rPr>
        <w:t>.pielikumā LTAB izvērtējumu</w:t>
      </w:r>
      <w:r w:rsidR="00D47922" w:rsidRPr="00813C0A">
        <w:rPr>
          <w:rFonts w:ascii="Gotham Pro LT" w:hAnsi="Gotham Pro LT" w:cs="Gotham Pro LT"/>
          <w:sz w:val="21"/>
          <w:szCs w:val="21"/>
        </w:rPr>
        <w:t>)</w:t>
      </w:r>
      <w:r w:rsidR="00174F24" w:rsidRPr="00813C0A">
        <w:rPr>
          <w:rFonts w:ascii="Gotham Pro LT" w:hAnsi="Gotham Pro LT" w:cs="Gotham Pro LT"/>
          <w:sz w:val="21"/>
          <w:szCs w:val="21"/>
        </w:rPr>
        <w:t>, kā arī Latvijai saistošajām starptautiskajām prasībām</w:t>
      </w:r>
      <w:r w:rsidR="00E840D6" w:rsidRPr="00813C0A">
        <w:rPr>
          <w:rFonts w:ascii="Gotham Pro LT" w:hAnsi="Gotham Pro LT" w:cs="Gotham Pro LT"/>
          <w:sz w:val="21"/>
          <w:szCs w:val="21"/>
        </w:rPr>
        <w:t xml:space="preserve">. </w:t>
      </w:r>
      <w:r w:rsidR="00174F24" w:rsidRPr="00813C0A">
        <w:rPr>
          <w:rFonts w:ascii="Gotham Pro LT" w:hAnsi="Gotham Pro LT" w:cs="Gotham Pro LT"/>
          <w:b/>
          <w:bCs/>
          <w:sz w:val="21"/>
          <w:szCs w:val="21"/>
        </w:rPr>
        <w:t>I</w:t>
      </w:r>
      <w:r w:rsidR="0026216F" w:rsidRPr="00813C0A">
        <w:rPr>
          <w:rFonts w:ascii="Gotham Pro LT" w:hAnsi="Gotham Pro LT" w:cs="Gotham Pro LT"/>
          <w:b/>
          <w:bCs/>
          <w:sz w:val="21"/>
          <w:szCs w:val="21"/>
        </w:rPr>
        <w:t>nformatīvā ziņojuma projekts nes</w:t>
      </w:r>
      <w:r w:rsidR="00174F24" w:rsidRPr="00813C0A">
        <w:rPr>
          <w:rFonts w:ascii="Gotham Pro LT" w:hAnsi="Gotham Pro LT" w:cs="Gotham Pro LT"/>
          <w:b/>
          <w:bCs/>
          <w:sz w:val="21"/>
          <w:szCs w:val="21"/>
        </w:rPr>
        <w:t>as</w:t>
      </w:r>
      <w:r w:rsidR="0026216F" w:rsidRPr="00813C0A">
        <w:rPr>
          <w:rFonts w:ascii="Gotham Pro LT" w:hAnsi="Gotham Pro LT" w:cs="Gotham Pro LT"/>
          <w:b/>
          <w:bCs/>
          <w:sz w:val="21"/>
          <w:szCs w:val="21"/>
        </w:rPr>
        <w:t>niedz</w:t>
      </w:r>
      <w:r w:rsidR="00174F24" w:rsidRPr="00813C0A">
        <w:rPr>
          <w:rFonts w:ascii="Gotham Pro LT" w:hAnsi="Gotham Pro LT" w:cs="Gotham Pro LT"/>
          <w:b/>
          <w:bCs/>
          <w:sz w:val="21"/>
          <w:szCs w:val="21"/>
        </w:rPr>
        <w:t xml:space="preserve"> ar</w:t>
      </w:r>
      <w:r w:rsidR="0026216F" w:rsidRPr="00813C0A">
        <w:rPr>
          <w:rFonts w:ascii="Gotham Pro LT" w:hAnsi="Gotham Pro LT" w:cs="Gotham Pro LT"/>
          <w:b/>
          <w:bCs/>
          <w:sz w:val="21"/>
          <w:szCs w:val="21"/>
        </w:rPr>
        <w:t xml:space="preserve"> OCTA likuma pārejas noteikumu 24.punkt</w:t>
      </w:r>
      <w:r w:rsidR="00174F24" w:rsidRPr="00813C0A">
        <w:rPr>
          <w:rFonts w:ascii="Gotham Pro LT" w:hAnsi="Gotham Pro LT" w:cs="Gotham Pro LT"/>
          <w:b/>
          <w:bCs/>
          <w:sz w:val="21"/>
          <w:szCs w:val="21"/>
        </w:rPr>
        <w:t>u</w:t>
      </w:r>
      <w:r w:rsidR="0026216F" w:rsidRPr="00813C0A">
        <w:rPr>
          <w:rFonts w:ascii="Gotham Pro LT" w:hAnsi="Gotham Pro LT" w:cs="Gotham Pro LT"/>
          <w:b/>
          <w:bCs/>
          <w:sz w:val="21"/>
          <w:szCs w:val="21"/>
        </w:rPr>
        <w:t xml:space="preserve"> Ministru kabinetam dotā uzdevuma </w:t>
      </w:r>
      <w:r w:rsidR="00174F24" w:rsidRPr="00813C0A">
        <w:rPr>
          <w:rFonts w:ascii="Gotham Pro LT" w:hAnsi="Gotham Pro LT" w:cs="Gotham Pro LT"/>
          <w:b/>
          <w:bCs/>
          <w:sz w:val="21"/>
          <w:szCs w:val="21"/>
        </w:rPr>
        <w:t>izpildi, t.i., informatīvā ziņojuma projekts nesniedz izvērtējumu par OCTA likuma 14.pantā noteiktā apdrošināšanas prēmijas maksājuma samazinājuma iespējamo pakāpenisku atcelšanu un turpmāko risinājumu</w:t>
      </w:r>
      <w:r w:rsidR="00174F24" w:rsidRPr="00813C0A">
        <w:rPr>
          <w:rFonts w:ascii="Gotham Pro LT" w:hAnsi="Gotham Pro LT" w:cs="Gotham Pro LT"/>
          <w:sz w:val="21"/>
          <w:szCs w:val="21"/>
        </w:rPr>
        <w:t xml:space="preserve">. Līdz ar to informatīvā ziņojuma projekts ir papildināms, un tikai tad tālāk virzāms. </w:t>
      </w:r>
    </w:p>
    <w:p w14:paraId="7274407E" w14:textId="77777777" w:rsidR="00174F24" w:rsidRPr="00813C0A" w:rsidRDefault="00174F24" w:rsidP="00174F24">
      <w:pPr>
        <w:pStyle w:val="ListParagraph"/>
        <w:shd w:val="clear" w:color="auto" w:fill="FFFFFF"/>
        <w:spacing w:after="0" w:line="240" w:lineRule="auto"/>
        <w:ind w:left="1080"/>
        <w:jc w:val="both"/>
        <w:rPr>
          <w:rFonts w:ascii="Gotham Pro LT" w:eastAsia="Times New Roman" w:hAnsi="Gotham Pro LT" w:cs="Gotham Pro LT"/>
          <w:color w:val="000000" w:themeColor="text1"/>
          <w:sz w:val="21"/>
          <w:szCs w:val="21"/>
          <w:lang w:eastAsia="en-GB"/>
        </w:rPr>
      </w:pPr>
    </w:p>
    <w:p w14:paraId="2715905B" w14:textId="11C2712F" w:rsidR="0026216F" w:rsidRPr="00813C0A" w:rsidRDefault="0026216F" w:rsidP="0061232B">
      <w:pPr>
        <w:spacing w:after="0" w:line="240" w:lineRule="auto"/>
        <w:ind w:firstLine="720"/>
        <w:jc w:val="both"/>
        <w:rPr>
          <w:rFonts w:ascii="Gotham Pro LT" w:eastAsia="Times New Roman" w:hAnsi="Gotham Pro LT" w:cs="Gotham Pro LT"/>
          <w:sz w:val="21"/>
          <w:szCs w:val="21"/>
          <w:lang w:eastAsia="lv-LV"/>
        </w:rPr>
      </w:pPr>
      <w:r w:rsidRPr="00813C0A">
        <w:rPr>
          <w:rFonts w:ascii="Gotham Pro LT" w:eastAsia="Times New Roman" w:hAnsi="Gotham Pro LT" w:cs="Gotham Pro LT"/>
          <w:color w:val="000000" w:themeColor="text1"/>
          <w:sz w:val="21"/>
          <w:szCs w:val="21"/>
          <w:lang w:eastAsia="en-GB"/>
        </w:rPr>
        <w:t>Vienlaikus informējam, ka</w:t>
      </w:r>
      <w:r w:rsidR="0061232B" w:rsidRPr="00813C0A">
        <w:rPr>
          <w:rFonts w:ascii="Gotham Pro LT" w:eastAsia="Times New Roman" w:hAnsi="Gotham Pro LT" w:cs="Gotham Pro LT"/>
          <w:color w:val="000000" w:themeColor="text1"/>
          <w:sz w:val="21"/>
          <w:szCs w:val="21"/>
          <w:lang w:eastAsia="en-GB"/>
        </w:rPr>
        <w:t xml:space="preserve"> nevaram piekrist Labklājības ministrijas apgalvojumam, ka </w:t>
      </w:r>
      <w:r w:rsidR="0061232B" w:rsidRPr="00813C0A">
        <w:rPr>
          <w:rFonts w:ascii="Gotham Pro LT" w:hAnsi="Gotham Pro LT" w:cs="Gotham Pro LT"/>
          <w:color w:val="000000" w:themeColor="text1"/>
          <w:sz w:val="21"/>
          <w:szCs w:val="21"/>
        </w:rPr>
        <w:t xml:space="preserve">informatīvā ziņojuma projekts būtu papildināms ar izvērtējumu par konkurences ietekmi OCTA prēmiju noteikšanā, veiktajām un ieplānotajām darbībām konkurences stiprināšanai, jo OCTA likuma pārejas noteikumu 24.punktā minētajam Ministru kabinetam dotajam uzdevumam ir pilnīgi pavisam cits mērķis – sniegt izvērtējumu par OCTA </w:t>
      </w:r>
      <w:r w:rsidR="00D8780F" w:rsidRPr="00813C0A">
        <w:rPr>
          <w:rFonts w:ascii="Gotham Pro LT" w:hAnsi="Gotham Pro LT" w:cs="Gotham Pro LT"/>
          <w:color w:val="000000" w:themeColor="text1"/>
          <w:sz w:val="21"/>
          <w:szCs w:val="21"/>
        </w:rPr>
        <w:t xml:space="preserve">likuma </w:t>
      </w:r>
      <w:r w:rsidR="0061232B" w:rsidRPr="00813C0A">
        <w:rPr>
          <w:rFonts w:ascii="Gotham Pro LT" w:hAnsi="Gotham Pro LT" w:cs="Gotham Pro LT"/>
          <w:color w:val="000000" w:themeColor="text1"/>
          <w:sz w:val="21"/>
          <w:szCs w:val="21"/>
        </w:rPr>
        <w:t>14.pantā noteikto tiesisko regulējumu un turpmāko risinājumu.</w:t>
      </w:r>
      <w:r w:rsidR="00D8780F" w:rsidRPr="00813C0A">
        <w:rPr>
          <w:rFonts w:ascii="Gotham Pro LT" w:hAnsi="Gotham Pro LT" w:cs="Gotham Pro LT"/>
          <w:color w:val="000000" w:themeColor="text1"/>
          <w:sz w:val="21"/>
          <w:szCs w:val="21"/>
        </w:rPr>
        <w:t xml:space="preserve"> Vēršam uzmanību, ka a</w:t>
      </w:r>
      <w:r w:rsidR="00D8780F" w:rsidRPr="00813C0A">
        <w:rPr>
          <w:rFonts w:ascii="Gotham Pro LT" w:hAnsi="Gotham Pro LT" w:cs="Gotham Pro LT"/>
          <w:sz w:val="21"/>
          <w:szCs w:val="21"/>
          <w:lang w:eastAsia="lv-LV"/>
        </w:rPr>
        <w:t>tlaižu piešķiršanas kārtība, kas noteikta ar OCTA likumu un kuru piemēro apdrošinātāji, pēc tam pierasot atlaižu kompensēšanu no Garantijas fonda saskaņā ar OCTA likuma 14.panta ceturto daļu un 51.panta trešās daļas 2.punktu, ir nesamērīga un neatbilstoša brīvas konkurences tirgus apstākļiem, jo Garantijas fonda līdzekļus veido pašu apdrošinātāju veiktie atskaitījumi no OCTA apdrošināšanas prēmijām (</w:t>
      </w:r>
      <w:r w:rsidR="00D8780F" w:rsidRPr="00813C0A">
        <w:rPr>
          <w:rFonts w:ascii="Gotham Pro LT" w:hAnsi="Gotham Pro LT" w:cs="Gotham Pro LT"/>
          <w:i/>
          <w:iCs/>
          <w:sz w:val="21"/>
          <w:szCs w:val="21"/>
          <w:lang w:eastAsia="lv-LV"/>
        </w:rPr>
        <w:t xml:space="preserve">par to detalizētāk lūdzu skatīt LTAB izvērtējumu </w:t>
      </w:r>
      <w:r w:rsidR="00CC09B7" w:rsidRPr="00813C0A">
        <w:rPr>
          <w:rFonts w:ascii="Gotham Pro LT" w:hAnsi="Gotham Pro LT" w:cs="Gotham Pro LT"/>
          <w:i/>
          <w:iCs/>
          <w:sz w:val="21"/>
          <w:szCs w:val="21"/>
          <w:lang w:eastAsia="lv-LV"/>
        </w:rPr>
        <w:t>3</w:t>
      </w:r>
      <w:r w:rsidR="00D8780F" w:rsidRPr="00813C0A">
        <w:rPr>
          <w:rFonts w:ascii="Gotham Pro LT" w:hAnsi="Gotham Pro LT" w:cs="Gotham Pro LT"/>
          <w:i/>
          <w:iCs/>
          <w:sz w:val="21"/>
          <w:szCs w:val="21"/>
          <w:lang w:eastAsia="lv-LV"/>
        </w:rPr>
        <w:t>.pielikumā</w:t>
      </w:r>
      <w:r w:rsidR="00D8780F" w:rsidRPr="00813C0A">
        <w:rPr>
          <w:rFonts w:ascii="Gotham Pro LT" w:hAnsi="Gotham Pro LT" w:cs="Gotham Pro LT"/>
          <w:sz w:val="21"/>
          <w:szCs w:val="21"/>
          <w:lang w:eastAsia="lv-LV"/>
        </w:rPr>
        <w:t>).</w:t>
      </w:r>
      <w:r w:rsidR="0061232B" w:rsidRPr="00813C0A">
        <w:rPr>
          <w:rFonts w:ascii="Gotham Pro LT" w:hAnsi="Gotham Pro LT" w:cs="Gotham Pro LT"/>
          <w:color w:val="000000" w:themeColor="text1"/>
          <w:sz w:val="21"/>
          <w:szCs w:val="21"/>
        </w:rPr>
        <w:t xml:space="preserve">  </w:t>
      </w:r>
      <w:r w:rsidRPr="00813C0A">
        <w:rPr>
          <w:rFonts w:ascii="Gotham Pro LT" w:eastAsia="Times New Roman" w:hAnsi="Gotham Pro LT" w:cs="Gotham Pro LT"/>
          <w:color w:val="000000" w:themeColor="text1"/>
          <w:sz w:val="21"/>
          <w:szCs w:val="21"/>
          <w:lang w:eastAsia="en-GB"/>
        </w:rPr>
        <w:t xml:space="preserve"> </w:t>
      </w:r>
      <w:r w:rsidR="00D8780F" w:rsidRPr="00813C0A">
        <w:rPr>
          <w:rFonts w:ascii="Gotham Pro LT" w:eastAsia="Times New Roman" w:hAnsi="Gotham Pro LT" w:cs="Gotham Pro LT"/>
          <w:color w:val="000000" w:themeColor="text1"/>
          <w:sz w:val="21"/>
          <w:szCs w:val="21"/>
          <w:lang w:eastAsia="en-GB"/>
        </w:rPr>
        <w:t xml:space="preserve">Attiecībā uz OCTA prēmiju noteikšanu kopumā </w:t>
      </w:r>
      <w:r w:rsidRPr="00813C0A">
        <w:rPr>
          <w:rFonts w:ascii="Gotham Pro LT" w:eastAsia="Times New Roman" w:hAnsi="Gotham Pro LT" w:cs="Gotham Pro LT"/>
          <w:sz w:val="21"/>
          <w:szCs w:val="21"/>
          <w:lang w:eastAsia="lv-LV"/>
        </w:rPr>
        <w:t>OCTA tirgus darbojas pēc t</w:t>
      </w:r>
      <w:r w:rsidR="00174F24" w:rsidRPr="00813C0A">
        <w:rPr>
          <w:rFonts w:ascii="Gotham Pro LT" w:eastAsia="Times New Roman" w:hAnsi="Gotham Pro LT" w:cs="Gotham Pro LT"/>
          <w:sz w:val="21"/>
          <w:szCs w:val="21"/>
          <w:lang w:eastAsia="lv-LV"/>
        </w:rPr>
        <w:t>i</w:t>
      </w:r>
      <w:r w:rsidRPr="00813C0A">
        <w:rPr>
          <w:rFonts w:ascii="Gotham Pro LT" w:eastAsia="Times New Roman" w:hAnsi="Gotham Pro LT" w:cs="Gotham Pro LT"/>
          <w:sz w:val="21"/>
          <w:szCs w:val="21"/>
          <w:lang w:eastAsia="lv-LV"/>
        </w:rPr>
        <w:t>rgus ekonomikas principiem, konkurence tajā ir sīva</w:t>
      </w:r>
      <w:r w:rsidR="0061232B" w:rsidRPr="00813C0A">
        <w:rPr>
          <w:rFonts w:ascii="Gotham Pro LT" w:eastAsia="Times New Roman" w:hAnsi="Gotham Pro LT" w:cs="Gotham Pro LT"/>
          <w:sz w:val="21"/>
          <w:szCs w:val="21"/>
          <w:lang w:eastAsia="lv-LV"/>
        </w:rPr>
        <w:t xml:space="preserve">. </w:t>
      </w:r>
      <w:r w:rsidR="00D8780F" w:rsidRPr="00813C0A">
        <w:rPr>
          <w:rFonts w:ascii="Gotham Pro LT" w:eastAsia="Times New Roman" w:hAnsi="Gotham Pro LT" w:cs="Gotham Pro LT"/>
          <w:sz w:val="21"/>
          <w:szCs w:val="21"/>
          <w:lang w:eastAsia="lv-LV"/>
        </w:rPr>
        <w:t xml:space="preserve">Labklājības ministrijas pieminētais </w:t>
      </w:r>
      <w:r w:rsidRPr="00813C0A">
        <w:rPr>
          <w:rFonts w:ascii="Gotham Pro LT" w:eastAsia="Times New Roman" w:hAnsi="Gotham Pro LT" w:cs="Gotham Pro LT"/>
          <w:sz w:val="21"/>
          <w:szCs w:val="21"/>
          <w:lang w:eastAsia="lv-LV"/>
        </w:rPr>
        <w:t>K</w:t>
      </w:r>
      <w:r w:rsidR="00174F24" w:rsidRPr="00813C0A">
        <w:rPr>
          <w:rFonts w:ascii="Gotham Pro LT" w:eastAsia="Times New Roman" w:hAnsi="Gotham Pro LT" w:cs="Gotham Pro LT"/>
          <w:sz w:val="21"/>
          <w:szCs w:val="21"/>
          <w:lang w:eastAsia="lv-LV"/>
        </w:rPr>
        <w:t>onkurences padomes</w:t>
      </w:r>
      <w:r w:rsidR="0061232B" w:rsidRPr="00813C0A">
        <w:rPr>
          <w:rFonts w:ascii="Gotham Pro LT" w:eastAsia="Times New Roman" w:hAnsi="Gotham Pro LT" w:cs="Gotham Pro LT"/>
          <w:sz w:val="21"/>
          <w:szCs w:val="21"/>
          <w:lang w:eastAsia="lv-LV"/>
        </w:rPr>
        <w:t xml:space="preserve"> </w:t>
      </w:r>
      <w:r w:rsidR="0061232B" w:rsidRPr="00813C0A">
        <w:rPr>
          <w:rFonts w:ascii="Gotham Pro LT" w:eastAsia="Times New Roman" w:hAnsi="Gotham Pro LT" w:cs="Gotham Pro LT"/>
          <w:sz w:val="21"/>
          <w:szCs w:val="21"/>
        </w:rPr>
        <w:t xml:space="preserve">2019. gada jūnijā </w:t>
      </w:r>
      <w:r w:rsidR="00D8780F" w:rsidRPr="00813C0A">
        <w:rPr>
          <w:rFonts w:ascii="Gotham Pro LT" w:eastAsia="Times New Roman" w:hAnsi="Gotham Pro LT" w:cs="Gotham Pro LT"/>
          <w:sz w:val="21"/>
          <w:szCs w:val="21"/>
        </w:rPr>
        <w:t xml:space="preserve">publicētais </w:t>
      </w:r>
      <w:r w:rsidR="0061232B" w:rsidRPr="00813C0A">
        <w:rPr>
          <w:rFonts w:ascii="Gotham Pro LT" w:eastAsia="Times New Roman" w:hAnsi="Gotham Pro LT" w:cs="Gotham Pro LT"/>
          <w:sz w:val="21"/>
          <w:szCs w:val="21"/>
        </w:rPr>
        <w:t xml:space="preserve">Sauszemes transportlīdzekļu īpašnieku civiltiesiskās atbildības obligātās apdrošināšanas tirgus uzraudzības noslēguma </w:t>
      </w:r>
      <w:r w:rsidRPr="00813C0A">
        <w:rPr>
          <w:rFonts w:ascii="Gotham Pro LT" w:eastAsia="Times New Roman" w:hAnsi="Gotham Pro LT" w:cs="Gotham Pro LT"/>
          <w:sz w:val="21"/>
          <w:szCs w:val="21"/>
          <w:lang w:eastAsia="lv-LV"/>
        </w:rPr>
        <w:t>ziņojum</w:t>
      </w:r>
      <w:r w:rsidR="00D8780F" w:rsidRPr="00813C0A">
        <w:rPr>
          <w:rFonts w:ascii="Gotham Pro LT" w:eastAsia="Times New Roman" w:hAnsi="Gotham Pro LT" w:cs="Gotham Pro LT"/>
          <w:sz w:val="21"/>
          <w:szCs w:val="21"/>
          <w:lang w:eastAsia="lv-LV"/>
        </w:rPr>
        <w:t xml:space="preserve">s un tajā </w:t>
      </w:r>
      <w:r w:rsidRPr="00813C0A">
        <w:rPr>
          <w:rFonts w:ascii="Gotham Pro LT" w:eastAsia="Times New Roman" w:hAnsi="Gotham Pro LT" w:cs="Gotham Pro LT"/>
          <w:sz w:val="21"/>
          <w:szCs w:val="21"/>
          <w:lang w:eastAsia="lv-LV"/>
        </w:rPr>
        <w:t xml:space="preserve"> paustie norādījumi bija izteikti kontekstā ar</w:t>
      </w:r>
      <w:r w:rsidR="0061232B" w:rsidRPr="00813C0A">
        <w:rPr>
          <w:rFonts w:ascii="Gotham Pro LT" w:eastAsia="Times New Roman" w:hAnsi="Gotham Pro LT" w:cs="Gotham Pro LT"/>
          <w:sz w:val="21"/>
          <w:szCs w:val="21"/>
          <w:lang w:eastAsia="lv-LV"/>
        </w:rPr>
        <w:t xml:space="preserve"> LTAB</w:t>
      </w:r>
      <w:r w:rsidRPr="00813C0A">
        <w:rPr>
          <w:rFonts w:ascii="Gotham Pro LT" w:eastAsia="Times New Roman" w:hAnsi="Gotham Pro LT" w:cs="Gotham Pro LT"/>
          <w:sz w:val="21"/>
          <w:szCs w:val="21"/>
          <w:lang w:eastAsia="lv-LV"/>
        </w:rPr>
        <w:t xml:space="preserve"> datu apkopošanu un publicēšanu</w:t>
      </w:r>
      <w:r w:rsidR="0061232B" w:rsidRPr="00813C0A">
        <w:rPr>
          <w:rFonts w:ascii="Gotham Pro LT" w:eastAsia="Times New Roman" w:hAnsi="Gotham Pro LT" w:cs="Gotham Pro LT"/>
          <w:sz w:val="21"/>
          <w:szCs w:val="21"/>
          <w:lang w:eastAsia="lv-LV"/>
        </w:rPr>
        <w:t xml:space="preserve">, </w:t>
      </w:r>
      <w:r w:rsidR="0061232B" w:rsidRPr="00813C0A">
        <w:rPr>
          <w:rFonts w:ascii="Gotham Pro LT" w:hAnsi="Gotham Pro LT" w:cs="Gotham Pro LT"/>
          <w:sz w:val="21"/>
          <w:szCs w:val="21"/>
        </w:rPr>
        <w:t>lai samazinātu pieprasītās informācijas apjomu (t.sk., pārtrauktu pieprasīt apdrošināšanas sabiedrībām peļņas un zaudējumu aprēķinu, parakstītās prēmijas un apdrošināšanas sabiedrību darbības rādītājus)</w:t>
      </w:r>
      <w:r w:rsidR="0061232B" w:rsidRPr="00813C0A">
        <w:rPr>
          <w:rFonts w:ascii="Gotham Pro LT" w:eastAsia="Times New Roman" w:hAnsi="Gotham Pro LT" w:cs="Gotham Pro LT"/>
          <w:sz w:val="21"/>
          <w:szCs w:val="21"/>
          <w:lang w:eastAsia="lv-LV"/>
        </w:rPr>
        <w:t>. Atbilstoši  Konkurences padomes norādījumiem</w:t>
      </w:r>
      <w:r w:rsidR="00D8780F" w:rsidRPr="00813C0A">
        <w:rPr>
          <w:rFonts w:ascii="Gotham Pro LT" w:eastAsia="Times New Roman" w:hAnsi="Gotham Pro LT" w:cs="Gotham Pro LT"/>
          <w:sz w:val="21"/>
          <w:szCs w:val="21"/>
          <w:lang w:eastAsia="lv-LV"/>
        </w:rPr>
        <w:t xml:space="preserve"> LTAB vairs neapkopo šo informāciju, kā arī </w:t>
      </w:r>
      <w:r w:rsidR="0061232B" w:rsidRPr="00813C0A">
        <w:rPr>
          <w:rFonts w:ascii="Gotham Pro LT" w:hAnsi="Gotham Pro LT" w:cs="Gotham Pro LT"/>
          <w:sz w:val="21"/>
          <w:szCs w:val="21"/>
        </w:rPr>
        <w:t>samazinā</w:t>
      </w:r>
      <w:r w:rsidR="00D8780F" w:rsidRPr="00813C0A">
        <w:rPr>
          <w:rFonts w:ascii="Gotham Pro LT" w:hAnsi="Gotham Pro LT" w:cs="Gotham Pro LT"/>
          <w:sz w:val="21"/>
          <w:szCs w:val="21"/>
        </w:rPr>
        <w:t xml:space="preserve">ts </w:t>
      </w:r>
      <w:r w:rsidR="0061232B" w:rsidRPr="00813C0A">
        <w:rPr>
          <w:rFonts w:ascii="Gotham Pro LT" w:hAnsi="Gotham Pro LT" w:cs="Gotham Pro LT"/>
          <w:sz w:val="21"/>
          <w:szCs w:val="21"/>
        </w:rPr>
        <w:t>LTAB mājaslapā publicējamās informācijas apjom</w:t>
      </w:r>
      <w:r w:rsidR="00D8780F" w:rsidRPr="00813C0A">
        <w:rPr>
          <w:rFonts w:ascii="Gotham Pro LT" w:hAnsi="Gotham Pro LT" w:cs="Gotham Pro LT"/>
          <w:sz w:val="21"/>
          <w:szCs w:val="21"/>
        </w:rPr>
        <w:t>s.</w:t>
      </w:r>
    </w:p>
    <w:p w14:paraId="6DAA3C1C" w14:textId="262EFD44" w:rsidR="00E64FE2" w:rsidRPr="00813C0A" w:rsidRDefault="00E64FE2" w:rsidP="0026216F">
      <w:pPr>
        <w:pStyle w:val="ListParagraph"/>
        <w:shd w:val="clear" w:color="auto" w:fill="FFFFFF"/>
        <w:spacing w:after="0" w:line="240" w:lineRule="auto"/>
        <w:ind w:left="1080"/>
        <w:jc w:val="both"/>
        <w:rPr>
          <w:rFonts w:ascii="Gotham Pro LT" w:hAnsi="Gotham Pro LT" w:cs="Gotham Pro LT"/>
          <w:color w:val="000000"/>
          <w:sz w:val="21"/>
          <w:szCs w:val="21"/>
        </w:rPr>
      </w:pPr>
    </w:p>
    <w:p w14:paraId="4BE41CF9" w14:textId="621F112E" w:rsidR="000B0676" w:rsidRPr="00813C0A" w:rsidRDefault="00E41F11" w:rsidP="00813C0A">
      <w:pPr>
        <w:spacing w:after="0" w:line="240" w:lineRule="auto"/>
        <w:rPr>
          <w:rFonts w:ascii="Gotham Pro LT" w:hAnsi="Gotham Pro LT" w:cs="Gotham Pro LT"/>
          <w:sz w:val="21"/>
          <w:szCs w:val="21"/>
        </w:rPr>
      </w:pPr>
      <w:r w:rsidRPr="00813C0A">
        <w:rPr>
          <w:rFonts w:ascii="Gotham Pro LT" w:hAnsi="Gotham Pro LT" w:cs="Gotham Pro LT"/>
          <w:sz w:val="21"/>
          <w:szCs w:val="21"/>
        </w:rPr>
        <w:t>Pielikumā:</w:t>
      </w:r>
    </w:p>
    <w:p w14:paraId="190072A6" w14:textId="154FDA38" w:rsidR="00241ABD" w:rsidRPr="00813C0A" w:rsidRDefault="00E840D6" w:rsidP="00D47922">
      <w:pPr>
        <w:spacing w:after="0" w:line="240" w:lineRule="auto"/>
        <w:rPr>
          <w:rFonts w:ascii="Gotham Pro LT" w:hAnsi="Gotham Pro LT" w:cs="Gotham Pro LT"/>
          <w:sz w:val="21"/>
          <w:szCs w:val="21"/>
        </w:rPr>
      </w:pPr>
      <w:r w:rsidRPr="00813C0A">
        <w:rPr>
          <w:rFonts w:ascii="Gotham Pro LT" w:hAnsi="Gotham Pro LT" w:cs="Gotham Pro LT"/>
          <w:sz w:val="21"/>
          <w:szCs w:val="21"/>
        </w:rPr>
        <w:t>1</w:t>
      </w:r>
      <w:r w:rsidR="00D47922" w:rsidRPr="00813C0A">
        <w:rPr>
          <w:rFonts w:ascii="Gotham Pro LT" w:hAnsi="Gotham Pro LT" w:cs="Gotham Pro LT"/>
          <w:sz w:val="21"/>
          <w:szCs w:val="21"/>
        </w:rPr>
        <w:t>.</w:t>
      </w:r>
      <w:r w:rsidR="00CC09B7" w:rsidRPr="00813C0A">
        <w:rPr>
          <w:rFonts w:ascii="Gotham Pro LT" w:hAnsi="Gotham Pro LT" w:cs="Gotham Pro LT"/>
          <w:b/>
          <w:bCs/>
          <w:color w:val="000000"/>
          <w:sz w:val="21"/>
          <w:szCs w:val="21"/>
        </w:rPr>
        <w:t xml:space="preserve"> </w:t>
      </w:r>
      <w:r w:rsidR="00CC09B7" w:rsidRPr="00813C0A">
        <w:rPr>
          <w:rFonts w:ascii="Gotham Pro LT" w:hAnsi="Gotham Pro LT" w:cs="Gotham Pro LT"/>
          <w:color w:val="000000"/>
          <w:sz w:val="21"/>
          <w:szCs w:val="21"/>
        </w:rPr>
        <w:t>LTAB iebildumi - LTAB 04.08.2021. atzinums Nr.07/02-16/78 “Par informatīvā ziņojuma saskaņošanu”.</w:t>
      </w:r>
    </w:p>
    <w:p w14:paraId="365C449F" w14:textId="258DB494" w:rsidR="00D47922" w:rsidRPr="00813C0A" w:rsidRDefault="00241ABD" w:rsidP="00D47922">
      <w:pPr>
        <w:spacing w:after="0" w:line="240" w:lineRule="auto"/>
        <w:rPr>
          <w:rFonts w:ascii="Gotham Pro LT" w:hAnsi="Gotham Pro LT" w:cs="Gotham Pro LT"/>
          <w:sz w:val="21"/>
          <w:szCs w:val="21"/>
        </w:rPr>
      </w:pPr>
      <w:r w:rsidRPr="00813C0A">
        <w:rPr>
          <w:rFonts w:ascii="Gotham Pro LT" w:hAnsi="Gotham Pro LT" w:cs="Gotham Pro LT"/>
          <w:sz w:val="21"/>
          <w:szCs w:val="21"/>
        </w:rPr>
        <w:lastRenderedPageBreak/>
        <w:t xml:space="preserve">2. </w:t>
      </w:r>
      <w:r w:rsidR="00D47922" w:rsidRPr="00813C0A">
        <w:rPr>
          <w:rFonts w:ascii="Gotham Pro LT" w:hAnsi="Gotham Pro LT" w:cs="Gotham Pro LT"/>
          <w:sz w:val="21"/>
          <w:szCs w:val="21"/>
        </w:rPr>
        <w:t xml:space="preserve"> LTAB piedāvātie risinājumi – rīcības modeļi turpmākajai rīcībai. </w:t>
      </w:r>
    </w:p>
    <w:p w14:paraId="512ECD88" w14:textId="6B7CE3F9" w:rsidR="00E840D6" w:rsidRPr="00813C0A" w:rsidRDefault="00241ABD" w:rsidP="00D47922">
      <w:pPr>
        <w:spacing w:after="0" w:line="240" w:lineRule="auto"/>
        <w:rPr>
          <w:rFonts w:ascii="Gotham Pro LT" w:hAnsi="Gotham Pro LT" w:cs="Gotham Pro LT"/>
          <w:sz w:val="21"/>
          <w:szCs w:val="21"/>
        </w:rPr>
      </w:pPr>
      <w:r w:rsidRPr="00813C0A">
        <w:rPr>
          <w:rFonts w:ascii="Gotham Pro LT" w:hAnsi="Gotham Pro LT" w:cs="Gotham Pro LT"/>
          <w:sz w:val="21"/>
          <w:szCs w:val="21"/>
        </w:rPr>
        <w:t>3</w:t>
      </w:r>
      <w:r w:rsidR="00E840D6" w:rsidRPr="00813C0A">
        <w:rPr>
          <w:rFonts w:ascii="Gotham Pro LT" w:hAnsi="Gotham Pro LT" w:cs="Gotham Pro LT"/>
          <w:sz w:val="21"/>
          <w:szCs w:val="21"/>
        </w:rPr>
        <w:t xml:space="preserve">. </w:t>
      </w:r>
      <w:r w:rsidR="0026216F" w:rsidRPr="00813C0A">
        <w:rPr>
          <w:rFonts w:ascii="Gotham Pro LT" w:hAnsi="Gotham Pro LT" w:cs="Gotham Pro LT"/>
          <w:sz w:val="21"/>
          <w:szCs w:val="21"/>
        </w:rPr>
        <w:t>Garantijas fonda izveides mērķis un s</w:t>
      </w:r>
      <w:r w:rsidR="00E840D6" w:rsidRPr="00813C0A">
        <w:rPr>
          <w:rFonts w:ascii="Gotham Pro LT" w:hAnsi="Gotham Pro LT" w:cs="Gotham Pro LT"/>
          <w:sz w:val="21"/>
          <w:szCs w:val="21"/>
        </w:rPr>
        <w:t>pēkā esošā regulējuma pirmsšķietamā atbilstība</w:t>
      </w:r>
      <w:r w:rsidR="00F77C03" w:rsidRPr="00813C0A">
        <w:rPr>
          <w:rFonts w:ascii="Gotham Pro LT" w:hAnsi="Gotham Pro LT" w:cs="Gotham Pro LT"/>
          <w:sz w:val="21"/>
          <w:szCs w:val="21"/>
        </w:rPr>
        <w:t xml:space="preserve"> LR</w:t>
      </w:r>
      <w:r w:rsidR="00E840D6" w:rsidRPr="00813C0A">
        <w:rPr>
          <w:rFonts w:ascii="Gotham Pro LT" w:hAnsi="Gotham Pro LT" w:cs="Gotham Pro LT"/>
          <w:sz w:val="21"/>
          <w:szCs w:val="21"/>
        </w:rPr>
        <w:t xml:space="preserve"> Satversmei</w:t>
      </w:r>
      <w:r w:rsidR="00D47922" w:rsidRPr="00813C0A">
        <w:rPr>
          <w:rFonts w:ascii="Gotham Pro LT" w:hAnsi="Gotham Pro LT" w:cs="Gotham Pro LT"/>
          <w:sz w:val="21"/>
          <w:szCs w:val="21"/>
        </w:rPr>
        <w:t>.</w:t>
      </w:r>
    </w:p>
    <w:p w14:paraId="28F74A88" w14:textId="77777777" w:rsidR="00813C0A" w:rsidRDefault="00813C0A" w:rsidP="000B0676">
      <w:pPr>
        <w:tabs>
          <w:tab w:val="left" w:pos="720"/>
          <w:tab w:val="center" w:pos="4320"/>
          <w:tab w:val="right" w:pos="8640"/>
        </w:tabs>
        <w:spacing w:after="0" w:line="240" w:lineRule="auto"/>
        <w:jc w:val="both"/>
        <w:rPr>
          <w:rFonts w:ascii="Gotham Pro LT" w:hAnsi="Gotham Pro LT" w:cs="Gotham Pro LT"/>
          <w:sz w:val="21"/>
          <w:szCs w:val="21"/>
        </w:rPr>
      </w:pPr>
    </w:p>
    <w:p w14:paraId="7C04103F" w14:textId="77777777" w:rsidR="000B0676" w:rsidRPr="00813C0A" w:rsidRDefault="000B0676" w:rsidP="000B0676">
      <w:pPr>
        <w:tabs>
          <w:tab w:val="left" w:pos="720"/>
          <w:tab w:val="center" w:pos="4320"/>
          <w:tab w:val="right" w:pos="8640"/>
        </w:tabs>
        <w:spacing w:after="0" w:line="240" w:lineRule="auto"/>
        <w:jc w:val="both"/>
        <w:rPr>
          <w:rFonts w:ascii="Gotham Pro LT" w:hAnsi="Gotham Pro LT" w:cs="Gotham Pro LT"/>
          <w:sz w:val="21"/>
          <w:szCs w:val="21"/>
        </w:rPr>
      </w:pPr>
      <w:r w:rsidRPr="00813C0A">
        <w:rPr>
          <w:rFonts w:ascii="Gotham Pro LT" w:hAnsi="Gotham Pro LT" w:cs="Gotham Pro LT"/>
          <w:sz w:val="21"/>
          <w:szCs w:val="21"/>
        </w:rPr>
        <w:t xml:space="preserve">Ar cieņu, </w:t>
      </w:r>
    </w:p>
    <w:p w14:paraId="42F04788" w14:textId="77777777" w:rsidR="000B0676" w:rsidRPr="00813C0A" w:rsidRDefault="000B0676" w:rsidP="000B0676">
      <w:pPr>
        <w:tabs>
          <w:tab w:val="left" w:pos="720"/>
          <w:tab w:val="center" w:pos="4320"/>
          <w:tab w:val="right" w:pos="8640"/>
        </w:tabs>
        <w:spacing w:after="0" w:line="240" w:lineRule="auto"/>
        <w:jc w:val="both"/>
        <w:rPr>
          <w:rFonts w:ascii="Gotham Pro LT" w:hAnsi="Gotham Pro LT" w:cs="Gotham Pro LT"/>
          <w:sz w:val="21"/>
          <w:szCs w:val="21"/>
        </w:rPr>
      </w:pPr>
    </w:p>
    <w:p w14:paraId="16F515FC" w14:textId="77777777" w:rsidR="000B0676" w:rsidRPr="00813C0A" w:rsidRDefault="000B0676" w:rsidP="000B0676">
      <w:pPr>
        <w:tabs>
          <w:tab w:val="left" w:pos="720"/>
          <w:tab w:val="center" w:pos="4320"/>
          <w:tab w:val="right" w:pos="8640"/>
        </w:tabs>
        <w:spacing w:after="0" w:line="240" w:lineRule="auto"/>
        <w:jc w:val="both"/>
        <w:rPr>
          <w:rFonts w:ascii="Gotham Pro LT" w:hAnsi="Gotham Pro LT" w:cs="Gotham Pro LT"/>
          <w:sz w:val="21"/>
          <w:szCs w:val="21"/>
        </w:rPr>
      </w:pPr>
      <w:r w:rsidRPr="00813C0A">
        <w:rPr>
          <w:rFonts w:ascii="Gotham Pro LT" w:hAnsi="Gotham Pro LT" w:cs="Gotham Pro LT"/>
          <w:sz w:val="21"/>
          <w:szCs w:val="21"/>
        </w:rPr>
        <w:t>LTAB valdes priekšsēdētājs</w:t>
      </w:r>
    </w:p>
    <w:p w14:paraId="53591566" w14:textId="77777777" w:rsidR="000B0676" w:rsidRPr="00813C0A" w:rsidRDefault="000B0676" w:rsidP="000B0676">
      <w:pPr>
        <w:spacing w:after="0" w:line="240" w:lineRule="auto"/>
        <w:rPr>
          <w:rFonts w:ascii="Gotham Pro LT" w:hAnsi="Gotham Pro LT" w:cs="Gotham Pro LT"/>
          <w:sz w:val="21"/>
          <w:szCs w:val="21"/>
        </w:rPr>
      </w:pPr>
      <w:r w:rsidRPr="00813C0A">
        <w:rPr>
          <w:rFonts w:ascii="Gotham Pro LT" w:hAnsi="Gotham Pro LT" w:cs="Gotham Pro LT"/>
          <w:sz w:val="21"/>
          <w:szCs w:val="21"/>
        </w:rPr>
        <w:t>J. Abāšins</w:t>
      </w:r>
    </w:p>
    <w:p w14:paraId="1B96D461" w14:textId="77777777" w:rsidR="000B0676" w:rsidRPr="00813C0A" w:rsidRDefault="000B0676" w:rsidP="000B0676">
      <w:pPr>
        <w:pStyle w:val="NoSpacing"/>
        <w:rPr>
          <w:rFonts w:ascii="Gotham Pro LT" w:hAnsi="Gotham Pro LT" w:cs="Gotham Pro LT"/>
          <w:sz w:val="21"/>
          <w:szCs w:val="21"/>
        </w:rPr>
      </w:pPr>
    </w:p>
    <w:p w14:paraId="045E5D6A" w14:textId="23FE4674" w:rsidR="000B0676" w:rsidRPr="00813C0A" w:rsidRDefault="002476FD" w:rsidP="000B0676">
      <w:pPr>
        <w:pStyle w:val="NoSpacing"/>
        <w:rPr>
          <w:rFonts w:ascii="Gotham Pro LT" w:hAnsi="Gotham Pro LT" w:cs="Gotham Pro LT"/>
          <w:sz w:val="16"/>
          <w:szCs w:val="16"/>
        </w:rPr>
      </w:pPr>
      <w:r w:rsidRPr="00813C0A">
        <w:rPr>
          <w:rFonts w:ascii="Gotham Pro LT" w:hAnsi="Gotham Pro LT" w:cs="Gotham Pro LT"/>
          <w:sz w:val="16"/>
          <w:szCs w:val="16"/>
        </w:rPr>
        <w:t>I.Gailīte 67114314</w:t>
      </w:r>
    </w:p>
    <w:p w14:paraId="307DE3AF" w14:textId="77777777" w:rsidR="000B0676" w:rsidRPr="00813C0A" w:rsidRDefault="000B0676" w:rsidP="000B0676">
      <w:pPr>
        <w:pStyle w:val="Footer"/>
        <w:rPr>
          <w:rFonts w:ascii="Gotham Pro LT" w:hAnsi="Gotham Pro LT" w:cs="Gotham Pro LT"/>
          <w:sz w:val="21"/>
          <w:szCs w:val="21"/>
        </w:rPr>
      </w:pPr>
    </w:p>
    <w:p w14:paraId="4C2622FD" w14:textId="1326953D" w:rsidR="00A3124E" w:rsidRDefault="000B0676" w:rsidP="00A23203">
      <w:pPr>
        <w:rPr>
          <w:rFonts w:ascii="Gotham Pro LT" w:hAnsi="Gotham Pro LT" w:cs="Gotham Pro LT"/>
          <w:sz w:val="16"/>
          <w:szCs w:val="16"/>
        </w:rPr>
      </w:pPr>
      <w:r w:rsidRPr="00813C0A">
        <w:rPr>
          <w:rFonts w:ascii="Gotham Pro LT" w:hAnsi="Gotham Pro LT" w:cs="Gotham Pro LT"/>
          <w:sz w:val="16"/>
          <w:szCs w:val="16"/>
        </w:rPr>
        <w:t>DOKUMENTS IR PARAKSTĪTS AR DROŠU ELEKTRONISKO PARAKSTU UN SATUR LAIKA ZĪMOGU</w:t>
      </w:r>
      <w:r w:rsidR="00A3124E">
        <w:rPr>
          <w:rFonts w:ascii="Gotham Pro LT" w:hAnsi="Gotham Pro LT" w:cs="Gotham Pro LT"/>
          <w:sz w:val="16"/>
          <w:szCs w:val="16"/>
        </w:rPr>
        <w:br w:type="page"/>
      </w:r>
    </w:p>
    <w:p w14:paraId="74B58301" w14:textId="77777777" w:rsidR="007C7C17" w:rsidRDefault="007C7C17" w:rsidP="00A3124E">
      <w:pPr>
        <w:spacing w:after="0"/>
        <w:ind w:left="357"/>
        <w:jc w:val="right"/>
        <w:rPr>
          <w:rFonts w:ascii="Gotham Pro LT" w:hAnsi="Gotham Pro LT" w:cs="Gotham Pro LT"/>
          <w:color w:val="000000"/>
        </w:rPr>
      </w:pPr>
      <w:r>
        <w:rPr>
          <w:rFonts w:ascii="Gotham Pro LT" w:hAnsi="Gotham Pro LT" w:cs="Gotham Pro LT"/>
        </w:rPr>
        <w:lastRenderedPageBreak/>
        <w:t>1</w:t>
      </w:r>
      <w:r w:rsidRPr="00E97525">
        <w:rPr>
          <w:rFonts w:ascii="Gotham Pro LT" w:hAnsi="Gotham Pro LT" w:cs="Gotham Pro LT"/>
        </w:rPr>
        <w:t>.pielikums</w:t>
      </w:r>
      <w:r w:rsidRPr="00E97525">
        <w:rPr>
          <w:rFonts w:ascii="Gotham Pro LT" w:hAnsi="Gotham Pro LT" w:cs="Gotham Pro LT"/>
          <w:color w:val="000000"/>
        </w:rPr>
        <w:t xml:space="preserve"> </w:t>
      </w:r>
    </w:p>
    <w:p w14:paraId="5A783678" w14:textId="75CDD6C7" w:rsidR="00A3124E" w:rsidRPr="00E97525" w:rsidRDefault="007C7C17" w:rsidP="00A3124E">
      <w:pPr>
        <w:spacing w:after="0"/>
        <w:ind w:left="357"/>
        <w:jc w:val="right"/>
        <w:rPr>
          <w:rFonts w:ascii="Gotham Pro LT" w:hAnsi="Gotham Pro LT" w:cs="Gotham Pro LT"/>
          <w:color w:val="000000"/>
        </w:rPr>
      </w:pPr>
      <w:r>
        <w:rPr>
          <w:rFonts w:ascii="Gotham Pro LT" w:hAnsi="Gotham Pro LT" w:cs="Gotham Pro LT"/>
          <w:color w:val="000000"/>
        </w:rPr>
        <w:t>b</w:t>
      </w:r>
      <w:r w:rsidR="00A3124E" w:rsidRPr="00E97525">
        <w:rPr>
          <w:rFonts w:ascii="Gotham Pro LT" w:hAnsi="Gotham Pro LT" w:cs="Gotham Pro LT"/>
          <w:color w:val="000000"/>
        </w:rPr>
        <w:t xml:space="preserve">iedrības “Latvijas Transportlīdzekļu apdrošinātāju birojs” </w:t>
      </w:r>
    </w:p>
    <w:p w14:paraId="50CE8664" w14:textId="726FC129" w:rsidR="00A3124E" w:rsidRPr="00E97525" w:rsidRDefault="00A3124E" w:rsidP="00A3124E">
      <w:pPr>
        <w:spacing w:after="0"/>
        <w:ind w:left="357"/>
        <w:jc w:val="right"/>
        <w:rPr>
          <w:rFonts w:ascii="Gotham Pro LT" w:hAnsi="Gotham Pro LT" w:cs="Gotham Pro LT"/>
        </w:rPr>
      </w:pPr>
      <w:r w:rsidRPr="00E97525">
        <w:rPr>
          <w:rFonts w:ascii="Gotham Pro LT" w:hAnsi="Gotham Pro LT" w:cs="Gotham Pro LT"/>
          <w:color w:val="000000"/>
        </w:rPr>
        <w:t>19.08.2021. atzinuma</w:t>
      </w:r>
      <w:r w:rsidR="007C7C17">
        <w:rPr>
          <w:rFonts w:ascii="Gotham Pro LT" w:hAnsi="Gotham Pro LT" w:cs="Gotham Pro LT"/>
          <w:color w:val="000000"/>
        </w:rPr>
        <w:t>m</w:t>
      </w:r>
      <w:r w:rsidRPr="00E97525">
        <w:rPr>
          <w:rFonts w:ascii="Gotham Pro LT" w:hAnsi="Gotham Pro LT" w:cs="Gotham Pro LT"/>
          <w:color w:val="000000"/>
        </w:rPr>
        <w:t xml:space="preserve"> </w:t>
      </w:r>
    </w:p>
    <w:p w14:paraId="5321713C" w14:textId="77777777" w:rsidR="00A3124E" w:rsidRDefault="00A3124E" w:rsidP="00A3124E">
      <w:pPr>
        <w:spacing w:after="0" w:line="240" w:lineRule="auto"/>
        <w:jc w:val="right"/>
        <w:rPr>
          <w:rFonts w:ascii="Gotham Pro LT" w:hAnsi="Gotham Pro LT" w:cs="Gotham Pro LT"/>
          <w:sz w:val="16"/>
          <w:szCs w:val="16"/>
        </w:rPr>
      </w:pPr>
    </w:p>
    <w:p w14:paraId="746815FD" w14:textId="77777777" w:rsidR="00A3124E" w:rsidRDefault="00A3124E" w:rsidP="00A3124E">
      <w:pPr>
        <w:spacing w:after="0" w:line="240" w:lineRule="auto"/>
        <w:jc w:val="center"/>
        <w:rPr>
          <w:rFonts w:ascii="Gotham Pro LT" w:hAnsi="Gotham Pro LT" w:cs="Gotham Pro LT"/>
          <w:sz w:val="16"/>
          <w:szCs w:val="16"/>
        </w:rPr>
      </w:pPr>
    </w:p>
    <w:p w14:paraId="710785FD" w14:textId="77777777" w:rsidR="00A3124E" w:rsidRDefault="00A3124E" w:rsidP="00A3124E">
      <w:pPr>
        <w:spacing w:after="0" w:line="240" w:lineRule="auto"/>
        <w:jc w:val="center"/>
        <w:rPr>
          <w:rFonts w:ascii="Gotham Pro LT" w:hAnsi="Gotham Pro LT" w:cs="Gotham Pro LT"/>
          <w:sz w:val="16"/>
          <w:szCs w:val="16"/>
        </w:rPr>
      </w:pPr>
    </w:p>
    <w:p w14:paraId="798DC85C" w14:textId="77777777" w:rsidR="00A3124E" w:rsidRDefault="00A3124E" w:rsidP="00A3124E">
      <w:pPr>
        <w:spacing w:after="0" w:line="240" w:lineRule="auto"/>
        <w:jc w:val="center"/>
        <w:rPr>
          <w:rFonts w:ascii="Gotham Pro LT" w:hAnsi="Gotham Pro LT" w:cs="Gotham Pro LT"/>
          <w:sz w:val="16"/>
          <w:szCs w:val="16"/>
        </w:rPr>
      </w:pPr>
    </w:p>
    <w:p w14:paraId="36865503" w14:textId="77777777" w:rsidR="00A3124E" w:rsidRDefault="00A3124E" w:rsidP="00A3124E">
      <w:pPr>
        <w:spacing w:after="0" w:line="240" w:lineRule="auto"/>
        <w:jc w:val="center"/>
        <w:rPr>
          <w:rFonts w:ascii="Gotham Pro LT" w:hAnsi="Gotham Pro LT" w:cs="Gotham Pro LT"/>
          <w:sz w:val="16"/>
          <w:szCs w:val="16"/>
        </w:rPr>
      </w:pPr>
    </w:p>
    <w:p w14:paraId="3893B9A4" w14:textId="2680CEB2" w:rsidR="00A3124E" w:rsidRDefault="00A3124E" w:rsidP="00A3124E">
      <w:pPr>
        <w:spacing w:after="0" w:line="240" w:lineRule="auto"/>
        <w:jc w:val="center"/>
        <w:rPr>
          <w:rFonts w:ascii="Gotham Pro LT" w:eastAsia="Times New Roman" w:hAnsi="Gotham Pro LT" w:cs="Gotham Pro LT"/>
          <w:sz w:val="24"/>
          <w:szCs w:val="24"/>
        </w:rPr>
      </w:pPr>
      <w:r w:rsidRPr="00275A40">
        <w:rPr>
          <w:rFonts w:ascii="Gotham Pro LT" w:eastAsia="Times New Roman" w:hAnsi="Gotham Pro LT" w:cs="Gotham Pro LT"/>
          <w:sz w:val="24"/>
          <w:szCs w:val="24"/>
        </w:rPr>
        <w:t>Rīgā</w:t>
      </w:r>
    </w:p>
    <w:p w14:paraId="1645AD6F" w14:textId="77777777" w:rsidR="00A3124E" w:rsidRPr="00275A40" w:rsidRDefault="00A3124E" w:rsidP="00A3124E">
      <w:pPr>
        <w:spacing w:after="0" w:line="240" w:lineRule="auto"/>
        <w:jc w:val="center"/>
        <w:rPr>
          <w:rFonts w:ascii="Gotham Pro LT" w:eastAsia="Times New Roman" w:hAnsi="Gotham Pro LT" w:cs="Gotham Pro LT"/>
          <w:sz w:val="24"/>
          <w:szCs w:val="24"/>
        </w:rPr>
      </w:pPr>
    </w:p>
    <w:tbl>
      <w:tblPr>
        <w:tblW w:w="9464" w:type="dxa"/>
        <w:tblLayout w:type="fixed"/>
        <w:tblLook w:val="0000" w:firstRow="0" w:lastRow="0" w:firstColumn="0" w:lastColumn="0" w:noHBand="0" w:noVBand="0"/>
      </w:tblPr>
      <w:tblGrid>
        <w:gridCol w:w="4928"/>
        <w:gridCol w:w="4536"/>
      </w:tblGrid>
      <w:tr w:rsidR="00A3124E" w:rsidRPr="002116F9" w14:paraId="2103C668" w14:textId="77777777" w:rsidTr="00CC2AF0">
        <w:trPr>
          <w:cantSplit/>
          <w:trHeight w:val="971"/>
        </w:trPr>
        <w:tc>
          <w:tcPr>
            <w:tcW w:w="4928" w:type="dxa"/>
          </w:tcPr>
          <w:p w14:paraId="0A1B4189" w14:textId="77777777" w:rsidR="00A3124E" w:rsidRPr="00275A40" w:rsidRDefault="00A3124E" w:rsidP="00CC2AF0">
            <w:pPr>
              <w:spacing w:after="0" w:line="480" w:lineRule="auto"/>
              <w:jc w:val="both"/>
              <w:rPr>
                <w:rFonts w:ascii="Gotham Pro LT" w:eastAsia="Times New Roman" w:hAnsi="Gotham Pro LT" w:cs="Gotham Pro LT"/>
                <w:szCs w:val="18"/>
              </w:rPr>
            </w:pPr>
            <w:r>
              <w:rPr>
                <w:rFonts w:ascii="Gotham Pro LT" w:eastAsia="Times New Roman" w:hAnsi="Gotham Pro LT" w:cs="Gotham Pro LT"/>
                <w:sz w:val="24"/>
                <w:szCs w:val="20"/>
              </w:rPr>
              <w:t xml:space="preserve">04.08.2021. </w:t>
            </w:r>
            <w:r w:rsidRPr="00275A40">
              <w:rPr>
                <w:rFonts w:ascii="Gotham Pro LT" w:eastAsia="Times New Roman" w:hAnsi="Gotham Pro LT" w:cs="Gotham Pro LT"/>
                <w:sz w:val="24"/>
                <w:szCs w:val="20"/>
              </w:rPr>
              <w:t>Nr.</w:t>
            </w:r>
            <w:r>
              <w:rPr>
                <w:rFonts w:ascii="Gotham Pro LT" w:eastAsia="Times New Roman" w:hAnsi="Gotham Pro LT" w:cs="Gotham Pro LT"/>
                <w:sz w:val="24"/>
                <w:szCs w:val="20"/>
              </w:rPr>
              <w:t xml:space="preserve"> </w:t>
            </w:r>
            <w:r w:rsidRPr="00715ACF">
              <w:rPr>
                <w:rFonts w:ascii="Gotham Pro LT" w:eastAsia="Times New Roman" w:hAnsi="Gotham Pro LT" w:cs="Gotham Pro LT"/>
                <w:sz w:val="24"/>
                <w:szCs w:val="20"/>
              </w:rPr>
              <w:t>07/02-16/78</w:t>
            </w:r>
          </w:p>
          <w:p w14:paraId="52ADDFD0" w14:textId="77777777" w:rsidR="00A3124E" w:rsidRPr="00275A40" w:rsidRDefault="00A3124E" w:rsidP="00CC2AF0">
            <w:pPr>
              <w:spacing w:after="0" w:line="480" w:lineRule="auto"/>
              <w:jc w:val="both"/>
              <w:rPr>
                <w:rFonts w:ascii="Gotham Pro LT" w:eastAsia="Times New Roman" w:hAnsi="Gotham Pro LT" w:cs="Gotham Pro LT"/>
                <w:sz w:val="24"/>
                <w:szCs w:val="20"/>
              </w:rPr>
            </w:pPr>
            <w:r w:rsidRPr="00275A40">
              <w:rPr>
                <w:rFonts w:ascii="Gotham Pro LT" w:eastAsia="Times New Roman" w:hAnsi="Gotham Pro LT" w:cs="Gotham Pro LT"/>
                <w:sz w:val="24"/>
                <w:szCs w:val="20"/>
              </w:rPr>
              <w:t xml:space="preserve">Uz </w:t>
            </w:r>
            <w:r>
              <w:rPr>
                <w:rFonts w:ascii="Gotham Pro LT" w:eastAsia="Times New Roman" w:hAnsi="Gotham Pro LT" w:cs="Gotham Pro LT"/>
                <w:sz w:val="24"/>
                <w:szCs w:val="20"/>
              </w:rPr>
              <w:t>28.07.2021</w:t>
            </w:r>
            <w:r w:rsidRPr="00275A40">
              <w:rPr>
                <w:rFonts w:ascii="Gotham Pro LT" w:eastAsia="Times New Roman" w:hAnsi="Gotham Pro LT" w:cs="Gotham Pro LT"/>
                <w:sz w:val="24"/>
                <w:szCs w:val="20"/>
              </w:rPr>
              <w:t xml:space="preserve"> Nr.</w:t>
            </w:r>
            <w:r>
              <w:rPr>
                <w:rFonts w:ascii="Gotham Pro LT" w:eastAsia="Times New Roman" w:hAnsi="Gotham Pro LT" w:cs="Gotham Pro LT"/>
                <w:sz w:val="24"/>
                <w:szCs w:val="20"/>
              </w:rPr>
              <w:t xml:space="preserve"> </w:t>
            </w:r>
            <w:bookmarkStart w:id="0" w:name="lietas_nr"/>
            <w:r w:rsidRPr="00004EDB">
              <w:rPr>
                <w:szCs w:val="24"/>
              </w:rPr>
              <w:fldChar w:fldCharType="begin">
                <w:ffData>
                  <w:name w:val="lietas_nr"/>
                  <w:enabled/>
                  <w:calcOnExit w:val="0"/>
                  <w:textInput>
                    <w:default w:val="                "/>
                  </w:textInput>
                </w:ffData>
              </w:fldChar>
            </w:r>
            <w:r w:rsidRPr="00004EDB">
              <w:rPr>
                <w:szCs w:val="24"/>
              </w:rPr>
              <w:instrText xml:space="preserve"> FORMTEXT </w:instrText>
            </w:r>
            <w:r w:rsidRPr="00004EDB">
              <w:rPr>
                <w:szCs w:val="24"/>
              </w:rPr>
            </w:r>
            <w:r w:rsidRPr="00004EDB">
              <w:rPr>
                <w:szCs w:val="24"/>
              </w:rPr>
              <w:fldChar w:fldCharType="separate"/>
            </w:r>
            <w:r w:rsidRPr="00004EDB">
              <w:rPr>
                <w:szCs w:val="24"/>
              </w:rPr>
              <w:t>2.1-19/17/</w:t>
            </w:r>
            <w:r w:rsidRPr="00004EDB">
              <w:rPr>
                <w:szCs w:val="24"/>
              </w:rPr>
              <w:fldChar w:fldCharType="end"/>
            </w:r>
            <w:bookmarkEnd w:id="0"/>
            <w:r w:rsidRPr="00004EDB">
              <w:rPr>
                <w:szCs w:val="24"/>
              </w:rPr>
              <w:t>/</w:t>
            </w:r>
            <w:bookmarkStart w:id="1" w:name="reg_num"/>
            <w:r w:rsidRPr="00004EDB">
              <w:rPr>
                <w:szCs w:val="24"/>
              </w:rPr>
              <w:fldChar w:fldCharType="begin">
                <w:ffData>
                  <w:name w:val="reg_num"/>
                  <w:enabled/>
                  <w:calcOnExit w:val="0"/>
                  <w:textInput>
                    <w:default w:val="            "/>
                  </w:textInput>
                </w:ffData>
              </w:fldChar>
            </w:r>
            <w:r w:rsidRPr="00004EDB">
              <w:rPr>
                <w:szCs w:val="24"/>
              </w:rPr>
              <w:instrText xml:space="preserve"> FORMTEXT </w:instrText>
            </w:r>
            <w:r w:rsidRPr="00004EDB">
              <w:rPr>
                <w:szCs w:val="24"/>
              </w:rPr>
            </w:r>
            <w:r w:rsidRPr="00004EDB">
              <w:rPr>
                <w:szCs w:val="24"/>
              </w:rPr>
              <w:fldChar w:fldCharType="separate"/>
            </w:r>
            <w:r w:rsidRPr="00004EDB">
              <w:rPr>
                <w:szCs w:val="24"/>
              </w:rPr>
              <w:t>4270</w:t>
            </w:r>
            <w:r w:rsidRPr="00004EDB">
              <w:rPr>
                <w:szCs w:val="24"/>
              </w:rPr>
              <w:fldChar w:fldCharType="end"/>
            </w:r>
            <w:bookmarkEnd w:id="1"/>
          </w:p>
        </w:tc>
        <w:tc>
          <w:tcPr>
            <w:tcW w:w="4536" w:type="dxa"/>
          </w:tcPr>
          <w:p w14:paraId="73700D7E" w14:textId="77777777" w:rsidR="00A3124E" w:rsidRPr="002116F9" w:rsidRDefault="00A3124E" w:rsidP="00CC2AF0">
            <w:pPr>
              <w:spacing w:after="0" w:line="240" w:lineRule="auto"/>
              <w:jc w:val="right"/>
              <w:rPr>
                <w:rFonts w:ascii="Gotham Pro LT" w:eastAsia="Times New Roman" w:hAnsi="Gotham Pro LT" w:cs="Gotham Pro LT"/>
                <w:b/>
                <w:bCs/>
              </w:rPr>
            </w:pPr>
            <w:r w:rsidRPr="002116F9">
              <w:rPr>
                <w:rFonts w:ascii="Gotham Pro LT" w:eastAsia="Times New Roman" w:hAnsi="Gotham Pro LT" w:cs="Gotham Pro LT"/>
                <w:b/>
                <w:bCs/>
              </w:rPr>
              <w:t>Finanšu ministrijai</w:t>
            </w:r>
          </w:p>
          <w:p w14:paraId="2CC2A04C" w14:textId="77777777" w:rsidR="00A3124E" w:rsidRPr="002116F9" w:rsidRDefault="00531F4A" w:rsidP="00CC2AF0">
            <w:pPr>
              <w:spacing w:after="0" w:line="240" w:lineRule="auto"/>
              <w:jc w:val="right"/>
              <w:rPr>
                <w:rFonts w:ascii="Gotham Pro LT" w:hAnsi="Gotham Pro LT" w:cs="Gotham Pro LT"/>
              </w:rPr>
            </w:pPr>
            <w:hyperlink r:id="rId15" w:history="1">
              <w:r w:rsidR="00A3124E" w:rsidRPr="002116F9">
                <w:rPr>
                  <w:rStyle w:val="Hyperlink"/>
                  <w:rFonts w:ascii="Gotham Pro LT" w:hAnsi="Gotham Pro LT" w:cs="Gotham Pro LT"/>
                </w:rPr>
                <w:t>pasts@fm.gov.lv</w:t>
              </w:r>
            </w:hyperlink>
            <w:r w:rsidR="00A3124E" w:rsidRPr="002116F9">
              <w:rPr>
                <w:rFonts w:ascii="Gotham Pro LT" w:hAnsi="Gotham Pro LT" w:cs="Gotham Pro LT"/>
              </w:rPr>
              <w:t xml:space="preserve"> </w:t>
            </w:r>
          </w:p>
          <w:p w14:paraId="418C5176" w14:textId="77777777" w:rsidR="00A3124E" w:rsidRPr="002116F9" w:rsidRDefault="00531F4A" w:rsidP="00CC2AF0">
            <w:pPr>
              <w:spacing w:after="0" w:line="240" w:lineRule="auto"/>
              <w:jc w:val="right"/>
              <w:rPr>
                <w:rFonts w:ascii="Gotham Pro LT" w:hAnsi="Gotham Pro LT" w:cs="Gotham Pro LT"/>
              </w:rPr>
            </w:pPr>
            <w:hyperlink r:id="rId16" w:history="1">
              <w:r w:rsidR="00A3124E">
                <w:rPr>
                  <w:rStyle w:val="Hyperlink"/>
                  <w:rFonts w:ascii="Gotham Pro LT" w:hAnsi="Gotham Pro LT" w:cs="Gotham Pro LT"/>
                </w:rPr>
                <w:t>E</w:t>
              </w:r>
              <w:r w:rsidR="00A3124E" w:rsidRPr="002116F9">
                <w:rPr>
                  <w:rStyle w:val="Hyperlink"/>
                  <w:rFonts w:ascii="Gotham Pro LT" w:hAnsi="Gotham Pro LT" w:cs="Gotham Pro LT"/>
                </w:rPr>
                <w:t>gita.</w:t>
              </w:r>
              <w:r w:rsidR="00A3124E">
                <w:rPr>
                  <w:rStyle w:val="Hyperlink"/>
                  <w:rFonts w:ascii="Gotham Pro LT" w:hAnsi="Gotham Pro LT" w:cs="Gotham Pro LT"/>
                </w:rPr>
                <w:t>S</w:t>
              </w:r>
              <w:r w:rsidR="00A3124E" w:rsidRPr="002116F9">
                <w:rPr>
                  <w:rStyle w:val="Hyperlink"/>
                  <w:rFonts w:ascii="Gotham Pro LT" w:hAnsi="Gotham Pro LT" w:cs="Gotham Pro LT"/>
                </w:rPr>
                <w:t>kibele@fm.gov.lv</w:t>
              </w:r>
            </w:hyperlink>
          </w:p>
          <w:p w14:paraId="3F1DEB24" w14:textId="77777777" w:rsidR="00A3124E" w:rsidRPr="002116F9" w:rsidRDefault="00A3124E" w:rsidP="00CC2AF0">
            <w:pPr>
              <w:spacing w:after="0" w:line="240" w:lineRule="auto"/>
              <w:jc w:val="right"/>
              <w:rPr>
                <w:rFonts w:ascii="Gotham Pro LT" w:hAnsi="Gotham Pro LT" w:cs="Gotham Pro LT"/>
              </w:rPr>
            </w:pPr>
          </w:p>
          <w:p w14:paraId="79D2A4A8" w14:textId="77777777" w:rsidR="00A3124E" w:rsidRPr="002116F9" w:rsidRDefault="00A3124E" w:rsidP="00CC2AF0">
            <w:pPr>
              <w:spacing w:after="0" w:line="240" w:lineRule="auto"/>
              <w:jc w:val="right"/>
              <w:rPr>
                <w:rFonts w:ascii="Gotham Pro LT" w:eastAsia="Times New Roman" w:hAnsi="Gotham Pro LT" w:cs="Gotham Pro LT"/>
                <w:sz w:val="24"/>
                <w:szCs w:val="24"/>
              </w:rPr>
            </w:pPr>
          </w:p>
        </w:tc>
      </w:tr>
    </w:tbl>
    <w:p w14:paraId="28DF438C" w14:textId="77777777" w:rsidR="00A3124E" w:rsidRPr="002116F9" w:rsidRDefault="00A3124E" w:rsidP="00A3124E">
      <w:pPr>
        <w:rPr>
          <w:rFonts w:ascii="Gotham Pro LT" w:hAnsi="Gotham Pro LT" w:cs="Gotham Pro LT"/>
          <w:b/>
          <w:bCs/>
          <w:i/>
          <w:iCs/>
        </w:rPr>
      </w:pPr>
      <w:r w:rsidRPr="00715ACF">
        <w:rPr>
          <w:rFonts w:ascii="Gotham Pro LT" w:hAnsi="Gotham Pro LT" w:cs="Gotham Pro LT"/>
          <w:i/>
          <w:iCs/>
        </w:rPr>
        <w:t>Par</w:t>
      </w:r>
      <w:r w:rsidRPr="002116F9">
        <w:rPr>
          <w:rFonts w:ascii="Gotham Pro LT" w:hAnsi="Gotham Pro LT" w:cs="Gotham Pro LT"/>
          <w:b/>
          <w:bCs/>
          <w:i/>
          <w:iCs/>
        </w:rPr>
        <w:t xml:space="preserve"> </w:t>
      </w:r>
      <w:r>
        <w:rPr>
          <w:i/>
          <w:iCs/>
          <w:szCs w:val="24"/>
          <w:lang w:eastAsia="lv-LV"/>
        </w:rPr>
        <w:t>informatīvā ziņojuma saskaņošanu</w:t>
      </w:r>
    </w:p>
    <w:p w14:paraId="182F1B71" w14:textId="77777777" w:rsidR="00A3124E" w:rsidRDefault="00A3124E" w:rsidP="00A3124E">
      <w:pPr>
        <w:spacing w:after="120" w:line="240" w:lineRule="auto"/>
        <w:ind w:firstLine="720"/>
        <w:jc w:val="both"/>
        <w:rPr>
          <w:rFonts w:ascii="Gotham Pro LT" w:hAnsi="Gotham Pro LT" w:cs="Gotham Pro LT"/>
        </w:rPr>
      </w:pPr>
      <w:r w:rsidRPr="00816821">
        <w:rPr>
          <w:rFonts w:ascii="Gotham Pro LT" w:eastAsia="Times New Roman" w:hAnsi="Gotham Pro LT" w:cs="Gotham Pro LT"/>
        </w:rPr>
        <w:t xml:space="preserve">Biedrība “Latvijas Transportlīdzekļu apdrošinātāju birojs” (turpmāk – LTAB) ir iepazinusies ar </w:t>
      </w:r>
      <w:r>
        <w:rPr>
          <w:rFonts w:ascii="Gotham Pro LT" w:eastAsia="Times New Roman" w:hAnsi="Gotham Pro LT" w:cs="Gotham Pro LT"/>
        </w:rPr>
        <w:t xml:space="preserve">Finanšu </w:t>
      </w:r>
      <w:r w:rsidRPr="00816821">
        <w:rPr>
          <w:rFonts w:ascii="Gotham Pro LT" w:eastAsia="Times New Roman" w:hAnsi="Gotham Pro LT" w:cs="Gotham Pro LT"/>
        </w:rPr>
        <w:t xml:space="preserve">ministrijas izstrādāto </w:t>
      </w:r>
      <w:r>
        <w:rPr>
          <w:rFonts w:ascii="Gotham Pro LT" w:eastAsia="Times New Roman" w:hAnsi="Gotham Pro LT" w:cs="Gotham Pro LT"/>
        </w:rPr>
        <w:t xml:space="preserve">informatīvo ziņojumu </w:t>
      </w:r>
      <w:r w:rsidRPr="002D153B">
        <w:rPr>
          <w:color w:val="000000"/>
          <w:szCs w:val="24"/>
        </w:rPr>
        <w:t>“Par Sauszemes transportlīdzekļu īpašnieku civiltiesiskās atbildības obligātās apdrošināšanas likuma 14.pantā noteiktā tiesiskā regulējuma izvērtējumu”</w:t>
      </w:r>
      <w:r w:rsidRPr="00B03262">
        <w:rPr>
          <w:color w:val="000000"/>
          <w:szCs w:val="24"/>
        </w:rPr>
        <w:t xml:space="preserve"> (turpmāk – </w:t>
      </w:r>
      <w:r>
        <w:rPr>
          <w:color w:val="000000"/>
          <w:szCs w:val="24"/>
        </w:rPr>
        <w:t>informatīvā zi</w:t>
      </w:r>
      <w:r w:rsidRPr="004816C3">
        <w:rPr>
          <w:color w:val="000000"/>
          <w:szCs w:val="24"/>
        </w:rPr>
        <w:t>ņ</w:t>
      </w:r>
      <w:r>
        <w:rPr>
          <w:color w:val="000000"/>
          <w:szCs w:val="24"/>
        </w:rPr>
        <w:t>ojuma</w:t>
      </w:r>
      <w:r w:rsidRPr="00B03262">
        <w:rPr>
          <w:color w:val="000000"/>
          <w:szCs w:val="24"/>
        </w:rPr>
        <w:t xml:space="preserve"> projekts) un tam pievienoto Ministru kabineta sēdes protokollēmuma projektu “</w:t>
      </w:r>
      <w:r w:rsidRPr="002D153B">
        <w:rPr>
          <w:color w:val="000000"/>
          <w:szCs w:val="24"/>
        </w:rPr>
        <w:t>Par informatīvo ziņojumu</w:t>
      </w:r>
      <w:r>
        <w:rPr>
          <w:color w:val="000000"/>
          <w:szCs w:val="24"/>
        </w:rPr>
        <w:t xml:space="preserve"> </w:t>
      </w:r>
      <w:r w:rsidRPr="002D153B">
        <w:rPr>
          <w:color w:val="000000"/>
          <w:szCs w:val="24"/>
        </w:rPr>
        <w:t>“Par Sauszemes transportlīdzekļu īpašnieku civiltiesiskās atbildības obligātās apdrošināšanas likuma 14.pantā noteiktā tiesiskā regulējuma izvērtējumu”</w:t>
      </w:r>
      <w:r w:rsidRPr="00B03262">
        <w:rPr>
          <w:color w:val="000000"/>
          <w:szCs w:val="24"/>
        </w:rPr>
        <w:t xml:space="preserve"> (turpmāk – protokollēmuma projekts)</w:t>
      </w:r>
      <w:r w:rsidRPr="00816821">
        <w:rPr>
          <w:rFonts w:ascii="Gotham Pro LT" w:hAnsi="Gotham Pro LT" w:cs="Gotham Pro LT"/>
        </w:rPr>
        <w:t>, un informē, ka LTAB izsaka šādus iebildumus:</w:t>
      </w:r>
    </w:p>
    <w:p w14:paraId="623C7FC3" w14:textId="77777777" w:rsidR="00A3124E" w:rsidRDefault="00A3124E" w:rsidP="00A3124E">
      <w:pPr>
        <w:spacing w:after="120" w:line="240" w:lineRule="auto"/>
        <w:ind w:firstLine="720"/>
        <w:jc w:val="both"/>
        <w:rPr>
          <w:rFonts w:ascii="Gotham Pro LT" w:hAnsi="Gotham Pro LT" w:cs="Gotham Pro LT"/>
          <w:u w:val="single"/>
        </w:rPr>
      </w:pPr>
    </w:p>
    <w:p w14:paraId="45FE4125" w14:textId="77777777" w:rsidR="00A3124E" w:rsidRPr="007E2D7E" w:rsidRDefault="00A3124E" w:rsidP="00A3124E">
      <w:pPr>
        <w:spacing w:after="120" w:line="240" w:lineRule="auto"/>
        <w:ind w:firstLine="720"/>
        <w:jc w:val="both"/>
        <w:rPr>
          <w:rFonts w:ascii="Gotham Pro LT" w:hAnsi="Gotham Pro LT" w:cs="Gotham Pro LT"/>
          <w:i/>
          <w:iCs/>
        </w:rPr>
      </w:pPr>
      <w:r w:rsidRPr="00004EDB">
        <w:rPr>
          <w:rFonts w:ascii="Gotham Pro LT" w:hAnsi="Gotham Pro LT" w:cs="Gotham Pro LT"/>
        </w:rPr>
        <w:t xml:space="preserve">LTAB </w:t>
      </w:r>
      <w:r>
        <w:rPr>
          <w:rFonts w:ascii="Gotham Pro LT" w:hAnsi="Gotham Pro LT" w:cs="Gotham Pro LT"/>
          <w:b/>
          <w:bCs/>
          <w:u w:val="single"/>
        </w:rPr>
        <w:t xml:space="preserve">noteikti </w:t>
      </w:r>
      <w:r w:rsidRPr="00066B36">
        <w:rPr>
          <w:rFonts w:ascii="Gotham Pro LT" w:hAnsi="Gotham Pro LT" w:cs="Gotham Pro LT"/>
          <w:b/>
          <w:bCs/>
          <w:u w:val="single"/>
        </w:rPr>
        <w:t>nepiekrīt</w:t>
      </w:r>
      <w:r w:rsidRPr="00004EDB">
        <w:rPr>
          <w:rFonts w:ascii="Gotham Pro LT" w:hAnsi="Gotham Pro LT" w:cs="Gotham Pro LT"/>
        </w:rPr>
        <w:t xml:space="preserve">, informatīvajā </w:t>
      </w:r>
      <w:r>
        <w:rPr>
          <w:rFonts w:ascii="Gotham Pro LT" w:hAnsi="Gotham Pro LT" w:cs="Gotham Pro LT"/>
        </w:rPr>
        <w:t>ziņojumā izdarītajam</w:t>
      </w:r>
      <w:r w:rsidRPr="00004EDB">
        <w:rPr>
          <w:rFonts w:ascii="Gotham Pro LT" w:hAnsi="Gotham Pro LT" w:cs="Gotham Pro LT"/>
        </w:rPr>
        <w:t xml:space="preserve"> secinājumam</w:t>
      </w:r>
      <w:r>
        <w:rPr>
          <w:rFonts w:ascii="Gotham Pro LT" w:hAnsi="Gotham Pro LT" w:cs="Gotham Pro LT"/>
        </w:rPr>
        <w:t xml:space="preserve"> (informatīvā ziņojuma 11. lapa),</w:t>
      </w:r>
      <w:r w:rsidRPr="00004EDB">
        <w:rPr>
          <w:rFonts w:ascii="Gotham Pro LT" w:hAnsi="Gotham Pro LT" w:cs="Gotham Pro LT"/>
        </w:rPr>
        <w:t xml:space="preserve"> </w:t>
      </w:r>
      <w:r w:rsidRPr="007E2D7E">
        <w:rPr>
          <w:rFonts w:ascii="Gotham Pro LT" w:hAnsi="Gotham Pro LT" w:cs="Gotham Pro LT"/>
          <w:i/>
          <w:iCs/>
        </w:rPr>
        <w:t>ka ņemot vērā 2021.gada  (10.janvārī un 1.jūlijā) spēkā stājušās izmaiņas OCTA likuma 14.panta regulējumā, kas vienlaikus gan nosaka ierobežojumus, gan paplašina apdrošināšanas prēmijas samazinājuma saņēmēju loku, pašreizējā brīdī var sniegt tikai pirmsšķietamu šo grozījumu ietekmes novērtējumu, līdz ar to apdrošināšanas prēmijas samazinājuma pārskatīšana pašreizējā brīdī ir pāragra, jo būtu lietderīgi izvērtēt nesen spēkā stājušā regulējuma ietekmi ilgākā termiņā pirms atkārtotu grozījumu veikšanas.</w:t>
      </w:r>
      <w:r w:rsidRPr="007E2D7E">
        <w:rPr>
          <w:rFonts w:ascii="Times New Roman" w:hAnsi="Times New Roman" w:cs="Times New Roman"/>
          <w:i/>
          <w:iCs/>
          <w:sz w:val="24"/>
          <w:szCs w:val="24"/>
        </w:rPr>
        <w:t xml:space="preserve"> </w:t>
      </w:r>
    </w:p>
    <w:p w14:paraId="4615F219" w14:textId="77777777" w:rsidR="00A3124E" w:rsidRDefault="00A3124E" w:rsidP="00A3124E">
      <w:pPr>
        <w:spacing w:after="0"/>
        <w:ind w:firstLine="720"/>
        <w:jc w:val="both"/>
        <w:rPr>
          <w:rFonts w:ascii="Gotham Pro LT" w:hAnsi="Gotham Pro LT" w:cs="Gotham Pro LT"/>
        </w:rPr>
      </w:pPr>
      <w:r>
        <w:rPr>
          <w:rFonts w:ascii="Gotham Pro LT" w:hAnsi="Gotham Pro LT" w:cs="Gotham Pro LT"/>
          <w:u w:val="single"/>
        </w:rPr>
        <w:t xml:space="preserve">Pamatojums: </w:t>
      </w:r>
      <w:r w:rsidRPr="00841700">
        <w:rPr>
          <w:rFonts w:ascii="Gotham Pro LT" w:hAnsi="Gotham Pro LT" w:cs="Gotham Pro LT"/>
        </w:rPr>
        <w:t xml:space="preserve">Vēlamies uzsvērt, ka saskaņā ar OCTA likumu apdrošinātāji izveido un LTAB administrē Garantijas fondu, un tā </w:t>
      </w:r>
      <w:r w:rsidRPr="007E2D7E">
        <w:rPr>
          <w:rFonts w:ascii="Gotham Pro LT" w:hAnsi="Gotham Pro LT" w:cs="Gotham Pro LT"/>
          <w:b/>
          <w:bCs/>
          <w:u w:val="single"/>
        </w:rPr>
        <w:t>izveides mērķis ir</w:t>
      </w:r>
      <w:r w:rsidRPr="00841700">
        <w:rPr>
          <w:rFonts w:ascii="Gotham Pro LT" w:hAnsi="Gotham Pro LT" w:cs="Gotham Pro LT"/>
        </w:rPr>
        <w:t xml:space="preserve"> veikt zaudējumu atlīdzības izmaksu ceļu satiksmes negadījumā cietušajām personām, ja zaudējumus nodarījis neapdrošināts vai nenoskaidrots transportlīdzeklis, t.sk., gadījumā, kad ceļu satiksmes negadījums noticis ārpus Latvijas), vai ir iestājusies apdrošināšanas sabiedrības maksātnespēja (OCTA likuma  51. pants). Minētais regulējums īsteno Eiropas Parlamenta un Padomes 2009.gada 16.septembra direktīvā Nr.2009/103/EK par civiltiesiskās atbildības apdrošināšanu saistībā ar mehānisko transportlīdzekļu izmantošanu un kontroli saistībā ar pienākumu apdrošināt šādu atbildību noteikto dalībvalsts pienākumu un Zaļās kartes sistēmas dokumentos noteikto dalībvalsts pienākumu izveidot šādu fondu un nodrošināt tā darbību.</w:t>
      </w:r>
      <w:r>
        <w:rPr>
          <w:rFonts w:ascii="Gotham Pro LT" w:hAnsi="Gotham Pro LT" w:cs="Gotham Pro LT"/>
        </w:rPr>
        <w:t xml:space="preserve"> Garantijas fonda izmantošana OCTA prēmijas samazinājuma (atlaižu) finansēšanai ir pretēja Garantijas fonda mērķim, turklāt, kā norādīts pašā informatīvā ziņojuma tekstā: “</w:t>
      </w:r>
      <w:r w:rsidRPr="007E2D7E">
        <w:rPr>
          <w:rFonts w:ascii="Times New Roman" w:hAnsi="Times New Roman" w:cs="Times New Roman"/>
          <w:i/>
          <w:sz w:val="24"/>
          <w:szCs w:val="24"/>
        </w:rPr>
        <w:t xml:space="preserve">pieņemot lēmumu par tālāko </w:t>
      </w:r>
      <w:r w:rsidRPr="007E2D7E">
        <w:rPr>
          <w:rFonts w:ascii="Times New Roman" w:hAnsi="Times New Roman" w:cs="Times New Roman"/>
          <w:i/>
          <w:sz w:val="24"/>
          <w:szCs w:val="24"/>
        </w:rPr>
        <w:lastRenderedPageBreak/>
        <w:t>rīcību ar OCTA likuma 14.pantā noteikto regulējumu, būtu jāvērtē arī ietekme uz visu sauszemes transportlīdzekļu īpašnieku interesēm</w:t>
      </w:r>
      <w:r>
        <w:rPr>
          <w:rFonts w:ascii="Times New Roman" w:hAnsi="Times New Roman" w:cs="Times New Roman"/>
          <w:iCs/>
          <w:sz w:val="24"/>
          <w:szCs w:val="24"/>
        </w:rPr>
        <w:t>.”</w:t>
      </w:r>
      <w:r w:rsidRPr="007E2D7E">
        <w:rPr>
          <w:rFonts w:ascii="Gotham Pro LT" w:hAnsi="Gotham Pro LT" w:cs="Gotham Pro LT"/>
        </w:rPr>
        <w:t xml:space="preserve"> </w:t>
      </w:r>
      <w:r>
        <w:rPr>
          <w:rFonts w:ascii="Gotham Pro LT" w:hAnsi="Gotham Pro LT" w:cs="Gotham Pro LT"/>
        </w:rPr>
        <w:t>(informatīvā ziņojuma 9. lapa).</w:t>
      </w:r>
    </w:p>
    <w:p w14:paraId="52F571C3" w14:textId="77777777" w:rsidR="00A3124E" w:rsidRDefault="00A3124E" w:rsidP="00A3124E">
      <w:pPr>
        <w:spacing w:after="0"/>
        <w:ind w:firstLine="720"/>
        <w:jc w:val="both"/>
        <w:rPr>
          <w:rFonts w:ascii="Gotham Pro LT" w:hAnsi="Gotham Pro LT" w:cs="Gotham Pro LT"/>
        </w:rPr>
      </w:pPr>
    </w:p>
    <w:p w14:paraId="2D1A2706" w14:textId="77777777" w:rsidR="00A3124E" w:rsidRDefault="00A3124E" w:rsidP="00A3124E">
      <w:pPr>
        <w:spacing w:after="0"/>
        <w:ind w:firstLine="720"/>
        <w:jc w:val="both"/>
        <w:rPr>
          <w:rFonts w:ascii="Gotham Pro LT" w:hAnsi="Gotham Pro LT" w:cs="Gotham Pro LT"/>
        </w:rPr>
      </w:pPr>
      <w:r w:rsidRPr="0034771E">
        <w:rPr>
          <w:color w:val="000000"/>
          <w:sz w:val="24"/>
          <w:szCs w:val="24"/>
        </w:rPr>
        <w:t xml:space="preserve"> </w:t>
      </w:r>
      <w:r w:rsidRPr="00841700">
        <w:rPr>
          <w:rFonts w:ascii="Gotham Pro LT" w:hAnsi="Gotham Pro LT" w:cs="Gotham Pro LT"/>
        </w:rPr>
        <w:t xml:space="preserve">Līdz ar </w:t>
      </w:r>
      <w:r>
        <w:rPr>
          <w:rFonts w:ascii="Gotham Pro LT" w:hAnsi="Gotham Pro LT" w:cs="Gotham Pro LT"/>
        </w:rPr>
        <w:t xml:space="preserve">to </w:t>
      </w:r>
      <w:r w:rsidRPr="00066B36">
        <w:rPr>
          <w:rFonts w:ascii="Gotham Pro LT" w:hAnsi="Gotham Pro LT" w:cs="Gotham Pro LT"/>
        </w:rPr>
        <w:t xml:space="preserve">izvērtējums </w:t>
      </w:r>
      <w:r w:rsidRPr="00841700">
        <w:rPr>
          <w:rFonts w:ascii="Gotham Pro LT" w:hAnsi="Gotham Pro LT" w:cs="Gotham Pro LT"/>
        </w:rPr>
        <w:t xml:space="preserve">par OCTA likuma 14.pantā noteikto tiesisko regulējumu attiecībā uz apdrošināšanas prēmijas maksājuma samazinājumu un iespējamo šā maksājuma samazinājuma pakāpenisku atcelšanu un turpmāko risinājumu </w:t>
      </w:r>
      <w:r w:rsidRPr="007E2D7E">
        <w:rPr>
          <w:rFonts w:ascii="Gotham Pro LT" w:hAnsi="Gotham Pro LT" w:cs="Gotham Pro LT"/>
          <w:b/>
          <w:bCs/>
          <w:u w:val="single"/>
        </w:rPr>
        <w:t xml:space="preserve">nav atkarīgs no 2021. gada grozījumu finansiālās ietekmes izvērtējuma uz Garantijas fondu. </w:t>
      </w:r>
      <w:r>
        <w:rPr>
          <w:rFonts w:ascii="Gotham Pro LT" w:hAnsi="Gotham Pro LT" w:cs="Gotham Pro LT"/>
        </w:rPr>
        <w:t xml:space="preserve"> Turklāt arī pašā informatīvā ziņojuma tekstā ir atrodamas norādes, ka 2021. gada grozījumu ietekme uz Garantijas fonda pirmšķietami vērtējama kā neitrāla. </w:t>
      </w:r>
    </w:p>
    <w:p w14:paraId="5F57DB35" w14:textId="77777777" w:rsidR="00A3124E" w:rsidRDefault="00A3124E" w:rsidP="00A3124E">
      <w:pPr>
        <w:spacing w:after="0"/>
        <w:ind w:firstLine="720"/>
        <w:jc w:val="both"/>
        <w:rPr>
          <w:rFonts w:ascii="Gotham Pro LT" w:hAnsi="Gotham Pro LT" w:cs="Gotham Pro LT"/>
        </w:rPr>
      </w:pPr>
    </w:p>
    <w:p w14:paraId="48816BC7" w14:textId="77777777" w:rsidR="00A3124E" w:rsidRDefault="00A3124E" w:rsidP="00A3124E">
      <w:pPr>
        <w:spacing w:after="0" w:line="240" w:lineRule="auto"/>
        <w:ind w:firstLine="600"/>
        <w:jc w:val="both"/>
        <w:rPr>
          <w:rFonts w:ascii="Gotham Pro LT" w:hAnsi="Gotham Pro LT" w:cs="Gotham Pro LT"/>
        </w:rPr>
      </w:pPr>
      <w:r w:rsidRPr="00225CD2">
        <w:rPr>
          <w:rFonts w:ascii="Gotham Pro LT" w:hAnsi="Gotham Pro LT" w:cs="Gotham Pro LT"/>
        </w:rPr>
        <w:t>Vienlaikus jāpiebilst, ka saskaņā ar OCTA direktīvas gaidāmajiem grozījumiem, kas šobrīd ir finiša taisnē un kuri dalībvalstīm būs jāievieš 24 mēnešu laikā pēc to publicēšanas (</w:t>
      </w:r>
      <w:hyperlink r:id="rId17" w:history="1">
        <w:r w:rsidRPr="00225CD2">
          <w:rPr>
            <w:rFonts w:ascii="Gotham Pro LT" w:hAnsi="Gotham Pro LT" w:cs="Gotham Pro LT"/>
          </w:rPr>
          <w:t>https://eur-lex.europa.eu/procedure/EN/2018_168</w:t>
        </w:r>
      </w:hyperlink>
      <w:r w:rsidRPr="00225CD2">
        <w:rPr>
          <w:rFonts w:ascii="Gotham Pro LT" w:hAnsi="Gotham Pro LT" w:cs="Gotham Pro LT"/>
        </w:rPr>
        <w:t xml:space="preserve">), izriet, </w:t>
      </w:r>
      <w:r w:rsidRPr="00225CD2">
        <w:rPr>
          <w:rFonts w:ascii="Gotham Pro LT" w:hAnsi="Gotham Pro LT" w:cs="Gotham Pro LT"/>
          <w:b/>
          <w:bCs/>
          <w:u w:val="single"/>
        </w:rPr>
        <w:t>ka Garantijas fondam var tikt uzlikts papildus finansiālais slogs</w:t>
      </w:r>
      <w:r w:rsidRPr="00225CD2">
        <w:rPr>
          <w:rFonts w:ascii="Gotham Pro LT" w:hAnsi="Gotham Pro LT" w:cs="Gotham Pro LT"/>
        </w:rPr>
        <w:t xml:space="preserve">. Ar plānotajiem OCTA direktīvas grozījumiem tiks ieviests jauns regulējums apdrošinātāja maksātnespējas gadījumā. Dalībvalstīm būs jāizveido vai jāpilnvaro iestāde, kas segs zaudējumus apdrošinātāja maksātnespējas/likvidācijas gadījumā. Līdz ar to būs jādomā par jaunu mehānismu – institūciju, kas Latvijas gadījumā būs šī kompensācijas iestāde – jauna institūcija vai jau esošais Garantijas fonds (visticamāk, ka tas būs jau esošais Garantijas fonds). Ja tiks noteikts, ka kompensācija cietušajiem jāmaksā no Garantijas fonda arī pārrobežu lietās kā gala maksātājam, tad būs jādomā, kā nodrošināt Garantijas fonda finansiālo stabilitāti, iespējams, paredzot arī atkaitījumus no OCTA polisēm, kas izdotas ārpus Latvijas, no Latvijā reģistrētiem apdrošinātājiem, kas sniedz OCTA pakalpojumus ārpus Latvijas un kas šobrīd nav LTAB (Garantijas fonda) biedri vai kas ir LTAB biedri, bet sniedz OCTA pakalpojumus ne tikai Latvijā.  </w:t>
      </w:r>
    </w:p>
    <w:p w14:paraId="28107DDF" w14:textId="77777777" w:rsidR="00A3124E" w:rsidRPr="00225CD2" w:rsidRDefault="00A3124E" w:rsidP="00A3124E">
      <w:pPr>
        <w:spacing w:after="0" w:line="240" w:lineRule="auto"/>
        <w:ind w:firstLine="600"/>
        <w:jc w:val="both"/>
        <w:rPr>
          <w:rFonts w:ascii="Gotham Pro LT" w:hAnsi="Gotham Pro LT" w:cs="Gotham Pro LT"/>
        </w:rPr>
      </w:pPr>
    </w:p>
    <w:p w14:paraId="08750F61" w14:textId="4A256A60" w:rsidR="00A3124E" w:rsidRPr="004D7703" w:rsidRDefault="00A3124E" w:rsidP="00A23203">
      <w:pPr>
        <w:spacing w:after="0"/>
        <w:ind w:firstLine="720"/>
        <w:jc w:val="both"/>
        <w:rPr>
          <w:rFonts w:ascii="Gotham Pro LT" w:hAnsi="Gotham Pro LT" w:cs="Gotham Pro LT"/>
        </w:rPr>
      </w:pPr>
      <w:r w:rsidRPr="00225CD2">
        <w:rPr>
          <w:rFonts w:ascii="Gotham Pro LT" w:hAnsi="Gotham Pro LT" w:cs="Gotham Pro LT"/>
        </w:rPr>
        <w:t>Ņemot vērā norādīto</w:t>
      </w:r>
      <w:r>
        <w:rPr>
          <w:rFonts w:ascii="Gotham Pro LT" w:hAnsi="Gotham Pro LT" w:cs="Gotham Pro LT"/>
        </w:rPr>
        <w:t xml:space="preserve"> LTAB aicina Finanšu ministriju kā risinājumu virzīt scenāriju, kas paredz </w:t>
      </w:r>
      <w:r w:rsidRPr="00066B36">
        <w:rPr>
          <w:rFonts w:ascii="Gotham Pro LT" w:hAnsi="Gotham Pro LT" w:cs="Gotham Pro LT"/>
        </w:rPr>
        <w:t xml:space="preserve">grozījumus OCTA likumā, kas </w:t>
      </w:r>
      <w:r>
        <w:rPr>
          <w:rFonts w:ascii="Gotham Pro LT" w:hAnsi="Gotham Pro LT" w:cs="Gotham Pro LT"/>
        </w:rPr>
        <w:t>noteiktu</w:t>
      </w:r>
      <w:r w:rsidRPr="00066B36">
        <w:rPr>
          <w:rFonts w:ascii="Gotham Pro LT" w:hAnsi="Gotham Pro LT" w:cs="Gotham Pro LT"/>
        </w:rPr>
        <w:t xml:space="preserve"> OCTA likuma 14.panta otrajā un trešajā daļā noteiktā apdrošināšanas prēmijas samazinājuma pakāpenisku atcelšanu līdz 2025.gada 1.janvārim, proti, laika periodā no 2023.gada 1.jūlija līdz 2024.gada 31.decembrim prēmijas samazinājumu noteikt attiecīgi 20 un 15 procentu apmērā un atcelt to 2025.gada 1.janvārī</w:t>
      </w:r>
      <w:r>
        <w:rPr>
          <w:rFonts w:ascii="Gotham Pro LT" w:hAnsi="Gotham Pro LT" w:cs="Gotham Pro LT"/>
        </w:rPr>
        <w:t xml:space="preserve">. Šis rīcības scenārijs jau iepriekš ir padziļināti analizēts un apspriests, secinot, ka tā īstenošanas gadījumā tiktu rasts sabalansēts risinājums, nodrošinot pakāpenisku atteikšanos no novecojoša un Satversmei neatbilstoša regulējuma, vienlaikus paredzot pārejas periodu, lai rastu risinājumu  mazāk aizsargātu sabiedrības grupu interešu nodrošināšanai un aizsardzībai. </w:t>
      </w:r>
    </w:p>
    <w:p w14:paraId="0DDBAB26" w14:textId="77777777" w:rsidR="00A3124E" w:rsidRPr="004B1F87" w:rsidRDefault="00A3124E" w:rsidP="00A3124E">
      <w:pPr>
        <w:tabs>
          <w:tab w:val="left" w:pos="720"/>
          <w:tab w:val="center" w:pos="4320"/>
          <w:tab w:val="right" w:pos="8640"/>
        </w:tabs>
        <w:spacing w:after="0" w:line="240" w:lineRule="auto"/>
        <w:ind w:firstLine="851"/>
        <w:jc w:val="both"/>
        <w:rPr>
          <w:rFonts w:ascii="Gotham Pro LT" w:hAnsi="Gotham Pro LT" w:cs="Gotham Pro LT"/>
          <w:shd w:val="clear" w:color="auto" w:fill="FFFFFF"/>
        </w:rPr>
      </w:pPr>
    </w:p>
    <w:p w14:paraId="3F41790B" w14:textId="77777777" w:rsidR="00A3124E" w:rsidRPr="004B1F87" w:rsidRDefault="00A3124E" w:rsidP="00A3124E">
      <w:pPr>
        <w:tabs>
          <w:tab w:val="left" w:pos="720"/>
          <w:tab w:val="center" w:pos="4320"/>
          <w:tab w:val="right" w:pos="8640"/>
        </w:tabs>
        <w:spacing w:after="0" w:line="240" w:lineRule="auto"/>
        <w:jc w:val="both"/>
        <w:rPr>
          <w:rFonts w:ascii="Gotham Pro LT" w:hAnsi="Gotham Pro LT" w:cs="Gotham Pro LT"/>
        </w:rPr>
      </w:pPr>
      <w:r w:rsidRPr="004B1F87">
        <w:rPr>
          <w:rFonts w:ascii="Gotham Pro LT" w:hAnsi="Gotham Pro LT" w:cs="Gotham Pro LT"/>
        </w:rPr>
        <w:t xml:space="preserve">Ar cieņu, </w:t>
      </w:r>
    </w:p>
    <w:p w14:paraId="4DCD633A" w14:textId="77777777" w:rsidR="00A3124E" w:rsidRPr="004B1F87" w:rsidRDefault="00A3124E" w:rsidP="00A3124E">
      <w:pPr>
        <w:tabs>
          <w:tab w:val="left" w:pos="720"/>
          <w:tab w:val="center" w:pos="4320"/>
          <w:tab w:val="right" w:pos="8640"/>
        </w:tabs>
        <w:spacing w:after="0" w:line="240" w:lineRule="auto"/>
        <w:jc w:val="both"/>
        <w:rPr>
          <w:rFonts w:ascii="Gotham Pro LT" w:hAnsi="Gotham Pro LT" w:cs="Gotham Pro LT"/>
        </w:rPr>
      </w:pPr>
    </w:p>
    <w:p w14:paraId="5B6485CE" w14:textId="77777777" w:rsidR="00A3124E" w:rsidRPr="004B1F87" w:rsidRDefault="00A3124E" w:rsidP="00A3124E">
      <w:pPr>
        <w:tabs>
          <w:tab w:val="left" w:pos="720"/>
          <w:tab w:val="center" w:pos="4320"/>
          <w:tab w:val="right" w:pos="8640"/>
        </w:tabs>
        <w:spacing w:after="0" w:line="240" w:lineRule="auto"/>
        <w:jc w:val="both"/>
        <w:rPr>
          <w:rFonts w:ascii="Gotham Pro LT" w:hAnsi="Gotham Pro LT" w:cs="Gotham Pro LT"/>
        </w:rPr>
      </w:pPr>
      <w:r w:rsidRPr="004B1F87">
        <w:rPr>
          <w:rFonts w:ascii="Gotham Pro LT" w:hAnsi="Gotham Pro LT" w:cs="Gotham Pro LT"/>
        </w:rPr>
        <w:t>LTAB valdes priekšsēdētājs</w:t>
      </w:r>
    </w:p>
    <w:p w14:paraId="3A6E1298" w14:textId="77777777" w:rsidR="00A3124E" w:rsidRPr="004B1F87" w:rsidRDefault="00A3124E" w:rsidP="00A3124E">
      <w:pPr>
        <w:spacing w:after="0" w:line="240" w:lineRule="auto"/>
        <w:rPr>
          <w:rFonts w:ascii="Gotham Pro LT" w:hAnsi="Gotham Pro LT" w:cs="Gotham Pro LT"/>
        </w:rPr>
      </w:pPr>
      <w:r w:rsidRPr="004B1F87">
        <w:rPr>
          <w:rFonts w:ascii="Gotham Pro LT" w:hAnsi="Gotham Pro LT" w:cs="Gotham Pro LT"/>
        </w:rPr>
        <w:t>J. Abāšins</w:t>
      </w:r>
    </w:p>
    <w:p w14:paraId="2BCC1422" w14:textId="77777777" w:rsidR="00A3124E" w:rsidRPr="004B1F87" w:rsidRDefault="00A3124E" w:rsidP="00A3124E">
      <w:pPr>
        <w:pStyle w:val="NoSpacing"/>
        <w:rPr>
          <w:rFonts w:ascii="Gotham Pro LT" w:hAnsi="Gotham Pro LT" w:cs="Gotham Pro LT"/>
          <w:sz w:val="22"/>
          <w:szCs w:val="22"/>
        </w:rPr>
      </w:pPr>
    </w:p>
    <w:p w14:paraId="4F2D17B2" w14:textId="77777777" w:rsidR="00A3124E" w:rsidRDefault="00A3124E" w:rsidP="00A3124E">
      <w:pPr>
        <w:pStyle w:val="NoSpacing"/>
        <w:rPr>
          <w:rFonts w:ascii="Gotham Pro LT" w:hAnsi="Gotham Pro LT" w:cs="Gotham Pro LT"/>
          <w:sz w:val="18"/>
          <w:szCs w:val="18"/>
        </w:rPr>
      </w:pPr>
    </w:p>
    <w:p w14:paraId="0FF2DC1D" w14:textId="77777777" w:rsidR="00A3124E" w:rsidRPr="001754AD" w:rsidRDefault="00A3124E" w:rsidP="00A3124E">
      <w:pPr>
        <w:pStyle w:val="NoSpacing"/>
        <w:rPr>
          <w:rFonts w:ascii="Gotham Pro LT" w:hAnsi="Gotham Pro LT" w:cs="Gotham Pro LT"/>
          <w:sz w:val="18"/>
          <w:szCs w:val="18"/>
        </w:rPr>
      </w:pPr>
      <w:r w:rsidRPr="001754AD">
        <w:rPr>
          <w:rFonts w:ascii="Gotham Pro LT" w:hAnsi="Gotham Pro LT" w:cs="Gotham Pro LT"/>
          <w:sz w:val="18"/>
          <w:szCs w:val="18"/>
        </w:rPr>
        <w:t>I.</w:t>
      </w:r>
      <w:r>
        <w:rPr>
          <w:rFonts w:ascii="Gotham Pro LT" w:hAnsi="Gotham Pro LT" w:cs="Gotham Pro LT"/>
          <w:sz w:val="18"/>
          <w:szCs w:val="18"/>
        </w:rPr>
        <w:t>Dzirnupe-Kundziņa</w:t>
      </w:r>
      <w:r w:rsidRPr="001754AD">
        <w:rPr>
          <w:rFonts w:ascii="Gotham Pro LT" w:hAnsi="Gotham Pro LT" w:cs="Gotham Pro LT"/>
          <w:sz w:val="18"/>
          <w:szCs w:val="18"/>
        </w:rPr>
        <w:t>, 6711431</w:t>
      </w:r>
      <w:r>
        <w:rPr>
          <w:rFonts w:ascii="Gotham Pro LT" w:hAnsi="Gotham Pro LT" w:cs="Gotham Pro LT"/>
          <w:sz w:val="18"/>
          <w:szCs w:val="18"/>
        </w:rPr>
        <w:t>7</w:t>
      </w:r>
    </w:p>
    <w:p w14:paraId="72F2ECD8" w14:textId="77777777" w:rsidR="00A3124E" w:rsidRPr="004B1F87" w:rsidRDefault="00A3124E" w:rsidP="00A3124E">
      <w:pPr>
        <w:pStyle w:val="Footer"/>
        <w:rPr>
          <w:rFonts w:ascii="Gotham Pro LT" w:hAnsi="Gotham Pro LT" w:cs="Gotham Pro LT"/>
        </w:rPr>
      </w:pPr>
    </w:p>
    <w:p w14:paraId="61F4DC98" w14:textId="186EC888" w:rsidR="00A3124E" w:rsidRPr="00A23203" w:rsidRDefault="00A3124E" w:rsidP="00A23203">
      <w:pPr>
        <w:jc w:val="center"/>
        <w:rPr>
          <w:rFonts w:ascii="Gotham Pro LT" w:hAnsi="Gotham Pro LT" w:cs="Gotham Pro LT"/>
          <w:sz w:val="18"/>
          <w:szCs w:val="18"/>
        </w:rPr>
      </w:pPr>
      <w:r w:rsidRPr="001754AD">
        <w:rPr>
          <w:rFonts w:ascii="Gotham Pro LT" w:hAnsi="Gotham Pro LT" w:cs="Gotham Pro LT"/>
          <w:sz w:val="18"/>
          <w:szCs w:val="18"/>
        </w:rPr>
        <w:t>DOKUMENTS IR PARAKSTĪTS AR DROŠU ELEKTRONISKO PARAKSTU UN SATUR LAIKA ZĪMOGU</w:t>
      </w:r>
    </w:p>
    <w:p w14:paraId="5CA47C94" w14:textId="73780118" w:rsidR="00A3124E" w:rsidRDefault="00A3124E">
      <w:pPr>
        <w:rPr>
          <w:rFonts w:ascii="Gotham Pro LT" w:hAnsi="Gotham Pro LT" w:cs="Gotham Pro LT"/>
          <w:sz w:val="16"/>
          <w:szCs w:val="16"/>
        </w:rPr>
      </w:pPr>
      <w:r>
        <w:rPr>
          <w:rFonts w:ascii="Gotham Pro LT" w:hAnsi="Gotham Pro LT" w:cs="Gotham Pro LT"/>
          <w:sz w:val="16"/>
          <w:szCs w:val="16"/>
        </w:rPr>
        <w:br w:type="page"/>
      </w:r>
    </w:p>
    <w:p w14:paraId="5DCEE762" w14:textId="77777777" w:rsidR="00A3124E" w:rsidRDefault="00A3124E">
      <w:pPr>
        <w:rPr>
          <w:rFonts w:ascii="Gotham Pro LT" w:hAnsi="Gotham Pro LT" w:cs="Gotham Pro LT"/>
          <w:sz w:val="16"/>
          <w:szCs w:val="16"/>
        </w:rPr>
      </w:pPr>
    </w:p>
    <w:p w14:paraId="370EDF2B" w14:textId="404F30A4" w:rsidR="00E25B0D" w:rsidRDefault="00E25B0D" w:rsidP="00E25B0D">
      <w:pPr>
        <w:spacing w:after="0"/>
        <w:ind w:left="357"/>
        <w:jc w:val="right"/>
        <w:rPr>
          <w:rFonts w:ascii="Gotham Pro LT" w:hAnsi="Gotham Pro LT" w:cs="Gotham Pro LT"/>
          <w:color w:val="000000"/>
        </w:rPr>
      </w:pPr>
      <w:r>
        <w:rPr>
          <w:rFonts w:ascii="Gotham Pro LT" w:hAnsi="Gotham Pro LT" w:cs="Gotham Pro LT"/>
        </w:rPr>
        <w:t>2</w:t>
      </w:r>
      <w:r w:rsidRPr="00E97525">
        <w:rPr>
          <w:rFonts w:ascii="Gotham Pro LT" w:hAnsi="Gotham Pro LT" w:cs="Gotham Pro LT"/>
        </w:rPr>
        <w:t>.pielikums</w:t>
      </w:r>
      <w:r w:rsidRPr="00E97525">
        <w:rPr>
          <w:rFonts w:ascii="Gotham Pro LT" w:hAnsi="Gotham Pro LT" w:cs="Gotham Pro LT"/>
          <w:color w:val="000000"/>
        </w:rPr>
        <w:t xml:space="preserve"> </w:t>
      </w:r>
    </w:p>
    <w:p w14:paraId="50944757" w14:textId="77777777" w:rsidR="00E25B0D" w:rsidRPr="00E97525" w:rsidRDefault="00E25B0D" w:rsidP="00E25B0D">
      <w:pPr>
        <w:spacing w:after="0"/>
        <w:ind w:left="357"/>
        <w:jc w:val="right"/>
        <w:rPr>
          <w:rFonts w:ascii="Gotham Pro LT" w:hAnsi="Gotham Pro LT" w:cs="Gotham Pro LT"/>
          <w:color w:val="000000"/>
        </w:rPr>
      </w:pPr>
      <w:r>
        <w:rPr>
          <w:rFonts w:ascii="Gotham Pro LT" w:hAnsi="Gotham Pro LT" w:cs="Gotham Pro LT"/>
          <w:color w:val="000000"/>
        </w:rPr>
        <w:t>b</w:t>
      </w:r>
      <w:r w:rsidRPr="00E97525">
        <w:rPr>
          <w:rFonts w:ascii="Gotham Pro LT" w:hAnsi="Gotham Pro LT" w:cs="Gotham Pro LT"/>
          <w:color w:val="000000"/>
        </w:rPr>
        <w:t xml:space="preserve">iedrības “Latvijas Transportlīdzekļu apdrošinātāju birojs” </w:t>
      </w:r>
    </w:p>
    <w:p w14:paraId="6381C2D3" w14:textId="77777777" w:rsidR="00E25B0D" w:rsidRPr="00E97525" w:rsidRDefault="00E25B0D" w:rsidP="00E25B0D">
      <w:pPr>
        <w:spacing w:after="0"/>
        <w:ind w:left="357"/>
        <w:jc w:val="right"/>
        <w:rPr>
          <w:rFonts w:ascii="Gotham Pro LT" w:hAnsi="Gotham Pro LT" w:cs="Gotham Pro LT"/>
        </w:rPr>
      </w:pPr>
      <w:r w:rsidRPr="00E97525">
        <w:rPr>
          <w:rFonts w:ascii="Gotham Pro LT" w:hAnsi="Gotham Pro LT" w:cs="Gotham Pro LT"/>
          <w:color w:val="000000"/>
        </w:rPr>
        <w:t>19.08.2021. atzinuma</w:t>
      </w:r>
      <w:r>
        <w:rPr>
          <w:rFonts w:ascii="Gotham Pro LT" w:hAnsi="Gotham Pro LT" w:cs="Gotham Pro LT"/>
          <w:color w:val="000000"/>
        </w:rPr>
        <w:t>m</w:t>
      </w:r>
      <w:r w:rsidRPr="00E97525">
        <w:rPr>
          <w:rFonts w:ascii="Gotham Pro LT" w:hAnsi="Gotham Pro LT" w:cs="Gotham Pro LT"/>
          <w:color w:val="000000"/>
        </w:rPr>
        <w:t xml:space="preserve"> </w:t>
      </w:r>
    </w:p>
    <w:p w14:paraId="63A7CA75" w14:textId="77777777" w:rsidR="00E25B0D" w:rsidRPr="00E97525" w:rsidRDefault="00E25B0D" w:rsidP="00E97525">
      <w:pPr>
        <w:spacing w:after="0"/>
        <w:ind w:left="357"/>
        <w:jc w:val="right"/>
        <w:rPr>
          <w:rFonts w:ascii="Gotham Pro LT" w:hAnsi="Gotham Pro LT" w:cs="Gotham Pro LT"/>
        </w:rPr>
      </w:pPr>
    </w:p>
    <w:p w14:paraId="23A43941" w14:textId="77777777" w:rsidR="00E97525" w:rsidRPr="005F28A6" w:rsidRDefault="00E97525" w:rsidP="00E97525">
      <w:pPr>
        <w:ind w:left="360"/>
        <w:jc w:val="right"/>
        <w:rPr>
          <w:rFonts w:ascii="Gotham Pro LT" w:hAnsi="Gotham Pro LT" w:cs="Gotham Pro LT"/>
          <w:b/>
          <w:bCs/>
        </w:rPr>
      </w:pPr>
    </w:p>
    <w:p w14:paraId="5239251A" w14:textId="77777777" w:rsidR="00E97525" w:rsidRPr="005B23B3" w:rsidRDefault="00E97525" w:rsidP="00E97525">
      <w:pPr>
        <w:jc w:val="center"/>
        <w:rPr>
          <w:rFonts w:ascii="Gotham Pro LT" w:hAnsi="Gotham Pro LT" w:cs="Gotham Pro LT"/>
          <w:b/>
          <w:bCs/>
        </w:rPr>
      </w:pPr>
      <w:r w:rsidRPr="005B23B3">
        <w:rPr>
          <w:rFonts w:ascii="Gotham Pro LT" w:hAnsi="Gotham Pro LT" w:cs="Gotham Pro LT"/>
          <w:b/>
          <w:bCs/>
        </w:rPr>
        <w:t xml:space="preserve">Piedāvātie risinājumi – rīcības modeļi turpmākajai rīcībai </w:t>
      </w:r>
    </w:p>
    <w:p w14:paraId="755134DA" w14:textId="77777777" w:rsidR="00E97525" w:rsidRPr="005B23B3" w:rsidRDefault="00E97525" w:rsidP="00E97525">
      <w:pPr>
        <w:spacing w:after="0" w:line="240" w:lineRule="auto"/>
        <w:ind w:firstLine="720"/>
        <w:jc w:val="both"/>
        <w:rPr>
          <w:rFonts w:ascii="Gotham Pro LT" w:eastAsia="Calibri" w:hAnsi="Gotham Pro LT" w:cs="Gotham Pro LT"/>
          <w:shd w:val="clear" w:color="auto" w:fill="FFFFFF"/>
        </w:rPr>
      </w:pPr>
      <w:r w:rsidRPr="005B23B3">
        <w:rPr>
          <w:rFonts w:ascii="Gotham Pro LT" w:eastAsia="Calibri" w:hAnsi="Gotham Pro LT" w:cs="Gotham Pro LT"/>
          <w:b/>
          <w:bCs/>
          <w:shd w:val="clear" w:color="auto" w:fill="FFFFFF"/>
        </w:rPr>
        <w:t xml:space="preserve">1.rīcības modelis </w:t>
      </w:r>
      <w:r w:rsidRPr="005B23B3">
        <w:rPr>
          <w:rFonts w:ascii="Gotham Pro LT" w:eastAsia="Calibri" w:hAnsi="Gotham Pro LT" w:cs="Gotham Pro LT"/>
          <w:shd w:val="clear" w:color="auto" w:fill="FFFFFF"/>
        </w:rPr>
        <w:t>– paliek spēkā atlaides personām ar invaliditāti un lauksaimniekiem, un tās tiek kompensētas no Garantijas fonda kā līdz šim (skat. 1.grafiku).</w:t>
      </w:r>
    </w:p>
    <w:p w14:paraId="47658A4D" w14:textId="77777777" w:rsidR="00E97525" w:rsidRPr="005B23B3" w:rsidRDefault="00E97525" w:rsidP="00E97525">
      <w:pPr>
        <w:spacing w:after="0" w:line="240" w:lineRule="auto"/>
        <w:ind w:firstLine="720"/>
        <w:jc w:val="both"/>
        <w:rPr>
          <w:rFonts w:ascii="Gotham Pro LT" w:eastAsia="Calibri" w:hAnsi="Gotham Pro LT" w:cs="Gotham Pro LT"/>
          <w:shd w:val="clear" w:color="auto" w:fill="FFFFFF"/>
        </w:rPr>
      </w:pPr>
    </w:p>
    <w:p w14:paraId="1D779699" w14:textId="77777777" w:rsidR="00E97525" w:rsidRPr="005B23B3" w:rsidRDefault="00E97525" w:rsidP="00E97525">
      <w:pPr>
        <w:spacing w:after="0" w:line="240" w:lineRule="auto"/>
        <w:ind w:firstLine="720"/>
        <w:jc w:val="both"/>
        <w:rPr>
          <w:rFonts w:ascii="Gotham Pro LT" w:eastAsia="Calibri" w:hAnsi="Gotham Pro LT" w:cs="Gotham Pro LT"/>
          <w:shd w:val="clear" w:color="auto" w:fill="FFFFFF"/>
        </w:rPr>
      </w:pPr>
    </w:p>
    <w:p w14:paraId="0FD93145" w14:textId="77777777" w:rsidR="00E97525" w:rsidRDefault="00E97525" w:rsidP="00E97525">
      <w:pPr>
        <w:spacing w:after="0" w:line="240" w:lineRule="auto"/>
        <w:ind w:firstLine="720"/>
        <w:jc w:val="both"/>
        <w:rPr>
          <w:rFonts w:ascii="Gotham Pro LT" w:eastAsia="Calibri" w:hAnsi="Gotham Pro LT" w:cs="Gotham Pro LT"/>
          <w:shd w:val="clear" w:color="auto" w:fill="FFFFFF"/>
        </w:rPr>
      </w:pPr>
      <w:r w:rsidRPr="005B23B3">
        <w:rPr>
          <w:rFonts w:ascii="Gotham Pro LT" w:eastAsia="Calibri" w:hAnsi="Gotham Pro LT" w:cs="Gotham Pro LT"/>
          <w:shd w:val="clear" w:color="auto" w:fill="FFFFFF"/>
        </w:rPr>
        <w:t xml:space="preserve"> 1.grafiks</w:t>
      </w:r>
    </w:p>
    <w:p w14:paraId="1A43D4B3" w14:textId="77777777" w:rsidR="00E97525" w:rsidRDefault="00E97525" w:rsidP="00E97525">
      <w:pPr>
        <w:spacing w:after="0" w:line="240" w:lineRule="auto"/>
        <w:ind w:firstLine="720"/>
        <w:jc w:val="both"/>
        <w:rPr>
          <w:rFonts w:ascii="Gotham Pro LT" w:eastAsia="Calibri" w:hAnsi="Gotham Pro LT" w:cs="Gotham Pro LT"/>
          <w:shd w:val="clear" w:color="auto" w:fill="FFFFFF"/>
        </w:rPr>
      </w:pPr>
    </w:p>
    <w:p w14:paraId="37438615" w14:textId="77777777" w:rsidR="00E97525" w:rsidRPr="005B23B3" w:rsidRDefault="00E97525" w:rsidP="00E97525">
      <w:pPr>
        <w:spacing w:after="0" w:line="240" w:lineRule="auto"/>
        <w:ind w:firstLine="720"/>
        <w:jc w:val="both"/>
        <w:rPr>
          <w:rFonts w:ascii="Gotham Pro LT" w:eastAsia="Calibri" w:hAnsi="Gotham Pro LT" w:cs="Gotham Pro LT"/>
          <w:shd w:val="clear" w:color="auto" w:fill="FFFFFF"/>
        </w:rPr>
      </w:pPr>
      <w:r w:rsidRPr="00607520">
        <w:rPr>
          <w:rFonts w:ascii="Gotham Pro LT" w:eastAsia="Calibri" w:hAnsi="Gotham Pro LT" w:cs="Gotham Pro LT"/>
          <w:noProof/>
          <w:shd w:val="clear" w:color="auto" w:fill="FFFFFF"/>
          <w:lang w:eastAsia="lv-LV"/>
        </w:rPr>
        <w:drawing>
          <wp:anchor distT="0" distB="0" distL="114300" distR="114300" simplePos="0" relativeHeight="251659264" behindDoc="1" locked="0" layoutInCell="1" allowOverlap="1" wp14:anchorId="302CCE3F" wp14:editId="41F10920">
            <wp:simplePos x="0" y="0"/>
            <wp:positionH relativeFrom="column">
              <wp:posOffset>-4445</wp:posOffset>
            </wp:positionH>
            <wp:positionV relativeFrom="paragraph">
              <wp:posOffset>-1270</wp:posOffset>
            </wp:positionV>
            <wp:extent cx="6845167" cy="2870200"/>
            <wp:effectExtent l="0" t="0" r="0" b="6350"/>
            <wp:wrapTight wrapText="bothSides">
              <wp:wrapPolygon edited="0">
                <wp:start x="0" y="0"/>
                <wp:lineTo x="0" y="21504"/>
                <wp:lineTo x="21522" y="21504"/>
                <wp:lineTo x="21522" y="0"/>
                <wp:lineTo x="0" y="0"/>
              </wp:wrapPolygon>
            </wp:wrapTight>
            <wp:docPr id="4" name="Picture 4"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waterfall char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6845167" cy="2870200"/>
                    </a:xfrm>
                    <a:prstGeom prst="rect">
                      <a:avLst/>
                    </a:prstGeom>
                  </pic:spPr>
                </pic:pic>
              </a:graphicData>
            </a:graphic>
            <wp14:sizeRelH relativeFrom="page">
              <wp14:pctWidth>0</wp14:pctWidth>
            </wp14:sizeRelH>
            <wp14:sizeRelV relativeFrom="page">
              <wp14:pctHeight>0</wp14:pctHeight>
            </wp14:sizeRelV>
          </wp:anchor>
        </w:drawing>
      </w:r>
    </w:p>
    <w:p w14:paraId="347BB02B" w14:textId="77777777" w:rsidR="00E97525" w:rsidRPr="005B23B3" w:rsidRDefault="00E97525" w:rsidP="00E97525">
      <w:pPr>
        <w:spacing w:after="120" w:line="240" w:lineRule="auto"/>
        <w:ind w:firstLine="720"/>
        <w:jc w:val="both"/>
        <w:rPr>
          <w:rFonts w:ascii="Gotham Pro LT" w:eastAsia="Calibri" w:hAnsi="Gotham Pro LT" w:cs="Gotham Pro LT"/>
          <w:b/>
          <w:bCs/>
          <w:shd w:val="clear" w:color="auto" w:fill="FFFFFF"/>
        </w:rPr>
      </w:pPr>
      <w:r w:rsidRPr="005B23B3">
        <w:rPr>
          <w:rFonts w:ascii="Gotham Pro LT" w:eastAsia="Calibri" w:hAnsi="Gotham Pro LT" w:cs="Gotham Pro LT"/>
          <w:b/>
          <w:bCs/>
          <w:shd w:val="clear" w:color="auto" w:fill="FFFFFF"/>
        </w:rPr>
        <w:t>Tiesiskās sekas:</w:t>
      </w:r>
    </w:p>
    <w:p w14:paraId="0822219D" w14:textId="77777777" w:rsidR="00E97525" w:rsidRPr="005B23B3" w:rsidRDefault="00E97525" w:rsidP="00E97525">
      <w:pPr>
        <w:numPr>
          <w:ilvl w:val="0"/>
          <w:numId w:val="3"/>
        </w:numPr>
        <w:spacing w:after="120" w:line="240" w:lineRule="auto"/>
        <w:jc w:val="both"/>
        <w:rPr>
          <w:rFonts w:ascii="Gotham Pro LT" w:eastAsia="Calibri" w:hAnsi="Gotham Pro LT" w:cs="Gotham Pro LT"/>
          <w:shd w:val="clear" w:color="auto" w:fill="FFFFFF"/>
        </w:rPr>
      </w:pPr>
      <w:r w:rsidRPr="005B23B3">
        <w:rPr>
          <w:rFonts w:ascii="Gotham Pro LT" w:eastAsia="Calibri" w:hAnsi="Gotham Pro LT" w:cs="Gotham Pro LT"/>
          <w:shd w:val="clear" w:color="auto" w:fill="FFFFFF"/>
        </w:rPr>
        <w:t>neatbilstība Garantijas fonda izveides mērķim un OCTA direktīvai 2009/103/EK, direktīvai 2009/138/EK (Maksātspēja II) un iespējama neatbilstība Latvijas Republikas  Satversmes  (turpmāk – Satversme) 91. un 105.pantam;</w:t>
      </w:r>
    </w:p>
    <w:p w14:paraId="20703C29" w14:textId="77777777" w:rsidR="00E97525" w:rsidRPr="005B23B3" w:rsidRDefault="00E97525" w:rsidP="00E97525">
      <w:pPr>
        <w:numPr>
          <w:ilvl w:val="0"/>
          <w:numId w:val="3"/>
        </w:numPr>
        <w:spacing w:after="120" w:line="240" w:lineRule="auto"/>
        <w:jc w:val="both"/>
        <w:rPr>
          <w:rFonts w:ascii="Gotham Pro LT" w:eastAsia="Calibri" w:hAnsi="Gotham Pro LT" w:cs="Gotham Pro LT"/>
          <w:shd w:val="clear" w:color="auto" w:fill="FFFFFF"/>
        </w:rPr>
      </w:pPr>
      <w:r w:rsidRPr="005B23B3">
        <w:rPr>
          <w:rFonts w:ascii="Gotham Pro LT" w:eastAsia="Calibri" w:hAnsi="Gotham Pro LT" w:cs="Gotham Pro LT"/>
          <w:shd w:val="clear" w:color="auto" w:fill="FFFFFF"/>
        </w:rPr>
        <w:t>Garantijas fonda finansiālā stabilitāte nepārtraukti pakļauta riskam (samazinājumam), apdrošināšanas sabiedrībām praktiski nepārtraukti būs jāveic atskaitījumi divkāršā apmērā (4 gadu laikā atskaitījumu apmērs jau sasniegs 9 milj. EUR);</w:t>
      </w:r>
    </w:p>
    <w:p w14:paraId="0CC0A63F" w14:textId="77777777" w:rsidR="00E97525" w:rsidRPr="005B23B3" w:rsidRDefault="00E97525" w:rsidP="00E97525">
      <w:pPr>
        <w:pStyle w:val="ListParagraph"/>
        <w:numPr>
          <w:ilvl w:val="0"/>
          <w:numId w:val="3"/>
        </w:numPr>
        <w:tabs>
          <w:tab w:val="left" w:pos="1276"/>
        </w:tabs>
        <w:spacing w:after="120" w:line="240" w:lineRule="auto"/>
        <w:ind w:left="1077" w:hanging="357"/>
        <w:contextualSpacing w:val="0"/>
        <w:jc w:val="both"/>
        <w:rPr>
          <w:rFonts w:ascii="Gotham Pro LT" w:eastAsia="Calibri" w:hAnsi="Gotham Pro LT" w:cs="Gotham Pro LT"/>
          <w:bCs/>
          <w:shd w:val="clear" w:color="auto" w:fill="FFFFFF"/>
        </w:rPr>
      </w:pPr>
      <w:r w:rsidRPr="005B23B3">
        <w:rPr>
          <w:rFonts w:ascii="Gotham Pro LT" w:eastAsia="Times New Roman" w:hAnsi="Gotham Pro LT" w:cs="Gotham Pro LT"/>
          <w:bCs/>
        </w:rPr>
        <w:t xml:space="preserve">netiks novērsta līdz šim absurdā situācija, kad ar līdzšinējo atlaides mehānismu tiek vairāk atbalstīti sliktākie autovadītāji, kuriem ir sliktāka </w:t>
      </w:r>
      <w:r w:rsidRPr="005B23B3">
        <w:rPr>
          <w:rFonts w:ascii="Gotham Pro LT" w:eastAsia="Times New Roman" w:hAnsi="Gotham Pro LT" w:cs="Gotham Pro LT"/>
          <w:bCs/>
          <w:i/>
          <w:iCs/>
        </w:rPr>
        <w:t>Bonus-Malus</w:t>
      </w:r>
      <w:r w:rsidRPr="005B23B3">
        <w:rPr>
          <w:rFonts w:ascii="Gotham Pro LT" w:eastAsia="Times New Roman" w:hAnsi="Gotham Pro LT" w:cs="Gotham Pro LT"/>
          <w:bCs/>
        </w:rPr>
        <w:t xml:space="preserve"> klase (</w:t>
      </w:r>
      <w:r w:rsidRPr="005B23B3">
        <w:rPr>
          <w:rFonts w:ascii="Gotham Pro LT" w:hAnsi="Gotham Pro LT" w:cs="Gotham Pro LT"/>
          <w:bCs/>
        </w:rPr>
        <w:t xml:space="preserve">jo sliktāka </w:t>
      </w:r>
      <w:r w:rsidRPr="005B23B3">
        <w:rPr>
          <w:rFonts w:ascii="Gotham Pro LT" w:hAnsi="Gotham Pro LT" w:cs="Gotham Pro LT"/>
          <w:bCs/>
        </w:rPr>
        <w:lastRenderedPageBreak/>
        <w:t>apdrošinājuma ņēmēja apdrošināšanas vēsture, jo lielāka apdrošināšanas prēmija, jo lielāka arī kompensējamā atlaide  no Garantijas fonda</w:t>
      </w:r>
      <w:r w:rsidRPr="005B23B3">
        <w:rPr>
          <w:rFonts w:ascii="Gotham Pro LT" w:eastAsia="Times New Roman" w:hAnsi="Gotham Pro LT" w:cs="Gotham Pro LT"/>
          <w:bCs/>
        </w:rPr>
        <w:t>);</w:t>
      </w:r>
    </w:p>
    <w:p w14:paraId="55B67EF3" w14:textId="77777777" w:rsidR="00E97525" w:rsidRPr="005B23B3" w:rsidRDefault="00E97525" w:rsidP="00E97525">
      <w:pPr>
        <w:pStyle w:val="ListParagraph"/>
        <w:numPr>
          <w:ilvl w:val="0"/>
          <w:numId w:val="3"/>
        </w:numPr>
        <w:tabs>
          <w:tab w:val="left" w:pos="1276"/>
        </w:tabs>
        <w:spacing w:after="120" w:line="240" w:lineRule="auto"/>
        <w:ind w:left="1077" w:hanging="357"/>
        <w:contextualSpacing w:val="0"/>
        <w:jc w:val="both"/>
        <w:rPr>
          <w:rFonts w:ascii="Gotham Pro LT" w:eastAsia="Calibri" w:hAnsi="Gotham Pro LT" w:cs="Gotham Pro LT"/>
          <w:bCs/>
          <w:shd w:val="clear" w:color="auto" w:fill="FFFFFF"/>
        </w:rPr>
      </w:pPr>
      <w:r w:rsidRPr="005B23B3">
        <w:rPr>
          <w:rFonts w:ascii="Gotham Pro LT" w:eastAsia="Times New Roman" w:hAnsi="Gotham Pro LT" w:cs="Gotham Pro LT"/>
          <w:bCs/>
        </w:rPr>
        <w:t>netiks mazināta sociālā nevienlīdzība pašu personu, kurām pienākas atlaides, un pārējo apdrošinājumu ņēmēju vidū, jo no visu apdrošinājumu ņēmēju apdrošināšanas prēmijām tiek veikti atskaitījumi Garantijas fondā, lai rastu finansiālo nodrošinājumu atlaižu kompensēšanai no Garantijas fonda;</w:t>
      </w:r>
    </w:p>
    <w:p w14:paraId="553115BB" w14:textId="77777777" w:rsidR="00E97525" w:rsidRPr="005B23B3" w:rsidRDefault="00E97525" w:rsidP="00E97525">
      <w:pPr>
        <w:pStyle w:val="ListParagraph"/>
        <w:numPr>
          <w:ilvl w:val="0"/>
          <w:numId w:val="3"/>
        </w:numPr>
        <w:tabs>
          <w:tab w:val="left" w:pos="1276"/>
        </w:tabs>
        <w:spacing w:after="120" w:line="240" w:lineRule="auto"/>
        <w:ind w:left="1077" w:hanging="357"/>
        <w:contextualSpacing w:val="0"/>
        <w:jc w:val="both"/>
        <w:rPr>
          <w:rFonts w:ascii="Gotham Pro LT" w:eastAsia="Calibri" w:hAnsi="Gotham Pro LT" w:cs="Gotham Pro LT"/>
          <w:shd w:val="clear" w:color="auto" w:fill="FFFFFF"/>
        </w:rPr>
      </w:pPr>
      <w:r w:rsidRPr="005B23B3">
        <w:rPr>
          <w:rFonts w:ascii="Gotham Pro LT" w:eastAsia="Times New Roman" w:hAnsi="Gotham Pro LT" w:cs="Gotham Pro LT"/>
          <w:bCs/>
        </w:rPr>
        <w:t xml:space="preserve">netiks nodrošināta tiesiskā vienlīdzība un novērsta </w:t>
      </w:r>
      <w:r w:rsidRPr="005B23B3">
        <w:rPr>
          <w:rFonts w:ascii="Gotham Pro LT" w:hAnsi="Gotham Pro LT" w:cs="Gotham Pro LT"/>
        </w:rPr>
        <w:t>privileģētā attieksme pret atsevišķu saimnieciskās darbības veicēju grupu.</w:t>
      </w:r>
    </w:p>
    <w:p w14:paraId="571B7E86" w14:textId="77777777" w:rsidR="00E97525" w:rsidRPr="005B23B3" w:rsidRDefault="00E97525" w:rsidP="00E97525">
      <w:pPr>
        <w:pStyle w:val="ListParagraph"/>
        <w:tabs>
          <w:tab w:val="left" w:pos="1276"/>
        </w:tabs>
        <w:spacing w:after="120" w:line="240" w:lineRule="auto"/>
        <w:ind w:left="1440"/>
        <w:jc w:val="both"/>
        <w:rPr>
          <w:rFonts w:ascii="Gotham Pro LT" w:eastAsia="Calibri" w:hAnsi="Gotham Pro LT" w:cs="Gotham Pro LT"/>
          <w:shd w:val="clear" w:color="auto" w:fill="FFFFFF"/>
        </w:rPr>
      </w:pPr>
    </w:p>
    <w:p w14:paraId="54D1C17B" w14:textId="77777777" w:rsidR="00E97525" w:rsidRPr="005B23B3" w:rsidRDefault="00E97525" w:rsidP="00E97525">
      <w:pPr>
        <w:spacing w:after="0" w:line="240" w:lineRule="auto"/>
        <w:ind w:firstLine="720"/>
        <w:jc w:val="both"/>
        <w:rPr>
          <w:rFonts w:ascii="Gotham Pro LT" w:eastAsia="Calibri" w:hAnsi="Gotham Pro LT" w:cs="Gotham Pro LT"/>
          <w:shd w:val="clear" w:color="auto" w:fill="FFFFFF"/>
        </w:rPr>
      </w:pPr>
      <w:r w:rsidRPr="005B23B3">
        <w:rPr>
          <w:rFonts w:ascii="Gotham Pro LT" w:eastAsia="Calibri" w:hAnsi="Gotham Pro LT" w:cs="Gotham Pro LT"/>
          <w:b/>
          <w:bCs/>
          <w:shd w:val="clear" w:color="auto" w:fill="FFFFFF"/>
        </w:rPr>
        <w:t xml:space="preserve">2. rīcības modelis - </w:t>
      </w:r>
      <w:r w:rsidRPr="005B23B3">
        <w:rPr>
          <w:rFonts w:ascii="Gotham Pro LT" w:eastAsia="Calibri" w:hAnsi="Gotham Pro LT" w:cs="Gotham Pro LT"/>
          <w:shd w:val="clear" w:color="auto" w:fill="FFFFFF"/>
        </w:rPr>
        <w:t>atlaides personām ar invaliditāti un lauksaimniekiem tiek samazinātas uz pusi (attiecīgi 20% un 15%), un tās tiek kompensētas no Garantijas fonda (skat. 2.grafiku).</w:t>
      </w:r>
    </w:p>
    <w:p w14:paraId="0DF86D9E" w14:textId="77777777" w:rsidR="00E97525" w:rsidRPr="005B23B3" w:rsidRDefault="00E97525" w:rsidP="00E97525">
      <w:pPr>
        <w:spacing w:after="0" w:line="240" w:lineRule="auto"/>
        <w:ind w:firstLine="720"/>
        <w:jc w:val="both"/>
        <w:rPr>
          <w:rFonts w:ascii="Gotham Pro LT" w:eastAsia="Calibri" w:hAnsi="Gotham Pro LT" w:cs="Gotham Pro LT"/>
          <w:shd w:val="clear" w:color="auto" w:fill="FFFFFF"/>
        </w:rPr>
      </w:pPr>
    </w:p>
    <w:p w14:paraId="0E920963" w14:textId="77777777" w:rsidR="00E97525" w:rsidRPr="005B23B3" w:rsidRDefault="00E97525" w:rsidP="00E97525">
      <w:pPr>
        <w:spacing w:after="0" w:line="240" w:lineRule="auto"/>
        <w:ind w:firstLine="720"/>
        <w:jc w:val="both"/>
        <w:rPr>
          <w:rFonts w:ascii="Gotham Pro LT" w:eastAsia="Calibri" w:hAnsi="Gotham Pro LT" w:cs="Gotham Pro LT"/>
          <w:shd w:val="clear" w:color="auto" w:fill="FFFFFF"/>
        </w:rPr>
      </w:pPr>
    </w:p>
    <w:p w14:paraId="137EDD48" w14:textId="77777777" w:rsidR="00E97525" w:rsidRPr="005B23B3" w:rsidRDefault="00E97525" w:rsidP="00E97525">
      <w:pPr>
        <w:spacing w:after="0" w:line="240" w:lineRule="auto"/>
        <w:ind w:firstLine="720"/>
        <w:jc w:val="both"/>
        <w:rPr>
          <w:rFonts w:ascii="Gotham Pro LT" w:eastAsia="Calibri" w:hAnsi="Gotham Pro LT" w:cs="Gotham Pro LT"/>
          <w:shd w:val="clear" w:color="auto" w:fill="FFFFFF"/>
        </w:rPr>
      </w:pPr>
      <w:r w:rsidRPr="005B23B3">
        <w:rPr>
          <w:rFonts w:ascii="Gotham Pro LT" w:eastAsia="Calibri" w:hAnsi="Gotham Pro LT" w:cs="Gotham Pro LT"/>
          <w:shd w:val="clear" w:color="auto" w:fill="FFFFFF"/>
        </w:rPr>
        <w:t>2.grafiks</w:t>
      </w:r>
    </w:p>
    <w:p w14:paraId="04FBBD1F" w14:textId="77777777" w:rsidR="00E97525" w:rsidRPr="00DB1551" w:rsidRDefault="00E97525" w:rsidP="00E97525">
      <w:pPr>
        <w:spacing w:after="0" w:line="240" w:lineRule="auto"/>
        <w:ind w:firstLine="720"/>
        <w:jc w:val="both"/>
        <w:rPr>
          <w:rFonts w:ascii="Times New Roman" w:eastAsia="Calibri" w:hAnsi="Times New Roman" w:cs="Times New Roman"/>
          <w:sz w:val="24"/>
          <w:szCs w:val="24"/>
          <w:shd w:val="clear" w:color="auto" w:fill="FFFFFF"/>
        </w:rPr>
      </w:pPr>
      <w:r w:rsidRPr="00C000BA">
        <w:rPr>
          <w:rFonts w:ascii="Times New Roman" w:eastAsia="Calibri" w:hAnsi="Times New Roman" w:cs="Times New Roman"/>
          <w:noProof/>
          <w:sz w:val="24"/>
          <w:szCs w:val="24"/>
          <w:shd w:val="clear" w:color="auto" w:fill="FFFFFF"/>
          <w:lang w:eastAsia="lv-LV"/>
        </w:rPr>
        <w:drawing>
          <wp:anchor distT="0" distB="0" distL="114300" distR="114300" simplePos="0" relativeHeight="251661312" behindDoc="1" locked="0" layoutInCell="1" allowOverlap="1" wp14:anchorId="56F7D9FB" wp14:editId="7D72455A">
            <wp:simplePos x="0" y="0"/>
            <wp:positionH relativeFrom="column">
              <wp:posOffset>86360</wp:posOffset>
            </wp:positionH>
            <wp:positionV relativeFrom="paragraph">
              <wp:posOffset>178435</wp:posOffset>
            </wp:positionV>
            <wp:extent cx="6309360" cy="2933700"/>
            <wp:effectExtent l="0" t="0" r="0" b="0"/>
            <wp:wrapTight wrapText="bothSides">
              <wp:wrapPolygon edited="0">
                <wp:start x="0" y="0"/>
                <wp:lineTo x="0" y="21460"/>
                <wp:lineTo x="21522" y="21460"/>
                <wp:lineTo x="21522" y="0"/>
                <wp:lineTo x="0" y="0"/>
              </wp:wrapPolygon>
            </wp:wrapTight>
            <wp:docPr id="10" name="Picture 10"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waterfall char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6309360" cy="2933700"/>
                    </a:xfrm>
                    <a:prstGeom prst="rect">
                      <a:avLst/>
                    </a:prstGeom>
                  </pic:spPr>
                </pic:pic>
              </a:graphicData>
            </a:graphic>
            <wp14:sizeRelH relativeFrom="page">
              <wp14:pctWidth>0</wp14:pctWidth>
            </wp14:sizeRelH>
            <wp14:sizeRelV relativeFrom="page">
              <wp14:pctHeight>0</wp14:pctHeight>
            </wp14:sizeRelV>
          </wp:anchor>
        </w:drawing>
      </w:r>
    </w:p>
    <w:p w14:paraId="4892F6F3" w14:textId="77777777" w:rsidR="00E97525" w:rsidRPr="00DB1551" w:rsidRDefault="00E97525" w:rsidP="00E97525">
      <w:pPr>
        <w:spacing w:after="0" w:line="240" w:lineRule="auto"/>
        <w:ind w:firstLine="720"/>
        <w:jc w:val="both"/>
        <w:rPr>
          <w:rFonts w:ascii="Times New Roman" w:eastAsia="Calibri" w:hAnsi="Times New Roman" w:cs="Times New Roman"/>
          <w:sz w:val="24"/>
          <w:szCs w:val="24"/>
          <w:shd w:val="clear" w:color="auto" w:fill="FFFFFF"/>
        </w:rPr>
      </w:pPr>
    </w:p>
    <w:p w14:paraId="491893F4" w14:textId="77777777" w:rsidR="00E97525" w:rsidRPr="00DB1551" w:rsidRDefault="00E97525" w:rsidP="00E97525">
      <w:pPr>
        <w:spacing w:after="120" w:line="240" w:lineRule="auto"/>
        <w:ind w:firstLine="720"/>
        <w:jc w:val="both"/>
        <w:rPr>
          <w:rFonts w:ascii="Times New Roman" w:eastAsia="Calibri" w:hAnsi="Times New Roman" w:cs="Times New Roman"/>
          <w:sz w:val="24"/>
          <w:szCs w:val="24"/>
          <w:shd w:val="clear" w:color="auto" w:fill="FFFFFF"/>
        </w:rPr>
      </w:pPr>
    </w:p>
    <w:p w14:paraId="4EF0E303" w14:textId="77777777" w:rsidR="00E97525" w:rsidRPr="005B23B3" w:rsidRDefault="00E97525" w:rsidP="00E97525">
      <w:pPr>
        <w:spacing w:after="120" w:line="240" w:lineRule="auto"/>
        <w:ind w:firstLine="720"/>
        <w:jc w:val="both"/>
        <w:rPr>
          <w:rFonts w:ascii="Gotham Pro LT" w:eastAsia="Calibri" w:hAnsi="Gotham Pro LT" w:cs="Gotham Pro LT"/>
          <w:b/>
          <w:bCs/>
          <w:shd w:val="clear" w:color="auto" w:fill="FFFFFF"/>
        </w:rPr>
      </w:pPr>
      <w:r w:rsidRPr="005B23B3">
        <w:rPr>
          <w:rFonts w:ascii="Gotham Pro LT" w:eastAsia="Calibri" w:hAnsi="Gotham Pro LT" w:cs="Gotham Pro LT"/>
          <w:b/>
          <w:bCs/>
          <w:shd w:val="clear" w:color="auto" w:fill="FFFFFF"/>
        </w:rPr>
        <w:t>Tiesiskās sekas:</w:t>
      </w:r>
    </w:p>
    <w:p w14:paraId="0A41CF19" w14:textId="77777777" w:rsidR="00E97525" w:rsidRPr="005B23B3" w:rsidRDefault="00E97525" w:rsidP="00E97525">
      <w:pPr>
        <w:numPr>
          <w:ilvl w:val="0"/>
          <w:numId w:val="4"/>
        </w:numPr>
        <w:tabs>
          <w:tab w:val="clear" w:pos="720"/>
          <w:tab w:val="num" w:pos="1080"/>
        </w:tabs>
        <w:spacing w:after="120" w:line="240" w:lineRule="auto"/>
        <w:ind w:left="1080"/>
        <w:jc w:val="both"/>
        <w:rPr>
          <w:rFonts w:ascii="Gotham Pro LT" w:eastAsia="Calibri" w:hAnsi="Gotham Pro LT" w:cs="Gotham Pro LT"/>
          <w:shd w:val="clear" w:color="auto" w:fill="FFFFFF"/>
        </w:rPr>
      </w:pPr>
      <w:r w:rsidRPr="005B23B3">
        <w:rPr>
          <w:rFonts w:ascii="Gotham Pro LT" w:eastAsia="Calibri" w:hAnsi="Gotham Pro LT" w:cs="Gotham Pro LT"/>
          <w:shd w:val="clear" w:color="auto" w:fill="FFFFFF"/>
        </w:rPr>
        <w:t>neatbilstība Garantijas fonda izveides mērķim un OCTA direktīvai 2009/103/EK, direktīvai 2009/138/EK (Maksātspēja II) un iespējama neatbilstība Satversmes 91. un 105.pantam saglabājas;</w:t>
      </w:r>
    </w:p>
    <w:p w14:paraId="19B29FDE" w14:textId="77777777" w:rsidR="00E97525" w:rsidRPr="005B23B3" w:rsidRDefault="00E97525" w:rsidP="00E97525">
      <w:pPr>
        <w:numPr>
          <w:ilvl w:val="0"/>
          <w:numId w:val="4"/>
        </w:numPr>
        <w:tabs>
          <w:tab w:val="clear" w:pos="720"/>
          <w:tab w:val="num" w:pos="1080"/>
        </w:tabs>
        <w:spacing w:after="120" w:line="240" w:lineRule="auto"/>
        <w:ind w:left="1080"/>
        <w:jc w:val="both"/>
        <w:rPr>
          <w:rFonts w:ascii="Gotham Pro LT" w:eastAsia="Calibri" w:hAnsi="Gotham Pro LT" w:cs="Gotham Pro LT"/>
          <w:shd w:val="clear" w:color="auto" w:fill="FFFFFF"/>
        </w:rPr>
      </w:pPr>
      <w:r w:rsidRPr="005B23B3">
        <w:rPr>
          <w:rFonts w:ascii="Gotham Pro LT" w:eastAsia="Calibri" w:hAnsi="Gotham Pro LT" w:cs="Gotham Pro LT"/>
          <w:shd w:val="clear" w:color="auto" w:fill="FFFFFF"/>
        </w:rPr>
        <w:t>Garantijas fonda finansiālā stabilitāte ik pa laikam pakļauta riskam (samazinājumam, bet ne tik lielam kā 1.rīcības modeļa gadījumā), apdrošināšanas sabiedrībām ik pa laikam būs jāveic atskaitījumi divkāršā apmērā (4 gadu laikā atskaitījumu apmērs sasniegs 7 milj. EUR);</w:t>
      </w:r>
    </w:p>
    <w:p w14:paraId="74ABBA72" w14:textId="77777777" w:rsidR="00E97525" w:rsidRPr="005B23B3" w:rsidRDefault="00E97525" w:rsidP="00E97525">
      <w:pPr>
        <w:pStyle w:val="ListParagraph"/>
        <w:numPr>
          <w:ilvl w:val="0"/>
          <w:numId w:val="4"/>
        </w:numPr>
        <w:tabs>
          <w:tab w:val="clear" w:pos="720"/>
          <w:tab w:val="num" w:pos="1080"/>
          <w:tab w:val="left" w:pos="1276"/>
        </w:tabs>
        <w:spacing w:after="120" w:line="240" w:lineRule="auto"/>
        <w:ind w:left="1077" w:hanging="357"/>
        <w:contextualSpacing w:val="0"/>
        <w:jc w:val="both"/>
        <w:rPr>
          <w:rFonts w:ascii="Gotham Pro LT" w:eastAsia="Calibri" w:hAnsi="Gotham Pro LT" w:cs="Gotham Pro LT"/>
          <w:bCs/>
          <w:shd w:val="clear" w:color="auto" w:fill="FFFFFF"/>
        </w:rPr>
      </w:pPr>
      <w:r w:rsidRPr="005B23B3">
        <w:rPr>
          <w:rFonts w:ascii="Gotham Pro LT" w:eastAsia="Times New Roman" w:hAnsi="Gotham Pro LT" w:cs="Gotham Pro LT"/>
          <w:bCs/>
        </w:rPr>
        <w:lastRenderedPageBreak/>
        <w:t xml:space="preserve">netiks novērsta līdz šim absurdā situācija, kad ar līdzšinējo atlaides mehānismu tiek vairāk atbalstīti sliktākie autovadītāji, kuriem ir sliktāka </w:t>
      </w:r>
      <w:r w:rsidRPr="005B23B3">
        <w:rPr>
          <w:rFonts w:ascii="Gotham Pro LT" w:eastAsia="Times New Roman" w:hAnsi="Gotham Pro LT" w:cs="Gotham Pro LT"/>
          <w:bCs/>
          <w:i/>
          <w:iCs/>
        </w:rPr>
        <w:t>Bonus-Malus</w:t>
      </w:r>
      <w:r w:rsidRPr="005B23B3">
        <w:rPr>
          <w:rFonts w:ascii="Gotham Pro LT" w:eastAsia="Times New Roman" w:hAnsi="Gotham Pro LT" w:cs="Gotham Pro LT"/>
          <w:bCs/>
        </w:rPr>
        <w:t xml:space="preserve"> klase (</w:t>
      </w:r>
      <w:r w:rsidRPr="005B23B3">
        <w:rPr>
          <w:rFonts w:ascii="Gotham Pro LT" w:hAnsi="Gotham Pro LT" w:cs="Gotham Pro LT"/>
          <w:bCs/>
        </w:rPr>
        <w:t>jo sliktāka apdrošinājuma ņēmēja apdrošināšanas vēsture, jo lielāka apdrošināšanas prēmija, jo lielāka arī kompensējamā atlaide no Garantijas fonda</w:t>
      </w:r>
      <w:r w:rsidRPr="005B23B3">
        <w:rPr>
          <w:rFonts w:ascii="Gotham Pro LT" w:eastAsia="Times New Roman" w:hAnsi="Gotham Pro LT" w:cs="Gotham Pro LT"/>
          <w:bCs/>
        </w:rPr>
        <w:t>);</w:t>
      </w:r>
    </w:p>
    <w:p w14:paraId="7B1CAD75" w14:textId="77777777" w:rsidR="00E97525" w:rsidRPr="005B23B3" w:rsidRDefault="00E97525" w:rsidP="00E97525">
      <w:pPr>
        <w:pStyle w:val="ListParagraph"/>
        <w:numPr>
          <w:ilvl w:val="0"/>
          <w:numId w:val="4"/>
        </w:numPr>
        <w:tabs>
          <w:tab w:val="clear" w:pos="720"/>
          <w:tab w:val="num" w:pos="1080"/>
          <w:tab w:val="left" w:pos="1276"/>
        </w:tabs>
        <w:spacing w:after="120" w:line="240" w:lineRule="auto"/>
        <w:ind w:left="1077" w:hanging="357"/>
        <w:contextualSpacing w:val="0"/>
        <w:jc w:val="both"/>
        <w:rPr>
          <w:rFonts w:ascii="Gotham Pro LT" w:eastAsia="Calibri" w:hAnsi="Gotham Pro LT" w:cs="Gotham Pro LT"/>
          <w:bCs/>
          <w:shd w:val="clear" w:color="auto" w:fill="FFFFFF"/>
        </w:rPr>
      </w:pPr>
      <w:r w:rsidRPr="005B23B3">
        <w:rPr>
          <w:rFonts w:ascii="Gotham Pro LT" w:eastAsia="Times New Roman" w:hAnsi="Gotham Pro LT" w:cs="Gotham Pro LT"/>
          <w:bCs/>
        </w:rPr>
        <w:t>netiks mazināta sociālā nevienlīdzība pašu personu, kurām pienākas atlaides, un pārējo apdrošinājumu ņēmēju vidū, jo no visu apdrošinājumu ņēmēju apdrošināšanas prēmijām tiek veikti atskaitījumi Garantijas fondā, lai rastu finansiālo nodrošinājumu atlaižu kompensēšanai no Garantijas fonda;</w:t>
      </w:r>
    </w:p>
    <w:p w14:paraId="16376010" w14:textId="77777777" w:rsidR="00E97525" w:rsidRPr="005B23B3" w:rsidRDefault="00E97525" w:rsidP="00E97525">
      <w:pPr>
        <w:pStyle w:val="ListParagraph"/>
        <w:numPr>
          <w:ilvl w:val="0"/>
          <w:numId w:val="4"/>
        </w:numPr>
        <w:tabs>
          <w:tab w:val="clear" w:pos="720"/>
          <w:tab w:val="num" w:pos="1080"/>
          <w:tab w:val="left" w:pos="1276"/>
        </w:tabs>
        <w:spacing w:after="120" w:line="240" w:lineRule="auto"/>
        <w:ind w:left="1077" w:hanging="357"/>
        <w:contextualSpacing w:val="0"/>
        <w:jc w:val="both"/>
        <w:rPr>
          <w:rFonts w:ascii="Gotham Pro LT" w:eastAsia="Calibri" w:hAnsi="Gotham Pro LT" w:cs="Gotham Pro LT"/>
          <w:shd w:val="clear" w:color="auto" w:fill="FFFFFF"/>
        </w:rPr>
      </w:pPr>
      <w:r w:rsidRPr="005B23B3">
        <w:rPr>
          <w:rFonts w:ascii="Gotham Pro LT" w:eastAsia="Times New Roman" w:hAnsi="Gotham Pro LT" w:cs="Gotham Pro LT"/>
          <w:bCs/>
        </w:rPr>
        <w:t xml:space="preserve">netiks nodrošināta tiesiskā vienlīdzība un novērsta </w:t>
      </w:r>
      <w:r w:rsidRPr="005B23B3">
        <w:rPr>
          <w:rFonts w:ascii="Gotham Pro LT" w:hAnsi="Gotham Pro LT" w:cs="Gotham Pro LT"/>
        </w:rPr>
        <w:t>privileģētā attieksme pret atsevišķu saimnieciskās darbības veicēju grupu</w:t>
      </w:r>
      <w:r w:rsidRPr="005B23B3">
        <w:rPr>
          <w:rFonts w:ascii="Gotham Pro LT" w:hAnsi="Gotham Pro LT" w:cs="Gotham Pro LT"/>
          <w:shd w:val="clear" w:color="auto" w:fill="FFFFFF"/>
        </w:rPr>
        <w:t>.</w:t>
      </w:r>
    </w:p>
    <w:p w14:paraId="656CF158" w14:textId="77777777" w:rsidR="00E97525" w:rsidRPr="005B23B3" w:rsidRDefault="00E97525" w:rsidP="00E97525">
      <w:pPr>
        <w:spacing w:after="0" w:line="240" w:lineRule="auto"/>
        <w:ind w:firstLine="720"/>
        <w:jc w:val="both"/>
        <w:rPr>
          <w:rFonts w:ascii="Gotham Pro LT" w:eastAsia="Calibri" w:hAnsi="Gotham Pro LT" w:cs="Gotham Pro LT"/>
          <w:b/>
          <w:bCs/>
          <w:shd w:val="clear" w:color="auto" w:fill="FFFFFF"/>
        </w:rPr>
      </w:pPr>
    </w:p>
    <w:p w14:paraId="1F73AB44" w14:textId="77777777" w:rsidR="00E97525" w:rsidRPr="005B23B3" w:rsidRDefault="00E97525" w:rsidP="00E97525">
      <w:pPr>
        <w:spacing w:after="0" w:line="240" w:lineRule="auto"/>
        <w:ind w:firstLine="720"/>
        <w:jc w:val="both"/>
        <w:rPr>
          <w:rFonts w:ascii="Gotham Pro LT" w:eastAsia="Calibri" w:hAnsi="Gotham Pro LT" w:cs="Gotham Pro LT"/>
          <w:shd w:val="clear" w:color="auto" w:fill="FFFFFF"/>
        </w:rPr>
      </w:pPr>
      <w:r w:rsidRPr="005B23B3">
        <w:rPr>
          <w:rFonts w:ascii="Gotham Pro LT" w:eastAsia="Calibri" w:hAnsi="Gotham Pro LT" w:cs="Gotham Pro LT"/>
          <w:b/>
          <w:bCs/>
          <w:shd w:val="clear" w:color="auto" w:fill="FFFFFF"/>
        </w:rPr>
        <w:t xml:space="preserve">3. rīcības modelis - </w:t>
      </w:r>
      <w:r w:rsidRPr="005B23B3">
        <w:rPr>
          <w:rFonts w:ascii="Gotham Pro LT" w:eastAsia="Calibri" w:hAnsi="Gotham Pro LT" w:cs="Gotham Pro LT"/>
          <w:shd w:val="clear" w:color="auto" w:fill="FFFFFF"/>
        </w:rPr>
        <w:t>atlaides personām ar invaliditāti un lauksaimniekiem pakāpeniski tiek samazinātas 3 gadu pārejas periodā, līdz tiek atceltas vispār 2025.</w:t>
      </w:r>
      <w:r>
        <w:rPr>
          <w:rFonts w:ascii="Gotham Pro LT" w:eastAsia="Calibri" w:hAnsi="Gotham Pro LT" w:cs="Gotham Pro LT"/>
          <w:shd w:val="clear" w:color="auto" w:fill="FFFFFF"/>
        </w:rPr>
        <w:t> </w:t>
      </w:r>
      <w:r w:rsidRPr="005B23B3">
        <w:rPr>
          <w:rFonts w:ascii="Gotham Pro LT" w:eastAsia="Calibri" w:hAnsi="Gotham Pro LT" w:cs="Gotham Pro LT"/>
          <w:shd w:val="clear" w:color="auto" w:fill="FFFFFF"/>
        </w:rPr>
        <w:t>gadā (skat. 3.grafiku)</w:t>
      </w:r>
    </w:p>
    <w:p w14:paraId="337E1191" w14:textId="77777777" w:rsidR="00E97525" w:rsidRPr="005B23B3" w:rsidRDefault="00E97525" w:rsidP="00E97525">
      <w:pPr>
        <w:spacing w:after="0" w:line="240" w:lineRule="auto"/>
        <w:ind w:firstLine="720"/>
        <w:jc w:val="both"/>
        <w:rPr>
          <w:rFonts w:ascii="Gotham Pro LT" w:eastAsia="Calibri" w:hAnsi="Gotham Pro LT" w:cs="Gotham Pro LT"/>
          <w:shd w:val="clear" w:color="auto" w:fill="FFFFFF"/>
        </w:rPr>
      </w:pPr>
    </w:p>
    <w:p w14:paraId="0674B48E" w14:textId="77777777" w:rsidR="00E97525" w:rsidRPr="005B23B3" w:rsidRDefault="00E97525" w:rsidP="00E97525">
      <w:pPr>
        <w:spacing w:after="0" w:line="240" w:lineRule="auto"/>
        <w:ind w:firstLine="720"/>
        <w:jc w:val="both"/>
        <w:rPr>
          <w:rFonts w:ascii="Gotham Pro LT" w:eastAsia="Calibri" w:hAnsi="Gotham Pro LT" w:cs="Gotham Pro LT"/>
          <w:shd w:val="clear" w:color="auto" w:fill="FFFFFF"/>
        </w:rPr>
      </w:pPr>
      <w:r w:rsidRPr="005B23B3">
        <w:rPr>
          <w:rFonts w:ascii="Gotham Pro LT" w:eastAsia="Calibri" w:hAnsi="Gotham Pro LT" w:cs="Gotham Pro LT"/>
          <w:shd w:val="clear" w:color="auto" w:fill="FFFFFF"/>
        </w:rPr>
        <w:t xml:space="preserve"> </w:t>
      </w:r>
    </w:p>
    <w:p w14:paraId="463F6D00" w14:textId="77777777" w:rsidR="00E97525" w:rsidRPr="005B23B3" w:rsidRDefault="00E97525" w:rsidP="00E97525">
      <w:pPr>
        <w:spacing w:after="0" w:line="240" w:lineRule="auto"/>
        <w:ind w:firstLine="720"/>
        <w:jc w:val="both"/>
        <w:rPr>
          <w:rFonts w:ascii="Gotham Pro LT" w:eastAsia="Calibri" w:hAnsi="Gotham Pro LT" w:cs="Gotham Pro LT"/>
          <w:shd w:val="clear" w:color="auto" w:fill="FFFFFF"/>
        </w:rPr>
      </w:pPr>
      <w:r w:rsidRPr="00607520">
        <w:rPr>
          <w:rFonts w:ascii="Times New Roman" w:eastAsia="Calibri" w:hAnsi="Times New Roman" w:cs="Times New Roman"/>
          <w:noProof/>
          <w:sz w:val="24"/>
          <w:szCs w:val="24"/>
          <w:shd w:val="clear" w:color="auto" w:fill="FFFFFF"/>
          <w:lang w:eastAsia="lv-LV"/>
        </w:rPr>
        <w:drawing>
          <wp:anchor distT="0" distB="0" distL="114300" distR="114300" simplePos="0" relativeHeight="251660288" behindDoc="1" locked="0" layoutInCell="1" allowOverlap="1" wp14:anchorId="23DB7F5D" wp14:editId="36B1DB64">
            <wp:simplePos x="0" y="0"/>
            <wp:positionH relativeFrom="column">
              <wp:posOffset>47625</wp:posOffset>
            </wp:positionH>
            <wp:positionV relativeFrom="paragraph">
              <wp:posOffset>274955</wp:posOffset>
            </wp:positionV>
            <wp:extent cx="6347460" cy="3429000"/>
            <wp:effectExtent l="0" t="0" r="0" b="0"/>
            <wp:wrapTight wrapText="bothSides">
              <wp:wrapPolygon edited="0">
                <wp:start x="0" y="0"/>
                <wp:lineTo x="0" y="21480"/>
                <wp:lineTo x="21522" y="21480"/>
                <wp:lineTo x="21522" y="0"/>
                <wp:lineTo x="0" y="0"/>
              </wp:wrapPolygon>
            </wp:wrapTight>
            <wp:docPr id="9" name="Picture 9"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bar char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6347460" cy="3429000"/>
                    </a:xfrm>
                    <a:prstGeom prst="rect">
                      <a:avLst/>
                    </a:prstGeom>
                  </pic:spPr>
                </pic:pic>
              </a:graphicData>
            </a:graphic>
            <wp14:sizeRelH relativeFrom="page">
              <wp14:pctWidth>0</wp14:pctWidth>
            </wp14:sizeRelH>
            <wp14:sizeRelV relativeFrom="page">
              <wp14:pctHeight>0</wp14:pctHeight>
            </wp14:sizeRelV>
          </wp:anchor>
        </w:drawing>
      </w:r>
      <w:r w:rsidRPr="005B23B3">
        <w:rPr>
          <w:rFonts w:ascii="Gotham Pro LT" w:eastAsia="Calibri" w:hAnsi="Gotham Pro LT" w:cs="Gotham Pro LT"/>
          <w:shd w:val="clear" w:color="auto" w:fill="FFFFFF"/>
        </w:rPr>
        <w:t>3.grafiks</w:t>
      </w:r>
    </w:p>
    <w:p w14:paraId="0A45626F" w14:textId="77777777" w:rsidR="00E97525" w:rsidRPr="00DB1551" w:rsidRDefault="00E97525" w:rsidP="00E97525">
      <w:pPr>
        <w:spacing w:after="0" w:line="240" w:lineRule="auto"/>
        <w:ind w:firstLine="720"/>
        <w:jc w:val="both"/>
        <w:rPr>
          <w:rFonts w:ascii="Times New Roman" w:eastAsia="Calibri" w:hAnsi="Times New Roman" w:cs="Times New Roman"/>
          <w:sz w:val="24"/>
          <w:szCs w:val="24"/>
          <w:shd w:val="clear" w:color="auto" w:fill="FFFFFF"/>
        </w:rPr>
      </w:pPr>
    </w:p>
    <w:p w14:paraId="22DDF01A" w14:textId="77777777" w:rsidR="00E97525" w:rsidRPr="005B23B3" w:rsidRDefault="00E97525" w:rsidP="00E97525">
      <w:pPr>
        <w:spacing w:after="120" w:line="240" w:lineRule="auto"/>
        <w:ind w:firstLine="720"/>
        <w:jc w:val="both"/>
        <w:rPr>
          <w:rFonts w:ascii="Gotham Pro LT" w:eastAsia="Calibri" w:hAnsi="Gotham Pro LT" w:cs="Gotham Pro LT"/>
          <w:b/>
          <w:bCs/>
          <w:shd w:val="clear" w:color="auto" w:fill="FFFFFF"/>
        </w:rPr>
      </w:pPr>
      <w:r w:rsidRPr="005B23B3">
        <w:rPr>
          <w:rFonts w:ascii="Gotham Pro LT" w:eastAsia="Calibri" w:hAnsi="Gotham Pro LT" w:cs="Gotham Pro LT"/>
          <w:b/>
          <w:bCs/>
          <w:shd w:val="clear" w:color="auto" w:fill="FFFFFF"/>
        </w:rPr>
        <w:t>Tiesiskās sekas:</w:t>
      </w:r>
    </w:p>
    <w:p w14:paraId="3750DCA1" w14:textId="77777777" w:rsidR="00E97525" w:rsidRPr="005B23B3" w:rsidRDefault="00E97525" w:rsidP="00E97525">
      <w:pPr>
        <w:numPr>
          <w:ilvl w:val="0"/>
          <w:numId w:val="5"/>
        </w:numPr>
        <w:spacing w:after="120" w:line="240" w:lineRule="auto"/>
        <w:jc w:val="both"/>
        <w:rPr>
          <w:rFonts w:ascii="Gotham Pro LT" w:eastAsia="Calibri" w:hAnsi="Gotham Pro LT" w:cs="Gotham Pro LT"/>
          <w:shd w:val="clear" w:color="auto" w:fill="FFFFFF"/>
        </w:rPr>
      </w:pPr>
      <w:r w:rsidRPr="005B23B3">
        <w:rPr>
          <w:rFonts w:ascii="Gotham Pro LT" w:eastAsia="Calibri" w:hAnsi="Gotham Pro LT" w:cs="Gotham Pro LT"/>
          <w:shd w:val="clear" w:color="auto" w:fill="FFFFFF"/>
        </w:rPr>
        <w:t>atbilstība Garantijas fonda izveides mērķim un OCTA direktīvai 2009/103/EK, direktīvai 2009/138/EK (Maksātspēja II) un Satversmes 91. un 105.pantam;</w:t>
      </w:r>
    </w:p>
    <w:p w14:paraId="342CD565" w14:textId="77777777" w:rsidR="00E97525" w:rsidRPr="005B23B3" w:rsidRDefault="00E97525" w:rsidP="00E97525">
      <w:pPr>
        <w:numPr>
          <w:ilvl w:val="0"/>
          <w:numId w:val="5"/>
        </w:numPr>
        <w:spacing w:after="120" w:line="240" w:lineRule="auto"/>
        <w:ind w:left="1077" w:hanging="357"/>
        <w:jc w:val="both"/>
        <w:rPr>
          <w:rFonts w:ascii="Gotham Pro LT" w:eastAsia="Calibri" w:hAnsi="Gotham Pro LT" w:cs="Gotham Pro LT"/>
          <w:shd w:val="clear" w:color="auto" w:fill="FFFFFF"/>
        </w:rPr>
      </w:pPr>
      <w:r w:rsidRPr="005B23B3">
        <w:rPr>
          <w:rFonts w:ascii="Gotham Pro LT" w:eastAsia="Calibri" w:hAnsi="Gotham Pro LT" w:cs="Gotham Pro LT"/>
          <w:shd w:val="clear" w:color="auto" w:fill="FFFFFF"/>
        </w:rPr>
        <w:lastRenderedPageBreak/>
        <w:t>tiek nodrošināta Garantijas fonda finansiālā stabilitāte un pieaugums, apdrošināšanas sabiedrībām pirmos divus gadus vēl tikai jāveic atskaitījumi divkāršā apmērā (4 gadu laikā  atskaitījumu apmērs sasniegs 5-6 milj. EUR);</w:t>
      </w:r>
    </w:p>
    <w:p w14:paraId="3703536A" w14:textId="77777777" w:rsidR="00E97525" w:rsidRPr="005B23B3" w:rsidRDefault="00E97525" w:rsidP="00E97525">
      <w:pPr>
        <w:pStyle w:val="ListParagraph"/>
        <w:numPr>
          <w:ilvl w:val="0"/>
          <w:numId w:val="5"/>
        </w:numPr>
        <w:tabs>
          <w:tab w:val="left" w:pos="1276"/>
        </w:tabs>
        <w:spacing w:after="120" w:line="240" w:lineRule="auto"/>
        <w:ind w:left="1077" w:hanging="357"/>
        <w:contextualSpacing w:val="0"/>
        <w:jc w:val="both"/>
        <w:rPr>
          <w:rFonts w:ascii="Gotham Pro LT" w:eastAsia="Calibri" w:hAnsi="Gotham Pro LT" w:cs="Gotham Pro LT"/>
          <w:bCs/>
          <w:shd w:val="clear" w:color="auto" w:fill="FFFFFF"/>
        </w:rPr>
      </w:pPr>
      <w:r w:rsidRPr="005B23B3">
        <w:rPr>
          <w:rFonts w:ascii="Gotham Pro LT" w:eastAsia="Times New Roman" w:hAnsi="Gotham Pro LT" w:cs="Gotham Pro LT"/>
          <w:bCs/>
        </w:rPr>
        <w:t xml:space="preserve">tiek novērsta līdz šim absurdā situācija, kad ar līdzšinējo atlaides mehānismu tika vairāk atbalstīti sliktākie autovadītāji, kuriem ir sliktāka </w:t>
      </w:r>
      <w:r w:rsidRPr="005B23B3">
        <w:rPr>
          <w:rFonts w:ascii="Gotham Pro LT" w:eastAsia="Times New Roman" w:hAnsi="Gotham Pro LT" w:cs="Gotham Pro LT"/>
          <w:bCs/>
          <w:i/>
          <w:iCs/>
        </w:rPr>
        <w:t>Bonus-Malus</w:t>
      </w:r>
      <w:r w:rsidRPr="005B23B3">
        <w:rPr>
          <w:rFonts w:ascii="Gotham Pro LT" w:eastAsia="Times New Roman" w:hAnsi="Gotham Pro LT" w:cs="Gotham Pro LT"/>
          <w:bCs/>
        </w:rPr>
        <w:t xml:space="preserve"> klase (</w:t>
      </w:r>
      <w:r w:rsidRPr="005B23B3">
        <w:rPr>
          <w:rFonts w:ascii="Gotham Pro LT" w:hAnsi="Gotham Pro LT" w:cs="Gotham Pro LT"/>
          <w:bCs/>
        </w:rPr>
        <w:t>jo sliktāka apdrošinājuma ņēmēja apdrošināšanas vēsture, jo lielāka apdrošināšanas prēmija, jo lielāka arī bija kompensējamā atlaide no Garantijas fonda</w:t>
      </w:r>
      <w:r w:rsidRPr="005B23B3">
        <w:rPr>
          <w:rFonts w:ascii="Gotham Pro LT" w:eastAsia="Times New Roman" w:hAnsi="Gotham Pro LT" w:cs="Gotham Pro LT"/>
          <w:bCs/>
        </w:rPr>
        <w:t>);</w:t>
      </w:r>
    </w:p>
    <w:p w14:paraId="15A3ED8A" w14:textId="77777777" w:rsidR="00E97525" w:rsidRPr="005B23B3" w:rsidRDefault="00E97525" w:rsidP="00E97525">
      <w:pPr>
        <w:pStyle w:val="ListParagraph"/>
        <w:numPr>
          <w:ilvl w:val="0"/>
          <w:numId w:val="5"/>
        </w:numPr>
        <w:tabs>
          <w:tab w:val="left" w:pos="1276"/>
        </w:tabs>
        <w:spacing w:after="120" w:line="240" w:lineRule="auto"/>
        <w:ind w:left="1077" w:hanging="357"/>
        <w:contextualSpacing w:val="0"/>
        <w:jc w:val="both"/>
        <w:rPr>
          <w:rFonts w:ascii="Gotham Pro LT" w:eastAsia="Calibri" w:hAnsi="Gotham Pro LT" w:cs="Gotham Pro LT"/>
          <w:bCs/>
          <w:shd w:val="clear" w:color="auto" w:fill="FFFFFF"/>
        </w:rPr>
      </w:pPr>
      <w:r w:rsidRPr="005B23B3">
        <w:rPr>
          <w:rFonts w:ascii="Gotham Pro LT" w:eastAsia="Times New Roman" w:hAnsi="Gotham Pro LT" w:cs="Gotham Pro LT"/>
          <w:bCs/>
        </w:rPr>
        <w:t>tiek novērsta sociālā nevienlīdzība apdrošinājuma ņēmēju vidū;</w:t>
      </w:r>
    </w:p>
    <w:p w14:paraId="4CDC8D6A" w14:textId="77777777" w:rsidR="00E97525" w:rsidRPr="005B23B3" w:rsidRDefault="00E97525" w:rsidP="00E97525">
      <w:pPr>
        <w:pStyle w:val="ListParagraph"/>
        <w:numPr>
          <w:ilvl w:val="0"/>
          <w:numId w:val="5"/>
        </w:numPr>
        <w:tabs>
          <w:tab w:val="left" w:pos="1276"/>
        </w:tabs>
        <w:spacing w:after="120" w:line="240" w:lineRule="auto"/>
        <w:ind w:left="1077" w:hanging="357"/>
        <w:contextualSpacing w:val="0"/>
        <w:jc w:val="both"/>
        <w:rPr>
          <w:rFonts w:ascii="Gotham Pro LT" w:eastAsia="Calibri" w:hAnsi="Gotham Pro LT" w:cs="Gotham Pro LT"/>
          <w:shd w:val="clear" w:color="auto" w:fill="FFFFFF"/>
        </w:rPr>
      </w:pPr>
      <w:r w:rsidRPr="005B23B3">
        <w:rPr>
          <w:rFonts w:ascii="Gotham Pro LT" w:eastAsia="Times New Roman" w:hAnsi="Gotham Pro LT" w:cs="Gotham Pro LT"/>
          <w:bCs/>
        </w:rPr>
        <w:t xml:space="preserve">tiek nodrošināta tiesiskā vienlīdzība un novērsta </w:t>
      </w:r>
      <w:r w:rsidRPr="005B23B3">
        <w:rPr>
          <w:rFonts w:ascii="Gotham Pro LT" w:hAnsi="Gotham Pro LT" w:cs="Gotham Pro LT"/>
        </w:rPr>
        <w:t>privileģētā attieksme pret atsevišķu saimnieciskās darbības veicēju grupu</w:t>
      </w:r>
      <w:r w:rsidRPr="005B23B3">
        <w:rPr>
          <w:rFonts w:ascii="Gotham Pro LT" w:hAnsi="Gotham Pro LT" w:cs="Gotham Pro LT"/>
          <w:shd w:val="clear" w:color="auto" w:fill="FFFFFF"/>
        </w:rPr>
        <w:t>.</w:t>
      </w:r>
    </w:p>
    <w:p w14:paraId="442A03E2" w14:textId="77777777" w:rsidR="00E97525" w:rsidRPr="005B23B3" w:rsidRDefault="00E97525" w:rsidP="00E97525">
      <w:pPr>
        <w:rPr>
          <w:rFonts w:ascii="Gotham Pro LT" w:hAnsi="Gotham Pro LT" w:cs="Gotham Pro LT"/>
        </w:rPr>
      </w:pPr>
    </w:p>
    <w:p w14:paraId="1AE3CFEB" w14:textId="77777777" w:rsidR="00E97525" w:rsidRPr="005B23B3" w:rsidRDefault="00E97525" w:rsidP="00E97525">
      <w:pPr>
        <w:tabs>
          <w:tab w:val="left" w:pos="851"/>
          <w:tab w:val="left" w:pos="1276"/>
        </w:tabs>
        <w:spacing w:after="0" w:line="240" w:lineRule="auto"/>
        <w:ind w:firstLine="567"/>
        <w:jc w:val="both"/>
        <w:rPr>
          <w:rFonts w:ascii="Gotham Pro LT" w:eastAsia="Calibri" w:hAnsi="Gotham Pro LT" w:cs="Gotham Pro LT"/>
          <w:bCs/>
          <w:shd w:val="clear" w:color="auto" w:fill="FFFFFF"/>
        </w:rPr>
      </w:pPr>
      <w:r w:rsidRPr="005B23B3">
        <w:rPr>
          <w:rFonts w:ascii="Gotham Pro LT" w:eastAsia="Calibri" w:hAnsi="Gotham Pro LT" w:cs="Gotham Pro LT"/>
          <w:bCs/>
          <w:shd w:val="clear" w:color="auto" w:fill="FFFFFF"/>
        </w:rPr>
        <w:t>Ņemot vērā OCTA direktīvā</w:t>
      </w:r>
      <w:r>
        <w:rPr>
          <w:rFonts w:ascii="Gotham Pro LT" w:eastAsia="Calibri" w:hAnsi="Gotham Pro LT" w:cs="Gotham Pro LT"/>
          <w:bCs/>
          <w:shd w:val="clear" w:color="auto" w:fill="FFFFFF"/>
        </w:rPr>
        <w:t xml:space="preserve"> </w:t>
      </w:r>
      <w:r w:rsidRPr="005B23B3">
        <w:rPr>
          <w:rFonts w:ascii="Gotham Pro LT" w:eastAsia="Calibri" w:hAnsi="Gotham Pro LT" w:cs="Gotham Pro LT"/>
          <w:shd w:val="clear" w:color="auto" w:fill="FFFFFF"/>
        </w:rPr>
        <w:t>2009/103/EK</w:t>
      </w:r>
      <w:r w:rsidRPr="005B23B3">
        <w:rPr>
          <w:rFonts w:ascii="Gotham Pro LT" w:eastAsia="Calibri" w:hAnsi="Gotham Pro LT" w:cs="Gotham Pro LT"/>
          <w:bCs/>
          <w:shd w:val="clear" w:color="auto" w:fill="FFFFFF"/>
        </w:rPr>
        <w:t xml:space="preserve"> minēto, proti, to, kādam mērķim Garantijas fonds ir izveidots un lai arī nākotnē Garantijas fonds spētu nodrošināt ar OCTA direktīvu noteikto – n</w:t>
      </w:r>
      <w:r w:rsidRPr="005B23B3">
        <w:rPr>
          <w:rFonts w:ascii="Gotham Pro LT" w:hAnsi="Gotham Pro LT" w:cs="Gotham Pro LT"/>
          <w:bCs/>
          <w:shd w:val="clear" w:color="auto" w:fill="FFFFFF"/>
        </w:rPr>
        <w:t>odrošināt</w:t>
      </w:r>
      <w:r w:rsidRPr="005B23B3">
        <w:rPr>
          <w:rFonts w:ascii="Gotham Pro LT" w:hAnsi="Gotham Pro LT" w:cs="Gotham Pro LT"/>
          <w:b/>
          <w:shd w:val="clear" w:color="auto" w:fill="FFFFFF"/>
        </w:rPr>
        <w:t xml:space="preserve"> </w:t>
      </w:r>
      <w:r w:rsidRPr="005B23B3">
        <w:rPr>
          <w:rFonts w:ascii="Gotham Pro LT" w:eastAsia="Times New Roman" w:hAnsi="Gotham Pro LT" w:cs="Gotham Pro LT"/>
          <w:bCs/>
        </w:rPr>
        <w:t>augstu aizsardzības līmeni cietušajiem mehānisko transportlīdzekļu izraisītos negadījumos –, un</w:t>
      </w:r>
    </w:p>
    <w:p w14:paraId="30AC238B" w14:textId="77777777" w:rsidR="00E97525" w:rsidRPr="005B23B3" w:rsidRDefault="00E97525" w:rsidP="00E97525">
      <w:pPr>
        <w:pStyle w:val="ListParagraph"/>
        <w:numPr>
          <w:ilvl w:val="0"/>
          <w:numId w:val="8"/>
        </w:numPr>
        <w:tabs>
          <w:tab w:val="left" w:pos="1276"/>
        </w:tabs>
        <w:spacing w:after="0" w:line="240" w:lineRule="auto"/>
        <w:jc w:val="both"/>
        <w:rPr>
          <w:rFonts w:ascii="Gotham Pro LT" w:eastAsia="Calibri" w:hAnsi="Gotham Pro LT" w:cs="Gotham Pro LT"/>
          <w:bCs/>
          <w:shd w:val="clear" w:color="auto" w:fill="FFFFFF"/>
        </w:rPr>
      </w:pPr>
      <w:r w:rsidRPr="005B23B3">
        <w:rPr>
          <w:rFonts w:ascii="Gotham Pro LT" w:eastAsia="Times New Roman" w:hAnsi="Gotham Pro LT" w:cs="Gotham Pro LT"/>
          <w:bCs/>
        </w:rPr>
        <w:t>lai nodrošinātu atbilstību:</w:t>
      </w:r>
    </w:p>
    <w:p w14:paraId="56DC55AD" w14:textId="77777777" w:rsidR="00E97525" w:rsidRPr="005B23B3" w:rsidRDefault="00E97525" w:rsidP="00E97525">
      <w:pPr>
        <w:pStyle w:val="ListParagraph"/>
        <w:numPr>
          <w:ilvl w:val="1"/>
          <w:numId w:val="8"/>
        </w:numPr>
        <w:tabs>
          <w:tab w:val="left" w:pos="1276"/>
        </w:tabs>
        <w:spacing w:after="0" w:line="240" w:lineRule="auto"/>
        <w:jc w:val="both"/>
        <w:rPr>
          <w:rFonts w:ascii="Gotham Pro LT" w:eastAsia="Calibri" w:hAnsi="Gotham Pro LT" w:cs="Gotham Pro LT"/>
          <w:bCs/>
          <w:shd w:val="clear" w:color="auto" w:fill="FFFFFF"/>
        </w:rPr>
      </w:pPr>
      <w:r w:rsidRPr="005B23B3">
        <w:rPr>
          <w:rFonts w:ascii="Gotham Pro LT" w:hAnsi="Gotham Pro LT" w:cs="Gotham Pro LT"/>
        </w:rPr>
        <w:t>ar OCTA likumu izvirzītajam mērķim un obligātās civiltiesiskās atbildības apdrošināšanas būtībai segt zaudējumus ceļu satiksmes negadījumā cietušajām trešajām personām, ja zaudējumus nodarījis transportlīdzeklis, kas pakļauts OCTA apdrošināšanai saskaņā ar OCTA direktīvu,</w:t>
      </w:r>
    </w:p>
    <w:p w14:paraId="5DCFA0F1" w14:textId="77777777" w:rsidR="00E97525" w:rsidRPr="005B23B3" w:rsidRDefault="00E97525" w:rsidP="00E97525">
      <w:pPr>
        <w:pStyle w:val="ListParagraph"/>
        <w:numPr>
          <w:ilvl w:val="1"/>
          <w:numId w:val="8"/>
        </w:numPr>
        <w:tabs>
          <w:tab w:val="left" w:pos="1276"/>
        </w:tabs>
        <w:spacing w:after="0" w:line="240" w:lineRule="auto"/>
        <w:jc w:val="both"/>
        <w:rPr>
          <w:rFonts w:ascii="Gotham Pro LT" w:eastAsia="Calibri" w:hAnsi="Gotham Pro LT" w:cs="Gotham Pro LT"/>
          <w:bCs/>
          <w:shd w:val="clear" w:color="auto" w:fill="FFFFFF"/>
        </w:rPr>
      </w:pPr>
      <w:r w:rsidRPr="005B23B3">
        <w:rPr>
          <w:rFonts w:ascii="Gotham Pro LT" w:hAnsi="Gotham Pro LT" w:cs="Gotham Pro LT"/>
        </w:rPr>
        <w:t xml:space="preserve">direktīvai 2009/138/EK (Maksātspēja II) </w:t>
      </w:r>
      <w:r w:rsidRPr="005B23B3">
        <w:rPr>
          <w:rFonts w:ascii="Gotham Pro LT" w:hAnsi="Gotham Pro LT" w:cs="Gotham Pro LT"/>
          <w:shd w:val="clear" w:color="auto" w:fill="FFFFFF"/>
        </w:rPr>
        <w:t xml:space="preserve">(ja apdrošināšanas sabiedrībām ir uzlikts pienākums piešķirt atlaides, tad netieši valsts iejaucas apdrošināšanas prēmijas apmēra noteikšanas politikā) un </w:t>
      </w:r>
      <w:r w:rsidRPr="005B23B3">
        <w:rPr>
          <w:rFonts w:ascii="Gotham Pro LT" w:hAnsi="Gotham Pro LT" w:cs="Gotham Pro LT"/>
        </w:rPr>
        <w:t>E</w:t>
      </w:r>
      <w:r>
        <w:rPr>
          <w:rFonts w:ascii="Gotham Pro LT" w:hAnsi="Gotham Pro LT" w:cs="Gotham Pro LT"/>
        </w:rPr>
        <w:t>iropas Savienības Tiesas</w:t>
      </w:r>
      <w:r w:rsidRPr="005B23B3">
        <w:rPr>
          <w:rFonts w:ascii="Gotham Pro LT" w:hAnsi="Gotham Pro LT" w:cs="Gotham Pro LT"/>
        </w:rPr>
        <w:t xml:space="preserve"> judikatūrai par to, ka valsts nevar iejaukties apdrošināšanas prēmijas apmēra noteikšanas politikā</w:t>
      </w:r>
      <w:r>
        <w:rPr>
          <w:rStyle w:val="FootnoteReference"/>
          <w:rFonts w:ascii="Gotham Pro LT" w:hAnsi="Gotham Pro LT" w:cs="Gotham Pro LT"/>
        </w:rPr>
        <w:footnoteReference w:id="1"/>
      </w:r>
      <w:r w:rsidRPr="005B23B3">
        <w:rPr>
          <w:rFonts w:ascii="Gotham Pro LT" w:hAnsi="Gotham Pro LT" w:cs="Gotham Pro LT"/>
        </w:rPr>
        <w:t>;</w:t>
      </w:r>
    </w:p>
    <w:p w14:paraId="015E2841" w14:textId="77777777" w:rsidR="00E97525" w:rsidRPr="005B23B3" w:rsidRDefault="00E97525" w:rsidP="00E97525">
      <w:pPr>
        <w:pStyle w:val="ListParagraph"/>
        <w:numPr>
          <w:ilvl w:val="0"/>
          <w:numId w:val="8"/>
        </w:numPr>
        <w:tabs>
          <w:tab w:val="left" w:pos="1276"/>
        </w:tabs>
        <w:spacing w:after="0" w:line="240" w:lineRule="auto"/>
        <w:jc w:val="both"/>
        <w:rPr>
          <w:rFonts w:ascii="Gotham Pro LT" w:eastAsia="Calibri" w:hAnsi="Gotham Pro LT" w:cs="Gotham Pro LT"/>
          <w:bCs/>
          <w:shd w:val="clear" w:color="auto" w:fill="FFFFFF"/>
        </w:rPr>
      </w:pPr>
      <w:r w:rsidRPr="005B23B3">
        <w:rPr>
          <w:rFonts w:ascii="Gotham Pro LT" w:eastAsia="Times New Roman" w:hAnsi="Gotham Pro LT" w:cs="Gotham Pro LT"/>
          <w:bCs/>
        </w:rPr>
        <w:t>lai novērstu iespējamo neatbilstību Satversmes 91. un 105.pantā nostiprinātajām pamattiesībām (tiktu ievērots vienlīdzības princips un netiktu ierobežotas tiesības uz īpašumu);</w:t>
      </w:r>
    </w:p>
    <w:p w14:paraId="143AEBE8" w14:textId="77777777" w:rsidR="00E97525" w:rsidRPr="005B23B3" w:rsidRDefault="00E97525" w:rsidP="00E97525">
      <w:pPr>
        <w:pStyle w:val="ListParagraph"/>
        <w:numPr>
          <w:ilvl w:val="0"/>
          <w:numId w:val="8"/>
        </w:numPr>
        <w:tabs>
          <w:tab w:val="left" w:pos="1276"/>
        </w:tabs>
        <w:spacing w:after="0" w:line="240" w:lineRule="auto"/>
        <w:ind w:left="0" w:firstLine="851"/>
        <w:jc w:val="both"/>
        <w:rPr>
          <w:rFonts w:ascii="Gotham Pro LT" w:eastAsia="Calibri" w:hAnsi="Gotham Pro LT" w:cs="Gotham Pro LT"/>
          <w:bCs/>
          <w:shd w:val="clear" w:color="auto" w:fill="FFFFFF"/>
        </w:rPr>
      </w:pPr>
      <w:r w:rsidRPr="005B23B3">
        <w:rPr>
          <w:rFonts w:ascii="Gotham Pro LT" w:eastAsia="Times New Roman" w:hAnsi="Gotham Pro LT" w:cs="Gotham Pro LT"/>
          <w:bCs/>
        </w:rPr>
        <w:t xml:space="preserve">lai novērstu līdz šim absurdo situāciju, kad ar līdzšinējo atlaides mehānismu tiek vairāk atbalstīti sliktākie autovadītāji, kuriem ir sliktāka </w:t>
      </w:r>
      <w:r w:rsidRPr="005B23B3">
        <w:rPr>
          <w:rFonts w:ascii="Gotham Pro LT" w:eastAsia="Times New Roman" w:hAnsi="Gotham Pro LT" w:cs="Gotham Pro LT"/>
          <w:bCs/>
          <w:i/>
          <w:iCs/>
        </w:rPr>
        <w:t>Bonus-Malus</w:t>
      </w:r>
      <w:r w:rsidRPr="005B23B3">
        <w:rPr>
          <w:rFonts w:ascii="Gotham Pro LT" w:eastAsia="Times New Roman" w:hAnsi="Gotham Pro LT" w:cs="Gotham Pro LT"/>
          <w:bCs/>
        </w:rPr>
        <w:t xml:space="preserve"> klase (</w:t>
      </w:r>
      <w:r w:rsidRPr="005B23B3">
        <w:rPr>
          <w:rFonts w:ascii="Gotham Pro LT" w:hAnsi="Gotham Pro LT" w:cs="Gotham Pro LT"/>
          <w:bCs/>
        </w:rPr>
        <w:t>jo sliktāka apdrošinājuma ņēmēja apdrošināšanas vēsture, jo lielāka apdrošināšanas prēmija, jo lielāka arī kompensējamā atlaide no Garantijas fonda</w:t>
      </w:r>
      <w:r w:rsidRPr="005B23B3">
        <w:rPr>
          <w:rFonts w:ascii="Gotham Pro LT" w:eastAsia="Times New Roman" w:hAnsi="Gotham Pro LT" w:cs="Gotham Pro LT"/>
          <w:bCs/>
        </w:rPr>
        <w:t>),</w:t>
      </w:r>
    </w:p>
    <w:p w14:paraId="3378CFCA" w14:textId="77777777" w:rsidR="00E97525" w:rsidRPr="005B23B3" w:rsidRDefault="00E97525" w:rsidP="00E97525">
      <w:pPr>
        <w:pStyle w:val="ListParagraph"/>
        <w:numPr>
          <w:ilvl w:val="0"/>
          <w:numId w:val="8"/>
        </w:numPr>
        <w:tabs>
          <w:tab w:val="left" w:pos="1276"/>
        </w:tabs>
        <w:spacing w:after="0" w:line="240" w:lineRule="auto"/>
        <w:ind w:left="0" w:firstLine="851"/>
        <w:jc w:val="both"/>
        <w:rPr>
          <w:rFonts w:ascii="Gotham Pro LT" w:eastAsia="Calibri" w:hAnsi="Gotham Pro LT" w:cs="Gotham Pro LT"/>
          <w:bCs/>
          <w:shd w:val="clear" w:color="auto" w:fill="FFFFFF"/>
        </w:rPr>
      </w:pPr>
      <w:r w:rsidRPr="005B23B3">
        <w:rPr>
          <w:rFonts w:ascii="Gotham Pro LT" w:eastAsia="Times New Roman" w:hAnsi="Gotham Pro LT" w:cs="Gotham Pro LT"/>
          <w:bCs/>
        </w:rPr>
        <w:t>lai novērstu sociālo nevienlīdzību pašu personu, kurām pienākas atlaides, un pārējo apdrošinājumu ņēmēju vidū;</w:t>
      </w:r>
    </w:p>
    <w:p w14:paraId="3CC859AD" w14:textId="77777777" w:rsidR="00E97525" w:rsidRPr="005B23B3" w:rsidRDefault="00E97525" w:rsidP="00E97525">
      <w:pPr>
        <w:pStyle w:val="ListParagraph"/>
        <w:numPr>
          <w:ilvl w:val="0"/>
          <w:numId w:val="8"/>
        </w:numPr>
        <w:tabs>
          <w:tab w:val="left" w:pos="1276"/>
        </w:tabs>
        <w:spacing w:after="0" w:line="240" w:lineRule="auto"/>
        <w:ind w:left="0" w:firstLine="851"/>
        <w:jc w:val="both"/>
        <w:rPr>
          <w:rFonts w:ascii="Gotham Pro LT" w:eastAsia="Calibri" w:hAnsi="Gotham Pro LT" w:cs="Gotham Pro LT"/>
          <w:bCs/>
          <w:shd w:val="clear" w:color="auto" w:fill="FFFFFF"/>
        </w:rPr>
      </w:pPr>
      <w:r w:rsidRPr="005B23B3">
        <w:rPr>
          <w:rFonts w:ascii="Gotham Pro LT" w:eastAsia="Times New Roman" w:hAnsi="Gotham Pro LT" w:cs="Gotham Pro LT"/>
          <w:bCs/>
        </w:rPr>
        <w:t xml:space="preserve">lai tiktu ievērots vienlīdzības princips un novērsta priviliģētā attieksme pret </w:t>
      </w:r>
      <w:r w:rsidRPr="005B23B3">
        <w:rPr>
          <w:rFonts w:ascii="Gotham Pro LT" w:hAnsi="Gotham Pro LT" w:cs="Gotham Pro LT"/>
        </w:rPr>
        <w:t>atsevišķu saimnieciskās darbības veicēju grupu</w:t>
      </w:r>
      <w:r w:rsidRPr="005B23B3">
        <w:rPr>
          <w:rFonts w:ascii="Gotham Pro LT" w:eastAsia="Times New Roman" w:hAnsi="Gotham Pro LT" w:cs="Gotham Pro LT"/>
          <w:bCs/>
        </w:rPr>
        <w:t>.</w:t>
      </w:r>
    </w:p>
    <w:p w14:paraId="6D252982" w14:textId="77777777" w:rsidR="00E97525" w:rsidRPr="005B23B3" w:rsidRDefault="00E97525" w:rsidP="00E97525">
      <w:pPr>
        <w:pStyle w:val="ListParagraph"/>
        <w:tabs>
          <w:tab w:val="left" w:pos="1276"/>
        </w:tabs>
        <w:spacing w:after="0" w:line="240" w:lineRule="auto"/>
        <w:ind w:left="851"/>
        <w:jc w:val="both"/>
        <w:rPr>
          <w:rFonts w:ascii="Gotham Pro LT" w:eastAsia="Calibri" w:hAnsi="Gotham Pro LT" w:cs="Gotham Pro LT"/>
          <w:bCs/>
          <w:shd w:val="clear" w:color="auto" w:fill="FFFFFF"/>
        </w:rPr>
      </w:pPr>
    </w:p>
    <w:p w14:paraId="45B658B6" w14:textId="77777777" w:rsidR="00E97525" w:rsidRPr="005F28A6" w:rsidRDefault="00E97525" w:rsidP="00E97525">
      <w:pPr>
        <w:pStyle w:val="ListParagraph"/>
        <w:tabs>
          <w:tab w:val="left" w:pos="1276"/>
        </w:tabs>
        <w:spacing w:after="0" w:line="240" w:lineRule="auto"/>
        <w:ind w:left="0" w:firstLine="851"/>
        <w:jc w:val="both"/>
        <w:rPr>
          <w:rFonts w:ascii="Gotham Pro LT" w:eastAsia="Times New Roman" w:hAnsi="Gotham Pro LT" w:cs="Gotham Pro LT"/>
          <w:b/>
        </w:rPr>
      </w:pPr>
      <w:r w:rsidRPr="005F28A6">
        <w:rPr>
          <w:rFonts w:ascii="Gotham Pro LT" w:eastAsia="Times New Roman" w:hAnsi="Gotham Pro LT" w:cs="Gotham Pro LT"/>
          <w:b/>
        </w:rPr>
        <w:t>LTAB ierosina tālāk virzīt 3. rīcības modeli, vienlaikus veicot šādus grozījumus OCTA likumā:</w:t>
      </w:r>
    </w:p>
    <w:p w14:paraId="7F761AF3" w14:textId="77777777" w:rsidR="00E97525" w:rsidRPr="005B23B3" w:rsidRDefault="00E97525" w:rsidP="00E97525">
      <w:pPr>
        <w:pStyle w:val="ListParagraph"/>
        <w:numPr>
          <w:ilvl w:val="0"/>
          <w:numId w:val="7"/>
        </w:numPr>
        <w:tabs>
          <w:tab w:val="left" w:pos="993"/>
        </w:tabs>
        <w:spacing w:after="0" w:line="240" w:lineRule="auto"/>
        <w:ind w:left="0" w:firstLine="709"/>
        <w:jc w:val="both"/>
        <w:rPr>
          <w:rFonts w:ascii="Gotham Pro LT" w:hAnsi="Gotham Pro LT" w:cs="Gotham Pro LT"/>
          <w:bCs/>
        </w:rPr>
      </w:pPr>
      <w:r w:rsidRPr="005B23B3">
        <w:rPr>
          <w:rFonts w:ascii="Gotham Pro LT" w:eastAsia="Calibri" w:hAnsi="Gotham Pro LT" w:cs="Gotham Pro LT"/>
          <w:bCs/>
          <w:shd w:val="clear" w:color="auto" w:fill="FFFFFF"/>
        </w:rPr>
        <w:t xml:space="preserve">izslēgt 14.pantā </w:t>
      </w:r>
      <w:r w:rsidRPr="005B23B3">
        <w:rPr>
          <w:rFonts w:ascii="Gotham Pro LT" w:hAnsi="Gotham Pro LT" w:cs="Gotham Pro LT"/>
          <w:bCs/>
        </w:rPr>
        <w:t>otro, 2.</w:t>
      </w:r>
      <w:r w:rsidRPr="005B23B3">
        <w:rPr>
          <w:rFonts w:ascii="Gotham Pro LT" w:hAnsi="Gotham Pro LT" w:cs="Gotham Pro LT"/>
          <w:bCs/>
          <w:vertAlign w:val="superscript"/>
        </w:rPr>
        <w:t>1</w:t>
      </w:r>
      <w:r w:rsidRPr="005B23B3">
        <w:rPr>
          <w:rFonts w:ascii="Gotham Pro LT" w:hAnsi="Gotham Pro LT" w:cs="Gotham Pro LT"/>
          <w:bCs/>
        </w:rPr>
        <w:t xml:space="preserve">, trešo un ceturto daļu, </w:t>
      </w:r>
    </w:p>
    <w:p w14:paraId="70F4DE80" w14:textId="77777777" w:rsidR="00E97525" w:rsidRPr="005B23B3" w:rsidRDefault="00E97525" w:rsidP="00E97525">
      <w:pPr>
        <w:pStyle w:val="ListParagraph"/>
        <w:numPr>
          <w:ilvl w:val="0"/>
          <w:numId w:val="7"/>
        </w:numPr>
        <w:tabs>
          <w:tab w:val="left" w:pos="993"/>
        </w:tabs>
        <w:spacing w:after="0" w:line="240" w:lineRule="auto"/>
        <w:ind w:left="0" w:firstLine="709"/>
        <w:jc w:val="both"/>
        <w:rPr>
          <w:rFonts w:ascii="Gotham Pro LT" w:eastAsia="Calibri" w:hAnsi="Gotham Pro LT" w:cs="Gotham Pro LT"/>
          <w:bCs/>
          <w:shd w:val="clear" w:color="auto" w:fill="FFFFFF"/>
        </w:rPr>
      </w:pPr>
      <w:r w:rsidRPr="005B23B3">
        <w:rPr>
          <w:rFonts w:ascii="Gotham Pro LT" w:eastAsia="Calibri" w:hAnsi="Gotham Pro LT" w:cs="Gotham Pro LT"/>
          <w:bCs/>
          <w:shd w:val="clear" w:color="auto" w:fill="FFFFFF"/>
        </w:rPr>
        <w:t xml:space="preserve">izslēgt </w:t>
      </w:r>
      <w:r w:rsidRPr="005B23B3">
        <w:rPr>
          <w:rFonts w:ascii="Gotham Pro LT" w:hAnsi="Gotham Pro LT" w:cs="Gotham Pro LT"/>
          <w:bCs/>
        </w:rPr>
        <w:t>51.panta trešās daļas 2.punktu,</w:t>
      </w:r>
    </w:p>
    <w:p w14:paraId="7D08C903" w14:textId="77777777" w:rsidR="00E97525" w:rsidRPr="005B23B3" w:rsidRDefault="00E97525" w:rsidP="00E97525">
      <w:pPr>
        <w:pStyle w:val="ListParagraph"/>
        <w:numPr>
          <w:ilvl w:val="0"/>
          <w:numId w:val="7"/>
        </w:numPr>
        <w:tabs>
          <w:tab w:val="left" w:pos="993"/>
        </w:tabs>
        <w:spacing w:after="0" w:line="240" w:lineRule="auto"/>
        <w:ind w:left="0" w:firstLine="709"/>
        <w:jc w:val="both"/>
        <w:rPr>
          <w:rFonts w:ascii="Gotham Pro LT" w:eastAsia="Calibri" w:hAnsi="Gotham Pro LT" w:cs="Gotham Pro LT"/>
          <w:bCs/>
          <w:shd w:val="clear" w:color="auto" w:fill="FFFFFF"/>
        </w:rPr>
      </w:pPr>
      <w:r w:rsidRPr="005B23B3">
        <w:rPr>
          <w:rFonts w:ascii="Gotham Pro LT" w:hAnsi="Gotham Pro LT" w:cs="Gotham Pro LT"/>
          <w:bCs/>
        </w:rPr>
        <w:t xml:space="preserve">izslēgt 57.panta otrās daļas pēdējo teikumu, </w:t>
      </w:r>
    </w:p>
    <w:p w14:paraId="55146350" w14:textId="77777777" w:rsidR="00E97525" w:rsidRPr="005B23B3" w:rsidRDefault="00E97525" w:rsidP="00E97525">
      <w:pPr>
        <w:pStyle w:val="ListParagraph"/>
        <w:numPr>
          <w:ilvl w:val="0"/>
          <w:numId w:val="7"/>
        </w:numPr>
        <w:tabs>
          <w:tab w:val="left" w:pos="993"/>
        </w:tabs>
        <w:spacing w:after="0" w:line="240" w:lineRule="auto"/>
        <w:ind w:left="0" w:firstLine="709"/>
        <w:jc w:val="both"/>
        <w:rPr>
          <w:rFonts w:ascii="Gotham Pro LT" w:hAnsi="Gotham Pro LT" w:cs="Gotham Pro LT"/>
          <w:bCs/>
        </w:rPr>
      </w:pPr>
      <w:r w:rsidRPr="005B23B3">
        <w:rPr>
          <w:rFonts w:ascii="Gotham Pro LT" w:hAnsi="Gotham Pro LT" w:cs="Gotham Pro LT"/>
          <w:bCs/>
          <w:shd w:val="clear" w:color="auto" w:fill="FFFFFF"/>
        </w:rPr>
        <w:lastRenderedPageBreak/>
        <w:t xml:space="preserve">Papildināt pārejas noteikumus ar 25.punktu šādā redakcijā: </w:t>
      </w:r>
    </w:p>
    <w:p w14:paraId="0A32CB35" w14:textId="77777777" w:rsidR="00E97525" w:rsidRPr="005B23B3" w:rsidRDefault="00E97525" w:rsidP="00E97525">
      <w:pPr>
        <w:pStyle w:val="ListParagraph"/>
        <w:tabs>
          <w:tab w:val="left" w:pos="993"/>
        </w:tabs>
        <w:ind w:left="0" w:firstLine="709"/>
        <w:jc w:val="both"/>
        <w:rPr>
          <w:rFonts w:ascii="Gotham Pro LT" w:hAnsi="Gotham Pro LT" w:cs="Gotham Pro LT"/>
          <w:bCs/>
        </w:rPr>
      </w:pPr>
      <w:r w:rsidRPr="005B23B3">
        <w:rPr>
          <w:rFonts w:ascii="Gotham Pro LT" w:hAnsi="Gotham Pro LT" w:cs="Gotham Pro LT"/>
          <w:bCs/>
          <w:shd w:val="clear" w:color="auto" w:fill="FFFFFF"/>
        </w:rPr>
        <w:t>“25. Grozījumi attiecībā uz šā likuma </w:t>
      </w:r>
      <w:hyperlink r:id="rId21" w:anchor="p8" w:history="1"/>
      <w:r w:rsidRPr="005B23B3">
        <w:rPr>
          <w:rFonts w:ascii="Gotham Pro LT" w:hAnsi="Gotham Pro LT" w:cs="Gotham Pro LT"/>
          <w:bCs/>
        </w:rPr>
        <w:t xml:space="preserve"> 14.</w:t>
      </w:r>
      <w:r>
        <w:rPr>
          <w:rFonts w:ascii="Gotham Pro LT" w:hAnsi="Gotham Pro LT" w:cs="Gotham Pro LT"/>
          <w:bCs/>
        </w:rPr>
        <w:t> </w:t>
      </w:r>
      <w:r w:rsidRPr="005B23B3">
        <w:rPr>
          <w:rFonts w:ascii="Gotham Pro LT" w:hAnsi="Gotham Pro LT" w:cs="Gotham Pro LT"/>
          <w:bCs/>
        </w:rPr>
        <w:t>panta otrās, 2.</w:t>
      </w:r>
      <w:r w:rsidRPr="005B23B3">
        <w:rPr>
          <w:rFonts w:ascii="Gotham Pro LT" w:hAnsi="Gotham Pro LT" w:cs="Gotham Pro LT"/>
          <w:bCs/>
          <w:vertAlign w:val="superscript"/>
        </w:rPr>
        <w:t>1</w:t>
      </w:r>
      <w:r w:rsidRPr="005B23B3">
        <w:rPr>
          <w:rFonts w:ascii="Gotham Pro LT" w:hAnsi="Gotham Pro LT" w:cs="Gotham Pro LT"/>
          <w:bCs/>
        </w:rPr>
        <w:t>, trešās un ceturtās daļas, 51.</w:t>
      </w:r>
      <w:r>
        <w:rPr>
          <w:rFonts w:ascii="Gotham Pro LT" w:hAnsi="Gotham Pro LT" w:cs="Gotham Pro LT"/>
          <w:bCs/>
        </w:rPr>
        <w:t> </w:t>
      </w:r>
      <w:r w:rsidRPr="005B23B3">
        <w:rPr>
          <w:rFonts w:ascii="Gotham Pro LT" w:hAnsi="Gotham Pro LT" w:cs="Gotham Pro LT"/>
          <w:bCs/>
        </w:rPr>
        <w:t>panta trešās daļas 2.punktu un 57.panta otrās daļas pēdējā teikuma izslēgšanu stājas</w:t>
      </w:r>
      <w:r w:rsidRPr="005B23B3">
        <w:rPr>
          <w:rFonts w:ascii="Gotham Pro LT" w:hAnsi="Gotham Pro LT" w:cs="Gotham Pro LT"/>
          <w:bCs/>
          <w:shd w:val="clear" w:color="auto" w:fill="FFFFFF"/>
        </w:rPr>
        <w:t xml:space="preserve"> spēkā 2025.gada 1.janvārī. No 2023.</w:t>
      </w:r>
      <w:r>
        <w:rPr>
          <w:rFonts w:ascii="Gotham Pro LT" w:hAnsi="Gotham Pro LT" w:cs="Gotham Pro LT"/>
          <w:bCs/>
          <w:shd w:val="clear" w:color="auto" w:fill="FFFFFF"/>
        </w:rPr>
        <w:t> </w:t>
      </w:r>
      <w:r w:rsidRPr="005B23B3">
        <w:rPr>
          <w:rFonts w:ascii="Gotham Pro LT" w:hAnsi="Gotham Pro LT" w:cs="Gotham Pro LT"/>
          <w:bCs/>
          <w:shd w:val="clear" w:color="auto" w:fill="FFFFFF"/>
        </w:rPr>
        <w:t>gada 1.</w:t>
      </w:r>
      <w:r>
        <w:rPr>
          <w:rFonts w:ascii="Gotham Pro LT" w:hAnsi="Gotham Pro LT" w:cs="Gotham Pro LT"/>
          <w:bCs/>
          <w:shd w:val="clear" w:color="auto" w:fill="FFFFFF"/>
        </w:rPr>
        <w:t> </w:t>
      </w:r>
      <w:r w:rsidRPr="005B23B3">
        <w:rPr>
          <w:rFonts w:ascii="Gotham Pro LT" w:hAnsi="Gotham Pro LT" w:cs="Gotham Pro LT"/>
          <w:bCs/>
          <w:shd w:val="clear" w:color="auto" w:fill="FFFFFF"/>
        </w:rPr>
        <w:t>jūlija līdz 2024.</w:t>
      </w:r>
      <w:r>
        <w:rPr>
          <w:rFonts w:ascii="Gotham Pro LT" w:hAnsi="Gotham Pro LT" w:cs="Gotham Pro LT"/>
          <w:bCs/>
          <w:shd w:val="clear" w:color="auto" w:fill="FFFFFF"/>
        </w:rPr>
        <w:t> </w:t>
      </w:r>
      <w:r w:rsidRPr="005B23B3">
        <w:rPr>
          <w:rFonts w:ascii="Gotham Pro LT" w:hAnsi="Gotham Pro LT" w:cs="Gotham Pro LT"/>
          <w:bCs/>
          <w:shd w:val="clear" w:color="auto" w:fill="FFFFFF"/>
        </w:rPr>
        <w:t>gada 31.</w:t>
      </w:r>
      <w:r>
        <w:rPr>
          <w:rFonts w:ascii="Gotham Pro LT" w:hAnsi="Gotham Pro LT" w:cs="Gotham Pro LT"/>
          <w:bCs/>
          <w:shd w:val="clear" w:color="auto" w:fill="FFFFFF"/>
        </w:rPr>
        <w:t> </w:t>
      </w:r>
      <w:r w:rsidRPr="005B23B3">
        <w:rPr>
          <w:rFonts w:ascii="Gotham Pro LT" w:hAnsi="Gotham Pro LT" w:cs="Gotham Pro LT"/>
          <w:bCs/>
          <w:shd w:val="clear" w:color="auto" w:fill="FFFFFF"/>
        </w:rPr>
        <w:t>decembrim:</w:t>
      </w:r>
    </w:p>
    <w:p w14:paraId="59AA6D3F" w14:textId="77777777" w:rsidR="00E97525" w:rsidRPr="005B23B3" w:rsidRDefault="00E97525" w:rsidP="00E97525">
      <w:pPr>
        <w:pStyle w:val="ListParagraph"/>
        <w:numPr>
          <w:ilvl w:val="0"/>
          <w:numId w:val="6"/>
        </w:numPr>
        <w:tabs>
          <w:tab w:val="left" w:pos="993"/>
        </w:tabs>
        <w:spacing w:after="0" w:line="240" w:lineRule="auto"/>
        <w:ind w:left="0" w:firstLine="709"/>
        <w:jc w:val="both"/>
        <w:rPr>
          <w:rFonts w:ascii="Gotham Pro LT" w:hAnsi="Gotham Pro LT" w:cs="Gotham Pro LT"/>
          <w:bCs/>
        </w:rPr>
      </w:pPr>
      <w:r w:rsidRPr="005B23B3">
        <w:rPr>
          <w:rFonts w:ascii="Gotham Pro LT" w:hAnsi="Gotham Pro LT" w:cs="Gotham Pro LT"/>
          <w:bCs/>
        </w:rPr>
        <w:t>šā likuma 14.</w:t>
      </w:r>
      <w:r>
        <w:rPr>
          <w:rFonts w:ascii="Gotham Pro LT" w:hAnsi="Gotham Pro LT" w:cs="Gotham Pro LT"/>
          <w:bCs/>
        </w:rPr>
        <w:t> </w:t>
      </w:r>
      <w:r w:rsidRPr="005B23B3">
        <w:rPr>
          <w:rFonts w:ascii="Gotham Pro LT" w:hAnsi="Gotham Pro LT" w:cs="Gotham Pro LT"/>
          <w:bCs/>
        </w:rPr>
        <w:t>panta otrajā daļā minētajam transportlīdzekļa īpašniekam apdrošinātāja noteiktās apdrošināšanas prēmijas maksājums tiek samazināts par 20 procentiem,</w:t>
      </w:r>
    </w:p>
    <w:p w14:paraId="7A2DDE2E" w14:textId="77777777" w:rsidR="00E97525" w:rsidRPr="005B23B3" w:rsidRDefault="00E97525" w:rsidP="00E97525">
      <w:pPr>
        <w:pStyle w:val="ListParagraph"/>
        <w:numPr>
          <w:ilvl w:val="0"/>
          <w:numId w:val="6"/>
        </w:numPr>
        <w:tabs>
          <w:tab w:val="left" w:pos="993"/>
        </w:tabs>
        <w:spacing w:after="0" w:line="240" w:lineRule="auto"/>
        <w:ind w:left="0" w:firstLine="709"/>
        <w:jc w:val="both"/>
        <w:rPr>
          <w:rFonts w:ascii="Gotham Pro LT" w:hAnsi="Gotham Pro LT" w:cs="Gotham Pro LT"/>
          <w:bCs/>
        </w:rPr>
      </w:pPr>
      <w:r w:rsidRPr="005B23B3">
        <w:rPr>
          <w:rFonts w:ascii="Gotham Pro LT" w:hAnsi="Gotham Pro LT" w:cs="Gotham Pro LT"/>
          <w:bCs/>
        </w:rPr>
        <w:t>šā likuma 14.panta trešajā daļā minētajam transportlīdzekļa īpašniekam apdrošinātāja noteiktās apdrošināšanas prēmijas maksājums tiek samazināts par 15 procentiem.”</w:t>
      </w:r>
    </w:p>
    <w:p w14:paraId="4CB171D0" w14:textId="77777777" w:rsidR="00E97525" w:rsidRPr="005B23B3" w:rsidRDefault="00E97525" w:rsidP="00E97525">
      <w:pPr>
        <w:pStyle w:val="ListParagraph"/>
        <w:tabs>
          <w:tab w:val="left" w:pos="1276"/>
        </w:tabs>
        <w:spacing w:after="0" w:line="240" w:lineRule="auto"/>
        <w:ind w:left="1211"/>
        <w:jc w:val="both"/>
        <w:rPr>
          <w:rFonts w:ascii="Gotham Pro LT" w:eastAsia="Calibri" w:hAnsi="Gotham Pro LT" w:cs="Gotham Pro LT"/>
          <w:bCs/>
          <w:shd w:val="clear" w:color="auto" w:fill="FFFFFF"/>
        </w:rPr>
      </w:pPr>
    </w:p>
    <w:p w14:paraId="4E681001" w14:textId="77777777" w:rsidR="00E97525" w:rsidRPr="005B23B3" w:rsidRDefault="00E97525" w:rsidP="00E97525">
      <w:pPr>
        <w:rPr>
          <w:rFonts w:ascii="Gotham Pro LT" w:hAnsi="Gotham Pro LT" w:cs="Gotham Pro LT"/>
        </w:rPr>
      </w:pPr>
    </w:p>
    <w:p w14:paraId="249D5552" w14:textId="4B5D50B2" w:rsidR="00E97525" w:rsidRPr="005B23B3" w:rsidRDefault="00E97525" w:rsidP="00E97525">
      <w:pPr>
        <w:rPr>
          <w:rFonts w:ascii="Gotham Pro LT" w:hAnsi="Gotham Pro LT" w:cs="Gotham Pro LT"/>
        </w:rPr>
      </w:pPr>
      <w:r>
        <w:rPr>
          <w:rFonts w:ascii="Gotham Pro LT" w:hAnsi="Gotham Pro LT" w:cs="Gotham Pro LT"/>
        </w:rPr>
        <w:br w:type="page"/>
      </w:r>
    </w:p>
    <w:p w14:paraId="2EFBB959" w14:textId="6497BEBB" w:rsidR="00B84D54" w:rsidRDefault="00B84D54" w:rsidP="00B84D54">
      <w:pPr>
        <w:spacing w:after="0"/>
        <w:ind w:left="357"/>
        <w:jc w:val="right"/>
        <w:rPr>
          <w:rFonts w:ascii="Gotham Pro LT" w:hAnsi="Gotham Pro LT" w:cs="Gotham Pro LT"/>
          <w:color w:val="000000"/>
        </w:rPr>
      </w:pPr>
      <w:r>
        <w:rPr>
          <w:rFonts w:ascii="Gotham Pro LT" w:hAnsi="Gotham Pro LT" w:cs="Gotham Pro LT"/>
        </w:rPr>
        <w:lastRenderedPageBreak/>
        <w:t>3</w:t>
      </w:r>
      <w:r w:rsidRPr="00E97525">
        <w:rPr>
          <w:rFonts w:ascii="Gotham Pro LT" w:hAnsi="Gotham Pro LT" w:cs="Gotham Pro LT"/>
        </w:rPr>
        <w:t>.pielikums</w:t>
      </w:r>
      <w:r w:rsidRPr="00E97525">
        <w:rPr>
          <w:rFonts w:ascii="Gotham Pro LT" w:hAnsi="Gotham Pro LT" w:cs="Gotham Pro LT"/>
          <w:color w:val="000000"/>
        </w:rPr>
        <w:t xml:space="preserve"> </w:t>
      </w:r>
    </w:p>
    <w:p w14:paraId="0A0256DD" w14:textId="77777777" w:rsidR="00B84D54" w:rsidRPr="00E97525" w:rsidRDefault="00B84D54" w:rsidP="00B84D54">
      <w:pPr>
        <w:spacing w:after="0"/>
        <w:ind w:left="357"/>
        <w:jc w:val="right"/>
        <w:rPr>
          <w:rFonts w:ascii="Gotham Pro LT" w:hAnsi="Gotham Pro LT" w:cs="Gotham Pro LT"/>
          <w:color w:val="000000"/>
        </w:rPr>
      </w:pPr>
      <w:r>
        <w:rPr>
          <w:rFonts w:ascii="Gotham Pro LT" w:hAnsi="Gotham Pro LT" w:cs="Gotham Pro LT"/>
          <w:color w:val="000000"/>
        </w:rPr>
        <w:t>b</w:t>
      </w:r>
      <w:r w:rsidRPr="00E97525">
        <w:rPr>
          <w:rFonts w:ascii="Gotham Pro LT" w:hAnsi="Gotham Pro LT" w:cs="Gotham Pro LT"/>
          <w:color w:val="000000"/>
        </w:rPr>
        <w:t xml:space="preserve">iedrības “Latvijas Transportlīdzekļu apdrošinātāju birojs” </w:t>
      </w:r>
    </w:p>
    <w:p w14:paraId="16CB135C" w14:textId="77777777" w:rsidR="00B84D54" w:rsidRPr="00E97525" w:rsidRDefault="00B84D54" w:rsidP="00B84D54">
      <w:pPr>
        <w:spacing w:after="0"/>
        <w:ind w:left="357"/>
        <w:jc w:val="right"/>
        <w:rPr>
          <w:rFonts w:ascii="Gotham Pro LT" w:hAnsi="Gotham Pro LT" w:cs="Gotham Pro LT"/>
        </w:rPr>
      </w:pPr>
      <w:r w:rsidRPr="00E97525">
        <w:rPr>
          <w:rFonts w:ascii="Gotham Pro LT" w:hAnsi="Gotham Pro LT" w:cs="Gotham Pro LT"/>
          <w:color w:val="000000"/>
        </w:rPr>
        <w:t>19.08.2021. atzinuma</w:t>
      </w:r>
      <w:r>
        <w:rPr>
          <w:rFonts w:ascii="Gotham Pro LT" w:hAnsi="Gotham Pro LT" w:cs="Gotham Pro LT"/>
          <w:color w:val="000000"/>
        </w:rPr>
        <w:t>m</w:t>
      </w:r>
      <w:r w:rsidRPr="00E97525">
        <w:rPr>
          <w:rFonts w:ascii="Gotham Pro LT" w:hAnsi="Gotham Pro LT" w:cs="Gotham Pro LT"/>
          <w:color w:val="000000"/>
        </w:rPr>
        <w:t xml:space="preserve"> </w:t>
      </w:r>
    </w:p>
    <w:p w14:paraId="1E61F4DE" w14:textId="77777777" w:rsidR="00B84D54" w:rsidRPr="00E97525" w:rsidRDefault="00B84D54" w:rsidP="00E97525">
      <w:pPr>
        <w:pStyle w:val="ListParagraph"/>
        <w:ind w:left="1440"/>
        <w:jc w:val="right"/>
        <w:rPr>
          <w:rFonts w:ascii="Gotham Pro LT" w:hAnsi="Gotham Pro LT" w:cs="Gotham Pro LT"/>
        </w:rPr>
      </w:pPr>
    </w:p>
    <w:p w14:paraId="3779812C" w14:textId="77777777" w:rsidR="00E97525" w:rsidRPr="003C1E54" w:rsidRDefault="00E97525" w:rsidP="00E97525">
      <w:pPr>
        <w:pStyle w:val="ListParagraph"/>
        <w:ind w:left="1440"/>
        <w:jc w:val="right"/>
        <w:rPr>
          <w:rFonts w:ascii="Gotham Pro LT" w:hAnsi="Gotham Pro LT" w:cs="Gotham Pro LT"/>
          <w:b/>
          <w:bCs/>
        </w:rPr>
      </w:pPr>
    </w:p>
    <w:p w14:paraId="7F99537A" w14:textId="77777777" w:rsidR="00E97525" w:rsidRDefault="00E97525" w:rsidP="00E97525">
      <w:pPr>
        <w:spacing w:after="0" w:line="240" w:lineRule="auto"/>
        <w:jc w:val="center"/>
        <w:rPr>
          <w:rFonts w:ascii="Gotham Pro LT" w:hAnsi="Gotham Pro LT" w:cs="Gotham Pro LT"/>
          <w:b/>
        </w:rPr>
      </w:pPr>
      <w:r>
        <w:rPr>
          <w:rFonts w:ascii="Gotham Pro LT" w:hAnsi="Gotham Pro LT" w:cs="Gotham Pro LT"/>
          <w:b/>
        </w:rPr>
        <w:t>Garantijas fonda izveides mērķis un s</w:t>
      </w:r>
      <w:r w:rsidRPr="005B23B3">
        <w:rPr>
          <w:rFonts w:ascii="Gotham Pro LT" w:hAnsi="Gotham Pro LT" w:cs="Gotham Pro LT"/>
          <w:b/>
        </w:rPr>
        <w:t xml:space="preserve">pēkā esošā regulējuma pirmsšķietamā atbilstība </w:t>
      </w:r>
      <w:r>
        <w:rPr>
          <w:rFonts w:ascii="Gotham Pro LT" w:hAnsi="Gotham Pro LT" w:cs="Gotham Pro LT"/>
          <w:b/>
        </w:rPr>
        <w:t xml:space="preserve">LR </w:t>
      </w:r>
      <w:r w:rsidRPr="005B23B3">
        <w:rPr>
          <w:rFonts w:ascii="Gotham Pro LT" w:hAnsi="Gotham Pro LT" w:cs="Gotham Pro LT"/>
          <w:b/>
        </w:rPr>
        <w:t>Satversmei</w:t>
      </w:r>
    </w:p>
    <w:p w14:paraId="3824718C" w14:textId="77777777" w:rsidR="00E97525" w:rsidRDefault="00E97525" w:rsidP="00E97525">
      <w:pPr>
        <w:spacing w:after="0" w:line="240" w:lineRule="auto"/>
        <w:jc w:val="center"/>
        <w:rPr>
          <w:rFonts w:ascii="Gotham Pro LT" w:hAnsi="Gotham Pro LT" w:cs="Gotham Pro LT"/>
          <w:b/>
        </w:rPr>
      </w:pPr>
    </w:p>
    <w:p w14:paraId="6924D602" w14:textId="77777777" w:rsidR="00E97525" w:rsidRPr="005B23B3" w:rsidRDefault="00E97525" w:rsidP="00E97525">
      <w:pPr>
        <w:spacing w:after="0" w:line="240" w:lineRule="auto"/>
        <w:jc w:val="center"/>
        <w:rPr>
          <w:rFonts w:ascii="Gotham Pro LT" w:hAnsi="Gotham Pro LT" w:cs="Gotham Pro LT"/>
          <w:b/>
        </w:rPr>
      </w:pPr>
      <w:r>
        <w:rPr>
          <w:rFonts w:ascii="Gotham Pro LT" w:hAnsi="Gotham Pro LT" w:cs="Gotham Pro LT"/>
          <w:b/>
        </w:rPr>
        <w:t>I Garantijas fonda izveides mērķis</w:t>
      </w:r>
    </w:p>
    <w:p w14:paraId="4532F5E0" w14:textId="77777777" w:rsidR="00E97525" w:rsidRPr="005B23B3" w:rsidRDefault="00E97525" w:rsidP="00E97525">
      <w:pPr>
        <w:spacing w:after="0" w:line="240" w:lineRule="auto"/>
        <w:jc w:val="center"/>
        <w:rPr>
          <w:rFonts w:ascii="Gotham Pro LT" w:hAnsi="Gotham Pro LT" w:cs="Gotham Pro LT"/>
          <w:b/>
        </w:rPr>
      </w:pPr>
    </w:p>
    <w:p w14:paraId="4F0F6279" w14:textId="77777777" w:rsidR="00E97525" w:rsidRPr="00B918E7" w:rsidRDefault="00E97525" w:rsidP="00E97525">
      <w:pPr>
        <w:pStyle w:val="Bodytext21"/>
        <w:shd w:val="clear" w:color="auto" w:fill="auto"/>
        <w:spacing w:line="240" w:lineRule="auto"/>
        <w:ind w:firstLine="601"/>
        <w:rPr>
          <w:rFonts w:ascii="Gotham Pro LT" w:hAnsi="Gotham Pro LT" w:cs="Gotham Pro LT"/>
          <w:sz w:val="22"/>
          <w:szCs w:val="22"/>
          <w:shd w:val="clear" w:color="auto" w:fill="FFFFFF"/>
        </w:rPr>
      </w:pPr>
      <w:r w:rsidRPr="00B918E7">
        <w:rPr>
          <w:rFonts w:ascii="Gotham Pro LT" w:hAnsi="Gotham Pro LT" w:cs="Gotham Pro LT"/>
          <w:sz w:val="22"/>
          <w:szCs w:val="22"/>
          <w:shd w:val="clear" w:color="auto" w:fill="FFFFFF"/>
        </w:rPr>
        <w:t xml:space="preserve">No spēkā esošā tiesiskā </w:t>
      </w:r>
      <w:r>
        <w:rPr>
          <w:rFonts w:ascii="Gotham Pro LT" w:hAnsi="Gotham Pro LT" w:cs="Gotham Pro LT"/>
          <w:sz w:val="22"/>
          <w:szCs w:val="22"/>
          <w:shd w:val="clear" w:color="auto" w:fill="FFFFFF"/>
        </w:rPr>
        <w:t xml:space="preserve">OCTA </w:t>
      </w:r>
      <w:r w:rsidRPr="00B918E7">
        <w:rPr>
          <w:rFonts w:ascii="Gotham Pro LT" w:hAnsi="Gotham Pro LT" w:cs="Gotham Pro LT"/>
          <w:sz w:val="22"/>
          <w:szCs w:val="22"/>
          <w:shd w:val="clear" w:color="auto" w:fill="FFFFFF"/>
        </w:rPr>
        <w:t xml:space="preserve">regulējuma izriet, ka valsts ar likumu ir piešķīrusi </w:t>
      </w:r>
      <w:r w:rsidRPr="00B918E7">
        <w:rPr>
          <w:rFonts w:ascii="Gotham Pro LT" w:hAnsi="Gotham Pro LT" w:cs="Gotham Pro LT"/>
          <w:sz w:val="22"/>
          <w:szCs w:val="22"/>
        </w:rPr>
        <w:t xml:space="preserve">apdrošināšanas prēmijas maksājuma samazinājumus (turpmāk – atlaides) noteiktam personu lokam, uzliekot par pienākumu  </w:t>
      </w:r>
      <w:r w:rsidRPr="00B918E7">
        <w:rPr>
          <w:rFonts w:ascii="Gotham Pro LT" w:hAnsi="Gotham Pro LT" w:cs="Gotham Pro LT"/>
          <w:sz w:val="22"/>
          <w:szCs w:val="22"/>
          <w:shd w:val="clear" w:color="auto" w:fill="FFFFFF"/>
        </w:rPr>
        <w:t xml:space="preserve">komersantam paredzēt atlaides (līdz pat 40 procentiem no pakalpojuma cenas) noteiktām personu grupām, vienlaikus likumā paredzot, ka šī piešķirtā atlaide vēlāk tiek kompensēta no Garantijas fonda, kura ieņēmumus veido iemaksas  (atskaitījumi no OCTA apdrošināšanas prēmijām) no privāto tiesību subjektiem – no šiem pašiem komersantiem – apdrošināšanas sabiedrībām, kas sniedz OCTA pakalpojumus un piedāvā OCTA polises. </w:t>
      </w:r>
    </w:p>
    <w:p w14:paraId="1C419C78" w14:textId="77777777" w:rsidR="00E97525" w:rsidRPr="00B918E7" w:rsidRDefault="00E97525" w:rsidP="00E97525">
      <w:pPr>
        <w:pStyle w:val="tv213"/>
        <w:shd w:val="clear" w:color="auto" w:fill="FFFFFF"/>
        <w:spacing w:before="0" w:beforeAutospacing="0" w:after="0" w:afterAutospacing="0"/>
        <w:ind w:firstLine="600"/>
        <w:jc w:val="both"/>
        <w:rPr>
          <w:rFonts w:ascii="Gotham Pro LT" w:hAnsi="Gotham Pro LT" w:cs="Gotham Pro LT"/>
          <w:sz w:val="22"/>
          <w:szCs w:val="22"/>
          <w:shd w:val="clear" w:color="auto" w:fill="FFFFFF"/>
        </w:rPr>
      </w:pPr>
      <w:r w:rsidRPr="00B918E7">
        <w:rPr>
          <w:rFonts w:ascii="Gotham Pro LT" w:hAnsi="Gotham Pro LT" w:cs="Gotham Pro LT"/>
          <w:sz w:val="22"/>
          <w:szCs w:val="22"/>
          <w:shd w:val="clear" w:color="auto" w:fill="FFFFFF"/>
        </w:rPr>
        <w:t xml:space="preserve">No vienas puses, OCTA likuma 14.panta otrās un trešās daļas mērķis (sniegt atbalstu noteiktam personu lokam, piešķirot atlaides) varētu būtu saprotams, bet, no otras puses, šis atbalsta mehānisms, kas jau ilgstoši tiek īstenots praksē Latvijā, pēc savas būtības ir neatbilstošs, jo OCTA likums nav tas likums, kur būtu jāparedz šāda veida atbalsta mehānismi. Tā ir </w:t>
      </w:r>
      <w:r w:rsidRPr="00B918E7">
        <w:rPr>
          <w:rFonts w:ascii="Gotham Pro LT" w:hAnsi="Gotham Pro LT" w:cs="Gotham Pro LT"/>
          <w:b/>
          <w:bCs/>
          <w:sz w:val="22"/>
          <w:szCs w:val="22"/>
          <w:shd w:val="clear" w:color="auto" w:fill="FFFFFF"/>
        </w:rPr>
        <w:t>vēsturiski mantota</w:t>
      </w:r>
      <w:r w:rsidRPr="00B918E7">
        <w:rPr>
          <w:rFonts w:ascii="Gotham Pro LT" w:hAnsi="Gotham Pro LT" w:cs="Gotham Pro LT"/>
          <w:sz w:val="22"/>
          <w:szCs w:val="22"/>
          <w:shd w:val="clear" w:color="auto" w:fill="FFFFFF"/>
        </w:rPr>
        <w:t xml:space="preserve"> no laika, kad vēl Latvijas valsts nebija iestājusies Eiropas Savienībā (turpmāk – ES) un kad valsts regulēja gan apdrošināšanas prēmijas apmērus, gan piešķīra atlaides</w:t>
      </w:r>
      <w:r w:rsidRPr="00B918E7">
        <w:rPr>
          <w:rStyle w:val="FootnoteReference"/>
          <w:rFonts w:ascii="Gotham Pro LT" w:hAnsi="Gotham Pro LT" w:cs="Gotham Pro LT"/>
          <w:sz w:val="22"/>
          <w:szCs w:val="22"/>
          <w:shd w:val="clear" w:color="auto" w:fill="FFFFFF"/>
        </w:rPr>
        <w:footnoteReference w:id="2"/>
      </w:r>
      <w:r w:rsidRPr="00B918E7">
        <w:rPr>
          <w:rFonts w:ascii="Gotham Pro LT" w:hAnsi="Gotham Pro LT" w:cs="Gotham Pro LT"/>
          <w:sz w:val="22"/>
          <w:szCs w:val="22"/>
          <w:shd w:val="clear" w:color="auto" w:fill="FFFFFF"/>
        </w:rPr>
        <w:t xml:space="preserve">. Iestājoties ES, apdrošināšanas prēmijas apmēru regulēšanas politika ir nodota apdrošinātāju ziņā brīvas konkurences tirgū atbilstoši ES </w:t>
      </w:r>
      <w:r w:rsidRPr="00B918E7">
        <w:rPr>
          <w:rFonts w:ascii="Gotham Pro LT" w:hAnsi="Gotham Pro LT" w:cs="Gotham Pro LT"/>
          <w:sz w:val="22"/>
          <w:szCs w:val="22"/>
        </w:rPr>
        <w:t xml:space="preserve">direktīvas 2009/138/EK (Maksātspēja II) </w:t>
      </w:r>
      <w:r w:rsidRPr="00B918E7">
        <w:rPr>
          <w:rFonts w:ascii="Gotham Pro LT" w:hAnsi="Gotham Pro LT" w:cs="Gotham Pro LT"/>
          <w:sz w:val="22"/>
          <w:szCs w:val="22"/>
          <w:shd w:val="clear" w:color="auto" w:fill="FFFFFF"/>
        </w:rPr>
        <w:t>prasībām</w:t>
      </w:r>
      <w:r w:rsidRPr="00B918E7">
        <w:rPr>
          <w:rStyle w:val="FootnoteReference"/>
          <w:rFonts w:ascii="Gotham Pro LT" w:hAnsi="Gotham Pro LT" w:cs="Gotham Pro LT"/>
          <w:sz w:val="22"/>
          <w:szCs w:val="22"/>
          <w:shd w:val="clear" w:color="auto" w:fill="FFFFFF"/>
        </w:rPr>
        <w:footnoteReference w:id="3"/>
      </w:r>
      <w:r w:rsidRPr="00B918E7">
        <w:rPr>
          <w:rFonts w:ascii="Gotham Pro LT" w:hAnsi="Gotham Pro LT" w:cs="Gotham Pro LT"/>
          <w:sz w:val="22"/>
          <w:szCs w:val="22"/>
          <w:shd w:val="clear" w:color="auto" w:fill="FFFFFF"/>
        </w:rPr>
        <w:t xml:space="preserve">, no kurām izriet prasība, ka valsts nevar regulēt apdrošināšanas prēmijas apmēru lielumus. Arī Eiropas Savienības Tiesa (turpmāk – EST) ir atzinusi, ka valsts nevar noteikt apdrošināšanas prēmijas apmērus. </w:t>
      </w:r>
      <w:r w:rsidRPr="00B918E7">
        <w:rPr>
          <w:rFonts w:ascii="Gotham Pro LT" w:hAnsi="Gotham Pro LT" w:cs="Gotham Pro LT"/>
          <w:b/>
          <w:bCs/>
          <w:sz w:val="22"/>
          <w:szCs w:val="22"/>
          <w:shd w:val="clear" w:color="auto" w:fill="FFFFFF"/>
        </w:rPr>
        <w:t>Ar likumu nosakot apdrošināšanas prēmijas atlaižu piešķiršanas nosacījumus, valsts zināmā mērā iejaucas privāto tiesību jomā un  izkropļo tirgus politiku apdrošināšanas prēmijas noteikšanā</w:t>
      </w:r>
      <w:r w:rsidRPr="00B918E7">
        <w:rPr>
          <w:rFonts w:ascii="Gotham Pro LT" w:hAnsi="Gotham Pro LT" w:cs="Gotham Pro LT"/>
          <w:sz w:val="22"/>
          <w:szCs w:val="22"/>
          <w:shd w:val="clear" w:color="auto" w:fill="FFFFFF"/>
        </w:rPr>
        <w:t>.</w:t>
      </w:r>
      <w:r w:rsidRPr="00B918E7">
        <w:rPr>
          <w:rStyle w:val="FootnoteReference"/>
          <w:rFonts w:ascii="Gotham Pro LT" w:hAnsi="Gotham Pro LT" w:cs="Gotham Pro LT"/>
          <w:sz w:val="22"/>
          <w:szCs w:val="22"/>
          <w:shd w:val="clear" w:color="auto" w:fill="FFFFFF"/>
        </w:rPr>
        <w:footnoteReference w:id="4"/>
      </w:r>
      <w:r w:rsidRPr="00B918E7">
        <w:rPr>
          <w:rFonts w:ascii="Gotham Pro LT" w:hAnsi="Gotham Pro LT" w:cs="Gotham Pro LT"/>
          <w:sz w:val="22"/>
          <w:szCs w:val="22"/>
          <w:shd w:val="clear" w:color="auto" w:fill="FFFFFF"/>
        </w:rPr>
        <w:t xml:space="preserve"> Lai gan </w:t>
      </w:r>
      <w:r w:rsidRPr="00B918E7">
        <w:rPr>
          <w:rFonts w:ascii="Gotham Pro LT" w:hAnsi="Gotham Pro LT" w:cs="Gotham Pro LT"/>
          <w:sz w:val="22"/>
          <w:szCs w:val="22"/>
        </w:rPr>
        <w:t>likumdevējam ir pienākums pēc zināma termiņa vēlreiz apsvērt, vai attiecīgais tiesiskais regulējums joprojām ir efektīvs, piemērots un nepieciešams un vai tas nebūtu kādā veidā pilnveidojams,</w:t>
      </w:r>
      <w:r w:rsidRPr="00B918E7">
        <w:rPr>
          <w:rStyle w:val="FootnoteReference"/>
          <w:rFonts w:ascii="Gotham Pro LT" w:hAnsi="Gotham Pro LT" w:cs="Gotham Pro LT"/>
          <w:sz w:val="22"/>
          <w:szCs w:val="22"/>
        </w:rPr>
        <w:footnoteReference w:id="5"/>
      </w:r>
      <w:r w:rsidRPr="00B918E7">
        <w:rPr>
          <w:rFonts w:ascii="Gotham Pro LT" w:hAnsi="Gotham Pro LT" w:cs="Gotham Pro LT"/>
          <w:sz w:val="22"/>
          <w:szCs w:val="22"/>
        </w:rPr>
        <w:t xml:space="preserve"> attiecīgo tiesību normu atbilstība notikušajām objektīvajām izmaiņām līdz šim nav pietiekami izvērtēta. </w:t>
      </w:r>
    </w:p>
    <w:p w14:paraId="1C1C5946" w14:textId="77777777" w:rsidR="00E97525" w:rsidRPr="00B918E7" w:rsidRDefault="00E97525" w:rsidP="00E97525">
      <w:pPr>
        <w:pStyle w:val="Bodytext21"/>
        <w:shd w:val="clear" w:color="auto" w:fill="auto"/>
        <w:spacing w:line="240" w:lineRule="auto"/>
        <w:ind w:firstLine="601"/>
        <w:rPr>
          <w:rFonts w:ascii="Gotham Pro LT" w:hAnsi="Gotham Pro LT" w:cs="Gotham Pro LT"/>
          <w:sz w:val="22"/>
          <w:szCs w:val="22"/>
        </w:rPr>
      </w:pPr>
      <w:r w:rsidRPr="00B918E7">
        <w:rPr>
          <w:rFonts w:ascii="Gotham Pro LT" w:hAnsi="Gotham Pro LT" w:cs="Gotham Pro LT"/>
          <w:sz w:val="22"/>
          <w:szCs w:val="22"/>
          <w:shd w:val="clear" w:color="auto" w:fill="FFFFFF"/>
        </w:rPr>
        <w:t xml:space="preserve">OCTA polises esamība ir obligāts priekšnoteikums, lai personas ar transportlīdzekli piedalītos </w:t>
      </w:r>
      <w:r w:rsidRPr="00B918E7">
        <w:rPr>
          <w:rFonts w:ascii="Gotham Pro LT" w:hAnsi="Gotham Pro LT" w:cs="Gotham Pro LT"/>
          <w:sz w:val="22"/>
          <w:szCs w:val="22"/>
          <w:shd w:val="clear" w:color="auto" w:fill="FFFFFF"/>
        </w:rPr>
        <w:lastRenderedPageBreak/>
        <w:t>ceļu satiksmē, un to paredz Ceļu satiksmes likums</w:t>
      </w:r>
      <w:r w:rsidRPr="00B918E7">
        <w:rPr>
          <w:rStyle w:val="FootnoteReference"/>
          <w:rFonts w:ascii="Gotham Pro LT" w:hAnsi="Gotham Pro LT" w:cs="Gotham Pro LT"/>
          <w:sz w:val="22"/>
          <w:szCs w:val="22"/>
          <w:shd w:val="clear" w:color="auto" w:fill="FFFFFF"/>
        </w:rPr>
        <w:footnoteReference w:id="6"/>
      </w:r>
      <w:r w:rsidRPr="00B918E7">
        <w:rPr>
          <w:rFonts w:ascii="Gotham Pro LT" w:hAnsi="Gotham Pro LT" w:cs="Gotham Pro LT"/>
          <w:sz w:val="22"/>
          <w:szCs w:val="22"/>
          <w:shd w:val="clear" w:color="auto" w:fill="FFFFFF"/>
        </w:rPr>
        <w:t>, tomēr OCTA polises iegāde ir privāttiesisks darījums, kura sniegšanas kārtību īpaši reglamentē sabiedrības interesēs</w:t>
      </w:r>
      <w:r w:rsidRPr="00B918E7">
        <w:rPr>
          <w:rStyle w:val="FootnoteReference"/>
          <w:rFonts w:ascii="Gotham Pro LT" w:hAnsi="Gotham Pro LT" w:cs="Gotham Pro LT"/>
          <w:sz w:val="22"/>
          <w:szCs w:val="22"/>
          <w:shd w:val="clear" w:color="auto" w:fill="FFFFFF"/>
        </w:rPr>
        <w:footnoteReference w:id="7"/>
      </w:r>
      <w:r w:rsidRPr="00B918E7">
        <w:rPr>
          <w:rFonts w:ascii="Gotham Pro LT" w:hAnsi="Gotham Pro LT" w:cs="Gotham Pro LT"/>
          <w:sz w:val="22"/>
          <w:szCs w:val="22"/>
          <w:shd w:val="clear" w:color="auto" w:fill="FFFFFF"/>
        </w:rPr>
        <w:t xml:space="preserve">. </w:t>
      </w:r>
      <w:r w:rsidRPr="00B918E7">
        <w:rPr>
          <w:rFonts w:ascii="Gotham Pro LT" w:hAnsi="Gotham Pro LT" w:cs="Gotham Pro LT"/>
          <w:sz w:val="22"/>
          <w:szCs w:val="22"/>
        </w:rPr>
        <w:t xml:space="preserve">Satversmes tiesa ir atzinusi, ka </w:t>
      </w:r>
      <w:r w:rsidRPr="00B918E7">
        <w:rPr>
          <w:rStyle w:val="highlight"/>
          <w:rFonts w:ascii="Gotham Pro LT" w:hAnsi="Gotham Pro LT" w:cs="Gotham Pro LT"/>
          <w:sz w:val="22"/>
          <w:szCs w:val="22"/>
        </w:rPr>
        <w:t>OCTA</w:t>
      </w:r>
      <w:r w:rsidRPr="00B918E7">
        <w:rPr>
          <w:rFonts w:ascii="Gotham Pro LT" w:hAnsi="Gotham Pro LT" w:cs="Gotham Pro LT"/>
          <w:sz w:val="22"/>
          <w:szCs w:val="22"/>
        </w:rPr>
        <w:t xml:space="preserve"> ir īpašs apdrošināšanas veids, kas atbilstoši ES normatīvo aktu prasībām kalpo ceļu satiksmes negadījumos cietušo sauszemes transportlīdzekļu īpašnieku mantisko interešu aizsardzībai. </w:t>
      </w:r>
      <w:r w:rsidRPr="00B918E7">
        <w:rPr>
          <w:rStyle w:val="highlight"/>
          <w:rFonts w:ascii="Gotham Pro LT" w:hAnsi="Gotham Pro LT" w:cs="Gotham Pro LT"/>
          <w:sz w:val="22"/>
          <w:szCs w:val="22"/>
        </w:rPr>
        <w:t>OCTA</w:t>
      </w:r>
      <w:r w:rsidRPr="00B918E7">
        <w:rPr>
          <w:rFonts w:ascii="Gotham Pro LT" w:hAnsi="Gotham Pro LT" w:cs="Gotham Pro LT"/>
          <w:sz w:val="22"/>
          <w:szCs w:val="22"/>
        </w:rPr>
        <w:t xml:space="preserve"> sistēma kalpo mērķim aizsargāt cietušo trešo personu intereses, liekot nodrošināties pret neparedzamām sekām, kādas var rasties pēc ceļu satiksmes negadījuma.</w:t>
      </w:r>
      <w:r w:rsidRPr="00B918E7">
        <w:rPr>
          <w:rStyle w:val="FootnoteReference"/>
          <w:rFonts w:ascii="Gotham Pro LT" w:hAnsi="Gotham Pro LT" w:cs="Gotham Pro LT"/>
          <w:sz w:val="22"/>
          <w:szCs w:val="22"/>
        </w:rPr>
        <w:footnoteReference w:id="8"/>
      </w:r>
      <w:r w:rsidRPr="00B918E7">
        <w:rPr>
          <w:rFonts w:ascii="Gotham Pro LT" w:hAnsi="Gotham Pro LT" w:cs="Gotham Pro LT"/>
          <w:sz w:val="22"/>
          <w:szCs w:val="22"/>
        </w:rPr>
        <w:t xml:space="preserve"> OCTA cenu nosaka apdrošināmie riski, nevis personas sociālais statuss.</w:t>
      </w:r>
    </w:p>
    <w:p w14:paraId="06999652" w14:textId="77777777" w:rsidR="00E97525" w:rsidRPr="00B918E7" w:rsidRDefault="00E97525" w:rsidP="00E97525">
      <w:pPr>
        <w:pStyle w:val="Bodytext21"/>
        <w:shd w:val="clear" w:color="auto" w:fill="auto"/>
        <w:spacing w:line="240" w:lineRule="auto"/>
        <w:ind w:firstLine="601"/>
        <w:rPr>
          <w:rFonts w:ascii="Gotham Pro LT" w:hAnsi="Gotham Pro LT" w:cs="Gotham Pro LT"/>
          <w:b/>
          <w:bCs/>
          <w:sz w:val="22"/>
          <w:szCs w:val="22"/>
          <w:lang w:eastAsia="lv-LV"/>
        </w:rPr>
      </w:pPr>
      <w:r w:rsidRPr="00B918E7">
        <w:rPr>
          <w:rFonts w:ascii="Gotham Pro LT" w:hAnsi="Gotham Pro LT" w:cs="Gotham Pro LT"/>
          <w:b/>
          <w:bCs/>
          <w:sz w:val="22"/>
          <w:szCs w:val="22"/>
          <w:lang w:eastAsia="lv-LV"/>
        </w:rPr>
        <w:t>Atlaižu piešķiršanas kārtība</w:t>
      </w:r>
      <w:r w:rsidRPr="00B918E7">
        <w:rPr>
          <w:rFonts w:ascii="Gotham Pro LT" w:hAnsi="Gotham Pro LT" w:cs="Gotham Pro LT"/>
          <w:sz w:val="22"/>
          <w:szCs w:val="22"/>
          <w:lang w:eastAsia="lv-LV"/>
        </w:rPr>
        <w:t xml:space="preserve">, kas noteikta ar </w:t>
      </w:r>
      <w:r>
        <w:rPr>
          <w:rFonts w:ascii="Gotham Pro LT" w:hAnsi="Gotham Pro LT" w:cs="Gotham Pro LT"/>
          <w:sz w:val="22"/>
          <w:szCs w:val="22"/>
          <w:lang w:eastAsia="lv-LV"/>
        </w:rPr>
        <w:t xml:space="preserve">OCTA </w:t>
      </w:r>
      <w:r w:rsidRPr="00B918E7">
        <w:rPr>
          <w:rFonts w:ascii="Gotham Pro LT" w:hAnsi="Gotham Pro LT" w:cs="Gotham Pro LT"/>
          <w:sz w:val="22"/>
          <w:szCs w:val="22"/>
          <w:lang w:eastAsia="lv-LV"/>
        </w:rPr>
        <w:t xml:space="preserve">likumu un kuru piemēro apdrošinātāji, pēc tam pierasot atlaižu kompensēšanu no Garantijas fonda saskaņā ar OCTA likuma 14.panta ceturto daļu un 51.panta trešās daļas 2.punktu, </w:t>
      </w:r>
      <w:r w:rsidRPr="00B918E7">
        <w:rPr>
          <w:rFonts w:ascii="Gotham Pro LT" w:hAnsi="Gotham Pro LT" w:cs="Gotham Pro LT"/>
          <w:b/>
          <w:bCs/>
          <w:sz w:val="22"/>
          <w:szCs w:val="22"/>
          <w:lang w:eastAsia="lv-LV"/>
        </w:rPr>
        <w:t>ir nesamērīga un neatbilstoša brīvas konkurences tirgus apstākļiem</w:t>
      </w:r>
      <w:r w:rsidRPr="00B918E7">
        <w:rPr>
          <w:rFonts w:ascii="Gotham Pro LT" w:hAnsi="Gotham Pro LT" w:cs="Gotham Pro LT"/>
          <w:sz w:val="22"/>
          <w:szCs w:val="22"/>
          <w:lang w:eastAsia="lv-LV"/>
        </w:rPr>
        <w:t>, jo Garantijas fonda līdzekļus veido pašu apdrošinātāju veiktie atskaitījumi no OCTA apdrošināšanas prēmijām</w:t>
      </w:r>
      <w:r>
        <w:rPr>
          <w:rFonts w:ascii="Gotham Pro LT" w:hAnsi="Gotham Pro LT" w:cs="Gotham Pro LT"/>
          <w:sz w:val="22"/>
          <w:szCs w:val="22"/>
          <w:lang w:eastAsia="lv-LV"/>
        </w:rPr>
        <w:t xml:space="preserve">. </w:t>
      </w:r>
      <w:r w:rsidRPr="00B918E7">
        <w:rPr>
          <w:rFonts w:ascii="Gotham Pro LT" w:hAnsi="Gotham Pro LT" w:cs="Gotham Pro LT"/>
          <w:b/>
          <w:bCs/>
          <w:sz w:val="22"/>
          <w:szCs w:val="22"/>
          <w:lang w:eastAsia="lv-LV"/>
        </w:rPr>
        <w:t xml:space="preserve">Šāds regulējums  rada nesamērīgu slogu privātajam sektoram arī attiecībā uz šo atlaižu administrēšanu. </w:t>
      </w:r>
    </w:p>
    <w:p w14:paraId="4D286AA1" w14:textId="77777777" w:rsidR="00E97525" w:rsidRPr="00B918E7" w:rsidRDefault="00E97525" w:rsidP="00E97525">
      <w:pPr>
        <w:pStyle w:val="Bodytext21"/>
        <w:shd w:val="clear" w:color="auto" w:fill="auto"/>
        <w:spacing w:line="240" w:lineRule="auto"/>
        <w:ind w:firstLine="601"/>
        <w:rPr>
          <w:rFonts w:ascii="Gotham Pro LT" w:hAnsi="Gotham Pro LT" w:cs="Gotham Pro LT"/>
          <w:sz w:val="22"/>
          <w:szCs w:val="22"/>
        </w:rPr>
      </w:pPr>
      <w:r w:rsidRPr="00B918E7">
        <w:rPr>
          <w:rFonts w:ascii="Gotham Pro LT" w:hAnsi="Gotham Pro LT" w:cs="Gotham Pro LT"/>
          <w:sz w:val="22"/>
          <w:szCs w:val="22"/>
          <w:lang w:eastAsia="lv-LV"/>
        </w:rPr>
        <w:t xml:space="preserve">OCTA polise nav nodoklim pielīdzināts maksājums, un tādēļ arī valsts rīcības brīvība šajā gadījumā nav vērtējama tāpat kā nodokļu politikā. </w:t>
      </w:r>
      <w:r w:rsidRPr="00B918E7">
        <w:rPr>
          <w:rFonts w:ascii="Gotham Pro LT" w:hAnsi="Gotham Pro LT" w:cs="Gotham Pro LT"/>
          <w:sz w:val="22"/>
          <w:szCs w:val="22"/>
        </w:rPr>
        <w:t xml:space="preserve">Atbilstoši </w:t>
      </w:r>
      <w:r>
        <w:rPr>
          <w:rFonts w:ascii="Gotham Pro LT" w:hAnsi="Gotham Pro LT" w:cs="Gotham Pro LT"/>
          <w:sz w:val="22"/>
          <w:szCs w:val="22"/>
        </w:rPr>
        <w:t xml:space="preserve">LR </w:t>
      </w:r>
      <w:r w:rsidRPr="00B918E7">
        <w:rPr>
          <w:rFonts w:ascii="Gotham Pro LT" w:hAnsi="Gotham Pro LT" w:cs="Gotham Pro LT"/>
          <w:sz w:val="22"/>
          <w:szCs w:val="22"/>
        </w:rPr>
        <w:t>Satversmes tiesas secinātajam ikviens nodoklis ir solidārs maksājums, kas papildina valsts budžetu ar līdzekļiem, no kuriem tiek finansēti visai sabiedrībai nozīmīgi pasākumi, proti, tas ir veids, kādā personas uzņemas kopīgu atbildību par sabiedrības vajadzību apmierināšanu un Latvijas valsts uzturēšanu.</w:t>
      </w:r>
      <w:r w:rsidRPr="00B918E7">
        <w:rPr>
          <w:rStyle w:val="FootnoteReference"/>
          <w:rFonts w:ascii="Gotham Pro LT" w:hAnsi="Gotham Pro LT" w:cs="Gotham Pro LT"/>
          <w:sz w:val="22"/>
          <w:szCs w:val="22"/>
        </w:rPr>
        <w:footnoteReference w:id="9"/>
      </w:r>
      <w:r w:rsidRPr="00B918E7">
        <w:rPr>
          <w:rFonts w:ascii="Gotham Pro LT" w:hAnsi="Gotham Pro LT" w:cs="Gotham Pro LT"/>
          <w:sz w:val="22"/>
          <w:szCs w:val="22"/>
        </w:rPr>
        <w:t xml:space="preserve"> Kā minēts jau iepriekš, tad Garantijas fonda līdzekļus, kas nav valsts budžeta līdzekļi, tos veido pašu apdrošinātāju veiktie atskaitījumi no OCTA apdrošināšanas prēmijām konkrētam mērķim – aizsargāt cietušo trešo personu intereses. OCTA un nodokļu mērķi un darbība ir pilnīgi atšķirīgi, lai arī tie abi noteiktos gadījumos ir obligāti maksājumi. Līdz ar to </w:t>
      </w:r>
      <w:r w:rsidRPr="00B918E7">
        <w:rPr>
          <w:rFonts w:ascii="Gotham Pro LT" w:hAnsi="Gotham Pro LT" w:cs="Gotham Pro LT"/>
          <w:b/>
          <w:bCs/>
          <w:sz w:val="22"/>
          <w:szCs w:val="22"/>
          <w:shd w:val="clear" w:color="auto" w:fill="FFFFFF"/>
        </w:rPr>
        <w:t>OCTA likuma 14.panta otrā un trešā daļa paredz apdrošināšanas sabiedrību tiesību uz īpašumu ierobežojumu, jo nosaka konkrētu pienākumu vienai privātpersonai par labu citai personai uz vienas no privātpersonas rēķina.</w:t>
      </w:r>
      <w:r w:rsidRPr="00B918E7">
        <w:rPr>
          <w:rFonts w:ascii="Gotham Pro LT" w:hAnsi="Gotham Pro LT" w:cs="Gotham Pro LT"/>
          <w:sz w:val="22"/>
          <w:szCs w:val="22"/>
          <w:shd w:val="clear" w:color="auto" w:fill="FFFFFF"/>
        </w:rPr>
        <w:t xml:space="preserve"> OCTA likuma 14.panta otrā un trešā daļa ir jāvērtē nevis kā nodokļu politikas instruments, bet gan kā valsts noteikts mantisks ierobežojums vienai privātpersonai par labu otrai privātpersonai</w:t>
      </w:r>
      <w:r>
        <w:rPr>
          <w:rFonts w:ascii="Gotham Pro LT" w:hAnsi="Gotham Pro LT" w:cs="Gotham Pro LT"/>
          <w:sz w:val="22"/>
          <w:szCs w:val="22"/>
          <w:shd w:val="clear" w:color="auto" w:fill="FFFFFF"/>
        </w:rPr>
        <w:t>.</w:t>
      </w:r>
    </w:p>
    <w:p w14:paraId="228F8E16" w14:textId="77777777" w:rsidR="00E97525" w:rsidRPr="00B918E7" w:rsidRDefault="00E97525" w:rsidP="00E97525">
      <w:pPr>
        <w:spacing w:after="0" w:line="240" w:lineRule="auto"/>
        <w:ind w:firstLine="600"/>
        <w:jc w:val="both"/>
        <w:rPr>
          <w:rFonts w:ascii="Gotham Pro LT" w:hAnsi="Gotham Pro LT" w:cs="Gotham Pro LT"/>
          <w:bCs/>
        </w:rPr>
      </w:pPr>
    </w:p>
    <w:p w14:paraId="784AB589" w14:textId="77777777" w:rsidR="00E97525" w:rsidRPr="00B918E7" w:rsidRDefault="00E97525" w:rsidP="00E97525">
      <w:pPr>
        <w:spacing w:after="0" w:line="240" w:lineRule="auto"/>
        <w:ind w:firstLine="600"/>
        <w:jc w:val="both"/>
        <w:rPr>
          <w:rFonts w:ascii="Gotham Pro LT" w:eastAsia="Calibri" w:hAnsi="Gotham Pro LT" w:cs="Gotham Pro LT"/>
          <w:bCs/>
          <w:shd w:val="clear" w:color="auto" w:fill="FFFFFF"/>
        </w:rPr>
      </w:pPr>
      <w:r w:rsidRPr="00B918E7">
        <w:rPr>
          <w:rFonts w:ascii="Gotham Pro LT" w:hAnsi="Gotham Pro LT" w:cs="Gotham Pro LT"/>
          <w:bCs/>
        </w:rPr>
        <w:t xml:space="preserve">OCTA likuma 51.pantā ir noteikts, ka </w:t>
      </w:r>
      <w:r w:rsidRPr="00B918E7">
        <w:rPr>
          <w:rFonts w:ascii="Gotham Pro LT" w:eastAsia="Calibri" w:hAnsi="Gotham Pro LT" w:cs="Gotham Pro LT"/>
          <w:shd w:val="clear" w:color="auto" w:fill="FFFFFF"/>
        </w:rPr>
        <w:t>apdrošinātāji izveido un LTAB administrē G</w:t>
      </w:r>
      <w:r w:rsidRPr="00B918E7">
        <w:rPr>
          <w:rFonts w:ascii="Gotham Pro LT" w:hAnsi="Gotham Pro LT" w:cs="Gotham Pro LT"/>
          <w:bCs/>
          <w:shd w:val="clear" w:color="auto" w:fill="FFFFFF"/>
        </w:rPr>
        <w:t>arantijas fondu</w:t>
      </w:r>
      <w:r w:rsidRPr="00B918E7">
        <w:rPr>
          <w:rFonts w:ascii="Gotham Pro LT" w:eastAsia="Calibri" w:hAnsi="Gotham Pro LT" w:cs="Gotham Pro LT"/>
          <w:bCs/>
          <w:shd w:val="clear" w:color="auto" w:fill="FFFFFF"/>
        </w:rPr>
        <w:t>.</w:t>
      </w:r>
    </w:p>
    <w:p w14:paraId="652336EA" w14:textId="77777777" w:rsidR="00E97525" w:rsidRPr="00B918E7" w:rsidRDefault="00E97525" w:rsidP="00E97525">
      <w:pPr>
        <w:spacing w:after="0" w:line="240" w:lineRule="auto"/>
        <w:ind w:firstLine="600"/>
        <w:jc w:val="both"/>
        <w:rPr>
          <w:rFonts w:ascii="Gotham Pro LT" w:hAnsi="Gotham Pro LT" w:cs="Gotham Pro LT"/>
        </w:rPr>
      </w:pPr>
      <w:r w:rsidRPr="00B918E7">
        <w:rPr>
          <w:rFonts w:ascii="Gotham Pro LT" w:hAnsi="Gotham Pro LT" w:cs="Gotham Pro LT"/>
          <w:b/>
          <w:bCs/>
        </w:rPr>
        <w:t>Garantijas fonda mērķis ir veikt atlīdzības izmaksas ceļu satiksmes negadījumā cietušajām personām</w:t>
      </w:r>
      <w:r w:rsidRPr="00B918E7">
        <w:rPr>
          <w:rFonts w:ascii="Gotham Pro LT" w:hAnsi="Gotham Pro LT" w:cs="Gotham Pro LT"/>
        </w:rPr>
        <w:t>, ja zaudējumus nodarījis neapdrošināts vai nenoskaidrots transportlīdzeklis, iestājusies apdrošinātāja maksātnespēja, kā arī veikt izmaksas cietušajiem citos OCTA likumā paredzētajos gadījumos, t.sk., ja ceļu satiksmes negadījums noticis ārpus Latvijas Republikas (OCTA likuma 51.panta pirmā, otrā, ceturtā un piektā daļa). Minētais regulējums ir vērsts uz ceļu satiksmes negadījumā cietušo personu interešu aizsardzību (apdrošināšanas atlīdzības izmaksu) atbilstoši OCTA likuma mērķim, t.i., ir  aizsargāt ceļu satiksmes negadījumos cietušo trešo personu intereses un reglamentēt tiesiskās attiecības starp transportlīdzekļu īpašniekiem, tiesīgajiem lietotājiem un apdrošinātājiem sakarā ar transportlīdzekļu īpašnieku un tiesīgo lietotāju civiltiesiskās atbildības obligāto apdrošināšanu (OCTA likuma 2.pants).</w:t>
      </w:r>
    </w:p>
    <w:p w14:paraId="12FE8973" w14:textId="77777777" w:rsidR="00E97525" w:rsidRPr="00B918E7" w:rsidRDefault="00E97525" w:rsidP="00E97525">
      <w:pPr>
        <w:spacing w:after="0" w:line="240" w:lineRule="auto"/>
        <w:ind w:firstLine="600"/>
        <w:jc w:val="both"/>
        <w:rPr>
          <w:rFonts w:ascii="Gotham Pro LT" w:eastAsia="Calibri" w:hAnsi="Gotham Pro LT" w:cs="Gotham Pro LT"/>
          <w:bCs/>
          <w:shd w:val="clear" w:color="auto" w:fill="FFFFFF"/>
        </w:rPr>
      </w:pPr>
      <w:r w:rsidRPr="00B918E7">
        <w:rPr>
          <w:rFonts w:ascii="Gotham Pro LT" w:eastAsia="Calibri" w:hAnsi="Gotham Pro LT" w:cs="Gotham Pro LT"/>
          <w:bCs/>
          <w:shd w:val="clear" w:color="auto" w:fill="FFFFFF"/>
        </w:rPr>
        <w:lastRenderedPageBreak/>
        <w:t xml:space="preserve">OCTA likumā šāds regulējums ieviests, implementējot OCTA direktīvu prasības, kas šobrīd konsolidētās ar </w:t>
      </w:r>
      <w:r w:rsidRPr="00B918E7">
        <w:rPr>
          <w:rFonts w:ascii="Gotham Pro LT" w:hAnsi="Gotham Pro LT" w:cs="Gotham Pro LT"/>
          <w:shd w:val="clear" w:color="auto" w:fill="FFFFFF"/>
        </w:rPr>
        <w:t>Eiropas Parlamenta un Padomes 2009.gada 16.septembra direktīvu 2009/103/EK par civiltiesiskās atbildības apdrošināšanu saistībā ar mehānisko transportlīdzekļu izmantošanu un kontroli saistībā ar pienākumu apdrošināt šādu atbildību</w:t>
      </w:r>
      <w:r w:rsidRPr="00B918E7">
        <w:rPr>
          <w:rFonts w:ascii="Gotham Pro LT" w:eastAsia="Calibri" w:hAnsi="Gotham Pro LT" w:cs="Gotham Pro LT"/>
          <w:bCs/>
          <w:shd w:val="clear" w:color="auto" w:fill="FFFFFF"/>
        </w:rPr>
        <w:t xml:space="preserve"> (turpmāk – OCTA direktīva). </w:t>
      </w:r>
    </w:p>
    <w:p w14:paraId="49EBBD78" w14:textId="77777777" w:rsidR="00E97525" w:rsidRPr="00B918E7" w:rsidRDefault="00E97525" w:rsidP="00E97525">
      <w:pPr>
        <w:spacing w:after="0" w:line="240" w:lineRule="auto"/>
        <w:ind w:firstLine="600"/>
        <w:jc w:val="both"/>
        <w:rPr>
          <w:rFonts w:ascii="Gotham Pro LT" w:hAnsi="Gotham Pro LT" w:cs="Gotham Pro LT"/>
        </w:rPr>
      </w:pPr>
      <w:r w:rsidRPr="00B918E7">
        <w:rPr>
          <w:rFonts w:ascii="Gotham Pro LT" w:eastAsia="Calibri" w:hAnsi="Gotham Pro LT" w:cs="Gotham Pro LT"/>
          <w:bCs/>
          <w:shd w:val="clear" w:color="auto" w:fill="FFFFFF"/>
        </w:rPr>
        <w:t>OCTA direktīvas 10.pantā ir noteikts, ka k</w:t>
      </w:r>
      <w:r w:rsidRPr="00B918E7">
        <w:rPr>
          <w:rFonts w:ascii="Gotham Pro LT" w:hAnsi="Gotham Pro LT" w:cs="Gotham Pro LT"/>
          <w:bCs/>
          <w:shd w:val="clear" w:color="auto" w:fill="FFFFFF"/>
        </w:rPr>
        <w:t xml:space="preserve">atra dalībvalsts izveido vai pilnvaro iestādi, kas sniegtu kompensāciju vismaz obligātās apdrošināšanas līmenī par kaitējumu īpašumam vai miesas bojājumiem negadījumos, kurus izraisījuši neidentificēti transportlīdzekļi vai transportlīdzekļi, kam nav nokārtota OCTA apdrošināšana. </w:t>
      </w:r>
      <w:r w:rsidRPr="00B918E7">
        <w:rPr>
          <w:rFonts w:ascii="Gotham Pro LT" w:eastAsia="Calibri" w:hAnsi="Gotham Pro LT" w:cs="Gotham Pro LT"/>
          <w:bCs/>
          <w:shd w:val="clear" w:color="auto" w:fill="FFFFFF"/>
        </w:rPr>
        <w:t>OCTA direktīvas 24.pantā ir noteikts, ka k</w:t>
      </w:r>
      <w:r w:rsidRPr="00B918E7">
        <w:rPr>
          <w:rFonts w:ascii="Gotham Pro LT" w:hAnsi="Gotham Pro LT" w:cs="Gotham Pro LT"/>
          <w:bCs/>
          <w:shd w:val="clear" w:color="auto" w:fill="FFFFFF"/>
        </w:rPr>
        <w:t>atra dalībvalsts izveido vai apstiprina kompensācijas iestādi, kas atbild par kompensācijas nodrošināšanu cietušajām personām, kuras cietušas negadījumā dalībvalstī, kas nav tās dzīvesvieta. Gan no OCTA direktīvas, gan no EST judikatūras, interpretējot OCTA direktīvas normas, nepārprotami izriet, ka OCTA direktīvu mērķis ir nodrošināt</w:t>
      </w:r>
      <w:r w:rsidRPr="00B918E7">
        <w:rPr>
          <w:rFonts w:ascii="Gotham Pro LT" w:hAnsi="Gotham Pro LT" w:cs="Gotham Pro LT"/>
          <w:b/>
          <w:shd w:val="clear" w:color="auto" w:fill="FFFFFF"/>
        </w:rPr>
        <w:t xml:space="preserve"> </w:t>
      </w:r>
      <w:r w:rsidRPr="00B918E7">
        <w:rPr>
          <w:rFonts w:ascii="Gotham Pro LT" w:eastAsia="Times New Roman" w:hAnsi="Gotham Pro LT" w:cs="Gotham Pro LT"/>
          <w:bCs/>
        </w:rPr>
        <w:t>augstu aizsardzības līmeni cietušajiem mehānisko transportlīdzekļu izraisītos negadījumos</w:t>
      </w:r>
      <w:r w:rsidRPr="00B918E7">
        <w:rPr>
          <w:rFonts w:ascii="Gotham Pro LT" w:hAnsi="Gotham Pro LT" w:cs="Gotham Pro LT"/>
          <w:bCs/>
          <w:shd w:val="clear" w:color="auto" w:fill="FFFFFF"/>
        </w:rPr>
        <w:t xml:space="preserve">, un nekas nedrīkst kavēt šī mērķa īstenošanu un atņemt direktīvām to lietderīgo iedarbību. </w:t>
      </w:r>
      <w:r w:rsidRPr="00B918E7">
        <w:rPr>
          <w:rFonts w:ascii="Gotham Pro LT" w:hAnsi="Gotham Pro LT" w:cs="Gotham Pro LT"/>
          <w:b/>
          <w:shd w:val="clear" w:color="auto" w:fill="FFFFFF"/>
        </w:rPr>
        <w:t>Spēkā esošās</w:t>
      </w:r>
      <w:r w:rsidRPr="00B918E7">
        <w:rPr>
          <w:rFonts w:ascii="Gotham Pro LT" w:hAnsi="Gotham Pro LT" w:cs="Gotham Pro LT"/>
          <w:bCs/>
          <w:shd w:val="clear" w:color="auto" w:fill="FFFFFF"/>
        </w:rPr>
        <w:t xml:space="preserve"> </w:t>
      </w:r>
      <w:r w:rsidRPr="00B918E7">
        <w:rPr>
          <w:rFonts w:ascii="Gotham Pro LT" w:hAnsi="Gotham Pro LT" w:cs="Gotham Pro LT"/>
          <w:b/>
          <w:shd w:val="clear" w:color="auto" w:fill="FFFFFF"/>
        </w:rPr>
        <w:t>OCTA likuma 14. panta otrās, trešās, ceturtās daļas un 51.panta trešās daļas 2.punkta redakcijas, kas vērstas uz atlaides piešķiršanu un tās kompensēšanu no Garantijas fonda, ir pretrunā OCTA direktīvas prasībām un EST atziņām un mazina ar OCTA direktīvu izvirzīto mērķu sasniegšanu</w:t>
      </w:r>
      <w:r w:rsidRPr="00B918E7">
        <w:rPr>
          <w:rFonts w:ascii="Gotham Pro LT" w:hAnsi="Gotham Pro LT" w:cs="Gotham Pro LT"/>
        </w:rPr>
        <w:t>.</w:t>
      </w:r>
    </w:p>
    <w:p w14:paraId="73D08360" w14:textId="77777777" w:rsidR="00E97525" w:rsidRPr="00B918E7" w:rsidRDefault="00E97525" w:rsidP="00E97525">
      <w:pPr>
        <w:pStyle w:val="Bodytext21"/>
        <w:shd w:val="clear" w:color="auto" w:fill="auto"/>
        <w:spacing w:line="240" w:lineRule="auto"/>
        <w:ind w:firstLine="601"/>
        <w:rPr>
          <w:rFonts w:ascii="Gotham Pro LT" w:hAnsi="Gotham Pro LT" w:cs="Gotham Pro LT"/>
          <w:sz w:val="22"/>
          <w:szCs w:val="22"/>
        </w:rPr>
      </w:pPr>
      <w:r w:rsidRPr="00B918E7">
        <w:rPr>
          <w:rFonts w:ascii="Gotham Pro LT" w:hAnsi="Gotham Pro LT" w:cs="Gotham Pro LT"/>
          <w:b/>
          <w:bCs/>
          <w:sz w:val="22"/>
          <w:szCs w:val="22"/>
        </w:rPr>
        <w:t>Arī Satversmes tiesa ir atzīmējusi, ka Garantijas fonda līdzekļi ir izmantojami atbilstoši to mērķiem – “Garantijas fonda izveidošanas mērķis ir aizsargāt ceļu satiksmes negadījumos cietušo mantiskās intereses</w:t>
      </w:r>
      <w:r w:rsidRPr="00B918E7">
        <w:rPr>
          <w:rFonts w:ascii="Gotham Pro LT" w:hAnsi="Gotham Pro LT" w:cs="Gotham Pro LT"/>
          <w:sz w:val="22"/>
          <w:szCs w:val="22"/>
        </w:rPr>
        <w:t>.”</w:t>
      </w:r>
      <w:r w:rsidRPr="00B918E7">
        <w:rPr>
          <w:rStyle w:val="FootnoteReference"/>
          <w:rFonts w:ascii="Gotham Pro LT" w:hAnsi="Gotham Pro LT" w:cs="Gotham Pro LT"/>
          <w:sz w:val="22"/>
          <w:szCs w:val="22"/>
        </w:rPr>
        <w:footnoteReference w:id="10"/>
      </w:r>
      <w:r w:rsidRPr="00B918E7">
        <w:rPr>
          <w:rFonts w:ascii="Gotham Pro LT" w:hAnsi="Gotham Pro LT" w:cs="Gotham Pro LT"/>
          <w:sz w:val="22"/>
          <w:szCs w:val="22"/>
        </w:rPr>
        <w:t xml:space="preserve"> Šī fonda līdzekļu izmantošana sociāliem mērķiem nozīmē citu personu, kas iemaksā šos līdzekļus vai pretendēs uz izmaksām, tiesību ierobežošanu ārpus definētā mērķa. </w:t>
      </w:r>
    </w:p>
    <w:p w14:paraId="214CF176" w14:textId="77777777" w:rsidR="00E97525" w:rsidRPr="00B918E7" w:rsidRDefault="00E97525" w:rsidP="00E97525">
      <w:pPr>
        <w:spacing w:after="0" w:line="240" w:lineRule="auto"/>
        <w:jc w:val="both"/>
        <w:rPr>
          <w:rFonts w:ascii="Gotham Pro LT" w:hAnsi="Gotham Pro LT" w:cs="Gotham Pro LT"/>
          <w:b/>
        </w:rPr>
      </w:pPr>
    </w:p>
    <w:p w14:paraId="1FD811D0" w14:textId="77777777" w:rsidR="00E97525" w:rsidRPr="00B918E7" w:rsidRDefault="00E97525" w:rsidP="00E97525">
      <w:pPr>
        <w:spacing w:after="0" w:line="240" w:lineRule="auto"/>
        <w:ind w:firstLine="600"/>
        <w:jc w:val="both"/>
        <w:rPr>
          <w:rFonts w:ascii="Gotham Pro LT" w:hAnsi="Gotham Pro LT" w:cs="Gotham Pro LT"/>
          <w:b/>
          <w:bCs/>
        </w:rPr>
      </w:pPr>
      <w:r w:rsidRPr="00B918E7">
        <w:rPr>
          <w:rFonts w:ascii="Gotham Pro LT" w:hAnsi="Gotham Pro LT" w:cs="Gotham Pro LT"/>
          <w:b/>
          <w:bCs/>
        </w:rPr>
        <w:t xml:space="preserve">Vēsturiski ir izveidojies, ka apdrošinātāju piešķirtās atlaides tiek kompensētas no Garantijas fonda </w:t>
      </w:r>
      <w:r w:rsidRPr="00B918E7">
        <w:rPr>
          <w:rFonts w:ascii="Gotham Pro LT" w:hAnsi="Gotham Pro LT" w:cs="Gotham Pro LT"/>
        </w:rPr>
        <w:t>(OCTA likuma 14.panta ceturtā daļa un 51.panta trešās daļas 2.punkts).</w:t>
      </w:r>
      <w:r w:rsidRPr="00B918E7">
        <w:rPr>
          <w:rFonts w:ascii="Gotham Pro LT" w:hAnsi="Gotham Pro LT" w:cs="Gotham Pro LT"/>
          <w:b/>
          <w:bCs/>
        </w:rPr>
        <w:t xml:space="preserve"> </w:t>
      </w:r>
      <w:r w:rsidRPr="00B918E7">
        <w:rPr>
          <w:rFonts w:ascii="Gotham Pro LT" w:hAnsi="Gotham Pro LT" w:cs="Gotham Pro LT"/>
        </w:rPr>
        <w:t>Līdz 01.05.2004. valsts ar likumu</w:t>
      </w:r>
      <w:r w:rsidRPr="00B918E7">
        <w:rPr>
          <w:rStyle w:val="FootnoteReference"/>
          <w:rFonts w:ascii="Gotham Pro LT" w:hAnsi="Gotham Pro LT" w:cs="Gotham Pro LT"/>
        </w:rPr>
        <w:footnoteReference w:id="11"/>
      </w:r>
      <w:r w:rsidRPr="00B918E7">
        <w:rPr>
          <w:rFonts w:ascii="Gotham Pro LT" w:hAnsi="Gotham Pro LT" w:cs="Gotham Pro LT"/>
        </w:rPr>
        <w:t xml:space="preserve"> un tam pakārtotajiem Ministru kabineta noteikumiem</w:t>
      </w:r>
      <w:r w:rsidRPr="00B918E7">
        <w:rPr>
          <w:rStyle w:val="FootnoteReference"/>
          <w:rFonts w:ascii="Gotham Pro LT" w:hAnsi="Gotham Pro LT" w:cs="Gotham Pro LT"/>
        </w:rPr>
        <w:footnoteReference w:id="12"/>
      </w:r>
      <w:r w:rsidRPr="00B918E7">
        <w:rPr>
          <w:rFonts w:ascii="Gotham Pro LT" w:hAnsi="Gotham Pro LT" w:cs="Gotham Pro LT"/>
        </w:rPr>
        <w:t xml:space="preserve"> regulēja gan OCTA prēmijas, gan piešķīra atlaides, bet, </w:t>
      </w:r>
      <w:r w:rsidRPr="00B918E7">
        <w:rPr>
          <w:rFonts w:ascii="Gotham Pro LT" w:hAnsi="Gotham Pro LT" w:cs="Gotham Pro LT"/>
          <w:b/>
          <w:bCs/>
        </w:rPr>
        <w:t xml:space="preserve">iestājoties ES, atbilstoši ES prasībām valsts prēmijas vairs nedrīkstēja regulēt, tas bija jāatstāj apdrošinātāju ziņā, tomēr atlaižu piešķiršanas kārtība un kompensēšana no Garantijas fonda tika saglabāta. </w:t>
      </w:r>
      <w:r w:rsidRPr="00B918E7">
        <w:rPr>
          <w:rFonts w:ascii="Gotham Pro LT" w:hAnsi="Gotham Pro LT" w:cs="Gotham Pro LT"/>
        </w:rPr>
        <w:t>Savulaik šādu atlaižu politiku Latvija pārņēma no Igaunijas, bet tagad Latvija ir palikusi vienīgā valsts Eiropā, kur saglabājusies šāds arhaisks, OCTA direktīvai neatbilstošs regulējums.</w:t>
      </w:r>
      <w:r w:rsidRPr="00B918E7">
        <w:rPr>
          <w:rFonts w:ascii="Gotham Pro LT" w:hAnsi="Gotham Pro LT" w:cs="Gotham Pro LT"/>
          <w:b/>
          <w:bCs/>
        </w:rPr>
        <w:t xml:space="preserve"> </w:t>
      </w:r>
    </w:p>
    <w:p w14:paraId="3F301927" w14:textId="77777777" w:rsidR="00E97525" w:rsidRPr="00B918E7" w:rsidRDefault="00E97525" w:rsidP="00E97525">
      <w:pPr>
        <w:spacing w:after="0" w:line="240" w:lineRule="auto"/>
        <w:ind w:firstLine="600"/>
        <w:jc w:val="both"/>
        <w:rPr>
          <w:rFonts w:ascii="Gotham Pro LT" w:hAnsi="Gotham Pro LT" w:cs="Gotham Pro LT"/>
          <w:b/>
          <w:bCs/>
        </w:rPr>
      </w:pPr>
    </w:p>
    <w:p w14:paraId="3341B6AC" w14:textId="77777777" w:rsidR="00E97525" w:rsidRPr="00B918E7" w:rsidRDefault="00E97525" w:rsidP="00E97525">
      <w:pPr>
        <w:spacing w:after="0" w:line="240" w:lineRule="auto"/>
        <w:ind w:firstLine="600"/>
        <w:jc w:val="both"/>
        <w:rPr>
          <w:rFonts w:ascii="Gotham Pro LT" w:hAnsi="Gotham Pro LT" w:cs="Gotham Pro LT"/>
          <w:b/>
          <w:bCs/>
        </w:rPr>
      </w:pPr>
      <w:r w:rsidRPr="00B918E7">
        <w:rPr>
          <w:rFonts w:ascii="Gotham Pro LT" w:hAnsi="Gotham Pro LT" w:cs="Gotham Pro LT"/>
          <w:b/>
          <w:bCs/>
        </w:rPr>
        <w:t xml:space="preserve">Garantijas fonda līdzekļus veido </w:t>
      </w:r>
      <w:r w:rsidRPr="00B918E7">
        <w:rPr>
          <w:rFonts w:ascii="Gotham Pro LT" w:hAnsi="Gotham Pro LT" w:cs="Gotham Pro LT"/>
        </w:rPr>
        <w:t>(OCTA likuma 51.panta sestā daļa)</w:t>
      </w:r>
      <w:r w:rsidRPr="00B918E7">
        <w:rPr>
          <w:rFonts w:ascii="Gotham Pro LT" w:hAnsi="Gotham Pro LT" w:cs="Gotham Pro LT"/>
          <w:b/>
          <w:bCs/>
        </w:rPr>
        <w:t xml:space="preserve">: </w:t>
      </w:r>
      <w:r w:rsidRPr="00B918E7">
        <w:rPr>
          <w:rFonts w:ascii="Gotham Pro LT" w:hAnsi="Gotham Pro LT" w:cs="Gotham Pro LT"/>
        </w:rPr>
        <w:t>pamatā</w:t>
      </w:r>
      <w:r w:rsidRPr="00B918E7">
        <w:rPr>
          <w:rFonts w:ascii="Gotham Pro LT" w:hAnsi="Gotham Pro LT" w:cs="Gotham Pro LT"/>
          <w:b/>
          <w:bCs/>
        </w:rPr>
        <w:t xml:space="preserve">  1) apdrošinātāju atskaitījumi no OCTA prēmijām, </w:t>
      </w:r>
      <w:r w:rsidRPr="00B918E7">
        <w:rPr>
          <w:rFonts w:ascii="Gotham Pro LT" w:hAnsi="Gotham Pro LT" w:cs="Gotham Pro LT"/>
        </w:rPr>
        <w:t xml:space="preserve">t.i., visi apdrošinājuma ņēmēji (t.sk. personas ar invaliditāti un lauksaimnieki,  pensionāri, medmāsas, skolotāji, ugunsdzēsēji u.c.), slēdzot OCTA līgumus, sedz šīs atlaides, 2) </w:t>
      </w:r>
      <w:r w:rsidRPr="00B918E7">
        <w:rPr>
          <w:rFonts w:ascii="Gotham Pro LT" w:hAnsi="Gotham Pro LT" w:cs="Gotham Pro LT"/>
          <w:b/>
          <w:bCs/>
        </w:rPr>
        <w:t xml:space="preserve">regresa kārtībā atgūtās summas un ieņēmumi no Garantijas fonda līdzekļu ieguldīšanas </w:t>
      </w:r>
      <w:r w:rsidRPr="00B918E7">
        <w:rPr>
          <w:rFonts w:ascii="Gotham Pro LT" w:hAnsi="Gotham Pro LT" w:cs="Gotham Pro LT"/>
        </w:rPr>
        <w:t>(ņemot vērā ekonomisko situāciju valstī un Eiropā, šie ieņēmumi turpina samazināties). Faktiski tas nozīmē, ka</w:t>
      </w:r>
      <w:r w:rsidRPr="00B918E7">
        <w:rPr>
          <w:rFonts w:ascii="Gotham Pro LT" w:hAnsi="Gotham Pro LT" w:cs="Gotham Pro LT"/>
          <w:b/>
          <w:bCs/>
        </w:rPr>
        <w:t xml:space="preserve"> paši apdrošinājuma ņēmēji tiek nostādīti nevienlīdzīgā situācijā, vieniem piešķirot atlaides, bet citiem - nē.</w:t>
      </w:r>
    </w:p>
    <w:p w14:paraId="7B09C597" w14:textId="77777777" w:rsidR="00E97525" w:rsidRPr="00B918E7" w:rsidRDefault="00E97525" w:rsidP="00E97525">
      <w:pPr>
        <w:spacing w:after="0" w:line="240" w:lineRule="auto"/>
        <w:ind w:firstLine="600"/>
        <w:jc w:val="both"/>
        <w:rPr>
          <w:rFonts w:ascii="Gotham Pro LT" w:hAnsi="Gotham Pro LT" w:cs="Gotham Pro LT"/>
          <w:b/>
          <w:bCs/>
        </w:rPr>
      </w:pPr>
    </w:p>
    <w:p w14:paraId="40EE1B48" w14:textId="77777777" w:rsidR="00E97525" w:rsidRPr="00B918E7" w:rsidRDefault="00E97525" w:rsidP="00E97525">
      <w:pPr>
        <w:spacing w:after="0" w:line="240" w:lineRule="auto"/>
        <w:ind w:firstLine="600"/>
        <w:jc w:val="both"/>
        <w:rPr>
          <w:rFonts w:ascii="Gotham Pro LT" w:hAnsi="Gotham Pro LT" w:cs="Gotham Pro LT"/>
          <w:color w:val="4F81BD" w:themeColor="accent1"/>
        </w:rPr>
      </w:pPr>
      <w:bookmarkStart w:id="2" w:name="_Hlk63861229"/>
      <w:bookmarkStart w:id="3" w:name="_Hlk63865481"/>
      <w:r w:rsidRPr="00B918E7">
        <w:rPr>
          <w:rFonts w:ascii="Gotham Pro LT" w:hAnsi="Gotham Pro LT" w:cs="Gotham Pro LT"/>
          <w:b/>
          <w:bCs/>
        </w:rPr>
        <w:lastRenderedPageBreak/>
        <w:t>Garantijas fonds zināmā mērā pat pārmaksā, kompensējot apdrošinātājiem piešķirtās atlaides</w:t>
      </w:r>
      <w:r w:rsidRPr="00B918E7">
        <w:rPr>
          <w:rFonts w:ascii="Gotham Pro LT" w:hAnsi="Gotham Pro LT" w:cs="Gotham Pro LT"/>
        </w:rPr>
        <w:t xml:space="preserve">, </w:t>
      </w:r>
      <w:r w:rsidRPr="00B918E7">
        <w:rPr>
          <w:rFonts w:ascii="Gotham Pro LT" w:hAnsi="Gotham Pro LT" w:cs="Gotham Pro LT"/>
          <w:b/>
          <w:bCs/>
        </w:rPr>
        <w:t>un pašus atlaižu saņēmējus nostāda nevienlīdzīgā situācijā</w:t>
      </w:r>
      <w:r w:rsidRPr="00B918E7">
        <w:rPr>
          <w:rFonts w:ascii="Gotham Pro LT" w:hAnsi="Gotham Pro LT" w:cs="Gotham Pro LT"/>
        </w:rPr>
        <w:t xml:space="preserve">. Katram apdrošinājuma ņēmējam (klientam) tiek individuāli noteikta apdrošināšanas prēmija (maksājums), ņemot vērā transportlīdzekļa tehniskos datus, apdrošināšanas vēsturi u.c. kritērijus (OCTA likuma 13.pants). Piemēram,  ja apdrošinājuma ņēmējs ir izraisījis ceļu satiksmes negadījumu, apdrošināšanas prēmija, visticamāk, paaugstināsies. </w:t>
      </w:r>
      <w:r w:rsidRPr="00B918E7">
        <w:rPr>
          <w:rFonts w:ascii="Gotham Pro LT" w:hAnsi="Gotham Pro LT" w:cs="Gotham Pro LT"/>
          <w:b/>
          <w:bCs/>
          <w:u w:val="single"/>
        </w:rPr>
        <w:t>Jo sliktāka apdrošinājuma ņēmēja apdrošināšanas vēsture, jo lielāka apdrošināšanas prēmija, jo lielāka arī kompensējamā atlaide no Garantijas fonda, un tas savā būtībā ir nepareizi.</w:t>
      </w:r>
      <w:r w:rsidRPr="00B918E7">
        <w:rPr>
          <w:rFonts w:ascii="Gotham Pro LT" w:hAnsi="Gotham Pro LT" w:cs="Gotham Pro LT"/>
        </w:rPr>
        <w:t xml:space="preserve">  Šī absurdā situācija atspoguļota tālāk aprakstītajā piemērā. Proti, </w:t>
      </w:r>
      <w:r w:rsidRPr="00B918E7">
        <w:rPr>
          <w:rFonts w:ascii="Gotham Pro LT" w:hAnsi="Gotham Pro LT" w:cs="Gotham Pro LT"/>
          <w:i/>
          <w:iCs/>
          <w:color w:val="4F81BD" w:themeColor="accent1"/>
        </w:rPr>
        <w:t>pieņemot, ka apdrošināšanas līgumu slēdz 2 personas ar vienādu apdrošināšanas stāžu uz vienādiem vieglajiem transportlīdzekļiem (t.sk. marku), personai A ar labu apdrošināšanas vēsturi apdrošināšanas prēmijas sastāda 60 EUR, no kuras 24 EUR kā kompensācija (atlaide 40% apmērā) tiek segta no Garantijas fonda, savukārt personai B ar sliktu apdrošināšanas vēsturi apdrošināšanas prēmija ir 260 EUR, no kuras 104 EUR tiek segti kompensācijās  (atlaide 40% apmērā)  no Garantijas fonda.</w:t>
      </w:r>
      <w:r w:rsidRPr="00B918E7">
        <w:rPr>
          <w:rFonts w:ascii="Gotham Pro LT" w:hAnsi="Gotham Pro LT" w:cs="Gotham Pro LT"/>
          <w:color w:val="4F81BD" w:themeColor="accent1"/>
        </w:rPr>
        <w:t xml:space="preserve"> Tātad persona, kura ir bīstamāka satiksmē, var saņemt lielāku atlaidi (aprakstītajā piemērā – par 80 EUR  lielāku atlaidi) </w:t>
      </w:r>
      <w:r w:rsidRPr="00B918E7">
        <w:rPr>
          <w:rFonts w:ascii="Gotham Pro LT" w:eastAsia="Times New Roman" w:hAnsi="Gotham Pro LT" w:cs="Gotham Pro LT"/>
          <w:color w:val="4F81BD" w:themeColor="accent1"/>
        </w:rPr>
        <w:t>nekā persona, kuras braukšanas stils ir drošāks satiksmei.</w:t>
      </w:r>
      <w:r w:rsidRPr="00B918E7">
        <w:rPr>
          <w:rFonts w:ascii="Gotham Pro LT" w:hAnsi="Gotham Pro LT" w:cs="Gotham Pro LT"/>
          <w:color w:val="4F81BD" w:themeColor="accent1"/>
        </w:rPr>
        <w:t xml:space="preserve"> </w:t>
      </w:r>
      <w:bookmarkEnd w:id="2"/>
    </w:p>
    <w:bookmarkEnd w:id="3"/>
    <w:p w14:paraId="09996284" w14:textId="77777777" w:rsidR="00E97525" w:rsidRPr="00B918E7" w:rsidRDefault="00E97525" w:rsidP="00E97525">
      <w:pPr>
        <w:spacing w:after="0" w:line="240" w:lineRule="auto"/>
        <w:ind w:firstLine="600"/>
        <w:jc w:val="both"/>
        <w:rPr>
          <w:rFonts w:ascii="Gotham Pro LT" w:hAnsi="Gotham Pro LT" w:cs="Gotham Pro LT"/>
        </w:rPr>
      </w:pPr>
      <w:r w:rsidRPr="00B918E7">
        <w:rPr>
          <w:rFonts w:ascii="Gotham Pro LT" w:hAnsi="Gotham Pro LT" w:cs="Gotham Pro LT"/>
        </w:rPr>
        <w:t xml:space="preserve">Ja ir vēlme šāda veida atbalstu turpināt, būtu jāapsver, piemēram,  konstantas summas piešķiršana OCTA iegādei, lai novērstu sociālo nevienlīdzību gan to personu, kam pienākas atlaides, gan pārējo apdrošinājuma ņēmēju starpā, bet, kā jau iepriekš minēts, OCTA likums tomēr nebūs īstais likums, kur risināt valsts sociālā atbalsta pasākuma programmas. </w:t>
      </w:r>
    </w:p>
    <w:p w14:paraId="5C650EC2" w14:textId="77777777" w:rsidR="00E97525" w:rsidRDefault="00E97525" w:rsidP="00E97525">
      <w:pPr>
        <w:rPr>
          <w:rFonts w:ascii="Gotham Pro LT" w:hAnsi="Gotham Pro LT" w:cs="Gotham Pro LT"/>
        </w:rPr>
      </w:pPr>
    </w:p>
    <w:p w14:paraId="2BF41A25" w14:textId="77777777" w:rsidR="00E97525" w:rsidRPr="005B23B3" w:rsidRDefault="00E97525" w:rsidP="00E97525">
      <w:pPr>
        <w:spacing w:after="0" w:line="240" w:lineRule="auto"/>
        <w:jc w:val="center"/>
        <w:rPr>
          <w:rFonts w:ascii="Gotham Pro LT" w:hAnsi="Gotham Pro LT" w:cs="Gotham Pro LT"/>
          <w:b/>
        </w:rPr>
      </w:pPr>
      <w:r>
        <w:rPr>
          <w:rFonts w:ascii="Gotham Pro LT" w:hAnsi="Gotham Pro LT" w:cs="Gotham Pro LT"/>
          <w:b/>
        </w:rPr>
        <w:t xml:space="preserve">II </w:t>
      </w:r>
      <w:r w:rsidRPr="005B23B3">
        <w:rPr>
          <w:rFonts w:ascii="Gotham Pro LT" w:hAnsi="Gotham Pro LT" w:cs="Gotham Pro LT"/>
          <w:b/>
        </w:rPr>
        <w:t>Spēkā esošā regulējuma pirmsšķietamā atbilstība</w:t>
      </w:r>
      <w:r>
        <w:rPr>
          <w:rFonts w:ascii="Gotham Pro LT" w:hAnsi="Gotham Pro LT" w:cs="Gotham Pro LT"/>
          <w:b/>
        </w:rPr>
        <w:t xml:space="preserve"> LR</w:t>
      </w:r>
      <w:r w:rsidRPr="005B23B3">
        <w:rPr>
          <w:rFonts w:ascii="Gotham Pro LT" w:hAnsi="Gotham Pro LT" w:cs="Gotham Pro LT"/>
          <w:b/>
        </w:rPr>
        <w:t xml:space="preserve"> Satversmei</w:t>
      </w:r>
    </w:p>
    <w:p w14:paraId="4E9BC5F9" w14:textId="77777777" w:rsidR="00E97525" w:rsidRDefault="00E97525" w:rsidP="00E97525">
      <w:pPr>
        <w:pStyle w:val="Bodytext21"/>
        <w:shd w:val="clear" w:color="auto" w:fill="auto"/>
        <w:spacing w:line="240" w:lineRule="auto"/>
        <w:ind w:firstLine="709"/>
        <w:rPr>
          <w:rFonts w:ascii="Gotham Pro LT" w:hAnsi="Gotham Pro LT" w:cs="Gotham Pro LT"/>
          <w:sz w:val="22"/>
          <w:szCs w:val="22"/>
          <w:shd w:val="clear" w:color="auto" w:fill="FFFFFF"/>
        </w:rPr>
      </w:pPr>
    </w:p>
    <w:p w14:paraId="4906B4B4" w14:textId="77777777" w:rsidR="00E97525" w:rsidRPr="005B23B3" w:rsidRDefault="00E97525" w:rsidP="00E97525">
      <w:pPr>
        <w:pStyle w:val="Bodytext21"/>
        <w:shd w:val="clear" w:color="auto" w:fill="auto"/>
        <w:spacing w:line="240" w:lineRule="auto"/>
        <w:ind w:firstLine="709"/>
        <w:rPr>
          <w:rFonts w:ascii="Gotham Pro LT" w:hAnsi="Gotham Pro LT" w:cs="Gotham Pro LT"/>
          <w:sz w:val="22"/>
          <w:szCs w:val="22"/>
          <w:shd w:val="clear" w:color="auto" w:fill="FFFFFF"/>
        </w:rPr>
      </w:pPr>
      <w:r w:rsidRPr="005B23B3">
        <w:rPr>
          <w:rFonts w:ascii="Gotham Pro LT" w:hAnsi="Gotham Pro LT" w:cs="Gotham Pro LT"/>
          <w:sz w:val="22"/>
          <w:szCs w:val="22"/>
          <w:shd w:val="clear" w:color="auto" w:fill="FFFFFF"/>
        </w:rPr>
        <w:t>OCTA likuma 14.panta otrā, 2.</w:t>
      </w:r>
      <w:r w:rsidRPr="005B23B3">
        <w:rPr>
          <w:rFonts w:ascii="Gotham Pro LT" w:hAnsi="Gotham Pro LT" w:cs="Gotham Pro LT"/>
          <w:sz w:val="22"/>
          <w:szCs w:val="22"/>
          <w:shd w:val="clear" w:color="auto" w:fill="FFFFFF"/>
          <w:vertAlign w:val="superscript"/>
        </w:rPr>
        <w:t>1</w:t>
      </w:r>
      <w:r w:rsidRPr="005B23B3">
        <w:rPr>
          <w:rFonts w:ascii="Gotham Pro LT" w:hAnsi="Gotham Pro LT" w:cs="Gotham Pro LT"/>
          <w:sz w:val="22"/>
          <w:szCs w:val="22"/>
          <w:shd w:val="clear" w:color="auto" w:fill="FFFFFF"/>
        </w:rPr>
        <w:t>, trešā un ceturtā daļa, tās skatot kopā ar OCTA likuma 51.panta trešās daļas 2.punktu, paredz:</w:t>
      </w:r>
    </w:p>
    <w:p w14:paraId="214F2FAA" w14:textId="77777777" w:rsidR="00E97525" w:rsidRPr="005B23B3" w:rsidRDefault="00E97525" w:rsidP="00E97525">
      <w:pPr>
        <w:pStyle w:val="Bodytext21"/>
        <w:numPr>
          <w:ilvl w:val="0"/>
          <w:numId w:val="10"/>
        </w:numPr>
        <w:shd w:val="clear" w:color="auto" w:fill="auto"/>
        <w:tabs>
          <w:tab w:val="left" w:pos="993"/>
        </w:tabs>
        <w:spacing w:line="240" w:lineRule="auto"/>
        <w:ind w:left="0" w:firstLine="709"/>
        <w:rPr>
          <w:rFonts w:ascii="Gotham Pro LT" w:hAnsi="Gotham Pro LT" w:cs="Gotham Pro LT"/>
          <w:sz w:val="22"/>
          <w:szCs w:val="22"/>
          <w:shd w:val="clear" w:color="auto" w:fill="FFFFFF"/>
        </w:rPr>
      </w:pPr>
      <w:r w:rsidRPr="005B23B3">
        <w:rPr>
          <w:rFonts w:ascii="Gotham Pro LT" w:hAnsi="Gotham Pro LT" w:cs="Gotham Pro LT"/>
          <w:sz w:val="22"/>
          <w:szCs w:val="22"/>
          <w:shd w:val="clear" w:color="auto" w:fill="FFFFFF"/>
        </w:rPr>
        <w:t>apdrošināšanas sabiedrības un LTAB kā Garantijas fonda administrētāja iespējamo Satversmes 105.panta pirmajā teikumā noteikto tiesību uz īpašumu ierobežojumu saistībā ar to, ka apdrošinātājiem ar likumu noteikts pienākums piešķirt atlaides noteiktam personu lokam, bet LTAB ir uzlikts pienākums tās kompensēt no Garantijas fonda;</w:t>
      </w:r>
    </w:p>
    <w:p w14:paraId="75E4512A" w14:textId="77777777" w:rsidR="00E97525" w:rsidRPr="005B23B3" w:rsidRDefault="00E97525" w:rsidP="00E97525">
      <w:pPr>
        <w:pStyle w:val="Bodytext21"/>
        <w:numPr>
          <w:ilvl w:val="0"/>
          <w:numId w:val="10"/>
        </w:numPr>
        <w:shd w:val="clear" w:color="auto" w:fill="auto"/>
        <w:tabs>
          <w:tab w:val="left" w:pos="993"/>
        </w:tabs>
        <w:spacing w:line="240" w:lineRule="auto"/>
        <w:ind w:left="0" w:firstLine="709"/>
        <w:rPr>
          <w:rFonts w:ascii="Gotham Pro LT" w:hAnsi="Gotham Pro LT" w:cs="Gotham Pro LT"/>
          <w:sz w:val="22"/>
          <w:szCs w:val="22"/>
          <w:shd w:val="clear" w:color="auto" w:fill="FFFFFF"/>
        </w:rPr>
      </w:pPr>
      <w:r w:rsidRPr="005B23B3">
        <w:rPr>
          <w:rFonts w:ascii="Gotham Pro LT" w:hAnsi="Gotham Pro LT" w:cs="Gotham Pro LT"/>
          <w:sz w:val="22"/>
          <w:szCs w:val="22"/>
          <w:shd w:val="clear" w:color="auto" w:fill="FFFFFF"/>
        </w:rPr>
        <w:t>citu apdrošinājuma ņēmēju, no kuru apdrošināšanas prēmijām, apdrošināšanas sabiedrības veic atskaitījumus Garantijas fondā, iespējamo Satversmes 105.panta pirmajā teikumā noteikto tiesību uz īpašumu ierobežojumu;</w:t>
      </w:r>
    </w:p>
    <w:p w14:paraId="530AB23D" w14:textId="77777777" w:rsidR="00E97525" w:rsidRPr="005B23B3" w:rsidRDefault="00E97525" w:rsidP="00E97525">
      <w:pPr>
        <w:pStyle w:val="Bodytext21"/>
        <w:numPr>
          <w:ilvl w:val="0"/>
          <w:numId w:val="10"/>
        </w:numPr>
        <w:shd w:val="clear" w:color="auto" w:fill="auto"/>
        <w:tabs>
          <w:tab w:val="left" w:pos="993"/>
        </w:tabs>
        <w:spacing w:line="240" w:lineRule="auto"/>
        <w:ind w:left="0" w:firstLine="709"/>
        <w:rPr>
          <w:rFonts w:ascii="Gotham Pro LT" w:hAnsi="Gotham Pro LT" w:cs="Gotham Pro LT"/>
          <w:sz w:val="22"/>
          <w:szCs w:val="22"/>
          <w:shd w:val="clear" w:color="auto" w:fill="FFFFFF"/>
        </w:rPr>
      </w:pPr>
      <w:r w:rsidRPr="005B23B3">
        <w:rPr>
          <w:rFonts w:ascii="Gotham Pro LT" w:hAnsi="Gotham Pro LT" w:cs="Gotham Pro LT"/>
          <w:sz w:val="22"/>
          <w:szCs w:val="22"/>
          <w:shd w:val="clear" w:color="auto" w:fill="FFFFFF"/>
        </w:rPr>
        <w:t>pašu apdrošinājuma ņēmēju, kuriem tiek piešķirtas OCTA likuma 14.panta otrajā un trešajā daļā minētās atlaides, iespējamo Satversmes 91.pantā noteikto tiesību ierobežojumu saistībā ar to, ka lielāka atlaide pienākas tiem apdrošinājuma ņēmējiem, kuriem ir sliktāka apdrošināšanas vēsture, jo tiek noteikta lielāka apdrošināšanas prēmija un attiecīgi arī veidojas lielāka atlaide;</w:t>
      </w:r>
    </w:p>
    <w:p w14:paraId="5C64C346" w14:textId="77777777" w:rsidR="00E97525" w:rsidRPr="005B23B3" w:rsidRDefault="00E97525" w:rsidP="00E97525">
      <w:pPr>
        <w:pStyle w:val="Bodytext21"/>
        <w:shd w:val="clear" w:color="auto" w:fill="auto"/>
        <w:tabs>
          <w:tab w:val="left" w:pos="709"/>
        </w:tabs>
        <w:spacing w:line="240" w:lineRule="auto"/>
        <w:ind w:firstLine="709"/>
        <w:rPr>
          <w:rFonts w:ascii="Gotham Pro LT" w:hAnsi="Gotham Pro LT" w:cs="Gotham Pro LT"/>
          <w:sz w:val="22"/>
          <w:szCs w:val="22"/>
          <w:shd w:val="clear" w:color="auto" w:fill="FFFFFF"/>
        </w:rPr>
      </w:pPr>
      <w:r w:rsidRPr="005B23B3">
        <w:rPr>
          <w:rFonts w:ascii="Gotham Pro LT" w:hAnsi="Gotham Pro LT" w:cs="Gotham Pro LT"/>
          <w:sz w:val="22"/>
          <w:szCs w:val="22"/>
          <w:shd w:val="clear" w:color="auto" w:fill="FFFFFF"/>
        </w:rPr>
        <w:t xml:space="preserve">Līdz ar to ir jāveic pirmsšķietamais izvērtējums un atbilstība Satversmei, identificējot iespējamos riskus. To, vai iepriekš minētās tiesību normas atbilst vai neatbilst Satversmei, pilnībā var izvērtēt tikai un vienīgi Latvijas Republikas Satversmes tiesa. Tomēr tas neatbrīvo institūcijas no pienākuma pašām veikt pirmsšķietamu risku izvērtējumu.  </w:t>
      </w:r>
    </w:p>
    <w:p w14:paraId="20A42A99" w14:textId="77777777" w:rsidR="00E97525" w:rsidRPr="005B23B3" w:rsidRDefault="00E97525" w:rsidP="00E97525">
      <w:pPr>
        <w:pStyle w:val="Bodytext21"/>
        <w:shd w:val="clear" w:color="auto" w:fill="auto"/>
        <w:spacing w:line="240" w:lineRule="auto"/>
        <w:ind w:firstLine="601"/>
        <w:rPr>
          <w:rFonts w:ascii="Gotham Pro LT" w:hAnsi="Gotham Pro LT" w:cs="Gotham Pro LT"/>
          <w:b/>
          <w:bCs/>
          <w:sz w:val="22"/>
          <w:szCs w:val="22"/>
        </w:rPr>
      </w:pPr>
    </w:p>
    <w:p w14:paraId="55030513" w14:textId="77777777" w:rsidR="00E97525" w:rsidRPr="005B23B3" w:rsidRDefault="00E97525" w:rsidP="00E97525">
      <w:pPr>
        <w:pStyle w:val="Bodytext21"/>
        <w:shd w:val="clear" w:color="auto" w:fill="auto"/>
        <w:spacing w:line="240" w:lineRule="auto"/>
        <w:ind w:firstLine="601"/>
        <w:rPr>
          <w:rFonts w:ascii="Gotham Pro LT" w:hAnsi="Gotham Pro LT" w:cs="Gotham Pro LT"/>
          <w:sz w:val="22"/>
          <w:szCs w:val="22"/>
          <w:shd w:val="clear" w:color="auto" w:fill="FFFFFF"/>
        </w:rPr>
      </w:pPr>
      <w:r w:rsidRPr="005B23B3">
        <w:rPr>
          <w:rFonts w:ascii="Gotham Pro LT" w:hAnsi="Gotham Pro LT" w:cs="Gotham Pro LT"/>
          <w:b/>
          <w:bCs/>
          <w:sz w:val="22"/>
          <w:szCs w:val="22"/>
        </w:rPr>
        <w:t>Satversmes 91.pants paredz</w:t>
      </w:r>
      <w:r w:rsidRPr="005B23B3">
        <w:rPr>
          <w:rFonts w:ascii="Gotham Pro LT" w:hAnsi="Gotham Pro LT" w:cs="Gotham Pro LT"/>
          <w:sz w:val="22"/>
          <w:szCs w:val="22"/>
        </w:rPr>
        <w:t>, ka “</w:t>
      </w:r>
      <w:r w:rsidRPr="005B23B3">
        <w:rPr>
          <w:rFonts w:ascii="Gotham Pro LT" w:hAnsi="Gotham Pro LT" w:cs="Gotham Pro LT"/>
          <w:sz w:val="22"/>
          <w:szCs w:val="22"/>
          <w:shd w:val="clear" w:color="auto" w:fill="FFFFFF"/>
        </w:rPr>
        <w:t>Visi cilvēki Latvijā ir vienlīdzīgi likuma un tiesas priekšā. Cilvēka tiesības tiek īstenotas bez jebkādas diskriminācijas.”</w:t>
      </w:r>
    </w:p>
    <w:p w14:paraId="6FE68D68" w14:textId="77777777" w:rsidR="00E97525" w:rsidRPr="005B23B3" w:rsidRDefault="00E97525" w:rsidP="00E97525">
      <w:pPr>
        <w:pStyle w:val="Bodytext21"/>
        <w:shd w:val="clear" w:color="auto" w:fill="auto"/>
        <w:spacing w:line="240" w:lineRule="auto"/>
        <w:ind w:firstLine="601"/>
        <w:rPr>
          <w:rFonts w:ascii="Gotham Pro LT" w:hAnsi="Gotham Pro LT" w:cs="Gotham Pro LT"/>
          <w:sz w:val="22"/>
          <w:szCs w:val="22"/>
        </w:rPr>
      </w:pPr>
      <w:r w:rsidRPr="005B23B3">
        <w:rPr>
          <w:rFonts w:ascii="Gotham Pro LT" w:hAnsi="Gotham Pro LT" w:cs="Gotham Pro LT"/>
          <w:sz w:val="22"/>
          <w:szCs w:val="22"/>
        </w:rPr>
        <w:t xml:space="preserve">Tajā ir ietverts tiesiskās vienlīdzības princips, kas garantē vienotas tiesiskās kārtības pastāvēšanu. Tā uzdevums ir nodrošināt, lai tiktu īstenota tāda tiesiskas valsts prasība kā likuma </w:t>
      </w:r>
      <w:r w:rsidRPr="005B23B3">
        <w:rPr>
          <w:rFonts w:ascii="Gotham Pro LT" w:hAnsi="Gotham Pro LT" w:cs="Gotham Pro LT"/>
          <w:sz w:val="22"/>
          <w:szCs w:val="22"/>
        </w:rPr>
        <w:lastRenderedPageBreak/>
        <w:t>aptveroša ietekme uz visām personām un lai likums tiktu piemērots bez jebkādām privilēģijām.</w:t>
      </w:r>
      <w:r w:rsidRPr="005B23B3">
        <w:rPr>
          <w:rStyle w:val="FootnoteReference"/>
          <w:rFonts w:ascii="Gotham Pro LT" w:hAnsi="Gotham Pro LT" w:cs="Gotham Pro LT"/>
          <w:sz w:val="22"/>
          <w:szCs w:val="22"/>
        </w:rPr>
        <w:footnoteReference w:id="13"/>
      </w:r>
      <w:r w:rsidRPr="005B23B3">
        <w:rPr>
          <w:rFonts w:ascii="Gotham Pro LT" w:hAnsi="Gotham Pro LT" w:cs="Gotham Pro LT"/>
          <w:sz w:val="22"/>
          <w:szCs w:val="22"/>
        </w:rPr>
        <w:t xml:space="preserve"> </w:t>
      </w:r>
    </w:p>
    <w:p w14:paraId="7ACBB102" w14:textId="77777777" w:rsidR="00E97525" w:rsidRPr="005B23B3" w:rsidRDefault="00E97525" w:rsidP="00E97525">
      <w:pPr>
        <w:pStyle w:val="Bodytext21"/>
        <w:shd w:val="clear" w:color="auto" w:fill="auto"/>
        <w:spacing w:line="240" w:lineRule="auto"/>
        <w:ind w:firstLine="601"/>
        <w:rPr>
          <w:rFonts w:ascii="Gotham Pro LT" w:hAnsi="Gotham Pro LT" w:cs="Gotham Pro LT"/>
          <w:sz w:val="22"/>
          <w:szCs w:val="22"/>
        </w:rPr>
      </w:pPr>
      <w:r w:rsidRPr="005B23B3">
        <w:rPr>
          <w:rFonts w:ascii="Gotham Pro LT" w:hAnsi="Gotham Pro LT" w:cs="Gotham Pro LT"/>
          <w:sz w:val="22"/>
          <w:szCs w:val="22"/>
        </w:rPr>
        <w:t>Likumā nav iespējams noregulēt katras personas konkrēto situāciju, tomēr likumam būtu jānodrošina pietiekami diferencēta attieksme, lai tā norma atšķirīgā tiesiskā un faktiskā situācijā neizraisītu neatbilstību Satversmes 91. panta pirmajā teikumā ietvertajam tiesiskās vienlīdzības principam.</w:t>
      </w:r>
      <w:r w:rsidRPr="005B23B3">
        <w:rPr>
          <w:rStyle w:val="FootnoteReference"/>
          <w:rFonts w:ascii="Gotham Pro LT" w:hAnsi="Gotham Pro LT" w:cs="Gotham Pro LT"/>
          <w:sz w:val="22"/>
          <w:szCs w:val="22"/>
        </w:rPr>
        <w:footnoteReference w:id="14"/>
      </w:r>
      <w:r w:rsidRPr="005B23B3">
        <w:rPr>
          <w:rFonts w:ascii="Gotham Pro LT" w:hAnsi="Gotham Pro LT" w:cs="Gotham Pro LT"/>
          <w:sz w:val="22"/>
          <w:szCs w:val="22"/>
        </w:rPr>
        <w:t xml:space="preserve"> </w:t>
      </w:r>
    </w:p>
    <w:p w14:paraId="73529F05" w14:textId="77777777" w:rsidR="00E97525" w:rsidRPr="005B23B3" w:rsidRDefault="00E97525" w:rsidP="00E97525">
      <w:pPr>
        <w:pStyle w:val="Bodytext21"/>
        <w:shd w:val="clear" w:color="auto" w:fill="auto"/>
        <w:spacing w:line="240" w:lineRule="auto"/>
        <w:ind w:firstLine="601"/>
        <w:rPr>
          <w:rFonts w:ascii="Gotham Pro LT" w:hAnsi="Gotham Pro LT" w:cs="Gotham Pro LT"/>
          <w:sz w:val="22"/>
          <w:szCs w:val="22"/>
        </w:rPr>
      </w:pPr>
      <w:r w:rsidRPr="005B23B3">
        <w:rPr>
          <w:rFonts w:ascii="Gotham Pro LT" w:hAnsi="Gotham Pro LT" w:cs="Gotham Pro LT"/>
          <w:sz w:val="22"/>
          <w:szCs w:val="22"/>
        </w:rPr>
        <w:t>Tiesiskās vienlīdzības princips liedz valsts institūcijām izdot tādas normas, kas bez saprātīga pamata pieļauj atšķirīgu attieksmi pret personām, kuras atrodas vienādos un pēc noteiktiem kritērijiem salīdzināmos apstākļos.</w:t>
      </w:r>
      <w:r w:rsidRPr="005B23B3">
        <w:rPr>
          <w:rStyle w:val="FootnoteReference"/>
          <w:rFonts w:ascii="Gotham Pro LT" w:hAnsi="Gotham Pro LT" w:cs="Gotham Pro LT"/>
          <w:sz w:val="22"/>
          <w:szCs w:val="22"/>
        </w:rPr>
        <w:footnoteReference w:id="15"/>
      </w:r>
      <w:r w:rsidRPr="005B23B3">
        <w:rPr>
          <w:rFonts w:ascii="Gotham Pro LT" w:hAnsi="Gotham Pro LT" w:cs="Gotham Pro LT"/>
          <w:sz w:val="22"/>
          <w:szCs w:val="22"/>
        </w:rPr>
        <w:t xml:space="preserve"> Tikai tad, ja tiek konstatēts, ka pastāv objektīvs un saprātīgs pamats, tiesiskās vienlīdzības princips pieļauj atšķirīgu attieksmi pret personām, kas atrodas vienādos apstākļos, vai vienādu attieksmi pret personām, kas atrodas atšķirīgos apstākļos.</w:t>
      </w:r>
      <w:r w:rsidRPr="005B23B3">
        <w:rPr>
          <w:rStyle w:val="FootnoteReference"/>
          <w:rFonts w:ascii="Gotham Pro LT" w:hAnsi="Gotham Pro LT" w:cs="Gotham Pro LT"/>
          <w:sz w:val="22"/>
          <w:szCs w:val="22"/>
        </w:rPr>
        <w:footnoteReference w:id="16"/>
      </w:r>
      <w:r w:rsidRPr="005B23B3">
        <w:rPr>
          <w:rFonts w:ascii="Gotham Pro LT" w:hAnsi="Gotham Pro LT" w:cs="Gotham Pro LT"/>
          <w:sz w:val="22"/>
          <w:szCs w:val="22"/>
        </w:rPr>
        <w:t xml:space="preserve"> Atbilstoši OCTA likumam visas personas, kas iegādājas polisi, ir vienādos apstākļos, tomēr šā likuma 14.panta otrā un trešā daļa paredz atšķirīgu attieksmi pret tām. Lai izvērtētu, vai šādai atšķirīgai attieksmei ir leģitīms mērķis un ievērots samērīguma princips, jāņem vērā turpmāk minētais. Pirmkārt, minētajām tiesību normām, iespējams, ir leģitīms mērķis vismaz daļā par personām ar invaliditāti, un šis mērķis varētu būt sabiedrības labklājības nodrošināšana. Ar OCTA likuma 14.panta otrajā daļā paredzēto līdzekli – atlaidi – šo mērķi kopumā var sasniegt, tomēr jāvērtē, vai nepastāv saudzējošāki risinājumi un atlaižu piešķiršanas pienākuma uzlikšana nerada nesamērīgu slogu apdrošinātājam, salīdzinot ar sabiedrības ieguvumu.</w:t>
      </w:r>
      <w:r w:rsidRPr="005B23B3">
        <w:rPr>
          <w:rStyle w:val="FootnoteReference"/>
          <w:rFonts w:ascii="Gotham Pro LT" w:hAnsi="Gotham Pro LT" w:cs="Gotham Pro LT"/>
          <w:sz w:val="22"/>
          <w:szCs w:val="22"/>
        </w:rPr>
        <w:footnoteReference w:id="17"/>
      </w:r>
      <w:r w:rsidRPr="005B23B3">
        <w:rPr>
          <w:rFonts w:ascii="Gotham Pro LT" w:hAnsi="Gotham Pro LT" w:cs="Gotham Pro LT"/>
          <w:sz w:val="22"/>
          <w:szCs w:val="22"/>
        </w:rPr>
        <w:t xml:space="preserve"> </w:t>
      </w:r>
    </w:p>
    <w:p w14:paraId="43AB886A" w14:textId="77777777" w:rsidR="00E97525" w:rsidRPr="005B23B3" w:rsidRDefault="00E97525" w:rsidP="00E97525">
      <w:pPr>
        <w:pStyle w:val="Bodytext21"/>
        <w:shd w:val="clear" w:color="auto" w:fill="auto"/>
        <w:spacing w:line="240" w:lineRule="auto"/>
        <w:ind w:firstLine="601"/>
        <w:rPr>
          <w:rFonts w:ascii="Gotham Pro LT" w:hAnsi="Gotham Pro LT" w:cs="Gotham Pro LT"/>
          <w:sz w:val="22"/>
          <w:szCs w:val="22"/>
        </w:rPr>
      </w:pPr>
      <w:r w:rsidRPr="005B23B3">
        <w:rPr>
          <w:rFonts w:ascii="Gotham Pro LT" w:hAnsi="Gotham Pro LT" w:cs="Gotham Pro LT"/>
          <w:sz w:val="22"/>
          <w:szCs w:val="22"/>
        </w:rPr>
        <w:t>Ja analizē</w:t>
      </w:r>
      <w:r>
        <w:rPr>
          <w:rFonts w:ascii="Gotham Pro LT" w:hAnsi="Gotham Pro LT" w:cs="Gotham Pro LT"/>
          <w:sz w:val="22"/>
          <w:szCs w:val="22"/>
        </w:rPr>
        <w:t xml:space="preserve"> iepriekš pieminētās </w:t>
      </w:r>
      <w:r w:rsidRPr="005B23B3">
        <w:rPr>
          <w:rFonts w:ascii="Gotham Pro LT" w:hAnsi="Gotham Pro LT" w:cs="Gotham Pro LT"/>
          <w:sz w:val="22"/>
          <w:szCs w:val="22"/>
        </w:rPr>
        <w:t>OCTA likuma normas, vērtējot to iespējamo atbilstību attiecīgajiem samērīguma principa pārbaudes testa elementiem, var nonākt pie šādiem secinājumiem:</w:t>
      </w:r>
    </w:p>
    <w:p w14:paraId="269D1F41" w14:textId="77777777" w:rsidR="00E97525" w:rsidRPr="005B23B3" w:rsidRDefault="00E97525" w:rsidP="00E97525">
      <w:pPr>
        <w:pStyle w:val="Bodytext21"/>
        <w:numPr>
          <w:ilvl w:val="0"/>
          <w:numId w:val="11"/>
        </w:numPr>
        <w:shd w:val="clear" w:color="auto" w:fill="auto"/>
        <w:spacing w:line="240" w:lineRule="auto"/>
        <w:rPr>
          <w:rFonts w:ascii="Gotham Pro LT" w:hAnsi="Gotham Pro LT" w:cs="Gotham Pro LT"/>
          <w:sz w:val="22"/>
          <w:szCs w:val="22"/>
          <w:shd w:val="clear" w:color="auto" w:fill="FFFFFF"/>
        </w:rPr>
      </w:pPr>
      <w:r w:rsidRPr="005B23B3">
        <w:rPr>
          <w:rFonts w:ascii="Gotham Pro LT" w:hAnsi="Gotham Pro LT" w:cs="Gotham Pro LT"/>
          <w:sz w:val="22"/>
          <w:szCs w:val="22"/>
        </w:rPr>
        <w:t>privilēģijas (atlaides) tiek piešķirtas nevis visiem uzņēmumiem, bet tikai lauksaimniekiem, nenodrošinot vienotu tiesisko kārtību starp lielajiem un mazajiem lauksaimniekiem, no vienas puses,  pretstatā citiem uzņēmējiem un pašnodarbinātajām personām, no otras puses. Nav saprotams, piemēram, ar ko lielie zemnieki būtu vairāk atbalstāmi par citās nozarēs strādājošajiem maziem un vidējiem uzņēmumiem, vai pašnodarbinātajiem;</w:t>
      </w:r>
    </w:p>
    <w:p w14:paraId="74C4C4CC" w14:textId="77777777" w:rsidR="00E97525" w:rsidRPr="005B23B3" w:rsidRDefault="00E97525" w:rsidP="00E97525">
      <w:pPr>
        <w:pStyle w:val="Bodytext21"/>
        <w:numPr>
          <w:ilvl w:val="0"/>
          <w:numId w:val="11"/>
        </w:numPr>
        <w:shd w:val="clear" w:color="auto" w:fill="auto"/>
        <w:spacing w:line="240" w:lineRule="auto"/>
        <w:rPr>
          <w:rFonts w:ascii="Gotham Pro LT" w:hAnsi="Gotham Pro LT" w:cs="Gotham Pro LT"/>
          <w:sz w:val="22"/>
          <w:szCs w:val="22"/>
          <w:shd w:val="clear" w:color="auto" w:fill="FFFFFF"/>
        </w:rPr>
      </w:pPr>
      <w:r w:rsidRPr="005B23B3">
        <w:rPr>
          <w:rFonts w:ascii="Gotham Pro LT" w:hAnsi="Gotham Pro LT" w:cs="Gotham Pro LT"/>
          <w:sz w:val="22"/>
          <w:szCs w:val="22"/>
        </w:rPr>
        <w:t>grūti atrast objektīvus un sapratīgus argumentus tam, kas pamatotu to, kāpēc tiek pieļauta atšķirīga attieksme un paši apdrošinājuma ņēmēji tiek nostādīti nevienlīdzīgā situācijā – gan attiecībā uz tiem, kam piešķir atlaidi (lielāka atlaide tam, kuram sliktāka braukšanas vēsture</w:t>
      </w:r>
      <w:r w:rsidRPr="005B23B3">
        <w:rPr>
          <w:rStyle w:val="FootnoteReference"/>
          <w:rFonts w:ascii="Gotham Pro LT" w:hAnsi="Gotham Pro LT" w:cs="Gotham Pro LT"/>
          <w:sz w:val="22"/>
          <w:szCs w:val="22"/>
        </w:rPr>
        <w:footnoteReference w:id="18"/>
      </w:r>
      <w:r w:rsidRPr="005B23B3">
        <w:rPr>
          <w:rFonts w:ascii="Gotham Pro LT" w:hAnsi="Gotham Pro LT" w:cs="Gotham Pro LT"/>
          <w:sz w:val="22"/>
          <w:szCs w:val="22"/>
        </w:rPr>
        <w:t>), gan attiecībā uz to, ka šīs atlaides tiek segtas no citu apdrošinājumu ņēmēju saņemtajām apdrošināšanas prēmijām;</w:t>
      </w:r>
    </w:p>
    <w:p w14:paraId="3BBEAB30" w14:textId="77777777" w:rsidR="00E97525" w:rsidRPr="005B23B3" w:rsidRDefault="00E97525" w:rsidP="00E97525">
      <w:pPr>
        <w:pStyle w:val="Bodytext21"/>
        <w:numPr>
          <w:ilvl w:val="0"/>
          <w:numId w:val="11"/>
        </w:numPr>
        <w:shd w:val="clear" w:color="auto" w:fill="auto"/>
        <w:spacing w:line="240" w:lineRule="auto"/>
        <w:rPr>
          <w:rFonts w:ascii="Gotham Pro LT" w:hAnsi="Gotham Pro LT" w:cs="Gotham Pro LT"/>
          <w:sz w:val="22"/>
          <w:szCs w:val="22"/>
          <w:shd w:val="clear" w:color="auto" w:fill="FFFFFF"/>
        </w:rPr>
      </w:pPr>
      <w:r w:rsidRPr="005B23B3">
        <w:rPr>
          <w:rFonts w:ascii="Gotham Pro LT" w:hAnsi="Gotham Pro LT" w:cs="Gotham Pro LT"/>
          <w:sz w:val="22"/>
          <w:szCs w:val="22"/>
        </w:rPr>
        <w:t>tiek uzlikts liels administratīvais un finansiālais slogs tikai vienam komercdarbības veidam – OCTA nozarei. Grūti atrast citu piemēru Latvijas tiesību sistēmā, kur vēl kādam komercdarbības veidam ar likumu būtu noteikts, ka jāpiešķir būtiskas atlaides daļai personu vai saimnieciskās darbības veicēju.</w:t>
      </w:r>
    </w:p>
    <w:p w14:paraId="1CBA2BA1" w14:textId="77777777" w:rsidR="00E97525" w:rsidRPr="005B23B3" w:rsidRDefault="00E97525" w:rsidP="00E97525">
      <w:pPr>
        <w:pStyle w:val="Bodytext21"/>
        <w:shd w:val="clear" w:color="auto" w:fill="auto"/>
        <w:spacing w:line="240" w:lineRule="auto"/>
        <w:ind w:firstLine="601"/>
        <w:rPr>
          <w:rFonts w:ascii="Gotham Pro LT" w:hAnsi="Gotham Pro LT" w:cs="Gotham Pro LT"/>
          <w:sz w:val="22"/>
          <w:szCs w:val="22"/>
          <w:shd w:val="clear" w:color="auto" w:fill="FFFFFF"/>
        </w:rPr>
      </w:pPr>
    </w:p>
    <w:p w14:paraId="2D287523" w14:textId="77777777" w:rsidR="00E97525" w:rsidRPr="005B23B3" w:rsidRDefault="00E97525" w:rsidP="00E97525">
      <w:pPr>
        <w:spacing w:after="0" w:line="240" w:lineRule="auto"/>
        <w:ind w:firstLine="601"/>
        <w:jc w:val="both"/>
        <w:rPr>
          <w:rFonts w:ascii="Gotham Pro LT" w:hAnsi="Gotham Pro LT" w:cs="Gotham Pro LT"/>
        </w:rPr>
      </w:pPr>
      <w:r w:rsidRPr="005B23B3">
        <w:rPr>
          <w:rFonts w:ascii="Gotham Pro LT" w:hAnsi="Gotham Pro LT" w:cs="Gotham Pro LT"/>
          <w:b/>
          <w:bCs/>
        </w:rPr>
        <w:lastRenderedPageBreak/>
        <w:t>Satversmes 105.pants paredz</w:t>
      </w:r>
      <w:r w:rsidRPr="005B23B3">
        <w:rPr>
          <w:rFonts w:ascii="Gotham Pro LT" w:hAnsi="Gotham Pro LT" w:cs="Gotham Pro LT"/>
        </w:rPr>
        <w:t>, ka “Ikvienam ir tiesības uz īpašumu. Īpašumu nedrīkst izmantot pretēji sabiedrības interesēm. Īpašuma tiesības var ierobežot vienīgi saskaņā ar likumu. Īpašuma piespiedu atsavināšana sabiedrības vajadzībām pieļaujama tikai izņēmuma gadījumos uz atsevišķa likuma pamata pret taisnīgu atlīdzību.” Satversmes 105.pants paredz visaptverošu mantiska rakstura tiesību garantiju un neaprobežojas vienīgi ar īpašuma tiesībām. Ar "tiesībām uz īpašumu" saprotamas visas mantiska rakstura tiesības, kuras tiesīgā persona var izlietot par labu sev un ar kurām tā var rīkoties pēc savas gribas.</w:t>
      </w:r>
      <w:r w:rsidRPr="005B23B3">
        <w:rPr>
          <w:rStyle w:val="FootnoteReference"/>
          <w:rFonts w:ascii="Gotham Pro LT" w:hAnsi="Gotham Pro LT" w:cs="Gotham Pro LT"/>
        </w:rPr>
        <w:footnoteReference w:id="19"/>
      </w:r>
      <w:r w:rsidRPr="005B23B3">
        <w:rPr>
          <w:rFonts w:ascii="Gotham Pro LT" w:hAnsi="Gotham Pro LT" w:cs="Gotham Pro LT"/>
        </w:rPr>
        <w:t xml:space="preserve"> Personas ekonomiskās intereses, kas saistītas ar komercdarbības veikšanu, arī ietilpst Satversmes 105.panta pirmā teikuma tvērumā.</w:t>
      </w:r>
      <w:r w:rsidRPr="005B23B3">
        <w:rPr>
          <w:rStyle w:val="FootnoteReference"/>
          <w:rFonts w:ascii="Gotham Pro LT" w:hAnsi="Gotham Pro LT" w:cs="Gotham Pro LT"/>
        </w:rPr>
        <w:footnoteReference w:id="20"/>
      </w:r>
      <w:r w:rsidRPr="005B23B3">
        <w:rPr>
          <w:rFonts w:ascii="Gotham Pro LT" w:hAnsi="Gotham Pro LT" w:cs="Gotham Pro LT"/>
        </w:rPr>
        <w:t xml:space="preserve"> </w:t>
      </w:r>
    </w:p>
    <w:p w14:paraId="04229BA8" w14:textId="77777777" w:rsidR="00E97525" w:rsidRPr="005B23B3" w:rsidRDefault="00E97525" w:rsidP="00E97525">
      <w:pPr>
        <w:spacing w:after="0" w:line="240" w:lineRule="auto"/>
        <w:ind w:firstLine="709"/>
        <w:jc w:val="both"/>
        <w:rPr>
          <w:rFonts w:ascii="Gotham Pro LT" w:hAnsi="Gotham Pro LT" w:cs="Gotham Pro LT"/>
        </w:rPr>
      </w:pPr>
    </w:p>
    <w:p w14:paraId="3EBA2AA3" w14:textId="77777777" w:rsidR="00E97525" w:rsidRPr="005B23B3" w:rsidRDefault="00E97525" w:rsidP="00E97525">
      <w:pPr>
        <w:spacing w:after="0" w:line="240" w:lineRule="auto"/>
        <w:ind w:firstLine="709"/>
        <w:jc w:val="both"/>
        <w:rPr>
          <w:rFonts w:ascii="Gotham Pro LT" w:hAnsi="Gotham Pro LT" w:cs="Gotham Pro LT"/>
        </w:rPr>
      </w:pPr>
      <w:r w:rsidRPr="005B23B3">
        <w:rPr>
          <w:rFonts w:ascii="Gotham Pro LT" w:hAnsi="Gotham Pro LT" w:cs="Gotham Pro LT"/>
        </w:rPr>
        <w:t>Ja analizē iepriekš pieminētās OCTA likuma normas, vērtējot to iespējamo atbilstību Satversmes 105.pantam, secināms, ka OCTA nozarē strādājošo apdrošināšanas sabiedrību, kā arī LTAB kā Garantijas fonda administrētāja ekonomiskās intereses tiek ierobežotas brīdī, kad tiek piešķirtas atlaides OCTA likumā noteiktajam personu lokam un kad tās tiek kompensētas no Garantijas fonda. Ir arī ierobežotas ci</w:t>
      </w:r>
      <w:r w:rsidRPr="005B23B3">
        <w:rPr>
          <w:rFonts w:ascii="Gotham Pro LT" w:hAnsi="Gotham Pro LT" w:cs="Gotham Pro LT"/>
          <w:shd w:val="clear" w:color="auto" w:fill="FFFFFF"/>
        </w:rPr>
        <w:t>tu apdrošinājuma ņēmēju, no kuru apdrošināšanas prēmijām, apdrošināšanas sabiedrības veic atskaitījumus Garantijas fondā</w:t>
      </w:r>
      <w:r w:rsidRPr="005B23B3">
        <w:rPr>
          <w:rFonts w:ascii="Gotham Pro LT" w:hAnsi="Gotham Pro LT" w:cs="Gotham Pro LT"/>
        </w:rPr>
        <w:t xml:space="preserve"> brīdī, kad apdrošināšanas sabiedrība līguma noslēgšanas brīdī aprēķina OCTA prēmiju</w:t>
      </w:r>
      <w:r w:rsidRPr="005B23B3">
        <w:rPr>
          <w:rStyle w:val="FootnoteReference"/>
          <w:rFonts w:ascii="Gotham Pro LT" w:hAnsi="Gotham Pro LT" w:cs="Gotham Pro LT"/>
        </w:rPr>
        <w:footnoteReference w:id="21"/>
      </w:r>
      <w:r w:rsidRPr="005B23B3">
        <w:rPr>
          <w:rFonts w:ascii="Gotham Pro LT" w:hAnsi="Gotham Pro LT" w:cs="Gotham Pro LT"/>
        </w:rPr>
        <w:t>.</w:t>
      </w:r>
    </w:p>
    <w:p w14:paraId="0702884F" w14:textId="77777777" w:rsidR="00E97525" w:rsidRPr="005B23B3" w:rsidRDefault="00E97525" w:rsidP="00E97525">
      <w:pPr>
        <w:spacing w:after="0" w:line="240" w:lineRule="auto"/>
        <w:ind w:firstLine="709"/>
        <w:jc w:val="both"/>
        <w:rPr>
          <w:rFonts w:ascii="Gotham Pro LT" w:hAnsi="Gotham Pro LT" w:cs="Gotham Pro LT"/>
        </w:rPr>
      </w:pPr>
      <w:r w:rsidRPr="005B23B3">
        <w:rPr>
          <w:rFonts w:ascii="Gotham Pro LT" w:hAnsi="Gotham Pro LT" w:cs="Gotham Pro LT"/>
        </w:rPr>
        <w:t xml:space="preserve">Kā atzinusi Satversmes tiesa, nozīmīga loma </w:t>
      </w:r>
      <w:r w:rsidRPr="005B23B3">
        <w:rPr>
          <w:rStyle w:val="highlight"/>
          <w:rFonts w:ascii="Gotham Pro LT" w:hAnsi="Gotham Pro LT" w:cs="Gotham Pro LT"/>
        </w:rPr>
        <w:t>OCTA</w:t>
      </w:r>
      <w:r w:rsidRPr="005B23B3">
        <w:rPr>
          <w:rFonts w:ascii="Gotham Pro LT" w:hAnsi="Gotham Pro LT" w:cs="Gotham Pro LT"/>
        </w:rPr>
        <w:t xml:space="preserve"> sistēmas efektīvas darbības nodrošināšanā ir apdrošinātājam, kuram ir tiesības veikt transportlīdzekļa īpašnieka vai tiesīgā lietotāja civiltiesiskās atbildības apdrošināšanu, un tādēļ likumdevējam ir jāizvēlas tādi līdzekļi, kas iespējami mazāk ierobežotu apdrošinātā tiesības un intereses, turklāt neuzliekot nesamērīgi lielu slogu apdrošinātājam.</w:t>
      </w:r>
    </w:p>
    <w:p w14:paraId="0733F10E" w14:textId="77777777" w:rsidR="00E97525" w:rsidRPr="005B23B3" w:rsidRDefault="00E97525" w:rsidP="00E97525">
      <w:pPr>
        <w:pStyle w:val="Bodytext21"/>
        <w:shd w:val="clear" w:color="auto" w:fill="auto"/>
        <w:spacing w:line="240" w:lineRule="auto"/>
        <w:ind w:firstLine="709"/>
        <w:rPr>
          <w:rFonts w:ascii="Gotham Pro LT" w:hAnsi="Gotham Pro LT" w:cs="Gotham Pro LT"/>
          <w:sz w:val="22"/>
          <w:szCs w:val="22"/>
          <w:shd w:val="clear" w:color="auto" w:fill="FFFFFF"/>
        </w:rPr>
      </w:pPr>
      <w:r w:rsidRPr="005B23B3">
        <w:rPr>
          <w:rFonts w:ascii="Gotham Pro LT" w:hAnsi="Gotham Pro LT" w:cs="Gotham Pro LT"/>
          <w:sz w:val="22"/>
          <w:szCs w:val="22"/>
        </w:rPr>
        <w:t>Arī taisnīguma princips prasa panākt iespējami taisnīgāku līdzsvaru starp dažādu sabiedrības locekļu pretrunīgajām interesēm.</w:t>
      </w:r>
      <w:r w:rsidRPr="005B23B3">
        <w:rPr>
          <w:rStyle w:val="FootnoteReference"/>
          <w:rFonts w:ascii="Gotham Pro LT" w:hAnsi="Gotham Pro LT" w:cs="Gotham Pro LT"/>
          <w:sz w:val="22"/>
          <w:szCs w:val="22"/>
        </w:rPr>
        <w:footnoteReference w:id="22"/>
      </w:r>
      <w:r w:rsidRPr="005B23B3">
        <w:rPr>
          <w:rFonts w:ascii="Gotham Pro LT" w:hAnsi="Gotham Pro LT" w:cs="Gotham Pro LT"/>
          <w:sz w:val="22"/>
          <w:szCs w:val="22"/>
        </w:rPr>
        <w:t xml:space="preserve"> Privātpersonai attiecībā pret citu privātpersonu sociālajā jomā nevar uzlikt tādus pašus pienākumus kā valstij attiecībā ar privātpersonu, un šo pieeju Satversmes tiesa īpaši akcentēja gadījumos, kad saduras divu personu grupu intereses, no kurām vienai par labu noteikts mantisks pienākums pret otru (piemēram, nodrošināt mājokli vai saņemt mazāk naudas par nomu – lietās, kurās izstrādāti principi valsts sociālo funkciju pārnešanas pieļaujamībai uz privātpersonu).</w:t>
      </w:r>
      <w:r w:rsidRPr="005B23B3">
        <w:rPr>
          <w:rStyle w:val="FootnoteReference"/>
          <w:rFonts w:ascii="Gotham Pro LT" w:hAnsi="Gotham Pro LT" w:cs="Gotham Pro LT"/>
          <w:sz w:val="22"/>
          <w:szCs w:val="22"/>
        </w:rPr>
        <w:footnoteReference w:id="23"/>
      </w:r>
      <w:r w:rsidRPr="005B23B3">
        <w:rPr>
          <w:rFonts w:ascii="Gotham Pro LT" w:hAnsi="Gotham Pro LT" w:cs="Gotham Pro LT"/>
          <w:sz w:val="22"/>
          <w:szCs w:val="22"/>
        </w:rPr>
        <w:t xml:space="preserve"> </w:t>
      </w:r>
    </w:p>
    <w:p w14:paraId="6EB35BF5" w14:textId="77777777" w:rsidR="00E97525" w:rsidRPr="005B23B3" w:rsidRDefault="00E97525" w:rsidP="00E97525">
      <w:pPr>
        <w:pStyle w:val="Bodytext21"/>
        <w:spacing w:line="240" w:lineRule="auto"/>
        <w:ind w:firstLine="720"/>
        <w:rPr>
          <w:rFonts w:ascii="Gotham Pro LT" w:hAnsi="Gotham Pro LT" w:cs="Gotham Pro LT"/>
          <w:sz w:val="22"/>
          <w:szCs w:val="22"/>
          <w:shd w:val="clear" w:color="auto" w:fill="FFFFFF"/>
        </w:rPr>
      </w:pPr>
      <w:r w:rsidRPr="005B23B3">
        <w:rPr>
          <w:rFonts w:ascii="Gotham Pro LT" w:hAnsi="Gotham Pro LT" w:cs="Gotham Pro LT"/>
          <w:sz w:val="22"/>
          <w:szCs w:val="22"/>
          <w:shd w:val="clear" w:color="auto" w:fill="FFFFFF"/>
        </w:rPr>
        <w:t xml:space="preserve">OCTA likuma 14.panta otrā un trešā daļa pašas par sevi neizriet no OCTA mērķiem, bet gan saistītas ar valsts noteiktu sociālo funkciju. Šis uzdevums ir valsts atbildība, un tās nav samērīgi finansēt un nodrošināt citām privātpersonām, tostarp no Garantijas fonda līdzekļiem, kuru uzkrāšanai un izlietošanai ir pavisam cits mērķis. </w:t>
      </w:r>
      <w:r w:rsidRPr="005B23B3">
        <w:rPr>
          <w:rFonts w:ascii="Gotham Pro LT" w:hAnsi="Gotham Pro LT" w:cs="Gotham Pro LT"/>
          <w:sz w:val="22"/>
          <w:szCs w:val="22"/>
        </w:rPr>
        <w:t xml:space="preserve">Turklāt ne visas grupas, kas minētas </w:t>
      </w:r>
      <w:r w:rsidRPr="005B23B3">
        <w:rPr>
          <w:rFonts w:ascii="Gotham Pro LT" w:hAnsi="Gotham Pro LT" w:cs="Gotham Pro LT"/>
          <w:sz w:val="22"/>
          <w:szCs w:val="22"/>
          <w:shd w:val="clear" w:color="auto" w:fill="FFFFFF"/>
        </w:rPr>
        <w:t xml:space="preserve">OCTA likuma 14.panta otrajā vai trešajā daļā, ir sociāli atbalstāmas. Tie var būt arī komersanti ar miljoniem lielu gada apgrozījumu. Turklāt, jo sliktāka bijusi apdrošināmā rīcība ceļu satiksmē, jo polise ir dārgāka un atlaide – lielāka. Šāda pieeja izjauc to līdzsvaru, ko likumdevējam prasa nodrošināt taisnīguma princips. </w:t>
      </w:r>
    </w:p>
    <w:p w14:paraId="71DBB6D8" w14:textId="77777777" w:rsidR="00E97525" w:rsidRPr="005B23B3" w:rsidRDefault="00E97525" w:rsidP="00E97525">
      <w:pPr>
        <w:pStyle w:val="Bodytext21"/>
        <w:spacing w:line="240" w:lineRule="auto"/>
        <w:ind w:firstLine="720"/>
        <w:rPr>
          <w:rFonts w:ascii="Gotham Pro LT" w:hAnsi="Gotham Pro LT" w:cs="Gotham Pro LT"/>
          <w:sz w:val="22"/>
          <w:szCs w:val="22"/>
          <w:shd w:val="clear" w:color="auto" w:fill="FFFFFF"/>
        </w:rPr>
      </w:pPr>
      <w:r w:rsidRPr="005B23B3">
        <w:rPr>
          <w:rFonts w:ascii="Gotham Pro LT" w:hAnsi="Gotham Pro LT" w:cs="Gotham Pro LT"/>
          <w:sz w:val="22"/>
          <w:szCs w:val="22"/>
          <w:shd w:val="clear" w:color="auto" w:fill="FFFFFF"/>
        </w:rPr>
        <w:t xml:space="preserve">Līdz ar to valstij pastāv alternatīvi līdzekļi, tostarp izmantojot nodokļu politiku un sociālo palīdzību, lai mērķēti sasniegtu grupas, kurām nepieciešams atbalsts, tostarp, OCTA iegādei vai šo līdzekļu pilnīgai vai daļējai kompensēšanai. Turklāt apdrošinātājiem </w:t>
      </w:r>
      <w:r w:rsidRPr="005B23B3">
        <w:rPr>
          <w:rFonts w:ascii="Gotham Pro LT" w:hAnsi="Gotham Pro LT" w:cs="Gotham Pro LT"/>
          <w:sz w:val="22"/>
          <w:szCs w:val="22"/>
        </w:rPr>
        <w:t xml:space="preserve">tiek uzlikts liels administratīvais un finansiālais slogs, lai gan leģitīmo mērķi var sasniegt ar indivīda tiesības mazāk ierobežojošiem līdzekļiem, piemēram, sniedzot atbalstu caur valsts budžetu, nevis no vienas privātpersonu grupas </w:t>
      </w:r>
      <w:r w:rsidRPr="005B23B3">
        <w:rPr>
          <w:rFonts w:ascii="Gotham Pro LT" w:hAnsi="Gotham Pro LT" w:cs="Gotham Pro LT"/>
          <w:sz w:val="22"/>
          <w:szCs w:val="22"/>
        </w:rPr>
        <w:lastRenderedPageBreak/>
        <w:t xml:space="preserve">līdzekļiem citām privātpersonām. Šāda valsts iejaukšanās, turklāt nav atbilstoša  OCTA direktīvai (ja atlaides tiek kompensētas no Garantijas fonda), </w:t>
      </w:r>
      <w:r w:rsidRPr="005B23B3">
        <w:rPr>
          <w:rFonts w:ascii="Gotham Pro LT" w:hAnsi="Gotham Pro LT" w:cs="Gotham Pro LT"/>
          <w:sz w:val="22"/>
          <w:szCs w:val="22"/>
          <w:shd w:val="clear" w:color="auto" w:fill="FFFFFF"/>
        </w:rPr>
        <w:t xml:space="preserve">ES </w:t>
      </w:r>
      <w:r w:rsidRPr="005B23B3">
        <w:rPr>
          <w:rFonts w:ascii="Gotham Pro LT" w:hAnsi="Gotham Pro LT" w:cs="Gotham Pro LT"/>
          <w:sz w:val="22"/>
          <w:szCs w:val="22"/>
        </w:rPr>
        <w:t xml:space="preserve">direktīvai 2009/138/EK (Maksātspēja II) </w:t>
      </w:r>
      <w:r w:rsidRPr="005B23B3">
        <w:rPr>
          <w:rFonts w:ascii="Gotham Pro LT" w:hAnsi="Gotham Pro LT" w:cs="Gotham Pro LT"/>
          <w:sz w:val="22"/>
          <w:szCs w:val="22"/>
          <w:shd w:val="clear" w:color="auto" w:fill="FFFFFF"/>
        </w:rPr>
        <w:t xml:space="preserve">(ja apdrošināšanas sabiedrībām ir uzlikts pienākums piešķirt atlaides, jo netieši valsts iejaucas apdrošināšanas prēmijas apmēra noteikšanas politikā) un </w:t>
      </w:r>
      <w:r w:rsidRPr="005B23B3">
        <w:rPr>
          <w:rFonts w:ascii="Gotham Pro LT" w:hAnsi="Gotham Pro LT" w:cs="Gotham Pro LT"/>
          <w:sz w:val="22"/>
          <w:szCs w:val="22"/>
        </w:rPr>
        <w:t>EST judikatūrai par to, ka valsts nevar iejaukties apdrošināšanas prēmijas apmēra noteikšanas politikā, turklāt no ierobežojuma labumu gūst nevis visa sabiedrība kopumā, bet  tiek izceltas tikai divas atsevišķas sabiedrības grupas, nenodrošinot Satversmes 91.pantā garantētās tiesības uz vienlīdzību.</w:t>
      </w:r>
    </w:p>
    <w:p w14:paraId="15026B97" w14:textId="77777777" w:rsidR="00E97525" w:rsidRPr="005B23B3" w:rsidRDefault="00E97525" w:rsidP="00E97525">
      <w:pPr>
        <w:rPr>
          <w:rFonts w:ascii="Gotham Pro LT" w:hAnsi="Gotham Pro LT" w:cs="Gotham Pro LT"/>
        </w:rPr>
      </w:pPr>
    </w:p>
    <w:p w14:paraId="5ED8AB2E" w14:textId="77777777" w:rsidR="00E97525" w:rsidRPr="005B23B3" w:rsidRDefault="00E97525" w:rsidP="00E97525">
      <w:pPr>
        <w:ind w:left="1080"/>
        <w:contextualSpacing/>
        <w:jc w:val="center"/>
        <w:rPr>
          <w:rFonts w:ascii="Gotham Pro LT" w:hAnsi="Gotham Pro LT" w:cs="Gotham Pro LT"/>
        </w:rPr>
      </w:pPr>
    </w:p>
    <w:p w14:paraId="5D53738E" w14:textId="77777777" w:rsidR="00E97525" w:rsidRPr="00813C0A" w:rsidRDefault="00E97525" w:rsidP="00813C0A">
      <w:pPr>
        <w:rPr>
          <w:rFonts w:ascii="Gotham Pro LT" w:hAnsi="Gotham Pro LT" w:cs="Gotham Pro LT"/>
          <w:sz w:val="21"/>
          <w:szCs w:val="21"/>
        </w:rPr>
      </w:pPr>
    </w:p>
    <w:sectPr w:rsidR="00E97525" w:rsidRPr="00813C0A" w:rsidSect="005C2872">
      <w:headerReference w:type="even" r:id="rId22"/>
      <w:headerReference w:type="default" r:id="rId23"/>
      <w:footerReference w:type="even" r:id="rId24"/>
      <w:footerReference w:type="default" r:id="rId25"/>
      <w:headerReference w:type="first" r:id="rId26"/>
      <w:footerReference w:type="first" r:id="rId2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B08CA" w14:textId="77777777" w:rsidR="00531F4A" w:rsidRDefault="00531F4A" w:rsidP="00C62AF7">
      <w:pPr>
        <w:spacing w:after="0" w:line="240" w:lineRule="auto"/>
      </w:pPr>
      <w:r>
        <w:separator/>
      </w:r>
    </w:p>
  </w:endnote>
  <w:endnote w:type="continuationSeparator" w:id="0">
    <w:p w14:paraId="0D82E982" w14:textId="77777777" w:rsidR="00531F4A" w:rsidRDefault="00531F4A" w:rsidP="00C6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Gotham Pro LT">
    <w:altName w:val="Calibri"/>
    <w:charset w:val="BA"/>
    <w:family w:val="auto"/>
    <w:pitch w:val="variable"/>
    <w:sig w:usb0="80000AAF" w:usb1="5000204A" w:usb2="00000000" w:usb3="00000000" w:csb0="000000B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31009" w14:textId="77777777" w:rsidR="00F1339A" w:rsidRDefault="00F133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39986" w14:textId="77777777" w:rsidR="00C62AF7" w:rsidRDefault="00DF7698" w:rsidP="00C62AF7">
    <w:pPr>
      <w:pStyle w:val="Footer"/>
      <w:jc w:val="center"/>
    </w:pPr>
    <w:r>
      <w:rPr>
        <w:rFonts w:ascii="Times New Roman" w:hAnsi="Times New Roman" w:cs="Times New Roman"/>
        <w:noProof/>
        <w:sz w:val="24"/>
        <w:szCs w:val="24"/>
        <w:lang w:eastAsia="lv-LV"/>
      </w:rPr>
      <mc:AlternateContent>
        <mc:Choice Requires="wps">
          <w:drawing>
            <wp:anchor distT="36576" distB="36576" distL="36576" distR="36576" simplePos="0" relativeHeight="251659264" behindDoc="0" locked="0" layoutInCell="1" allowOverlap="1" wp14:anchorId="08F3998B" wp14:editId="08F3998C">
              <wp:simplePos x="0" y="0"/>
              <wp:positionH relativeFrom="column">
                <wp:posOffset>-723900</wp:posOffset>
              </wp:positionH>
              <wp:positionV relativeFrom="paragraph">
                <wp:posOffset>115570</wp:posOffset>
              </wp:positionV>
              <wp:extent cx="7626985" cy="401955"/>
              <wp:effectExtent l="0" t="0" r="444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985" cy="4019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8F3998F" w14:textId="77777777" w:rsidR="00DF7698" w:rsidRPr="00E3276D" w:rsidRDefault="00DF7698" w:rsidP="00DF7698">
                          <w:pPr>
                            <w:widowControl w:val="0"/>
                            <w:spacing w:after="0"/>
                            <w:jc w:val="center"/>
                            <w:rPr>
                              <w:rFonts w:ascii="Gotham Pro LT" w:hAnsi="Gotham Pro LT" w:cs="Gotham Pro LT"/>
                              <w:color w:val="3B3838"/>
                              <w:sz w:val="18"/>
                              <w:szCs w:val="18"/>
                              <w:lang w:val="en-US"/>
                            </w:rPr>
                          </w:pPr>
                          <w:r w:rsidRPr="00E3276D">
                            <w:rPr>
                              <w:rFonts w:ascii="Gotham Pro LT" w:hAnsi="Gotham Pro LT" w:cs="Gotham Pro LT"/>
                              <w:color w:val="3B3838"/>
                              <w:sz w:val="18"/>
                              <w:szCs w:val="18"/>
                              <w:lang w:val="en-US"/>
                            </w:rPr>
                            <w:t>Biedrība “Latvijas Transportlīdzekļu apdrošinātāju birojs”, Reģ. Nr. 40008084453</w:t>
                          </w:r>
                        </w:p>
                        <w:p w14:paraId="08F39990" w14:textId="77777777" w:rsidR="00DF7698" w:rsidRPr="00E3276D" w:rsidRDefault="00DF7698" w:rsidP="00DF7698">
                          <w:pPr>
                            <w:widowControl w:val="0"/>
                            <w:spacing w:after="0"/>
                            <w:jc w:val="center"/>
                            <w:rPr>
                              <w:rFonts w:ascii="Gotham Pro LT" w:hAnsi="Gotham Pro LT" w:cs="Gotham Pro LT"/>
                              <w:color w:val="3B3838"/>
                              <w:sz w:val="18"/>
                              <w:szCs w:val="18"/>
                              <w:lang w:val="en-US"/>
                            </w:rPr>
                          </w:pPr>
                          <w:r w:rsidRPr="00E3276D">
                            <w:rPr>
                              <w:rFonts w:ascii="Gotham Pro LT" w:hAnsi="Gotham Pro LT" w:cs="Gotham Pro LT"/>
                              <w:color w:val="3B3838"/>
                              <w:sz w:val="18"/>
                              <w:szCs w:val="18"/>
                              <w:lang w:val="en-US"/>
                            </w:rPr>
                            <w:t xml:space="preserve">Toma iela 4, Rīga, LV-1003, Latvija Tālr.67114300, e-pasts: </w:t>
                          </w:r>
                          <w:hyperlink r:id="rId1" w:history="1">
                            <w:r w:rsidRPr="00E3276D">
                              <w:rPr>
                                <w:rStyle w:val="Hyperlink"/>
                                <w:rFonts w:ascii="Gotham Pro LT" w:hAnsi="Gotham Pro LT" w:cs="Gotham Pro LT"/>
                                <w:color w:val="3B3838"/>
                                <w:sz w:val="18"/>
                                <w:szCs w:val="18"/>
                                <w:lang w:val="en-US"/>
                              </w:rPr>
                              <w:t>ltab@ltab.lv</w:t>
                            </w:r>
                          </w:hyperlink>
                          <w:r w:rsidRPr="00E3276D">
                            <w:rPr>
                              <w:rFonts w:ascii="Gotham Pro LT" w:hAnsi="Gotham Pro LT" w:cs="Gotham Pro LT"/>
                              <w:color w:val="3B3838"/>
                              <w:sz w:val="18"/>
                              <w:szCs w:val="18"/>
                              <w:lang w:val="en-US"/>
                            </w:rPr>
                            <w:t xml:space="preserve">; </w:t>
                          </w:r>
                          <w:hyperlink r:id="rId2" w:history="1">
                            <w:r w:rsidRPr="00E3276D">
                              <w:rPr>
                                <w:rStyle w:val="Hyperlink"/>
                                <w:rFonts w:ascii="Gotham Pro LT" w:hAnsi="Gotham Pro LT" w:cs="Gotham Pro LT"/>
                                <w:color w:val="3B3838"/>
                                <w:sz w:val="18"/>
                                <w:szCs w:val="18"/>
                                <w:lang w:val="en-US"/>
                              </w:rPr>
                              <w:t>www.ltab.lv</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F3998B" id="_x0000_t202" coordsize="21600,21600" o:spt="202" path="m,l,21600r21600,l21600,xe">
              <v:stroke joinstyle="miter"/>
              <v:path gradientshapeok="t" o:connecttype="rect"/>
            </v:shapetype>
            <v:shape id="Text Box 2" o:spid="_x0000_s1026" type="#_x0000_t202" style="position:absolute;left:0;text-align:left;margin-left:-57pt;margin-top:9.1pt;width:600.55pt;height:31.6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" filled="f" fillcolor="#5b9bd5" stroked="f" strokecolor="black [0]" strokeweight="2pt">
              <v:textbox inset="2.88pt,2.88pt,2.88pt,2.88pt">
                <w:txbxContent>
                  <w:p w14:paraId="08F3998F" w14:textId="77777777" w:rsidR="00DF7698" w:rsidRPr="00E3276D" w:rsidRDefault="00DF7698" w:rsidP="00DF7698">
                    <w:pPr>
                      <w:widowControl w:val="0"/>
                      <w:spacing w:after="0"/>
                      <w:jc w:val="center"/>
                      <w:rPr>
                        <w:rFonts w:ascii="Gotham Pro LT" w:hAnsi="Gotham Pro LT" w:cs="Gotham Pro LT"/>
                        <w:color w:val="3B3838"/>
                        <w:sz w:val="18"/>
                        <w:szCs w:val="18"/>
                        <w:lang w:val="en-US"/>
                      </w:rPr>
                    </w:pPr>
                    <w:proofErr w:type="spellStart"/>
                    <w:r w:rsidRPr="00E3276D">
                      <w:rPr>
                        <w:rFonts w:ascii="Gotham Pro LT" w:hAnsi="Gotham Pro LT" w:cs="Gotham Pro LT"/>
                        <w:color w:val="3B3838"/>
                        <w:sz w:val="18"/>
                        <w:szCs w:val="18"/>
                        <w:lang w:val="en-US"/>
                      </w:rPr>
                      <w:t>Biedrība</w:t>
                    </w:r>
                    <w:proofErr w:type="spellEnd"/>
                    <w:r w:rsidRPr="00E3276D">
                      <w:rPr>
                        <w:rFonts w:ascii="Gotham Pro LT" w:hAnsi="Gotham Pro LT" w:cs="Gotham Pro LT"/>
                        <w:color w:val="3B3838"/>
                        <w:sz w:val="18"/>
                        <w:szCs w:val="18"/>
                        <w:lang w:val="en-US"/>
                      </w:rPr>
                      <w:t xml:space="preserve"> “</w:t>
                    </w:r>
                    <w:proofErr w:type="spellStart"/>
                    <w:r w:rsidRPr="00E3276D">
                      <w:rPr>
                        <w:rFonts w:ascii="Gotham Pro LT" w:hAnsi="Gotham Pro LT" w:cs="Gotham Pro LT"/>
                        <w:color w:val="3B3838"/>
                        <w:sz w:val="18"/>
                        <w:szCs w:val="18"/>
                        <w:lang w:val="en-US"/>
                      </w:rPr>
                      <w:t>Latvijas</w:t>
                    </w:r>
                    <w:proofErr w:type="spellEnd"/>
                    <w:r w:rsidRPr="00E3276D">
                      <w:rPr>
                        <w:rFonts w:ascii="Gotham Pro LT" w:hAnsi="Gotham Pro LT" w:cs="Gotham Pro LT"/>
                        <w:color w:val="3B3838"/>
                        <w:sz w:val="18"/>
                        <w:szCs w:val="18"/>
                        <w:lang w:val="en-US"/>
                      </w:rPr>
                      <w:t xml:space="preserve"> </w:t>
                    </w:r>
                    <w:proofErr w:type="spellStart"/>
                    <w:r w:rsidRPr="00E3276D">
                      <w:rPr>
                        <w:rFonts w:ascii="Gotham Pro LT" w:hAnsi="Gotham Pro LT" w:cs="Gotham Pro LT"/>
                        <w:color w:val="3B3838"/>
                        <w:sz w:val="18"/>
                        <w:szCs w:val="18"/>
                        <w:lang w:val="en-US"/>
                      </w:rPr>
                      <w:t>Transportlīdzekļu</w:t>
                    </w:r>
                    <w:proofErr w:type="spellEnd"/>
                    <w:r w:rsidRPr="00E3276D">
                      <w:rPr>
                        <w:rFonts w:ascii="Gotham Pro LT" w:hAnsi="Gotham Pro LT" w:cs="Gotham Pro LT"/>
                        <w:color w:val="3B3838"/>
                        <w:sz w:val="18"/>
                        <w:szCs w:val="18"/>
                        <w:lang w:val="en-US"/>
                      </w:rPr>
                      <w:t xml:space="preserve"> </w:t>
                    </w:r>
                    <w:proofErr w:type="spellStart"/>
                    <w:r w:rsidRPr="00E3276D">
                      <w:rPr>
                        <w:rFonts w:ascii="Gotham Pro LT" w:hAnsi="Gotham Pro LT" w:cs="Gotham Pro LT"/>
                        <w:color w:val="3B3838"/>
                        <w:sz w:val="18"/>
                        <w:szCs w:val="18"/>
                        <w:lang w:val="en-US"/>
                      </w:rPr>
                      <w:t>apdrošinātāju</w:t>
                    </w:r>
                    <w:proofErr w:type="spellEnd"/>
                    <w:r w:rsidRPr="00E3276D">
                      <w:rPr>
                        <w:rFonts w:ascii="Gotham Pro LT" w:hAnsi="Gotham Pro LT" w:cs="Gotham Pro LT"/>
                        <w:color w:val="3B3838"/>
                        <w:sz w:val="18"/>
                        <w:szCs w:val="18"/>
                        <w:lang w:val="en-US"/>
                      </w:rPr>
                      <w:t xml:space="preserve"> </w:t>
                    </w:r>
                    <w:proofErr w:type="spellStart"/>
                    <w:r w:rsidRPr="00E3276D">
                      <w:rPr>
                        <w:rFonts w:ascii="Gotham Pro LT" w:hAnsi="Gotham Pro LT" w:cs="Gotham Pro LT"/>
                        <w:color w:val="3B3838"/>
                        <w:sz w:val="18"/>
                        <w:szCs w:val="18"/>
                        <w:lang w:val="en-US"/>
                      </w:rPr>
                      <w:t>birojs</w:t>
                    </w:r>
                    <w:proofErr w:type="spellEnd"/>
                    <w:r w:rsidRPr="00E3276D">
                      <w:rPr>
                        <w:rFonts w:ascii="Gotham Pro LT" w:hAnsi="Gotham Pro LT" w:cs="Gotham Pro LT"/>
                        <w:color w:val="3B3838"/>
                        <w:sz w:val="18"/>
                        <w:szCs w:val="18"/>
                        <w:lang w:val="en-US"/>
                      </w:rPr>
                      <w:t xml:space="preserve">”, </w:t>
                    </w:r>
                    <w:proofErr w:type="spellStart"/>
                    <w:r w:rsidRPr="00E3276D">
                      <w:rPr>
                        <w:rFonts w:ascii="Gotham Pro LT" w:hAnsi="Gotham Pro LT" w:cs="Gotham Pro LT"/>
                        <w:color w:val="3B3838"/>
                        <w:sz w:val="18"/>
                        <w:szCs w:val="18"/>
                        <w:lang w:val="en-US"/>
                      </w:rPr>
                      <w:t>Reģ</w:t>
                    </w:r>
                    <w:proofErr w:type="spellEnd"/>
                    <w:r w:rsidRPr="00E3276D">
                      <w:rPr>
                        <w:rFonts w:ascii="Gotham Pro LT" w:hAnsi="Gotham Pro LT" w:cs="Gotham Pro LT"/>
                        <w:color w:val="3B3838"/>
                        <w:sz w:val="18"/>
                        <w:szCs w:val="18"/>
                        <w:lang w:val="en-US"/>
                      </w:rPr>
                      <w:t>. Nr. 40008084453</w:t>
                    </w:r>
                  </w:p>
                  <w:p w14:paraId="08F39990" w14:textId="77777777" w:rsidR="00DF7698" w:rsidRPr="00E3276D" w:rsidRDefault="00DF7698" w:rsidP="00DF7698">
                    <w:pPr>
                      <w:widowControl w:val="0"/>
                      <w:spacing w:after="0"/>
                      <w:jc w:val="center"/>
                      <w:rPr>
                        <w:rFonts w:ascii="Gotham Pro LT" w:hAnsi="Gotham Pro LT" w:cs="Gotham Pro LT"/>
                        <w:color w:val="3B3838"/>
                        <w:sz w:val="18"/>
                        <w:szCs w:val="18"/>
                        <w:lang w:val="en-US"/>
                      </w:rPr>
                    </w:pPr>
                    <w:r w:rsidRPr="00E3276D">
                      <w:rPr>
                        <w:rFonts w:ascii="Gotham Pro LT" w:hAnsi="Gotham Pro LT" w:cs="Gotham Pro LT"/>
                        <w:color w:val="3B3838"/>
                        <w:sz w:val="18"/>
                        <w:szCs w:val="18"/>
                        <w:lang w:val="en-US"/>
                      </w:rPr>
                      <w:t xml:space="preserve">Toma </w:t>
                    </w:r>
                    <w:proofErr w:type="spellStart"/>
                    <w:r w:rsidRPr="00E3276D">
                      <w:rPr>
                        <w:rFonts w:ascii="Gotham Pro LT" w:hAnsi="Gotham Pro LT" w:cs="Gotham Pro LT"/>
                        <w:color w:val="3B3838"/>
                        <w:sz w:val="18"/>
                        <w:szCs w:val="18"/>
                        <w:lang w:val="en-US"/>
                      </w:rPr>
                      <w:t>iela</w:t>
                    </w:r>
                    <w:proofErr w:type="spellEnd"/>
                    <w:r w:rsidRPr="00E3276D">
                      <w:rPr>
                        <w:rFonts w:ascii="Gotham Pro LT" w:hAnsi="Gotham Pro LT" w:cs="Gotham Pro LT"/>
                        <w:color w:val="3B3838"/>
                        <w:sz w:val="18"/>
                        <w:szCs w:val="18"/>
                        <w:lang w:val="en-US"/>
                      </w:rPr>
                      <w:t xml:space="preserve"> 4, </w:t>
                    </w:r>
                    <w:proofErr w:type="spellStart"/>
                    <w:r w:rsidRPr="00E3276D">
                      <w:rPr>
                        <w:rFonts w:ascii="Gotham Pro LT" w:hAnsi="Gotham Pro LT" w:cs="Gotham Pro LT"/>
                        <w:color w:val="3B3838"/>
                        <w:sz w:val="18"/>
                        <w:szCs w:val="18"/>
                        <w:lang w:val="en-US"/>
                      </w:rPr>
                      <w:t>Rīga</w:t>
                    </w:r>
                    <w:proofErr w:type="spellEnd"/>
                    <w:r w:rsidRPr="00E3276D">
                      <w:rPr>
                        <w:rFonts w:ascii="Gotham Pro LT" w:hAnsi="Gotham Pro LT" w:cs="Gotham Pro LT"/>
                        <w:color w:val="3B3838"/>
                        <w:sz w:val="18"/>
                        <w:szCs w:val="18"/>
                        <w:lang w:val="en-US"/>
                      </w:rPr>
                      <w:t xml:space="preserve">, LV-1003, </w:t>
                    </w:r>
                    <w:proofErr w:type="spellStart"/>
                    <w:r w:rsidRPr="00E3276D">
                      <w:rPr>
                        <w:rFonts w:ascii="Gotham Pro LT" w:hAnsi="Gotham Pro LT" w:cs="Gotham Pro LT"/>
                        <w:color w:val="3B3838"/>
                        <w:sz w:val="18"/>
                        <w:szCs w:val="18"/>
                        <w:lang w:val="en-US"/>
                      </w:rPr>
                      <w:t>Latvija</w:t>
                    </w:r>
                    <w:proofErr w:type="spellEnd"/>
                    <w:r w:rsidRPr="00E3276D">
                      <w:rPr>
                        <w:rFonts w:ascii="Gotham Pro LT" w:hAnsi="Gotham Pro LT" w:cs="Gotham Pro LT"/>
                        <w:color w:val="3B3838"/>
                        <w:sz w:val="18"/>
                        <w:szCs w:val="18"/>
                        <w:lang w:val="en-US"/>
                      </w:rPr>
                      <w:t xml:space="preserve"> Tālr.67114300, e-pasts: </w:t>
                    </w:r>
                    <w:hyperlink r:id="rId3" w:history="1">
                      <w:r w:rsidRPr="00E3276D">
                        <w:rPr>
                          <w:rStyle w:val="Hyperlink"/>
                          <w:rFonts w:ascii="Gotham Pro LT" w:hAnsi="Gotham Pro LT" w:cs="Gotham Pro LT"/>
                          <w:color w:val="3B3838"/>
                          <w:sz w:val="18"/>
                          <w:szCs w:val="18"/>
                          <w:lang w:val="en-US"/>
                        </w:rPr>
                        <w:t>ltab@ltab.lv</w:t>
                      </w:r>
                    </w:hyperlink>
                    <w:r w:rsidRPr="00E3276D">
                      <w:rPr>
                        <w:rFonts w:ascii="Gotham Pro LT" w:hAnsi="Gotham Pro LT" w:cs="Gotham Pro LT"/>
                        <w:color w:val="3B3838"/>
                        <w:sz w:val="18"/>
                        <w:szCs w:val="18"/>
                        <w:lang w:val="en-US"/>
                      </w:rPr>
                      <w:t xml:space="preserve">; </w:t>
                    </w:r>
                    <w:hyperlink r:id="rId4" w:history="1">
                      <w:r w:rsidRPr="00E3276D">
                        <w:rPr>
                          <w:rStyle w:val="Hyperlink"/>
                          <w:rFonts w:ascii="Gotham Pro LT" w:hAnsi="Gotham Pro LT" w:cs="Gotham Pro LT"/>
                          <w:color w:val="3B3838"/>
                          <w:sz w:val="18"/>
                          <w:szCs w:val="18"/>
                          <w:lang w:val="en-US"/>
                        </w:rPr>
                        <w:t>www.ltab.lv</w:t>
                      </w:r>
                    </w:hyperlink>
                  </w:p>
                </w:txbxContent>
              </v:textbox>
            </v:shape>
          </w:pict>
        </mc:Fallback>
      </mc:AlternateContent>
    </w:r>
    <w:r w:rsidR="00C62AF7">
      <w:rPr>
        <w:noProof/>
        <w:lang w:eastAsia="lv-LV"/>
      </w:rPr>
      <mc:AlternateContent>
        <mc:Choice Requires="wps">
          <w:drawing>
            <wp:anchor distT="0" distB="0" distL="114300" distR="114300" simplePos="0" relativeHeight="251657216" behindDoc="0" locked="0" layoutInCell="1" allowOverlap="1" wp14:anchorId="08F3998D" wp14:editId="08F3998E">
              <wp:simplePos x="0" y="0"/>
              <wp:positionH relativeFrom="column">
                <wp:posOffset>-304454</wp:posOffset>
              </wp:positionH>
              <wp:positionV relativeFrom="paragraph">
                <wp:posOffset>57612</wp:posOffset>
              </wp:positionV>
              <wp:extent cx="6716684" cy="8313"/>
              <wp:effectExtent l="0" t="0" r="27305" b="29845"/>
              <wp:wrapNone/>
              <wp:docPr id="1" name="Straight Connector 1"/>
              <wp:cNvGraphicFramePr/>
              <a:graphic xmlns:a="http://schemas.openxmlformats.org/drawingml/2006/main">
                <a:graphicData uri="http://schemas.microsoft.com/office/word/2010/wordprocessingShape">
                  <wps:wsp>
                    <wps:cNvCnPr/>
                    <wps:spPr>
                      <a:xfrm>
                        <a:off x="0" y="0"/>
                        <a:ext cx="6716684" cy="8313"/>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77005A"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3.95pt,4.55pt" to="504.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" strokecolor="#a5a5a5 [2092]" strokeweight="1.5pt"/>
          </w:pict>
        </mc:Fallback>
      </mc:AlternateContent>
    </w:r>
  </w:p>
  <w:p w14:paraId="08F39987" w14:textId="77777777" w:rsidR="00C62AF7" w:rsidRDefault="00C62AF7" w:rsidP="00C62AF7">
    <w:pPr>
      <w:pStyle w:val="Footer"/>
      <w:jc w:val="center"/>
    </w:pPr>
  </w:p>
  <w:p w14:paraId="248F09C1" w14:textId="77777777" w:rsidR="000710B8" w:rsidRDefault="000710B8">
    <w:pPr>
      <w:pStyle w:val="Footer"/>
    </w:pPr>
  </w:p>
  <w:p w14:paraId="2D929239" w14:textId="77777777" w:rsidR="000710B8" w:rsidRDefault="000710B8">
    <w:pPr>
      <w:pStyle w:val="Footer"/>
    </w:pPr>
  </w:p>
  <w:p w14:paraId="08F39988" w14:textId="1E75F05B" w:rsidR="00C62AF7" w:rsidRPr="000710B8" w:rsidRDefault="000710B8">
    <w:pPr>
      <w:pStyle w:val="Footer"/>
      <w:rPr>
        <w:rFonts w:ascii="Times New Roman" w:hAnsi="Times New Roman" w:cs="Times New Roman"/>
        <w:sz w:val="20"/>
        <w:szCs w:val="20"/>
      </w:rPr>
    </w:pPr>
    <w:r w:rsidRPr="000710B8">
      <w:rPr>
        <w:rFonts w:ascii="Times New Roman" w:hAnsi="Times New Roman" w:cs="Times New Roman"/>
        <w:sz w:val="20"/>
        <w:szCs w:val="20"/>
      </w:rPr>
      <w:fldChar w:fldCharType="begin"/>
    </w:r>
    <w:r w:rsidRPr="000710B8">
      <w:rPr>
        <w:rFonts w:ascii="Times New Roman" w:hAnsi="Times New Roman" w:cs="Times New Roman"/>
        <w:sz w:val="20"/>
        <w:szCs w:val="20"/>
      </w:rPr>
      <w:instrText xml:space="preserve"> FILENAME  \* MERGEFORMAT </w:instrText>
    </w:r>
    <w:r w:rsidRPr="000710B8">
      <w:rPr>
        <w:rFonts w:ascii="Times New Roman" w:hAnsi="Times New Roman" w:cs="Times New Roman"/>
        <w:sz w:val="20"/>
        <w:szCs w:val="20"/>
      </w:rPr>
      <w:fldChar w:fldCharType="separate"/>
    </w:r>
    <w:r w:rsidRPr="000710B8">
      <w:rPr>
        <w:rFonts w:ascii="Times New Roman" w:hAnsi="Times New Roman" w:cs="Times New Roman"/>
        <w:noProof/>
        <w:sz w:val="20"/>
        <w:szCs w:val="20"/>
      </w:rPr>
      <w:t>LTABatz_190821_OCTApremija.docx</w:t>
    </w:r>
    <w:r w:rsidRPr="000710B8">
      <w:rPr>
        <w:rFonts w:ascii="Times New Roman" w:hAnsi="Times New Roman" w:cs="Times New Roman"/>
        <w:sz w:val="20"/>
        <w:szCs w:val="20"/>
      </w:rPr>
      <w:fldChar w:fldCharType="end"/>
    </w:r>
  </w:p>
  <w:p w14:paraId="2957EDFA" w14:textId="77777777" w:rsidR="000710B8" w:rsidRDefault="000710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22D96" w14:textId="1CD1CEBB" w:rsidR="0007468D" w:rsidRPr="0007468D" w:rsidRDefault="0007468D">
    <w:pPr>
      <w:pStyle w:val="Footer"/>
      <w:rPr>
        <w:rFonts w:ascii="Times New Roman" w:hAnsi="Times New Roman" w:cs="Times New Roman"/>
        <w:sz w:val="20"/>
        <w:szCs w:val="20"/>
      </w:rPr>
    </w:pPr>
    <w:r w:rsidRPr="0007468D">
      <w:rPr>
        <w:rFonts w:ascii="Times New Roman" w:hAnsi="Times New Roman" w:cs="Times New Roman"/>
        <w:sz w:val="20"/>
        <w:szCs w:val="20"/>
      </w:rPr>
      <w:fldChar w:fldCharType="begin"/>
    </w:r>
    <w:r w:rsidRPr="0007468D">
      <w:rPr>
        <w:rFonts w:ascii="Times New Roman" w:hAnsi="Times New Roman" w:cs="Times New Roman"/>
        <w:sz w:val="20"/>
        <w:szCs w:val="20"/>
      </w:rPr>
      <w:instrText xml:space="preserve"> FILENAME  \* MERGEFORMAT </w:instrText>
    </w:r>
    <w:r w:rsidRPr="0007468D">
      <w:rPr>
        <w:rFonts w:ascii="Times New Roman" w:hAnsi="Times New Roman" w:cs="Times New Roman"/>
        <w:sz w:val="20"/>
        <w:szCs w:val="20"/>
      </w:rPr>
      <w:fldChar w:fldCharType="separate"/>
    </w:r>
    <w:r w:rsidRPr="0007468D">
      <w:rPr>
        <w:rFonts w:ascii="Times New Roman" w:hAnsi="Times New Roman" w:cs="Times New Roman"/>
        <w:noProof/>
        <w:sz w:val="20"/>
        <w:szCs w:val="20"/>
      </w:rPr>
      <w:t>FMizzp_190821_OCTApremija.docx</w:t>
    </w:r>
    <w:r w:rsidRPr="0007468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29760" w14:textId="77777777" w:rsidR="00531F4A" w:rsidRDefault="00531F4A" w:rsidP="00C62AF7">
      <w:pPr>
        <w:spacing w:after="0" w:line="240" w:lineRule="auto"/>
      </w:pPr>
      <w:r>
        <w:separator/>
      </w:r>
    </w:p>
  </w:footnote>
  <w:footnote w:type="continuationSeparator" w:id="0">
    <w:p w14:paraId="64DB95E1" w14:textId="77777777" w:rsidR="00531F4A" w:rsidRDefault="00531F4A" w:rsidP="00C62AF7">
      <w:pPr>
        <w:spacing w:after="0" w:line="240" w:lineRule="auto"/>
      </w:pPr>
      <w:r>
        <w:continuationSeparator/>
      </w:r>
    </w:p>
  </w:footnote>
  <w:footnote w:id="1">
    <w:p w14:paraId="603A658A" w14:textId="77777777" w:rsidR="00E97525" w:rsidRPr="002476FD" w:rsidRDefault="00E97525" w:rsidP="00E97525">
      <w:pPr>
        <w:pStyle w:val="FootnoteText"/>
        <w:spacing w:after="0" w:line="240" w:lineRule="auto"/>
        <w:jc w:val="both"/>
        <w:rPr>
          <w:rFonts w:ascii="Gotham Pro LT" w:hAnsi="Gotham Pro LT" w:cs="Gotham Pro LT"/>
          <w:sz w:val="18"/>
          <w:szCs w:val="18"/>
        </w:rPr>
      </w:pPr>
      <w:r w:rsidRPr="002476FD">
        <w:rPr>
          <w:rStyle w:val="FootnoteReference"/>
          <w:rFonts w:ascii="Gotham Pro LT" w:hAnsi="Gotham Pro LT" w:cs="Gotham Pro LT"/>
          <w:sz w:val="18"/>
          <w:szCs w:val="18"/>
        </w:rPr>
        <w:footnoteRef/>
      </w:r>
      <w:r w:rsidRPr="002476FD">
        <w:rPr>
          <w:rFonts w:ascii="Gotham Pro LT" w:hAnsi="Gotham Pro LT" w:cs="Gotham Pro LT"/>
          <w:sz w:val="18"/>
          <w:szCs w:val="18"/>
        </w:rPr>
        <w:t xml:space="preserve"> </w:t>
      </w:r>
      <w:r w:rsidRPr="002476FD">
        <w:rPr>
          <w:rFonts w:ascii="Gotham Pro LT" w:hAnsi="Gotham Pro LT" w:cs="Gotham Pro LT"/>
          <w:sz w:val="18"/>
          <w:szCs w:val="18"/>
          <w:shd w:val="clear" w:color="auto" w:fill="FFFFFF"/>
        </w:rPr>
        <w:t>Arī Eiropas Savienības Tiesa (turpmāk – EST) ir atzinusi, ka valsts nevar noteikt apdrošināšanas prēmijas apmērus. Ar likumu nosakot apdrošināšanas prēmijas atlaižu piešķiršanas nosacījumus, valsts zināmā mērā iejaucas privāto tiesību jomā un izkropļo tirgus politiku apdrošināšanas prēmijas noteikšanā</w:t>
      </w:r>
      <w:r>
        <w:rPr>
          <w:rFonts w:ascii="Gotham Pro LT" w:hAnsi="Gotham Pro LT" w:cs="Gotham Pro LT"/>
          <w:sz w:val="18"/>
          <w:szCs w:val="18"/>
          <w:shd w:val="clear" w:color="auto" w:fill="FFFFFF"/>
        </w:rPr>
        <w:t xml:space="preserve"> (skat.</w:t>
      </w:r>
      <w:r w:rsidRPr="002476FD">
        <w:rPr>
          <w:rFonts w:ascii="Gotham Pro LT" w:hAnsi="Gotham Pro LT" w:cs="Gotham Pro LT"/>
          <w:sz w:val="18"/>
          <w:szCs w:val="18"/>
          <w:shd w:val="clear" w:color="auto" w:fill="FFFFFF"/>
        </w:rPr>
        <w:t xml:space="preserve"> </w:t>
      </w:r>
      <w:r w:rsidRPr="002476FD">
        <w:rPr>
          <w:rFonts w:ascii="Gotham Pro LT" w:hAnsi="Gotham Pro LT" w:cs="Gotham Pro LT"/>
          <w:sz w:val="18"/>
          <w:szCs w:val="18"/>
        </w:rPr>
        <w:t>EST 25.02.2003. spriedum</w:t>
      </w:r>
      <w:r>
        <w:rPr>
          <w:rFonts w:ascii="Gotham Pro LT" w:hAnsi="Gotham Pro LT" w:cs="Gotham Pro LT"/>
          <w:sz w:val="18"/>
          <w:szCs w:val="18"/>
        </w:rPr>
        <w:t>u</w:t>
      </w:r>
      <w:r w:rsidRPr="002476FD">
        <w:rPr>
          <w:rFonts w:ascii="Gotham Pro LT" w:hAnsi="Gotham Pro LT" w:cs="Gotham Pro LT"/>
          <w:sz w:val="18"/>
          <w:szCs w:val="18"/>
        </w:rPr>
        <w:t xml:space="preserve"> lietā C-59/01</w:t>
      </w:r>
      <w:r>
        <w:rPr>
          <w:rFonts w:ascii="Gotham Pro LT" w:hAnsi="Gotham Pro LT" w:cs="Gotham Pro LT"/>
          <w:sz w:val="18"/>
          <w:szCs w:val="18"/>
        </w:rPr>
        <w:t>).</w:t>
      </w:r>
    </w:p>
  </w:footnote>
  <w:footnote w:id="2">
    <w:p w14:paraId="18E641B8" w14:textId="77777777" w:rsidR="00E97525" w:rsidRPr="00DB1551" w:rsidRDefault="00E97525" w:rsidP="00E97525">
      <w:pPr>
        <w:pStyle w:val="FootnoteText"/>
        <w:spacing w:after="0" w:line="240" w:lineRule="auto"/>
        <w:jc w:val="both"/>
        <w:rPr>
          <w:rFonts w:ascii="Times New Roman" w:hAnsi="Times New Roman"/>
          <w:lang w:val="lv-LV"/>
        </w:rPr>
      </w:pPr>
      <w:r>
        <w:rPr>
          <w:rStyle w:val="FootnoteReference"/>
        </w:rPr>
        <w:footnoteRef/>
      </w:r>
      <w:r>
        <w:t xml:space="preserve"> </w:t>
      </w:r>
      <w:r w:rsidRPr="00DB1551">
        <w:rPr>
          <w:rFonts w:ascii="Times New Roman" w:hAnsi="Times New Roman"/>
        </w:rPr>
        <w:t>Sauszemes transportlīdzekļu īpašnieku civiltiesiskās atbildības obligātās apdrošināšanas likuma (pieņemts 13.03.1997, zaudējis spēku 01.05.2004.) 16.pants.</w:t>
      </w:r>
    </w:p>
  </w:footnote>
  <w:footnote w:id="3">
    <w:p w14:paraId="5473FCB8" w14:textId="77777777" w:rsidR="00E97525" w:rsidRPr="00DB1551" w:rsidRDefault="00E97525" w:rsidP="00E97525">
      <w:pPr>
        <w:pStyle w:val="title-doc-first"/>
        <w:shd w:val="clear" w:color="auto" w:fill="FFFFFF"/>
        <w:spacing w:before="0" w:beforeAutospacing="0" w:after="0" w:afterAutospacing="0"/>
        <w:jc w:val="both"/>
        <w:rPr>
          <w:sz w:val="20"/>
          <w:szCs w:val="20"/>
        </w:rPr>
      </w:pPr>
      <w:r w:rsidRPr="00DB1551">
        <w:rPr>
          <w:rStyle w:val="FootnoteReference"/>
        </w:rPr>
        <w:footnoteRef/>
      </w:r>
      <w:r w:rsidRPr="00DB1551">
        <w:rPr>
          <w:sz w:val="20"/>
          <w:szCs w:val="20"/>
        </w:rPr>
        <w:t xml:space="preserve"> Eiropas Parlamenta un Padomes direktīvas 2009/138/EK (2009. gada 25. novembris) par uzņēmējdarbības uzsākšanu un veikšanu apdrošināšanas un pārapdrošināšanas jomā (Maksātspēja II) 21.panta 1.punktā minēts, ka d</w:t>
      </w:r>
      <w:r w:rsidRPr="00DB1551">
        <w:rPr>
          <w:sz w:val="20"/>
          <w:szCs w:val="20"/>
          <w:shd w:val="clear" w:color="auto" w:fill="FFFFFF"/>
        </w:rPr>
        <w:t xml:space="preserve">alībvalstis nepieprasa iepriekš apstiprināt vai sistemātiski sniegt ziņas par vispārīgajiem un īpašajiem apdrošināšanas noteikumiem, prēmiju lielumiem, par metodi prēmiju un tehnisko rezervju apjoma aprēķināšanai vai par veidlapām un citiem iespiedu dokumentiem, kurus sabiedrība gatavojas izmantot darījumos ar apdrošinājuma ņēmējiem vai sabiedrībām, kas veic cesiju vai retrocesiju. Šīs direktīvas </w:t>
      </w:r>
      <w:r w:rsidRPr="00DB1551">
        <w:rPr>
          <w:sz w:val="20"/>
          <w:szCs w:val="20"/>
        </w:rPr>
        <w:t xml:space="preserve">21.panta 2.punktā minēts, ka </w:t>
      </w:r>
      <w:r w:rsidRPr="00DB1551">
        <w:rPr>
          <w:sz w:val="20"/>
          <w:szCs w:val="20"/>
          <w:shd w:val="clear" w:color="auto" w:fill="FFFFFF"/>
        </w:rPr>
        <w:t>dalībvalstis nepatur spēkā vai neievieš noteikumu par iepriekšēju ziņojumu sniegšanu vai apstiprinājuma iegūšanu prēmiju likmju paredzētajai paaugstināšanai, ja vien tas nav ietverts vispārējā cenu kontroles sistēmā.</w:t>
      </w:r>
    </w:p>
  </w:footnote>
  <w:footnote w:id="4">
    <w:p w14:paraId="00B306A0" w14:textId="77777777" w:rsidR="00E97525" w:rsidRPr="00DB1551" w:rsidRDefault="00E97525" w:rsidP="00E97525">
      <w:pPr>
        <w:pStyle w:val="NoSpacing"/>
        <w:rPr>
          <w:sz w:val="20"/>
          <w:szCs w:val="20"/>
        </w:rPr>
      </w:pPr>
      <w:r w:rsidRPr="00DB1551">
        <w:rPr>
          <w:rStyle w:val="FootnoteReference"/>
        </w:rPr>
        <w:footnoteRef/>
      </w:r>
      <w:r w:rsidRPr="00DB1551">
        <w:rPr>
          <w:sz w:val="20"/>
          <w:szCs w:val="20"/>
        </w:rPr>
        <w:t xml:space="preserve"> EST 25.02.2003. spriedums lietā C-59/01.</w:t>
      </w:r>
    </w:p>
  </w:footnote>
  <w:footnote w:id="5">
    <w:p w14:paraId="6F11CB30" w14:textId="77777777" w:rsidR="00E97525" w:rsidRPr="00DB1551" w:rsidRDefault="00E97525" w:rsidP="00E97525">
      <w:pPr>
        <w:pStyle w:val="NoSpacing"/>
        <w:rPr>
          <w:sz w:val="20"/>
          <w:szCs w:val="20"/>
        </w:rPr>
      </w:pPr>
      <w:r w:rsidRPr="00DB1551">
        <w:rPr>
          <w:rStyle w:val="FootnoteReference"/>
        </w:rPr>
        <w:footnoteRef/>
      </w:r>
      <w:r w:rsidRPr="00DB1551">
        <w:rPr>
          <w:sz w:val="20"/>
          <w:szCs w:val="20"/>
        </w:rPr>
        <w:t xml:space="preserve"> Satversmes tiesas 2012.gada 6.jūnija spriedums lietā Nr. 2011-21-01. </w:t>
      </w:r>
    </w:p>
  </w:footnote>
  <w:footnote w:id="6">
    <w:p w14:paraId="18ACF0F2" w14:textId="77777777" w:rsidR="00E97525" w:rsidRPr="00DB1551" w:rsidRDefault="00E97525" w:rsidP="00E97525">
      <w:pPr>
        <w:pStyle w:val="FootnoteText"/>
        <w:spacing w:after="0" w:line="240" w:lineRule="auto"/>
        <w:jc w:val="both"/>
        <w:rPr>
          <w:rFonts w:ascii="Times New Roman" w:hAnsi="Times New Roman"/>
          <w:lang w:val="lv-LV"/>
        </w:rPr>
      </w:pPr>
      <w:r w:rsidRPr="00DB1551">
        <w:rPr>
          <w:rStyle w:val="FootnoteReference"/>
          <w:rFonts w:ascii="Times New Roman" w:hAnsi="Times New Roman"/>
        </w:rPr>
        <w:footnoteRef/>
      </w:r>
      <w:r w:rsidRPr="00DB1551">
        <w:rPr>
          <w:rFonts w:ascii="Times New Roman" w:hAnsi="Times New Roman"/>
          <w:lang w:val="lv-LV"/>
        </w:rPr>
        <w:t xml:space="preserve"> Saskaņā ar Ceļu satiksmes likuma 9.panta pirmo daļu </w:t>
      </w:r>
      <w:r w:rsidRPr="00DB1551">
        <w:rPr>
          <w:rFonts w:ascii="Times New Roman" w:hAnsi="Times New Roman"/>
          <w:shd w:val="clear" w:color="auto" w:fill="FFFFFF"/>
          <w:lang w:val="lv-LV"/>
        </w:rPr>
        <w:t>Latvijas teritorijā ceļu satiksmē atļauts izmantot reģistrētus transportlīdzekļus, kuru konstrukcija un tehniskais stāvoklis atbilst Latvijā obligāti piemērojamo standartu un normatīvu prasībām, attiecībā uz kuriem ir veikta OCTA un kuriem ir dota atļauja piedalīties ceļu satiksmē.</w:t>
      </w:r>
    </w:p>
  </w:footnote>
  <w:footnote w:id="7">
    <w:p w14:paraId="3DA42059" w14:textId="77777777" w:rsidR="00E97525" w:rsidRPr="0098083C" w:rsidRDefault="00E97525" w:rsidP="00E97525">
      <w:pPr>
        <w:pStyle w:val="FootnoteText"/>
        <w:spacing w:after="0" w:line="240" w:lineRule="auto"/>
        <w:jc w:val="both"/>
        <w:rPr>
          <w:rFonts w:ascii="Times New Roman" w:hAnsi="Times New Roman"/>
          <w:lang w:val="lv-LV"/>
        </w:rPr>
      </w:pPr>
      <w:r w:rsidRPr="00DB1551">
        <w:rPr>
          <w:rStyle w:val="FootnoteReference"/>
          <w:rFonts w:ascii="Times New Roman" w:hAnsi="Times New Roman"/>
        </w:rPr>
        <w:footnoteRef/>
      </w:r>
      <w:r w:rsidRPr="00DB1551">
        <w:rPr>
          <w:rFonts w:ascii="Times New Roman" w:hAnsi="Times New Roman"/>
          <w:lang w:val="lv-LV"/>
        </w:rPr>
        <w:t xml:space="preserve"> OCTA likuma mērķis  ir </w:t>
      </w:r>
      <w:r w:rsidRPr="00DB1551">
        <w:rPr>
          <w:rFonts w:ascii="Times New Roman" w:hAnsi="Times New Roman"/>
          <w:shd w:val="clear" w:color="auto" w:fill="FFFFFF"/>
          <w:lang w:val="lv-LV"/>
        </w:rPr>
        <w:t>aizsargāt ceļu satiksmes negadījumos cietušo trešo personu intereses un reglamentēt tiesiskās attiecības starp transportlīdzekļu īpašniekiem, tiesīgajiem lietotājiem un apdrošinātājiem sakarā ar transportlīdzekļu īpašnieku un tiesīgo lietotāju civiltiesiskās atbildības obligāto apdrošināšanu</w:t>
      </w:r>
      <w:r w:rsidRPr="00DB1551">
        <w:rPr>
          <w:rFonts w:ascii="Times New Roman" w:hAnsi="Times New Roman"/>
          <w:lang w:val="lv-LV"/>
        </w:rPr>
        <w:t xml:space="preserve"> (2.pants). </w:t>
      </w:r>
    </w:p>
  </w:footnote>
  <w:footnote w:id="8">
    <w:p w14:paraId="5C79C528" w14:textId="77777777" w:rsidR="00E97525" w:rsidRPr="0099744A" w:rsidRDefault="00E97525" w:rsidP="00E97525">
      <w:pPr>
        <w:pStyle w:val="NoSpacing"/>
        <w:rPr>
          <w:sz w:val="20"/>
          <w:szCs w:val="20"/>
        </w:rPr>
      </w:pPr>
      <w:r w:rsidRPr="00D753A6">
        <w:rPr>
          <w:rStyle w:val="FootnoteReference"/>
        </w:rPr>
        <w:footnoteRef/>
      </w:r>
      <w:r w:rsidRPr="00D753A6">
        <w:rPr>
          <w:sz w:val="20"/>
          <w:szCs w:val="20"/>
        </w:rPr>
        <w:t xml:space="preserve"> Satversmes tiesas 2018.gada 6.jūnija spriedums lietā Nr.2017-21-01.</w:t>
      </w:r>
    </w:p>
  </w:footnote>
  <w:footnote w:id="9">
    <w:p w14:paraId="468D6CAB" w14:textId="77777777" w:rsidR="00E97525" w:rsidRPr="003D466E" w:rsidRDefault="00E97525" w:rsidP="00E97525">
      <w:pPr>
        <w:pStyle w:val="NoSpacing"/>
        <w:rPr>
          <w:sz w:val="16"/>
          <w:szCs w:val="16"/>
        </w:rPr>
      </w:pPr>
      <w:r w:rsidRPr="004434C2">
        <w:rPr>
          <w:rStyle w:val="FootnoteReference"/>
        </w:rPr>
        <w:footnoteRef/>
      </w:r>
      <w:r w:rsidRPr="004434C2">
        <w:rPr>
          <w:sz w:val="20"/>
          <w:szCs w:val="20"/>
        </w:rPr>
        <w:t xml:space="preserve"> Satversmes tiesas 2017.gada 19.oktoba spriedums lietā Nr.2016-14-01.</w:t>
      </w:r>
    </w:p>
  </w:footnote>
  <w:footnote w:id="10">
    <w:p w14:paraId="3A8EAD7E" w14:textId="77777777" w:rsidR="00E97525" w:rsidRPr="00656C1C" w:rsidRDefault="00E97525" w:rsidP="00E97525">
      <w:pPr>
        <w:pStyle w:val="NoSpacing"/>
        <w:rPr>
          <w:sz w:val="20"/>
          <w:szCs w:val="20"/>
        </w:rPr>
      </w:pPr>
      <w:r w:rsidRPr="00656C1C">
        <w:rPr>
          <w:rStyle w:val="FootnoteReference"/>
        </w:rPr>
        <w:footnoteRef/>
      </w:r>
      <w:r w:rsidRPr="00656C1C">
        <w:rPr>
          <w:sz w:val="20"/>
          <w:szCs w:val="20"/>
        </w:rPr>
        <w:t xml:space="preserve"> Satversmes tiesas 2004.gada 10.februāra spriedums lietā Nr.2003-21-0306. </w:t>
      </w:r>
    </w:p>
  </w:footnote>
  <w:footnote w:id="11">
    <w:p w14:paraId="0EA29EA8" w14:textId="77777777" w:rsidR="00E97525" w:rsidRPr="00656C1C" w:rsidRDefault="00E97525" w:rsidP="00E97525">
      <w:pPr>
        <w:pStyle w:val="FootnoteText"/>
        <w:spacing w:after="0" w:line="240" w:lineRule="auto"/>
        <w:rPr>
          <w:lang w:val="lv-LV"/>
        </w:rPr>
      </w:pPr>
      <w:r w:rsidRPr="00656C1C">
        <w:rPr>
          <w:rStyle w:val="FootnoteReference"/>
          <w:rFonts w:ascii="Times New Roman" w:hAnsi="Times New Roman"/>
        </w:rPr>
        <w:footnoteRef/>
      </w:r>
      <w:r w:rsidRPr="00656C1C">
        <w:rPr>
          <w:rFonts w:ascii="Times New Roman" w:hAnsi="Times New Roman"/>
          <w:lang w:val="lv-LV"/>
        </w:rPr>
        <w:t xml:space="preserve"> Sauszemes transportlīdzekļu īpašnieku civiltiesiskās atbildības obligātās apdrošināšanas likuma (pieņemts 13.03.1997, zaudējis spēku 01.05.2004.) 16.pants.</w:t>
      </w:r>
    </w:p>
  </w:footnote>
  <w:footnote w:id="12">
    <w:p w14:paraId="0FAD4B61" w14:textId="77777777" w:rsidR="00E97525" w:rsidRPr="00656C1C" w:rsidRDefault="00E97525" w:rsidP="00E97525">
      <w:pPr>
        <w:pStyle w:val="Heading3"/>
        <w:shd w:val="clear" w:color="auto" w:fill="FFFFFF"/>
        <w:spacing w:before="0" w:beforeAutospacing="0" w:after="0" w:afterAutospacing="0"/>
        <w:jc w:val="both"/>
        <w:rPr>
          <w:rFonts w:ascii="Arial" w:hAnsi="Arial" w:cs="Arial"/>
          <w:b w:val="0"/>
          <w:bCs w:val="0"/>
          <w:sz w:val="20"/>
          <w:szCs w:val="20"/>
        </w:rPr>
      </w:pPr>
      <w:r w:rsidRPr="00656C1C">
        <w:rPr>
          <w:rStyle w:val="FootnoteReference"/>
          <w:b w:val="0"/>
          <w:bCs w:val="0"/>
        </w:rPr>
        <w:footnoteRef/>
      </w:r>
      <w:r w:rsidRPr="00656C1C">
        <w:rPr>
          <w:b w:val="0"/>
          <w:bCs w:val="0"/>
          <w:sz w:val="20"/>
          <w:szCs w:val="20"/>
        </w:rPr>
        <w:t xml:space="preserve"> Ministru kabineta </w:t>
      </w:r>
      <w:r w:rsidRPr="00656C1C">
        <w:rPr>
          <w:b w:val="0"/>
          <w:bCs w:val="0"/>
          <w:sz w:val="20"/>
          <w:szCs w:val="20"/>
          <w:shd w:val="clear" w:color="auto" w:fill="FFFFFF"/>
        </w:rPr>
        <w:t xml:space="preserve">1997.gada 27.maija </w:t>
      </w:r>
      <w:r w:rsidRPr="00656C1C">
        <w:rPr>
          <w:b w:val="0"/>
          <w:bCs w:val="0"/>
          <w:sz w:val="20"/>
          <w:szCs w:val="20"/>
        </w:rPr>
        <w:t>noteikumi Nr.199 “Noteikumi par sauszemes transportlīdzekļu īpašnieku civiltiesiskās atbildības obligātās apdrošināšanas prēmijām, to palielināšanas un samazināšanas kārtību un apdrošinātāja atbildības limitiem”</w:t>
      </w:r>
      <w:r>
        <w:rPr>
          <w:b w:val="0"/>
          <w:bCs w:val="0"/>
          <w:sz w:val="20"/>
          <w:szCs w:val="20"/>
        </w:rPr>
        <w:t xml:space="preserve"> (zaudējuši spēku).</w:t>
      </w:r>
    </w:p>
    <w:p w14:paraId="0631927F" w14:textId="77777777" w:rsidR="00E97525" w:rsidRPr="00656C1C" w:rsidRDefault="00E97525" w:rsidP="00E97525">
      <w:pPr>
        <w:pStyle w:val="FootnoteText"/>
        <w:rPr>
          <w:lang w:val="lv-LV"/>
        </w:rPr>
      </w:pPr>
    </w:p>
  </w:footnote>
  <w:footnote w:id="13">
    <w:p w14:paraId="36CDC5D7" w14:textId="77777777" w:rsidR="00E97525" w:rsidRPr="004434C2" w:rsidRDefault="00E97525" w:rsidP="00E97525">
      <w:pPr>
        <w:pStyle w:val="NoSpacing"/>
      </w:pPr>
      <w:r w:rsidRPr="004434C2">
        <w:rPr>
          <w:rStyle w:val="FootnoteReference"/>
        </w:rPr>
        <w:footnoteRef/>
      </w:r>
      <w:r w:rsidRPr="004434C2">
        <w:rPr>
          <w:sz w:val="20"/>
          <w:szCs w:val="20"/>
        </w:rPr>
        <w:t xml:space="preserve"> Satversmes tiesas 2019. gada 7. novembra sprieduma lietā Nr. 2018-25-01 16. punkts.</w:t>
      </w:r>
    </w:p>
  </w:footnote>
  <w:footnote w:id="14">
    <w:p w14:paraId="0F2B8953" w14:textId="77777777" w:rsidR="00E97525" w:rsidRPr="004434C2" w:rsidRDefault="00E97525" w:rsidP="00E97525">
      <w:pPr>
        <w:pStyle w:val="NoSpacing"/>
      </w:pPr>
      <w:r w:rsidRPr="004434C2">
        <w:rPr>
          <w:rStyle w:val="FootnoteReference"/>
        </w:rPr>
        <w:footnoteRef/>
      </w:r>
      <w:r w:rsidRPr="004434C2">
        <w:rPr>
          <w:sz w:val="20"/>
          <w:szCs w:val="20"/>
        </w:rPr>
        <w:t xml:space="preserve"> Satversmes tiesas 2017. gada 19. oktobra sprieduma lietā Nr. 2016-14-01 27.3. punkts.</w:t>
      </w:r>
    </w:p>
  </w:footnote>
  <w:footnote w:id="15">
    <w:p w14:paraId="143FDBD1" w14:textId="77777777" w:rsidR="00E97525" w:rsidRPr="004434C2" w:rsidRDefault="00E97525" w:rsidP="00E97525">
      <w:pPr>
        <w:pStyle w:val="NoSpacing"/>
      </w:pPr>
      <w:r w:rsidRPr="004434C2">
        <w:rPr>
          <w:rStyle w:val="FootnoteReference"/>
        </w:rPr>
        <w:footnoteRef/>
      </w:r>
      <w:r w:rsidRPr="004434C2">
        <w:rPr>
          <w:sz w:val="20"/>
          <w:szCs w:val="20"/>
        </w:rPr>
        <w:t xml:space="preserve"> Satversmes tiesas 2020. gada 16. jūlija sprieduma lietā Nr. 2020-05-01 8. punkts.</w:t>
      </w:r>
    </w:p>
  </w:footnote>
  <w:footnote w:id="16">
    <w:p w14:paraId="70E0B046" w14:textId="77777777" w:rsidR="00E97525" w:rsidRPr="004434C2" w:rsidRDefault="00E97525" w:rsidP="00E97525">
      <w:pPr>
        <w:pStyle w:val="NoSpacing"/>
      </w:pPr>
      <w:r w:rsidRPr="004434C2">
        <w:rPr>
          <w:rStyle w:val="FootnoteReference"/>
        </w:rPr>
        <w:footnoteRef/>
      </w:r>
      <w:r w:rsidRPr="004434C2">
        <w:rPr>
          <w:sz w:val="20"/>
          <w:szCs w:val="20"/>
        </w:rPr>
        <w:t xml:space="preserve"> Satversmes tiesas 2005. gada 13. maija sprieduma lietā Nr. 2004-18-0106 secinājumu daļas 13. punkts.</w:t>
      </w:r>
    </w:p>
  </w:footnote>
  <w:footnote w:id="17">
    <w:p w14:paraId="76D754FA" w14:textId="77777777" w:rsidR="00E97525" w:rsidRPr="007D457B" w:rsidRDefault="00E97525" w:rsidP="00E97525">
      <w:pPr>
        <w:spacing w:after="0" w:line="240" w:lineRule="auto"/>
        <w:jc w:val="both"/>
        <w:rPr>
          <w:rFonts w:ascii="Times New Roman" w:hAnsi="Times New Roman" w:cs="Times New Roman"/>
          <w:sz w:val="20"/>
          <w:szCs w:val="20"/>
        </w:rPr>
      </w:pPr>
      <w:r w:rsidRPr="007D457B">
        <w:rPr>
          <w:rStyle w:val="FootnoteReference"/>
          <w:rFonts w:ascii="Times New Roman" w:hAnsi="Times New Roman" w:cs="Times New Roman"/>
        </w:rPr>
        <w:footnoteRef/>
      </w:r>
      <w:r w:rsidRPr="007D457B">
        <w:rPr>
          <w:rFonts w:ascii="Times New Roman" w:hAnsi="Times New Roman" w:cs="Times New Roman"/>
          <w:sz w:val="20"/>
          <w:szCs w:val="20"/>
        </w:rPr>
        <w:t xml:space="preserve"> Par pārbaudes testu plašāk skatīt: Satversmes tiesas 2002.gada 20.maija spriedums lietā Nr. 2002-01-03 un 2009.gada 19.novembra spriedums lietā Nr. 2009-09-03,kā arī 2015. gada 2. jūlija sprieduma lietā Nr. 2015-01-01 14. punkts.</w:t>
      </w:r>
    </w:p>
  </w:footnote>
  <w:footnote w:id="18">
    <w:p w14:paraId="3DE3FC39" w14:textId="77777777" w:rsidR="00E97525" w:rsidRPr="007D457B" w:rsidRDefault="00E97525" w:rsidP="00E97525">
      <w:pPr>
        <w:pStyle w:val="tv213"/>
        <w:shd w:val="clear" w:color="auto" w:fill="FFFFFF"/>
        <w:spacing w:before="0" w:beforeAutospacing="0" w:after="0" w:afterAutospacing="0"/>
        <w:jc w:val="both"/>
        <w:rPr>
          <w:sz w:val="20"/>
          <w:szCs w:val="20"/>
        </w:rPr>
      </w:pPr>
      <w:r w:rsidRPr="007D457B">
        <w:rPr>
          <w:rStyle w:val="FootnoteReference"/>
        </w:rPr>
        <w:footnoteRef/>
      </w:r>
      <w:r w:rsidRPr="007D457B">
        <w:rPr>
          <w:sz w:val="20"/>
          <w:szCs w:val="20"/>
        </w:rPr>
        <w:t xml:space="preserve"> Saskaņā ar OCTA likuma 13.panta pirmo daļu, noslēdzot apdrošināšanas līgumu, apdrošināšanas prēmijas apmērs transportlīdzekļa īpašniekam tiek noteikts, izvērtējot iepriekšējo apdrošināšanas līgumu darbības laikā izmaksāto apdrošināšanas atlīdzību skaitu, normatīvajos aktos noteiktajā kārtībā konstatēto gadījumu skaitu, kad transportlīdzeklis vadīts, izdarot administratīvus pārkāpumus, par kuriem reģistrē pārkāpumu uzskaites punktus, un noziedzīgus nodarījumus pret satiksmes drošību, kā arī izvērtējot citus risku ietekmējošus faktorus.</w:t>
      </w:r>
    </w:p>
  </w:footnote>
  <w:footnote w:id="19">
    <w:p w14:paraId="6E4FE4DB" w14:textId="77777777" w:rsidR="00E97525" w:rsidRPr="007D457B" w:rsidRDefault="00E97525" w:rsidP="00E97525">
      <w:pPr>
        <w:pStyle w:val="NoSpacing"/>
        <w:rPr>
          <w:sz w:val="20"/>
          <w:szCs w:val="20"/>
        </w:rPr>
      </w:pPr>
      <w:r w:rsidRPr="007D457B">
        <w:rPr>
          <w:rStyle w:val="FootnoteReference"/>
        </w:rPr>
        <w:footnoteRef/>
      </w:r>
      <w:r w:rsidRPr="007D457B">
        <w:rPr>
          <w:sz w:val="20"/>
          <w:szCs w:val="20"/>
          <w:vertAlign w:val="superscript"/>
        </w:rPr>
        <w:t xml:space="preserve"> </w:t>
      </w:r>
      <w:r w:rsidRPr="007D457B">
        <w:rPr>
          <w:sz w:val="20"/>
          <w:szCs w:val="20"/>
        </w:rPr>
        <w:t>Satversmes tiesas 2010.gada 20.aprīļa lēmums par tiesvedības izbeigšanu lietā Nr. 2009-100-03.</w:t>
      </w:r>
    </w:p>
  </w:footnote>
  <w:footnote w:id="20">
    <w:p w14:paraId="0A0B90B6" w14:textId="77777777" w:rsidR="00E97525" w:rsidRPr="007D457B" w:rsidRDefault="00E97525" w:rsidP="00E97525">
      <w:pPr>
        <w:pStyle w:val="NoSpacing"/>
        <w:rPr>
          <w:sz w:val="20"/>
          <w:szCs w:val="20"/>
        </w:rPr>
      </w:pPr>
      <w:r w:rsidRPr="007D457B">
        <w:rPr>
          <w:rStyle w:val="FootnoteReference"/>
        </w:rPr>
        <w:footnoteRef/>
      </w:r>
      <w:r w:rsidRPr="007D457B">
        <w:rPr>
          <w:sz w:val="20"/>
          <w:szCs w:val="20"/>
        </w:rPr>
        <w:t xml:space="preserve"> Satversmes tiesas 2014.gada 12.decembra spriedums lietā Nr. 2013-21-03.</w:t>
      </w:r>
    </w:p>
  </w:footnote>
  <w:footnote w:id="21">
    <w:p w14:paraId="78BB4000" w14:textId="77777777" w:rsidR="00E97525" w:rsidRPr="007D457B" w:rsidRDefault="00E97525" w:rsidP="00E97525">
      <w:pPr>
        <w:pStyle w:val="FootnoteText"/>
        <w:spacing w:after="0" w:line="240" w:lineRule="auto"/>
        <w:jc w:val="both"/>
        <w:rPr>
          <w:rFonts w:ascii="Times New Roman" w:hAnsi="Times New Roman"/>
          <w:lang w:val="lv-LV"/>
        </w:rPr>
      </w:pPr>
      <w:r w:rsidRPr="007D457B">
        <w:rPr>
          <w:rStyle w:val="FootnoteReference"/>
          <w:rFonts w:ascii="Times New Roman" w:hAnsi="Times New Roman"/>
        </w:rPr>
        <w:footnoteRef/>
      </w:r>
      <w:r w:rsidRPr="007D457B">
        <w:rPr>
          <w:rFonts w:ascii="Times New Roman" w:hAnsi="Times New Roman"/>
          <w:lang w:val="lv-LV"/>
        </w:rPr>
        <w:t xml:space="preserve"> Saskaņā ar OCTA likuma 12.panta otro daļu </w:t>
      </w:r>
      <w:r w:rsidRPr="007D457B">
        <w:rPr>
          <w:rFonts w:ascii="Times New Roman" w:hAnsi="Times New Roman"/>
          <w:shd w:val="clear" w:color="auto" w:fill="FFFFFF"/>
          <w:lang w:val="lv-LV"/>
        </w:rPr>
        <w:t>apdrošināšanas prēmijas apmēram, kas noteikts apdrošināšanas līguma slēgšanas brīdī, jābūt tādam, lai nodrošinātu apdrošināšanas līgumā noteikto saistību izpildi, kā arī segtu izdevumus, kas nepieciešami apdrošināšanas veikšanai.</w:t>
      </w:r>
    </w:p>
  </w:footnote>
  <w:footnote w:id="22">
    <w:p w14:paraId="42932E72" w14:textId="77777777" w:rsidR="00E97525" w:rsidRPr="004434C2" w:rsidRDefault="00E97525" w:rsidP="00E97525">
      <w:pPr>
        <w:pStyle w:val="NoSpacing"/>
        <w:rPr>
          <w:sz w:val="20"/>
          <w:szCs w:val="20"/>
        </w:rPr>
      </w:pPr>
      <w:r w:rsidRPr="004434C2">
        <w:rPr>
          <w:rStyle w:val="FootnoteReference"/>
        </w:rPr>
        <w:footnoteRef/>
      </w:r>
      <w:r w:rsidRPr="004434C2">
        <w:rPr>
          <w:sz w:val="20"/>
          <w:szCs w:val="20"/>
        </w:rPr>
        <w:t xml:space="preserve"> Satversmes tiesas 2010.gada 15.marta spriedums lietā Nr.2009-44-01.</w:t>
      </w:r>
    </w:p>
  </w:footnote>
  <w:footnote w:id="23">
    <w:p w14:paraId="23699B5D" w14:textId="77777777" w:rsidR="00E97525" w:rsidRPr="003D466E" w:rsidRDefault="00E97525" w:rsidP="00E97525">
      <w:pPr>
        <w:pStyle w:val="NoSpacing"/>
      </w:pPr>
      <w:r w:rsidRPr="004434C2">
        <w:rPr>
          <w:rStyle w:val="FootnoteReference"/>
        </w:rPr>
        <w:footnoteRef/>
      </w:r>
      <w:r w:rsidRPr="004434C2">
        <w:rPr>
          <w:sz w:val="20"/>
          <w:szCs w:val="20"/>
        </w:rPr>
        <w:t xml:space="preserve"> Satversmes tiesas 2006.gada 8.marta spriedums lietā Nr.2005-16-01 un 2009.gada 15.aprīļa spriedums lietā Nr. 2008-36-01.</w:t>
      </w:r>
      <w:r w:rsidRPr="000C0EDB">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47012" w14:textId="77777777" w:rsidR="00F1339A" w:rsidRDefault="00F13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39984" w14:textId="77777777" w:rsidR="00C62AF7" w:rsidRDefault="00FA4202">
    <w:pPr>
      <w:pStyle w:val="Header"/>
    </w:pPr>
    <w:r>
      <w:rPr>
        <w:noProof/>
        <w:lang w:eastAsia="lv-LV"/>
      </w:rPr>
      <w:drawing>
        <wp:inline distT="0" distB="0" distL="0" distR="0" wp14:anchorId="08F39989" wp14:editId="08F3998A">
          <wp:extent cx="1353107" cy="684000"/>
          <wp:effectExtent l="0" t="0" r="0" b="1905"/>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LV_PNG.png"/>
                  <pic:cNvPicPr/>
                </pic:nvPicPr>
                <pic:blipFill>
                  <a:blip r:embed="rId1">
                    <a:extLst>
                      <a:ext uri="{28A0092B-C50C-407E-A947-70E740481C1C}">
                        <a14:useLocalDpi xmlns:a14="http://schemas.microsoft.com/office/drawing/2010/main" val="0"/>
                      </a:ext>
                    </a:extLst>
                  </a:blip>
                  <a:stretch>
                    <a:fillRect/>
                  </a:stretch>
                </pic:blipFill>
                <pic:spPr>
                  <a:xfrm>
                    <a:off x="0" y="0"/>
                    <a:ext cx="1353107" cy="684000"/>
                  </a:xfrm>
                  <a:prstGeom prst="rect">
                    <a:avLst/>
                  </a:prstGeom>
                </pic:spPr>
              </pic:pic>
            </a:graphicData>
          </a:graphic>
        </wp:inline>
      </w:drawing>
    </w:r>
  </w:p>
  <w:p w14:paraId="08F39985" w14:textId="77777777" w:rsidR="00C62AF7" w:rsidRDefault="00C62A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76733" w14:textId="4ACED669" w:rsidR="005C2872" w:rsidRDefault="005C2872">
    <w:pPr>
      <w:pStyle w:val="Header"/>
    </w:pPr>
  </w:p>
  <w:p w14:paraId="7C044D89" w14:textId="4C1F8757" w:rsidR="005C2872" w:rsidRDefault="005C2872">
    <w:pPr>
      <w:pStyle w:val="Header"/>
    </w:pPr>
  </w:p>
  <w:p w14:paraId="10F0CE16" w14:textId="77777777" w:rsidR="005C2872" w:rsidRPr="000E7924" w:rsidRDefault="005C2872" w:rsidP="005C2872">
    <w:pPr>
      <w:pStyle w:val="Header"/>
      <w:jc w:val="right"/>
      <w:rPr>
        <w:rFonts w:ascii="Times New Roman" w:hAnsi="Times New Roman" w:cs="Times New Roman"/>
        <w:sz w:val="24"/>
        <w:szCs w:val="24"/>
      </w:rPr>
    </w:pPr>
    <w:bookmarkStart w:id="4" w:name="_GoBack"/>
    <w:r w:rsidRPr="000E7924">
      <w:rPr>
        <w:rFonts w:ascii="Times New Roman" w:hAnsi="Times New Roman" w:cs="Times New Roman"/>
        <w:sz w:val="24"/>
        <w:szCs w:val="24"/>
      </w:rPr>
      <w:t xml:space="preserve">Pielikums </w:t>
    </w:r>
  </w:p>
  <w:p w14:paraId="011EE9DA" w14:textId="77777777" w:rsidR="005C2872" w:rsidRPr="000E7924" w:rsidRDefault="005C2872" w:rsidP="005C2872">
    <w:pPr>
      <w:pStyle w:val="Header"/>
      <w:jc w:val="right"/>
      <w:rPr>
        <w:rFonts w:ascii="Times New Roman" w:hAnsi="Times New Roman" w:cs="Times New Roman"/>
        <w:sz w:val="24"/>
        <w:szCs w:val="24"/>
      </w:rPr>
    </w:pPr>
    <w:r w:rsidRPr="000E7924">
      <w:rPr>
        <w:rFonts w:ascii="Times New Roman" w:hAnsi="Times New Roman" w:cs="Times New Roman"/>
        <w:sz w:val="24"/>
        <w:szCs w:val="24"/>
      </w:rPr>
      <w:t>izziņai par atzinumos sniegtajiem iebildumiem</w:t>
    </w:r>
  </w:p>
  <w:p w14:paraId="19FE0B17" w14:textId="77777777" w:rsidR="005C2872" w:rsidRPr="000E7924" w:rsidRDefault="005C2872" w:rsidP="005C2872">
    <w:pPr>
      <w:pStyle w:val="Header"/>
      <w:jc w:val="right"/>
      <w:rPr>
        <w:rFonts w:ascii="Times New Roman" w:hAnsi="Times New Roman" w:cs="Times New Roman"/>
        <w:sz w:val="24"/>
        <w:szCs w:val="24"/>
      </w:rPr>
    </w:pPr>
    <w:r w:rsidRPr="000E7924">
      <w:rPr>
        <w:rFonts w:ascii="Times New Roman" w:hAnsi="Times New Roman" w:cs="Times New Roman"/>
        <w:sz w:val="24"/>
        <w:szCs w:val="24"/>
      </w:rPr>
      <w:t xml:space="preserve">par informatīvā ziņojuma projektu </w:t>
    </w:r>
  </w:p>
  <w:bookmarkEnd w:id="4"/>
  <w:p w14:paraId="41FC425B" w14:textId="77777777" w:rsidR="005C2872" w:rsidRPr="000E7924" w:rsidRDefault="005C2872" w:rsidP="005C2872">
    <w:pPr>
      <w:pStyle w:val="Header"/>
      <w:jc w:val="right"/>
      <w:rPr>
        <w:rFonts w:ascii="Times New Roman" w:hAnsi="Times New Roman" w:cs="Times New Roman"/>
        <w:sz w:val="24"/>
        <w:szCs w:val="24"/>
      </w:rPr>
    </w:pPr>
    <w:r w:rsidRPr="000E7924">
      <w:rPr>
        <w:rFonts w:ascii="Times New Roman" w:hAnsi="Times New Roman" w:cs="Times New Roman"/>
        <w:sz w:val="24"/>
        <w:szCs w:val="24"/>
      </w:rPr>
      <w:t xml:space="preserve">“Par Sauszemes transportlīdzekļu īpašnieku civiltiesiskās </w:t>
    </w:r>
  </w:p>
  <w:p w14:paraId="058A699A" w14:textId="77777777" w:rsidR="005C2872" w:rsidRPr="000E7924" w:rsidRDefault="005C2872" w:rsidP="005C2872">
    <w:pPr>
      <w:pStyle w:val="Header"/>
      <w:jc w:val="right"/>
      <w:rPr>
        <w:rFonts w:ascii="Times New Roman" w:hAnsi="Times New Roman" w:cs="Times New Roman"/>
        <w:sz w:val="24"/>
        <w:szCs w:val="24"/>
      </w:rPr>
    </w:pPr>
    <w:r w:rsidRPr="000E7924">
      <w:rPr>
        <w:rFonts w:ascii="Times New Roman" w:hAnsi="Times New Roman" w:cs="Times New Roman"/>
        <w:sz w:val="24"/>
        <w:szCs w:val="24"/>
      </w:rPr>
      <w:t xml:space="preserve">atbildības obligātās apdrošināšanas likuma 14.pantā </w:t>
    </w:r>
  </w:p>
  <w:p w14:paraId="2A01EE25" w14:textId="28F276BB" w:rsidR="005C2872" w:rsidRDefault="005C2872" w:rsidP="005C2872">
    <w:pPr>
      <w:pStyle w:val="Header"/>
      <w:jc w:val="right"/>
      <w:rPr>
        <w:rFonts w:ascii="Times New Roman" w:hAnsi="Times New Roman" w:cs="Times New Roman"/>
        <w:sz w:val="24"/>
        <w:szCs w:val="24"/>
      </w:rPr>
    </w:pPr>
    <w:r w:rsidRPr="000E7924">
      <w:rPr>
        <w:rFonts w:ascii="Times New Roman" w:hAnsi="Times New Roman" w:cs="Times New Roman"/>
        <w:sz w:val="24"/>
        <w:szCs w:val="24"/>
      </w:rPr>
      <w:t>noteiktā tiesiskā regulējuma izvērtējumu”</w:t>
    </w:r>
  </w:p>
  <w:p w14:paraId="78C1B6F3" w14:textId="3A94925F" w:rsidR="005C2872" w:rsidRDefault="005C2872" w:rsidP="005C2872">
    <w:pPr>
      <w:pStyle w:val="Header"/>
      <w:jc w:val="right"/>
      <w:rPr>
        <w:rFonts w:ascii="Times New Roman" w:hAnsi="Times New Roman" w:cs="Times New Roman"/>
        <w:sz w:val="24"/>
        <w:szCs w:val="24"/>
      </w:rPr>
    </w:pPr>
  </w:p>
  <w:p w14:paraId="70C0175B" w14:textId="144CFDE4" w:rsidR="005C2872" w:rsidRDefault="005C2872" w:rsidP="005C2872">
    <w:pPr>
      <w:pStyle w:val="Header"/>
      <w:jc w:val="right"/>
      <w:rPr>
        <w:rFonts w:ascii="Times New Roman" w:hAnsi="Times New Roman" w:cs="Times New Roman"/>
        <w:sz w:val="24"/>
        <w:szCs w:val="24"/>
      </w:rPr>
    </w:pPr>
  </w:p>
  <w:p w14:paraId="68B4C2CE" w14:textId="77777777" w:rsidR="005C2872" w:rsidRDefault="005C2872" w:rsidP="005C2872">
    <w:pPr>
      <w:pStyle w:val="Header"/>
      <w:jc w:val="right"/>
      <w:rPr>
        <w:rFonts w:ascii="Times New Roman" w:hAnsi="Times New Roman" w:cs="Times New Roman"/>
        <w:sz w:val="24"/>
        <w:szCs w:val="24"/>
      </w:rPr>
    </w:pPr>
  </w:p>
  <w:p w14:paraId="25CA6D28" w14:textId="61CA6E5F" w:rsidR="005C2872" w:rsidRDefault="005C2872" w:rsidP="005C2872">
    <w:pPr>
      <w:pStyle w:val="Header"/>
      <w:jc w:val="right"/>
      <w:rPr>
        <w:rFonts w:ascii="Times New Roman" w:hAnsi="Times New Roman" w:cs="Times New Roman"/>
        <w:sz w:val="24"/>
        <w:szCs w:val="24"/>
      </w:rPr>
    </w:pPr>
  </w:p>
  <w:p w14:paraId="2DF9205C" w14:textId="495B27D6" w:rsidR="005C2872" w:rsidRDefault="005C2872" w:rsidP="005C2872">
    <w:pPr>
      <w:pStyle w:val="Header"/>
      <w:jc w:val="right"/>
      <w:rPr>
        <w:rFonts w:ascii="Times New Roman" w:hAnsi="Times New Roman" w:cs="Times New Roman"/>
        <w:sz w:val="24"/>
        <w:szCs w:val="24"/>
      </w:rPr>
    </w:pPr>
  </w:p>
  <w:p w14:paraId="49142258" w14:textId="24766F80" w:rsidR="005C2872" w:rsidRDefault="005C2872" w:rsidP="005C2872">
    <w:pPr>
      <w:pStyle w:val="Header"/>
      <w:jc w:val="right"/>
      <w:rPr>
        <w:rFonts w:ascii="Times New Roman" w:hAnsi="Times New Roman" w:cs="Times New Roman"/>
        <w:sz w:val="24"/>
        <w:szCs w:val="24"/>
      </w:rPr>
    </w:pPr>
  </w:p>
  <w:p w14:paraId="6EA039B2" w14:textId="613880B7" w:rsidR="005C2872" w:rsidRDefault="005C2872" w:rsidP="005C2872">
    <w:pPr>
      <w:pStyle w:val="Header"/>
      <w:rPr>
        <w:rFonts w:ascii="Times New Roman" w:hAnsi="Times New Roman" w:cs="Times New Roman"/>
        <w:sz w:val="24"/>
        <w:szCs w:val="24"/>
      </w:rPr>
    </w:pPr>
    <w:r>
      <w:rPr>
        <w:noProof/>
        <w:lang w:eastAsia="lv-LV"/>
      </w:rPr>
      <w:drawing>
        <wp:inline distT="0" distB="0" distL="0" distR="0" wp14:anchorId="4FAED4DB" wp14:editId="0128B060">
          <wp:extent cx="1353107" cy="684000"/>
          <wp:effectExtent l="0" t="0" r="0" b="1905"/>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LV_PNG.png"/>
                  <pic:cNvPicPr/>
                </pic:nvPicPr>
                <pic:blipFill>
                  <a:blip r:embed="rId1">
                    <a:extLst>
                      <a:ext uri="{28A0092B-C50C-407E-A947-70E740481C1C}">
                        <a14:useLocalDpi xmlns:a14="http://schemas.microsoft.com/office/drawing/2010/main" val="0"/>
                      </a:ext>
                    </a:extLst>
                  </a:blip>
                  <a:stretch>
                    <a:fillRect/>
                  </a:stretch>
                </pic:blipFill>
                <pic:spPr>
                  <a:xfrm>
                    <a:off x="0" y="0"/>
                    <a:ext cx="1353107" cy="684000"/>
                  </a:xfrm>
                  <a:prstGeom prst="rect">
                    <a:avLst/>
                  </a:prstGeom>
                </pic:spPr>
              </pic:pic>
            </a:graphicData>
          </a:graphic>
        </wp:inline>
      </w:drawing>
    </w:r>
  </w:p>
  <w:p w14:paraId="5BCCCB5D" w14:textId="77777777" w:rsidR="005C2872" w:rsidRDefault="005C2872" w:rsidP="005C2872">
    <w:pPr>
      <w:pStyle w:val="Header"/>
      <w:jc w:val="right"/>
      <w:rPr>
        <w:rFonts w:ascii="Times New Roman" w:hAnsi="Times New Roman" w:cs="Times New Roman"/>
        <w:sz w:val="24"/>
        <w:szCs w:val="24"/>
      </w:rPr>
    </w:pPr>
  </w:p>
  <w:p w14:paraId="7097F722" w14:textId="77777777" w:rsidR="005C2872" w:rsidRDefault="005C2872" w:rsidP="005C28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4301F"/>
    <w:multiLevelType w:val="hybridMultilevel"/>
    <w:tmpl w:val="D4961D5E"/>
    <w:lvl w:ilvl="0" w:tplc="D758C6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0147AB4"/>
    <w:multiLevelType w:val="hybridMultilevel"/>
    <w:tmpl w:val="2D7EA1E8"/>
    <w:lvl w:ilvl="0" w:tplc="04090017">
      <w:start w:val="1"/>
      <w:numFmt w:val="lowerLetter"/>
      <w:lvlText w:val="%1)"/>
      <w:lvlJc w:val="left"/>
      <w:pPr>
        <w:tabs>
          <w:tab w:val="num" w:pos="1080"/>
        </w:tabs>
        <w:ind w:left="1080" w:hanging="360"/>
      </w:pPr>
      <w:rPr>
        <w:rFonts w:hint="default"/>
      </w:rPr>
    </w:lvl>
    <w:lvl w:ilvl="1" w:tplc="70C24888" w:tentative="1">
      <w:start w:val="1"/>
      <w:numFmt w:val="bullet"/>
      <w:lvlText w:val=""/>
      <w:lvlJc w:val="left"/>
      <w:pPr>
        <w:tabs>
          <w:tab w:val="num" w:pos="1800"/>
        </w:tabs>
        <w:ind w:left="1800" w:hanging="360"/>
      </w:pPr>
      <w:rPr>
        <w:rFonts w:ascii="Wingdings" w:hAnsi="Wingdings" w:hint="default"/>
      </w:rPr>
    </w:lvl>
    <w:lvl w:ilvl="2" w:tplc="0AE8D282" w:tentative="1">
      <w:start w:val="1"/>
      <w:numFmt w:val="bullet"/>
      <w:lvlText w:val=""/>
      <w:lvlJc w:val="left"/>
      <w:pPr>
        <w:tabs>
          <w:tab w:val="num" w:pos="2520"/>
        </w:tabs>
        <w:ind w:left="2520" w:hanging="360"/>
      </w:pPr>
      <w:rPr>
        <w:rFonts w:ascii="Wingdings" w:hAnsi="Wingdings" w:hint="default"/>
      </w:rPr>
    </w:lvl>
    <w:lvl w:ilvl="3" w:tplc="73585A84" w:tentative="1">
      <w:start w:val="1"/>
      <w:numFmt w:val="bullet"/>
      <w:lvlText w:val=""/>
      <w:lvlJc w:val="left"/>
      <w:pPr>
        <w:tabs>
          <w:tab w:val="num" w:pos="3240"/>
        </w:tabs>
        <w:ind w:left="3240" w:hanging="360"/>
      </w:pPr>
      <w:rPr>
        <w:rFonts w:ascii="Wingdings" w:hAnsi="Wingdings" w:hint="default"/>
      </w:rPr>
    </w:lvl>
    <w:lvl w:ilvl="4" w:tplc="17A8D492" w:tentative="1">
      <w:start w:val="1"/>
      <w:numFmt w:val="bullet"/>
      <w:lvlText w:val=""/>
      <w:lvlJc w:val="left"/>
      <w:pPr>
        <w:tabs>
          <w:tab w:val="num" w:pos="3960"/>
        </w:tabs>
        <w:ind w:left="3960" w:hanging="360"/>
      </w:pPr>
      <w:rPr>
        <w:rFonts w:ascii="Wingdings" w:hAnsi="Wingdings" w:hint="default"/>
      </w:rPr>
    </w:lvl>
    <w:lvl w:ilvl="5" w:tplc="62CEED9E" w:tentative="1">
      <w:start w:val="1"/>
      <w:numFmt w:val="bullet"/>
      <w:lvlText w:val=""/>
      <w:lvlJc w:val="left"/>
      <w:pPr>
        <w:tabs>
          <w:tab w:val="num" w:pos="4680"/>
        </w:tabs>
        <w:ind w:left="4680" w:hanging="360"/>
      </w:pPr>
      <w:rPr>
        <w:rFonts w:ascii="Wingdings" w:hAnsi="Wingdings" w:hint="default"/>
      </w:rPr>
    </w:lvl>
    <w:lvl w:ilvl="6" w:tplc="7AE884AC" w:tentative="1">
      <w:start w:val="1"/>
      <w:numFmt w:val="bullet"/>
      <w:lvlText w:val=""/>
      <w:lvlJc w:val="left"/>
      <w:pPr>
        <w:tabs>
          <w:tab w:val="num" w:pos="5400"/>
        </w:tabs>
        <w:ind w:left="5400" w:hanging="360"/>
      </w:pPr>
      <w:rPr>
        <w:rFonts w:ascii="Wingdings" w:hAnsi="Wingdings" w:hint="default"/>
      </w:rPr>
    </w:lvl>
    <w:lvl w:ilvl="7" w:tplc="6318EB74" w:tentative="1">
      <w:start w:val="1"/>
      <w:numFmt w:val="bullet"/>
      <w:lvlText w:val=""/>
      <w:lvlJc w:val="left"/>
      <w:pPr>
        <w:tabs>
          <w:tab w:val="num" w:pos="6120"/>
        </w:tabs>
        <w:ind w:left="6120" w:hanging="360"/>
      </w:pPr>
      <w:rPr>
        <w:rFonts w:ascii="Wingdings" w:hAnsi="Wingdings" w:hint="default"/>
      </w:rPr>
    </w:lvl>
    <w:lvl w:ilvl="8" w:tplc="7BCC9E72"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6183974"/>
    <w:multiLevelType w:val="multilevel"/>
    <w:tmpl w:val="CB7603F0"/>
    <w:lvl w:ilvl="0">
      <w:start w:val="1"/>
      <w:numFmt w:val="decimal"/>
      <w:lvlText w:val="%1."/>
      <w:lvlJc w:val="left"/>
      <w:pPr>
        <w:ind w:left="1211" w:hanging="360"/>
      </w:pPr>
      <w:rPr>
        <w:rFonts w:eastAsia="Times New Roman" w:hint="default"/>
      </w:rPr>
    </w:lvl>
    <w:lvl w:ilvl="1">
      <w:start w:val="1"/>
      <w:numFmt w:val="decimal"/>
      <w:isLgl/>
      <w:lvlText w:val="%1.%2."/>
      <w:lvlJc w:val="left"/>
      <w:pPr>
        <w:ind w:left="1990" w:hanging="360"/>
      </w:pPr>
      <w:rPr>
        <w:rFonts w:eastAsiaTheme="minorHAnsi" w:hint="default"/>
      </w:rPr>
    </w:lvl>
    <w:lvl w:ilvl="2">
      <w:start w:val="1"/>
      <w:numFmt w:val="decimal"/>
      <w:isLgl/>
      <w:lvlText w:val="%1.%2.%3."/>
      <w:lvlJc w:val="left"/>
      <w:pPr>
        <w:ind w:left="3129" w:hanging="720"/>
      </w:pPr>
      <w:rPr>
        <w:rFonts w:eastAsiaTheme="minorHAnsi" w:hint="default"/>
      </w:rPr>
    </w:lvl>
    <w:lvl w:ilvl="3">
      <w:start w:val="1"/>
      <w:numFmt w:val="decimal"/>
      <w:isLgl/>
      <w:lvlText w:val="%1.%2.%3.%4."/>
      <w:lvlJc w:val="left"/>
      <w:pPr>
        <w:ind w:left="3908" w:hanging="720"/>
      </w:pPr>
      <w:rPr>
        <w:rFonts w:eastAsiaTheme="minorHAnsi" w:hint="default"/>
      </w:rPr>
    </w:lvl>
    <w:lvl w:ilvl="4">
      <w:start w:val="1"/>
      <w:numFmt w:val="decimal"/>
      <w:isLgl/>
      <w:lvlText w:val="%1.%2.%3.%4.%5."/>
      <w:lvlJc w:val="left"/>
      <w:pPr>
        <w:ind w:left="5047" w:hanging="1080"/>
      </w:pPr>
      <w:rPr>
        <w:rFonts w:eastAsiaTheme="minorHAnsi" w:hint="default"/>
      </w:rPr>
    </w:lvl>
    <w:lvl w:ilvl="5">
      <w:start w:val="1"/>
      <w:numFmt w:val="decimal"/>
      <w:isLgl/>
      <w:lvlText w:val="%1.%2.%3.%4.%5.%6."/>
      <w:lvlJc w:val="left"/>
      <w:pPr>
        <w:ind w:left="5826" w:hanging="1080"/>
      </w:pPr>
      <w:rPr>
        <w:rFonts w:eastAsiaTheme="minorHAnsi" w:hint="default"/>
      </w:rPr>
    </w:lvl>
    <w:lvl w:ilvl="6">
      <w:start w:val="1"/>
      <w:numFmt w:val="decimal"/>
      <w:isLgl/>
      <w:lvlText w:val="%1.%2.%3.%4.%5.%6.%7."/>
      <w:lvlJc w:val="left"/>
      <w:pPr>
        <w:ind w:left="6965" w:hanging="1440"/>
      </w:pPr>
      <w:rPr>
        <w:rFonts w:eastAsiaTheme="minorHAnsi" w:hint="default"/>
      </w:rPr>
    </w:lvl>
    <w:lvl w:ilvl="7">
      <w:start w:val="1"/>
      <w:numFmt w:val="decimal"/>
      <w:isLgl/>
      <w:lvlText w:val="%1.%2.%3.%4.%5.%6.%7.%8."/>
      <w:lvlJc w:val="left"/>
      <w:pPr>
        <w:ind w:left="7744" w:hanging="1440"/>
      </w:pPr>
      <w:rPr>
        <w:rFonts w:eastAsiaTheme="minorHAnsi" w:hint="default"/>
      </w:rPr>
    </w:lvl>
    <w:lvl w:ilvl="8">
      <w:start w:val="1"/>
      <w:numFmt w:val="decimal"/>
      <w:isLgl/>
      <w:lvlText w:val="%1.%2.%3.%4.%5.%6.%7.%8.%9."/>
      <w:lvlJc w:val="left"/>
      <w:pPr>
        <w:ind w:left="8883" w:hanging="1800"/>
      </w:pPr>
      <w:rPr>
        <w:rFonts w:eastAsiaTheme="minorHAnsi" w:hint="default"/>
      </w:rPr>
    </w:lvl>
  </w:abstractNum>
  <w:abstractNum w:abstractNumId="3" w15:restartNumberingAfterBreak="0">
    <w:nsid w:val="270360B1"/>
    <w:multiLevelType w:val="hybridMultilevel"/>
    <w:tmpl w:val="5D8E6ED6"/>
    <w:lvl w:ilvl="0" w:tplc="95F44D20">
      <w:start w:val="1"/>
      <w:numFmt w:val="decimal"/>
      <w:lvlText w:val="%1."/>
      <w:lvlJc w:val="left"/>
      <w:pPr>
        <w:ind w:left="1571" w:hanging="360"/>
      </w:pPr>
      <w:rPr>
        <w:rFonts w:eastAsia="Calibri" w:hint="default"/>
      </w:r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4" w15:restartNumberingAfterBreak="0">
    <w:nsid w:val="30015AA2"/>
    <w:multiLevelType w:val="hybridMultilevel"/>
    <w:tmpl w:val="0EDC8156"/>
    <w:lvl w:ilvl="0" w:tplc="A66046C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32010898"/>
    <w:multiLevelType w:val="hybridMultilevel"/>
    <w:tmpl w:val="BB74D88C"/>
    <w:lvl w:ilvl="0" w:tplc="35E4ED14">
      <w:start w:val="3"/>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89E3B8E"/>
    <w:multiLevelType w:val="hybridMultilevel"/>
    <w:tmpl w:val="7D38357C"/>
    <w:lvl w:ilvl="0" w:tplc="F33E1254">
      <w:start w:val="1"/>
      <w:numFmt w:val="decimal"/>
      <w:lvlText w:val="%1)"/>
      <w:lvlJc w:val="left"/>
      <w:pPr>
        <w:ind w:left="961" w:hanging="360"/>
      </w:pPr>
      <w:rPr>
        <w:rFonts w:hint="default"/>
        <w:color w:val="auto"/>
      </w:rPr>
    </w:lvl>
    <w:lvl w:ilvl="1" w:tplc="04260019" w:tentative="1">
      <w:start w:val="1"/>
      <w:numFmt w:val="lowerLetter"/>
      <w:lvlText w:val="%2."/>
      <w:lvlJc w:val="left"/>
      <w:pPr>
        <w:ind w:left="1681" w:hanging="360"/>
      </w:pPr>
    </w:lvl>
    <w:lvl w:ilvl="2" w:tplc="0426001B" w:tentative="1">
      <w:start w:val="1"/>
      <w:numFmt w:val="lowerRoman"/>
      <w:lvlText w:val="%3."/>
      <w:lvlJc w:val="right"/>
      <w:pPr>
        <w:ind w:left="2401" w:hanging="180"/>
      </w:pPr>
    </w:lvl>
    <w:lvl w:ilvl="3" w:tplc="0426000F" w:tentative="1">
      <w:start w:val="1"/>
      <w:numFmt w:val="decimal"/>
      <w:lvlText w:val="%4."/>
      <w:lvlJc w:val="left"/>
      <w:pPr>
        <w:ind w:left="3121" w:hanging="360"/>
      </w:pPr>
    </w:lvl>
    <w:lvl w:ilvl="4" w:tplc="04260019" w:tentative="1">
      <w:start w:val="1"/>
      <w:numFmt w:val="lowerLetter"/>
      <w:lvlText w:val="%5."/>
      <w:lvlJc w:val="left"/>
      <w:pPr>
        <w:ind w:left="3841" w:hanging="360"/>
      </w:pPr>
    </w:lvl>
    <w:lvl w:ilvl="5" w:tplc="0426001B" w:tentative="1">
      <w:start w:val="1"/>
      <w:numFmt w:val="lowerRoman"/>
      <w:lvlText w:val="%6."/>
      <w:lvlJc w:val="right"/>
      <w:pPr>
        <w:ind w:left="4561" w:hanging="180"/>
      </w:pPr>
    </w:lvl>
    <w:lvl w:ilvl="6" w:tplc="0426000F" w:tentative="1">
      <w:start w:val="1"/>
      <w:numFmt w:val="decimal"/>
      <w:lvlText w:val="%7."/>
      <w:lvlJc w:val="left"/>
      <w:pPr>
        <w:ind w:left="5281" w:hanging="360"/>
      </w:pPr>
    </w:lvl>
    <w:lvl w:ilvl="7" w:tplc="04260019" w:tentative="1">
      <w:start w:val="1"/>
      <w:numFmt w:val="lowerLetter"/>
      <w:lvlText w:val="%8."/>
      <w:lvlJc w:val="left"/>
      <w:pPr>
        <w:ind w:left="6001" w:hanging="360"/>
      </w:pPr>
    </w:lvl>
    <w:lvl w:ilvl="8" w:tplc="0426001B" w:tentative="1">
      <w:start w:val="1"/>
      <w:numFmt w:val="lowerRoman"/>
      <w:lvlText w:val="%9."/>
      <w:lvlJc w:val="right"/>
      <w:pPr>
        <w:ind w:left="6721" w:hanging="180"/>
      </w:pPr>
    </w:lvl>
  </w:abstractNum>
  <w:abstractNum w:abstractNumId="7" w15:restartNumberingAfterBreak="0">
    <w:nsid w:val="3D935E73"/>
    <w:multiLevelType w:val="hybridMultilevel"/>
    <w:tmpl w:val="AA843BC0"/>
    <w:lvl w:ilvl="0" w:tplc="54546D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2C0186D"/>
    <w:multiLevelType w:val="hybridMultilevel"/>
    <w:tmpl w:val="0EE81F2A"/>
    <w:lvl w:ilvl="0" w:tplc="E548A3CA">
      <w:start w:val="1"/>
      <w:numFmt w:val="decimal"/>
      <w:lvlText w:val="%1."/>
      <w:lvlJc w:val="left"/>
      <w:pPr>
        <w:ind w:left="1080" w:hanging="360"/>
      </w:pPr>
      <w:rPr>
        <w:rFonts w:ascii="Gotham Pro LT" w:eastAsiaTheme="minorHAnsi" w:hAnsi="Gotham Pro LT" w:cs="Gotham Pro LT" w:hint="default"/>
        <w:b w:val="0"/>
        <w:color w:val="000000"/>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665931B0"/>
    <w:multiLevelType w:val="hybridMultilevel"/>
    <w:tmpl w:val="E6140AF6"/>
    <w:lvl w:ilvl="0" w:tplc="04090017">
      <w:start w:val="1"/>
      <w:numFmt w:val="lowerLetter"/>
      <w:lvlText w:val="%1)"/>
      <w:lvlJc w:val="left"/>
      <w:pPr>
        <w:tabs>
          <w:tab w:val="num" w:pos="720"/>
        </w:tabs>
        <w:ind w:left="720" w:hanging="360"/>
      </w:pPr>
      <w:rPr>
        <w:rFonts w:hint="default"/>
      </w:rPr>
    </w:lvl>
    <w:lvl w:ilvl="1" w:tplc="70C24888" w:tentative="1">
      <w:start w:val="1"/>
      <w:numFmt w:val="bullet"/>
      <w:lvlText w:val=""/>
      <w:lvlJc w:val="left"/>
      <w:pPr>
        <w:tabs>
          <w:tab w:val="num" w:pos="1440"/>
        </w:tabs>
        <w:ind w:left="1440" w:hanging="360"/>
      </w:pPr>
      <w:rPr>
        <w:rFonts w:ascii="Wingdings" w:hAnsi="Wingdings" w:hint="default"/>
      </w:rPr>
    </w:lvl>
    <w:lvl w:ilvl="2" w:tplc="0AE8D282" w:tentative="1">
      <w:start w:val="1"/>
      <w:numFmt w:val="bullet"/>
      <w:lvlText w:val=""/>
      <w:lvlJc w:val="left"/>
      <w:pPr>
        <w:tabs>
          <w:tab w:val="num" w:pos="2160"/>
        </w:tabs>
        <w:ind w:left="2160" w:hanging="360"/>
      </w:pPr>
      <w:rPr>
        <w:rFonts w:ascii="Wingdings" w:hAnsi="Wingdings" w:hint="default"/>
      </w:rPr>
    </w:lvl>
    <w:lvl w:ilvl="3" w:tplc="73585A84" w:tentative="1">
      <w:start w:val="1"/>
      <w:numFmt w:val="bullet"/>
      <w:lvlText w:val=""/>
      <w:lvlJc w:val="left"/>
      <w:pPr>
        <w:tabs>
          <w:tab w:val="num" w:pos="2880"/>
        </w:tabs>
        <w:ind w:left="2880" w:hanging="360"/>
      </w:pPr>
      <w:rPr>
        <w:rFonts w:ascii="Wingdings" w:hAnsi="Wingdings" w:hint="default"/>
      </w:rPr>
    </w:lvl>
    <w:lvl w:ilvl="4" w:tplc="17A8D492" w:tentative="1">
      <w:start w:val="1"/>
      <w:numFmt w:val="bullet"/>
      <w:lvlText w:val=""/>
      <w:lvlJc w:val="left"/>
      <w:pPr>
        <w:tabs>
          <w:tab w:val="num" w:pos="3600"/>
        </w:tabs>
        <w:ind w:left="3600" w:hanging="360"/>
      </w:pPr>
      <w:rPr>
        <w:rFonts w:ascii="Wingdings" w:hAnsi="Wingdings" w:hint="default"/>
      </w:rPr>
    </w:lvl>
    <w:lvl w:ilvl="5" w:tplc="62CEED9E" w:tentative="1">
      <w:start w:val="1"/>
      <w:numFmt w:val="bullet"/>
      <w:lvlText w:val=""/>
      <w:lvlJc w:val="left"/>
      <w:pPr>
        <w:tabs>
          <w:tab w:val="num" w:pos="4320"/>
        </w:tabs>
        <w:ind w:left="4320" w:hanging="360"/>
      </w:pPr>
      <w:rPr>
        <w:rFonts w:ascii="Wingdings" w:hAnsi="Wingdings" w:hint="default"/>
      </w:rPr>
    </w:lvl>
    <w:lvl w:ilvl="6" w:tplc="7AE884AC" w:tentative="1">
      <w:start w:val="1"/>
      <w:numFmt w:val="bullet"/>
      <w:lvlText w:val=""/>
      <w:lvlJc w:val="left"/>
      <w:pPr>
        <w:tabs>
          <w:tab w:val="num" w:pos="5040"/>
        </w:tabs>
        <w:ind w:left="5040" w:hanging="360"/>
      </w:pPr>
      <w:rPr>
        <w:rFonts w:ascii="Wingdings" w:hAnsi="Wingdings" w:hint="default"/>
      </w:rPr>
    </w:lvl>
    <w:lvl w:ilvl="7" w:tplc="6318EB74" w:tentative="1">
      <w:start w:val="1"/>
      <w:numFmt w:val="bullet"/>
      <w:lvlText w:val=""/>
      <w:lvlJc w:val="left"/>
      <w:pPr>
        <w:tabs>
          <w:tab w:val="num" w:pos="5760"/>
        </w:tabs>
        <w:ind w:left="5760" w:hanging="360"/>
      </w:pPr>
      <w:rPr>
        <w:rFonts w:ascii="Wingdings" w:hAnsi="Wingdings" w:hint="default"/>
      </w:rPr>
    </w:lvl>
    <w:lvl w:ilvl="8" w:tplc="7BCC9E7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E4173D"/>
    <w:multiLevelType w:val="hybridMultilevel"/>
    <w:tmpl w:val="F3C6B0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0D851A4"/>
    <w:multiLevelType w:val="hybridMultilevel"/>
    <w:tmpl w:val="7AD0F85C"/>
    <w:lvl w:ilvl="0" w:tplc="04090017">
      <w:start w:val="1"/>
      <w:numFmt w:val="lowerLetter"/>
      <w:lvlText w:val="%1)"/>
      <w:lvlJc w:val="left"/>
      <w:pPr>
        <w:tabs>
          <w:tab w:val="num" w:pos="1080"/>
        </w:tabs>
        <w:ind w:left="1080" w:hanging="360"/>
      </w:pPr>
      <w:rPr>
        <w:rFonts w:hint="default"/>
      </w:rPr>
    </w:lvl>
    <w:lvl w:ilvl="1" w:tplc="70C24888" w:tentative="1">
      <w:start w:val="1"/>
      <w:numFmt w:val="bullet"/>
      <w:lvlText w:val=""/>
      <w:lvlJc w:val="left"/>
      <w:pPr>
        <w:tabs>
          <w:tab w:val="num" w:pos="1800"/>
        </w:tabs>
        <w:ind w:left="1800" w:hanging="360"/>
      </w:pPr>
      <w:rPr>
        <w:rFonts w:ascii="Wingdings" w:hAnsi="Wingdings" w:hint="default"/>
      </w:rPr>
    </w:lvl>
    <w:lvl w:ilvl="2" w:tplc="0AE8D282" w:tentative="1">
      <w:start w:val="1"/>
      <w:numFmt w:val="bullet"/>
      <w:lvlText w:val=""/>
      <w:lvlJc w:val="left"/>
      <w:pPr>
        <w:tabs>
          <w:tab w:val="num" w:pos="2520"/>
        </w:tabs>
        <w:ind w:left="2520" w:hanging="360"/>
      </w:pPr>
      <w:rPr>
        <w:rFonts w:ascii="Wingdings" w:hAnsi="Wingdings" w:hint="default"/>
      </w:rPr>
    </w:lvl>
    <w:lvl w:ilvl="3" w:tplc="73585A84" w:tentative="1">
      <w:start w:val="1"/>
      <w:numFmt w:val="bullet"/>
      <w:lvlText w:val=""/>
      <w:lvlJc w:val="left"/>
      <w:pPr>
        <w:tabs>
          <w:tab w:val="num" w:pos="3240"/>
        </w:tabs>
        <w:ind w:left="3240" w:hanging="360"/>
      </w:pPr>
      <w:rPr>
        <w:rFonts w:ascii="Wingdings" w:hAnsi="Wingdings" w:hint="default"/>
      </w:rPr>
    </w:lvl>
    <w:lvl w:ilvl="4" w:tplc="17A8D492" w:tentative="1">
      <w:start w:val="1"/>
      <w:numFmt w:val="bullet"/>
      <w:lvlText w:val=""/>
      <w:lvlJc w:val="left"/>
      <w:pPr>
        <w:tabs>
          <w:tab w:val="num" w:pos="3960"/>
        </w:tabs>
        <w:ind w:left="3960" w:hanging="360"/>
      </w:pPr>
      <w:rPr>
        <w:rFonts w:ascii="Wingdings" w:hAnsi="Wingdings" w:hint="default"/>
      </w:rPr>
    </w:lvl>
    <w:lvl w:ilvl="5" w:tplc="62CEED9E" w:tentative="1">
      <w:start w:val="1"/>
      <w:numFmt w:val="bullet"/>
      <w:lvlText w:val=""/>
      <w:lvlJc w:val="left"/>
      <w:pPr>
        <w:tabs>
          <w:tab w:val="num" w:pos="4680"/>
        </w:tabs>
        <w:ind w:left="4680" w:hanging="360"/>
      </w:pPr>
      <w:rPr>
        <w:rFonts w:ascii="Wingdings" w:hAnsi="Wingdings" w:hint="default"/>
      </w:rPr>
    </w:lvl>
    <w:lvl w:ilvl="6" w:tplc="7AE884AC" w:tentative="1">
      <w:start w:val="1"/>
      <w:numFmt w:val="bullet"/>
      <w:lvlText w:val=""/>
      <w:lvlJc w:val="left"/>
      <w:pPr>
        <w:tabs>
          <w:tab w:val="num" w:pos="5400"/>
        </w:tabs>
        <w:ind w:left="5400" w:hanging="360"/>
      </w:pPr>
      <w:rPr>
        <w:rFonts w:ascii="Wingdings" w:hAnsi="Wingdings" w:hint="default"/>
      </w:rPr>
    </w:lvl>
    <w:lvl w:ilvl="7" w:tplc="6318EB74" w:tentative="1">
      <w:start w:val="1"/>
      <w:numFmt w:val="bullet"/>
      <w:lvlText w:val=""/>
      <w:lvlJc w:val="left"/>
      <w:pPr>
        <w:tabs>
          <w:tab w:val="num" w:pos="6120"/>
        </w:tabs>
        <w:ind w:left="6120" w:hanging="360"/>
      </w:pPr>
      <w:rPr>
        <w:rFonts w:ascii="Wingdings" w:hAnsi="Wingdings" w:hint="default"/>
      </w:rPr>
    </w:lvl>
    <w:lvl w:ilvl="8" w:tplc="7BCC9E72"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8"/>
  </w:num>
  <w:num w:numId="3">
    <w:abstractNumId w:val="1"/>
  </w:num>
  <w:num w:numId="4">
    <w:abstractNumId w:val="9"/>
  </w:num>
  <w:num w:numId="5">
    <w:abstractNumId w:val="11"/>
  </w:num>
  <w:num w:numId="6">
    <w:abstractNumId w:val="0"/>
  </w:num>
  <w:num w:numId="7">
    <w:abstractNumId w:val="3"/>
  </w:num>
  <w:num w:numId="8">
    <w:abstractNumId w:val="2"/>
  </w:num>
  <w:num w:numId="9">
    <w:abstractNumId w:val="10"/>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F7"/>
    <w:rsid w:val="00047D91"/>
    <w:rsid w:val="00066F66"/>
    <w:rsid w:val="000710B8"/>
    <w:rsid w:val="0007468D"/>
    <w:rsid w:val="000B0676"/>
    <w:rsid w:val="000E7924"/>
    <w:rsid w:val="00174F24"/>
    <w:rsid w:val="00185F05"/>
    <w:rsid w:val="001E57C6"/>
    <w:rsid w:val="00236E74"/>
    <w:rsid w:val="00241ABD"/>
    <w:rsid w:val="00242E65"/>
    <w:rsid w:val="002476FD"/>
    <w:rsid w:val="0026216F"/>
    <w:rsid w:val="002665DB"/>
    <w:rsid w:val="00275A40"/>
    <w:rsid w:val="0028182D"/>
    <w:rsid w:val="002E79FD"/>
    <w:rsid w:val="00323C1A"/>
    <w:rsid w:val="00360E2B"/>
    <w:rsid w:val="003E5F58"/>
    <w:rsid w:val="004C5681"/>
    <w:rsid w:val="00531F4A"/>
    <w:rsid w:val="005A3966"/>
    <w:rsid w:val="005B23B3"/>
    <w:rsid w:val="005C2872"/>
    <w:rsid w:val="00607520"/>
    <w:rsid w:val="0061232B"/>
    <w:rsid w:val="00617E51"/>
    <w:rsid w:val="00652AC3"/>
    <w:rsid w:val="006A673C"/>
    <w:rsid w:val="006C3F27"/>
    <w:rsid w:val="006C5763"/>
    <w:rsid w:val="007C7C17"/>
    <w:rsid w:val="00813C0A"/>
    <w:rsid w:val="00926015"/>
    <w:rsid w:val="00956E77"/>
    <w:rsid w:val="009B0153"/>
    <w:rsid w:val="00A144D6"/>
    <w:rsid w:val="00A1782B"/>
    <w:rsid w:val="00A23203"/>
    <w:rsid w:val="00A3124E"/>
    <w:rsid w:val="00A470CE"/>
    <w:rsid w:val="00AB6799"/>
    <w:rsid w:val="00AF48BA"/>
    <w:rsid w:val="00B071F0"/>
    <w:rsid w:val="00B24523"/>
    <w:rsid w:val="00B510B8"/>
    <w:rsid w:val="00B84D54"/>
    <w:rsid w:val="00C000BA"/>
    <w:rsid w:val="00C62AF7"/>
    <w:rsid w:val="00C702E8"/>
    <w:rsid w:val="00C75066"/>
    <w:rsid w:val="00CC09B7"/>
    <w:rsid w:val="00D07B5A"/>
    <w:rsid w:val="00D07E80"/>
    <w:rsid w:val="00D47922"/>
    <w:rsid w:val="00D65956"/>
    <w:rsid w:val="00D82E66"/>
    <w:rsid w:val="00D8780F"/>
    <w:rsid w:val="00DA2757"/>
    <w:rsid w:val="00DF7698"/>
    <w:rsid w:val="00E25B0D"/>
    <w:rsid w:val="00E3276D"/>
    <w:rsid w:val="00E41F11"/>
    <w:rsid w:val="00E54241"/>
    <w:rsid w:val="00E64FE2"/>
    <w:rsid w:val="00E840D6"/>
    <w:rsid w:val="00E9594F"/>
    <w:rsid w:val="00E97525"/>
    <w:rsid w:val="00F1339A"/>
    <w:rsid w:val="00F22768"/>
    <w:rsid w:val="00F400F8"/>
    <w:rsid w:val="00F77C03"/>
    <w:rsid w:val="00F86DEA"/>
    <w:rsid w:val="00FA4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39979"/>
  <w15:docId w15:val="{E6C29711-1E4A-4DCE-A812-4BFD8C1D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523"/>
  </w:style>
  <w:style w:type="paragraph" w:styleId="Heading3">
    <w:name w:val="heading 3"/>
    <w:basedOn w:val="Normal"/>
    <w:link w:val="Heading3Char"/>
    <w:uiPriority w:val="9"/>
    <w:qFormat/>
    <w:rsid w:val="0026216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A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62AF7"/>
  </w:style>
  <w:style w:type="paragraph" w:styleId="Footer">
    <w:name w:val="footer"/>
    <w:basedOn w:val="Normal"/>
    <w:link w:val="FooterChar"/>
    <w:uiPriority w:val="99"/>
    <w:unhideWhenUsed/>
    <w:rsid w:val="00C62A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62AF7"/>
  </w:style>
  <w:style w:type="paragraph" w:styleId="BalloonText">
    <w:name w:val="Balloon Text"/>
    <w:basedOn w:val="Normal"/>
    <w:link w:val="BalloonTextChar"/>
    <w:uiPriority w:val="99"/>
    <w:semiHidden/>
    <w:unhideWhenUsed/>
    <w:rsid w:val="00C62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AF7"/>
    <w:rPr>
      <w:rFonts w:ascii="Tahoma" w:hAnsi="Tahoma" w:cs="Tahoma"/>
      <w:sz w:val="16"/>
      <w:szCs w:val="16"/>
    </w:rPr>
  </w:style>
  <w:style w:type="character" w:styleId="Hyperlink">
    <w:name w:val="Hyperlink"/>
    <w:basedOn w:val="DefaultParagraphFont"/>
    <w:uiPriority w:val="99"/>
    <w:unhideWhenUsed/>
    <w:rsid w:val="00DF7698"/>
    <w:rPr>
      <w:color w:val="085296"/>
      <w:u w:val="single"/>
    </w:rPr>
  </w:style>
  <w:style w:type="character" w:styleId="PlaceholderText">
    <w:name w:val="Placeholder Text"/>
    <w:basedOn w:val="DefaultParagraphFont"/>
    <w:uiPriority w:val="99"/>
    <w:semiHidden/>
    <w:rsid w:val="00C702E8"/>
    <w:rPr>
      <w:color w:val="808080"/>
    </w:rPr>
  </w:style>
  <w:style w:type="paragraph" w:styleId="NoSpacing">
    <w:name w:val="No Spacing"/>
    <w:link w:val="NoSpacingChar"/>
    <w:uiPriority w:val="1"/>
    <w:qFormat/>
    <w:rsid w:val="000B0676"/>
    <w:pPr>
      <w:widowControl w:val="0"/>
      <w:spacing w:after="0" w:line="240" w:lineRule="auto"/>
    </w:pPr>
    <w:rPr>
      <w:rFonts w:ascii="Times New Roman" w:eastAsia="Calibri" w:hAnsi="Times New Roman" w:cs="Times New Roman"/>
      <w:sz w:val="24"/>
      <w:szCs w:val="24"/>
      <w:lang w:eastAsia="lv-LV"/>
    </w:rPr>
  </w:style>
  <w:style w:type="paragraph" w:customStyle="1" w:styleId="xxxmsonormal">
    <w:name w:val="x_x_x_msonormal"/>
    <w:basedOn w:val="Normal"/>
    <w:rsid w:val="000B0676"/>
    <w:pPr>
      <w:spacing w:after="0" w:line="240" w:lineRule="auto"/>
    </w:pPr>
    <w:rPr>
      <w:rFonts w:ascii="Calibri" w:hAnsi="Calibri" w:cs="Calibri"/>
      <w:lang w:eastAsia="lv-LV"/>
    </w:rPr>
  </w:style>
  <w:style w:type="character" w:customStyle="1" w:styleId="xxxspelle">
    <w:name w:val="x_x_x_spelle"/>
    <w:basedOn w:val="DefaultParagraphFont"/>
    <w:rsid w:val="000B0676"/>
  </w:style>
  <w:style w:type="character" w:customStyle="1" w:styleId="UnresolvedMention">
    <w:name w:val="Unresolved Mention"/>
    <w:basedOn w:val="DefaultParagraphFont"/>
    <w:uiPriority w:val="99"/>
    <w:semiHidden/>
    <w:unhideWhenUsed/>
    <w:rsid w:val="000B0676"/>
    <w:rPr>
      <w:color w:val="605E5C"/>
      <w:shd w:val="clear" w:color="auto" w:fill="E1DFDD"/>
    </w:rPr>
  </w:style>
  <w:style w:type="paragraph" w:styleId="ListParagraph">
    <w:name w:val="List Paragraph"/>
    <w:basedOn w:val="Normal"/>
    <w:uiPriority w:val="34"/>
    <w:qFormat/>
    <w:rsid w:val="00E64FE2"/>
    <w:pPr>
      <w:ind w:left="720"/>
      <w:contextualSpacing/>
    </w:pPr>
  </w:style>
  <w:style w:type="character" w:styleId="CommentReference">
    <w:name w:val="annotation reference"/>
    <w:basedOn w:val="DefaultParagraphFont"/>
    <w:uiPriority w:val="99"/>
    <w:semiHidden/>
    <w:unhideWhenUsed/>
    <w:rsid w:val="00E64FE2"/>
    <w:rPr>
      <w:sz w:val="16"/>
      <w:szCs w:val="16"/>
    </w:rPr>
  </w:style>
  <w:style w:type="paragraph" w:styleId="CommentText">
    <w:name w:val="annotation text"/>
    <w:basedOn w:val="Normal"/>
    <w:link w:val="CommentTextChar"/>
    <w:uiPriority w:val="99"/>
    <w:semiHidden/>
    <w:unhideWhenUsed/>
    <w:rsid w:val="00E64FE2"/>
    <w:pPr>
      <w:spacing w:line="240" w:lineRule="auto"/>
    </w:pPr>
    <w:rPr>
      <w:sz w:val="20"/>
      <w:szCs w:val="20"/>
    </w:rPr>
  </w:style>
  <w:style w:type="character" w:customStyle="1" w:styleId="CommentTextChar">
    <w:name w:val="Comment Text Char"/>
    <w:basedOn w:val="DefaultParagraphFont"/>
    <w:link w:val="CommentText"/>
    <w:uiPriority w:val="99"/>
    <w:semiHidden/>
    <w:rsid w:val="00E64FE2"/>
    <w:rPr>
      <w:sz w:val="20"/>
      <w:szCs w:val="20"/>
    </w:rPr>
  </w:style>
  <w:style w:type="paragraph" w:styleId="CommentSubject">
    <w:name w:val="annotation subject"/>
    <w:basedOn w:val="CommentText"/>
    <w:next w:val="CommentText"/>
    <w:link w:val="CommentSubjectChar"/>
    <w:uiPriority w:val="99"/>
    <w:semiHidden/>
    <w:unhideWhenUsed/>
    <w:rsid w:val="00E64FE2"/>
    <w:rPr>
      <w:b/>
      <w:bCs/>
    </w:rPr>
  </w:style>
  <w:style w:type="character" w:customStyle="1" w:styleId="CommentSubjectChar">
    <w:name w:val="Comment Subject Char"/>
    <w:basedOn w:val="CommentTextChar"/>
    <w:link w:val="CommentSubject"/>
    <w:uiPriority w:val="99"/>
    <w:semiHidden/>
    <w:rsid w:val="00E64FE2"/>
    <w:rPr>
      <w:b/>
      <w:bCs/>
      <w:sz w:val="20"/>
      <w:szCs w:val="20"/>
    </w:rPr>
  </w:style>
  <w:style w:type="paragraph" w:customStyle="1" w:styleId="tv213">
    <w:name w:val="tv213"/>
    <w:basedOn w:val="Normal"/>
    <w:rsid w:val="005B23B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5B23B3"/>
    <w:pPr>
      <w:widowControl w:val="0"/>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5B23B3"/>
    <w:rPr>
      <w:rFonts w:ascii="Calibri" w:eastAsia="Calibri" w:hAnsi="Calibri" w:cs="Times New Roman"/>
      <w:sz w:val="20"/>
      <w:szCs w:val="20"/>
      <w:lang w:val="en-US"/>
    </w:rPr>
  </w:style>
  <w:style w:type="character" w:styleId="FootnoteReference">
    <w:name w:val="footnote reference"/>
    <w:uiPriority w:val="99"/>
    <w:unhideWhenUsed/>
    <w:rsid w:val="005B23B3"/>
    <w:rPr>
      <w:vertAlign w:val="superscript"/>
    </w:rPr>
  </w:style>
  <w:style w:type="character" w:customStyle="1" w:styleId="Bodytext2">
    <w:name w:val="Body text (2)_"/>
    <w:basedOn w:val="DefaultParagraphFont"/>
    <w:link w:val="Bodytext21"/>
    <w:rsid w:val="005B23B3"/>
    <w:rPr>
      <w:rFonts w:ascii="Book Antiqua" w:eastAsia="Book Antiqua" w:hAnsi="Book Antiqua" w:cs="Book Antiqua"/>
      <w:sz w:val="17"/>
      <w:szCs w:val="17"/>
      <w:shd w:val="clear" w:color="auto" w:fill="FFFFFF"/>
    </w:rPr>
  </w:style>
  <w:style w:type="paragraph" w:customStyle="1" w:styleId="Bodytext21">
    <w:name w:val="Body text (2)1"/>
    <w:basedOn w:val="Normal"/>
    <w:link w:val="Bodytext2"/>
    <w:rsid w:val="005B23B3"/>
    <w:pPr>
      <w:widowControl w:val="0"/>
      <w:shd w:val="clear" w:color="auto" w:fill="FFFFFF"/>
      <w:spacing w:after="0" w:line="250" w:lineRule="exact"/>
      <w:jc w:val="both"/>
    </w:pPr>
    <w:rPr>
      <w:rFonts w:ascii="Book Antiqua" w:eastAsia="Book Antiqua" w:hAnsi="Book Antiqua" w:cs="Book Antiqua"/>
      <w:sz w:val="17"/>
      <w:szCs w:val="17"/>
    </w:rPr>
  </w:style>
  <w:style w:type="character" w:customStyle="1" w:styleId="NoSpacingChar">
    <w:name w:val="No Spacing Char"/>
    <w:basedOn w:val="DefaultParagraphFont"/>
    <w:link w:val="NoSpacing"/>
    <w:uiPriority w:val="1"/>
    <w:rsid w:val="005B23B3"/>
    <w:rPr>
      <w:rFonts w:ascii="Times New Roman" w:eastAsia="Calibri" w:hAnsi="Times New Roman" w:cs="Times New Roman"/>
      <w:sz w:val="24"/>
      <w:szCs w:val="24"/>
      <w:lang w:eastAsia="lv-LV"/>
    </w:rPr>
  </w:style>
  <w:style w:type="character" w:customStyle="1" w:styleId="highlight">
    <w:name w:val="highlight"/>
    <w:basedOn w:val="DefaultParagraphFont"/>
    <w:rsid w:val="005B23B3"/>
  </w:style>
  <w:style w:type="character" w:customStyle="1" w:styleId="Heading3Char">
    <w:name w:val="Heading 3 Char"/>
    <w:basedOn w:val="DefaultParagraphFont"/>
    <w:link w:val="Heading3"/>
    <w:uiPriority w:val="9"/>
    <w:rsid w:val="0026216F"/>
    <w:rPr>
      <w:rFonts w:ascii="Times New Roman" w:eastAsia="Times New Roman" w:hAnsi="Times New Roman" w:cs="Times New Roman"/>
      <w:b/>
      <w:bCs/>
      <w:sz w:val="27"/>
      <w:szCs w:val="27"/>
      <w:lang w:eastAsia="lv-LV"/>
    </w:rPr>
  </w:style>
  <w:style w:type="paragraph" w:customStyle="1" w:styleId="title-doc-first">
    <w:name w:val="title-doc-first"/>
    <w:basedOn w:val="Normal"/>
    <w:rsid w:val="0026216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723391">
      <w:bodyDiv w:val="1"/>
      <w:marLeft w:val="0"/>
      <w:marRight w:val="0"/>
      <w:marTop w:val="0"/>
      <w:marBottom w:val="0"/>
      <w:divBdr>
        <w:top w:val="none" w:sz="0" w:space="0" w:color="auto"/>
        <w:left w:val="none" w:sz="0" w:space="0" w:color="auto"/>
        <w:bottom w:val="none" w:sz="0" w:space="0" w:color="auto"/>
        <w:right w:val="none" w:sz="0" w:space="0" w:color="auto"/>
      </w:divBdr>
    </w:div>
    <w:div w:id="1245338186">
      <w:bodyDiv w:val="1"/>
      <w:marLeft w:val="0"/>
      <w:marRight w:val="0"/>
      <w:marTop w:val="0"/>
      <w:marBottom w:val="0"/>
      <w:divBdr>
        <w:top w:val="none" w:sz="0" w:space="0" w:color="auto"/>
        <w:left w:val="none" w:sz="0" w:space="0" w:color="auto"/>
        <w:bottom w:val="none" w:sz="0" w:space="0" w:color="auto"/>
        <w:right w:val="none" w:sz="0" w:space="0" w:color="auto"/>
      </w:divBdr>
      <w:divsChild>
        <w:div w:id="1831479394">
          <w:marLeft w:val="0"/>
          <w:marRight w:val="0"/>
          <w:marTop w:val="0"/>
          <w:marBottom w:val="0"/>
          <w:divBdr>
            <w:top w:val="none" w:sz="0" w:space="0" w:color="auto"/>
            <w:left w:val="none" w:sz="0" w:space="0" w:color="auto"/>
            <w:bottom w:val="none" w:sz="0" w:space="0" w:color="auto"/>
            <w:right w:val="none" w:sz="0" w:space="0" w:color="auto"/>
          </w:divBdr>
          <w:divsChild>
            <w:div w:id="216430370">
              <w:marLeft w:val="0"/>
              <w:marRight w:val="0"/>
              <w:marTop w:val="0"/>
              <w:marBottom w:val="0"/>
              <w:divBdr>
                <w:top w:val="none" w:sz="0" w:space="0" w:color="auto"/>
                <w:left w:val="none" w:sz="0" w:space="0" w:color="auto"/>
                <w:bottom w:val="none" w:sz="0" w:space="0" w:color="auto"/>
                <w:right w:val="none" w:sz="0" w:space="0" w:color="auto"/>
              </w:divBdr>
              <w:divsChild>
                <w:div w:id="1603611521">
                  <w:marLeft w:val="0"/>
                  <w:marRight w:val="0"/>
                  <w:marTop w:val="0"/>
                  <w:marBottom w:val="0"/>
                  <w:divBdr>
                    <w:top w:val="none" w:sz="0" w:space="0" w:color="auto"/>
                    <w:left w:val="none" w:sz="0" w:space="0" w:color="auto"/>
                    <w:bottom w:val="none" w:sz="0" w:space="0" w:color="auto"/>
                    <w:right w:val="none" w:sz="0" w:space="0" w:color="auto"/>
                  </w:divBdr>
                  <w:divsChild>
                    <w:div w:id="170686221">
                      <w:marLeft w:val="0"/>
                      <w:marRight w:val="0"/>
                      <w:marTop w:val="0"/>
                      <w:marBottom w:val="0"/>
                      <w:divBdr>
                        <w:top w:val="none" w:sz="0" w:space="0" w:color="auto"/>
                        <w:left w:val="none" w:sz="0" w:space="0" w:color="auto"/>
                        <w:bottom w:val="none" w:sz="0" w:space="0" w:color="auto"/>
                        <w:right w:val="none" w:sz="0" w:space="0" w:color="auto"/>
                      </w:divBdr>
                      <w:divsChild>
                        <w:div w:id="15312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95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ese.Albova@fm.gov.lv" TargetMode="External"/><Relationship Id="rId18" Type="http://schemas.openxmlformats.org/officeDocument/2006/relationships/image" Target="media/image1.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likumi.lv/ta/id/87547" TargetMode="External"/><Relationship Id="rId7" Type="http://schemas.openxmlformats.org/officeDocument/2006/relationships/settings" Target="settings.xml"/><Relationship Id="rId12" Type="http://schemas.openxmlformats.org/officeDocument/2006/relationships/hyperlink" Target="mailto:egita.skibele@fm.gov.lv" TargetMode="External"/><Relationship Id="rId17" Type="http://schemas.openxmlformats.org/officeDocument/2006/relationships/hyperlink" Target="https://eur-lex.europa.eu/procedure/EN/2018_168"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egita.skibele@fm.gov.lv" TargetMode="External"/><Relationship Id="rId20" Type="http://schemas.openxmlformats.org/officeDocument/2006/relationships/image" Target="media/image3.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ts@fm.gov.lv"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pasts@fm.gov.lv"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sts@mk.gov.lv"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ltab@ltab.lv" TargetMode="External"/><Relationship Id="rId2" Type="http://schemas.openxmlformats.org/officeDocument/2006/relationships/hyperlink" Target="http://www.ltab.lv" TargetMode="External"/><Relationship Id="rId1" Type="http://schemas.openxmlformats.org/officeDocument/2006/relationships/hyperlink" Target="mailto:ltab@ltab.lv" TargetMode="External"/><Relationship Id="rId4" Type="http://schemas.openxmlformats.org/officeDocument/2006/relationships/hyperlink" Target="http://www.ltab.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34D5A16F4C44F29DA4359B433FD429"/>
        <w:category>
          <w:name w:val="General"/>
          <w:gallery w:val="placeholder"/>
        </w:category>
        <w:types>
          <w:type w:val="bbPlcHdr"/>
        </w:types>
        <w:behaviors>
          <w:behavior w:val="content"/>
        </w:behaviors>
        <w:guid w:val="{C0C25602-4298-4556-84A5-3528F0AB2686}"/>
      </w:docPartPr>
      <w:docPartBody>
        <w:p w:rsidR="0005011B" w:rsidRDefault="00EC0090" w:rsidP="00EC0090">
          <w:pPr>
            <w:pStyle w:val="A834D5A16F4C44F29DA4359B433FD429"/>
          </w:pPr>
          <w:r w:rsidRPr="008139CB">
            <w:rPr>
              <w:rStyle w:val="PlaceholderText"/>
            </w:rPr>
            <w:t>[Reģistrēšanas datums]</w:t>
          </w:r>
        </w:p>
      </w:docPartBody>
    </w:docPart>
    <w:docPart>
      <w:docPartPr>
        <w:name w:val="4E0FEC1A292F419C82C8398F35ED4E1E"/>
        <w:category>
          <w:name w:val="General"/>
          <w:gallery w:val="placeholder"/>
        </w:category>
        <w:types>
          <w:type w:val="bbPlcHdr"/>
        </w:types>
        <w:behaviors>
          <w:behavior w:val="content"/>
        </w:behaviors>
        <w:guid w:val="{10FD8A50-6F0F-4A21-A058-7D961DF20B55}"/>
      </w:docPartPr>
      <w:docPartBody>
        <w:p w:rsidR="0005011B" w:rsidRDefault="00EC0090" w:rsidP="00EC0090">
          <w:pPr>
            <w:pStyle w:val="4E0FEC1A292F419C82C8398F35ED4E1E"/>
          </w:pPr>
          <w:r w:rsidRPr="008139CB">
            <w:rPr>
              <w:rStyle w:val="PlaceholderText"/>
            </w:rPr>
            <w:t>[LTAB numurs]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Gotham Pro LT">
    <w:altName w:val="Calibri"/>
    <w:charset w:val="BA"/>
    <w:family w:val="auto"/>
    <w:pitch w:val="variable"/>
    <w:sig w:usb0="80000AAF" w:usb1="5000204A" w:usb2="00000000" w:usb3="00000000" w:csb0="000000B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26"/>
    <w:rsid w:val="00014491"/>
    <w:rsid w:val="0005011B"/>
    <w:rsid w:val="00896413"/>
    <w:rsid w:val="008C1526"/>
    <w:rsid w:val="00AA1BA8"/>
    <w:rsid w:val="00AA2E89"/>
    <w:rsid w:val="00BC47DE"/>
    <w:rsid w:val="00BE1364"/>
    <w:rsid w:val="00D17C29"/>
    <w:rsid w:val="00DD5D85"/>
    <w:rsid w:val="00EC0090"/>
    <w:rsid w:val="00F169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090"/>
    <w:rPr>
      <w:color w:val="808080"/>
    </w:rPr>
  </w:style>
  <w:style w:type="paragraph" w:customStyle="1" w:styleId="A834D5A16F4C44F29DA4359B433FD429">
    <w:name w:val="A834D5A16F4C44F29DA4359B433FD429"/>
    <w:rsid w:val="00EC0090"/>
    <w:pPr>
      <w:spacing w:after="160" w:line="259" w:lineRule="auto"/>
    </w:pPr>
  </w:style>
  <w:style w:type="paragraph" w:customStyle="1" w:styleId="4E0FEC1A292F419C82C8398F35ED4E1E">
    <w:name w:val="4E0FEC1A292F419C82C8398F35ED4E1E"/>
    <w:rsid w:val="00EC009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28C1A1C0DE2DA44BDEE73C4E3D7B086" ma:contentTypeVersion="3" ma:contentTypeDescription="Izveidot jaunu dokumentu." ma:contentTypeScope="" ma:versionID="ec84c31419514c8b301bd85aa49e0a52">
  <xsd:schema xmlns:xsd="http://www.w3.org/2001/XMLSchema" xmlns:xs="http://www.w3.org/2001/XMLSchema" xmlns:p="http://schemas.microsoft.com/office/2006/metadata/properties" xmlns:ns2="f123fc61-7915-4898-8636-52bfc24319d4" xmlns:ns3="80613d6c-201e-4be1-b27a-7e1bf41d8677" targetNamespace="http://schemas.microsoft.com/office/2006/metadata/properties" ma:root="true" ma:fieldsID="97382bbec2737b8f4280c2d2c53de7ad" ns2:_="" ns3:_="">
    <xsd:import namespace="f123fc61-7915-4898-8636-52bfc24319d4"/>
    <xsd:import namespace="80613d6c-201e-4be1-b27a-7e1bf41d8677"/>
    <xsd:element name="properties">
      <xsd:complexType>
        <xsd:sequence>
          <xsd:element name="documentManagement">
            <xsd:complexType>
              <xsd:all>
                <xsd:element ref="ns2:DokRegDatums" minOccurs="0"/>
                <xsd:element ref="ns2:DokParakstitaji" minOccurs="0"/>
                <xsd:element ref="ns2:DokNumurs" minOccurs="0"/>
                <xsd:element ref="ns3:D320F758A3D245D2A7D76018125F5A02"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3fc61-7915-4898-8636-52bfc24319d4" elementFormDefault="qualified">
    <xsd:import namespace="http://schemas.microsoft.com/office/2006/documentManagement/types"/>
    <xsd:import namespace="http://schemas.microsoft.com/office/infopath/2007/PartnerControls"/>
    <xsd:element name="DokRegDatums" ma:index="8" nillable="true" ma:displayName="Reģistrēšanas datums" ma:default="" ma:format="DateOnly" ma:internalName="DokRegDatums" ma:readOnly="false">
      <xsd:simpleType>
        <xsd:restriction base="dms:DateTime"/>
      </xsd:simpleType>
    </xsd:element>
    <xsd:element name="DokParakstitaji" ma:index="9" nillable="true" ma:displayName="Parakstītāji (LTAB)" ma:description="" ma:list="UserInfo" ma:SharePointGroup="0" ma:internalName="DokParakstitaji"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kNumurs" ma:index="10" nillable="true" ma:displayName="LTAB numurs" ma:default="" ma:internalName="DokNumur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613d6c-201e-4be1-b27a-7e1bf41d8677" elementFormDefault="qualified">
    <xsd:import namespace="http://schemas.microsoft.com/office/2006/documentManagement/types"/>
    <xsd:import namespace="http://schemas.microsoft.com/office/infopath/2007/PartnerControls"/>
    <xsd:element name="D320F758A3D245D2A7D76018125F5A02" ma:index="11" nillable="true" ma:taxonomy="true" ma:internalName="D320F758A3D245D2A7D76018125F5A02" ma:taxonomyFieldName="Dokumenta_x0020_veids" ma:displayName="Faila veids" ma:default="" ma:fieldId="{d320f758-a3d2-45d2-a7d7-6018125f5a02}" ma:sspId="1ac5e261-a64d-4ceb-a974-e4061fbbeb5b" ma:termSetId="5a451c67-2bb4-406f-81c0-e9b1733a13e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0e8c042-24be-4595-97e5-6654cf41011a}" ma:internalName="TaxCatchAll" ma:showField="CatchAllData" ma:web="f123fc61-7915-4898-8636-52bfc24319d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0e8c042-24be-4595-97e5-6654cf41011a}" ma:internalName="TaxCatchAllLabel" ma:readOnly="true" ma:showField="CatchAllDataLabel" ma:web="f123fc61-7915-4898-8636-52bfc24319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0613d6c-201e-4be1-b27a-7e1bf41d8677"/>
    <DokParakstitaji xmlns="f123fc61-7915-4898-8636-52bfc24319d4">
      <UserInfo>
        <DisplayName>Jānis Abāšins</DisplayName>
        <AccountId>31</AccountId>
        <AccountType/>
      </UserInfo>
    </DokParakstitaji>
    <DokRegDatums xmlns="f123fc61-7915-4898-8636-52bfc24319d4">2021-08-19T10:26:10+00:00</DokRegDatums>
    <DokNumurs xmlns="f123fc61-7915-4898-8636-52bfc24319d4" xsi:nil="true"/>
    <D320F758A3D245D2A7D76018125F5A02 xmlns="80613d6c-201e-4be1-b27a-7e1bf41d8677">
      <Terms xmlns="http://schemas.microsoft.com/office/infopath/2007/PartnerControls"/>
    </D320F758A3D245D2A7D76018125F5A0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61FBE-FF2B-4B59-9AD3-4BBC78FD9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3fc61-7915-4898-8636-52bfc24319d4"/>
    <ds:schemaRef ds:uri="80613d6c-201e-4be1-b27a-7e1bf41d8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1C104-9573-4A73-9C45-EB4DB7462191}">
  <ds:schemaRefs>
    <ds:schemaRef ds:uri="http://schemas.microsoft.com/sharepoint/v3/contenttype/forms"/>
  </ds:schemaRefs>
</ds:datastoreItem>
</file>

<file path=customXml/itemProps3.xml><?xml version="1.0" encoding="utf-8"?>
<ds:datastoreItem xmlns:ds="http://schemas.openxmlformats.org/officeDocument/2006/customXml" ds:itemID="{2DFF2E7C-4C4B-44D9-AB99-D3D6EA390431}">
  <ds:schemaRefs>
    <ds:schemaRef ds:uri="http://schemas.microsoft.com/office/2006/metadata/properties"/>
    <ds:schemaRef ds:uri="http://schemas.microsoft.com/office/infopath/2007/PartnerControls"/>
    <ds:schemaRef ds:uri="80613d6c-201e-4be1-b27a-7e1bf41d8677"/>
    <ds:schemaRef ds:uri="f123fc61-7915-4898-8636-52bfc24319d4"/>
  </ds:schemaRefs>
</ds:datastoreItem>
</file>

<file path=customXml/itemProps4.xml><?xml version="1.0" encoding="utf-8"?>
<ds:datastoreItem xmlns:ds="http://schemas.openxmlformats.org/officeDocument/2006/customXml" ds:itemID="{7B597110-F63B-401B-9231-4052D8FA2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24817</Words>
  <Characters>14147</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
    </vt:vector>
  </TitlesOfParts>
  <Manager>inese.albova@fm.gov.lv</Manager>
  <Company>Finansu ministrija</Company>
  <LinksUpToDate>false</LinksUpToDate>
  <CharactersWithSpaces>38887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izziņai par atzinumos sniegtajiem iebildumiem</dc:title>
  <dc:creator/>
  <dc:description>67083857, inese.albova@fm.gov.lv</dc:description>
  <cp:lastModifiedBy>Inese Albova</cp:lastModifiedBy>
  <cp:revision>4</cp:revision>
  <dcterms:created xsi:type="dcterms:W3CDTF">2021-08-20T07:39:00Z</dcterms:created>
  <dcterms:modified xsi:type="dcterms:W3CDTF">2021-08-20T10:16:00Z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0x010100328C1A1C0DE2DA44BDEE73C4E3D7B086</vt:lpwstr>
  </property>
  <property fmtid="{D5CDD505-2E9C-101B-9397-08002B2CF9AE}" pid="3" name="Dokumenta veids">
    <vt:lpwstr/>
  </property>
  <property fmtid="{D5CDD505-2E9C-101B-9397-08002B2CF9AE}" pid="4" name="_docset_NoMedatataSyncRequired">
    <vt:lpwstr>False</vt:lpwstr>
  </property>
</Properties>
</file>