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81A7" w14:textId="77777777" w:rsidR="00597155" w:rsidRPr="00AF0176" w:rsidRDefault="00597155" w:rsidP="00597155">
      <w:pPr>
        <w:tabs>
          <w:tab w:val="left" w:pos="6663"/>
        </w:tabs>
        <w:spacing w:after="0"/>
        <w:ind w:firstLine="0"/>
        <w:rPr>
          <w:sz w:val="28"/>
          <w:szCs w:val="28"/>
        </w:rPr>
      </w:pPr>
    </w:p>
    <w:p w14:paraId="7BB2351E" w14:textId="77777777" w:rsidR="00597155" w:rsidRPr="00AF0176" w:rsidRDefault="00597155" w:rsidP="00597155">
      <w:pPr>
        <w:tabs>
          <w:tab w:val="left" w:pos="6663"/>
        </w:tabs>
        <w:spacing w:after="0"/>
        <w:ind w:firstLine="0"/>
        <w:rPr>
          <w:sz w:val="28"/>
          <w:szCs w:val="28"/>
        </w:rPr>
      </w:pPr>
    </w:p>
    <w:p w14:paraId="464C606E" w14:textId="77777777" w:rsidR="00597155" w:rsidRPr="00AF0176" w:rsidRDefault="00597155" w:rsidP="00597155">
      <w:pPr>
        <w:tabs>
          <w:tab w:val="left" w:pos="6663"/>
        </w:tabs>
        <w:spacing w:after="0"/>
        <w:ind w:firstLine="0"/>
        <w:rPr>
          <w:sz w:val="28"/>
          <w:szCs w:val="28"/>
        </w:rPr>
      </w:pPr>
    </w:p>
    <w:p w14:paraId="7E35070B" w14:textId="3D21638B" w:rsidR="00597155" w:rsidRPr="00AF0176" w:rsidRDefault="00597155" w:rsidP="00597155">
      <w:pPr>
        <w:tabs>
          <w:tab w:val="left" w:pos="6663"/>
        </w:tabs>
        <w:spacing w:after="0"/>
        <w:ind w:firstLine="0"/>
        <w:rPr>
          <w:b/>
          <w:sz w:val="28"/>
          <w:szCs w:val="28"/>
        </w:rPr>
      </w:pPr>
      <w:r w:rsidRPr="00AF0176">
        <w:rPr>
          <w:sz w:val="28"/>
          <w:szCs w:val="28"/>
        </w:rPr>
        <w:t>2021</w:t>
      </w:r>
      <w:r w:rsidR="00C73DC4" w:rsidRPr="00AF0176">
        <w:rPr>
          <w:sz w:val="28"/>
          <w:szCs w:val="28"/>
        </w:rPr>
        <w:t>. </w:t>
      </w:r>
      <w:r w:rsidRPr="00AF0176">
        <w:rPr>
          <w:sz w:val="28"/>
          <w:szCs w:val="28"/>
        </w:rPr>
        <w:t xml:space="preserve">gada </w:t>
      </w:r>
      <w:r w:rsidR="00D7080B">
        <w:rPr>
          <w:rFonts w:eastAsia="Times New Roman"/>
          <w:sz w:val="28"/>
          <w:szCs w:val="28"/>
        </w:rPr>
        <w:t>31. augustā</w:t>
      </w:r>
      <w:r w:rsidRPr="00AF0176">
        <w:rPr>
          <w:sz w:val="28"/>
          <w:szCs w:val="28"/>
        </w:rPr>
        <w:tab/>
        <w:t>Noteikumi Nr.</w:t>
      </w:r>
      <w:r w:rsidR="00D7080B">
        <w:rPr>
          <w:sz w:val="28"/>
          <w:szCs w:val="28"/>
        </w:rPr>
        <w:t> 590</w:t>
      </w:r>
    </w:p>
    <w:p w14:paraId="535C1D6B" w14:textId="085D82E5" w:rsidR="00597155" w:rsidRPr="00AF0176" w:rsidRDefault="00597155" w:rsidP="00597155">
      <w:pPr>
        <w:tabs>
          <w:tab w:val="left" w:pos="6663"/>
        </w:tabs>
        <w:spacing w:after="0"/>
        <w:ind w:firstLine="0"/>
        <w:rPr>
          <w:sz w:val="28"/>
          <w:szCs w:val="28"/>
        </w:rPr>
      </w:pPr>
      <w:r w:rsidRPr="00AF0176">
        <w:rPr>
          <w:sz w:val="28"/>
          <w:szCs w:val="28"/>
        </w:rPr>
        <w:t>Rīgā</w:t>
      </w:r>
      <w:r w:rsidRPr="00AF0176">
        <w:rPr>
          <w:sz w:val="28"/>
          <w:szCs w:val="28"/>
        </w:rPr>
        <w:tab/>
        <w:t>(prot</w:t>
      </w:r>
      <w:r w:rsidR="00C73DC4" w:rsidRPr="00AF0176">
        <w:rPr>
          <w:sz w:val="28"/>
          <w:szCs w:val="28"/>
        </w:rPr>
        <w:t>. </w:t>
      </w:r>
      <w:r w:rsidRPr="00AF0176">
        <w:rPr>
          <w:sz w:val="28"/>
          <w:szCs w:val="28"/>
        </w:rPr>
        <w:t>Nr</w:t>
      </w:r>
      <w:r w:rsidR="00C73DC4" w:rsidRPr="00AF0176">
        <w:rPr>
          <w:sz w:val="28"/>
          <w:szCs w:val="28"/>
        </w:rPr>
        <w:t>. </w:t>
      </w:r>
      <w:r w:rsidR="00D7080B">
        <w:rPr>
          <w:sz w:val="28"/>
          <w:szCs w:val="28"/>
        </w:rPr>
        <w:t>58 3</w:t>
      </w:r>
      <w:bookmarkStart w:id="0" w:name="_GoBack"/>
      <w:bookmarkEnd w:id="0"/>
      <w:r w:rsidR="00C73DC4" w:rsidRPr="00AF0176">
        <w:rPr>
          <w:sz w:val="28"/>
          <w:szCs w:val="28"/>
        </w:rPr>
        <w:t>. </w:t>
      </w:r>
      <w:r w:rsidRPr="00AF0176">
        <w:rPr>
          <w:sz w:val="28"/>
          <w:szCs w:val="28"/>
        </w:rPr>
        <w:t>§)</w:t>
      </w:r>
    </w:p>
    <w:p w14:paraId="42FB39F8" w14:textId="6E564229" w:rsidR="00C33166" w:rsidRPr="00AF0176" w:rsidRDefault="00C33166" w:rsidP="00597155">
      <w:pPr>
        <w:pStyle w:val="NormalWeb"/>
        <w:spacing w:before="0" w:beforeAutospacing="0" w:after="0" w:afterAutospacing="0"/>
        <w:rPr>
          <w:sz w:val="28"/>
          <w:szCs w:val="28"/>
        </w:rPr>
      </w:pPr>
    </w:p>
    <w:p w14:paraId="00D1D29D" w14:textId="7BBB67AD" w:rsidR="00676B74" w:rsidRPr="00AF0176" w:rsidRDefault="00676B74" w:rsidP="00597155">
      <w:pPr>
        <w:spacing w:after="0"/>
        <w:ind w:firstLine="0"/>
        <w:jc w:val="center"/>
        <w:rPr>
          <w:rFonts w:eastAsia="Times New Roman" w:cs="Times New Roman"/>
          <w:b/>
          <w:bCs/>
          <w:sz w:val="28"/>
          <w:szCs w:val="28"/>
          <w:lang w:eastAsia="lv-LV"/>
        </w:rPr>
      </w:pPr>
      <w:r w:rsidRPr="00AF0176">
        <w:rPr>
          <w:rFonts w:eastAsia="Times New Roman" w:cs="Times New Roman"/>
          <w:b/>
          <w:bCs/>
          <w:sz w:val="28"/>
          <w:szCs w:val="28"/>
          <w:lang w:eastAsia="lv-LV"/>
        </w:rPr>
        <w:t>Kārtība, kādā grāmatvedībā novērtē un finanšu pārskatos norāda uzņēmuma mantu un saistības, ja uzņēmuma vai tā struktūrvienības darbība tiek izbeigta</w:t>
      </w:r>
    </w:p>
    <w:p w14:paraId="0C896EDC" w14:textId="77777777" w:rsidR="00E1069E" w:rsidRPr="00AF0176" w:rsidRDefault="00E1069E" w:rsidP="001122A5">
      <w:pPr>
        <w:pStyle w:val="NormalWeb"/>
        <w:spacing w:before="0" w:beforeAutospacing="0" w:after="0" w:afterAutospacing="0"/>
      </w:pPr>
    </w:p>
    <w:p w14:paraId="0F6EACA4" w14:textId="77777777" w:rsidR="00B774ED" w:rsidRPr="00AF0176" w:rsidRDefault="00E1069E" w:rsidP="00597155">
      <w:pPr>
        <w:spacing w:after="0"/>
        <w:jc w:val="right"/>
        <w:rPr>
          <w:sz w:val="28"/>
          <w:szCs w:val="28"/>
        </w:rPr>
      </w:pPr>
      <w:r w:rsidRPr="00AF0176">
        <w:rPr>
          <w:sz w:val="28"/>
          <w:szCs w:val="28"/>
        </w:rPr>
        <w:t>Izdoti saskaņā ar</w:t>
      </w:r>
    </w:p>
    <w:p w14:paraId="23E1CFD5" w14:textId="77777777" w:rsidR="00E1069E" w:rsidRPr="00AF0176" w:rsidRDefault="00E1069E" w:rsidP="00597155">
      <w:pPr>
        <w:spacing w:after="0"/>
        <w:jc w:val="right"/>
        <w:rPr>
          <w:sz w:val="28"/>
          <w:szCs w:val="28"/>
        </w:rPr>
      </w:pPr>
      <w:r w:rsidRPr="00AF0176">
        <w:rPr>
          <w:sz w:val="28"/>
          <w:szCs w:val="28"/>
        </w:rPr>
        <w:t xml:space="preserve"> Grāmatvedības likuma</w:t>
      </w:r>
    </w:p>
    <w:p w14:paraId="28EEDBB6" w14:textId="1A6FF262" w:rsidR="00E1069E" w:rsidRPr="00AF0176" w:rsidRDefault="005E425B" w:rsidP="00597155">
      <w:pPr>
        <w:spacing w:after="0"/>
        <w:jc w:val="right"/>
        <w:rPr>
          <w:sz w:val="28"/>
          <w:szCs w:val="28"/>
        </w:rPr>
      </w:pPr>
      <w:r w:rsidRPr="00AF0176">
        <w:rPr>
          <w:sz w:val="28"/>
          <w:szCs w:val="28"/>
        </w:rPr>
        <w:t>21</w:t>
      </w:r>
      <w:r w:rsidR="00C73DC4" w:rsidRPr="00AF0176">
        <w:rPr>
          <w:sz w:val="28"/>
          <w:szCs w:val="28"/>
        </w:rPr>
        <w:t>. </w:t>
      </w:r>
      <w:r w:rsidR="00E1069E" w:rsidRPr="00AF0176">
        <w:rPr>
          <w:sz w:val="28"/>
          <w:szCs w:val="28"/>
        </w:rPr>
        <w:t xml:space="preserve">panta </w:t>
      </w:r>
      <w:r w:rsidR="00866DC8" w:rsidRPr="00AF0176">
        <w:rPr>
          <w:sz w:val="28"/>
          <w:szCs w:val="28"/>
        </w:rPr>
        <w:t>trešo daļu</w:t>
      </w:r>
    </w:p>
    <w:p w14:paraId="6E6F8F39" w14:textId="77777777" w:rsidR="003D0E9E" w:rsidRPr="00AF0176" w:rsidRDefault="003D0E9E" w:rsidP="001122A5">
      <w:pPr>
        <w:pStyle w:val="NormalWeb"/>
        <w:spacing w:before="0" w:beforeAutospacing="0" w:after="0" w:afterAutospacing="0"/>
      </w:pPr>
    </w:p>
    <w:p w14:paraId="48D66572" w14:textId="26CF60D3" w:rsidR="003D0E9E" w:rsidRPr="00AF0176" w:rsidRDefault="00C73DC4" w:rsidP="001122A5">
      <w:pPr>
        <w:spacing w:after="0"/>
        <w:ind w:firstLine="0"/>
        <w:jc w:val="center"/>
        <w:rPr>
          <w:rFonts w:cs="Times New Roman"/>
          <w:b/>
          <w:sz w:val="28"/>
          <w:szCs w:val="28"/>
        </w:rPr>
      </w:pPr>
      <w:r w:rsidRPr="00AF0176">
        <w:rPr>
          <w:rFonts w:cs="Times New Roman"/>
          <w:b/>
          <w:sz w:val="28"/>
          <w:szCs w:val="28"/>
        </w:rPr>
        <w:t>I. </w:t>
      </w:r>
      <w:r w:rsidR="003D0E9E" w:rsidRPr="00AF0176">
        <w:rPr>
          <w:rFonts w:cs="Times New Roman"/>
          <w:b/>
          <w:sz w:val="28"/>
          <w:szCs w:val="28"/>
        </w:rPr>
        <w:t>Vispārīgie jautājumi</w:t>
      </w:r>
    </w:p>
    <w:p w14:paraId="63FE9FA7" w14:textId="77777777" w:rsidR="003D0E9E" w:rsidRPr="00AF0176" w:rsidRDefault="003D0E9E" w:rsidP="001122A5">
      <w:pPr>
        <w:pStyle w:val="NormalWeb"/>
        <w:spacing w:before="0" w:beforeAutospacing="0" w:after="0" w:afterAutospacing="0"/>
        <w:ind w:firstLine="709"/>
        <w:rPr>
          <w:sz w:val="28"/>
          <w:szCs w:val="28"/>
        </w:rPr>
      </w:pPr>
    </w:p>
    <w:p w14:paraId="3A3FB052" w14:textId="53B26B6C" w:rsidR="003D0E9E" w:rsidRPr="00AF0176" w:rsidRDefault="003D0E9E" w:rsidP="00425273">
      <w:pPr>
        <w:spacing w:after="0"/>
        <w:rPr>
          <w:rFonts w:eastAsia="Times New Roman" w:cs="Times New Roman"/>
          <w:sz w:val="28"/>
          <w:szCs w:val="28"/>
          <w:lang w:eastAsia="lv-LV"/>
        </w:rPr>
      </w:pPr>
      <w:r w:rsidRPr="00AF0176">
        <w:rPr>
          <w:rFonts w:eastAsia="Times New Roman" w:cs="Times New Roman"/>
          <w:sz w:val="28"/>
          <w:szCs w:val="28"/>
          <w:lang w:eastAsia="lv-LV"/>
        </w:rPr>
        <w:t>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Noteikumi nosaka kārtību, kādā grāmatvedībā novērtē un finanšu pārskatos norāda uzņēmuma mantu un saistības, ja uzņēmuma vai tā struktūrvienības darbība tiek izbeigta.</w:t>
      </w:r>
    </w:p>
    <w:p w14:paraId="385C0DC9" w14:textId="77777777" w:rsidR="003D0E9E" w:rsidRPr="00AF0176" w:rsidRDefault="003D0E9E" w:rsidP="001122A5">
      <w:pPr>
        <w:spacing w:after="0"/>
        <w:rPr>
          <w:rFonts w:eastAsia="Times New Roman" w:cs="Times New Roman"/>
          <w:sz w:val="28"/>
          <w:szCs w:val="28"/>
          <w:lang w:eastAsia="lv-LV"/>
        </w:rPr>
      </w:pPr>
    </w:p>
    <w:p w14:paraId="3E89A33F" w14:textId="0B0C5B4D" w:rsidR="003D0E9E" w:rsidRPr="00AF0176" w:rsidRDefault="003D0E9E" w:rsidP="00425273">
      <w:pPr>
        <w:spacing w:after="0"/>
        <w:rPr>
          <w:rFonts w:eastAsia="Times New Roman" w:cs="Times New Roman"/>
          <w:sz w:val="28"/>
          <w:szCs w:val="28"/>
          <w:lang w:eastAsia="lv-LV"/>
        </w:rPr>
      </w:pPr>
      <w:r w:rsidRPr="00AF0176">
        <w:rPr>
          <w:rFonts w:eastAsia="Times New Roman" w:cs="Times New Roman"/>
          <w:sz w:val="28"/>
          <w:szCs w:val="28"/>
          <w:lang w:eastAsia="lv-LV"/>
        </w:rPr>
        <w:t>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Noteikumi neattiecas uz </w:t>
      </w:r>
      <w:r w:rsidR="008A4BE1" w:rsidRPr="00AF0176">
        <w:rPr>
          <w:rFonts w:eastAsia="Times New Roman" w:cs="Times New Roman"/>
          <w:sz w:val="28"/>
          <w:szCs w:val="28"/>
          <w:lang w:eastAsia="lv-LV"/>
        </w:rPr>
        <w:t xml:space="preserve">šādiem </w:t>
      </w:r>
      <w:r w:rsidRPr="00AF0176">
        <w:rPr>
          <w:rFonts w:eastAsia="Times New Roman" w:cs="Times New Roman"/>
          <w:sz w:val="28"/>
          <w:szCs w:val="28"/>
          <w:lang w:eastAsia="lv-LV"/>
        </w:rPr>
        <w:t>gadījumiem:</w:t>
      </w:r>
    </w:p>
    <w:p w14:paraId="41488FD0" w14:textId="3AE2C036" w:rsidR="003D0E9E" w:rsidRPr="00AF0176" w:rsidRDefault="00B82AAA">
      <w:pPr>
        <w:spacing w:after="0"/>
        <w:rPr>
          <w:rFonts w:eastAsia="Times New Roman" w:cs="Times New Roman"/>
          <w:sz w:val="28"/>
          <w:szCs w:val="28"/>
          <w:lang w:eastAsia="lv-LV"/>
        </w:rPr>
      </w:pPr>
      <w:r w:rsidRPr="00AF0176">
        <w:rPr>
          <w:rFonts w:eastAsia="Times New Roman" w:cs="Times New Roman"/>
          <w:sz w:val="28"/>
          <w:szCs w:val="28"/>
          <w:lang w:eastAsia="lv-LV"/>
        </w:rPr>
        <w:t>2.1</w:t>
      </w:r>
      <w:r w:rsidR="00C73DC4" w:rsidRPr="00AF0176">
        <w:rPr>
          <w:rFonts w:eastAsia="Times New Roman" w:cs="Times New Roman"/>
          <w:sz w:val="28"/>
          <w:szCs w:val="28"/>
          <w:lang w:eastAsia="lv-LV"/>
        </w:rPr>
        <w:t>. </w:t>
      </w:r>
      <w:r w:rsidR="003D0E9E" w:rsidRPr="00AF0176">
        <w:rPr>
          <w:rFonts w:eastAsia="Times New Roman" w:cs="Times New Roman"/>
          <w:sz w:val="28"/>
          <w:szCs w:val="28"/>
          <w:lang w:eastAsia="lv-LV"/>
        </w:rPr>
        <w:t xml:space="preserve">uzņēmums beidz pastāvēt bez likvidācijas procesa, to reorganizējot </w:t>
      </w:r>
      <w:r w:rsidR="009A67D1" w:rsidRPr="00AF0176">
        <w:rPr>
          <w:sz w:val="28"/>
          <w:szCs w:val="28"/>
        </w:rPr>
        <w:t>apvienošanas, pārveidošanas vai sašķelšanas</w:t>
      </w:r>
      <w:r w:rsidR="009A67D1" w:rsidRPr="00AF0176">
        <w:t xml:space="preserve"> </w:t>
      </w:r>
      <w:r w:rsidR="003D0E9E" w:rsidRPr="00AF0176">
        <w:rPr>
          <w:rFonts w:eastAsia="Times New Roman" w:cs="Times New Roman"/>
          <w:sz w:val="28"/>
          <w:szCs w:val="28"/>
          <w:lang w:eastAsia="lv-LV"/>
        </w:rPr>
        <w:t>ceļā, arī</w:t>
      </w:r>
      <w:r w:rsidR="006153F7" w:rsidRPr="00AF0176">
        <w:rPr>
          <w:rFonts w:eastAsia="Times New Roman" w:cs="Times New Roman"/>
          <w:sz w:val="28"/>
          <w:szCs w:val="28"/>
          <w:lang w:eastAsia="lv-LV"/>
        </w:rPr>
        <w:t xml:space="preserve"> tad</w:t>
      </w:r>
      <w:r w:rsidR="003D0E9E" w:rsidRPr="00AF0176">
        <w:rPr>
          <w:rFonts w:eastAsia="Times New Roman" w:cs="Times New Roman"/>
          <w:sz w:val="28"/>
          <w:szCs w:val="28"/>
          <w:lang w:eastAsia="lv-LV"/>
        </w:rPr>
        <w:t>, ja šā uzņēmuma mantu un saistības pilnībā pārņem attiecīgā koncerna mātes sabiedrība (Gada pārskatu vai konsolidēto gada pārskatu likuma izpratnē) vai cita meitas sabiedrība;</w:t>
      </w:r>
    </w:p>
    <w:p w14:paraId="17C1F5EF" w14:textId="27F4AD90" w:rsidR="00D4128E" w:rsidRPr="00AF0176" w:rsidRDefault="003D0E9E">
      <w:pPr>
        <w:spacing w:after="0"/>
        <w:rPr>
          <w:rFonts w:eastAsia="Times New Roman" w:cs="Times New Roman"/>
          <w:bCs/>
          <w:sz w:val="28"/>
          <w:szCs w:val="28"/>
          <w:lang w:eastAsia="lv-LV"/>
        </w:rPr>
      </w:pPr>
      <w:r w:rsidRPr="00AF0176">
        <w:rPr>
          <w:rFonts w:eastAsia="Times New Roman" w:cs="Times New Roman"/>
          <w:sz w:val="28"/>
          <w:szCs w:val="28"/>
          <w:lang w:eastAsia="lv-LV"/>
        </w:rPr>
        <w:t>2.2</w:t>
      </w:r>
      <w:r w:rsidR="00C73DC4" w:rsidRPr="00AF0176">
        <w:rPr>
          <w:rFonts w:eastAsia="Times New Roman" w:cs="Times New Roman"/>
          <w:sz w:val="28"/>
          <w:szCs w:val="28"/>
          <w:lang w:eastAsia="lv-LV"/>
        </w:rPr>
        <w:t>. </w:t>
      </w:r>
      <w:r w:rsidR="00D4128E" w:rsidRPr="00AF0176">
        <w:rPr>
          <w:rFonts w:eastAsia="Times New Roman" w:cs="Times New Roman"/>
          <w:bCs/>
          <w:sz w:val="28"/>
          <w:szCs w:val="28"/>
          <w:lang w:eastAsia="lv-LV"/>
        </w:rPr>
        <w:t xml:space="preserve">beidz pastāvēt pašvaldība, </w:t>
      </w:r>
      <w:r w:rsidR="00D4128E" w:rsidRPr="00AF0176">
        <w:rPr>
          <w:rFonts w:eastAsia="Times New Roman" w:cs="Times New Roman"/>
          <w:sz w:val="28"/>
          <w:szCs w:val="28"/>
          <w:lang w:eastAsia="lv-LV"/>
        </w:rPr>
        <w:t>budžeta iestāde, no valsts budžeta daļēji finansēta atvasināta publiska persona un budžeta nefinansēta iestāde</w:t>
      </w:r>
      <w:r w:rsidR="00C10F05" w:rsidRPr="00AF0176">
        <w:rPr>
          <w:rFonts w:eastAsia="Times New Roman" w:cs="Times New Roman"/>
          <w:sz w:val="28"/>
          <w:szCs w:val="28"/>
          <w:lang w:eastAsia="lv-LV"/>
        </w:rPr>
        <w:t xml:space="preserve"> (Likuma par budžetu un finanšu vadību izpratnē)</w:t>
      </w:r>
      <w:r w:rsidR="00D4128E" w:rsidRPr="00AF0176">
        <w:rPr>
          <w:rFonts w:eastAsia="Times New Roman" w:cs="Times New Roman"/>
          <w:bCs/>
          <w:sz w:val="28"/>
          <w:szCs w:val="28"/>
          <w:lang w:eastAsia="lv-LV"/>
        </w:rPr>
        <w:t>, to reorganizējot vai izbeidzot tās darbību;</w:t>
      </w:r>
    </w:p>
    <w:p w14:paraId="07047D5D" w14:textId="5C86D06A" w:rsidR="00D62D92" w:rsidRPr="00AF0176" w:rsidRDefault="00D62D92">
      <w:pPr>
        <w:spacing w:after="0"/>
        <w:rPr>
          <w:rFonts w:eastAsia="Times New Roman" w:cs="Times New Roman"/>
          <w:sz w:val="28"/>
          <w:szCs w:val="28"/>
          <w:lang w:eastAsia="lv-LV"/>
        </w:rPr>
      </w:pPr>
      <w:r w:rsidRPr="00AF0176">
        <w:rPr>
          <w:rFonts w:eastAsia="Times New Roman" w:cs="Times New Roman"/>
          <w:sz w:val="28"/>
          <w:szCs w:val="28"/>
          <w:lang w:eastAsia="lv-LV"/>
        </w:rPr>
        <w:t>2.3</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tiek izbeigta tāda uzņēmuma darbība, kurš, izmantojot Grāmatvedības likuma 10</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panta trešajā daļā paredzēto iespēju, kārto grāmatvedības reģistrus vienkāršā ieraksta sistēmā.</w:t>
      </w:r>
    </w:p>
    <w:p w14:paraId="6E4DC422" w14:textId="77777777" w:rsidR="00E648F2" w:rsidRPr="00AF0176" w:rsidRDefault="00E648F2" w:rsidP="001122A5">
      <w:pPr>
        <w:spacing w:after="0"/>
        <w:rPr>
          <w:rFonts w:eastAsia="Times New Roman" w:cs="Times New Roman"/>
          <w:sz w:val="28"/>
          <w:szCs w:val="28"/>
          <w:lang w:eastAsia="lv-LV"/>
        </w:rPr>
      </w:pPr>
    </w:p>
    <w:p w14:paraId="7B1636EB" w14:textId="193CFD14" w:rsidR="00D62D92" w:rsidRPr="00AF0176" w:rsidRDefault="00C73DC4" w:rsidP="00597155">
      <w:pPr>
        <w:spacing w:after="0"/>
        <w:ind w:firstLine="0"/>
        <w:jc w:val="center"/>
        <w:rPr>
          <w:rFonts w:eastAsia="Times New Roman" w:cs="Times New Roman"/>
          <w:b/>
          <w:bCs/>
          <w:sz w:val="28"/>
          <w:szCs w:val="28"/>
          <w:lang w:eastAsia="lv-LV"/>
        </w:rPr>
      </w:pPr>
      <w:r w:rsidRPr="00AF0176">
        <w:rPr>
          <w:rFonts w:eastAsia="Times New Roman" w:cs="Times New Roman"/>
          <w:b/>
          <w:bCs/>
          <w:sz w:val="28"/>
          <w:szCs w:val="28"/>
          <w:lang w:eastAsia="lv-LV"/>
        </w:rPr>
        <w:t>II. </w:t>
      </w:r>
      <w:r w:rsidR="00D62D92" w:rsidRPr="00AF0176">
        <w:rPr>
          <w:rFonts w:eastAsia="Times New Roman" w:cs="Times New Roman"/>
          <w:b/>
          <w:bCs/>
          <w:sz w:val="28"/>
          <w:szCs w:val="28"/>
          <w:lang w:eastAsia="lv-LV"/>
        </w:rPr>
        <w:t>Uzņēmuma darbības izbeigšana</w:t>
      </w:r>
    </w:p>
    <w:p w14:paraId="1E45C89D" w14:textId="77777777" w:rsidR="00D62D92" w:rsidRPr="00AF0176" w:rsidRDefault="00D62D92" w:rsidP="001122A5">
      <w:pPr>
        <w:pStyle w:val="NormalWeb"/>
        <w:spacing w:before="0" w:beforeAutospacing="0" w:after="0" w:afterAutospacing="0"/>
        <w:ind w:firstLine="709"/>
        <w:rPr>
          <w:sz w:val="28"/>
          <w:szCs w:val="28"/>
        </w:rPr>
      </w:pPr>
    </w:p>
    <w:p w14:paraId="762DF098" w14:textId="53C5B4D7"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z w:val="28"/>
          <w:szCs w:val="28"/>
          <w:lang w:eastAsia="lv-LV"/>
        </w:rPr>
        <w:t>3</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Izbeidzot uzņēmuma darbību likvidācijas vai </w:t>
      </w:r>
      <w:r w:rsidRPr="00AF0176">
        <w:rPr>
          <w:rFonts w:cs="Times New Roman"/>
          <w:sz w:val="28"/>
          <w:szCs w:val="28"/>
        </w:rPr>
        <w:t xml:space="preserve">maksātnespējas </w:t>
      </w:r>
      <w:r w:rsidRPr="00AF0176">
        <w:rPr>
          <w:rFonts w:eastAsia="Times New Roman" w:cs="Times New Roman"/>
          <w:sz w:val="28"/>
          <w:szCs w:val="28"/>
          <w:lang w:eastAsia="lv-LV"/>
        </w:rPr>
        <w:t>procesa gadījumā, uzņēmuma mantu un saistības novērtē un uzņēmuma darbības slēguma finanšu pārskata bilancē norāda šādi:</w:t>
      </w:r>
    </w:p>
    <w:p w14:paraId="5B73F4F2" w14:textId="36DDAC6D"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z w:val="28"/>
          <w:szCs w:val="28"/>
          <w:lang w:eastAsia="lv-LV"/>
        </w:rPr>
        <w:t>3.1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bilances aktīvā:</w:t>
      </w:r>
    </w:p>
    <w:p w14:paraId="0A88E054" w14:textId="60A239B5"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pacing w:val="-3"/>
          <w:sz w:val="28"/>
          <w:szCs w:val="28"/>
          <w:lang w:eastAsia="lv-LV"/>
        </w:rPr>
        <w:t>3.1.1</w:t>
      </w:r>
      <w:r w:rsidR="00C73DC4" w:rsidRPr="00AF0176">
        <w:rPr>
          <w:rFonts w:eastAsia="Times New Roman" w:cs="Times New Roman"/>
          <w:spacing w:val="-3"/>
          <w:sz w:val="28"/>
          <w:szCs w:val="28"/>
          <w:lang w:eastAsia="lv-LV"/>
        </w:rPr>
        <w:t>. </w:t>
      </w:r>
      <w:r w:rsidRPr="00AF0176">
        <w:rPr>
          <w:rFonts w:eastAsia="Times New Roman" w:cs="Times New Roman"/>
          <w:spacing w:val="-3"/>
          <w:sz w:val="28"/>
          <w:szCs w:val="28"/>
          <w:lang w:eastAsia="lv-LV"/>
        </w:rPr>
        <w:t xml:space="preserve">ķermeniskās lietas (piemēram, zemes gabalus, ēkas, </w:t>
      </w:r>
      <w:r w:rsidR="006505BE" w:rsidRPr="00AF0176">
        <w:rPr>
          <w:rFonts w:eastAsia="Times New Roman" w:cs="Times New Roman"/>
          <w:spacing w:val="-3"/>
          <w:sz w:val="28"/>
          <w:szCs w:val="28"/>
          <w:lang w:eastAsia="lv-LV"/>
        </w:rPr>
        <w:t>transportlīdzekļus</w:t>
      </w:r>
      <w:r w:rsidRPr="00AF0176">
        <w:rPr>
          <w:rFonts w:eastAsia="Times New Roman" w:cs="Times New Roman"/>
          <w:spacing w:val="-3"/>
          <w:sz w:val="28"/>
          <w:szCs w:val="28"/>
          <w:lang w:eastAsia="lv-LV"/>
        </w:rPr>
        <w:t>,</w:t>
      </w:r>
      <w:r w:rsidRPr="00AF0176">
        <w:rPr>
          <w:rFonts w:eastAsia="Times New Roman" w:cs="Times New Roman"/>
          <w:sz w:val="28"/>
          <w:szCs w:val="28"/>
          <w:lang w:eastAsia="lv-LV"/>
        </w:rPr>
        <w:t xml:space="preserve"> preces) un bezķermeniskās lietas (piemēram, koncesijas, licences, finanšu </w:t>
      </w:r>
      <w:r w:rsidRPr="00AF0176">
        <w:rPr>
          <w:rFonts w:eastAsia="Times New Roman" w:cs="Times New Roman"/>
          <w:spacing w:val="-2"/>
          <w:sz w:val="28"/>
          <w:szCs w:val="28"/>
          <w:lang w:eastAsia="lv-LV"/>
        </w:rPr>
        <w:t>instrumentus) novērtē summās, kas atbilst šo lietu paredzamajiem neto pārdošanas</w:t>
      </w:r>
      <w:r w:rsidRPr="00AF0176">
        <w:rPr>
          <w:rFonts w:eastAsia="Times New Roman" w:cs="Times New Roman"/>
          <w:sz w:val="28"/>
          <w:szCs w:val="28"/>
          <w:lang w:eastAsia="lv-LV"/>
        </w:rPr>
        <w:t xml:space="preserve"> </w:t>
      </w:r>
      <w:r w:rsidRPr="00AF0176">
        <w:rPr>
          <w:rFonts w:eastAsia="Times New Roman" w:cs="Times New Roman"/>
          <w:sz w:val="28"/>
          <w:szCs w:val="28"/>
          <w:lang w:eastAsia="lv-LV"/>
        </w:rPr>
        <w:lastRenderedPageBreak/>
        <w:t>ieņēmumiem</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Paredzamos neto pārdošanas ieņēmumus aprēķina kā starpību starp attiecīgās lietas aplēsto pārdošanas cenu un aplēstajām tiešajām pārdošanas izmaksām (piemēram, attiecīgās lietas sagatavošana pārdošanai, brokeru un citu starpnieku komisijas maksa)</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Lietām, kuras iespējams pārdot tikai pēc attiecīgā ražošanas procesa pabeigšanas (piemēram, nepabeigtajiem ražojumiem), neto pārdošanas ieņēmumus aprēķina kā starpību starp aplēsto pārdošanas cenu un aplēstajām pabeigšanas un pārdošanas izmaksām;</w:t>
      </w:r>
    </w:p>
    <w:p w14:paraId="4012A605" w14:textId="4A8CD149"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z w:val="28"/>
          <w:szCs w:val="28"/>
          <w:lang w:eastAsia="lv-LV"/>
        </w:rPr>
        <w:t>3.1.2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aizdevumus un citus</w:t>
      </w:r>
      <w:r w:rsidRPr="00AF0176">
        <w:rPr>
          <w:rFonts w:eastAsia="Times New Roman" w:cs="Times New Roman"/>
          <w:b/>
          <w:sz w:val="28"/>
          <w:szCs w:val="28"/>
          <w:lang w:eastAsia="lv-LV"/>
        </w:rPr>
        <w:t xml:space="preserve"> </w:t>
      </w:r>
      <w:r w:rsidRPr="00AF0176">
        <w:rPr>
          <w:rFonts w:eastAsia="Times New Roman" w:cs="Times New Roman"/>
          <w:sz w:val="28"/>
          <w:szCs w:val="28"/>
          <w:lang w:eastAsia="lv-LV"/>
        </w:rPr>
        <w:t>prasījumus, arī nākamo periodu izmaksas un uzkrātos ieņēmumus (ja tādi ir) novērtē atbilstoši summām, kuru saņemšana netiek apšaubīta (kuras būs iespējams iekasēt);</w:t>
      </w:r>
    </w:p>
    <w:p w14:paraId="2677EDCD" w14:textId="31A07273" w:rsidR="00D62D92" w:rsidRPr="00AF0176" w:rsidRDefault="00D62D92">
      <w:pPr>
        <w:spacing w:after="0"/>
        <w:rPr>
          <w:rFonts w:eastAsia="Times New Roman" w:cs="Times New Roman"/>
          <w:sz w:val="28"/>
          <w:szCs w:val="28"/>
          <w:lang w:eastAsia="lv-LV"/>
        </w:rPr>
      </w:pPr>
      <w:r w:rsidRPr="00AF0176">
        <w:rPr>
          <w:rFonts w:eastAsia="Times New Roman" w:cs="Times New Roman"/>
          <w:sz w:val="28"/>
          <w:szCs w:val="28"/>
          <w:lang w:eastAsia="lv-LV"/>
        </w:rPr>
        <w:t>3.1.3</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neiekļauj uzņēmuma īpašumā esošo pašu akciju vai daļu summu </w:t>
      </w:r>
      <w:r w:rsidR="00291AE6" w:rsidRPr="00AF0176">
        <w:rPr>
          <w:rFonts w:eastAsia="Times New Roman" w:cs="Times New Roman"/>
          <w:sz w:val="28"/>
          <w:szCs w:val="28"/>
          <w:lang w:eastAsia="lv-LV"/>
        </w:rPr>
        <w:t>(</w:t>
      </w:r>
      <w:r w:rsidRPr="00AF0176">
        <w:rPr>
          <w:rFonts w:eastAsia="Times New Roman" w:cs="Times New Roman"/>
          <w:sz w:val="28"/>
          <w:szCs w:val="28"/>
          <w:lang w:eastAsia="lv-LV"/>
        </w:rPr>
        <w:t>to pārklasificē par akciju vai daļu kapitāla (pamatkapitāla) samazinājumu</w:t>
      </w:r>
      <w:r w:rsidR="00291AE6" w:rsidRPr="00AF0176">
        <w:rPr>
          <w:rFonts w:eastAsia="Times New Roman" w:cs="Times New Roman"/>
          <w:sz w:val="28"/>
          <w:szCs w:val="28"/>
          <w:lang w:eastAsia="lv-LV"/>
        </w:rPr>
        <w:t>)</w:t>
      </w:r>
      <w:r w:rsidRPr="00AF0176">
        <w:rPr>
          <w:rFonts w:eastAsia="Times New Roman" w:cs="Times New Roman"/>
          <w:sz w:val="28"/>
          <w:szCs w:val="28"/>
          <w:lang w:eastAsia="lv-LV"/>
        </w:rPr>
        <w:t xml:space="preserve">; </w:t>
      </w:r>
    </w:p>
    <w:p w14:paraId="61EA9F19" w14:textId="735384A2" w:rsidR="00D62D92" w:rsidRPr="00AF0176" w:rsidRDefault="00D62D92" w:rsidP="001122A5">
      <w:pPr>
        <w:spacing w:after="0"/>
        <w:rPr>
          <w:rFonts w:eastAsia="Times New Roman" w:cs="Times New Roman"/>
          <w:sz w:val="28"/>
          <w:szCs w:val="28"/>
          <w:lang w:eastAsia="lv-LV"/>
        </w:rPr>
      </w:pPr>
      <w:r w:rsidRPr="00AF0176">
        <w:rPr>
          <w:rFonts w:eastAsia="Times New Roman" w:cs="Times New Roman"/>
          <w:sz w:val="28"/>
          <w:szCs w:val="28"/>
          <w:lang w:eastAsia="lv-LV"/>
        </w:rPr>
        <w:t>3.2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bilances pasīvā:</w:t>
      </w:r>
    </w:p>
    <w:p w14:paraId="00E662D2" w14:textId="30EB1CAE"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z w:val="28"/>
          <w:szCs w:val="28"/>
          <w:lang w:eastAsia="lv-LV"/>
        </w:rPr>
        <w:t>3.2.1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saistības, tai skaitā ilgtermiņa un īstermiņa kreditoru parādus,</w:t>
      </w:r>
      <w:r w:rsidRPr="00AF0176">
        <w:rPr>
          <w:rFonts w:eastAsia="Times New Roman" w:cs="Times New Roman"/>
          <w:bCs/>
          <w:sz w:val="28"/>
          <w:szCs w:val="28"/>
          <w:lang w:eastAsia="lv-LV"/>
        </w:rPr>
        <w:t xml:space="preserve"> </w:t>
      </w:r>
      <w:r w:rsidRPr="00AF0176">
        <w:rPr>
          <w:rFonts w:eastAsia="Times New Roman" w:cs="Times New Roman"/>
          <w:sz w:val="28"/>
          <w:szCs w:val="28"/>
          <w:lang w:eastAsia="lv-LV"/>
        </w:rPr>
        <w:t>arī uzkrājumus, nākamo periodu ieņēmumus un uzkrātās saistības (ja tādas ir), kā arī saistības, kuras rodas uzņēmuma</w:t>
      </w:r>
      <w:r w:rsidRPr="00AF0176">
        <w:rPr>
          <w:rFonts w:eastAsia="Times New Roman" w:cs="Times New Roman"/>
          <w:b/>
          <w:sz w:val="28"/>
          <w:szCs w:val="28"/>
          <w:lang w:eastAsia="lv-LV"/>
        </w:rPr>
        <w:t xml:space="preserve"> </w:t>
      </w:r>
      <w:r w:rsidRPr="00AF0176">
        <w:rPr>
          <w:rFonts w:eastAsia="Times New Roman" w:cs="Times New Roman"/>
          <w:sz w:val="28"/>
          <w:szCs w:val="28"/>
          <w:lang w:eastAsia="lv-LV"/>
        </w:rPr>
        <w:t>likvidācijas dēļ (piemēram, pret darbiniekiem sakarā ar darba tiesisko attiecību izbeigšanu, pret darījumu partneriem noslēgto līgumu laušanas dēļ), novērtē atbilstoši summām, kuru lielums ir saskaņots ar kreditoriem un kuras ir pienākums segt</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Ja kreditora prasījums ir strīdīgs, summu, kas pienākas kreditoram, novērtē atbilstoši likvidējamā uzņēmuma grāmatvedības datiem;</w:t>
      </w:r>
    </w:p>
    <w:p w14:paraId="2169B283" w14:textId="4CFD6266" w:rsidR="00D62D92" w:rsidRPr="00AF0176" w:rsidRDefault="00D62D92" w:rsidP="00425273">
      <w:pPr>
        <w:spacing w:after="0"/>
        <w:rPr>
          <w:rFonts w:eastAsia="Times New Roman" w:cs="Times New Roman"/>
          <w:sz w:val="28"/>
          <w:szCs w:val="28"/>
          <w:lang w:eastAsia="lv-LV"/>
        </w:rPr>
      </w:pPr>
      <w:r w:rsidRPr="00AF0176">
        <w:rPr>
          <w:rFonts w:eastAsia="Times New Roman" w:cs="Times New Roman"/>
          <w:sz w:val="28"/>
          <w:szCs w:val="28"/>
          <w:lang w:eastAsia="lv-LV"/>
        </w:rPr>
        <w:t>3.2.2</w:t>
      </w:r>
      <w:r w:rsidR="00C73DC4" w:rsidRPr="00AF0176">
        <w:rPr>
          <w:rFonts w:eastAsia="Times New Roman" w:cs="Times New Roman"/>
          <w:sz w:val="28"/>
          <w:szCs w:val="28"/>
          <w:lang w:eastAsia="lv-LV"/>
        </w:rPr>
        <w:t>. </w:t>
      </w:r>
      <w:r w:rsidR="00613A54" w:rsidRPr="00AF0176">
        <w:rPr>
          <w:rFonts w:eastAsia="Times New Roman" w:cs="Times New Roman"/>
          <w:sz w:val="28"/>
          <w:szCs w:val="28"/>
          <w:lang w:eastAsia="lv-LV"/>
        </w:rPr>
        <w:t>pašu kapitālu apvieno vienā postenī (</w:t>
      </w:r>
      <w:r w:rsidRPr="00AF0176">
        <w:rPr>
          <w:rFonts w:eastAsia="Times New Roman" w:cs="Times New Roman"/>
          <w:sz w:val="28"/>
          <w:szCs w:val="28"/>
          <w:lang w:eastAsia="lv-LV"/>
        </w:rPr>
        <w:t xml:space="preserve">izņemot gadījumus, kad tiesību </w:t>
      </w:r>
      <w:r w:rsidR="00613A54" w:rsidRPr="00AF0176">
        <w:rPr>
          <w:rFonts w:eastAsia="Times New Roman" w:cs="Times New Roman"/>
          <w:sz w:val="28"/>
          <w:szCs w:val="28"/>
          <w:lang w:eastAsia="lv-LV"/>
        </w:rPr>
        <w:t>aktos</w:t>
      </w:r>
      <w:r w:rsidRPr="00AF0176">
        <w:rPr>
          <w:rFonts w:eastAsia="Times New Roman" w:cs="Times New Roman"/>
          <w:sz w:val="28"/>
          <w:szCs w:val="28"/>
          <w:lang w:eastAsia="lv-LV"/>
        </w:rPr>
        <w:t xml:space="preserve">, kuri reglamentē attiecīgā uzņēmuma darbības izbeigšanu un likvidēšanu, </w:t>
      </w:r>
      <w:r w:rsidR="00613A54" w:rsidRPr="00AF0176">
        <w:rPr>
          <w:rFonts w:eastAsia="Times New Roman" w:cs="Times New Roman"/>
          <w:sz w:val="28"/>
          <w:szCs w:val="28"/>
          <w:lang w:eastAsia="lv-LV"/>
        </w:rPr>
        <w:t>ir noteikta atšķirīga kārtība) un</w:t>
      </w:r>
      <w:r w:rsidRPr="00AF0176">
        <w:rPr>
          <w:rFonts w:eastAsia="Times New Roman" w:cs="Times New Roman"/>
          <w:sz w:val="28"/>
          <w:szCs w:val="28"/>
          <w:lang w:eastAsia="lv-LV"/>
        </w:rPr>
        <w:t xml:space="preserve"> novērtē summā, kuru aprēķina šādi:</w:t>
      </w:r>
    </w:p>
    <w:p w14:paraId="6EF2031C" w14:textId="2FB4CFB4" w:rsidR="00D62D92" w:rsidRPr="00AF0176" w:rsidRDefault="00083769" w:rsidP="00425273">
      <w:pPr>
        <w:spacing w:after="0"/>
        <w:rPr>
          <w:rFonts w:eastAsia="Times New Roman" w:cs="Times New Roman"/>
          <w:sz w:val="28"/>
          <w:szCs w:val="28"/>
          <w:lang w:eastAsia="lv-LV"/>
        </w:rPr>
      </w:pPr>
      <w:r w:rsidRPr="00AF0176">
        <w:rPr>
          <w:rFonts w:eastAsia="Times New Roman" w:cs="Times New Roman"/>
          <w:sz w:val="28"/>
          <w:szCs w:val="28"/>
          <w:lang w:eastAsia="lv-LV"/>
        </w:rPr>
        <w:t>3.2.2.1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aprēķina starpību starp apmaksātā akciju vai daļu kapitāla (pamatkapitāla) summu un uzņēmuma īpašumā esošo pašu akciju vai daļu summu;</w:t>
      </w:r>
    </w:p>
    <w:p w14:paraId="556E455D" w14:textId="20D976F8" w:rsidR="00083769" w:rsidRPr="00AF0176" w:rsidRDefault="00083769" w:rsidP="00425273">
      <w:pPr>
        <w:spacing w:after="0"/>
        <w:rPr>
          <w:rFonts w:eastAsia="Times New Roman" w:cs="Times New Roman"/>
          <w:sz w:val="28"/>
          <w:szCs w:val="28"/>
          <w:lang w:eastAsia="lv-LV"/>
        </w:rPr>
      </w:pPr>
      <w:r w:rsidRPr="00AF0176">
        <w:rPr>
          <w:rFonts w:eastAsia="Times New Roman" w:cs="Times New Roman"/>
          <w:sz w:val="28"/>
          <w:szCs w:val="28"/>
          <w:lang w:eastAsia="lv-LV"/>
        </w:rPr>
        <w:t>3.2.2.2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šo noteikumu 3.2.2.1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apakšpunktā minēto starpību attiecīgi palielina vai samazina par akciju (daļu) emisijas uzcenojuma vai nocenojuma summu, kā arī peļņas sadales rezultātā izveidoto rezervju un nesadalītās peļņas vai nesegto zaudējumu atlikumiem;</w:t>
      </w:r>
    </w:p>
    <w:p w14:paraId="0267F082" w14:textId="51B5D246" w:rsidR="00083769" w:rsidRPr="00AF0176" w:rsidRDefault="00083769">
      <w:pPr>
        <w:spacing w:after="0"/>
        <w:rPr>
          <w:rFonts w:eastAsia="Times New Roman" w:cs="Times New Roman"/>
          <w:sz w:val="28"/>
          <w:szCs w:val="28"/>
          <w:lang w:eastAsia="lv-LV"/>
        </w:rPr>
      </w:pPr>
      <w:r w:rsidRPr="00AF0176">
        <w:rPr>
          <w:rFonts w:eastAsia="Times New Roman" w:cs="Times New Roman"/>
          <w:sz w:val="28"/>
          <w:szCs w:val="28"/>
          <w:lang w:eastAsia="lv-LV"/>
        </w:rPr>
        <w:t>3.2.3</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neiekļauj ilgtermiņa ieguldījumu pārvērtēšanas rezervi un finanšu instrumentu patiesās vērtības rezervi (ja tādas ir) (to atlikumus pārklasificē par ieņēmumiem).</w:t>
      </w:r>
    </w:p>
    <w:p w14:paraId="68825808" w14:textId="77777777" w:rsidR="005D252A" w:rsidRPr="00AF0176" w:rsidRDefault="005D252A" w:rsidP="001122A5">
      <w:pPr>
        <w:spacing w:after="0"/>
        <w:rPr>
          <w:rFonts w:eastAsia="Times New Roman" w:cs="Times New Roman"/>
          <w:sz w:val="28"/>
          <w:szCs w:val="28"/>
          <w:lang w:eastAsia="lv-LV"/>
        </w:rPr>
      </w:pPr>
    </w:p>
    <w:p w14:paraId="6B781C93" w14:textId="47509A86" w:rsidR="005D252A" w:rsidRPr="00AF0176" w:rsidRDefault="005D252A" w:rsidP="00425273">
      <w:pPr>
        <w:spacing w:after="0"/>
        <w:rPr>
          <w:rFonts w:eastAsia="Times New Roman" w:cs="Times New Roman"/>
          <w:sz w:val="28"/>
          <w:szCs w:val="28"/>
          <w:lang w:eastAsia="lv-LV"/>
        </w:rPr>
      </w:pPr>
      <w:r w:rsidRPr="00AF0176">
        <w:rPr>
          <w:rFonts w:eastAsia="Times New Roman" w:cs="Times New Roman"/>
          <w:sz w:val="28"/>
          <w:szCs w:val="28"/>
          <w:lang w:eastAsia="lv-LV"/>
        </w:rPr>
        <w:t>4</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Uzņēmuma darbības slēguma finanšu pārskata peļņas vai zaudējumu aprēķinā vai citā pārskatā par saimnieciskās darbības rezultātiem (piemēram, ieņēmumu un izdevumu pārskatā), kāds paredzēts attiecīgā uzņēmuma gada pārskata sagatavošanu reglamentējošos normatīvajos aktos vai Finanšu un kapitāla tirgus komisijas normatīvajos noteikumos (turpmāk – peļņas vai zaudējumu aprēķins):</w:t>
      </w:r>
    </w:p>
    <w:p w14:paraId="79ED12EF" w14:textId="7A44F160" w:rsidR="005D252A" w:rsidRPr="00AF0176" w:rsidRDefault="005D252A" w:rsidP="00425273">
      <w:pPr>
        <w:spacing w:after="0"/>
        <w:rPr>
          <w:rFonts w:eastAsia="Times New Roman" w:cs="Times New Roman"/>
          <w:sz w:val="28"/>
          <w:szCs w:val="28"/>
          <w:lang w:eastAsia="lv-LV"/>
        </w:rPr>
      </w:pPr>
      <w:r w:rsidRPr="00AF0176">
        <w:rPr>
          <w:rFonts w:eastAsia="Times New Roman" w:cs="Times New Roman"/>
          <w:sz w:val="28"/>
          <w:szCs w:val="28"/>
          <w:lang w:eastAsia="lv-LV"/>
        </w:rPr>
        <w:t>4.1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norakstītās ķermenisko un bezķermenisko lietu</w:t>
      </w:r>
      <w:r w:rsidRPr="00AF0176">
        <w:rPr>
          <w:rFonts w:eastAsia="Times New Roman" w:cs="Times New Roman"/>
          <w:b/>
          <w:sz w:val="28"/>
          <w:szCs w:val="28"/>
          <w:lang w:eastAsia="lv-LV"/>
        </w:rPr>
        <w:t xml:space="preserve"> </w:t>
      </w:r>
      <w:r w:rsidRPr="00AF0176">
        <w:rPr>
          <w:rFonts w:eastAsia="Times New Roman" w:cs="Times New Roman"/>
          <w:sz w:val="28"/>
          <w:szCs w:val="28"/>
          <w:lang w:eastAsia="lv-LV"/>
        </w:rPr>
        <w:t>vērtības samazinājuma summas, neiekasējamās prasījumu summas, nākamo periodu izmaksu un uzkrāto ieņēmumu summas (ja tādas ir) iekļauj kā izmaksas;</w:t>
      </w:r>
    </w:p>
    <w:p w14:paraId="16FC4B72" w14:textId="37C917C6" w:rsidR="005D252A" w:rsidRPr="00AF0176" w:rsidRDefault="005D252A" w:rsidP="00425273">
      <w:pPr>
        <w:spacing w:after="0"/>
        <w:rPr>
          <w:rFonts w:eastAsia="Times New Roman" w:cs="Times New Roman"/>
          <w:sz w:val="28"/>
          <w:szCs w:val="28"/>
          <w:lang w:eastAsia="lv-LV"/>
        </w:rPr>
      </w:pPr>
      <w:r w:rsidRPr="00AF0176">
        <w:rPr>
          <w:rFonts w:eastAsia="Times New Roman" w:cs="Times New Roman"/>
          <w:sz w:val="28"/>
          <w:szCs w:val="28"/>
          <w:lang w:eastAsia="lv-LV"/>
        </w:rPr>
        <w:lastRenderedPageBreak/>
        <w:t>4.2</w:t>
      </w:r>
      <w:r w:rsidR="00502C1F" w:rsidRPr="00AF0176">
        <w:rPr>
          <w:rFonts w:eastAsia="Times New Roman" w:cs="Times New Roman"/>
          <w:sz w:val="28"/>
          <w:szCs w:val="28"/>
          <w:lang w:eastAsia="lv-LV"/>
        </w:rPr>
        <w:t>. </w:t>
      </w:r>
      <w:r w:rsidRPr="00AF0176">
        <w:rPr>
          <w:rFonts w:eastAsia="Times New Roman" w:cs="Times New Roman"/>
          <w:sz w:val="28"/>
          <w:szCs w:val="28"/>
          <w:lang w:eastAsia="lv-LV"/>
        </w:rPr>
        <w:t>norakstītos ilgtermiņa ieguldījumu pārvērtēšanas rezerves un finanšu instrumentu patiesās vērtības rezerves (ja tādas ir) atlikumus vai pārpalikumus (ja tādi ir) iekļauj kā ieņēmumus</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Ja ķermeniska vai bezķermeniska lieta iepriekš ir tikusi pārvērtēta augstākā vērtībā un tās vērtības palielinājuma summa tika ietverta kādā no minētajām rezervēm, tad šīs lietas vērtības samazinājuma summas norakstīšanai vispirms izlieto attiecīgo pārvērtēšanas rezervi, bet peļņas vai zaudējumu aprēķina ieņēmumos iekļauj tikai no attiecīgās rezerves nenorakstītās summas pārpalikumu.</w:t>
      </w:r>
    </w:p>
    <w:p w14:paraId="67E70830" w14:textId="77777777" w:rsidR="00051889" w:rsidRPr="00AF0176" w:rsidRDefault="00051889" w:rsidP="001122A5">
      <w:pPr>
        <w:spacing w:after="0"/>
        <w:rPr>
          <w:rFonts w:eastAsia="Times New Roman" w:cs="Times New Roman"/>
          <w:sz w:val="28"/>
          <w:szCs w:val="28"/>
          <w:lang w:eastAsia="lv-LV"/>
        </w:rPr>
      </w:pPr>
    </w:p>
    <w:p w14:paraId="253206FC" w14:textId="3CC45195" w:rsidR="00051889" w:rsidRPr="00AF0176" w:rsidRDefault="00051889" w:rsidP="00425273">
      <w:pPr>
        <w:spacing w:after="0"/>
        <w:rPr>
          <w:rFonts w:eastAsia="Times New Roman" w:cs="Times New Roman"/>
          <w:sz w:val="28"/>
          <w:szCs w:val="28"/>
          <w:lang w:eastAsia="lv-LV"/>
        </w:rPr>
      </w:pPr>
      <w:r w:rsidRPr="00AF0176">
        <w:rPr>
          <w:rFonts w:eastAsia="Times New Roman" w:cs="Times New Roman"/>
          <w:sz w:val="28"/>
          <w:szCs w:val="28"/>
          <w:lang w:eastAsia="lv-LV"/>
        </w:rPr>
        <w:t>5</w:t>
      </w:r>
      <w:r w:rsidR="00C73DC4" w:rsidRPr="00AF0176">
        <w:rPr>
          <w:rFonts w:eastAsia="Times New Roman" w:cs="Times New Roman"/>
          <w:i/>
          <w:sz w:val="28"/>
          <w:szCs w:val="28"/>
          <w:lang w:eastAsia="lv-LV"/>
        </w:rPr>
        <w:t>. </w:t>
      </w:r>
      <w:r w:rsidRPr="00AF0176">
        <w:rPr>
          <w:rFonts w:eastAsia="Times New Roman" w:cs="Times New Roman"/>
          <w:sz w:val="28"/>
          <w:szCs w:val="28"/>
          <w:lang w:eastAsia="lv-LV"/>
        </w:rPr>
        <w:t>Šo noteikumu 3.1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apakšpunktu var nepiemērot, ja tiek izbeigta individuālā komersanta, individuālā uzņēmuma, zemnieka un zvejnieka saimniecības, biedrības, nodibinājuma, arodbiedrības</w:t>
      </w:r>
      <w:r w:rsidR="00B2674D" w:rsidRPr="00AF0176">
        <w:rPr>
          <w:rFonts w:eastAsia="Times New Roman" w:cs="Times New Roman"/>
          <w:b/>
          <w:bCs/>
          <w:szCs w:val="24"/>
          <w:lang w:eastAsia="lv-LV"/>
        </w:rPr>
        <w:t xml:space="preserve"> </w:t>
      </w:r>
      <w:r w:rsidR="00B2674D" w:rsidRPr="00AF0176">
        <w:rPr>
          <w:rFonts w:eastAsia="Times New Roman" w:cs="Times New Roman"/>
          <w:sz w:val="28"/>
          <w:szCs w:val="28"/>
          <w:lang w:eastAsia="lv-LV"/>
        </w:rPr>
        <w:t>un arodbiedrību apvienības</w:t>
      </w:r>
      <w:r w:rsidRPr="00AF0176">
        <w:rPr>
          <w:rFonts w:eastAsia="Times New Roman" w:cs="Times New Roman"/>
          <w:sz w:val="28"/>
          <w:szCs w:val="28"/>
          <w:lang w:eastAsia="lv-LV"/>
        </w:rPr>
        <w:t xml:space="preserve">, politiskās organizācijas (partijas) un to apvienības, reliģiskās organizācijas un tās iestādes darbība un nav paredzēta minētā uzņēmuma mantas pārdošana, jo tas nav nepieciešams kreditoru prasījumu apmierināšanai, bet visu mantu un saistības atbilstoši tiesību aktiem, kuri reglamentē attiecīgā uzņēmuma darbības izbeigšanu un likvidēšanu, vai </w:t>
      </w:r>
      <w:r w:rsidR="00502C1F" w:rsidRPr="00AF0176">
        <w:rPr>
          <w:rFonts w:eastAsia="Times New Roman" w:cs="Times New Roman"/>
          <w:sz w:val="28"/>
          <w:szCs w:val="28"/>
          <w:lang w:eastAsia="lv-LV"/>
        </w:rPr>
        <w:t xml:space="preserve">šā </w:t>
      </w:r>
      <w:r w:rsidRPr="00AF0176">
        <w:rPr>
          <w:rFonts w:eastAsia="Times New Roman" w:cs="Times New Roman"/>
          <w:sz w:val="28"/>
          <w:szCs w:val="28"/>
          <w:lang w:eastAsia="lv-LV"/>
        </w:rPr>
        <w:t>uzņēmuma statūtiem pārņem likvidējamā uzņēmuma vienīgais īpašnieks vai cita persona</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 xml:space="preserve">Minētā uzņēmuma darbības slēguma finanšu pārskata bilancē mantu novērtē saskaņā ar </w:t>
      </w:r>
      <w:r w:rsidR="00502C1F" w:rsidRPr="00AF0176">
        <w:rPr>
          <w:rFonts w:cs="Times New Roman"/>
          <w:sz w:val="28"/>
          <w:szCs w:val="28"/>
        </w:rPr>
        <w:t xml:space="preserve">attiecīgā </w:t>
      </w:r>
      <w:r w:rsidRPr="00AF0176">
        <w:rPr>
          <w:rFonts w:cs="Times New Roman"/>
          <w:sz w:val="28"/>
          <w:szCs w:val="28"/>
        </w:rPr>
        <w:t>uzņēmuma</w:t>
      </w:r>
      <w:r w:rsidRPr="00AF0176">
        <w:rPr>
          <w:rFonts w:eastAsia="Times New Roman" w:cs="Times New Roman"/>
          <w:sz w:val="28"/>
          <w:szCs w:val="28"/>
          <w:lang w:eastAsia="lv-LV"/>
        </w:rPr>
        <w:t xml:space="preserve"> gada pārskata sagatavošanu reglamentējošos normatīvajos aktos </w:t>
      </w:r>
      <w:r w:rsidRPr="00AF0176">
        <w:rPr>
          <w:rFonts w:cs="Times New Roman"/>
          <w:sz w:val="28"/>
          <w:szCs w:val="28"/>
        </w:rPr>
        <w:t>paredzētajiem novērtēšanas noteikumiem</w:t>
      </w:r>
      <w:r w:rsidRPr="00AF0176">
        <w:rPr>
          <w:rFonts w:eastAsia="Times New Roman" w:cs="Times New Roman"/>
          <w:sz w:val="28"/>
          <w:szCs w:val="28"/>
          <w:lang w:eastAsia="lv-LV"/>
        </w:rPr>
        <w:t>, piemērojot darbības turpināšanas principu, ja šāda novērtēšanas kārtība atbilst lēmumam par šā uzņēmuma darbības izbeigšanu.</w:t>
      </w:r>
    </w:p>
    <w:p w14:paraId="0B42BA75" w14:textId="77777777" w:rsidR="008E0384" w:rsidRPr="00AF0176" w:rsidRDefault="008E0384" w:rsidP="001122A5">
      <w:pPr>
        <w:spacing w:after="0"/>
        <w:rPr>
          <w:rFonts w:eastAsia="Times New Roman" w:cs="Times New Roman"/>
          <w:sz w:val="28"/>
          <w:szCs w:val="28"/>
          <w:lang w:eastAsia="lv-LV"/>
        </w:rPr>
      </w:pPr>
    </w:p>
    <w:p w14:paraId="19F7C3DE" w14:textId="19DA376A" w:rsidR="008E0384" w:rsidRPr="00AF0176" w:rsidRDefault="008E0384" w:rsidP="00425273">
      <w:pPr>
        <w:spacing w:after="0"/>
        <w:rPr>
          <w:rFonts w:eastAsia="Times New Roman" w:cs="Times New Roman"/>
          <w:sz w:val="28"/>
          <w:szCs w:val="28"/>
          <w:lang w:eastAsia="lv-LV"/>
        </w:rPr>
      </w:pPr>
      <w:r w:rsidRPr="00AF0176">
        <w:rPr>
          <w:rFonts w:eastAsia="Times New Roman" w:cs="Times New Roman"/>
          <w:sz w:val="28"/>
          <w:szCs w:val="28"/>
          <w:lang w:eastAsia="lv-LV"/>
        </w:rPr>
        <w:t>6</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Ja likvidācijas vai maksātnespējas procesa gadījumā tiek izbeigta tāda uzņēmuma darbība, uz kuru attiecas Gada pārskatu vai konsolidēto gada pārskatu likums, šāda uzņēmuma darbības slēguma finanšu pārskata bilancē</w:t>
      </w:r>
      <w:r w:rsidRPr="00AF0176">
        <w:rPr>
          <w:rFonts w:cs="Times New Roman"/>
          <w:sz w:val="28"/>
          <w:szCs w:val="28"/>
        </w:rPr>
        <w:t xml:space="preserve"> </w:t>
      </w:r>
      <w:r w:rsidRPr="00AF0176">
        <w:rPr>
          <w:rFonts w:eastAsia="Times New Roman" w:cs="Times New Roman"/>
          <w:sz w:val="28"/>
          <w:szCs w:val="28"/>
          <w:lang w:eastAsia="lv-LV"/>
        </w:rPr>
        <w:t>mantu un saistības novērtē saskaņā ar Ministru kabineta 2015</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gada 22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decembra noteikumu Nr</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775 </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Gada pārskatu un konsolidēto gada pārskatu likuma piemērošanas noteikumi</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 xml:space="preserve"> 278., 279., 280</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un 281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punktā </w:t>
      </w:r>
      <w:r w:rsidR="00BD64B3" w:rsidRPr="00AF0176">
        <w:rPr>
          <w:rFonts w:eastAsia="Times New Roman" w:cs="Times New Roman"/>
          <w:sz w:val="28"/>
          <w:szCs w:val="28"/>
          <w:lang w:eastAsia="lv-LV"/>
        </w:rPr>
        <w:t xml:space="preserve">minēto </w:t>
      </w:r>
      <w:r w:rsidRPr="00AF0176">
        <w:rPr>
          <w:rFonts w:eastAsia="Times New Roman" w:cs="Times New Roman"/>
          <w:sz w:val="28"/>
          <w:szCs w:val="28"/>
          <w:lang w:eastAsia="lv-LV"/>
        </w:rPr>
        <w:t>kārtību.</w:t>
      </w:r>
    </w:p>
    <w:p w14:paraId="5121D950" w14:textId="77777777" w:rsidR="008B7D43" w:rsidRPr="00AF0176" w:rsidRDefault="008B7D43" w:rsidP="001122A5">
      <w:pPr>
        <w:spacing w:after="0"/>
        <w:rPr>
          <w:rFonts w:eastAsia="Times New Roman" w:cs="Times New Roman"/>
          <w:sz w:val="28"/>
          <w:szCs w:val="28"/>
          <w:lang w:eastAsia="lv-LV"/>
        </w:rPr>
      </w:pPr>
    </w:p>
    <w:p w14:paraId="1A9ABEB6" w14:textId="638CA417" w:rsidR="008B7D43" w:rsidRPr="00AF0176" w:rsidRDefault="008B7D43" w:rsidP="00425273">
      <w:pPr>
        <w:spacing w:after="0"/>
        <w:rPr>
          <w:rFonts w:cs="Times New Roman"/>
          <w:sz w:val="28"/>
          <w:szCs w:val="28"/>
        </w:rPr>
      </w:pPr>
      <w:r w:rsidRPr="00AF0176">
        <w:rPr>
          <w:rFonts w:cs="Times New Roman"/>
          <w:sz w:val="28"/>
          <w:szCs w:val="28"/>
        </w:rPr>
        <w:t>7</w:t>
      </w:r>
      <w:r w:rsidR="00C73DC4" w:rsidRPr="00AF0176">
        <w:rPr>
          <w:rFonts w:cs="Times New Roman"/>
          <w:sz w:val="28"/>
          <w:szCs w:val="28"/>
        </w:rPr>
        <w:t>. </w:t>
      </w:r>
      <w:r w:rsidRPr="00AF0176">
        <w:rPr>
          <w:rFonts w:cs="Times New Roman"/>
          <w:sz w:val="28"/>
          <w:szCs w:val="28"/>
        </w:rPr>
        <w:t xml:space="preserve">Sagatavojot Komerclikumā un Kooperatīvo sabiedrību likumā minēto likvidācijas slēguma finanšu pārskatu: </w:t>
      </w:r>
    </w:p>
    <w:p w14:paraId="3D930E21" w14:textId="31E8D43B" w:rsidR="008B7D43" w:rsidRPr="00AF0176" w:rsidRDefault="008B7D43">
      <w:pPr>
        <w:spacing w:after="0"/>
        <w:rPr>
          <w:rFonts w:eastAsia="Times New Roman" w:cs="Times New Roman"/>
          <w:sz w:val="28"/>
          <w:szCs w:val="28"/>
          <w:lang w:eastAsia="lv-LV"/>
        </w:rPr>
      </w:pPr>
      <w:r w:rsidRPr="00AF0176">
        <w:rPr>
          <w:rFonts w:cs="Times New Roman"/>
          <w:sz w:val="28"/>
          <w:szCs w:val="28"/>
        </w:rPr>
        <w:t>7.1</w:t>
      </w:r>
      <w:r w:rsidR="00C73DC4" w:rsidRPr="00AF0176">
        <w:rPr>
          <w:rFonts w:cs="Times New Roman"/>
          <w:sz w:val="28"/>
          <w:szCs w:val="28"/>
        </w:rPr>
        <w:t>. </w:t>
      </w:r>
      <w:r w:rsidR="00BD64B3" w:rsidRPr="00AF0176">
        <w:rPr>
          <w:rFonts w:cs="Times New Roman"/>
          <w:sz w:val="28"/>
          <w:szCs w:val="28"/>
        </w:rPr>
        <w:t xml:space="preserve">attiecīgajos </w:t>
      </w:r>
      <w:r w:rsidRPr="00AF0176">
        <w:rPr>
          <w:rFonts w:cs="Times New Roman"/>
          <w:sz w:val="28"/>
          <w:szCs w:val="28"/>
        </w:rPr>
        <w:t>bilances aktīva posteņos (piemēram, krājumi, nauda) norāda mantas atlikumu (ja tāds ir) pēc kreditoru prasījumu apmierināšanas vai viņiem paredzētās naudas deponēšanas un likvidācijas izdevumu segšanas;</w:t>
      </w:r>
    </w:p>
    <w:p w14:paraId="4D91E2CD" w14:textId="4C229787" w:rsidR="008B7D43" w:rsidRPr="00AF0176" w:rsidRDefault="008B7D43">
      <w:pPr>
        <w:spacing w:after="0"/>
        <w:rPr>
          <w:rFonts w:eastAsia="Times New Roman" w:cs="Times New Roman"/>
          <w:sz w:val="28"/>
          <w:szCs w:val="28"/>
          <w:lang w:eastAsia="lv-LV"/>
        </w:rPr>
      </w:pPr>
      <w:r w:rsidRPr="00AF0176">
        <w:rPr>
          <w:rFonts w:eastAsia="Times New Roman" w:cs="Times New Roman"/>
          <w:sz w:val="28"/>
          <w:szCs w:val="28"/>
          <w:lang w:eastAsia="lv-LV"/>
        </w:rPr>
        <w:t>7.2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bilances pasīva postenī </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Likvidācijas kapitāls</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 xml:space="preserve"> norāda summu, kas atbilst minētajam mantas atlikumam un pienākas uzņēmuma dalībniekiem un ko ņem par pamatu uzņēmuma atlikušās mantas sadales plāna sagatavošanai un likvidācijas kvotas aprēķināšanai.</w:t>
      </w:r>
    </w:p>
    <w:p w14:paraId="70B6B201" w14:textId="77777777" w:rsidR="008B7D43" w:rsidRPr="00AF0176" w:rsidRDefault="008B7D43" w:rsidP="001122A5">
      <w:pPr>
        <w:spacing w:after="0"/>
        <w:rPr>
          <w:rFonts w:cs="Times New Roman"/>
          <w:sz w:val="28"/>
          <w:szCs w:val="28"/>
        </w:rPr>
      </w:pPr>
    </w:p>
    <w:p w14:paraId="2BD7C0E8" w14:textId="2F584F1E" w:rsidR="008B7D43" w:rsidRPr="00AF0176" w:rsidRDefault="008B7D43" w:rsidP="00425273">
      <w:pPr>
        <w:spacing w:after="0"/>
        <w:rPr>
          <w:rFonts w:eastAsia="Times New Roman" w:cs="Times New Roman"/>
          <w:sz w:val="28"/>
          <w:szCs w:val="28"/>
          <w:lang w:eastAsia="lv-LV"/>
        </w:rPr>
      </w:pPr>
      <w:r w:rsidRPr="00AF0176">
        <w:rPr>
          <w:rFonts w:eastAsia="Times New Roman" w:cs="Times New Roman"/>
          <w:sz w:val="28"/>
          <w:szCs w:val="28"/>
          <w:lang w:eastAsia="lv-LV"/>
        </w:rPr>
        <w:t>8</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Ja likvidācijas vai maksātnespējas procesa gadījumā tiek izbeigta tāda uzņēmuma darbība, uz kuru attiecas Gada pārskatu vai konsolidēto gada pārskatu likums, šāda uzņēmuma </w:t>
      </w:r>
      <w:r w:rsidRPr="00AF0176">
        <w:rPr>
          <w:rFonts w:cs="Times New Roman"/>
          <w:sz w:val="28"/>
          <w:szCs w:val="28"/>
        </w:rPr>
        <w:t xml:space="preserve">likvidācijas slēguma </w:t>
      </w:r>
      <w:r w:rsidRPr="00AF0176">
        <w:rPr>
          <w:rFonts w:eastAsia="Times New Roman" w:cs="Times New Roman"/>
          <w:sz w:val="28"/>
          <w:szCs w:val="28"/>
          <w:lang w:eastAsia="lv-LV"/>
        </w:rPr>
        <w:t>finanšu pārskatu</w:t>
      </w:r>
      <w:r w:rsidRPr="00AF0176">
        <w:rPr>
          <w:rFonts w:cs="Times New Roman"/>
          <w:sz w:val="28"/>
          <w:szCs w:val="28"/>
        </w:rPr>
        <w:t xml:space="preserve"> </w:t>
      </w:r>
      <w:r w:rsidRPr="00AF0176">
        <w:rPr>
          <w:rFonts w:eastAsia="Times New Roman" w:cs="Times New Roman"/>
          <w:sz w:val="28"/>
          <w:szCs w:val="28"/>
          <w:lang w:eastAsia="lv-LV"/>
        </w:rPr>
        <w:t>sagatavo saskaņā ar Ministru kabineta 2015</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gada 22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decembra noteikumu Nr.</w:t>
      </w:r>
      <w:r w:rsidR="007B3D14" w:rsidRPr="00AF0176">
        <w:rPr>
          <w:rFonts w:eastAsia="Times New Roman" w:cs="Times New Roman"/>
          <w:sz w:val="28"/>
          <w:szCs w:val="28"/>
          <w:lang w:eastAsia="lv-LV"/>
        </w:rPr>
        <w:t> </w:t>
      </w:r>
      <w:r w:rsidRPr="00AF0176">
        <w:rPr>
          <w:rFonts w:eastAsia="Times New Roman" w:cs="Times New Roman"/>
          <w:sz w:val="28"/>
          <w:szCs w:val="28"/>
          <w:lang w:eastAsia="lv-LV"/>
        </w:rPr>
        <w:t xml:space="preserve">775 </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 xml:space="preserve">Gada pārskatu </w:t>
      </w:r>
      <w:r w:rsidRPr="00AF0176">
        <w:rPr>
          <w:rFonts w:eastAsia="Times New Roman" w:cs="Times New Roman"/>
          <w:sz w:val="28"/>
          <w:szCs w:val="28"/>
          <w:lang w:eastAsia="lv-LV"/>
        </w:rPr>
        <w:lastRenderedPageBreak/>
        <w:t>un konsolidēto gada pārskatu likuma piemērošanas noteikumi</w:t>
      </w:r>
      <w:r w:rsidR="00597155" w:rsidRPr="00AF0176">
        <w:rPr>
          <w:rFonts w:eastAsia="Times New Roman" w:cs="Times New Roman"/>
          <w:sz w:val="28"/>
          <w:szCs w:val="28"/>
          <w:lang w:eastAsia="lv-LV"/>
        </w:rPr>
        <w:t>"</w:t>
      </w:r>
      <w:r w:rsidRPr="00AF0176">
        <w:rPr>
          <w:rFonts w:eastAsia="Times New Roman" w:cs="Times New Roman"/>
          <w:sz w:val="28"/>
          <w:szCs w:val="28"/>
          <w:lang w:eastAsia="lv-LV"/>
        </w:rPr>
        <w:t xml:space="preserve"> 285</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un 286</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punktā </w:t>
      </w:r>
      <w:r w:rsidR="007B3D14" w:rsidRPr="00AF0176">
        <w:rPr>
          <w:rFonts w:eastAsia="Times New Roman" w:cs="Times New Roman"/>
          <w:sz w:val="28"/>
          <w:szCs w:val="28"/>
          <w:lang w:eastAsia="lv-LV"/>
        </w:rPr>
        <w:t xml:space="preserve">minēto </w:t>
      </w:r>
      <w:r w:rsidRPr="00AF0176">
        <w:rPr>
          <w:rFonts w:eastAsia="Times New Roman" w:cs="Times New Roman"/>
          <w:sz w:val="28"/>
          <w:szCs w:val="28"/>
          <w:lang w:eastAsia="lv-LV"/>
        </w:rPr>
        <w:t>kārtību.</w:t>
      </w:r>
    </w:p>
    <w:p w14:paraId="0F105788" w14:textId="77777777" w:rsidR="008B7D43" w:rsidRPr="00AF0176" w:rsidRDefault="008B7D43" w:rsidP="001122A5">
      <w:pPr>
        <w:spacing w:after="0"/>
        <w:rPr>
          <w:rFonts w:eastAsia="Times New Roman" w:cs="Times New Roman"/>
          <w:sz w:val="28"/>
          <w:szCs w:val="28"/>
          <w:lang w:eastAsia="lv-LV"/>
        </w:rPr>
      </w:pPr>
    </w:p>
    <w:p w14:paraId="00FAA852" w14:textId="2B258F78" w:rsidR="008B7D43" w:rsidRPr="00AF0176" w:rsidRDefault="00C73DC4" w:rsidP="001122A5">
      <w:pPr>
        <w:spacing w:after="0"/>
        <w:ind w:firstLine="0"/>
        <w:jc w:val="center"/>
        <w:rPr>
          <w:rFonts w:eastAsia="Times New Roman" w:cs="Times New Roman"/>
          <w:b/>
          <w:bCs/>
          <w:sz w:val="28"/>
          <w:szCs w:val="28"/>
          <w:lang w:eastAsia="lv-LV"/>
        </w:rPr>
      </w:pPr>
      <w:r w:rsidRPr="00AF0176">
        <w:rPr>
          <w:rFonts w:eastAsia="Times New Roman" w:cs="Times New Roman"/>
          <w:b/>
          <w:bCs/>
          <w:sz w:val="28"/>
          <w:szCs w:val="28"/>
          <w:lang w:eastAsia="lv-LV"/>
        </w:rPr>
        <w:t>III. </w:t>
      </w:r>
      <w:r w:rsidR="008B7D43" w:rsidRPr="00AF0176">
        <w:rPr>
          <w:rFonts w:eastAsia="Times New Roman" w:cs="Times New Roman"/>
          <w:b/>
          <w:bCs/>
          <w:sz w:val="28"/>
          <w:szCs w:val="28"/>
          <w:lang w:eastAsia="lv-LV"/>
        </w:rPr>
        <w:t>Uzņēmuma struktūrvienības darbības izbeigšana</w:t>
      </w:r>
    </w:p>
    <w:p w14:paraId="2B17EFD6" w14:textId="77777777" w:rsidR="003D0E9E" w:rsidRPr="00AF0176" w:rsidRDefault="003D0E9E" w:rsidP="001122A5">
      <w:pPr>
        <w:spacing w:after="0"/>
        <w:rPr>
          <w:rFonts w:eastAsia="Times New Roman" w:cs="Times New Roman"/>
          <w:sz w:val="28"/>
          <w:szCs w:val="28"/>
          <w:lang w:eastAsia="lv-LV"/>
        </w:rPr>
      </w:pPr>
    </w:p>
    <w:p w14:paraId="5058B85D" w14:textId="6D5CCA9A"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9</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Ja uzņēmuma struktūrvienības (pamatdarbības veids, filiāle vai cita skaidri atšķirama uzņēmuma sastāvdaļa) darbība tiek izbeigta, uz šo struktūrvienību attiecināmo uzņēmuma mantas un saistību daļu (ieskaitot tās, kuras radušās struktūrvienības likvidācijas dēļ) novērtē grāmatvedībā un norāda finanšu pārskatos saskaņā ar attiecīgā uzņēmuma gada pārskata </w:t>
      </w:r>
      <w:r w:rsidR="00502C1F" w:rsidRPr="00AF0176">
        <w:rPr>
          <w:rFonts w:eastAsia="Times New Roman" w:cs="Times New Roman"/>
          <w:sz w:val="28"/>
          <w:szCs w:val="28"/>
          <w:lang w:eastAsia="lv-LV"/>
        </w:rPr>
        <w:t>sagatavošanu reglamentējošiem normatīvajiem aktiem</w:t>
      </w:r>
      <w:r w:rsidR="00C73DC4" w:rsidRPr="00AF0176">
        <w:rPr>
          <w:rFonts w:eastAsia="Times New Roman" w:cs="Times New Roman"/>
          <w:sz w:val="28"/>
          <w:szCs w:val="28"/>
          <w:lang w:eastAsia="lv-LV"/>
        </w:rPr>
        <w:t xml:space="preserve">. </w:t>
      </w:r>
      <w:r w:rsidRPr="00AF0176">
        <w:rPr>
          <w:rFonts w:eastAsia="Times New Roman" w:cs="Times New Roman"/>
          <w:sz w:val="28"/>
          <w:szCs w:val="28"/>
          <w:lang w:eastAsia="lv-LV"/>
        </w:rPr>
        <w:t>Finanšu pārskatos papildus sniedz detalizētu informāciju par zaudējumiem, kurus radījusi mantas vērtības samazināšanās un saistību summas palielināšanās</w:t>
      </w:r>
      <w:r w:rsidRPr="00AF0176">
        <w:rPr>
          <w:rFonts w:cs="Times New Roman"/>
          <w:sz w:val="28"/>
          <w:szCs w:val="28"/>
        </w:rPr>
        <w:t xml:space="preserve"> </w:t>
      </w:r>
      <w:r w:rsidRPr="00AF0176">
        <w:rPr>
          <w:rFonts w:eastAsia="Times New Roman" w:cs="Times New Roman"/>
          <w:sz w:val="28"/>
          <w:szCs w:val="28"/>
          <w:lang w:eastAsia="lv-LV"/>
        </w:rPr>
        <w:t>uzņēmuma struktūrvienības darbības izbeigšanas dēļ, norādot zaudējumu summas aprēķināšanas pamatojumu un ietekmi uz uzņēmuma finanšu pārskata sastāvdaļu posteņu novērtējumu.</w:t>
      </w:r>
    </w:p>
    <w:p w14:paraId="76A5A209" w14:textId="77777777" w:rsidR="008B7D43" w:rsidRPr="00AF0176" w:rsidRDefault="008B7D43" w:rsidP="001122A5">
      <w:pPr>
        <w:spacing w:after="0"/>
        <w:rPr>
          <w:rFonts w:eastAsia="Times New Roman" w:cs="Times New Roman"/>
          <w:sz w:val="28"/>
          <w:szCs w:val="28"/>
          <w:lang w:eastAsia="lv-LV"/>
        </w:rPr>
      </w:pPr>
    </w:p>
    <w:p w14:paraId="4B46181F" w14:textId="0234BC53"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10</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 xml:space="preserve">Ja finanšu informāciju, kas tieši attiecas uz struktūrvienību, kuras darbību paredzēts izbeigt nākamajā pārskata gadā, uzņēmuma grāmatvedībā gada pārskata sagatavošanas laikā </w:t>
      </w:r>
      <w:r w:rsidR="00214A7C" w:rsidRPr="00AF0176">
        <w:rPr>
          <w:rFonts w:eastAsia="Times New Roman" w:cs="Times New Roman"/>
          <w:sz w:val="28"/>
          <w:szCs w:val="28"/>
          <w:lang w:eastAsia="lv-LV"/>
        </w:rPr>
        <w:t xml:space="preserve">ir </w:t>
      </w:r>
      <w:r w:rsidRPr="00AF0176">
        <w:rPr>
          <w:rFonts w:eastAsia="Times New Roman" w:cs="Times New Roman"/>
          <w:sz w:val="28"/>
          <w:szCs w:val="28"/>
          <w:lang w:eastAsia="lv-LV"/>
        </w:rPr>
        <w:t xml:space="preserve">iespējams skaidri nodalīt no informācijas, kas attiecas uz visu uzņēmumu kopumā, tad gada pārskatā (piemēram, finanšu pārskata pielikumā vai vadības ziņojumā) uzņēmums </w:t>
      </w:r>
      <w:r w:rsidR="00214A7C" w:rsidRPr="00AF0176">
        <w:rPr>
          <w:rFonts w:eastAsia="Times New Roman" w:cs="Times New Roman"/>
          <w:sz w:val="28"/>
          <w:szCs w:val="28"/>
          <w:lang w:eastAsia="lv-LV"/>
        </w:rPr>
        <w:t xml:space="preserve">par minēto struktūrvienību </w:t>
      </w:r>
      <w:r w:rsidRPr="00AF0176">
        <w:rPr>
          <w:rFonts w:eastAsia="Times New Roman" w:cs="Times New Roman"/>
          <w:sz w:val="28"/>
          <w:szCs w:val="28"/>
          <w:lang w:eastAsia="lv-LV"/>
        </w:rPr>
        <w:t>atsevišķi sniedz šādu sākotnējo informāciju:</w:t>
      </w:r>
    </w:p>
    <w:p w14:paraId="5B1849FB" w14:textId="3C296D15"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10.1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struktūrvienība, uz kuru šī informācija attiecas;</w:t>
      </w:r>
    </w:p>
    <w:p w14:paraId="4DDB1187" w14:textId="1C4A8990"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10.2</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paredzamais struktūrvienības darbības izbeigšanas laiks;</w:t>
      </w:r>
    </w:p>
    <w:p w14:paraId="683C3EBC" w14:textId="728C1600"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10.3</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bilances aktīvu vērtības kopsumma (pēc uzņēmuma grāmatvedības datiem bilances datumā), kurus uzņēmums paredzējis atsavināt vai likvidēt saistībā ar struktūrvienības darbības izbeigšanu nākamajā pārskata gadā;</w:t>
      </w:r>
    </w:p>
    <w:p w14:paraId="6A3F9234" w14:textId="2AE08EC6"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10.4</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parastās darbības ieņēmumu, izmaksu, peļņas vai zaudējumu (pirms uzņēmumu ienākuma nodokļa) vai attiecīgo neto naudas plūsmu summas, kas pašreizējā pārskata gadā attiecas uz struktūrvienību, kuras darbību paredzēts izbeigt</w:t>
      </w:r>
      <w:r w:rsidR="00C73DC4" w:rsidRPr="00AF0176">
        <w:rPr>
          <w:rFonts w:eastAsia="Times New Roman" w:cs="Times New Roman"/>
          <w:sz w:val="28"/>
          <w:szCs w:val="28"/>
          <w:lang w:eastAsia="lv-LV"/>
        </w:rPr>
        <w:t xml:space="preserve">. </w:t>
      </w:r>
      <w:r w:rsidRPr="00AF0176">
        <w:rPr>
          <w:rFonts w:cs="Times New Roman"/>
          <w:sz w:val="28"/>
          <w:szCs w:val="28"/>
        </w:rPr>
        <w:t xml:space="preserve">Neto naudas plūsma </w:t>
      </w:r>
      <w:r w:rsidR="00D131FE" w:rsidRPr="00AF0176">
        <w:rPr>
          <w:rFonts w:cs="Times New Roman"/>
          <w:sz w:val="28"/>
          <w:szCs w:val="28"/>
        </w:rPr>
        <w:t xml:space="preserve">šo noteikumu izpratnē </w:t>
      </w:r>
      <w:r w:rsidRPr="00AF0176">
        <w:rPr>
          <w:rFonts w:cs="Times New Roman"/>
          <w:sz w:val="28"/>
          <w:szCs w:val="28"/>
        </w:rPr>
        <w:t xml:space="preserve">ir </w:t>
      </w:r>
      <w:r w:rsidRPr="00AF0176">
        <w:rPr>
          <w:rFonts w:eastAsia="Times New Roman" w:cs="Times New Roman"/>
          <w:sz w:val="28"/>
          <w:szCs w:val="28"/>
          <w:lang w:eastAsia="lv-LV"/>
        </w:rPr>
        <w:t xml:space="preserve">naudas ieņēmumu pārsniegums pār naudas maksājumiem un izdevumiem, kas attiecas uz </w:t>
      </w:r>
      <w:r w:rsidR="00E4390A" w:rsidRPr="00AF0176">
        <w:rPr>
          <w:rFonts w:eastAsia="Times New Roman" w:cs="Times New Roman"/>
          <w:sz w:val="28"/>
          <w:szCs w:val="28"/>
          <w:lang w:eastAsia="lv-LV"/>
        </w:rPr>
        <w:t xml:space="preserve">konkrēto </w:t>
      </w:r>
      <w:r w:rsidRPr="00AF0176">
        <w:rPr>
          <w:rFonts w:eastAsia="Times New Roman" w:cs="Times New Roman"/>
          <w:sz w:val="28"/>
          <w:szCs w:val="28"/>
          <w:lang w:eastAsia="lv-LV"/>
        </w:rPr>
        <w:t>uzņēmuma darbības virzienu (piemēram, pamatdarbība, ieguldīšanas darbība, finansēšanas darbība).</w:t>
      </w:r>
    </w:p>
    <w:p w14:paraId="23D8C1EA" w14:textId="77777777" w:rsidR="008B7D43" w:rsidRPr="00AF0176" w:rsidRDefault="008B7D43" w:rsidP="001122A5">
      <w:pPr>
        <w:spacing w:after="0"/>
        <w:rPr>
          <w:rFonts w:eastAsia="Times New Roman" w:cs="Times New Roman"/>
          <w:sz w:val="28"/>
          <w:szCs w:val="28"/>
          <w:lang w:eastAsia="lv-LV"/>
        </w:rPr>
      </w:pPr>
    </w:p>
    <w:p w14:paraId="3EE4B0B5" w14:textId="03D216AD" w:rsidR="008B7D43" w:rsidRPr="00AF0176" w:rsidRDefault="008B7D43" w:rsidP="001122A5">
      <w:pPr>
        <w:spacing w:after="0"/>
        <w:rPr>
          <w:rFonts w:eastAsia="Times New Roman" w:cs="Times New Roman"/>
          <w:sz w:val="28"/>
          <w:szCs w:val="28"/>
          <w:lang w:eastAsia="lv-LV"/>
        </w:rPr>
      </w:pPr>
      <w:r w:rsidRPr="00AF0176">
        <w:rPr>
          <w:rFonts w:eastAsia="Times New Roman" w:cs="Times New Roman"/>
          <w:sz w:val="28"/>
          <w:szCs w:val="28"/>
          <w:lang w:eastAsia="lv-LV"/>
        </w:rPr>
        <w:t>11</w:t>
      </w:r>
      <w:r w:rsidR="00C73DC4" w:rsidRPr="00AF0176">
        <w:rPr>
          <w:rFonts w:eastAsia="Times New Roman" w:cs="Times New Roman"/>
          <w:sz w:val="28"/>
          <w:szCs w:val="28"/>
          <w:lang w:eastAsia="lv-LV"/>
        </w:rPr>
        <w:t>. </w:t>
      </w:r>
      <w:r w:rsidRPr="00AF0176">
        <w:rPr>
          <w:rFonts w:eastAsia="Times New Roman" w:cs="Times New Roman"/>
          <w:sz w:val="28"/>
          <w:szCs w:val="28"/>
          <w:lang w:eastAsia="lv-LV"/>
        </w:rPr>
        <w:t>Turpmākajos pārskata gados pēc sākotnējās informācijas sniegšanas par struktūrvienības darbības izbeigšanu, sagatavojot gada pārskatu, attiecīgo informāciju aktualizē saistībā ar jebkurām būtiskām izmaiņām, sniedzot informāciju par to, kas izraisījis šīs izmaiņas.</w:t>
      </w:r>
    </w:p>
    <w:p w14:paraId="665BF129" w14:textId="77777777" w:rsidR="00670BE7" w:rsidRPr="00AF0176" w:rsidRDefault="00670BE7" w:rsidP="001122A5">
      <w:pPr>
        <w:spacing w:after="0"/>
        <w:rPr>
          <w:rFonts w:cs="Times New Roman"/>
          <w:sz w:val="28"/>
          <w:szCs w:val="28"/>
        </w:rPr>
      </w:pPr>
    </w:p>
    <w:p w14:paraId="5D006D87" w14:textId="77777777" w:rsidR="00D44A59" w:rsidRPr="00AF0176" w:rsidRDefault="00D44A59">
      <w:pPr>
        <w:rPr>
          <w:rFonts w:cs="Times New Roman"/>
          <w:b/>
          <w:sz w:val="28"/>
          <w:szCs w:val="28"/>
        </w:rPr>
      </w:pPr>
      <w:r w:rsidRPr="00AF0176">
        <w:rPr>
          <w:rFonts w:cs="Times New Roman"/>
          <w:b/>
          <w:sz w:val="28"/>
          <w:szCs w:val="28"/>
        </w:rPr>
        <w:br w:type="page"/>
      </w:r>
    </w:p>
    <w:p w14:paraId="703F90D3" w14:textId="0C98CD16" w:rsidR="008B7D43" w:rsidRPr="00AF0176" w:rsidRDefault="00C73DC4" w:rsidP="00597155">
      <w:pPr>
        <w:spacing w:after="0"/>
        <w:ind w:firstLine="0"/>
        <w:jc w:val="center"/>
        <w:rPr>
          <w:rFonts w:cs="Times New Roman"/>
          <w:b/>
          <w:sz w:val="28"/>
          <w:szCs w:val="28"/>
        </w:rPr>
      </w:pPr>
      <w:r w:rsidRPr="00AF0176">
        <w:rPr>
          <w:rFonts w:cs="Times New Roman"/>
          <w:b/>
          <w:sz w:val="28"/>
          <w:szCs w:val="28"/>
        </w:rPr>
        <w:lastRenderedPageBreak/>
        <w:t>IV. </w:t>
      </w:r>
      <w:r w:rsidR="00C02A13" w:rsidRPr="00AF0176">
        <w:rPr>
          <w:rFonts w:cs="Times New Roman"/>
          <w:b/>
          <w:sz w:val="28"/>
          <w:szCs w:val="28"/>
        </w:rPr>
        <w:t>Noslēguma jautājumi</w:t>
      </w:r>
    </w:p>
    <w:p w14:paraId="51A3F42C" w14:textId="77777777" w:rsidR="008B7D43" w:rsidRPr="00AF0176" w:rsidRDefault="008B7D43" w:rsidP="001122A5">
      <w:pPr>
        <w:spacing w:after="0"/>
        <w:ind w:firstLine="720"/>
        <w:rPr>
          <w:rFonts w:cs="Times New Roman"/>
          <w:sz w:val="28"/>
          <w:szCs w:val="28"/>
        </w:rPr>
      </w:pPr>
    </w:p>
    <w:p w14:paraId="19DB3033" w14:textId="5027CA9B" w:rsidR="008B7D43" w:rsidRPr="00AF0176" w:rsidRDefault="008B7D43" w:rsidP="00597155">
      <w:pPr>
        <w:spacing w:after="0"/>
        <w:ind w:firstLine="720"/>
        <w:rPr>
          <w:rFonts w:cs="Times New Roman"/>
          <w:sz w:val="28"/>
          <w:szCs w:val="28"/>
        </w:rPr>
      </w:pPr>
      <w:r w:rsidRPr="00AF0176">
        <w:rPr>
          <w:rFonts w:cs="Times New Roman"/>
          <w:sz w:val="28"/>
          <w:szCs w:val="28"/>
        </w:rPr>
        <w:t>12</w:t>
      </w:r>
      <w:r w:rsidR="00C73DC4" w:rsidRPr="00AF0176">
        <w:rPr>
          <w:rFonts w:cs="Times New Roman"/>
          <w:sz w:val="28"/>
          <w:szCs w:val="28"/>
        </w:rPr>
        <w:t>. </w:t>
      </w:r>
      <w:r w:rsidRPr="00AF0176">
        <w:rPr>
          <w:rFonts w:cs="Times New Roman"/>
          <w:sz w:val="28"/>
          <w:szCs w:val="28"/>
        </w:rPr>
        <w:t>Atzīt par spēku zaudējušiem Ministru kabineta 2003</w:t>
      </w:r>
      <w:r w:rsidR="00C73DC4" w:rsidRPr="00AF0176">
        <w:rPr>
          <w:rFonts w:cs="Times New Roman"/>
          <w:sz w:val="28"/>
          <w:szCs w:val="28"/>
        </w:rPr>
        <w:t>. </w:t>
      </w:r>
      <w:r w:rsidRPr="00AF0176">
        <w:rPr>
          <w:rFonts w:cs="Times New Roman"/>
          <w:sz w:val="28"/>
          <w:szCs w:val="28"/>
        </w:rPr>
        <w:t>gada 21</w:t>
      </w:r>
      <w:r w:rsidR="00C73DC4" w:rsidRPr="00AF0176">
        <w:rPr>
          <w:rFonts w:cs="Times New Roman"/>
          <w:sz w:val="28"/>
          <w:szCs w:val="28"/>
        </w:rPr>
        <w:t>. </w:t>
      </w:r>
      <w:r w:rsidRPr="00AF0176">
        <w:rPr>
          <w:rFonts w:cs="Times New Roman"/>
          <w:sz w:val="28"/>
          <w:szCs w:val="28"/>
        </w:rPr>
        <w:t>oktobra noteikumus Nr</w:t>
      </w:r>
      <w:r w:rsidR="00C73DC4" w:rsidRPr="00AF0176">
        <w:rPr>
          <w:rFonts w:cs="Times New Roman"/>
          <w:sz w:val="28"/>
          <w:szCs w:val="28"/>
        </w:rPr>
        <w:t>. </w:t>
      </w:r>
      <w:r w:rsidRPr="00AF0176">
        <w:rPr>
          <w:rFonts w:cs="Times New Roman"/>
          <w:sz w:val="28"/>
          <w:szCs w:val="28"/>
        </w:rPr>
        <w:t xml:space="preserve">583 </w:t>
      </w:r>
      <w:r w:rsidR="00597155" w:rsidRPr="00AF0176">
        <w:rPr>
          <w:rFonts w:cs="Times New Roman"/>
          <w:sz w:val="28"/>
          <w:szCs w:val="28"/>
        </w:rPr>
        <w:t>"</w:t>
      </w:r>
      <w:r w:rsidRPr="00AF0176">
        <w:rPr>
          <w:rFonts w:cs="Times New Roman"/>
          <w:sz w:val="28"/>
          <w:szCs w:val="28"/>
        </w:rPr>
        <w:t>Uzņēmuma mantas, arī prasījumu un saistību novērtēšana grāmatvedībā un atspoguļošana finanšu pārskatos, ja uzņēmuma vai tā struktūrvienības darbība tiek izbeigta</w:t>
      </w:r>
      <w:r w:rsidR="00597155" w:rsidRPr="00AF0176">
        <w:rPr>
          <w:rFonts w:cs="Times New Roman"/>
          <w:sz w:val="28"/>
          <w:szCs w:val="28"/>
        </w:rPr>
        <w:t>"</w:t>
      </w:r>
      <w:r w:rsidRPr="00AF0176">
        <w:rPr>
          <w:rFonts w:cs="Times New Roman"/>
          <w:sz w:val="28"/>
          <w:szCs w:val="28"/>
        </w:rPr>
        <w:t xml:space="preserve"> (Latvijas Vēstnesis, 2003, 151</w:t>
      </w:r>
      <w:r w:rsidR="00C73DC4" w:rsidRPr="00AF0176">
        <w:rPr>
          <w:rFonts w:cs="Times New Roman"/>
          <w:sz w:val="28"/>
          <w:szCs w:val="28"/>
        </w:rPr>
        <w:t>. </w:t>
      </w:r>
      <w:r w:rsidR="005416AA" w:rsidRPr="00AF0176">
        <w:rPr>
          <w:rFonts w:cs="Times New Roman"/>
          <w:sz w:val="28"/>
          <w:szCs w:val="28"/>
        </w:rPr>
        <w:t>nr.;</w:t>
      </w:r>
      <w:r w:rsidRPr="00AF0176">
        <w:rPr>
          <w:rFonts w:cs="Times New Roman"/>
          <w:sz w:val="28"/>
          <w:szCs w:val="28"/>
        </w:rPr>
        <w:t xml:space="preserve"> 2006, 193</w:t>
      </w:r>
      <w:r w:rsidR="00C73DC4" w:rsidRPr="00AF0176">
        <w:rPr>
          <w:rFonts w:cs="Times New Roman"/>
          <w:sz w:val="28"/>
          <w:szCs w:val="28"/>
        </w:rPr>
        <w:t>. </w:t>
      </w:r>
      <w:r w:rsidR="005416AA" w:rsidRPr="00AF0176">
        <w:rPr>
          <w:rFonts w:cs="Times New Roman"/>
          <w:sz w:val="28"/>
          <w:szCs w:val="28"/>
        </w:rPr>
        <w:t>nr.;</w:t>
      </w:r>
      <w:r w:rsidRPr="00AF0176">
        <w:rPr>
          <w:rFonts w:cs="Times New Roman"/>
          <w:sz w:val="28"/>
          <w:szCs w:val="28"/>
        </w:rPr>
        <w:t xml:space="preserve"> 2009, 110</w:t>
      </w:r>
      <w:r w:rsidR="00C73DC4" w:rsidRPr="00AF0176">
        <w:rPr>
          <w:rFonts w:cs="Times New Roman"/>
          <w:sz w:val="28"/>
          <w:szCs w:val="28"/>
        </w:rPr>
        <w:t>. </w:t>
      </w:r>
      <w:r w:rsidR="005416AA" w:rsidRPr="00AF0176">
        <w:rPr>
          <w:rFonts w:cs="Times New Roman"/>
          <w:sz w:val="28"/>
          <w:szCs w:val="28"/>
        </w:rPr>
        <w:t>nr.;</w:t>
      </w:r>
      <w:r w:rsidRPr="00AF0176">
        <w:rPr>
          <w:rFonts w:cs="Times New Roman"/>
          <w:sz w:val="28"/>
          <w:szCs w:val="28"/>
        </w:rPr>
        <w:t xml:space="preserve"> 2011, 122</w:t>
      </w:r>
      <w:r w:rsidR="00C73DC4" w:rsidRPr="00AF0176">
        <w:rPr>
          <w:rFonts w:cs="Times New Roman"/>
          <w:sz w:val="28"/>
          <w:szCs w:val="28"/>
        </w:rPr>
        <w:t>. </w:t>
      </w:r>
      <w:r w:rsidRPr="00AF0176">
        <w:rPr>
          <w:rFonts w:cs="Times New Roman"/>
          <w:sz w:val="28"/>
          <w:szCs w:val="28"/>
        </w:rPr>
        <w:t>nr.)</w:t>
      </w:r>
      <w:r w:rsidR="006153F7" w:rsidRPr="00AF0176">
        <w:rPr>
          <w:rFonts w:cs="Times New Roman"/>
          <w:sz w:val="28"/>
          <w:szCs w:val="28"/>
        </w:rPr>
        <w:t>.</w:t>
      </w:r>
    </w:p>
    <w:p w14:paraId="08D4E3CE" w14:textId="3107D38B" w:rsidR="00C33166" w:rsidRPr="00AF0176" w:rsidRDefault="00C33166" w:rsidP="00597155">
      <w:pPr>
        <w:spacing w:after="0"/>
        <w:ind w:firstLine="720"/>
        <w:rPr>
          <w:rFonts w:cs="Times New Roman"/>
          <w:sz w:val="28"/>
          <w:szCs w:val="28"/>
        </w:rPr>
      </w:pPr>
    </w:p>
    <w:p w14:paraId="144B5663" w14:textId="0BD78779" w:rsidR="008A1910" w:rsidRPr="00AF0176" w:rsidRDefault="008A1910" w:rsidP="00597155">
      <w:pPr>
        <w:spacing w:after="0"/>
        <w:ind w:firstLine="720"/>
        <w:rPr>
          <w:rFonts w:cs="Times New Roman"/>
          <w:sz w:val="28"/>
          <w:szCs w:val="28"/>
        </w:rPr>
      </w:pPr>
      <w:r w:rsidRPr="00AF0176">
        <w:rPr>
          <w:rFonts w:cs="Times New Roman"/>
          <w:sz w:val="28"/>
          <w:szCs w:val="28"/>
        </w:rPr>
        <w:t>13</w:t>
      </w:r>
      <w:r w:rsidR="00C73DC4" w:rsidRPr="00AF0176">
        <w:rPr>
          <w:rFonts w:cs="Times New Roman"/>
          <w:sz w:val="28"/>
          <w:szCs w:val="28"/>
        </w:rPr>
        <w:t>. </w:t>
      </w:r>
      <w:r w:rsidRPr="00AF0176">
        <w:rPr>
          <w:rFonts w:cs="Times New Roman"/>
          <w:sz w:val="28"/>
          <w:szCs w:val="28"/>
        </w:rPr>
        <w:t xml:space="preserve">Noteikumi stājas spēkā </w:t>
      </w:r>
      <w:r w:rsidR="00396277" w:rsidRPr="00AF0176">
        <w:rPr>
          <w:rFonts w:cs="Times New Roman"/>
          <w:sz w:val="28"/>
          <w:szCs w:val="28"/>
        </w:rPr>
        <w:t>2022</w:t>
      </w:r>
      <w:r w:rsidR="00C73DC4" w:rsidRPr="00AF0176">
        <w:rPr>
          <w:rFonts w:cs="Times New Roman"/>
          <w:sz w:val="28"/>
          <w:szCs w:val="28"/>
        </w:rPr>
        <w:t>. </w:t>
      </w:r>
      <w:r w:rsidR="00396277" w:rsidRPr="00AF0176">
        <w:rPr>
          <w:rFonts w:cs="Times New Roman"/>
          <w:sz w:val="28"/>
          <w:szCs w:val="28"/>
        </w:rPr>
        <w:t>gada 1</w:t>
      </w:r>
      <w:r w:rsidR="00C73DC4" w:rsidRPr="00AF0176">
        <w:rPr>
          <w:rFonts w:cs="Times New Roman"/>
          <w:sz w:val="28"/>
          <w:szCs w:val="28"/>
        </w:rPr>
        <w:t>. </w:t>
      </w:r>
      <w:r w:rsidR="00396277" w:rsidRPr="00AF0176">
        <w:rPr>
          <w:rFonts w:cs="Times New Roman"/>
          <w:sz w:val="28"/>
          <w:szCs w:val="28"/>
        </w:rPr>
        <w:t>janvārī</w:t>
      </w:r>
      <w:r w:rsidR="0070436D" w:rsidRPr="00AF0176">
        <w:rPr>
          <w:rFonts w:cs="Times New Roman"/>
          <w:sz w:val="28"/>
          <w:szCs w:val="28"/>
        </w:rPr>
        <w:t>.</w:t>
      </w:r>
    </w:p>
    <w:p w14:paraId="42F201FD" w14:textId="77777777" w:rsidR="008A1910" w:rsidRPr="00AF0176" w:rsidRDefault="008A1910" w:rsidP="00597155">
      <w:pPr>
        <w:spacing w:after="0"/>
        <w:ind w:firstLine="720"/>
        <w:rPr>
          <w:rFonts w:cs="Times New Roman"/>
          <w:sz w:val="28"/>
          <w:szCs w:val="28"/>
        </w:rPr>
      </w:pPr>
    </w:p>
    <w:p w14:paraId="202FECA0" w14:textId="2E154E94" w:rsidR="000B36F1" w:rsidRPr="00AF0176" w:rsidRDefault="000B36F1" w:rsidP="00597155">
      <w:pPr>
        <w:spacing w:after="0"/>
        <w:ind w:firstLine="720"/>
        <w:rPr>
          <w:rFonts w:cs="Times New Roman"/>
          <w:sz w:val="28"/>
          <w:szCs w:val="28"/>
        </w:rPr>
      </w:pPr>
    </w:p>
    <w:p w14:paraId="02744662" w14:textId="77777777" w:rsidR="00597155" w:rsidRPr="00AF0176" w:rsidRDefault="00597155" w:rsidP="00597155">
      <w:pPr>
        <w:spacing w:after="0"/>
        <w:ind w:firstLine="720"/>
        <w:rPr>
          <w:rFonts w:cs="Times New Roman"/>
          <w:sz w:val="28"/>
          <w:szCs w:val="28"/>
        </w:rPr>
      </w:pPr>
    </w:p>
    <w:p w14:paraId="39B4CC05" w14:textId="2F007AE8" w:rsidR="00597155" w:rsidRPr="00AF0176" w:rsidRDefault="00597155" w:rsidP="00597155">
      <w:pPr>
        <w:pStyle w:val="Body"/>
        <w:tabs>
          <w:tab w:val="left" w:pos="6521"/>
        </w:tabs>
        <w:spacing w:after="0" w:line="240" w:lineRule="auto"/>
        <w:ind w:firstLine="709"/>
        <w:jc w:val="both"/>
        <w:rPr>
          <w:rFonts w:ascii="Times New Roman" w:hAnsi="Times New Roman"/>
          <w:color w:val="auto"/>
          <w:sz w:val="28"/>
          <w:lang w:val="de-DE"/>
        </w:rPr>
      </w:pPr>
      <w:r w:rsidRPr="00AF0176">
        <w:rPr>
          <w:rFonts w:ascii="Times New Roman" w:hAnsi="Times New Roman"/>
          <w:color w:val="auto"/>
          <w:sz w:val="28"/>
          <w:lang w:val="de-DE"/>
        </w:rPr>
        <w:t>Ministru prezidents</w:t>
      </w:r>
      <w:r w:rsidRPr="00AF0176">
        <w:rPr>
          <w:rFonts w:ascii="Times New Roman" w:hAnsi="Times New Roman"/>
          <w:color w:val="auto"/>
          <w:sz w:val="28"/>
          <w:lang w:val="de-DE"/>
        </w:rPr>
        <w:tab/>
      </w:r>
      <w:r w:rsidRPr="00AF0176">
        <w:rPr>
          <w:rFonts w:ascii="Times New Roman" w:eastAsia="Calibri" w:hAnsi="Times New Roman"/>
          <w:color w:val="auto"/>
          <w:sz w:val="28"/>
          <w:lang w:val="de-DE"/>
        </w:rPr>
        <w:t>A</w:t>
      </w:r>
      <w:r w:rsidR="00C73DC4" w:rsidRPr="00AF0176">
        <w:rPr>
          <w:rFonts w:ascii="Times New Roman" w:eastAsia="Calibri" w:hAnsi="Times New Roman"/>
          <w:color w:val="auto"/>
          <w:sz w:val="28"/>
          <w:lang w:val="de-DE"/>
        </w:rPr>
        <w:t>. </w:t>
      </w:r>
      <w:r w:rsidRPr="00AF0176">
        <w:rPr>
          <w:rFonts w:ascii="Times New Roman" w:hAnsi="Times New Roman"/>
          <w:color w:val="auto"/>
          <w:sz w:val="28"/>
          <w:lang w:val="de-DE"/>
        </w:rPr>
        <w:t>K</w:t>
      </w:r>
      <w:r w:rsidR="00C73DC4" w:rsidRPr="00AF0176">
        <w:rPr>
          <w:rFonts w:ascii="Times New Roman" w:hAnsi="Times New Roman"/>
          <w:color w:val="auto"/>
          <w:sz w:val="28"/>
          <w:lang w:val="de-DE"/>
        </w:rPr>
        <w:t>. </w:t>
      </w:r>
      <w:r w:rsidRPr="00AF0176">
        <w:rPr>
          <w:rFonts w:ascii="Times New Roman" w:hAnsi="Times New Roman"/>
          <w:color w:val="auto"/>
          <w:sz w:val="28"/>
          <w:lang w:val="de-DE"/>
        </w:rPr>
        <w:t>Kariņš</w:t>
      </w:r>
    </w:p>
    <w:p w14:paraId="6803C0D1" w14:textId="77777777" w:rsidR="00597155" w:rsidRPr="00AF0176" w:rsidRDefault="00597155" w:rsidP="00597155">
      <w:pPr>
        <w:pStyle w:val="Body"/>
        <w:spacing w:after="0" w:line="240" w:lineRule="auto"/>
        <w:ind w:firstLine="709"/>
        <w:jc w:val="both"/>
        <w:rPr>
          <w:rFonts w:ascii="Times New Roman" w:hAnsi="Times New Roman"/>
          <w:color w:val="auto"/>
          <w:sz w:val="28"/>
          <w:lang w:val="de-DE"/>
        </w:rPr>
      </w:pPr>
    </w:p>
    <w:p w14:paraId="73090C6E" w14:textId="77777777" w:rsidR="00597155" w:rsidRPr="00AF0176" w:rsidRDefault="00597155" w:rsidP="00597155">
      <w:pPr>
        <w:pStyle w:val="Body"/>
        <w:spacing w:after="0" w:line="240" w:lineRule="auto"/>
        <w:ind w:firstLine="709"/>
        <w:jc w:val="both"/>
        <w:rPr>
          <w:rFonts w:ascii="Times New Roman" w:hAnsi="Times New Roman"/>
          <w:color w:val="auto"/>
          <w:sz w:val="28"/>
          <w:lang w:val="de-DE"/>
        </w:rPr>
      </w:pPr>
    </w:p>
    <w:p w14:paraId="3D2ED77D" w14:textId="77777777" w:rsidR="00597155" w:rsidRPr="00AF0176" w:rsidRDefault="00597155" w:rsidP="00597155">
      <w:pPr>
        <w:pStyle w:val="Body"/>
        <w:spacing w:after="0" w:line="240" w:lineRule="auto"/>
        <w:ind w:firstLine="709"/>
        <w:jc w:val="both"/>
        <w:rPr>
          <w:rFonts w:ascii="Times New Roman" w:hAnsi="Times New Roman"/>
          <w:color w:val="auto"/>
          <w:sz w:val="28"/>
          <w:lang w:val="de-DE"/>
        </w:rPr>
      </w:pPr>
    </w:p>
    <w:p w14:paraId="6B1AD05E" w14:textId="7F4F67E7" w:rsidR="008B7D43" w:rsidRPr="00AF0176" w:rsidRDefault="00597155" w:rsidP="001122A5">
      <w:pPr>
        <w:pStyle w:val="Body"/>
        <w:tabs>
          <w:tab w:val="left" w:pos="6521"/>
        </w:tabs>
        <w:spacing w:after="0" w:line="240" w:lineRule="auto"/>
        <w:ind w:firstLine="709"/>
        <w:jc w:val="both"/>
        <w:rPr>
          <w:color w:val="auto"/>
          <w:sz w:val="28"/>
          <w:lang w:val="de-DE"/>
        </w:rPr>
      </w:pPr>
      <w:r w:rsidRPr="00AF0176">
        <w:rPr>
          <w:rFonts w:ascii="Times New Roman" w:hAnsi="Times New Roman"/>
          <w:color w:val="auto"/>
          <w:sz w:val="28"/>
          <w:lang w:val="de-DE"/>
        </w:rPr>
        <w:t>Finanšu ministrs</w:t>
      </w:r>
      <w:r w:rsidRPr="00AF0176">
        <w:rPr>
          <w:rFonts w:ascii="Times New Roman" w:hAnsi="Times New Roman"/>
          <w:color w:val="auto"/>
          <w:sz w:val="28"/>
          <w:lang w:val="de-DE"/>
        </w:rPr>
        <w:tab/>
        <w:t>J</w:t>
      </w:r>
      <w:r w:rsidR="00C73DC4" w:rsidRPr="00AF0176">
        <w:rPr>
          <w:rFonts w:ascii="Times New Roman" w:hAnsi="Times New Roman"/>
          <w:color w:val="auto"/>
          <w:sz w:val="28"/>
          <w:lang w:val="de-DE"/>
        </w:rPr>
        <w:t>. </w:t>
      </w:r>
      <w:r w:rsidRPr="00AF0176">
        <w:rPr>
          <w:rFonts w:ascii="Times New Roman" w:hAnsi="Times New Roman"/>
          <w:color w:val="auto"/>
          <w:sz w:val="28"/>
          <w:lang w:val="de-DE"/>
        </w:rPr>
        <w:t>Reirs</w:t>
      </w:r>
    </w:p>
    <w:sectPr w:rsidR="008B7D43" w:rsidRPr="00AF0176" w:rsidSect="00597155">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385D" w14:textId="77777777" w:rsidR="007F1677" w:rsidRDefault="007F1677" w:rsidP="00387068">
      <w:pPr>
        <w:spacing w:after="0"/>
      </w:pPr>
      <w:r>
        <w:separator/>
      </w:r>
    </w:p>
  </w:endnote>
  <w:endnote w:type="continuationSeparator" w:id="0">
    <w:p w14:paraId="2682104D" w14:textId="77777777" w:rsidR="007F1677" w:rsidRDefault="007F1677" w:rsidP="00387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4D37" w14:textId="059EB528" w:rsidR="00B32099" w:rsidRPr="00597155" w:rsidRDefault="00597155" w:rsidP="00597155">
    <w:pPr>
      <w:pStyle w:val="Footer"/>
      <w:ind w:firstLine="0"/>
      <w:rPr>
        <w:sz w:val="16"/>
        <w:szCs w:val="16"/>
      </w:rPr>
    </w:pPr>
    <w:r w:rsidRPr="00597155">
      <w:rPr>
        <w:sz w:val="16"/>
        <w:szCs w:val="16"/>
      </w:rPr>
      <w:t>N1818_1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8A0E" w14:textId="5EC9C5F7" w:rsidR="00377494" w:rsidRPr="00597155" w:rsidRDefault="00597155" w:rsidP="00597155">
    <w:pPr>
      <w:pStyle w:val="Footer"/>
      <w:ind w:firstLine="0"/>
      <w:rPr>
        <w:sz w:val="16"/>
        <w:szCs w:val="16"/>
      </w:rPr>
    </w:pPr>
    <w:r w:rsidRPr="00597155">
      <w:rPr>
        <w:sz w:val="16"/>
        <w:szCs w:val="16"/>
      </w:rPr>
      <w:t>N1818_1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48B8" w14:textId="77777777" w:rsidR="007F1677" w:rsidRDefault="007F1677" w:rsidP="00387068">
      <w:pPr>
        <w:spacing w:after="0"/>
      </w:pPr>
      <w:r>
        <w:separator/>
      </w:r>
    </w:p>
  </w:footnote>
  <w:footnote w:type="continuationSeparator" w:id="0">
    <w:p w14:paraId="67E4E3E1" w14:textId="77777777" w:rsidR="007F1677" w:rsidRDefault="007F1677" w:rsidP="003870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699"/>
      <w:docPartObj>
        <w:docPartGallery w:val="Page Numbers (Top of Page)"/>
        <w:docPartUnique/>
      </w:docPartObj>
    </w:sdtPr>
    <w:sdtEndPr>
      <w:rPr>
        <w:noProof/>
      </w:rPr>
    </w:sdtEndPr>
    <w:sdtContent>
      <w:p w14:paraId="1C7643F0" w14:textId="4171D82C" w:rsidR="00387068" w:rsidRDefault="00387068" w:rsidP="00597155">
        <w:pPr>
          <w:pStyle w:val="Header"/>
          <w:ind w:firstLine="0"/>
          <w:jc w:val="center"/>
        </w:pPr>
        <w:r>
          <w:fldChar w:fldCharType="begin"/>
        </w:r>
        <w:r>
          <w:instrText xml:space="preserve"> PAGE   \* MERGEFORMAT </w:instrText>
        </w:r>
        <w:r>
          <w:fldChar w:fldCharType="separate"/>
        </w:r>
        <w:r w:rsidR="007B57D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5068" w14:textId="77777777" w:rsidR="00597155" w:rsidRPr="003629D6" w:rsidRDefault="00597155" w:rsidP="00597155">
    <w:pPr>
      <w:pStyle w:val="Header"/>
      <w:ind w:firstLine="0"/>
    </w:pPr>
  </w:p>
  <w:p w14:paraId="07C691D5" w14:textId="77777777" w:rsidR="00597155" w:rsidRDefault="00597155" w:rsidP="00597155">
    <w:pPr>
      <w:pStyle w:val="Header"/>
      <w:ind w:firstLine="0"/>
    </w:pPr>
    <w:r>
      <w:rPr>
        <w:noProof/>
      </w:rPr>
      <w:drawing>
        <wp:inline distT="0" distB="0" distL="0" distR="0" wp14:anchorId="67D54901" wp14:editId="7C5EA72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D93"/>
    <w:multiLevelType w:val="multilevel"/>
    <w:tmpl w:val="6DE44170"/>
    <w:lvl w:ilvl="0">
      <w:start w:val="1"/>
      <w:numFmt w:val="decimal"/>
      <w:lvlText w:val="%1."/>
      <w:lvlJc w:val="left"/>
      <w:pPr>
        <w:ind w:left="1352" w:hanging="360"/>
      </w:pPr>
      <w:rPr>
        <w:rFonts w:hint="default"/>
      </w:rPr>
    </w:lvl>
    <w:lvl w:ilvl="1">
      <w:start w:val="1"/>
      <w:numFmt w:val="decimal"/>
      <w:isLgl/>
      <w:lvlText w:val="%1.%2."/>
      <w:lvlJc w:val="left"/>
      <w:pPr>
        <w:ind w:left="1429"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509" w:hanging="180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869" w:hanging="2160"/>
      </w:pPr>
      <w:rPr>
        <w:rFonts w:cstheme="minorBidi" w:hint="default"/>
      </w:rPr>
    </w:lvl>
  </w:abstractNum>
  <w:abstractNum w:abstractNumId="1" w15:restartNumberingAfterBreak="0">
    <w:nsid w:val="29B07E73"/>
    <w:multiLevelType w:val="multilevel"/>
    <w:tmpl w:val="A49EA8F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6133DD5"/>
    <w:multiLevelType w:val="hybridMultilevel"/>
    <w:tmpl w:val="CF301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2E4C6A"/>
    <w:multiLevelType w:val="hybridMultilevel"/>
    <w:tmpl w:val="B5864F64"/>
    <w:lvl w:ilvl="0" w:tplc="2BB2B61A">
      <w:start w:val="1"/>
      <w:numFmt w:val="decimal"/>
      <w:lvlText w:val="%1."/>
      <w:lvlJc w:val="left"/>
      <w:pPr>
        <w:ind w:left="10567" w:hanging="360"/>
      </w:pPr>
      <w:rPr>
        <w:rFonts w:hint="default"/>
        <w:b/>
        <w:sz w:val="28"/>
      </w:rPr>
    </w:lvl>
    <w:lvl w:ilvl="1" w:tplc="04260019" w:tentative="1">
      <w:start w:val="1"/>
      <w:numFmt w:val="lowerLetter"/>
      <w:lvlText w:val="%2."/>
      <w:lvlJc w:val="left"/>
      <w:pPr>
        <w:ind w:left="9945" w:hanging="360"/>
      </w:pPr>
    </w:lvl>
    <w:lvl w:ilvl="2" w:tplc="0426001B" w:tentative="1">
      <w:start w:val="1"/>
      <w:numFmt w:val="lowerRoman"/>
      <w:lvlText w:val="%3."/>
      <w:lvlJc w:val="right"/>
      <w:pPr>
        <w:ind w:left="10665" w:hanging="180"/>
      </w:pPr>
    </w:lvl>
    <w:lvl w:ilvl="3" w:tplc="0426000F" w:tentative="1">
      <w:start w:val="1"/>
      <w:numFmt w:val="decimal"/>
      <w:lvlText w:val="%4."/>
      <w:lvlJc w:val="left"/>
      <w:pPr>
        <w:ind w:left="11385" w:hanging="360"/>
      </w:pPr>
    </w:lvl>
    <w:lvl w:ilvl="4" w:tplc="04260019" w:tentative="1">
      <w:start w:val="1"/>
      <w:numFmt w:val="lowerLetter"/>
      <w:lvlText w:val="%5."/>
      <w:lvlJc w:val="left"/>
      <w:pPr>
        <w:ind w:left="12105" w:hanging="360"/>
      </w:pPr>
    </w:lvl>
    <w:lvl w:ilvl="5" w:tplc="0426001B" w:tentative="1">
      <w:start w:val="1"/>
      <w:numFmt w:val="lowerRoman"/>
      <w:lvlText w:val="%6."/>
      <w:lvlJc w:val="right"/>
      <w:pPr>
        <w:ind w:left="12825" w:hanging="180"/>
      </w:pPr>
    </w:lvl>
    <w:lvl w:ilvl="6" w:tplc="0426000F" w:tentative="1">
      <w:start w:val="1"/>
      <w:numFmt w:val="decimal"/>
      <w:lvlText w:val="%7."/>
      <w:lvlJc w:val="left"/>
      <w:pPr>
        <w:ind w:left="13545" w:hanging="360"/>
      </w:pPr>
    </w:lvl>
    <w:lvl w:ilvl="7" w:tplc="04260019" w:tentative="1">
      <w:start w:val="1"/>
      <w:numFmt w:val="lowerLetter"/>
      <w:lvlText w:val="%8."/>
      <w:lvlJc w:val="left"/>
      <w:pPr>
        <w:ind w:left="14265" w:hanging="360"/>
      </w:pPr>
    </w:lvl>
    <w:lvl w:ilvl="8" w:tplc="0426001B" w:tentative="1">
      <w:start w:val="1"/>
      <w:numFmt w:val="lowerRoman"/>
      <w:lvlText w:val="%9."/>
      <w:lvlJc w:val="right"/>
      <w:pPr>
        <w:ind w:left="14985" w:hanging="180"/>
      </w:pPr>
    </w:lvl>
  </w:abstractNum>
  <w:abstractNum w:abstractNumId="4" w15:restartNumberingAfterBreak="0">
    <w:nsid w:val="549D4D07"/>
    <w:multiLevelType w:val="hybridMultilevel"/>
    <w:tmpl w:val="09DC8B12"/>
    <w:lvl w:ilvl="0" w:tplc="EB0A79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7534F1D"/>
    <w:multiLevelType w:val="hybridMultilevel"/>
    <w:tmpl w:val="0AF0ED26"/>
    <w:lvl w:ilvl="0" w:tplc="D1B47286">
      <w:start w:val="3"/>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03"/>
    <w:rsid w:val="00001767"/>
    <w:rsid w:val="0000754B"/>
    <w:rsid w:val="00022A34"/>
    <w:rsid w:val="00023D52"/>
    <w:rsid w:val="000331D0"/>
    <w:rsid w:val="000336FC"/>
    <w:rsid w:val="000349D3"/>
    <w:rsid w:val="00036B28"/>
    <w:rsid w:val="000439E8"/>
    <w:rsid w:val="00047B74"/>
    <w:rsid w:val="000501CE"/>
    <w:rsid w:val="00051889"/>
    <w:rsid w:val="00053907"/>
    <w:rsid w:val="00057698"/>
    <w:rsid w:val="0006050C"/>
    <w:rsid w:val="000611AB"/>
    <w:rsid w:val="000651AC"/>
    <w:rsid w:val="000730A2"/>
    <w:rsid w:val="00083769"/>
    <w:rsid w:val="00086023"/>
    <w:rsid w:val="000942B4"/>
    <w:rsid w:val="000A1E0B"/>
    <w:rsid w:val="000B0461"/>
    <w:rsid w:val="000B36F1"/>
    <w:rsid w:val="000B5859"/>
    <w:rsid w:val="000B59E2"/>
    <w:rsid w:val="000B5E33"/>
    <w:rsid w:val="000B70A5"/>
    <w:rsid w:val="000C0016"/>
    <w:rsid w:val="000C0540"/>
    <w:rsid w:val="000C0CAA"/>
    <w:rsid w:val="000C1300"/>
    <w:rsid w:val="000D1918"/>
    <w:rsid w:val="000E3B80"/>
    <w:rsid w:val="000F353F"/>
    <w:rsid w:val="000F3AAB"/>
    <w:rsid w:val="00100C41"/>
    <w:rsid w:val="00100F3F"/>
    <w:rsid w:val="00103F65"/>
    <w:rsid w:val="001122A5"/>
    <w:rsid w:val="001226C6"/>
    <w:rsid w:val="00124CB9"/>
    <w:rsid w:val="0013161B"/>
    <w:rsid w:val="001329AA"/>
    <w:rsid w:val="00135BF5"/>
    <w:rsid w:val="001364BD"/>
    <w:rsid w:val="001370A0"/>
    <w:rsid w:val="0014018C"/>
    <w:rsid w:val="0014055A"/>
    <w:rsid w:val="001449B2"/>
    <w:rsid w:val="00145CB6"/>
    <w:rsid w:val="00154E08"/>
    <w:rsid w:val="0015781C"/>
    <w:rsid w:val="00166D07"/>
    <w:rsid w:val="00173B3D"/>
    <w:rsid w:val="00175F6E"/>
    <w:rsid w:val="00180B81"/>
    <w:rsid w:val="00183EE8"/>
    <w:rsid w:val="00184D21"/>
    <w:rsid w:val="00186171"/>
    <w:rsid w:val="00196325"/>
    <w:rsid w:val="001A4B8A"/>
    <w:rsid w:val="001B6588"/>
    <w:rsid w:val="001B768B"/>
    <w:rsid w:val="001C126B"/>
    <w:rsid w:val="001C384F"/>
    <w:rsid w:val="001C483A"/>
    <w:rsid w:val="001D11DB"/>
    <w:rsid w:val="001D21A6"/>
    <w:rsid w:val="001D662C"/>
    <w:rsid w:val="001E3524"/>
    <w:rsid w:val="001E70F1"/>
    <w:rsid w:val="001F3687"/>
    <w:rsid w:val="002053FF"/>
    <w:rsid w:val="00205667"/>
    <w:rsid w:val="00211CFC"/>
    <w:rsid w:val="00212DBC"/>
    <w:rsid w:val="00214A7C"/>
    <w:rsid w:val="0022018A"/>
    <w:rsid w:val="0022310F"/>
    <w:rsid w:val="00224976"/>
    <w:rsid w:val="002253D1"/>
    <w:rsid w:val="0022639F"/>
    <w:rsid w:val="002263CD"/>
    <w:rsid w:val="0022684C"/>
    <w:rsid w:val="00231E14"/>
    <w:rsid w:val="00237BB1"/>
    <w:rsid w:val="0024297A"/>
    <w:rsid w:val="00242ADF"/>
    <w:rsid w:val="002537C6"/>
    <w:rsid w:val="002565A7"/>
    <w:rsid w:val="00264233"/>
    <w:rsid w:val="00273631"/>
    <w:rsid w:val="002736A2"/>
    <w:rsid w:val="002751D6"/>
    <w:rsid w:val="0027734A"/>
    <w:rsid w:val="002777FF"/>
    <w:rsid w:val="0028107C"/>
    <w:rsid w:val="00286CEB"/>
    <w:rsid w:val="00286DB1"/>
    <w:rsid w:val="00291AE6"/>
    <w:rsid w:val="00292422"/>
    <w:rsid w:val="00297E01"/>
    <w:rsid w:val="002A7C2C"/>
    <w:rsid w:val="002B0AA5"/>
    <w:rsid w:val="002B34B9"/>
    <w:rsid w:val="002C0AEA"/>
    <w:rsid w:val="002C5D70"/>
    <w:rsid w:val="002C6490"/>
    <w:rsid w:val="002E2585"/>
    <w:rsid w:val="002F2241"/>
    <w:rsid w:val="002F4842"/>
    <w:rsid w:val="00300DB8"/>
    <w:rsid w:val="003031BD"/>
    <w:rsid w:val="003148D2"/>
    <w:rsid w:val="00324BEE"/>
    <w:rsid w:val="0033402B"/>
    <w:rsid w:val="00345F91"/>
    <w:rsid w:val="00350D68"/>
    <w:rsid w:val="00351D71"/>
    <w:rsid w:val="0035226B"/>
    <w:rsid w:val="00360C06"/>
    <w:rsid w:val="00362E03"/>
    <w:rsid w:val="00362EE6"/>
    <w:rsid w:val="0037528A"/>
    <w:rsid w:val="00375E66"/>
    <w:rsid w:val="003768F1"/>
    <w:rsid w:val="00377494"/>
    <w:rsid w:val="0038473C"/>
    <w:rsid w:val="00387068"/>
    <w:rsid w:val="0039003F"/>
    <w:rsid w:val="00390577"/>
    <w:rsid w:val="00392CB2"/>
    <w:rsid w:val="00396277"/>
    <w:rsid w:val="003A3898"/>
    <w:rsid w:val="003A6BD9"/>
    <w:rsid w:val="003A75B5"/>
    <w:rsid w:val="003A7D61"/>
    <w:rsid w:val="003B7118"/>
    <w:rsid w:val="003B7ECD"/>
    <w:rsid w:val="003C278F"/>
    <w:rsid w:val="003C2F89"/>
    <w:rsid w:val="003D0E9E"/>
    <w:rsid w:val="003D1483"/>
    <w:rsid w:val="003D3B23"/>
    <w:rsid w:val="003D40FC"/>
    <w:rsid w:val="003F1A0A"/>
    <w:rsid w:val="003F7A59"/>
    <w:rsid w:val="0040398F"/>
    <w:rsid w:val="00405993"/>
    <w:rsid w:val="00406B44"/>
    <w:rsid w:val="004079CF"/>
    <w:rsid w:val="004121E0"/>
    <w:rsid w:val="004126E0"/>
    <w:rsid w:val="00412706"/>
    <w:rsid w:val="00413385"/>
    <w:rsid w:val="00415D6A"/>
    <w:rsid w:val="004172CE"/>
    <w:rsid w:val="00417DF8"/>
    <w:rsid w:val="00422F44"/>
    <w:rsid w:val="00425273"/>
    <w:rsid w:val="00440A70"/>
    <w:rsid w:val="004663A7"/>
    <w:rsid w:val="0046736A"/>
    <w:rsid w:val="00471D8C"/>
    <w:rsid w:val="004804D9"/>
    <w:rsid w:val="004849F1"/>
    <w:rsid w:val="00490E69"/>
    <w:rsid w:val="004977D9"/>
    <w:rsid w:val="004A15EF"/>
    <w:rsid w:val="004A17B1"/>
    <w:rsid w:val="004A18D7"/>
    <w:rsid w:val="004A3399"/>
    <w:rsid w:val="004B3BC6"/>
    <w:rsid w:val="004C0535"/>
    <w:rsid w:val="004C0C1A"/>
    <w:rsid w:val="004C5A13"/>
    <w:rsid w:val="004C7CF8"/>
    <w:rsid w:val="004D1D79"/>
    <w:rsid w:val="004D5F43"/>
    <w:rsid w:val="004D7E90"/>
    <w:rsid w:val="004E41C9"/>
    <w:rsid w:val="004F0069"/>
    <w:rsid w:val="004F00AE"/>
    <w:rsid w:val="004F011E"/>
    <w:rsid w:val="004F4777"/>
    <w:rsid w:val="004F69AE"/>
    <w:rsid w:val="004F7B21"/>
    <w:rsid w:val="00502857"/>
    <w:rsid w:val="00502C1F"/>
    <w:rsid w:val="00503FC0"/>
    <w:rsid w:val="0050554B"/>
    <w:rsid w:val="00511DF4"/>
    <w:rsid w:val="00520E18"/>
    <w:rsid w:val="00522E53"/>
    <w:rsid w:val="005248AB"/>
    <w:rsid w:val="005259C7"/>
    <w:rsid w:val="0052639D"/>
    <w:rsid w:val="00530BC5"/>
    <w:rsid w:val="005416AA"/>
    <w:rsid w:val="00543D9E"/>
    <w:rsid w:val="005475FC"/>
    <w:rsid w:val="00554B3D"/>
    <w:rsid w:val="005571A9"/>
    <w:rsid w:val="00565552"/>
    <w:rsid w:val="00570CC3"/>
    <w:rsid w:val="0058073F"/>
    <w:rsid w:val="0058332E"/>
    <w:rsid w:val="00584A96"/>
    <w:rsid w:val="005946CB"/>
    <w:rsid w:val="00597155"/>
    <w:rsid w:val="005A27D7"/>
    <w:rsid w:val="005A472B"/>
    <w:rsid w:val="005A518D"/>
    <w:rsid w:val="005B5622"/>
    <w:rsid w:val="005B6C94"/>
    <w:rsid w:val="005C0591"/>
    <w:rsid w:val="005D252A"/>
    <w:rsid w:val="005D4126"/>
    <w:rsid w:val="005E0C6A"/>
    <w:rsid w:val="005E14D2"/>
    <w:rsid w:val="005E1EF4"/>
    <w:rsid w:val="005E25D1"/>
    <w:rsid w:val="005E34B8"/>
    <w:rsid w:val="005E3AB9"/>
    <w:rsid w:val="005E425B"/>
    <w:rsid w:val="005F13C9"/>
    <w:rsid w:val="005F3091"/>
    <w:rsid w:val="00600575"/>
    <w:rsid w:val="00600BFF"/>
    <w:rsid w:val="00601884"/>
    <w:rsid w:val="00613A54"/>
    <w:rsid w:val="00613F0C"/>
    <w:rsid w:val="006153F7"/>
    <w:rsid w:val="006251AF"/>
    <w:rsid w:val="00625C08"/>
    <w:rsid w:val="00626211"/>
    <w:rsid w:val="00631D7F"/>
    <w:rsid w:val="00635B8A"/>
    <w:rsid w:val="00636334"/>
    <w:rsid w:val="00643181"/>
    <w:rsid w:val="00644EFA"/>
    <w:rsid w:val="00646A2D"/>
    <w:rsid w:val="0064787F"/>
    <w:rsid w:val="006505BE"/>
    <w:rsid w:val="006514AF"/>
    <w:rsid w:val="00651A97"/>
    <w:rsid w:val="00655065"/>
    <w:rsid w:val="0065620C"/>
    <w:rsid w:val="0066273E"/>
    <w:rsid w:val="00663A3E"/>
    <w:rsid w:val="00665A8F"/>
    <w:rsid w:val="00666560"/>
    <w:rsid w:val="006665BF"/>
    <w:rsid w:val="00670BE7"/>
    <w:rsid w:val="006754BE"/>
    <w:rsid w:val="00676219"/>
    <w:rsid w:val="00676B74"/>
    <w:rsid w:val="00680671"/>
    <w:rsid w:val="006826BE"/>
    <w:rsid w:val="006849BA"/>
    <w:rsid w:val="00686D38"/>
    <w:rsid w:val="0069101F"/>
    <w:rsid w:val="00697B57"/>
    <w:rsid w:val="006A4420"/>
    <w:rsid w:val="006A60D8"/>
    <w:rsid w:val="006C0288"/>
    <w:rsid w:val="006C41CD"/>
    <w:rsid w:val="006C5C83"/>
    <w:rsid w:val="006C64FE"/>
    <w:rsid w:val="006C66CF"/>
    <w:rsid w:val="006E3032"/>
    <w:rsid w:val="006F0064"/>
    <w:rsid w:val="006F5E9F"/>
    <w:rsid w:val="00703C6C"/>
    <w:rsid w:val="0070436D"/>
    <w:rsid w:val="00715CB2"/>
    <w:rsid w:val="00716AF5"/>
    <w:rsid w:val="007206B8"/>
    <w:rsid w:val="007236B6"/>
    <w:rsid w:val="007239AA"/>
    <w:rsid w:val="007357F0"/>
    <w:rsid w:val="00735F03"/>
    <w:rsid w:val="00744A8B"/>
    <w:rsid w:val="00751CAD"/>
    <w:rsid w:val="007556E8"/>
    <w:rsid w:val="00755E2C"/>
    <w:rsid w:val="00760552"/>
    <w:rsid w:val="00770DD2"/>
    <w:rsid w:val="0077140A"/>
    <w:rsid w:val="007722FD"/>
    <w:rsid w:val="00772711"/>
    <w:rsid w:val="00773B98"/>
    <w:rsid w:val="00780F25"/>
    <w:rsid w:val="00791A5E"/>
    <w:rsid w:val="00791AD9"/>
    <w:rsid w:val="00796685"/>
    <w:rsid w:val="00797E56"/>
    <w:rsid w:val="007A2FE8"/>
    <w:rsid w:val="007A7B29"/>
    <w:rsid w:val="007B3D14"/>
    <w:rsid w:val="007B4F97"/>
    <w:rsid w:val="007B57D8"/>
    <w:rsid w:val="007C6DAC"/>
    <w:rsid w:val="007D23B5"/>
    <w:rsid w:val="007D438F"/>
    <w:rsid w:val="007E1252"/>
    <w:rsid w:val="007E38F1"/>
    <w:rsid w:val="007E5A77"/>
    <w:rsid w:val="007F1377"/>
    <w:rsid w:val="007F1677"/>
    <w:rsid w:val="00800D7C"/>
    <w:rsid w:val="00804A12"/>
    <w:rsid w:val="0081093D"/>
    <w:rsid w:val="00810F4A"/>
    <w:rsid w:val="00817582"/>
    <w:rsid w:val="0082133B"/>
    <w:rsid w:val="008342B1"/>
    <w:rsid w:val="008400B6"/>
    <w:rsid w:val="008417BF"/>
    <w:rsid w:val="0084197F"/>
    <w:rsid w:val="008420B8"/>
    <w:rsid w:val="008422C5"/>
    <w:rsid w:val="00843861"/>
    <w:rsid w:val="00843F41"/>
    <w:rsid w:val="008449CB"/>
    <w:rsid w:val="00845AF3"/>
    <w:rsid w:val="00852C5C"/>
    <w:rsid w:val="008631D3"/>
    <w:rsid w:val="00865DFB"/>
    <w:rsid w:val="00866DC8"/>
    <w:rsid w:val="0087584C"/>
    <w:rsid w:val="0087672A"/>
    <w:rsid w:val="008839A0"/>
    <w:rsid w:val="00893ED2"/>
    <w:rsid w:val="00893FFF"/>
    <w:rsid w:val="008A1910"/>
    <w:rsid w:val="008A3852"/>
    <w:rsid w:val="008A4BE1"/>
    <w:rsid w:val="008B4518"/>
    <w:rsid w:val="008B72D4"/>
    <w:rsid w:val="008B7D43"/>
    <w:rsid w:val="008C047E"/>
    <w:rsid w:val="008C0CE0"/>
    <w:rsid w:val="008C11BD"/>
    <w:rsid w:val="008C38BF"/>
    <w:rsid w:val="008E01CB"/>
    <w:rsid w:val="008E02E2"/>
    <w:rsid w:val="008E0384"/>
    <w:rsid w:val="008E15A7"/>
    <w:rsid w:val="008E17B1"/>
    <w:rsid w:val="008E2182"/>
    <w:rsid w:val="008E37EE"/>
    <w:rsid w:val="008E53B4"/>
    <w:rsid w:val="008F00F0"/>
    <w:rsid w:val="008F79D8"/>
    <w:rsid w:val="008F7F69"/>
    <w:rsid w:val="009000C4"/>
    <w:rsid w:val="0090300E"/>
    <w:rsid w:val="0090737F"/>
    <w:rsid w:val="009103AA"/>
    <w:rsid w:val="009104DC"/>
    <w:rsid w:val="00911851"/>
    <w:rsid w:val="00913AE6"/>
    <w:rsid w:val="00914FF6"/>
    <w:rsid w:val="00922E5D"/>
    <w:rsid w:val="00930A3C"/>
    <w:rsid w:val="00931F25"/>
    <w:rsid w:val="009325B0"/>
    <w:rsid w:val="00933647"/>
    <w:rsid w:val="00936464"/>
    <w:rsid w:val="0093659E"/>
    <w:rsid w:val="009405E9"/>
    <w:rsid w:val="00941C8C"/>
    <w:rsid w:val="00941DE1"/>
    <w:rsid w:val="00942841"/>
    <w:rsid w:val="00943464"/>
    <w:rsid w:val="00943810"/>
    <w:rsid w:val="009502A0"/>
    <w:rsid w:val="009511DB"/>
    <w:rsid w:val="00952355"/>
    <w:rsid w:val="00961690"/>
    <w:rsid w:val="00965626"/>
    <w:rsid w:val="009659D5"/>
    <w:rsid w:val="009759F9"/>
    <w:rsid w:val="00977A3B"/>
    <w:rsid w:val="00983CC4"/>
    <w:rsid w:val="00990836"/>
    <w:rsid w:val="009929F1"/>
    <w:rsid w:val="00996186"/>
    <w:rsid w:val="009A4457"/>
    <w:rsid w:val="009A4C97"/>
    <w:rsid w:val="009A67D1"/>
    <w:rsid w:val="009B690C"/>
    <w:rsid w:val="009B69E7"/>
    <w:rsid w:val="009C0907"/>
    <w:rsid w:val="009D1B3E"/>
    <w:rsid w:val="009D3E2E"/>
    <w:rsid w:val="009D5555"/>
    <w:rsid w:val="009E69BE"/>
    <w:rsid w:val="009F3F51"/>
    <w:rsid w:val="00A00952"/>
    <w:rsid w:val="00A00D43"/>
    <w:rsid w:val="00A015D2"/>
    <w:rsid w:val="00A1073C"/>
    <w:rsid w:val="00A20D2A"/>
    <w:rsid w:val="00A35F90"/>
    <w:rsid w:val="00A436E8"/>
    <w:rsid w:val="00A51D76"/>
    <w:rsid w:val="00A5325E"/>
    <w:rsid w:val="00A54291"/>
    <w:rsid w:val="00A56178"/>
    <w:rsid w:val="00A72623"/>
    <w:rsid w:val="00A73198"/>
    <w:rsid w:val="00A82B0A"/>
    <w:rsid w:val="00AA107B"/>
    <w:rsid w:val="00AA33A5"/>
    <w:rsid w:val="00AA69A4"/>
    <w:rsid w:val="00AB061E"/>
    <w:rsid w:val="00AB0A47"/>
    <w:rsid w:val="00AB1878"/>
    <w:rsid w:val="00AB768F"/>
    <w:rsid w:val="00AC0059"/>
    <w:rsid w:val="00AC4EB3"/>
    <w:rsid w:val="00AC7120"/>
    <w:rsid w:val="00AD125C"/>
    <w:rsid w:val="00AD7EB4"/>
    <w:rsid w:val="00AE11E8"/>
    <w:rsid w:val="00AE12AD"/>
    <w:rsid w:val="00AE2B33"/>
    <w:rsid w:val="00AE4044"/>
    <w:rsid w:val="00AE748B"/>
    <w:rsid w:val="00AF0176"/>
    <w:rsid w:val="00AF09CF"/>
    <w:rsid w:val="00AF32E7"/>
    <w:rsid w:val="00AF34FE"/>
    <w:rsid w:val="00AF3E15"/>
    <w:rsid w:val="00AF4C19"/>
    <w:rsid w:val="00AF542A"/>
    <w:rsid w:val="00B14137"/>
    <w:rsid w:val="00B17B8C"/>
    <w:rsid w:val="00B2056B"/>
    <w:rsid w:val="00B22325"/>
    <w:rsid w:val="00B24127"/>
    <w:rsid w:val="00B2674D"/>
    <w:rsid w:val="00B32099"/>
    <w:rsid w:val="00B32E44"/>
    <w:rsid w:val="00B367BC"/>
    <w:rsid w:val="00B53E92"/>
    <w:rsid w:val="00B54AD5"/>
    <w:rsid w:val="00B55D09"/>
    <w:rsid w:val="00B6136E"/>
    <w:rsid w:val="00B67FDF"/>
    <w:rsid w:val="00B741DE"/>
    <w:rsid w:val="00B774ED"/>
    <w:rsid w:val="00B77E7A"/>
    <w:rsid w:val="00B82AAA"/>
    <w:rsid w:val="00BA0226"/>
    <w:rsid w:val="00BA31D5"/>
    <w:rsid w:val="00BA3284"/>
    <w:rsid w:val="00BA462E"/>
    <w:rsid w:val="00BB1BBD"/>
    <w:rsid w:val="00BB3DD4"/>
    <w:rsid w:val="00BB518F"/>
    <w:rsid w:val="00BB7C9C"/>
    <w:rsid w:val="00BC03D4"/>
    <w:rsid w:val="00BD3A0A"/>
    <w:rsid w:val="00BD64B3"/>
    <w:rsid w:val="00BE16D9"/>
    <w:rsid w:val="00BE3DFE"/>
    <w:rsid w:val="00BF5E4A"/>
    <w:rsid w:val="00C02A13"/>
    <w:rsid w:val="00C03919"/>
    <w:rsid w:val="00C041D7"/>
    <w:rsid w:val="00C05A55"/>
    <w:rsid w:val="00C10F05"/>
    <w:rsid w:val="00C13691"/>
    <w:rsid w:val="00C22B15"/>
    <w:rsid w:val="00C31E6B"/>
    <w:rsid w:val="00C33166"/>
    <w:rsid w:val="00C432CD"/>
    <w:rsid w:val="00C54DA4"/>
    <w:rsid w:val="00C63523"/>
    <w:rsid w:val="00C65439"/>
    <w:rsid w:val="00C721F2"/>
    <w:rsid w:val="00C73DC4"/>
    <w:rsid w:val="00C759B9"/>
    <w:rsid w:val="00C84FCF"/>
    <w:rsid w:val="00C87117"/>
    <w:rsid w:val="00C90DE2"/>
    <w:rsid w:val="00C947DC"/>
    <w:rsid w:val="00CA05AC"/>
    <w:rsid w:val="00CA5B0E"/>
    <w:rsid w:val="00CB76A5"/>
    <w:rsid w:val="00CC5545"/>
    <w:rsid w:val="00CD3921"/>
    <w:rsid w:val="00CD61BD"/>
    <w:rsid w:val="00CE3E23"/>
    <w:rsid w:val="00CE616E"/>
    <w:rsid w:val="00CE6CCE"/>
    <w:rsid w:val="00CF3229"/>
    <w:rsid w:val="00CF4335"/>
    <w:rsid w:val="00D019E9"/>
    <w:rsid w:val="00D05678"/>
    <w:rsid w:val="00D131FE"/>
    <w:rsid w:val="00D143A3"/>
    <w:rsid w:val="00D177B2"/>
    <w:rsid w:val="00D22F0A"/>
    <w:rsid w:val="00D23798"/>
    <w:rsid w:val="00D25B3F"/>
    <w:rsid w:val="00D367F3"/>
    <w:rsid w:val="00D37676"/>
    <w:rsid w:val="00D40F7E"/>
    <w:rsid w:val="00D4128E"/>
    <w:rsid w:val="00D4250B"/>
    <w:rsid w:val="00D44A59"/>
    <w:rsid w:val="00D44BD6"/>
    <w:rsid w:val="00D45F84"/>
    <w:rsid w:val="00D50B55"/>
    <w:rsid w:val="00D60373"/>
    <w:rsid w:val="00D605F9"/>
    <w:rsid w:val="00D62D92"/>
    <w:rsid w:val="00D67C31"/>
    <w:rsid w:val="00D67E78"/>
    <w:rsid w:val="00D7080B"/>
    <w:rsid w:val="00D72242"/>
    <w:rsid w:val="00D73A4C"/>
    <w:rsid w:val="00D74AAB"/>
    <w:rsid w:val="00D74AB1"/>
    <w:rsid w:val="00D7617C"/>
    <w:rsid w:val="00D80410"/>
    <w:rsid w:val="00D81E39"/>
    <w:rsid w:val="00D979C6"/>
    <w:rsid w:val="00D97D06"/>
    <w:rsid w:val="00DA6362"/>
    <w:rsid w:val="00DB2A74"/>
    <w:rsid w:val="00DB69AA"/>
    <w:rsid w:val="00DB7A28"/>
    <w:rsid w:val="00DC0885"/>
    <w:rsid w:val="00DC5D8E"/>
    <w:rsid w:val="00DD0F6D"/>
    <w:rsid w:val="00DD292C"/>
    <w:rsid w:val="00DD2C20"/>
    <w:rsid w:val="00DD356E"/>
    <w:rsid w:val="00DF2CF6"/>
    <w:rsid w:val="00DF3147"/>
    <w:rsid w:val="00E01C2B"/>
    <w:rsid w:val="00E02967"/>
    <w:rsid w:val="00E1069E"/>
    <w:rsid w:val="00E15D1D"/>
    <w:rsid w:val="00E21070"/>
    <w:rsid w:val="00E22C2B"/>
    <w:rsid w:val="00E3035A"/>
    <w:rsid w:val="00E3494B"/>
    <w:rsid w:val="00E34C98"/>
    <w:rsid w:val="00E370F3"/>
    <w:rsid w:val="00E372F2"/>
    <w:rsid w:val="00E40D61"/>
    <w:rsid w:val="00E421DE"/>
    <w:rsid w:val="00E4390A"/>
    <w:rsid w:val="00E44D93"/>
    <w:rsid w:val="00E45C4F"/>
    <w:rsid w:val="00E50A25"/>
    <w:rsid w:val="00E51EC9"/>
    <w:rsid w:val="00E5689C"/>
    <w:rsid w:val="00E57C47"/>
    <w:rsid w:val="00E61EFF"/>
    <w:rsid w:val="00E62F74"/>
    <w:rsid w:val="00E6320B"/>
    <w:rsid w:val="00E648F2"/>
    <w:rsid w:val="00E7073A"/>
    <w:rsid w:val="00E71A7D"/>
    <w:rsid w:val="00E73DF6"/>
    <w:rsid w:val="00E77A05"/>
    <w:rsid w:val="00E82042"/>
    <w:rsid w:val="00E876D7"/>
    <w:rsid w:val="00E9164B"/>
    <w:rsid w:val="00E92281"/>
    <w:rsid w:val="00E92A07"/>
    <w:rsid w:val="00E950B4"/>
    <w:rsid w:val="00EA0085"/>
    <w:rsid w:val="00EA3470"/>
    <w:rsid w:val="00EB024D"/>
    <w:rsid w:val="00EB250E"/>
    <w:rsid w:val="00EB387D"/>
    <w:rsid w:val="00EB3C4F"/>
    <w:rsid w:val="00EB5AE8"/>
    <w:rsid w:val="00EC2902"/>
    <w:rsid w:val="00EC35A9"/>
    <w:rsid w:val="00EC3926"/>
    <w:rsid w:val="00ED4792"/>
    <w:rsid w:val="00ED5B62"/>
    <w:rsid w:val="00ED7757"/>
    <w:rsid w:val="00EE1C46"/>
    <w:rsid w:val="00EE2E65"/>
    <w:rsid w:val="00EE3003"/>
    <w:rsid w:val="00EF57F8"/>
    <w:rsid w:val="00EF6338"/>
    <w:rsid w:val="00F00813"/>
    <w:rsid w:val="00F0250B"/>
    <w:rsid w:val="00F025A5"/>
    <w:rsid w:val="00F059AF"/>
    <w:rsid w:val="00F15174"/>
    <w:rsid w:val="00F27DEB"/>
    <w:rsid w:val="00F317A5"/>
    <w:rsid w:val="00F332F3"/>
    <w:rsid w:val="00F4423E"/>
    <w:rsid w:val="00F5084F"/>
    <w:rsid w:val="00F57556"/>
    <w:rsid w:val="00F616C7"/>
    <w:rsid w:val="00F638AD"/>
    <w:rsid w:val="00F64A1B"/>
    <w:rsid w:val="00FA5532"/>
    <w:rsid w:val="00FB1C9A"/>
    <w:rsid w:val="00FC3004"/>
    <w:rsid w:val="00FC35F7"/>
    <w:rsid w:val="00FC6061"/>
    <w:rsid w:val="00FD22E3"/>
    <w:rsid w:val="00FD24E5"/>
    <w:rsid w:val="00FD2BD4"/>
    <w:rsid w:val="00FD3E19"/>
    <w:rsid w:val="00FD413F"/>
    <w:rsid w:val="00FE10C6"/>
    <w:rsid w:val="00FE1207"/>
    <w:rsid w:val="00FE18D3"/>
    <w:rsid w:val="00FE4561"/>
    <w:rsid w:val="00FE6C20"/>
    <w:rsid w:val="00FE706D"/>
    <w:rsid w:val="00FE7423"/>
    <w:rsid w:val="00FF2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2D7229"/>
  <w15:chartTrackingRefBased/>
  <w15:docId w15:val="{69EB144A-E81A-4644-8173-8D87B4C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9E"/>
    <w:pPr>
      <w:ind w:left="720"/>
      <w:contextualSpacing/>
    </w:pPr>
  </w:style>
  <w:style w:type="paragraph" w:styleId="Header">
    <w:name w:val="header"/>
    <w:basedOn w:val="Normal"/>
    <w:link w:val="HeaderChar"/>
    <w:uiPriority w:val="99"/>
    <w:unhideWhenUsed/>
    <w:rsid w:val="004F7B21"/>
    <w:pPr>
      <w:tabs>
        <w:tab w:val="center" w:pos="4153"/>
        <w:tab w:val="right" w:pos="8306"/>
      </w:tabs>
      <w:spacing w:after="0"/>
    </w:pPr>
    <w:rPr>
      <w:rFonts w:eastAsia="Calibri" w:cs="Times New Roman"/>
    </w:rPr>
  </w:style>
  <w:style w:type="character" w:customStyle="1" w:styleId="HeaderChar">
    <w:name w:val="Header Char"/>
    <w:basedOn w:val="DefaultParagraphFont"/>
    <w:link w:val="Header"/>
    <w:uiPriority w:val="99"/>
    <w:rsid w:val="004F7B21"/>
    <w:rPr>
      <w:rFonts w:eastAsia="Calibri" w:cs="Times New Roman"/>
    </w:rPr>
  </w:style>
  <w:style w:type="paragraph" w:styleId="Footer">
    <w:name w:val="footer"/>
    <w:basedOn w:val="Normal"/>
    <w:link w:val="FooterChar"/>
    <w:uiPriority w:val="99"/>
    <w:unhideWhenUsed/>
    <w:rsid w:val="00387068"/>
    <w:pPr>
      <w:tabs>
        <w:tab w:val="center" w:pos="4153"/>
        <w:tab w:val="right" w:pos="8306"/>
      </w:tabs>
      <w:spacing w:after="0"/>
    </w:pPr>
  </w:style>
  <w:style w:type="character" w:customStyle="1" w:styleId="FooterChar">
    <w:name w:val="Footer Char"/>
    <w:basedOn w:val="DefaultParagraphFont"/>
    <w:link w:val="Footer"/>
    <w:uiPriority w:val="99"/>
    <w:rsid w:val="00387068"/>
  </w:style>
  <w:style w:type="paragraph" w:styleId="BalloonText">
    <w:name w:val="Balloon Text"/>
    <w:basedOn w:val="Normal"/>
    <w:link w:val="BalloonTextChar"/>
    <w:uiPriority w:val="99"/>
    <w:semiHidden/>
    <w:unhideWhenUsed/>
    <w:rsid w:val="00845A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F3"/>
    <w:rPr>
      <w:rFonts w:ascii="Segoe UI" w:hAnsi="Segoe UI" w:cs="Segoe UI"/>
      <w:sz w:val="18"/>
      <w:szCs w:val="18"/>
    </w:rPr>
  </w:style>
  <w:style w:type="table" w:styleId="TableGrid">
    <w:name w:val="Table Grid"/>
    <w:basedOn w:val="TableNormal"/>
    <w:uiPriority w:val="39"/>
    <w:rsid w:val="00773B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35A9"/>
    <w:rPr>
      <w:sz w:val="20"/>
      <w:szCs w:val="20"/>
    </w:rPr>
  </w:style>
  <w:style w:type="character" w:customStyle="1" w:styleId="CommentTextChar">
    <w:name w:val="Comment Text Char"/>
    <w:basedOn w:val="DefaultParagraphFont"/>
    <w:link w:val="CommentText"/>
    <w:uiPriority w:val="99"/>
    <w:rsid w:val="00EC35A9"/>
    <w:rPr>
      <w:sz w:val="20"/>
      <w:szCs w:val="20"/>
    </w:rPr>
  </w:style>
  <w:style w:type="paragraph" w:styleId="Subtitle">
    <w:name w:val="Subtitle"/>
    <w:basedOn w:val="Normal"/>
    <w:next w:val="Normal"/>
    <w:link w:val="SubtitleChar"/>
    <w:uiPriority w:val="11"/>
    <w:qFormat/>
    <w:rsid w:val="00DD2C20"/>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D2C20"/>
    <w:rPr>
      <w:rFonts w:asciiTheme="minorHAnsi" w:eastAsiaTheme="minorEastAsia" w:hAnsiTheme="minorHAnsi"/>
      <w:color w:val="5A5A5A" w:themeColor="text1" w:themeTint="A5"/>
      <w:spacing w:val="15"/>
      <w:sz w:val="22"/>
    </w:rPr>
  </w:style>
  <w:style w:type="paragraph" w:styleId="NormalWeb">
    <w:name w:val="Normal (Web)"/>
    <w:basedOn w:val="Normal"/>
    <w:uiPriority w:val="99"/>
    <w:semiHidden/>
    <w:unhideWhenUsed/>
    <w:rsid w:val="00C33166"/>
    <w:pPr>
      <w:spacing w:before="100" w:beforeAutospacing="1" w:after="100" w:afterAutospacing="1"/>
      <w:ind w:firstLine="0"/>
      <w:jc w:val="left"/>
    </w:pPr>
    <w:rPr>
      <w:rFonts w:eastAsia="Times New Roman" w:cs="Times New Roman"/>
      <w:szCs w:val="24"/>
      <w:lang w:eastAsia="lv-LV"/>
    </w:rPr>
  </w:style>
  <w:style w:type="paragraph" w:customStyle="1" w:styleId="Body">
    <w:name w:val="Body"/>
    <w:rsid w:val="00597155"/>
    <w:pPr>
      <w:spacing w:after="200" w:line="276" w:lineRule="auto"/>
      <w:ind w:firstLine="0"/>
      <w:jc w:val="left"/>
    </w:pPr>
    <w:rPr>
      <w:rFonts w:ascii="Calibri" w:eastAsia="Arial Unicode MS" w:hAnsi="Calibri" w:cs="Arial Unicode MS"/>
      <w:color w:val="000000"/>
      <w:sz w:val="22"/>
      <w:u w:color="000000"/>
      <w:lang w:eastAsia="lv-LV"/>
    </w:rPr>
  </w:style>
  <w:style w:type="character" w:styleId="CommentReference">
    <w:name w:val="annotation reference"/>
    <w:basedOn w:val="DefaultParagraphFont"/>
    <w:uiPriority w:val="99"/>
    <w:semiHidden/>
    <w:unhideWhenUsed/>
    <w:rsid w:val="006153F7"/>
    <w:rPr>
      <w:sz w:val="16"/>
      <w:szCs w:val="16"/>
    </w:rPr>
  </w:style>
  <w:style w:type="paragraph" w:styleId="CommentSubject">
    <w:name w:val="annotation subject"/>
    <w:basedOn w:val="CommentText"/>
    <w:next w:val="CommentText"/>
    <w:link w:val="CommentSubjectChar"/>
    <w:uiPriority w:val="99"/>
    <w:semiHidden/>
    <w:unhideWhenUsed/>
    <w:rsid w:val="006153F7"/>
    <w:rPr>
      <w:b/>
      <w:bCs/>
    </w:rPr>
  </w:style>
  <w:style w:type="character" w:customStyle="1" w:styleId="CommentSubjectChar">
    <w:name w:val="Comment Subject Char"/>
    <w:basedOn w:val="CommentTextChar"/>
    <w:link w:val="CommentSubject"/>
    <w:uiPriority w:val="99"/>
    <w:semiHidden/>
    <w:rsid w:val="006153F7"/>
    <w:rPr>
      <w:b/>
      <w:bCs/>
      <w:sz w:val="20"/>
      <w:szCs w:val="20"/>
    </w:rPr>
  </w:style>
  <w:style w:type="character" w:styleId="Hyperlink">
    <w:name w:val="Hyperlink"/>
    <w:basedOn w:val="DefaultParagraphFont"/>
    <w:uiPriority w:val="99"/>
    <w:unhideWhenUsed/>
    <w:rsid w:val="00E82042"/>
    <w:rPr>
      <w:color w:val="0563C1" w:themeColor="hyperlink"/>
      <w:u w:val="single"/>
    </w:rPr>
  </w:style>
  <w:style w:type="character" w:styleId="UnresolvedMention">
    <w:name w:val="Unresolved Mention"/>
    <w:basedOn w:val="DefaultParagraphFont"/>
    <w:uiPriority w:val="99"/>
    <w:semiHidden/>
    <w:unhideWhenUsed/>
    <w:rsid w:val="00E8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400">
      <w:bodyDiv w:val="1"/>
      <w:marLeft w:val="0"/>
      <w:marRight w:val="0"/>
      <w:marTop w:val="0"/>
      <w:marBottom w:val="0"/>
      <w:divBdr>
        <w:top w:val="none" w:sz="0" w:space="0" w:color="auto"/>
        <w:left w:val="none" w:sz="0" w:space="0" w:color="auto"/>
        <w:bottom w:val="none" w:sz="0" w:space="0" w:color="auto"/>
        <w:right w:val="none" w:sz="0" w:space="0" w:color="auto"/>
      </w:divBdr>
    </w:div>
    <w:div w:id="451364345">
      <w:bodyDiv w:val="1"/>
      <w:marLeft w:val="0"/>
      <w:marRight w:val="0"/>
      <w:marTop w:val="0"/>
      <w:marBottom w:val="0"/>
      <w:divBdr>
        <w:top w:val="none" w:sz="0" w:space="0" w:color="auto"/>
        <w:left w:val="none" w:sz="0" w:space="0" w:color="auto"/>
        <w:bottom w:val="none" w:sz="0" w:space="0" w:color="auto"/>
        <w:right w:val="none" w:sz="0" w:space="0" w:color="auto"/>
      </w:divBdr>
      <w:divsChild>
        <w:div w:id="486484268">
          <w:marLeft w:val="0"/>
          <w:marRight w:val="0"/>
          <w:marTop w:val="0"/>
          <w:marBottom w:val="0"/>
          <w:divBdr>
            <w:top w:val="none" w:sz="0" w:space="0" w:color="auto"/>
            <w:left w:val="none" w:sz="0" w:space="0" w:color="auto"/>
            <w:bottom w:val="none" w:sz="0" w:space="0" w:color="auto"/>
            <w:right w:val="none" w:sz="0" w:space="0" w:color="auto"/>
          </w:divBdr>
          <w:divsChild>
            <w:div w:id="1125350266">
              <w:marLeft w:val="0"/>
              <w:marRight w:val="0"/>
              <w:marTop w:val="0"/>
              <w:marBottom w:val="0"/>
              <w:divBdr>
                <w:top w:val="none" w:sz="0" w:space="0" w:color="auto"/>
                <w:left w:val="none" w:sz="0" w:space="0" w:color="auto"/>
                <w:bottom w:val="none" w:sz="0" w:space="0" w:color="auto"/>
                <w:right w:val="none" w:sz="0" w:space="0" w:color="auto"/>
              </w:divBdr>
              <w:divsChild>
                <w:div w:id="660157145">
                  <w:marLeft w:val="0"/>
                  <w:marRight w:val="0"/>
                  <w:marTop w:val="0"/>
                  <w:marBottom w:val="0"/>
                  <w:divBdr>
                    <w:top w:val="none" w:sz="0" w:space="0" w:color="auto"/>
                    <w:left w:val="none" w:sz="0" w:space="0" w:color="auto"/>
                    <w:bottom w:val="none" w:sz="0" w:space="0" w:color="auto"/>
                    <w:right w:val="none" w:sz="0" w:space="0" w:color="auto"/>
                  </w:divBdr>
                  <w:divsChild>
                    <w:div w:id="1483079984">
                      <w:marLeft w:val="0"/>
                      <w:marRight w:val="0"/>
                      <w:marTop w:val="0"/>
                      <w:marBottom w:val="0"/>
                      <w:divBdr>
                        <w:top w:val="none" w:sz="0" w:space="0" w:color="auto"/>
                        <w:left w:val="none" w:sz="0" w:space="0" w:color="auto"/>
                        <w:bottom w:val="none" w:sz="0" w:space="0" w:color="auto"/>
                        <w:right w:val="none" w:sz="0" w:space="0" w:color="auto"/>
                      </w:divBdr>
                      <w:divsChild>
                        <w:div w:id="304818571">
                          <w:marLeft w:val="0"/>
                          <w:marRight w:val="0"/>
                          <w:marTop w:val="0"/>
                          <w:marBottom w:val="0"/>
                          <w:divBdr>
                            <w:top w:val="none" w:sz="0" w:space="0" w:color="auto"/>
                            <w:left w:val="none" w:sz="0" w:space="0" w:color="auto"/>
                            <w:bottom w:val="none" w:sz="0" w:space="0" w:color="auto"/>
                            <w:right w:val="none" w:sz="0" w:space="0" w:color="auto"/>
                          </w:divBdr>
                          <w:divsChild>
                            <w:div w:id="612637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1575">
      <w:bodyDiv w:val="1"/>
      <w:marLeft w:val="0"/>
      <w:marRight w:val="0"/>
      <w:marTop w:val="0"/>
      <w:marBottom w:val="0"/>
      <w:divBdr>
        <w:top w:val="none" w:sz="0" w:space="0" w:color="auto"/>
        <w:left w:val="none" w:sz="0" w:space="0" w:color="auto"/>
        <w:bottom w:val="none" w:sz="0" w:space="0" w:color="auto"/>
        <w:right w:val="none" w:sz="0" w:space="0" w:color="auto"/>
      </w:divBdr>
    </w:div>
    <w:div w:id="20193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NPK xmlns="b6da864e-06a3-40ee-a61e-0cd067b16413">2</NPK>
    <Kategorija xmlns="2e5bb04e-596e-45bd-9003-43ca78b1ba16">MK noteikumu 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811C4-3B13-4CE5-ADC5-3875F3CBF8D6}">
  <ds:schemaRefs>
    <ds:schemaRef ds:uri="http://schemas.microsoft.com/sharepoint/v3/contenttype/forms"/>
  </ds:schemaRefs>
</ds:datastoreItem>
</file>

<file path=customXml/itemProps2.xml><?xml version="1.0" encoding="utf-8"?>
<ds:datastoreItem xmlns:ds="http://schemas.openxmlformats.org/officeDocument/2006/customXml" ds:itemID="{AE68C5FA-5515-4CE9-83B4-BB5D34884B31}">
  <ds:schemaRefs>
    <ds:schemaRef ds:uri="http://purl.org/dc/terms/"/>
    <ds:schemaRef ds:uri="2e5bb04e-596e-45bd-9003-43ca78b1ba16"/>
    <ds:schemaRef ds:uri="http://purl.org/dc/dcmitype/"/>
    <ds:schemaRef ds:uri="http://schemas.microsoft.com/office/infopath/2007/PartnerControls"/>
    <ds:schemaRef ds:uri="http://schemas.microsoft.com/office/2006/documentManagement/types"/>
    <ds:schemaRef ds:uri="http://schemas.microsoft.com/office/2006/metadata/properties"/>
    <ds:schemaRef ds:uri="b6da864e-06a3-40ee-a61e-0cd067b16413"/>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856B1BE-3776-4450-9E46-6FE2D2CB6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6540</Words>
  <Characters>3728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projekts "Kārtība, kādā grāmatvedībā novērtē un finanšu pārskatos norāda uzņēmuma mantu un saistības, ja uzņēmuma vai tā struktūrvienības darbība tiek izbeigta"</vt:lpstr>
    </vt:vector>
  </TitlesOfParts>
  <Manager>Daina Robežniece</Manager>
  <Company>Finanšu ministrija</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grāmatvedībā novērtē un finanšu pārskatos norāda uzņēmuma mantu un saistības, ja uzņēmuma vai tā struktūrvienības darbība tiek izbeigta"</dc:title>
  <dc:subject>Noteikumu projekts</dc:subject>
  <dc:creator>Gunta Majevska</dc:creator>
  <cp:keywords/>
  <dc:description>67095616_x000d_
gunta.majevska@fm.gov.lv</dc:description>
  <cp:lastModifiedBy>Leontine Babkina</cp:lastModifiedBy>
  <cp:revision>27</cp:revision>
  <cp:lastPrinted>2021-06-09T08:57:00Z</cp:lastPrinted>
  <dcterms:created xsi:type="dcterms:W3CDTF">2021-07-22T07:16:00Z</dcterms:created>
  <dcterms:modified xsi:type="dcterms:W3CDTF">2021-09-01T07:52:00Z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