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5446A" w14:textId="77777777" w:rsidR="000D2339" w:rsidRPr="00A956E7" w:rsidRDefault="00F564B2" w:rsidP="00A773A6">
      <w:pPr>
        <w:ind w:firstLine="720"/>
        <w:jc w:val="center"/>
        <w:rPr>
          <w:rFonts w:cs="Times New Roman"/>
          <w:b/>
          <w:sz w:val="28"/>
          <w:szCs w:val="24"/>
        </w:rPr>
      </w:pPr>
      <w:r w:rsidRPr="00A956E7">
        <w:rPr>
          <w:rFonts w:cs="Times New Roman"/>
          <w:b/>
          <w:sz w:val="28"/>
          <w:szCs w:val="24"/>
        </w:rPr>
        <w:t xml:space="preserve">Informatīvais ziņojums </w:t>
      </w:r>
    </w:p>
    <w:p w14:paraId="06FE8016" w14:textId="77777777" w:rsidR="000D2339" w:rsidRPr="00A956E7" w:rsidRDefault="00F564B2" w:rsidP="00A773A6">
      <w:pPr>
        <w:ind w:firstLine="720"/>
        <w:jc w:val="center"/>
        <w:rPr>
          <w:rFonts w:cs="Times New Roman"/>
          <w:b/>
          <w:sz w:val="28"/>
          <w:szCs w:val="24"/>
        </w:rPr>
      </w:pPr>
      <w:r w:rsidRPr="00A956E7">
        <w:rPr>
          <w:rFonts w:cs="Times New Roman"/>
          <w:b/>
          <w:sz w:val="28"/>
          <w:szCs w:val="24"/>
        </w:rPr>
        <w:t>„Par Eiropas Sta</w:t>
      </w:r>
      <w:r w:rsidR="005764E2">
        <w:rPr>
          <w:rFonts w:cs="Times New Roman"/>
          <w:b/>
          <w:sz w:val="28"/>
          <w:szCs w:val="24"/>
        </w:rPr>
        <w:t>bilitātes mehānisma darbību 2020</w:t>
      </w:r>
      <w:r w:rsidR="008849D7" w:rsidRPr="00A956E7">
        <w:rPr>
          <w:rFonts w:cs="Times New Roman"/>
          <w:b/>
          <w:sz w:val="28"/>
          <w:szCs w:val="24"/>
        </w:rPr>
        <w:t>.</w:t>
      </w:r>
      <w:r w:rsidR="005764E2">
        <w:rPr>
          <w:rFonts w:cs="Times New Roman"/>
          <w:b/>
          <w:sz w:val="28"/>
          <w:szCs w:val="24"/>
        </w:rPr>
        <w:t xml:space="preserve"> </w:t>
      </w:r>
      <w:r w:rsidRPr="00A956E7">
        <w:rPr>
          <w:rFonts w:cs="Times New Roman"/>
          <w:b/>
          <w:sz w:val="28"/>
          <w:szCs w:val="24"/>
        </w:rPr>
        <w:t>gadā”</w:t>
      </w:r>
    </w:p>
    <w:p w14:paraId="6C847CD8" w14:textId="77777777" w:rsidR="004626CE" w:rsidRPr="00A773A6" w:rsidRDefault="004626CE" w:rsidP="00A773A6">
      <w:pPr>
        <w:ind w:firstLine="720"/>
        <w:jc w:val="center"/>
        <w:rPr>
          <w:rFonts w:cs="Times New Roman"/>
          <w:b/>
          <w:szCs w:val="24"/>
        </w:rPr>
      </w:pPr>
    </w:p>
    <w:p w14:paraId="31B654CB" w14:textId="2C4C98EB" w:rsidR="008D35CF" w:rsidRPr="00A773A6" w:rsidRDefault="0029137B" w:rsidP="008D35CF">
      <w:pPr>
        <w:ind w:firstLine="720"/>
        <w:jc w:val="both"/>
        <w:rPr>
          <w:rFonts w:cs="Times New Roman"/>
          <w:szCs w:val="24"/>
        </w:rPr>
      </w:pPr>
      <w:r w:rsidRPr="00A773A6">
        <w:rPr>
          <w:rFonts w:eastAsia="Times New Roman" w:cs="Times New Roman"/>
          <w:szCs w:val="24"/>
        </w:rPr>
        <w:t>Info</w:t>
      </w:r>
      <w:r w:rsidR="008A03CC" w:rsidRPr="00A773A6">
        <w:rPr>
          <w:rFonts w:eastAsia="Times New Roman" w:cs="Times New Roman"/>
          <w:szCs w:val="24"/>
        </w:rPr>
        <w:t>rmatīvais ziņojums ir izstrādāts</w:t>
      </w:r>
      <w:r w:rsidRPr="00A773A6">
        <w:rPr>
          <w:rFonts w:eastAsia="Times New Roman" w:cs="Times New Roman"/>
          <w:szCs w:val="24"/>
        </w:rPr>
        <w:t xml:space="preserve"> saskaņā ar likuma „Par Latvijas pārstāvību Eiropas Stabilitātes mehānisma Valdē un Direktoru padomē” 7.</w:t>
      </w:r>
      <w:r w:rsidR="005764E2">
        <w:rPr>
          <w:rFonts w:eastAsia="Times New Roman" w:cs="Times New Roman"/>
          <w:szCs w:val="24"/>
        </w:rPr>
        <w:t xml:space="preserve"> </w:t>
      </w:r>
      <w:r w:rsidRPr="00A773A6">
        <w:rPr>
          <w:rFonts w:eastAsia="Times New Roman" w:cs="Times New Roman"/>
          <w:szCs w:val="24"/>
        </w:rPr>
        <w:t xml:space="preserve">pantu, kas nosaka, ka Ministru kabinets katru gadu ne vēlāk kā trīs mēnešus pēc tam, kad </w:t>
      </w:r>
      <w:r w:rsidR="00470DD5">
        <w:rPr>
          <w:rFonts w:eastAsia="Times New Roman" w:cs="Times New Roman"/>
          <w:szCs w:val="24"/>
        </w:rPr>
        <w:t>Eiropas Stabilitātes mehānisms</w:t>
      </w:r>
      <w:r w:rsidRPr="00A773A6">
        <w:rPr>
          <w:rFonts w:eastAsia="Times New Roman" w:cs="Times New Roman"/>
          <w:szCs w:val="24"/>
        </w:rPr>
        <w:t xml:space="preserve"> publicējis gada pārskatu</w:t>
      </w:r>
      <w:r w:rsidR="00617962" w:rsidRPr="00A773A6">
        <w:rPr>
          <w:rFonts w:eastAsia="Times New Roman" w:cs="Times New Roman"/>
          <w:szCs w:val="24"/>
        </w:rPr>
        <w:t xml:space="preserve"> </w:t>
      </w:r>
      <w:r w:rsidRPr="00A773A6">
        <w:rPr>
          <w:rFonts w:eastAsia="Times New Roman" w:cs="Times New Roman"/>
          <w:szCs w:val="24"/>
        </w:rPr>
        <w:t>saskaņā ar Līgum</w:t>
      </w:r>
      <w:r w:rsidR="009F426E" w:rsidRPr="00A773A6">
        <w:rPr>
          <w:rFonts w:eastAsia="Times New Roman" w:cs="Times New Roman"/>
          <w:szCs w:val="24"/>
        </w:rPr>
        <w:t>a</w:t>
      </w:r>
      <w:r w:rsidRPr="00A773A6">
        <w:rPr>
          <w:rFonts w:eastAsia="Times New Roman" w:cs="Times New Roman"/>
          <w:szCs w:val="24"/>
        </w:rPr>
        <w:t xml:space="preserve"> par Eiropas Stabilitātes mehānisma dibināšanu 27.</w:t>
      </w:r>
      <w:r w:rsidR="005764E2">
        <w:rPr>
          <w:rFonts w:eastAsia="Times New Roman" w:cs="Times New Roman"/>
          <w:szCs w:val="24"/>
        </w:rPr>
        <w:t xml:space="preserve"> </w:t>
      </w:r>
      <w:r w:rsidRPr="00A773A6">
        <w:rPr>
          <w:rFonts w:eastAsia="Times New Roman" w:cs="Times New Roman"/>
          <w:szCs w:val="24"/>
        </w:rPr>
        <w:t>panta 2.</w:t>
      </w:r>
      <w:r w:rsidR="005764E2">
        <w:rPr>
          <w:rFonts w:eastAsia="Times New Roman" w:cs="Times New Roman"/>
          <w:szCs w:val="24"/>
        </w:rPr>
        <w:t xml:space="preserve"> </w:t>
      </w:r>
      <w:r w:rsidRPr="00A773A6">
        <w:rPr>
          <w:rFonts w:eastAsia="Times New Roman" w:cs="Times New Roman"/>
          <w:szCs w:val="24"/>
        </w:rPr>
        <w:t xml:space="preserve">punktu, iesniedz Saeimai ziņojumu par </w:t>
      </w:r>
      <w:r w:rsidR="00470DD5">
        <w:rPr>
          <w:rFonts w:eastAsia="Times New Roman" w:cs="Times New Roman"/>
          <w:szCs w:val="24"/>
        </w:rPr>
        <w:t>Eiropas Stabilitātes mehānisma</w:t>
      </w:r>
      <w:r w:rsidRPr="00A773A6">
        <w:rPr>
          <w:rFonts w:eastAsia="Times New Roman" w:cs="Times New Roman"/>
          <w:szCs w:val="24"/>
        </w:rPr>
        <w:t xml:space="preserve"> darbību iepriekšējā gadā.</w:t>
      </w:r>
      <w:r w:rsidR="005D4A62" w:rsidRPr="00A773A6">
        <w:rPr>
          <w:rFonts w:cs="Times New Roman"/>
          <w:szCs w:val="24"/>
        </w:rPr>
        <w:t xml:space="preserve"> </w:t>
      </w:r>
      <w:r w:rsidR="008D35CF" w:rsidRPr="00A773A6">
        <w:rPr>
          <w:rFonts w:eastAsia="Times New Roman" w:cs="Times New Roman"/>
          <w:szCs w:val="24"/>
        </w:rPr>
        <w:t>Eiropas Stabilitātes mehānisma</w:t>
      </w:r>
      <w:r w:rsidR="008D35CF" w:rsidRPr="008D35CF">
        <w:rPr>
          <w:rFonts w:cs="Times New Roman"/>
          <w:szCs w:val="24"/>
        </w:rPr>
        <w:t xml:space="preserve"> 2020. gada pārskats publicēts 2021.</w:t>
      </w:r>
      <w:r w:rsidR="005C5617">
        <w:rPr>
          <w:rFonts w:cs="Times New Roman"/>
          <w:szCs w:val="24"/>
        </w:rPr>
        <w:t xml:space="preserve"> </w:t>
      </w:r>
      <w:r w:rsidR="008D35CF" w:rsidRPr="008D35CF">
        <w:rPr>
          <w:rFonts w:cs="Times New Roman"/>
          <w:szCs w:val="24"/>
        </w:rPr>
        <w:t xml:space="preserve">gada 17. jūnijā.  </w:t>
      </w:r>
    </w:p>
    <w:p w14:paraId="3ADFBFFF" w14:textId="77777777" w:rsidR="0029137B" w:rsidRPr="00A773A6" w:rsidRDefault="00ED1239" w:rsidP="00A773A6">
      <w:pPr>
        <w:ind w:firstLine="720"/>
        <w:jc w:val="both"/>
        <w:rPr>
          <w:rFonts w:cs="Times New Roman"/>
          <w:szCs w:val="24"/>
        </w:rPr>
      </w:pPr>
      <w:r w:rsidRPr="00A773A6">
        <w:rPr>
          <w:rFonts w:cs="Times New Roman"/>
          <w:szCs w:val="24"/>
        </w:rPr>
        <w:t xml:space="preserve">Pamatojoties uz augstāk minēto, </w:t>
      </w:r>
      <w:r w:rsidR="005E0607">
        <w:rPr>
          <w:rFonts w:cs="Times New Roman"/>
          <w:szCs w:val="24"/>
        </w:rPr>
        <w:t>informatīvajā ziņojumā turpmākajās sadaļās sniegta informācija</w:t>
      </w:r>
      <w:r w:rsidR="002D351A" w:rsidRPr="00A773A6">
        <w:rPr>
          <w:rFonts w:cs="Times New Roman"/>
          <w:szCs w:val="24"/>
        </w:rPr>
        <w:t xml:space="preserve"> par </w:t>
      </w:r>
      <w:r w:rsidR="00470DD5">
        <w:rPr>
          <w:rFonts w:eastAsia="Times New Roman" w:cs="Times New Roman"/>
          <w:szCs w:val="24"/>
        </w:rPr>
        <w:t>Eiropas Stabilitātes mehānisma</w:t>
      </w:r>
      <w:r w:rsidR="002D351A" w:rsidRPr="00A773A6">
        <w:rPr>
          <w:rFonts w:cs="Times New Roman"/>
          <w:szCs w:val="24"/>
        </w:rPr>
        <w:t xml:space="preserve"> </w:t>
      </w:r>
      <w:r w:rsidR="005764E2">
        <w:rPr>
          <w:rFonts w:cs="Times New Roman"/>
          <w:szCs w:val="24"/>
        </w:rPr>
        <w:t>darbību 2020</w:t>
      </w:r>
      <w:r w:rsidR="002D351A" w:rsidRPr="00A773A6">
        <w:rPr>
          <w:rFonts w:cs="Times New Roman"/>
          <w:szCs w:val="24"/>
        </w:rPr>
        <w:t>.</w:t>
      </w:r>
      <w:r w:rsidR="005764E2">
        <w:rPr>
          <w:rFonts w:cs="Times New Roman"/>
          <w:szCs w:val="24"/>
        </w:rPr>
        <w:t xml:space="preserve"> </w:t>
      </w:r>
      <w:r w:rsidR="002D351A" w:rsidRPr="00A773A6">
        <w:rPr>
          <w:rFonts w:cs="Times New Roman"/>
          <w:szCs w:val="24"/>
        </w:rPr>
        <w:t>gadā.</w:t>
      </w:r>
      <w:r w:rsidR="008D35CF">
        <w:rPr>
          <w:rFonts w:cs="Times New Roman"/>
          <w:szCs w:val="24"/>
        </w:rPr>
        <w:t xml:space="preserve"> </w:t>
      </w:r>
    </w:p>
    <w:p w14:paraId="34D561B8" w14:textId="77777777" w:rsidR="00DF31D5" w:rsidRPr="00A773A6" w:rsidRDefault="00DF31D5" w:rsidP="00A773A6">
      <w:pPr>
        <w:ind w:firstLine="720"/>
        <w:jc w:val="both"/>
        <w:rPr>
          <w:rFonts w:cs="Times New Roman"/>
          <w:szCs w:val="24"/>
        </w:rPr>
      </w:pPr>
    </w:p>
    <w:p w14:paraId="79129FA4" w14:textId="77777777" w:rsidR="00051835" w:rsidRPr="004626CE" w:rsidRDefault="00051835" w:rsidP="006C2271">
      <w:pPr>
        <w:pStyle w:val="ListParagraph"/>
        <w:numPr>
          <w:ilvl w:val="0"/>
          <w:numId w:val="22"/>
        </w:numPr>
        <w:ind w:left="426"/>
        <w:jc w:val="center"/>
        <w:rPr>
          <w:rFonts w:cs="Times New Roman"/>
          <w:b/>
          <w:szCs w:val="24"/>
        </w:rPr>
      </w:pPr>
      <w:r w:rsidRPr="004626CE">
        <w:rPr>
          <w:rFonts w:cs="Times New Roman"/>
          <w:b/>
          <w:szCs w:val="24"/>
        </w:rPr>
        <w:t>Par Eiropas Stabilitātes mehānismu</w:t>
      </w:r>
    </w:p>
    <w:p w14:paraId="5A834193" w14:textId="77777777" w:rsidR="004626CE" w:rsidRPr="00A773A6" w:rsidRDefault="004626CE" w:rsidP="00A773A6">
      <w:pPr>
        <w:ind w:firstLine="720"/>
        <w:jc w:val="center"/>
        <w:rPr>
          <w:rFonts w:cs="Times New Roman"/>
          <w:b/>
          <w:i/>
          <w:szCs w:val="24"/>
        </w:rPr>
      </w:pPr>
    </w:p>
    <w:p w14:paraId="78778CED" w14:textId="77777777" w:rsidR="004C5DF6" w:rsidRPr="00A773A6" w:rsidRDefault="00470DD5" w:rsidP="00A773A6">
      <w:pPr>
        <w:ind w:firstLine="720"/>
        <w:jc w:val="both"/>
        <w:rPr>
          <w:rFonts w:cs="Times New Roman"/>
          <w:i/>
          <w:szCs w:val="24"/>
        </w:rPr>
      </w:pPr>
      <w:r>
        <w:rPr>
          <w:rFonts w:eastAsia="Times New Roman" w:cs="Times New Roman"/>
          <w:szCs w:val="24"/>
        </w:rPr>
        <w:t>Eiropas Stabilitātes mehānisms</w:t>
      </w:r>
      <w:r>
        <w:rPr>
          <w:rFonts w:cs="Times New Roman"/>
          <w:szCs w:val="24"/>
        </w:rPr>
        <w:t xml:space="preserve"> ir</w:t>
      </w:r>
      <w:r w:rsidR="0085469F">
        <w:rPr>
          <w:rFonts w:cs="Times New Roman"/>
          <w:szCs w:val="24"/>
        </w:rPr>
        <w:t xml:space="preserve"> </w:t>
      </w:r>
      <w:r w:rsidR="004805C3" w:rsidRPr="00A773A6">
        <w:rPr>
          <w:rFonts w:cs="Times New Roman"/>
          <w:szCs w:val="24"/>
        </w:rPr>
        <w:t>finanšu institūcija</w:t>
      </w:r>
      <w:r w:rsidR="00A30852" w:rsidRPr="00A773A6">
        <w:rPr>
          <w:rFonts w:cs="Times New Roman"/>
          <w:szCs w:val="24"/>
        </w:rPr>
        <w:t xml:space="preserve">, kas </w:t>
      </w:r>
      <w:r w:rsidR="004805C3" w:rsidRPr="00A773A6">
        <w:rPr>
          <w:rFonts w:cs="Times New Roman"/>
          <w:szCs w:val="24"/>
        </w:rPr>
        <w:t>izveidota</w:t>
      </w:r>
      <w:r w:rsidR="00953357" w:rsidRPr="00A773A6">
        <w:rPr>
          <w:rFonts w:cs="Times New Roman"/>
          <w:szCs w:val="24"/>
        </w:rPr>
        <w:t xml:space="preserve"> ar mērķi</w:t>
      </w:r>
      <w:r w:rsidR="001C32E4" w:rsidRPr="00A773A6">
        <w:rPr>
          <w:rFonts w:cs="Times New Roman"/>
          <w:szCs w:val="24"/>
        </w:rPr>
        <w:t xml:space="preserve"> </w:t>
      </w:r>
      <w:r w:rsidR="001503D4" w:rsidRPr="00A773A6">
        <w:rPr>
          <w:rFonts w:cs="Times New Roman"/>
          <w:szCs w:val="24"/>
        </w:rPr>
        <w:t xml:space="preserve">sniegt finansiālu palīdzību </w:t>
      </w:r>
      <w:r>
        <w:rPr>
          <w:rFonts w:cs="Times New Roman"/>
          <w:szCs w:val="24"/>
        </w:rPr>
        <w:t>eiro</w:t>
      </w:r>
      <w:r w:rsidR="00C34547" w:rsidRPr="00A773A6">
        <w:rPr>
          <w:rFonts w:cs="Times New Roman"/>
          <w:szCs w:val="24"/>
        </w:rPr>
        <w:t>zonas dalībvalstīm, k</w:t>
      </w:r>
      <w:r w:rsidR="00AB3EC0" w:rsidRPr="00A773A6">
        <w:rPr>
          <w:rFonts w:cs="Times New Roman"/>
          <w:szCs w:val="24"/>
        </w:rPr>
        <w:t>urām</w:t>
      </w:r>
      <w:r w:rsidR="00C34547" w:rsidRPr="00A773A6">
        <w:rPr>
          <w:rFonts w:cs="Times New Roman"/>
          <w:szCs w:val="24"/>
        </w:rPr>
        <w:t xml:space="preserve"> radušās </w:t>
      </w:r>
      <w:r w:rsidR="0085469F">
        <w:rPr>
          <w:rFonts w:cs="Times New Roman"/>
          <w:szCs w:val="24"/>
        </w:rPr>
        <w:t xml:space="preserve">finansiālas </w:t>
      </w:r>
      <w:r w:rsidR="00C34547" w:rsidRPr="00A773A6">
        <w:rPr>
          <w:rFonts w:cs="Times New Roman"/>
          <w:szCs w:val="24"/>
        </w:rPr>
        <w:t>problēmas</w:t>
      </w:r>
      <w:r w:rsidR="003C03BE" w:rsidRPr="00A773A6">
        <w:rPr>
          <w:rFonts w:cs="Times New Roman"/>
          <w:szCs w:val="24"/>
        </w:rPr>
        <w:t xml:space="preserve">. </w:t>
      </w:r>
      <w:r>
        <w:rPr>
          <w:rFonts w:eastAsia="Times New Roman" w:cs="Times New Roman"/>
          <w:szCs w:val="24"/>
        </w:rPr>
        <w:t>Eiropas Stabilitātes mehānisma</w:t>
      </w:r>
      <w:r w:rsidR="008C151A" w:rsidRPr="00A773A6">
        <w:rPr>
          <w:rFonts w:cs="Times New Roman"/>
          <w:szCs w:val="24"/>
        </w:rPr>
        <w:t xml:space="preserve"> </w:t>
      </w:r>
      <w:r w:rsidR="004805C3" w:rsidRPr="00A773A6">
        <w:rPr>
          <w:rFonts w:cs="Times New Roman"/>
          <w:szCs w:val="24"/>
        </w:rPr>
        <w:t xml:space="preserve">darbību rezultātā </w:t>
      </w:r>
      <w:r w:rsidR="003C03BE" w:rsidRPr="00A773A6">
        <w:rPr>
          <w:rFonts w:cs="Times New Roman"/>
          <w:szCs w:val="24"/>
        </w:rPr>
        <w:t xml:space="preserve">tiek mazināta atsevišķu valstu radīto fiskālo un finanšu satricinājumu ietekme uz </w:t>
      </w:r>
      <w:r w:rsidR="00AD742F" w:rsidRPr="00A773A6">
        <w:rPr>
          <w:rFonts w:cs="Times New Roman"/>
          <w:szCs w:val="24"/>
        </w:rPr>
        <w:t xml:space="preserve">kopējo </w:t>
      </w:r>
      <w:r w:rsidRPr="00470DD5">
        <w:rPr>
          <w:rFonts w:cs="Times New Roman"/>
          <w:szCs w:val="24"/>
        </w:rPr>
        <w:t>eiro</w:t>
      </w:r>
      <w:r>
        <w:rPr>
          <w:rFonts w:cs="Times New Roman"/>
          <w:szCs w:val="24"/>
        </w:rPr>
        <w:t xml:space="preserve">zonas stabilitāti, izsniedzot </w:t>
      </w:r>
      <w:r w:rsidRPr="00470DD5">
        <w:rPr>
          <w:rFonts w:cs="Times New Roman"/>
          <w:szCs w:val="24"/>
        </w:rPr>
        <w:t>aizdevumus eiro</w:t>
      </w:r>
      <w:r w:rsidR="001F006C" w:rsidRPr="00470DD5">
        <w:rPr>
          <w:rFonts w:cs="Times New Roman"/>
          <w:szCs w:val="24"/>
        </w:rPr>
        <w:t>z</w:t>
      </w:r>
      <w:r w:rsidR="00F33A20" w:rsidRPr="00470DD5">
        <w:rPr>
          <w:rFonts w:cs="Times New Roman"/>
          <w:szCs w:val="24"/>
        </w:rPr>
        <w:t>onas</w:t>
      </w:r>
      <w:r w:rsidR="00F33A20" w:rsidRPr="00A773A6">
        <w:rPr>
          <w:rFonts w:cs="Times New Roman"/>
          <w:szCs w:val="24"/>
        </w:rPr>
        <w:t xml:space="preserve"> </w:t>
      </w:r>
      <w:r w:rsidR="001B5973" w:rsidRPr="00A773A6">
        <w:rPr>
          <w:rFonts w:cs="Times New Roman"/>
          <w:szCs w:val="24"/>
        </w:rPr>
        <w:t xml:space="preserve">valstīm </w:t>
      </w:r>
      <w:r w:rsidR="00E01935" w:rsidRPr="00A773A6">
        <w:rPr>
          <w:rFonts w:cs="Times New Roman"/>
          <w:szCs w:val="24"/>
        </w:rPr>
        <w:t xml:space="preserve">situācijās, kad </w:t>
      </w:r>
      <w:r w:rsidR="001B5973" w:rsidRPr="00A773A6">
        <w:rPr>
          <w:rFonts w:cs="Times New Roman"/>
          <w:szCs w:val="24"/>
        </w:rPr>
        <w:t>tās nevar piekļūt finanšu tirgiem pa</w:t>
      </w:r>
      <w:r w:rsidR="00065412" w:rsidRPr="00A773A6">
        <w:rPr>
          <w:rFonts w:cs="Times New Roman"/>
          <w:szCs w:val="24"/>
        </w:rPr>
        <w:t xml:space="preserve">r ilgtspējīgām procentu likmēm. </w:t>
      </w:r>
      <w:r w:rsidR="001B5973" w:rsidRPr="00A773A6">
        <w:rPr>
          <w:rFonts w:cs="Times New Roman"/>
          <w:szCs w:val="24"/>
        </w:rPr>
        <w:t xml:space="preserve">Tādējādi </w:t>
      </w:r>
      <w:r w:rsidR="00287D40" w:rsidRPr="00A773A6">
        <w:rPr>
          <w:rFonts w:cs="Times New Roman"/>
          <w:szCs w:val="24"/>
        </w:rPr>
        <w:t xml:space="preserve">viens no </w:t>
      </w:r>
      <w:r>
        <w:rPr>
          <w:rFonts w:eastAsia="Times New Roman" w:cs="Times New Roman"/>
          <w:szCs w:val="24"/>
        </w:rPr>
        <w:t>Eiropas Stabilitātes mehānisma</w:t>
      </w:r>
      <w:r w:rsidR="00E01935" w:rsidRPr="00A773A6">
        <w:rPr>
          <w:rFonts w:cs="Times New Roman"/>
          <w:szCs w:val="24"/>
        </w:rPr>
        <w:t xml:space="preserve"> </w:t>
      </w:r>
      <w:r w:rsidR="00B1324D" w:rsidRPr="00A773A6">
        <w:rPr>
          <w:rFonts w:cs="Times New Roman"/>
          <w:szCs w:val="24"/>
        </w:rPr>
        <w:t>uzdevumiem</w:t>
      </w:r>
      <w:r w:rsidR="00CF08C5" w:rsidRPr="00A773A6">
        <w:rPr>
          <w:rFonts w:cs="Times New Roman"/>
          <w:szCs w:val="24"/>
        </w:rPr>
        <w:t xml:space="preserve"> ir </w:t>
      </w:r>
      <w:r w:rsidR="00E01935" w:rsidRPr="00A773A6">
        <w:rPr>
          <w:rFonts w:cs="Times New Roman"/>
          <w:szCs w:val="24"/>
        </w:rPr>
        <w:t>stiprin</w:t>
      </w:r>
      <w:r w:rsidR="001B5973" w:rsidRPr="00A773A6">
        <w:rPr>
          <w:rFonts w:cs="Times New Roman"/>
          <w:szCs w:val="24"/>
        </w:rPr>
        <w:t>āt</w:t>
      </w:r>
      <w:r w:rsidR="00E01935" w:rsidRPr="00A773A6">
        <w:rPr>
          <w:rFonts w:cs="Times New Roman"/>
          <w:szCs w:val="24"/>
        </w:rPr>
        <w:t xml:space="preserve"> investoru uzticību un palīdz</w:t>
      </w:r>
      <w:r w:rsidR="001B5973" w:rsidRPr="00A773A6">
        <w:rPr>
          <w:rFonts w:cs="Times New Roman"/>
          <w:szCs w:val="24"/>
        </w:rPr>
        <w:t>ēt dalībvalstīm</w:t>
      </w:r>
      <w:r w:rsidR="00937054" w:rsidRPr="00A773A6">
        <w:rPr>
          <w:rFonts w:cs="Times New Roman"/>
          <w:szCs w:val="24"/>
        </w:rPr>
        <w:t xml:space="preserve"> </w:t>
      </w:r>
      <w:r w:rsidR="00E01935" w:rsidRPr="00A773A6">
        <w:rPr>
          <w:rFonts w:cs="Times New Roman"/>
          <w:szCs w:val="24"/>
        </w:rPr>
        <w:t xml:space="preserve">stabilizēt </w:t>
      </w:r>
      <w:r w:rsidR="005D5B6C" w:rsidRPr="00A773A6">
        <w:rPr>
          <w:rFonts w:cs="Times New Roman"/>
          <w:szCs w:val="24"/>
        </w:rPr>
        <w:t xml:space="preserve">to </w:t>
      </w:r>
      <w:r w:rsidR="001B5973" w:rsidRPr="00A773A6">
        <w:rPr>
          <w:rFonts w:cs="Times New Roman"/>
          <w:szCs w:val="24"/>
        </w:rPr>
        <w:t xml:space="preserve">situāciju </w:t>
      </w:r>
      <w:r w:rsidR="00E01935" w:rsidRPr="00A773A6">
        <w:rPr>
          <w:rFonts w:cs="Times New Roman"/>
          <w:szCs w:val="24"/>
        </w:rPr>
        <w:t>finanšu tirgos</w:t>
      </w:r>
      <w:r w:rsidR="006A1A20" w:rsidRPr="00A773A6">
        <w:rPr>
          <w:rFonts w:cs="Times New Roman"/>
          <w:szCs w:val="24"/>
        </w:rPr>
        <w:t>.</w:t>
      </w:r>
      <w:r w:rsidR="00254817" w:rsidRPr="00A773A6">
        <w:rPr>
          <w:rFonts w:cs="Times New Roman"/>
          <w:szCs w:val="24"/>
        </w:rPr>
        <w:t xml:space="preserve"> </w:t>
      </w:r>
      <w:r>
        <w:rPr>
          <w:rFonts w:eastAsia="Times New Roman" w:cs="Times New Roman"/>
          <w:szCs w:val="24"/>
        </w:rPr>
        <w:t>Eiropas Stabilitātes mehānisma</w:t>
      </w:r>
      <w:r w:rsidR="00CA4839" w:rsidRPr="00A773A6">
        <w:rPr>
          <w:rFonts w:cs="Times New Roman"/>
          <w:szCs w:val="24"/>
        </w:rPr>
        <w:t xml:space="preserve"> akcionāri ir </w:t>
      </w:r>
      <w:r w:rsidR="001F006C" w:rsidRPr="00A773A6">
        <w:rPr>
          <w:rFonts w:cs="Times New Roman"/>
          <w:szCs w:val="24"/>
        </w:rPr>
        <w:t xml:space="preserve">visas </w:t>
      </w:r>
      <w:r>
        <w:rPr>
          <w:rFonts w:cs="Times New Roman"/>
          <w:szCs w:val="24"/>
        </w:rPr>
        <w:t>19 eiro</w:t>
      </w:r>
      <w:r w:rsidR="001F006C" w:rsidRPr="00A773A6">
        <w:rPr>
          <w:rFonts w:cs="Times New Roman"/>
          <w:szCs w:val="24"/>
        </w:rPr>
        <w:t xml:space="preserve">zonas </w:t>
      </w:r>
      <w:r w:rsidR="00CA4839" w:rsidRPr="00A773A6">
        <w:rPr>
          <w:rFonts w:cs="Times New Roman"/>
          <w:szCs w:val="24"/>
        </w:rPr>
        <w:t>valstis</w:t>
      </w:r>
      <w:r w:rsidR="00470EBE" w:rsidRPr="00A773A6">
        <w:rPr>
          <w:rFonts w:cs="Times New Roman"/>
          <w:szCs w:val="24"/>
        </w:rPr>
        <w:t xml:space="preserve">, </w:t>
      </w:r>
      <w:r w:rsidR="00E05509" w:rsidRPr="00A773A6">
        <w:rPr>
          <w:rFonts w:cs="Times New Roman"/>
          <w:szCs w:val="24"/>
        </w:rPr>
        <w:t xml:space="preserve">kas </w:t>
      </w:r>
      <w:r w:rsidR="00DF31D5" w:rsidRPr="00A773A6">
        <w:rPr>
          <w:rFonts w:cs="Times New Roman"/>
          <w:szCs w:val="24"/>
        </w:rPr>
        <w:t xml:space="preserve">šobrīd </w:t>
      </w:r>
      <w:r w:rsidR="00004E13" w:rsidRPr="00A773A6">
        <w:rPr>
          <w:rFonts w:cs="Times New Roman"/>
          <w:szCs w:val="24"/>
        </w:rPr>
        <w:t xml:space="preserve">kopā </w:t>
      </w:r>
      <w:r>
        <w:rPr>
          <w:rFonts w:eastAsia="Times New Roman" w:cs="Times New Roman"/>
          <w:szCs w:val="24"/>
        </w:rPr>
        <w:t>Eiropas Stabilitātes mehānisma</w:t>
      </w:r>
      <w:r w:rsidR="000553F9" w:rsidRPr="00A773A6">
        <w:rPr>
          <w:rFonts w:cs="Times New Roman"/>
          <w:szCs w:val="24"/>
        </w:rPr>
        <w:t xml:space="preserve"> kapitālā </w:t>
      </w:r>
      <w:r w:rsidR="00004E13" w:rsidRPr="00A773A6">
        <w:rPr>
          <w:rFonts w:cs="Times New Roman"/>
          <w:szCs w:val="24"/>
        </w:rPr>
        <w:t>ir</w:t>
      </w:r>
      <w:r w:rsidR="0085469F">
        <w:rPr>
          <w:rFonts w:cs="Times New Roman"/>
          <w:szCs w:val="24"/>
        </w:rPr>
        <w:t xml:space="preserve"> </w:t>
      </w:r>
      <w:r w:rsidR="00E33D05">
        <w:rPr>
          <w:rFonts w:cs="Times New Roman"/>
          <w:szCs w:val="24"/>
        </w:rPr>
        <w:t>iemaksājušas</w:t>
      </w:r>
      <w:r w:rsidR="00004E13" w:rsidRPr="00A773A6">
        <w:rPr>
          <w:rFonts w:cs="Times New Roman"/>
          <w:szCs w:val="24"/>
        </w:rPr>
        <w:t xml:space="preserve"> 80,</w:t>
      </w:r>
      <w:r w:rsidR="00921961" w:rsidRPr="00A773A6">
        <w:rPr>
          <w:rFonts w:cs="Times New Roman"/>
          <w:szCs w:val="24"/>
        </w:rPr>
        <w:t>5</w:t>
      </w:r>
      <w:r w:rsidR="00004E13" w:rsidRPr="00A773A6">
        <w:rPr>
          <w:rFonts w:cs="Times New Roman"/>
          <w:szCs w:val="24"/>
        </w:rPr>
        <w:t xml:space="preserve"> </w:t>
      </w:r>
      <w:r w:rsidR="00A4581D" w:rsidRPr="00A773A6">
        <w:rPr>
          <w:rFonts w:eastAsia="Times New Roman" w:cs="Times New Roman"/>
          <w:szCs w:val="24"/>
          <w:lang w:eastAsia="lv-LV"/>
        </w:rPr>
        <w:t>mljrd.</w:t>
      </w:r>
      <w:r w:rsidR="00A4581D" w:rsidRPr="00A773A6">
        <w:rPr>
          <w:rFonts w:cs="Times New Roman"/>
          <w:szCs w:val="24"/>
        </w:rPr>
        <w:t xml:space="preserve"> </w:t>
      </w:r>
      <w:r w:rsidR="00004E13" w:rsidRPr="00A773A6">
        <w:rPr>
          <w:rFonts w:cs="Times New Roman"/>
          <w:i/>
          <w:szCs w:val="24"/>
        </w:rPr>
        <w:t>euro.</w:t>
      </w:r>
    </w:p>
    <w:p w14:paraId="1D6648DA" w14:textId="77777777" w:rsidR="001953F5" w:rsidRPr="00A773A6" w:rsidRDefault="00470DD5" w:rsidP="00A773A6">
      <w:pPr>
        <w:ind w:firstLine="709"/>
        <w:jc w:val="both"/>
        <w:rPr>
          <w:rFonts w:cs="Times New Roman"/>
          <w:i/>
          <w:szCs w:val="24"/>
        </w:rPr>
      </w:pPr>
      <w:r>
        <w:rPr>
          <w:rFonts w:eastAsia="Times New Roman" w:cs="Times New Roman"/>
          <w:szCs w:val="24"/>
        </w:rPr>
        <w:t>Eiropas Stabilitātes mehānisma</w:t>
      </w:r>
      <w:r w:rsidR="005C7085" w:rsidRPr="00A773A6">
        <w:rPr>
          <w:rFonts w:cs="Times New Roman"/>
          <w:szCs w:val="24"/>
        </w:rPr>
        <w:t xml:space="preserve"> </w:t>
      </w:r>
      <w:r w:rsidR="00E33D05">
        <w:rPr>
          <w:rFonts w:cs="Times New Roman"/>
          <w:szCs w:val="24"/>
        </w:rPr>
        <w:t xml:space="preserve">finanšu </w:t>
      </w:r>
      <w:r w:rsidR="005C7085" w:rsidRPr="00A773A6">
        <w:rPr>
          <w:rFonts w:cs="Times New Roman"/>
          <w:szCs w:val="24"/>
        </w:rPr>
        <w:t>akt</w:t>
      </w:r>
      <w:r w:rsidR="007F6361" w:rsidRPr="00A773A6">
        <w:rPr>
          <w:rFonts w:cs="Times New Roman"/>
          <w:szCs w:val="24"/>
        </w:rPr>
        <w:t>ivitātes iedalās trīs funkcijās:</w:t>
      </w:r>
    </w:p>
    <w:p w14:paraId="78058445" w14:textId="77777777" w:rsidR="00D639C5" w:rsidRPr="00A773A6" w:rsidRDefault="00FC70EB" w:rsidP="00A773A6">
      <w:pPr>
        <w:pStyle w:val="ListParagraph"/>
        <w:numPr>
          <w:ilvl w:val="0"/>
          <w:numId w:val="12"/>
        </w:numPr>
        <w:contextualSpacing w:val="0"/>
        <w:jc w:val="both"/>
        <w:rPr>
          <w:rFonts w:cs="Times New Roman"/>
          <w:szCs w:val="24"/>
        </w:rPr>
      </w:pPr>
      <w:r w:rsidRPr="00A773A6">
        <w:rPr>
          <w:rFonts w:cs="Times New Roman"/>
          <w:b/>
          <w:szCs w:val="24"/>
        </w:rPr>
        <w:t>a</w:t>
      </w:r>
      <w:r w:rsidR="00D639C5" w:rsidRPr="00A773A6">
        <w:rPr>
          <w:rFonts w:cs="Times New Roman"/>
          <w:b/>
          <w:szCs w:val="24"/>
        </w:rPr>
        <w:t xml:space="preserve">izdevumu </w:t>
      </w:r>
      <w:r w:rsidR="007F6361" w:rsidRPr="00A773A6">
        <w:rPr>
          <w:rFonts w:cs="Times New Roman"/>
          <w:b/>
          <w:szCs w:val="24"/>
        </w:rPr>
        <w:t>iz</w:t>
      </w:r>
      <w:r w:rsidR="00D639C5" w:rsidRPr="00A773A6">
        <w:rPr>
          <w:rFonts w:cs="Times New Roman"/>
          <w:b/>
          <w:szCs w:val="24"/>
        </w:rPr>
        <w:t>sniegšana dalībvalstīm</w:t>
      </w:r>
      <w:r w:rsidR="00D639C5" w:rsidRPr="00A773A6">
        <w:rPr>
          <w:rFonts w:cs="Times New Roman"/>
          <w:szCs w:val="24"/>
        </w:rPr>
        <w:t xml:space="preserve">. </w:t>
      </w:r>
      <w:r w:rsidR="00470DD5">
        <w:rPr>
          <w:rFonts w:eastAsia="Times New Roman" w:cs="Times New Roman"/>
          <w:szCs w:val="24"/>
        </w:rPr>
        <w:t>Eiropas Stabilitātes mehānisms</w:t>
      </w:r>
      <w:r w:rsidR="00D639C5" w:rsidRPr="00A773A6">
        <w:rPr>
          <w:rFonts w:cs="Times New Roman"/>
          <w:szCs w:val="24"/>
        </w:rPr>
        <w:t xml:space="preserve"> sniedz </w:t>
      </w:r>
      <w:r w:rsidR="000B529B" w:rsidRPr="00A773A6">
        <w:rPr>
          <w:rFonts w:cs="Times New Roman"/>
          <w:szCs w:val="24"/>
        </w:rPr>
        <w:t>vairākus</w:t>
      </w:r>
      <w:r w:rsidR="00D639C5" w:rsidRPr="00A773A6">
        <w:rPr>
          <w:rFonts w:cs="Times New Roman"/>
          <w:szCs w:val="24"/>
        </w:rPr>
        <w:t xml:space="preserve"> palīdzības veidus: </w:t>
      </w:r>
    </w:p>
    <w:p w14:paraId="06B04A4C" w14:textId="77777777" w:rsidR="00B65A1D" w:rsidRPr="00A773A6" w:rsidRDefault="00FC70EB" w:rsidP="00A773A6">
      <w:pPr>
        <w:pStyle w:val="ListParagraph"/>
        <w:numPr>
          <w:ilvl w:val="0"/>
          <w:numId w:val="15"/>
        </w:numPr>
        <w:rPr>
          <w:rFonts w:cs="Times New Roman"/>
          <w:szCs w:val="24"/>
        </w:rPr>
      </w:pPr>
      <w:r w:rsidRPr="00A773A6">
        <w:rPr>
          <w:rFonts w:cs="Times New Roman"/>
          <w:szCs w:val="24"/>
        </w:rPr>
        <w:t>a</w:t>
      </w:r>
      <w:r w:rsidR="00D639C5" w:rsidRPr="00A773A6">
        <w:rPr>
          <w:rFonts w:cs="Times New Roman"/>
          <w:szCs w:val="24"/>
        </w:rPr>
        <w:t>izdevumu sniegšan</w:t>
      </w:r>
      <w:r w:rsidR="00DF31D5" w:rsidRPr="00A773A6">
        <w:rPr>
          <w:rFonts w:cs="Times New Roman"/>
          <w:szCs w:val="24"/>
        </w:rPr>
        <w:t>a, lai segtu finanšu vajadzības;</w:t>
      </w:r>
    </w:p>
    <w:p w14:paraId="341F0992" w14:textId="77777777" w:rsidR="00B65A1D" w:rsidRPr="00A773A6" w:rsidRDefault="00B65A1D" w:rsidP="00A773A6">
      <w:pPr>
        <w:pStyle w:val="ListParagraph"/>
        <w:numPr>
          <w:ilvl w:val="0"/>
          <w:numId w:val="15"/>
        </w:numPr>
        <w:rPr>
          <w:rFonts w:cs="Times New Roman"/>
          <w:szCs w:val="24"/>
        </w:rPr>
      </w:pPr>
      <w:r w:rsidRPr="00A773A6">
        <w:rPr>
          <w:rFonts w:cs="Times New Roman"/>
          <w:szCs w:val="24"/>
        </w:rPr>
        <w:t xml:space="preserve">aizdevumi netiešai banku </w:t>
      </w:r>
      <w:proofErr w:type="spellStart"/>
      <w:r w:rsidRPr="00A773A6">
        <w:rPr>
          <w:rFonts w:cs="Times New Roman"/>
          <w:szCs w:val="24"/>
        </w:rPr>
        <w:t>rekapitalizācijai</w:t>
      </w:r>
      <w:proofErr w:type="spellEnd"/>
      <w:r w:rsidRPr="00A773A6">
        <w:rPr>
          <w:rFonts w:cs="Times New Roman"/>
          <w:szCs w:val="24"/>
        </w:rPr>
        <w:t xml:space="preserve">; </w:t>
      </w:r>
    </w:p>
    <w:p w14:paraId="25BEF637" w14:textId="77777777" w:rsidR="00D639C5" w:rsidRPr="00A773A6" w:rsidRDefault="00FC70EB" w:rsidP="00A773A6">
      <w:pPr>
        <w:pStyle w:val="ListParagraph"/>
        <w:numPr>
          <w:ilvl w:val="0"/>
          <w:numId w:val="15"/>
        </w:numPr>
        <w:contextualSpacing w:val="0"/>
        <w:jc w:val="both"/>
        <w:rPr>
          <w:rFonts w:cs="Times New Roman"/>
          <w:szCs w:val="24"/>
        </w:rPr>
      </w:pPr>
      <w:r w:rsidRPr="00A773A6">
        <w:rPr>
          <w:rFonts w:cs="Times New Roman"/>
          <w:szCs w:val="24"/>
        </w:rPr>
        <w:t>a</w:t>
      </w:r>
      <w:r w:rsidR="00D639C5" w:rsidRPr="00A773A6">
        <w:rPr>
          <w:rFonts w:cs="Times New Roman"/>
          <w:szCs w:val="24"/>
        </w:rPr>
        <w:t xml:space="preserve">izdevumu sniegšana un tiešas kapitāla injekcijas, lai </w:t>
      </w:r>
      <w:proofErr w:type="spellStart"/>
      <w:r w:rsidR="00D639C5" w:rsidRPr="00A773A6">
        <w:rPr>
          <w:rFonts w:cs="Times New Roman"/>
          <w:szCs w:val="24"/>
        </w:rPr>
        <w:t>rekapitalizētu</w:t>
      </w:r>
      <w:proofErr w:type="spellEnd"/>
      <w:r w:rsidR="00D639C5" w:rsidRPr="00A773A6">
        <w:rPr>
          <w:rFonts w:cs="Times New Roman"/>
          <w:szCs w:val="24"/>
        </w:rPr>
        <w:t xml:space="preserve"> finanšu iestādes;</w:t>
      </w:r>
      <w:r w:rsidR="00060396" w:rsidRPr="00A773A6">
        <w:rPr>
          <w:rFonts w:cs="Times New Roman"/>
          <w:szCs w:val="24"/>
        </w:rPr>
        <w:t xml:space="preserve"> </w:t>
      </w:r>
    </w:p>
    <w:p w14:paraId="29F85D18" w14:textId="77777777" w:rsidR="00D639C5" w:rsidRPr="00A773A6" w:rsidRDefault="00470DD5" w:rsidP="00A773A6">
      <w:pPr>
        <w:pStyle w:val="ListParagraph"/>
        <w:numPr>
          <w:ilvl w:val="0"/>
          <w:numId w:val="15"/>
        </w:numPr>
        <w:contextualSpacing w:val="0"/>
        <w:jc w:val="both"/>
        <w:rPr>
          <w:rFonts w:cs="Times New Roman"/>
          <w:szCs w:val="24"/>
        </w:rPr>
      </w:pPr>
      <w:r>
        <w:rPr>
          <w:rFonts w:cs="Times New Roman"/>
          <w:szCs w:val="24"/>
        </w:rPr>
        <w:t>piesardzības kredīt</w:t>
      </w:r>
      <w:r w:rsidR="0004606F" w:rsidRPr="00A773A6">
        <w:rPr>
          <w:rFonts w:cs="Times New Roman"/>
          <w:szCs w:val="24"/>
        </w:rPr>
        <w:t>līnijas</w:t>
      </w:r>
      <w:r w:rsidR="008D35CF">
        <w:rPr>
          <w:rFonts w:cs="Times New Roman"/>
          <w:szCs w:val="24"/>
        </w:rPr>
        <w:t xml:space="preserve"> (tai skaitā Pandēmiskās</w:t>
      </w:r>
      <w:r w:rsidR="00DF31D5" w:rsidRPr="00A773A6">
        <w:rPr>
          <w:rFonts w:cs="Times New Roman"/>
          <w:szCs w:val="24"/>
        </w:rPr>
        <w:t xml:space="preserve"> krīzes atbalsts)</w:t>
      </w:r>
      <w:r w:rsidR="00D639C5" w:rsidRPr="00A773A6">
        <w:rPr>
          <w:rFonts w:cs="Times New Roman"/>
          <w:szCs w:val="24"/>
        </w:rPr>
        <w:t>;</w:t>
      </w:r>
    </w:p>
    <w:p w14:paraId="381835A4" w14:textId="77777777" w:rsidR="00D639C5" w:rsidRPr="00A773A6" w:rsidRDefault="00FC70EB" w:rsidP="00A773A6">
      <w:pPr>
        <w:pStyle w:val="ListParagraph"/>
        <w:numPr>
          <w:ilvl w:val="0"/>
          <w:numId w:val="15"/>
        </w:numPr>
        <w:contextualSpacing w:val="0"/>
        <w:jc w:val="both"/>
        <w:rPr>
          <w:rFonts w:cs="Times New Roman"/>
          <w:szCs w:val="24"/>
        </w:rPr>
      </w:pPr>
      <w:r w:rsidRPr="00A773A6">
        <w:rPr>
          <w:rFonts w:cs="Times New Roman"/>
          <w:szCs w:val="24"/>
        </w:rPr>
        <w:t>d</w:t>
      </w:r>
      <w:r w:rsidR="00D639C5" w:rsidRPr="00A773A6">
        <w:rPr>
          <w:rFonts w:cs="Times New Roman"/>
          <w:szCs w:val="24"/>
        </w:rPr>
        <w:t>alībvalstu obligāciju iepirkšana primār</w:t>
      </w:r>
      <w:r w:rsidR="004B0EC0" w:rsidRPr="00A773A6">
        <w:rPr>
          <w:rFonts w:cs="Times New Roman"/>
          <w:szCs w:val="24"/>
        </w:rPr>
        <w:t>aj</w:t>
      </w:r>
      <w:r w:rsidR="00D639C5" w:rsidRPr="00A773A6">
        <w:rPr>
          <w:rFonts w:cs="Times New Roman"/>
          <w:szCs w:val="24"/>
        </w:rPr>
        <w:t>o</w:t>
      </w:r>
      <w:r w:rsidR="004B0EC0" w:rsidRPr="00A773A6">
        <w:rPr>
          <w:rFonts w:cs="Times New Roman"/>
          <w:szCs w:val="24"/>
        </w:rPr>
        <w:t>s</w:t>
      </w:r>
      <w:r w:rsidR="00D639C5" w:rsidRPr="00A773A6">
        <w:rPr>
          <w:rFonts w:cs="Times New Roman"/>
          <w:szCs w:val="24"/>
        </w:rPr>
        <w:t xml:space="preserve"> un sekundārajos </w:t>
      </w:r>
      <w:r w:rsidR="00BC1502" w:rsidRPr="00A773A6">
        <w:rPr>
          <w:rFonts w:cs="Times New Roman"/>
          <w:szCs w:val="24"/>
        </w:rPr>
        <w:t xml:space="preserve">vērtspapīru </w:t>
      </w:r>
      <w:r w:rsidR="00D639C5" w:rsidRPr="00A773A6">
        <w:rPr>
          <w:rFonts w:cs="Times New Roman"/>
          <w:szCs w:val="24"/>
        </w:rPr>
        <w:t>tirgos</w:t>
      </w:r>
      <w:r w:rsidRPr="00A773A6">
        <w:rPr>
          <w:rFonts w:cs="Times New Roman"/>
          <w:szCs w:val="24"/>
        </w:rPr>
        <w:t>;</w:t>
      </w:r>
      <w:r w:rsidR="00D639C5" w:rsidRPr="00A773A6">
        <w:rPr>
          <w:rFonts w:cs="Times New Roman"/>
          <w:szCs w:val="24"/>
        </w:rPr>
        <w:t xml:space="preserve"> </w:t>
      </w:r>
    </w:p>
    <w:p w14:paraId="13CE98D7" w14:textId="77777777" w:rsidR="001953F5" w:rsidRPr="00A773A6" w:rsidRDefault="001953F5" w:rsidP="00A773A6">
      <w:pPr>
        <w:pStyle w:val="ListParagraph"/>
        <w:numPr>
          <w:ilvl w:val="0"/>
          <w:numId w:val="12"/>
        </w:numPr>
        <w:contextualSpacing w:val="0"/>
        <w:jc w:val="both"/>
        <w:rPr>
          <w:rFonts w:cs="Times New Roman"/>
          <w:szCs w:val="24"/>
        </w:rPr>
      </w:pPr>
      <w:r w:rsidRPr="00A773A6">
        <w:rPr>
          <w:rFonts w:cs="Times New Roman"/>
          <w:b/>
          <w:szCs w:val="24"/>
        </w:rPr>
        <w:t>finanšu līdzekļu piesaiste finanšu tirgos</w:t>
      </w:r>
      <w:r w:rsidR="00B95FE9" w:rsidRPr="00A773A6">
        <w:rPr>
          <w:rFonts w:cs="Times New Roman"/>
          <w:szCs w:val="24"/>
        </w:rPr>
        <w:t>,</w:t>
      </w:r>
      <w:r w:rsidR="005C7085" w:rsidRPr="00A773A6">
        <w:rPr>
          <w:rFonts w:cs="Times New Roman"/>
          <w:szCs w:val="24"/>
        </w:rPr>
        <w:t xml:space="preserve"> lai finansētu aizdevumu veikšanu</w:t>
      </w:r>
      <w:r w:rsidR="00FC70EB" w:rsidRPr="00A773A6">
        <w:rPr>
          <w:rFonts w:cs="Times New Roman"/>
          <w:szCs w:val="24"/>
        </w:rPr>
        <w:t>;</w:t>
      </w:r>
      <w:r w:rsidR="005C7085" w:rsidRPr="00A773A6">
        <w:rPr>
          <w:rFonts w:cs="Times New Roman"/>
          <w:szCs w:val="24"/>
        </w:rPr>
        <w:t xml:space="preserve"> </w:t>
      </w:r>
    </w:p>
    <w:p w14:paraId="77CA35C9" w14:textId="77777777" w:rsidR="007C6A47" w:rsidRPr="00A773A6" w:rsidRDefault="00686F93" w:rsidP="00A773A6">
      <w:pPr>
        <w:pStyle w:val="ListParagraph"/>
        <w:numPr>
          <w:ilvl w:val="0"/>
          <w:numId w:val="12"/>
        </w:numPr>
        <w:contextualSpacing w:val="0"/>
        <w:jc w:val="both"/>
        <w:rPr>
          <w:rFonts w:cs="Times New Roman"/>
          <w:szCs w:val="24"/>
        </w:rPr>
      </w:pPr>
      <w:r>
        <w:rPr>
          <w:rFonts w:cs="Times New Roman"/>
          <w:b/>
          <w:szCs w:val="24"/>
        </w:rPr>
        <w:t>pašu kapitāla līdzekļu pārvaldīšana</w:t>
      </w:r>
      <w:r w:rsidR="00E33D05">
        <w:rPr>
          <w:rFonts w:cs="Times New Roman"/>
          <w:szCs w:val="24"/>
        </w:rPr>
        <w:t>.</w:t>
      </w:r>
      <w:r w:rsidR="00101DC9">
        <w:rPr>
          <w:rFonts w:cs="Times New Roman"/>
          <w:szCs w:val="24"/>
        </w:rPr>
        <w:t xml:space="preserve"> </w:t>
      </w:r>
    </w:p>
    <w:p w14:paraId="237E5D60" w14:textId="77777777" w:rsidR="004626CE" w:rsidRDefault="002373FE" w:rsidP="008D35CF">
      <w:pPr>
        <w:ind w:firstLine="709"/>
        <w:jc w:val="both"/>
        <w:rPr>
          <w:rFonts w:cs="Times New Roman"/>
          <w:szCs w:val="24"/>
        </w:rPr>
      </w:pPr>
      <w:r w:rsidRPr="00A773A6">
        <w:rPr>
          <w:rFonts w:cs="Times New Roman"/>
          <w:szCs w:val="24"/>
        </w:rPr>
        <w:t xml:space="preserve">Pateicoties stabilai kapitāla struktūrai un finansēšanas un investīciju stratēģijai, </w:t>
      </w:r>
      <w:r w:rsidR="008D35CF">
        <w:rPr>
          <w:rFonts w:eastAsia="Times New Roman" w:cs="Times New Roman"/>
          <w:szCs w:val="24"/>
        </w:rPr>
        <w:t>Eiropas Stabilitātes mehānisms</w:t>
      </w:r>
      <w:r w:rsidR="00004DF1" w:rsidRPr="00A773A6">
        <w:rPr>
          <w:rFonts w:cs="Times New Roman"/>
          <w:szCs w:val="24"/>
        </w:rPr>
        <w:t xml:space="preserve"> </w:t>
      </w:r>
      <w:r w:rsidRPr="00A773A6">
        <w:rPr>
          <w:rFonts w:cs="Times New Roman"/>
          <w:szCs w:val="24"/>
        </w:rPr>
        <w:t xml:space="preserve">vairākus gadus </w:t>
      </w:r>
      <w:r w:rsidR="00004DF1" w:rsidRPr="00A773A6">
        <w:rPr>
          <w:rFonts w:cs="Times New Roman"/>
          <w:szCs w:val="24"/>
        </w:rPr>
        <w:t>ir novērtēts</w:t>
      </w:r>
      <w:r w:rsidRPr="00A773A6">
        <w:rPr>
          <w:rFonts w:cs="Times New Roman"/>
          <w:szCs w:val="24"/>
        </w:rPr>
        <w:t xml:space="preserve"> ar augst</w:t>
      </w:r>
      <w:r w:rsidR="006B54DE" w:rsidRPr="00A773A6">
        <w:rPr>
          <w:rFonts w:cs="Times New Roman"/>
          <w:szCs w:val="24"/>
        </w:rPr>
        <w:t>u</w:t>
      </w:r>
      <w:r w:rsidRPr="00A773A6">
        <w:rPr>
          <w:rFonts w:cs="Times New Roman"/>
          <w:szCs w:val="24"/>
        </w:rPr>
        <w:t xml:space="preserve"> </w:t>
      </w:r>
      <w:r w:rsidR="006418BD" w:rsidRPr="00A773A6">
        <w:rPr>
          <w:rFonts w:cs="Times New Roman"/>
          <w:szCs w:val="24"/>
        </w:rPr>
        <w:t>kredīt</w:t>
      </w:r>
      <w:r w:rsidRPr="00A773A6">
        <w:rPr>
          <w:rFonts w:cs="Times New Roman"/>
          <w:szCs w:val="24"/>
        </w:rPr>
        <w:t>reitingu</w:t>
      </w:r>
      <w:r w:rsidR="00004DF1" w:rsidRPr="00A773A6">
        <w:rPr>
          <w:rFonts w:cs="Times New Roman"/>
          <w:szCs w:val="24"/>
        </w:rPr>
        <w:t xml:space="preserve"> </w:t>
      </w:r>
      <w:r w:rsidR="00F07ADA" w:rsidRPr="005435B9">
        <w:rPr>
          <w:rFonts w:cs="Times New Roman"/>
          <w:szCs w:val="24"/>
        </w:rPr>
        <w:t>(</w:t>
      </w:r>
      <w:r w:rsidR="005435B9">
        <w:rPr>
          <w:rFonts w:cs="Times New Roman"/>
          <w:szCs w:val="24"/>
        </w:rPr>
        <w:t>skat.</w:t>
      </w:r>
      <w:r w:rsidR="00F07ADA" w:rsidRPr="005435B9">
        <w:rPr>
          <w:rFonts w:cs="Times New Roman"/>
          <w:szCs w:val="24"/>
        </w:rPr>
        <w:t xml:space="preserve"> 1.</w:t>
      </w:r>
      <w:r w:rsidR="005764E2">
        <w:rPr>
          <w:rFonts w:cs="Times New Roman"/>
          <w:szCs w:val="24"/>
        </w:rPr>
        <w:t xml:space="preserve"> </w:t>
      </w:r>
      <w:r w:rsidR="00F07ADA" w:rsidRPr="005435B9">
        <w:rPr>
          <w:rFonts w:cs="Times New Roman"/>
          <w:szCs w:val="24"/>
        </w:rPr>
        <w:t>tabulu)</w:t>
      </w:r>
      <w:r w:rsidR="004D4710" w:rsidRPr="005435B9">
        <w:rPr>
          <w:rFonts w:cs="Times New Roman"/>
          <w:szCs w:val="24"/>
        </w:rPr>
        <w:t>,</w:t>
      </w:r>
      <w:r w:rsidR="004D4710" w:rsidRPr="00A773A6">
        <w:rPr>
          <w:rFonts w:cs="Times New Roman"/>
          <w:szCs w:val="24"/>
        </w:rPr>
        <w:t xml:space="preserve"> tādējādi</w:t>
      </w:r>
      <w:r w:rsidR="00652E23" w:rsidRPr="00A773A6">
        <w:rPr>
          <w:rFonts w:cs="Times New Roman"/>
          <w:szCs w:val="24"/>
        </w:rPr>
        <w:t xml:space="preserve"> veiksmīgi</w:t>
      </w:r>
      <w:r w:rsidR="004D4710" w:rsidRPr="00A773A6">
        <w:rPr>
          <w:rFonts w:cs="Times New Roman"/>
          <w:szCs w:val="24"/>
        </w:rPr>
        <w:t xml:space="preserve"> piesaistot un palielinot finanšu resursus</w:t>
      </w:r>
      <w:r w:rsidR="003D3313" w:rsidRPr="00A773A6">
        <w:rPr>
          <w:rFonts w:cs="Times New Roman"/>
          <w:szCs w:val="24"/>
        </w:rPr>
        <w:t xml:space="preserve"> par ļoti izdevīgām procentu likmēm</w:t>
      </w:r>
      <w:r w:rsidR="00004DF1" w:rsidRPr="00A773A6">
        <w:rPr>
          <w:rFonts w:cs="Times New Roman"/>
          <w:szCs w:val="24"/>
        </w:rPr>
        <w:t>.</w:t>
      </w:r>
      <w:r w:rsidR="00F65E89" w:rsidRPr="00A773A6">
        <w:rPr>
          <w:rFonts w:cs="Times New Roman"/>
          <w:szCs w:val="24"/>
        </w:rPr>
        <w:t xml:space="preserve"> </w:t>
      </w:r>
    </w:p>
    <w:p w14:paraId="41D1015E" w14:textId="77777777" w:rsidR="008D35CF" w:rsidRPr="00A773A6" w:rsidRDefault="008D35CF" w:rsidP="008D35CF">
      <w:pPr>
        <w:ind w:firstLine="709"/>
        <w:jc w:val="both"/>
        <w:rPr>
          <w:rFonts w:cs="Times New Roman"/>
          <w:szCs w:val="24"/>
        </w:rPr>
      </w:pPr>
    </w:p>
    <w:p w14:paraId="0A2E56A8" w14:textId="77777777" w:rsidR="004626CE" w:rsidRPr="000F53DF" w:rsidRDefault="00004DF1" w:rsidP="004626CE">
      <w:pPr>
        <w:ind w:left="74"/>
        <w:jc w:val="right"/>
        <w:rPr>
          <w:rFonts w:eastAsia="Times New Roman" w:cs="Times New Roman"/>
          <w:b/>
          <w:i/>
          <w:sz w:val="20"/>
          <w:szCs w:val="24"/>
          <w:lang w:eastAsia="lv-LV"/>
        </w:rPr>
      </w:pPr>
      <w:r w:rsidRPr="004626CE">
        <w:rPr>
          <w:rFonts w:cs="Times New Roman"/>
          <w:b/>
          <w:i/>
          <w:sz w:val="20"/>
          <w:szCs w:val="24"/>
        </w:rPr>
        <w:t>1.</w:t>
      </w:r>
      <w:bookmarkStart w:id="0" w:name="_GoBack"/>
      <w:bookmarkEnd w:id="0"/>
      <w:r w:rsidRPr="004626CE">
        <w:rPr>
          <w:rFonts w:cs="Times New Roman"/>
          <w:b/>
          <w:i/>
          <w:sz w:val="20"/>
          <w:szCs w:val="24"/>
        </w:rPr>
        <w:t>tabula</w:t>
      </w:r>
      <w:r w:rsidR="00936759" w:rsidRPr="004626CE">
        <w:rPr>
          <w:rFonts w:cs="Times New Roman"/>
          <w:b/>
          <w:i/>
          <w:sz w:val="20"/>
          <w:szCs w:val="24"/>
        </w:rPr>
        <w:t>.</w:t>
      </w:r>
      <w:r w:rsidRPr="004626CE">
        <w:rPr>
          <w:rFonts w:cs="Times New Roman"/>
          <w:b/>
          <w:i/>
          <w:sz w:val="20"/>
          <w:szCs w:val="24"/>
        </w:rPr>
        <w:t xml:space="preserve"> </w:t>
      </w:r>
      <w:r w:rsidRPr="000F53DF">
        <w:rPr>
          <w:rFonts w:eastAsia="Times New Roman" w:cs="Times New Roman"/>
          <w:b/>
          <w:i/>
          <w:sz w:val="20"/>
          <w:szCs w:val="24"/>
          <w:lang w:eastAsia="lv-LV"/>
        </w:rPr>
        <w:t>Starptautisko kredītreitingu aģentūru novērtējums</w:t>
      </w:r>
    </w:p>
    <w:tbl>
      <w:tblPr>
        <w:tblStyle w:val="GridTable3-Accent1"/>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ating table"/>
      </w:tblPr>
      <w:tblGrid>
        <w:gridCol w:w="1838"/>
        <w:gridCol w:w="2046"/>
        <w:gridCol w:w="1963"/>
        <w:gridCol w:w="3176"/>
      </w:tblGrid>
      <w:tr w:rsidR="006C2271" w:rsidRPr="004626CE" w14:paraId="57439E07" w14:textId="77777777" w:rsidTr="006C2271">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100" w:firstRow="0" w:lastRow="0" w:firstColumn="1" w:lastColumn="0" w:oddVBand="0" w:evenVBand="0" w:oddHBand="0" w:evenHBand="0" w:firstRowFirstColumn="1" w:firstRowLastColumn="0" w:lastRowFirstColumn="0" w:lastRowLastColumn="0"/>
            <w:tcW w:w="1018" w:type="pct"/>
            <w:tcBorders>
              <w:top w:val="none" w:sz="0" w:space="0" w:color="auto"/>
              <w:left w:val="none" w:sz="0" w:space="0" w:color="auto"/>
              <w:bottom w:val="none" w:sz="0" w:space="0" w:color="auto"/>
              <w:right w:val="none" w:sz="0" w:space="0" w:color="auto"/>
            </w:tcBorders>
            <w:hideMark/>
          </w:tcPr>
          <w:p w14:paraId="2EBF26E6" w14:textId="77777777" w:rsidR="006C2271" w:rsidRPr="004626CE" w:rsidRDefault="006C2271" w:rsidP="00A773A6">
            <w:pPr>
              <w:jc w:val="center"/>
              <w:rPr>
                <w:rFonts w:eastAsia="Times New Roman" w:cs="Times New Roman"/>
                <w:color w:val="000000" w:themeColor="text1"/>
                <w:sz w:val="20"/>
                <w:szCs w:val="24"/>
                <w:lang w:eastAsia="lv-LV"/>
              </w:rPr>
            </w:pPr>
          </w:p>
        </w:tc>
        <w:tc>
          <w:tcPr>
            <w:tcW w:w="1134" w:type="pct"/>
            <w:tcBorders>
              <w:top w:val="none" w:sz="0" w:space="0" w:color="auto"/>
              <w:left w:val="none" w:sz="0" w:space="0" w:color="auto"/>
              <w:right w:val="none" w:sz="0" w:space="0" w:color="auto"/>
            </w:tcBorders>
            <w:hideMark/>
          </w:tcPr>
          <w:p w14:paraId="76442469" w14:textId="77777777" w:rsidR="006C2271" w:rsidRPr="004626CE" w:rsidRDefault="006C2271" w:rsidP="00A773A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4"/>
                <w:lang w:eastAsia="lv-LV"/>
              </w:rPr>
            </w:pPr>
            <w:r w:rsidRPr="004626CE">
              <w:rPr>
                <w:rFonts w:eastAsia="Times New Roman" w:cs="Times New Roman"/>
                <w:color w:val="000000" w:themeColor="text1"/>
                <w:sz w:val="20"/>
                <w:szCs w:val="24"/>
                <w:lang w:eastAsia="lv-LV"/>
              </w:rPr>
              <w:t>Ilgtermiņa</w:t>
            </w:r>
          </w:p>
        </w:tc>
        <w:tc>
          <w:tcPr>
            <w:tcW w:w="1088" w:type="pct"/>
            <w:tcBorders>
              <w:top w:val="none" w:sz="0" w:space="0" w:color="auto"/>
              <w:left w:val="none" w:sz="0" w:space="0" w:color="auto"/>
              <w:right w:val="none" w:sz="0" w:space="0" w:color="auto"/>
            </w:tcBorders>
            <w:hideMark/>
          </w:tcPr>
          <w:p w14:paraId="2F35CEB3" w14:textId="77777777" w:rsidR="006C2271" w:rsidRPr="004626CE" w:rsidRDefault="006C2271" w:rsidP="00A773A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4"/>
                <w:lang w:eastAsia="lv-LV"/>
              </w:rPr>
            </w:pPr>
            <w:r w:rsidRPr="004626CE">
              <w:rPr>
                <w:rFonts w:eastAsia="Times New Roman" w:cs="Times New Roman"/>
                <w:color w:val="000000" w:themeColor="text1"/>
                <w:sz w:val="20"/>
                <w:szCs w:val="24"/>
                <w:lang w:eastAsia="lv-LV"/>
              </w:rPr>
              <w:t>Īstermiņa</w:t>
            </w:r>
          </w:p>
        </w:tc>
        <w:tc>
          <w:tcPr>
            <w:tcW w:w="1760" w:type="pct"/>
            <w:tcBorders>
              <w:top w:val="none" w:sz="0" w:space="0" w:color="auto"/>
              <w:left w:val="none" w:sz="0" w:space="0" w:color="auto"/>
              <w:right w:val="none" w:sz="0" w:space="0" w:color="auto"/>
            </w:tcBorders>
          </w:tcPr>
          <w:p w14:paraId="3E477AED" w14:textId="77777777" w:rsidR="006C2271" w:rsidRPr="004626CE" w:rsidRDefault="006C2271" w:rsidP="00A773A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4"/>
                <w:lang w:eastAsia="lv-LV"/>
              </w:rPr>
            </w:pPr>
            <w:r>
              <w:rPr>
                <w:rFonts w:eastAsia="Times New Roman" w:cs="Times New Roman"/>
                <w:color w:val="000000" w:themeColor="text1"/>
                <w:sz w:val="20"/>
                <w:szCs w:val="24"/>
                <w:lang w:eastAsia="lv-LV"/>
              </w:rPr>
              <w:t>Nākotnes novērtējums</w:t>
            </w:r>
          </w:p>
        </w:tc>
      </w:tr>
      <w:tr w:rsidR="006C2271" w:rsidRPr="004626CE" w14:paraId="49E19F8D" w14:textId="77777777" w:rsidTr="006C2271">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018" w:type="pct"/>
            <w:tcBorders>
              <w:top w:val="none" w:sz="0" w:space="0" w:color="auto"/>
              <w:left w:val="none" w:sz="0" w:space="0" w:color="auto"/>
              <w:bottom w:val="none" w:sz="0" w:space="0" w:color="auto"/>
            </w:tcBorders>
            <w:hideMark/>
          </w:tcPr>
          <w:p w14:paraId="58125AC4" w14:textId="77777777" w:rsidR="006C2271" w:rsidRPr="004626CE" w:rsidRDefault="006C2271" w:rsidP="00A773A6">
            <w:pPr>
              <w:rPr>
                <w:rFonts w:eastAsia="Times New Roman" w:cs="Times New Roman"/>
                <w:color w:val="000000" w:themeColor="text1"/>
                <w:sz w:val="20"/>
                <w:szCs w:val="24"/>
                <w:lang w:eastAsia="lv-LV"/>
              </w:rPr>
            </w:pPr>
            <w:proofErr w:type="spellStart"/>
            <w:r w:rsidRPr="004626CE">
              <w:rPr>
                <w:rFonts w:eastAsia="Times New Roman" w:cs="Times New Roman"/>
                <w:color w:val="000000" w:themeColor="text1"/>
                <w:sz w:val="20"/>
                <w:szCs w:val="24"/>
                <w:lang w:eastAsia="lv-LV"/>
              </w:rPr>
              <w:t>Moody's</w:t>
            </w:r>
            <w:proofErr w:type="spellEnd"/>
          </w:p>
        </w:tc>
        <w:tc>
          <w:tcPr>
            <w:tcW w:w="1134" w:type="pct"/>
            <w:hideMark/>
          </w:tcPr>
          <w:p w14:paraId="53310471" w14:textId="77777777" w:rsidR="006C2271" w:rsidRPr="004626CE" w:rsidRDefault="006C2271" w:rsidP="00A773A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4"/>
                <w:lang w:eastAsia="lv-LV"/>
              </w:rPr>
            </w:pPr>
            <w:r w:rsidRPr="004626CE">
              <w:rPr>
                <w:rFonts w:eastAsia="Times New Roman" w:cs="Times New Roman"/>
                <w:color w:val="000000" w:themeColor="text1"/>
                <w:sz w:val="20"/>
                <w:szCs w:val="24"/>
                <w:lang w:eastAsia="lv-LV"/>
              </w:rPr>
              <w:t>Aa1</w:t>
            </w:r>
          </w:p>
        </w:tc>
        <w:tc>
          <w:tcPr>
            <w:tcW w:w="1088" w:type="pct"/>
            <w:hideMark/>
          </w:tcPr>
          <w:p w14:paraId="1A844AD4" w14:textId="77777777" w:rsidR="006C2271" w:rsidRPr="004626CE" w:rsidRDefault="006C2271" w:rsidP="00A773A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4"/>
                <w:lang w:eastAsia="lv-LV"/>
              </w:rPr>
            </w:pPr>
            <w:r w:rsidRPr="004626CE">
              <w:rPr>
                <w:rFonts w:eastAsia="Times New Roman" w:cs="Times New Roman"/>
                <w:color w:val="000000" w:themeColor="text1"/>
                <w:sz w:val="20"/>
                <w:szCs w:val="24"/>
                <w:lang w:eastAsia="lv-LV"/>
              </w:rPr>
              <w:t>P-1</w:t>
            </w:r>
          </w:p>
        </w:tc>
        <w:tc>
          <w:tcPr>
            <w:tcW w:w="1760" w:type="pct"/>
          </w:tcPr>
          <w:p w14:paraId="60377072" w14:textId="77777777" w:rsidR="006C2271" w:rsidRPr="004626CE" w:rsidRDefault="006C2271" w:rsidP="00A773A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4"/>
                <w:lang w:eastAsia="lv-LV"/>
              </w:rPr>
            </w:pPr>
            <w:r>
              <w:rPr>
                <w:rFonts w:eastAsia="Times New Roman" w:cs="Times New Roman"/>
                <w:color w:val="000000" w:themeColor="text1"/>
                <w:sz w:val="20"/>
                <w:szCs w:val="24"/>
                <w:lang w:eastAsia="lv-LV"/>
              </w:rPr>
              <w:t>Stabils</w:t>
            </w:r>
          </w:p>
        </w:tc>
      </w:tr>
      <w:tr w:rsidR="006C2271" w:rsidRPr="004626CE" w14:paraId="433D95B2" w14:textId="77777777" w:rsidTr="006C2271">
        <w:trPr>
          <w:trHeight w:val="263"/>
          <w:jc w:val="center"/>
        </w:trPr>
        <w:tc>
          <w:tcPr>
            <w:cnfStyle w:val="001000000000" w:firstRow="0" w:lastRow="0" w:firstColumn="1" w:lastColumn="0" w:oddVBand="0" w:evenVBand="0" w:oddHBand="0" w:evenHBand="0" w:firstRowFirstColumn="0" w:firstRowLastColumn="0" w:lastRowFirstColumn="0" w:lastRowLastColumn="0"/>
            <w:tcW w:w="1018" w:type="pct"/>
            <w:tcBorders>
              <w:top w:val="none" w:sz="0" w:space="0" w:color="auto"/>
              <w:left w:val="none" w:sz="0" w:space="0" w:color="auto"/>
              <w:bottom w:val="none" w:sz="0" w:space="0" w:color="auto"/>
            </w:tcBorders>
            <w:hideMark/>
          </w:tcPr>
          <w:p w14:paraId="6FB2D1C4" w14:textId="77777777" w:rsidR="006C2271" w:rsidRPr="004626CE" w:rsidRDefault="006C2271" w:rsidP="00A773A6">
            <w:pPr>
              <w:rPr>
                <w:rFonts w:eastAsia="Times New Roman" w:cs="Times New Roman"/>
                <w:color w:val="000000" w:themeColor="text1"/>
                <w:sz w:val="20"/>
                <w:szCs w:val="24"/>
                <w:lang w:eastAsia="lv-LV"/>
              </w:rPr>
            </w:pPr>
            <w:proofErr w:type="spellStart"/>
            <w:r>
              <w:rPr>
                <w:rFonts w:eastAsia="Times New Roman" w:cs="Times New Roman"/>
                <w:color w:val="000000" w:themeColor="text1"/>
                <w:sz w:val="20"/>
                <w:szCs w:val="24"/>
                <w:lang w:eastAsia="lv-LV"/>
              </w:rPr>
              <w:t>Fitch</w:t>
            </w:r>
            <w:proofErr w:type="spellEnd"/>
          </w:p>
        </w:tc>
        <w:tc>
          <w:tcPr>
            <w:tcW w:w="1134" w:type="pct"/>
            <w:hideMark/>
          </w:tcPr>
          <w:p w14:paraId="3A263B79" w14:textId="77777777" w:rsidR="006C2271" w:rsidRPr="004626CE" w:rsidRDefault="006C2271" w:rsidP="00A773A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4"/>
                <w:lang w:eastAsia="lv-LV"/>
              </w:rPr>
            </w:pPr>
            <w:r w:rsidRPr="004626CE">
              <w:rPr>
                <w:rFonts w:eastAsia="Times New Roman" w:cs="Times New Roman"/>
                <w:color w:val="000000" w:themeColor="text1"/>
                <w:sz w:val="20"/>
                <w:szCs w:val="24"/>
                <w:lang w:eastAsia="lv-LV"/>
              </w:rPr>
              <w:t>AAA</w:t>
            </w:r>
          </w:p>
        </w:tc>
        <w:tc>
          <w:tcPr>
            <w:tcW w:w="1088" w:type="pct"/>
            <w:hideMark/>
          </w:tcPr>
          <w:p w14:paraId="67C460C1" w14:textId="77777777" w:rsidR="006C2271" w:rsidRPr="004626CE" w:rsidRDefault="006C2271" w:rsidP="00A773A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4"/>
                <w:lang w:eastAsia="lv-LV"/>
              </w:rPr>
            </w:pPr>
            <w:r w:rsidRPr="004626CE">
              <w:rPr>
                <w:rFonts w:eastAsia="Times New Roman" w:cs="Times New Roman"/>
                <w:color w:val="000000" w:themeColor="text1"/>
                <w:sz w:val="20"/>
                <w:szCs w:val="24"/>
                <w:lang w:eastAsia="lv-LV"/>
              </w:rPr>
              <w:t>F1+</w:t>
            </w:r>
          </w:p>
        </w:tc>
        <w:tc>
          <w:tcPr>
            <w:tcW w:w="1760" w:type="pct"/>
          </w:tcPr>
          <w:p w14:paraId="73C0B71C" w14:textId="77777777" w:rsidR="006C2271" w:rsidRPr="004626CE" w:rsidRDefault="006C2271" w:rsidP="00A773A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4"/>
                <w:lang w:eastAsia="lv-LV"/>
              </w:rPr>
            </w:pPr>
            <w:r>
              <w:rPr>
                <w:rFonts w:eastAsia="Times New Roman" w:cs="Times New Roman"/>
                <w:color w:val="000000" w:themeColor="text1"/>
                <w:sz w:val="20"/>
                <w:szCs w:val="24"/>
                <w:lang w:eastAsia="lv-LV"/>
              </w:rPr>
              <w:t>Stabils</w:t>
            </w:r>
          </w:p>
        </w:tc>
      </w:tr>
      <w:tr w:rsidR="006C2271" w:rsidRPr="004626CE" w14:paraId="486E37D0" w14:textId="77777777" w:rsidTr="006C2271">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18" w:type="pct"/>
            <w:tcBorders>
              <w:top w:val="none" w:sz="0" w:space="0" w:color="auto"/>
              <w:left w:val="none" w:sz="0" w:space="0" w:color="auto"/>
              <w:bottom w:val="none" w:sz="0" w:space="0" w:color="auto"/>
            </w:tcBorders>
            <w:hideMark/>
          </w:tcPr>
          <w:p w14:paraId="2CA4B67E" w14:textId="77777777" w:rsidR="006C2271" w:rsidRPr="004626CE" w:rsidRDefault="006C2271" w:rsidP="00A773A6">
            <w:pPr>
              <w:rPr>
                <w:rFonts w:eastAsia="Times New Roman" w:cs="Times New Roman"/>
                <w:color w:val="000000" w:themeColor="text1"/>
                <w:sz w:val="20"/>
                <w:szCs w:val="24"/>
                <w:lang w:eastAsia="lv-LV"/>
              </w:rPr>
            </w:pPr>
            <w:r w:rsidRPr="004626CE">
              <w:rPr>
                <w:rFonts w:eastAsia="Times New Roman" w:cs="Times New Roman"/>
                <w:color w:val="000000" w:themeColor="text1"/>
                <w:sz w:val="20"/>
                <w:szCs w:val="24"/>
                <w:lang w:eastAsia="lv-LV"/>
              </w:rPr>
              <w:t>DBRS</w:t>
            </w:r>
            <w:r>
              <w:rPr>
                <w:rFonts w:eastAsia="Times New Roman" w:cs="Times New Roman"/>
                <w:color w:val="000000" w:themeColor="text1"/>
                <w:sz w:val="20"/>
                <w:szCs w:val="24"/>
                <w:lang w:eastAsia="lv-LV"/>
              </w:rPr>
              <w:t xml:space="preserve"> </w:t>
            </w:r>
            <w:proofErr w:type="spellStart"/>
            <w:r>
              <w:rPr>
                <w:rFonts w:eastAsia="Times New Roman" w:cs="Times New Roman"/>
                <w:color w:val="000000" w:themeColor="text1"/>
                <w:sz w:val="20"/>
                <w:szCs w:val="24"/>
                <w:lang w:eastAsia="lv-LV"/>
              </w:rPr>
              <w:t>Morningstar</w:t>
            </w:r>
            <w:proofErr w:type="spellEnd"/>
          </w:p>
        </w:tc>
        <w:tc>
          <w:tcPr>
            <w:tcW w:w="1134" w:type="pct"/>
            <w:hideMark/>
          </w:tcPr>
          <w:p w14:paraId="45F9B7AB" w14:textId="77777777" w:rsidR="006C2271" w:rsidRPr="004626CE" w:rsidRDefault="006C2271" w:rsidP="00A773A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4"/>
                <w:lang w:eastAsia="lv-LV"/>
              </w:rPr>
            </w:pPr>
            <w:r w:rsidRPr="004626CE">
              <w:rPr>
                <w:rFonts w:eastAsia="Times New Roman" w:cs="Times New Roman"/>
                <w:color w:val="000000" w:themeColor="text1"/>
                <w:sz w:val="20"/>
                <w:szCs w:val="24"/>
                <w:lang w:eastAsia="lv-LV"/>
              </w:rPr>
              <w:t>AAA</w:t>
            </w:r>
          </w:p>
        </w:tc>
        <w:tc>
          <w:tcPr>
            <w:tcW w:w="1088" w:type="pct"/>
            <w:hideMark/>
          </w:tcPr>
          <w:p w14:paraId="1808084B" w14:textId="77777777" w:rsidR="006C2271" w:rsidRPr="004626CE" w:rsidRDefault="006C2271" w:rsidP="00A773A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4"/>
                <w:lang w:eastAsia="lv-LV"/>
              </w:rPr>
            </w:pPr>
            <w:r w:rsidRPr="004626CE">
              <w:rPr>
                <w:rFonts w:eastAsia="Times New Roman" w:cs="Times New Roman"/>
                <w:color w:val="000000" w:themeColor="text1"/>
                <w:sz w:val="20"/>
                <w:szCs w:val="24"/>
                <w:lang w:eastAsia="lv-LV"/>
              </w:rPr>
              <w:t>R-1 (augsts)</w:t>
            </w:r>
          </w:p>
        </w:tc>
        <w:tc>
          <w:tcPr>
            <w:tcW w:w="1760" w:type="pct"/>
          </w:tcPr>
          <w:p w14:paraId="0732F1AD" w14:textId="77777777" w:rsidR="006C2271" w:rsidRPr="004626CE" w:rsidRDefault="006C2271" w:rsidP="00A773A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4"/>
                <w:lang w:eastAsia="lv-LV"/>
              </w:rPr>
            </w:pPr>
            <w:r>
              <w:rPr>
                <w:rFonts w:eastAsia="Times New Roman" w:cs="Times New Roman"/>
                <w:color w:val="000000" w:themeColor="text1"/>
                <w:sz w:val="20"/>
                <w:szCs w:val="24"/>
                <w:lang w:eastAsia="lv-LV"/>
              </w:rPr>
              <w:t>Stabils</w:t>
            </w:r>
          </w:p>
        </w:tc>
      </w:tr>
      <w:tr w:rsidR="006C2271" w:rsidRPr="004626CE" w14:paraId="4DFB75BF" w14:textId="77777777" w:rsidTr="006C2271">
        <w:trPr>
          <w:trHeight w:val="263"/>
          <w:jc w:val="center"/>
        </w:trPr>
        <w:tc>
          <w:tcPr>
            <w:cnfStyle w:val="001000000000" w:firstRow="0" w:lastRow="0" w:firstColumn="1" w:lastColumn="0" w:oddVBand="0" w:evenVBand="0" w:oddHBand="0" w:evenHBand="0" w:firstRowFirstColumn="0" w:firstRowLastColumn="0" w:lastRowFirstColumn="0" w:lastRowLastColumn="0"/>
            <w:tcW w:w="1018" w:type="pct"/>
            <w:tcBorders>
              <w:top w:val="none" w:sz="0" w:space="0" w:color="auto"/>
              <w:left w:val="none" w:sz="0" w:space="0" w:color="auto"/>
              <w:bottom w:val="none" w:sz="0" w:space="0" w:color="auto"/>
            </w:tcBorders>
          </w:tcPr>
          <w:p w14:paraId="476008B8" w14:textId="77777777" w:rsidR="006C2271" w:rsidRPr="004626CE" w:rsidRDefault="006C2271" w:rsidP="00A773A6">
            <w:pPr>
              <w:rPr>
                <w:rFonts w:eastAsia="Times New Roman" w:cs="Times New Roman"/>
                <w:color w:val="000000" w:themeColor="text1"/>
                <w:sz w:val="20"/>
                <w:szCs w:val="24"/>
                <w:lang w:eastAsia="lv-LV"/>
              </w:rPr>
            </w:pPr>
            <w:r>
              <w:rPr>
                <w:rFonts w:eastAsia="Times New Roman" w:cs="Times New Roman"/>
                <w:color w:val="000000" w:themeColor="text1"/>
                <w:sz w:val="20"/>
                <w:szCs w:val="24"/>
                <w:lang w:eastAsia="lv-LV"/>
              </w:rPr>
              <w:t>S&amp;P</w:t>
            </w:r>
          </w:p>
        </w:tc>
        <w:tc>
          <w:tcPr>
            <w:tcW w:w="1134" w:type="pct"/>
          </w:tcPr>
          <w:p w14:paraId="4A3B52BC" w14:textId="77777777" w:rsidR="006C2271" w:rsidRPr="004626CE" w:rsidRDefault="006C2271" w:rsidP="00A773A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4"/>
                <w:lang w:eastAsia="lv-LV"/>
              </w:rPr>
            </w:pPr>
            <w:r>
              <w:rPr>
                <w:rFonts w:eastAsia="Times New Roman" w:cs="Times New Roman"/>
                <w:color w:val="000000" w:themeColor="text1"/>
                <w:sz w:val="20"/>
                <w:szCs w:val="24"/>
                <w:lang w:eastAsia="lv-LV"/>
              </w:rPr>
              <w:t>AAA</w:t>
            </w:r>
          </w:p>
        </w:tc>
        <w:tc>
          <w:tcPr>
            <w:tcW w:w="1088" w:type="pct"/>
          </w:tcPr>
          <w:p w14:paraId="60E1D29B" w14:textId="77777777" w:rsidR="006C2271" w:rsidRPr="004626CE" w:rsidRDefault="006C2271" w:rsidP="00A773A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4"/>
                <w:lang w:eastAsia="lv-LV"/>
              </w:rPr>
            </w:pPr>
            <w:r>
              <w:rPr>
                <w:rFonts w:eastAsia="Times New Roman" w:cs="Times New Roman"/>
                <w:color w:val="000000" w:themeColor="text1"/>
                <w:sz w:val="20"/>
                <w:szCs w:val="24"/>
                <w:lang w:eastAsia="lv-LV"/>
              </w:rPr>
              <w:t>A-1+</w:t>
            </w:r>
          </w:p>
        </w:tc>
        <w:tc>
          <w:tcPr>
            <w:tcW w:w="1760" w:type="pct"/>
          </w:tcPr>
          <w:p w14:paraId="52597C1E" w14:textId="77777777" w:rsidR="006C2271" w:rsidRPr="004626CE" w:rsidRDefault="006C2271" w:rsidP="00A773A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4"/>
                <w:lang w:eastAsia="lv-LV"/>
              </w:rPr>
            </w:pPr>
            <w:r>
              <w:rPr>
                <w:rFonts w:eastAsia="Times New Roman" w:cs="Times New Roman"/>
                <w:color w:val="000000" w:themeColor="text1"/>
                <w:sz w:val="20"/>
                <w:szCs w:val="24"/>
                <w:lang w:eastAsia="lv-LV"/>
              </w:rPr>
              <w:t>Stabils</w:t>
            </w:r>
          </w:p>
        </w:tc>
      </w:tr>
      <w:tr w:rsidR="006C2271" w:rsidRPr="004626CE" w14:paraId="553657BD" w14:textId="77777777" w:rsidTr="006C2271">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18" w:type="pct"/>
            <w:tcBorders>
              <w:top w:val="none" w:sz="0" w:space="0" w:color="auto"/>
              <w:left w:val="none" w:sz="0" w:space="0" w:color="auto"/>
              <w:bottom w:val="none" w:sz="0" w:space="0" w:color="auto"/>
            </w:tcBorders>
          </w:tcPr>
          <w:p w14:paraId="42E0FAFA" w14:textId="77777777" w:rsidR="006C2271" w:rsidRPr="004626CE" w:rsidRDefault="006C2271" w:rsidP="00A773A6">
            <w:pPr>
              <w:rPr>
                <w:rFonts w:eastAsia="Times New Roman" w:cs="Times New Roman"/>
                <w:color w:val="000000" w:themeColor="text1"/>
                <w:sz w:val="20"/>
                <w:szCs w:val="24"/>
                <w:lang w:eastAsia="lv-LV"/>
              </w:rPr>
            </w:pPr>
            <w:proofErr w:type="spellStart"/>
            <w:r>
              <w:rPr>
                <w:rFonts w:eastAsia="Times New Roman" w:cs="Times New Roman"/>
                <w:color w:val="000000" w:themeColor="text1"/>
                <w:sz w:val="20"/>
                <w:szCs w:val="24"/>
                <w:lang w:eastAsia="lv-LV"/>
              </w:rPr>
              <w:t>Scope</w:t>
            </w:r>
            <w:proofErr w:type="spellEnd"/>
          </w:p>
        </w:tc>
        <w:tc>
          <w:tcPr>
            <w:tcW w:w="1134" w:type="pct"/>
          </w:tcPr>
          <w:p w14:paraId="4C091373" w14:textId="77777777" w:rsidR="006C2271" w:rsidRPr="004626CE" w:rsidRDefault="006C2271" w:rsidP="00A773A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4"/>
                <w:lang w:eastAsia="lv-LV"/>
              </w:rPr>
            </w:pPr>
            <w:r>
              <w:rPr>
                <w:rFonts w:eastAsia="Times New Roman" w:cs="Times New Roman"/>
                <w:color w:val="000000" w:themeColor="text1"/>
                <w:sz w:val="20"/>
                <w:szCs w:val="24"/>
                <w:lang w:eastAsia="lv-LV"/>
              </w:rPr>
              <w:t>AAA</w:t>
            </w:r>
          </w:p>
        </w:tc>
        <w:tc>
          <w:tcPr>
            <w:tcW w:w="1088" w:type="pct"/>
          </w:tcPr>
          <w:p w14:paraId="133BF953" w14:textId="77777777" w:rsidR="006C2271" w:rsidRPr="004626CE" w:rsidRDefault="006C2271" w:rsidP="00A773A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4"/>
                <w:lang w:eastAsia="lv-LV"/>
              </w:rPr>
            </w:pPr>
            <w:r>
              <w:rPr>
                <w:rFonts w:eastAsia="Times New Roman" w:cs="Times New Roman"/>
                <w:color w:val="000000" w:themeColor="text1"/>
                <w:sz w:val="20"/>
                <w:szCs w:val="24"/>
                <w:lang w:eastAsia="lv-LV"/>
              </w:rPr>
              <w:t>S-1+</w:t>
            </w:r>
          </w:p>
        </w:tc>
        <w:tc>
          <w:tcPr>
            <w:tcW w:w="1760" w:type="pct"/>
          </w:tcPr>
          <w:p w14:paraId="7ED890C2" w14:textId="77777777" w:rsidR="006C2271" w:rsidRPr="004626CE" w:rsidRDefault="006C2271" w:rsidP="00A773A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4"/>
                <w:lang w:eastAsia="lv-LV"/>
              </w:rPr>
            </w:pPr>
            <w:r>
              <w:rPr>
                <w:rFonts w:eastAsia="Times New Roman" w:cs="Times New Roman"/>
                <w:color w:val="000000" w:themeColor="text1"/>
                <w:sz w:val="20"/>
                <w:szCs w:val="24"/>
                <w:lang w:eastAsia="lv-LV"/>
              </w:rPr>
              <w:t>Stabils</w:t>
            </w:r>
          </w:p>
        </w:tc>
      </w:tr>
    </w:tbl>
    <w:p w14:paraId="20D0D1D7" w14:textId="77777777" w:rsidR="004626CE" w:rsidRPr="00686F93" w:rsidRDefault="00686F93" w:rsidP="00686F93">
      <w:pPr>
        <w:rPr>
          <w:rFonts w:eastAsia="Times New Roman" w:cs="Times New Roman"/>
          <w:b/>
          <w:i/>
          <w:sz w:val="20"/>
          <w:szCs w:val="20"/>
          <w:lang w:eastAsia="lv-LV"/>
        </w:rPr>
      </w:pPr>
      <w:r w:rsidRPr="00686F93">
        <w:rPr>
          <w:rFonts w:eastAsia="Times New Roman" w:cs="Times New Roman"/>
          <w:b/>
          <w:i/>
          <w:sz w:val="20"/>
          <w:szCs w:val="20"/>
          <w:lang w:eastAsia="lv-LV"/>
        </w:rPr>
        <w:t xml:space="preserve">Avots: ESM </w:t>
      </w:r>
      <w:r w:rsidR="006C2271">
        <w:rPr>
          <w:rFonts w:eastAsia="Times New Roman" w:cs="Times New Roman"/>
          <w:b/>
          <w:i/>
          <w:sz w:val="20"/>
          <w:szCs w:val="20"/>
          <w:lang w:eastAsia="lv-LV"/>
        </w:rPr>
        <w:t xml:space="preserve">2020. </w:t>
      </w:r>
      <w:r w:rsidRPr="00686F93">
        <w:rPr>
          <w:rFonts w:eastAsia="Times New Roman" w:cs="Times New Roman"/>
          <w:b/>
          <w:i/>
          <w:sz w:val="20"/>
          <w:szCs w:val="20"/>
          <w:lang w:eastAsia="lv-LV"/>
        </w:rPr>
        <w:t>gada pārskats</w:t>
      </w:r>
    </w:p>
    <w:p w14:paraId="060EF954" w14:textId="77777777" w:rsidR="00686F93" w:rsidRPr="00D07266" w:rsidRDefault="00686F93" w:rsidP="00D07266">
      <w:pPr>
        <w:jc w:val="both"/>
        <w:rPr>
          <w:rFonts w:eastAsia="Times New Roman" w:cs="Times New Roman"/>
          <w:szCs w:val="24"/>
          <w:lang w:eastAsia="lv-LV"/>
        </w:rPr>
      </w:pPr>
    </w:p>
    <w:p w14:paraId="077FC54A" w14:textId="77777777" w:rsidR="00D07266" w:rsidRPr="00C931D0" w:rsidRDefault="00D07266" w:rsidP="00D07266">
      <w:pPr>
        <w:ind w:firstLine="720"/>
        <w:jc w:val="both"/>
        <w:rPr>
          <w:rFonts w:cs="Times New Roman"/>
          <w:szCs w:val="24"/>
        </w:rPr>
      </w:pPr>
      <w:r w:rsidRPr="003F3E8D">
        <w:rPr>
          <w:rFonts w:cs="Times New Roman"/>
          <w:szCs w:val="24"/>
        </w:rPr>
        <w:t>Eiropas Stabilitātes mehānisma</w:t>
      </w:r>
      <w:r w:rsidRPr="00C931D0">
        <w:rPr>
          <w:rFonts w:cs="Times New Roman"/>
          <w:szCs w:val="24"/>
        </w:rPr>
        <w:t xml:space="preserve"> </w:t>
      </w:r>
      <w:r w:rsidRPr="00D07266">
        <w:rPr>
          <w:rFonts w:cs="Times New Roman"/>
          <w:b/>
          <w:szCs w:val="24"/>
        </w:rPr>
        <w:t>aktīvu pārvaldības un finanšu strukturēšanas</w:t>
      </w:r>
      <w:r w:rsidRPr="00C931D0">
        <w:rPr>
          <w:rFonts w:cs="Times New Roman"/>
          <w:szCs w:val="24"/>
        </w:rPr>
        <w:t xml:space="preserve"> aktivitātes </w:t>
      </w:r>
      <w:r>
        <w:rPr>
          <w:rFonts w:cs="Times New Roman"/>
          <w:szCs w:val="24"/>
        </w:rPr>
        <w:t xml:space="preserve">2020. gadā lielākoties </w:t>
      </w:r>
      <w:r w:rsidRPr="00C931D0">
        <w:rPr>
          <w:rFonts w:cs="Times New Roman"/>
          <w:szCs w:val="24"/>
        </w:rPr>
        <w:t xml:space="preserve">bija saistītas ar </w:t>
      </w:r>
      <w:r w:rsidRPr="003F3E8D">
        <w:rPr>
          <w:rFonts w:cs="Times New Roman"/>
          <w:szCs w:val="24"/>
        </w:rPr>
        <w:t>Eiropas Stabilitātes mehānisma</w:t>
      </w:r>
      <w:r w:rsidRPr="00C931D0">
        <w:rPr>
          <w:rFonts w:cs="Times New Roman"/>
          <w:szCs w:val="24"/>
        </w:rPr>
        <w:t xml:space="preserve"> Pandēmiskās krīz</w:t>
      </w:r>
      <w:r>
        <w:rPr>
          <w:rFonts w:cs="Times New Roman"/>
          <w:szCs w:val="24"/>
        </w:rPr>
        <w:t>es atbalsta instrumenta izveidi</w:t>
      </w:r>
      <w:r w:rsidRPr="00C931D0">
        <w:rPr>
          <w:rFonts w:cs="Times New Roman"/>
          <w:szCs w:val="24"/>
        </w:rPr>
        <w:t xml:space="preserve">. Papildus šīm aktivitātēm </w:t>
      </w:r>
      <w:r w:rsidR="00EE43F2">
        <w:rPr>
          <w:rFonts w:cs="Times New Roman"/>
          <w:szCs w:val="24"/>
        </w:rPr>
        <w:t>tika pārraudzīta</w:t>
      </w:r>
      <w:r w:rsidRPr="00C931D0">
        <w:rPr>
          <w:rFonts w:cs="Times New Roman"/>
          <w:szCs w:val="24"/>
        </w:rPr>
        <w:t xml:space="preserve"> </w:t>
      </w:r>
      <w:r w:rsidRPr="003F3E8D">
        <w:rPr>
          <w:rFonts w:cs="Times New Roman"/>
          <w:szCs w:val="24"/>
        </w:rPr>
        <w:t xml:space="preserve">Eiropas </w:t>
      </w:r>
      <w:r w:rsidRPr="003F3E8D">
        <w:rPr>
          <w:rFonts w:cs="Times New Roman"/>
          <w:szCs w:val="24"/>
        </w:rPr>
        <w:lastRenderedPageBreak/>
        <w:t>Stabilitātes mehānisma</w:t>
      </w:r>
      <w:r w:rsidR="00EE43F2">
        <w:rPr>
          <w:rFonts w:cs="Times New Roman"/>
          <w:szCs w:val="24"/>
        </w:rPr>
        <w:t xml:space="preserve"> bilance,</w:t>
      </w:r>
      <w:r w:rsidRPr="00C931D0">
        <w:rPr>
          <w:rFonts w:cs="Times New Roman"/>
          <w:szCs w:val="24"/>
        </w:rPr>
        <w:t xml:space="preserve"> analizējot likviditātes, valūtas un procentu likmju riskus, kā a</w:t>
      </w:r>
      <w:r w:rsidR="00EE43F2">
        <w:rPr>
          <w:rFonts w:cs="Times New Roman"/>
          <w:szCs w:val="24"/>
        </w:rPr>
        <w:t>rī turpināts darbs pie aizņēmumu</w:t>
      </w:r>
      <w:r w:rsidRPr="00C931D0">
        <w:rPr>
          <w:rFonts w:cs="Times New Roman"/>
          <w:szCs w:val="24"/>
        </w:rPr>
        <w:t xml:space="preserve"> portfeļa analīzes, lai prognozētu parāda procentlikmju izmaksas.</w:t>
      </w:r>
    </w:p>
    <w:p w14:paraId="4BC05D15" w14:textId="77777777" w:rsidR="00D07266" w:rsidRPr="00D07266" w:rsidRDefault="00D07266" w:rsidP="00D07266">
      <w:pPr>
        <w:ind w:firstLine="720"/>
        <w:jc w:val="both"/>
        <w:rPr>
          <w:rFonts w:cs="Times New Roman"/>
          <w:szCs w:val="24"/>
        </w:rPr>
      </w:pPr>
      <w:r w:rsidRPr="003F3E8D">
        <w:rPr>
          <w:rFonts w:cs="Times New Roman"/>
          <w:szCs w:val="24"/>
        </w:rPr>
        <w:t>Eiropas Stabilitātes mehānisma</w:t>
      </w:r>
      <w:r w:rsidRPr="00C931D0">
        <w:rPr>
          <w:rFonts w:cs="Times New Roman"/>
          <w:szCs w:val="24"/>
        </w:rPr>
        <w:t xml:space="preserve"> </w:t>
      </w:r>
      <w:r w:rsidRPr="00D07266">
        <w:rPr>
          <w:rFonts w:cs="Times New Roman"/>
          <w:b/>
          <w:szCs w:val="24"/>
        </w:rPr>
        <w:t>aizdošanas aktivitātes</w:t>
      </w:r>
      <w:r w:rsidRPr="00C931D0">
        <w:rPr>
          <w:rFonts w:cs="Times New Roman"/>
          <w:szCs w:val="24"/>
        </w:rPr>
        <w:t xml:space="preserve"> 2020. gadā koncentrējās uz Pandēmiskās krīzes atbalsta mehānisma sagatavošanu darbībai, kā arī iespējamai Vienotā noregulējuma fonda kopīgā atbalsta instrumenta ātrāka</w:t>
      </w:r>
      <w:r w:rsidR="00675597">
        <w:rPr>
          <w:rFonts w:cs="Times New Roman"/>
          <w:szCs w:val="24"/>
        </w:rPr>
        <w:t xml:space="preserve">i ieviešanai. </w:t>
      </w:r>
      <w:r w:rsidR="00675597" w:rsidRPr="00330BF4">
        <w:rPr>
          <w:rFonts w:cs="Times New Roman"/>
          <w:szCs w:val="24"/>
        </w:rPr>
        <w:t xml:space="preserve">Tāpat </w:t>
      </w:r>
      <w:r w:rsidR="00330BF4" w:rsidRPr="00330BF4">
        <w:rPr>
          <w:rFonts w:cs="Times New Roman"/>
          <w:szCs w:val="24"/>
        </w:rPr>
        <w:t xml:space="preserve">Eiropas Stabilitātes mehānisms šogad intensīvi </w:t>
      </w:r>
      <w:r w:rsidRPr="00330BF4">
        <w:rPr>
          <w:rFonts w:cs="Times New Roman"/>
          <w:szCs w:val="24"/>
        </w:rPr>
        <w:t>strādāja pie operacionālo darbību uzlabošanas.</w:t>
      </w:r>
    </w:p>
    <w:p w14:paraId="089A049B" w14:textId="2E088713" w:rsidR="00A35F55" w:rsidRDefault="00D07266" w:rsidP="00D07266">
      <w:pPr>
        <w:ind w:firstLine="720"/>
        <w:jc w:val="both"/>
        <w:rPr>
          <w:rFonts w:eastAsia="Times New Roman" w:cs="Times New Roman"/>
          <w:szCs w:val="24"/>
          <w:lang w:eastAsia="lv-LV"/>
        </w:rPr>
      </w:pPr>
      <w:r w:rsidRPr="00A35F55">
        <w:rPr>
          <w:rFonts w:eastAsia="Times New Roman" w:cs="Times New Roman"/>
          <w:b/>
          <w:szCs w:val="24"/>
          <w:lang w:eastAsia="lv-LV"/>
        </w:rPr>
        <w:t>Finansēšanas un investoru</w:t>
      </w:r>
      <w:r w:rsidR="00A13591" w:rsidRPr="00A35F55">
        <w:rPr>
          <w:rFonts w:eastAsia="Times New Roman" w:cs="Times New Roman"/>
          <w:szCs w:val="24"/>
          <w:lang w:eastAsia="lv-LV"/>
        </w:rPr>
        <w:t xml:space="preserve"> attiecību jomā </w:t>
      </w:r>
      <w:r w:rsidRPr="00A35F55">
        <w:rPr>
          <w:rFonts w:eastAsia="Times New Roman" w:cs="Times New Roman"/>
          <w:szCs w:val="24"/>
          <w:lang w:eastAsia="lv-LV"/>
        </w:rPr>
        <w:t xml:space="preserve">ikgadējais </w:t>
      </w:r>
      <w:r w:rsidRPr="00A35F55">
        <w:rPr>
          <w:rFonts w:cs="Times New Roman"/>
          <w:szCs w:val="24"/>
        </w:rPr>
        <w:t>Eiropas Stabilitātes mehānisma</w:t>
      </w:r>
      <w:r w:rsidR="00A41B74">
        <w:rPr>
          <w:rFonts w:cs="Times New Roman"/>
          <w:szCs w:val="24"/>
        </w:rPr>
        <w:t xml:space="preserve"> darbībai</w:t>
      </w:r>
      <w:r w:rsidR="00A13591" w:rsidRPr="00A35F55">
        <w:rPr>
          <w:rFonts w:eastAsia="Times New Roman" w:cs="Times New Roman"/>
          <w:szCs w:val="24"/>
          <w:lang w:eastAsia="lv-LV"/>
        </w:rPr>
        <w:t xml:space="preserve"> nepieciešam</w:t>
      </w:r>
      <w:r w:rsidR="00A41B74">
        <w:rPr>
          <w:rFonts w:eastAsia="Times New Roman" w:cs="Times New Roman"/>
          <w:szCs w:val="24"/>
          <w:lang w:eastAsia="lv-LV"/>
        </w:rPr>
        <w:t>ais</w:t>
      </w:r>
      <w:r w:rsidR="00A13591" w:rsidRPr="00A35F55">
        <w:rPr>
          <w:rFonts w:eastAsia="Times New Roman" w:cs="Times New Roman"/>
          <w:szCs w:val="24"/>
          <w:lang w:eastAsia="lv-LV"/>
        </w:rPr>
        <w:t xml:space="preserve"> finansējum</w:t>
      </w:r>
      <w:r w:rsidR="00A41B74">
        <w:rPr>
          <w:rFonts w:eastAsia="Times New Roman" w:cs="Times New Roman"/>
          <w:szCs w:val="24"/>
          <w:lang w:eastAsia="lv-LV"/>
        </w:rPr>
        <w:t>s</w:t>
      </w:r>
      <w:r w:rsidR="00A13591" w:rsidRPr="00A35F55">
        <w:rPr>
          <w:rFonts w:eastAsia="Times New Roman" w:cs="Times New Roman"/>
          <w:szCs w:val="24"/>
          <w:lang w:eastAsia="lv-LV"/>
        </w:rPr>
        <w:t xml:space="preserve"> </w:t>
      </w:r>
      <w:r w:rsidRPr="00A35F55">
        <w:rPr>
          <w:rFonts w:eastAsia="Times New Roman" w:cs="Times New Roman"/>
          <w:szCs w:val="24"/>
          <w:lang w:eastAsia="lv-LV"/>
        </w:rPr>
        <w:t xml:space="preserve">tika </w:t>
      </w:r>
      <w:r w:rsidR="00A41B74">
        <w:rPr>
          <w:rFonts w:eastAsia="Times New Roman" w:cs="Times New Roman"/>
          <w:szCs w:val="24"/>
          <w:lang w:eastAsia="lv-LV"/>
        </w:rPr>
        <w:t>nodrošināts</w:t>
      </w:r>
      <w:r w:rsidR="00A41B74" w:rsidRPr="00A35F55">
        <w:rPr>
          <w:rFonts w:eastAsia="Times New Roman" w:cs="Times New Roman"/>
          <w:szCs w:val="24"/>
          <w:lang w:eastAsia="lv-LV"/>
        </w:rPr>
        <w:t xml:space="preserve"> </w:t>
      </w:r>
      <w:r w:rsidRPr="00A35F55">
        <w:rPr>
          <w:rFonts w:eastAsia="Times New Roman" w:cs="Times New Roman"/>
          <w:szCs w:val="24"/>
          <w:lang w:eastAsia="lv-LV"/>
        </w:rPr>
        <w:t>2020. gada novembrī par spīti pandē</w:t>
      </w:r>
      <w:r w:rsidR="00A13591" w:rsidRPr="00A35F55">
        <w:rPr>
          <w:rFonts w:eastAsia="Times New Roman" w:cs="Times New Roman"/>
          <w:szCs w:val="24"/>
          <w:lang w:eastAsia="lv-LV"/>
        </w:rPr>
        <w:t xml:space="preserve">mijas radītajiem izaicinājumiem, kas izraisīja paaugstinātu Eiropas Savienības dalībvalstu </w:t>
      </w:r>
      <w:r w:rsidR="00A35F55" w:rsidRPr="00A35F55">
        <w:rPr>
          <w:rFonts w:eastAsia="Times New Roman" w:cs="Times New Roman"/>
          <w:szCs w:val="24"/>
          <w:lang w:eastAsia="lv-LV"/>
        </w:rPr>
        <w:t>aizņemšanos starptautiskajos tirgos.</w:t>
      </w:r>
      <w:r w:rsidRPr="00A35F55">
        <w:rPr>
          <w:rFonts w:eastAsia="Times New Roman" w:cs="Times New Roman"/>
          <w:szCs w:val="24"/>
          <w:lang w:eastAsia="lv-LV"/>
        </w:rPr>
        <w:t xml:space="preserve"> </w:t>
      </w:r>
    </w:p>
    <w:p w14:paraId="2DBFC71F" w14:textId="01D283E4" w:rsidR="00D07266" w:rsidRPr="00D07266" w:rsidRDefault="00D07266" w:rsidP="00D07266">
      <w:pPr>
        <w:ind w:firstLine="720"/>
        <w:jc w:val="both"/>
        <w:rPr>
          <w:rFonts w:eastAsia="Times New Roman" w:cs="Times New Roman"/>
          <w:szCs w:val="24"/>
          <w:lang w:eastAsia="lv-LV"/>
        </w:rPr>
      </w:pPr>
      <w:r w:rsidRPr="00A35F55">
        <w:rPr>
          <w:rFonts w:eastAsia="Times New Roman" w:cs="Times New Roman"/>
          <w:szCs w:val="24"/>
          <w:lang w:eastAsia="lv-LV"/>
        </w:rPr>
        <w:t xml:space="preserve">2020. gadā </w:t>
      </w:r>
      <w:r w:rsidR="00A35F55">
        <w:rPr>
          <w:rFonts w:eastAsia="Times New Roman" w:cs="Times New Roman"/>
          <w:szCs w:val="24"/>
          <w:lang w:eastAsia="lv-LV"/>
        </w:rPr>
        <w:t xml:space="preserve">Eiropas Stabilitātes mehānisms izveidoja sociālo vērtspapīru (angļu val. - </w:t>
      </w:r>
      <w:proofErr w:type="spellStart"/>
      <w:r w:rsidR="00A35F55" w:rsidRPr="00A35F55">
        <w:rPr>
          <w:rFonts w:eastAsia="Times New Roman" w:cs="Times New Roman"/>
          <w:i/>
          <w:szCs w:val="24"/>
          <w:lang w:eastAsia="lv-LV"/>
        </w:rPr>
        <w:t>social</w:t>
      </w:r>
      <w:proofErr w:type="spellEnd"/>
      <w:r w:rsidR="00A35F55" w:rsidRPr="00A35F55">
        <w:rPr>
          <w:rFonts w:eastAsia="Times New Roman" w:cs="Times New Roman"/>
          <w:i/>
          <w:szCs w:val="24"/>
          <w:lang w:eastAsia="lv-LV"/>
        </w:rPr>
        <w:t xml:space="preserve"> </w:t>
      </w:r>
      <w:proofErr w:type="spellStart"/>
      <w:r w:rsidR="00A35F55" w:rsidRPr="00A35F55">
        <w:rPr>
          <w:rFonts w:eastAsia="Times New Roman" w:cs="Times New Roman"/>
          <w:i/>
          <w:szCs w:val="24"/>
          <w:lang w:eastAsia="lv-LV"/>
        </w:rPr>
        <w:t>bonds</w:t>
      </w:r>
      <w:proofErr w:type="spellEnd"/>
      <w:r w:rsidR="00A35F55">
        <w:rPr>
          <w:rFonts w:eastAsia="Times New Roman" w:cs="Times New Roman"/>
          <w:szCs w:val="24"/>
          <w:lang w:eastAsia="lv-LV"/>
        </w:rPr>
        <w:t>) ietvaru</w:t>
      </w:r>
      <w:r w:rsidRPr="00A35F55">
        <w:rPr>
          <w:rFonts w:eastAsia="Times New Roman" w:cs="Times New Roman"/>
          <w:szCs w:val="24"/>
          <w:lang w:eastAsia="lv-LV"/>
        </w:rPr>
        <w:t>, ko paredzēts izmantot Pandēmiskās krīzes atba</w:t>
      </w:r>
      <w:r w:rsidR="00675597" w:rsidRPr="00A35F55">
        <w:rPr>
          <w:rFonts w:eastAsia="Times New Roman" w:cs="Times New Roman"/>
          <w:szCs w:val="24"/>
          <w:lang w:eastAsia="lv-LV"/>
        </w:rPr>
        <w:t>lsta instrumenta ietvaros.</w:t>
      </w:r>
      <w:r w:rsidR="00A35F55">
        <w:rPr>
          <w:rFonts w:eastAsia="Times New Roman" w:cs="Times New Roman"/>
          <w:szCs w:val="24"/>
          <w:lang w:eastAsia="lv-LV"/>
        </w:rPr>
        <w:t xml:space="preserve"> Sociālie vērtspapīri ir vērtspapīri, kuru</w:t>
      </w:r>
      <w:r w:rsidR="004D53B3">
        <w:rPr>
          <w:rFonts w:eastAsia="Times New Roman" w:cs="Times New Roman"/>
          <w:szCs w:val="24"/>
          <w:lang w:eastAsia="lv-LV"/>
        </w:rPr>
        <w:t xml:space="preserve"> izdošanas mērķis ir iegūt finansējumu ilgtspējīgām  un sociāli atbildīgām aktivitātēm.</w:t>
      </w:r>
    </w:p>
    <w:p w14:paraId="3146B798" w14:textId="5C4D65E9" w:rsidR="00D07266" w:rsidRPr="00D07266" w:rsidRDefault="00D07266" w:rsidP="00D07266">
      <w:pPr>
        <w:ind w:firstLine="720"/>
        <w:jc w:val="both"/>
        <w:rPr>
          <w:rFonts w:eastAsia="Times New Roman" w:cs="Times New Roman"/>
          <w:szCs w:val="24"/>
          <w:lang w:eastAsia="lv-LV"/>
        </w:rPr>
      </w:pPr>
      <w:r w:rsidRPr="00D07266">
        <w:rPr>
          <w:rFonts w:eastAsia="Times New Roman" w:cs="Times New Roman"/>
          <w:b/>
          <w:szCs w:val="24"/>
          <w:lang w:eastAsia="lv-LV"/>
        </w:rPr>
        <w:t>Risku pārvaldības</w:t>
      </w:r>
      <w:r w:rsidRPr="00D07266">
        <w:rPr>
          <w:rFonts w:eastAsia="Times New Roman" w:cs="Times New Roman"/>
          <w:szCs w:val="24"/>
          <w:lang w:eastAsia="lv-LV"/>
        </w:rPr>
        <w:t xml:space="preserve"> aktivitātes tika virzītas tā, lai nodrošinātu, ka pienācīgi tiek novērtēti riski, kas saistīti ar pandēmiju, kā arī Lielbritānijas izstāšanos no Eiropas Savienības. </w:t>
      </w:r>
    </w:p>
    <w:p w14:paraId="00FE1911" w14:textId="77777777" w:rsidR="008F24BC" w:rsidRPr="00D07266" w:rsidRDefault="00D07266" w:rsidP="00D07266">
      <w:pPr>
        <w:ind w:firstLine="720"/>
        <w:jc w:val="both"/>
        <w:rPr>
          <w:rFonts w:eastAsia="Times New Roman" w:cs="Times New Roman"/>
          <w:szCs w:val="24"/>
          <w:lang w:eastAsia="lv-LV"/>
        </w:rPr>
      </w:pPr>
      <w:r w:rsidRPr="00D07266">
        <w:rPr>
          <w:rFonts w:eastAsia="Times New Roman" w:cs="Times New Roman"/>
          <w:b/>
          <w:szCs w:val="24"/>
          <w:lang w:eastAsia="lv-LV"/>
        </w:rPr>
        <w:t>Sociāli atbildīgas pārvaldības</w:t>
      </w:r>
      <w:r w:rsidRPr="00D07266">
        <w:rPr>
          <w:rFonts w:eastAsia="Times New Roman" w:cs="Times New Roman"/>
          <w:szCs w:val="24"/>
          <w:lang w:eastAsia="lv-LV"/>
        </w:rPr>
        <w:t xml:space="preserve"> aktivitāšu jomā </w:t>
      </w:r>
      <w:r w:rsidR="00675597">
        <w:rPr>
          <w:rFonts w:cs="Times New Roman"/>
          <w:szCs w:val="24"/>
        </w:rPr>
        <w:t>Eiropas Stabilitātes mehānisms</w:t>
      </w:r>
      <w:r w:rsidRPr="00D07266">
        <w:rPr>
          <w:rFonts w:eastAsia="Times New Roman" w:cs="Times New Roman"/>
          <w:szCs w:val="24"/>
          <w:lang w:eastAsia="lv-LV"/>
        </w:rPr>
        <w:t xml:space="preserve"> apņēmās ievērot Apvienoto Nāciju organizācijas atbildīgu ieguldījumu principus, publicēja otro ietekmes</w:t>
      </w:r>
      <w:r w:rsidR="00EE43F2">
        <w:rPr>
          <w:rFonts w:eastAsia="Times New Roman" w:cs="Times New Roman"/>
          <w:szCs w:val="24"/>
          <w:lang w:eastAsia="lv-LV"/>
        </w:rPr>
        <w:t xml:space="preserve"> uz vidi</w:t>
      </w:r>
      <w:r w:rsidRPr="00D07266">
        <w:rPr>
          <w:rFonts w:eastAsia="Times New Roman" w:cs="Times New Roman"/>
          <w:szCs w:val="24"/>
          <w:lang w:eastAsia="lv-LV"/>
        </w:rPr>
        <w:t xml:space="preserve"> ziņojumu, kā arī veica citas aktivitātes, kas mazināja kaitējumu apkārtējai videi.</w:t>
      </w:r>
    </w:p>
    <w:p w14:paraId="2F14424C" w14:textId="77777777" w:rsidR="00DD6F72" w:rsidRPr="00DD6F72" w:rsidRDefault="00DD6F72" w:rsidP="00A956E7">
      <w:pPr>
        <w:jc w:val="both"/>
        <w:rPr>
          <w:rFonts w:eastAsia="Calibri" w:cs="Times New Roman"/>
          <w:kern w:val="24"/>
          <w:szCs w:val="24"/>
        </w:rPr>
      </w:pPr>
    </w:p>
    <w:p w14:paraId="37401C07" w14:textId="77777777" w:rsidR="005266B8" w:rsidRDefault="00C80BB1" w:rsidP="003F3E8D">
      <w:pPr>
        <w:pStyle w:val="ListParagraph"/>
        <w:numPr>
          <w:ilvl w:val="0"/>
          <w:numId w:val="22"/>
        </w:numPr>
        <w:ind w:left="426"/>
        <w:contextualSpacing w:val="0"/>
        <w:jc w:val="center"/>
        <w:rPr>
          <w:rFonts w:cs="Times New Roman"/>
          <w:b/>
          <w:szCs w:val="24"/>
        </w:rPr>
      </w:pPr>
      <w:r w:rsidRPr="00A773A6">
        <w:rPr>
          <w:rFonts w:cs="Times New Roman"/>
          <w:b/>
          <w:szCs w:val="24"/>
        </w:rPr>
        <w:t>G</w:t>
      </w:r>
      <w:r w:rsidR="00FF6896" w:rsidRPr="00A773A6">
        <w:rPr>
          <w:rFonts w:cs="Times New Roman"/>
          <w:b/>
          <w:szCs w:val="24"/>
        </w:rPr>
        <w:t xml:space="preserve">alvenie </w:t>
      </w:r>
      <w:r w:rsidRPr="00A773A6">
        <w:rPr>
          <w:rFonts w:cs="Times New Roman"/>
          <w:b/>
          <w:szCs w:val="24"/>
        </w:rPr>
        <w:t xml:space="preserve">ESM </w:t>
      </w:r>
      <w:r w:rsidR="00102197" w:rsidRPr="00A773A6">
        <w:rPr>
          <w:rFonts w:cs="Times New Roman"/>
          <w:b/>
          <w:szCs w:val="24"/>
        </w:rPr>
        <w:t>finanšu darbības rezultāti</w:t>
      </w:r>
      <w:r w:rsidR="003F3E8D">
        <w:rPr>
          <w:rFonts w:cs="Times New Roman"/>
          <w:b/>
          <w:szCs w:val="24"/>
        </w:rPr>
        <w:t xml:space="preserve"> 2020</w:t>
      </w:r>
      <w:r w:rsidRPr="00A773A6">
        <w:rPr>
          <w:rFonts w:cs="Times New Roman"/>
          <w:b/>
          <w:szCs w:val="24"/>
        </w:rPr>
        <w:t>.</w:t>
      </w:r>
      <w:r w:rsidR="003F3E8D">
        <w:rPr>
          <w:rFonts w:cs="Times New Roman"/>
          <w:b/>
          <w:szCs w:val="24"/>
        </w:rPr>
        <w:t xml:space="preserve"> </w:t>
      </w:r>
      <w:r w:rsidRPr="00A773A6">
        <w:rPr>
          <w:rFonts w:cs="Times New Roman"/>
          <w:b/>
          <w:szCs w:val="24"/>
        </w:rPr>
        <w:t>gadā</w:t>
      </w:r>
    </w:p>
    <w:p w14:paraId="31800349" w14:textId="77777777" w:rsidR="00DD6F72" w:rsidRPr="00A773A6" w:rsidRDefault="00DD6F72" w:rsidP="00DD6F72">
      <w:pPr>
        <w:pStyle w:val="ListParagraph"/>
        <w:ind w:left="1440"/>
        <w:contextualSpacing w:val="0"/>
        <w:rPr>
          <w:rFonts w:cs="Times New Roman"/>
          <w:b/>
          <w:szCs w:val="24"/>
        </w:rPr>
      </w:pPr>
    </w:p>
    <w:p w14:paraId="34C7E1FA" w14:textId="77777777" w:rsidR="00A80CA0" w:rsidRDefault="009A2DBE" w:rsidP="00BA5147">
      <w:pPr>
        <w:ind w:firstLine="694"/>
        <w:jc w:val="both"/>
        <w:rPr>
          <w:rFonts w:cs="Times New Roman"/>
          <w:szCs w:val="24"/>
          <w:lang w:eastAsia="lv-LV"/>
        </w:rPr>
      </w:pPr>
      <w:r>
        <w:rPr>
          <w:rFonts w:cs="Times New Roman"/>
          <w:szCs w:val="24"/>
          <w:lang w:eastAsia="lv-LV"/>
        </w:rPr>
        <w:t xml:space="preserve">2020. gada beigās </w:t>
      </w:r>
      <w:r w:rsidRPr="003F3E8D">
        <w:rPr>
          <w:rFonts w:cs="Times New Roman"/>
          <w:szCs w:val="24"/>
        </w:rPr>
        <w:t xml:space="preserve">Eiropas Stabilitātes </w:t>
      </w:r>
      <w:r>
        <w:rPr>
          <w:rFonts w:cs="Times New Roman"/>
          <w:szCs w:val="24"/>
        </w:rPr>
        <w:t>mehānisma</w:t>
      </w:r>
      <w:r>
        <w:rPr>
          <w:rFonts w:cs="Times New Roman"/>
          <w:szCs w:val="24"/>
          <w:lang w:eastAsia="lv-LV"/>
        </w:rPr>
        <w:t xml:space="preserve"> </w:t>
      </w:r>
      <w:r w:rsidRPr="00D07266">
        <w:rPr>
          <w:rFonts w:cs="Times New Roman"/>
          <w:b/>
          <w:szCs w:val="24"/>
          <w:lang w:eastAsia="lv-LV"/>
        </w:rPr>
        <w:t>bilance</w:t>
      </w:r>
      <w:r w:rsidR="00D07266">
        <w:rPr>
          <w:rFonts w:cs="Times New Roman"/>
          <w:szCs w:val="24"/>
          <w:lang w:eastAsia="lv-LV"/>
        </w:rPr>
        <w:t xml:space="preserve"> bija</w:t>
      </w:r>
      <w:r>
        <w:rPr>
          <w:rFonts w:cs="Times New Roman"/>
          <w:szCs w:val="24"/>
          <w:lang w:eastAsia="lv-LV"/>
        </w:rPr>
        <w:t xml:space="preserve"> 828,6 mljrd. </w:t>
      </w:r>
      <w:r w:rsidRPr="003D17E4">
        <w:rPr>
          <w:rFonts w:cs="Times New Roman"/>
          <w:i/>
          <w:szCs w:val="24"/>
          <w:lang w:eastAsia="lv-LV"/>
        </w:rPr>
        <w:t>euro</w:t>
      </w:r>
      <w:r>
        <w:rPr>
          <w:rFonts w:cs="Times New Roman"/>
          <w:i/>
          <w:szCs w:val="24"/>
          <w:lang w:eastAsia="lv-LV"/>
        </w:rPr>
        <w:t>,</w:t>
      </w:r>
      <w:r>
        <w:rPr>
          <w:rFonts w:cs="Times New Roman"/>
          <w:szCs w:val="24"/>
          <w:lang w:eastAsia="lv-LV"/>
        </w:rPr>
        <w:t xml:space="preserve"> kas ir par 8,6 mljrd. vairāk kā 2019. gada beigās.</w:t>
      </w:r>
      <w:r w:rsidR="00D07266">
        <w:rPr>
          <w:rFonts w:cs="Times New Roman"/>
          <w:szCs w:val="24"/>
          <w:lang w:eastAsia="lv-LV"/>
        </w:rPr>
        <w:t xml:space="preserve"> </w:t>
      </w:r>
      <w:r w:rsidR="00B9701B">
        <w:rPr>
          <w:rFonts w:cs="Times New Roman"/>
          <w:szCs w:val="24"/>
          <w:lang w:eastAsia="lv-LV"/>
        </w:rPr>
        <w:t>Eiropas Stabilitātes mehānisma i</w:t>
      </w:r>
      <w:r w:rsidR="006144BF">
        <w:rPr>
          <w:rFonts w:cs="Times New Roman"/>
          <w:szCs w:val="24"/>
          <w:lang w:eastAsia="lv-LV"/>
        </w:rPr>
        <w:t xml:space="preserve">emaksātais </w:t>
      </w:r>
      <w:r w:rsidR="00B9701B">
        <w:rPr>
          <w:rFonts w:cs="Times New Roman"/>
          <w:szCs w:val="24"/>
          <w:lang w:eastAsia="lv-LV"/>
        </w:rPr>
        <w:t>kapitāls uz 2020. gada beigām bija</w:t>
      </w:r>
      <w:r w:rsidR="006144BF">
        <w:rPr>
          <w:rFonts w:cs="Times New Roman"/>
          <w:szCs w:val="24"/>
          <w:lang w:eastAsia="lv-LV"/>
        </w:rPr>
        <w:t xml:space="preserve"> </w:t>
      </w:r>
      <w:r w:rsidR="00D07266">
        <w:rPr>
          <w:rFonts w:cs="Times New Roman"/>
          <w:szCs w:val="24"/>
          <w:lang w:eastAsia="lv-LV"/>
        </w:rPr>
        <w:t>80,5 mljrd.</w:t>
      </w:r>
      <w:r w:rsidR="006144BF">
        <w:rPr>
          <w:rFonts w:cs="Times New Roman"/>
          <w:szCs w:val="24"/>
          <w:lang w:eastAsia="lv-LV"/>
        </w:rPr>
        <w:t xml:space="preserve"> </w:t>
      </w:r>
      <w:r w:rsidR="006144BF" w:rsidRPr="006144BF">
        <w:rPr>
          <w:rFonts w:cs="Times New Roman"/>
          <w:i/>
          <w:szCs w:val="24"/>
          <w:lang w:eastAsia="lv-LV"/>
        </w:rPr>
        <w:t>euro</w:t>
      </w:r>
      <w:r w:rsidR="00B9701B">
        <w:rPr>
          <w:rFonts w:cs="Times New Roman"/>
          <w:szCs w:val="24"/>
          <w:lang w:eastAsia="lv-LV"/>
        </w:rPr>
        <w:t>, un tas tika</w:t>
      </w:r>
      <w:r w:rsidR="006144BF">
        <w:rPr>
          <w:rFonts w:cs="Times New Roman"/>
          <w:szCs w:val="24"/>
          <w:lang w:eastAsia="lv-LV"/>
        </w:rPr>
        <w:t xml:space="preserve"> ieguldīts parāda vērtspapīros vai uzglabāts naudā un tās ekvivalentos</w:t>
      </w:r>
      <w:r w:rsidR="00B9701B">
        <w:rPr>
          <w:rFonts w:cs="Times New Roman"/>
          <w:szCs w:val="24"/>
          <w:lang w:eastAsia="lv-LV"/>
        </w:rPr>
        <w:t xml:space="preserve">. </w:t>
      </w:r>
      <w:r>
        <w:rPr>
          <w:rFonts w:cs="Times New Roman"/>
          <w:szCs w:val="24"/>
          <w:lang w:eastAsia="lv-LV"/>
        </w:rPr>
        <w:t xml:space="preserve">Ieguldījumi vērtspapīros salīdzinot ar iepriekšējo gadu pieauga par 10,7 mljrd. </w:t>
      </w:r>
      <w:r w:rsidRPr="006D325E">
        <w:rPr>
          <w:rFonts w:cs="Times New Roman"/>
          <w:i/>
          <w:szCs w:val="24"/>
          <w:lang w:eastAsia="lv-LV"/>
        </w:rPr>
        <w:t>euro</w:t>
      </w:r>
      <w:r>
        <w:rPr>
          <w:rFonts w:cs="Times New Roman"/>
          <w:szCs w:val="24"/>
          <w:lang w:eastAsia="lv-LV"/>
        </w:rPr>
        <w:t xml:space="preserve">. </w:t>
      </w:r>
    </w:p>
    <w:p w14:paraId="14AA8EFE" w14:textId="34C4B7C9" w:rsidR="00EB363C" w:rsidRDefault="009A2DBE" w:rsidP="00BA5147">
      <w:pPr>
        <w:ind w:firstLine="694"/>
        <w:jc w:val="both"/>
        <w:rPr>
          <w:rFonts w:cs="Times New Roman"/>
          <w:szCs w:val="24"/>
          <w:lang w:eastAsia="lv-LV"/>
        </w:rPr>
      </w:pPr>
      <w:r>
        <w:rPr>
          <w:rFonts w:cs="Times New Roman"/>
          <w:szCs w:val="24"/>
          <w:lang w:eastAsia="lv-LV"/>
        </w:rPr>
        <w:t xml:space="preserve">Uz </w:t>
      </w:r>
      <w:r w:rsidR="00A80CA0">
        <w:rPr>
          <w:rFonts w:cs="Times New Roman"/>
          <w:szCs w:val="24"/>
          <w:lang w:eastAsia="lv-LV"/>
        </w:rPr>
        <w:t xml:space="preserve">2020. </w:t>
      </w:r>
      <w:r>
        <w:rPr>
          <w:rFonts w:cs="Times New Roman"/>
          <w:szCs w:val="24"/>
          <w:lang w:eastAsia="lv-LV"/>
        </w:rPr>
        <w:t xml:space="preserve">gada beigām ir palielinājusies </w:t>
      </w:r>
      <w:r w:rsidR="00A80CA0">
        <w:rPr>
          <w:rFonts w:cs="Times New Roman"/>
          <w:szCs w:val="24"/>
          <w:lang w:eastAsia="lv-LV"/>
        </w:rPr>
        <w:t xml:space="preserve">Eiropas Stabilitātes mehānisma </w:t>
      </w:r>
      <w:r>
        <w:rPr>
          <w:rFonts w:cs="Times New Roman"/>
          <w:szCs w:val="24"/>
          <w:lang w:eastAsia="lv-LV"/>
        </w:rPr>
        <w:t>patiesā</w:t>
      </w:r>
      <w:r w:rsidR="00EE43F2">
        <w:rPr>
          <w:rFonts w:cs="Times New Roman"/>
          <w:szCs w:val="24"/>
          <w:lang w:eastAsia="lv-LV"/>
        </w:rPr>
        <w:t>s vērtības rezerve</w:t>
      </w:r>
      <w:r w:rsidR="00EB363C">
        <w:rPr>
          <w:rFonts w:cs="Times New Roman"/>
          <w:szCs w:val="24"/>
          <w:lang w:eastAsia="lv-LV"/>
        </w:rPr>
        <w:t>, kas 2020. gadā sasniedza</w:t>
      </w:r>
      <w:r w:rsidR="00EE43F2">
        <w:rPr>
          <w:rFonts w:cs="Times New Roman"/>
          <w:szCs w:val="24"/>
          <w:lang w:eastAsia="lv-LV"/>
        </w:rPr>
        <w:t xml:space="preserve"> 913,4 milj</w:t>
      </w:r>
      <w:r>
        <w:rPr>
          <w:rFonts w:cs="Times New Roman"/>
          <w:szCs w:val="24"/>
          <w:lang w:eastAsia="lv-LV"/>
        </w:rPr>
        <w:t>.</w:t>
      </w:r>
      <w:r w:rsidRPr="00C20F59">
        <w:rPr>
          <w:rFonts w:cs="Times New Roman"/>
          <w:i/>
          <w:szCs w:val="24"/>
          <w:lang w:eastAsia="lv-LV"/>
        </w:rPr>
        <w:t xml:space="preserve"> euro</w:t>
      </w:r>
      <w:r w:rsidR="00EE43F2">
        <w:rPr>
          <w:rFonts w:cs="Times New Roman"/>
          <w:szCs w:val="24"/>
          <w:lang w:eastAsia="lv-LV"/>
        </w:rPr>
        <w:t xml:space="preserve"> salīdzinot ar 442,4 milj</w:t>
      </w:r>
      <w:r>
        <w:rPr>
          <w:rFonts w:cs="Times New Roman"/>
          <w:szCs w:val="24"/>
          <w:lang w:eastAsia="lv-LV"/>
        </w:rPr>
        <w:t xml:space="preserve">. </w:t>
      </w:r>
      <w:r w:rsidRPr="00245B99">
        <w:rPr>
          <w:rFonts w:cs="Times New Roman"/>
          <w:i/>
          <w:szCs w:val="24"/>
          <w:lang w:eastAsia="lv-LV"/>
        </w:rPr>
        <w:t>euro</w:t>
      </w:r>
      <w:r w:rsidR="00EB363C">
        <w:rPr>
          <w:rFonts w:cs="Times New Roman"/>
          <w:szCs w:val="24"/>
          <w:lang w:eastAsia="lv-LV"/>
        </w:rPr>
        <w:t xml:space="preserve"> 2019. gadā.</w:t>
      </w:r>
      <w:r w:rsidR="00C8694C">
        <w:rPr>
          <w:rFonts w:cs="Times New Roman"/>
          <w:szCs w:val="24"/>
          <w:lang w:eastAsia="lv-LV"/>
        </w:rPr>
        <w:t xml:space="preserve"> </w:t>
      </w:r>
      <w:r w:rsidR="00C8694C" w:rsidRPr="00C8694C">
        <w:rPr>
          <w:rFonts w:cs="Times New Roman"/>
          <w:szCs w:val="24"/>
          <w:lang w:eastAsia="lv-LV"/>
        </w:rPr>
        <w:t>Patiesā vērtība ir summa, par kādu iespējams apmainīt aktīvu vai izpildīt saistības darījum</w:t>
      </w:r>
      <w:r w:rsidR="00C8694C">
        <w:rPr>
          <w:rFonts w:cs="Times New Roman"/>
          <w:szCs w:val="24"/>
          <w:lang w:eastAsia="lv-LV"/>
        </w:rPr>
        <w:t xml:space="preserve">ā, savukārt </w:t>
      </w:r>
      <w:r w:rsidR="00BA5147">
        <w:rPr>
          <w:rFonts w:cs="Times New Roman"/>
          <w:szCs w:val="24"/>
          <w:lang w:eastAsia="lv-LV"/>
        </w:rPr>
        <w:t xml:space="preserve">ar </w:t>
      </w:r>
      <w:r w:rsidR="00C8694C">
        <w:rPr>
          <w:rFonts w:cs="Times New Roman"/>
          <w:szCs w:val="24"/>
          <w:lang w:eastAsia="lv-LV"/>
        </w:rPr>
        <w:t>patiesās vērt</w:t>
      </w:r>
      <w:r w:rsidR="00BA5147">
        <w:rPr>
          <w:rFonts w:cs="Times New Roman"/>
          <w:szCs w:val="24"/>
          <w:lang w:eastAsia="lv-LV"/>
        </w:rPr>
        <w:t>ības rezervi tiek apzīmētas izmaiņas, kas radušās i</w:t>
      </w:r>
      <w:r w:rsidR="00BA5147" w:rsidRPr="00BA5147">
        <w:rPr>
          <w:rFonts w:cs="Times New Roman"/>
          <w:szCs w:val="24"/>
          <w:lang w:eastAsia="lv-LV"/>
        </w:rPr>
        <w:t xml:space="preserve">lgtermiņa ieguldījumu </w:t>
      </w:r>
      <w:r w:rsidR="00BA5147">
        <w:rPr>
          <w:rFonts w:cs="Times New Roman"/>
          <w:szCs w:val="24"/>
          <w:lang w:eastAsia="lv-LV"/>
        </w:rPr>
        <w:t xml:space="preserve">rezultātā. </w:t>
      </w:r>
      <w:r w:rsidR="00EB363C">
        <w:rPr>
          <w:rFonts w:cs="Times New Roman"/>
          <w:szCs w:val="24"/>
          <w:lang w:eastAsia="lv-LV"/>
        </w:rPr>
        <w:t xml:space="preserve">Eiropas Stabilitātes mehānisma patiesās rezerves pieaugums </w:t>
      </w:r>
      <w:r w:rsidR="00BA5147">
        <w:rPr>
          <w:rFonts w:cs="Times New Roman"/>
          <w:szCs w:val="24"/>
          <w:lang w:eastAsia="lv-LV"/>
        </w:rPr>
        <w:t>2020. gadā bija</w:t>
      </w:r>
      <w:r w:rsidR="00EB363C">
        <w:rPr>
          <w:rFonts w:cs="Times New Roman"/>
          <w:szCs w:val="24"/>
          <w:lang w:eastAsia="lv-LV"/>
        </w:rPr>
        <w:t xml:space="preserve"> </w:t>
      </w:r>
      <w:r w:rsidR="00BA5147">
        <w:rPr>
          <w:rFonts w:cs="Times New Roman"/>
          <w:szCs w:val="24"/>
          <w:lang w:eastAsia="lv-LV"/>
        </w:rPr>
        <w:t>saistīts ar procentlikmju izmaiņā</w:t>
      </w:r>
      <w:r w:rsidR="007803CB">
        <w:rPr>
          <w:rFonts w:cs="Times New Roman"/>
          <w:szCs w:val="24"/>
          <w:lang w:eastAsia="lv-LV"/>
        </w:rPr>
        <w:t>m</w:t>
      </w:r>
      <w:r>
        <w:rPr>
          <w:rFonts w:cs="Times New Roman"/>
          <w:szCs w:val="24"/>
          <w:lang w:eastAsia="lv-LV"/>
        </w:rPr>
        <w:t>, kas ietekmē</w:t>
      </w:r>
      <w:r w:rsidR="00BA5147">
        <w:rPr>
          <w:rFonts w:cs="Times New Roman"/>
          <w:szCs w:val="24"/>
          <w:lang w:eastAsia="lv-LV"/>
        </w:rPr>
        <w:t>ja</w:t>
      </w:r>
      <w:r>
        <w:rPr>
          <w:rFonts w:cs="Times New Roman"/>
          <w:szCs w:val="24"/>
          <w:lang w:eastAsia="lv-LV"/>
        </w:rPr>
        <w:t xml:space="preserve"> tirgus ienesīgumu.</w:t>
      </w:r>
      <w:r w:rsidR="00EB363C">
        <w:rPr>
          <w:rFonts w:cs="Times New Roman"/>
          <w:szCs w:val="24"/>
          <w:lang w:eastAsia="lv-LV"/>
        </w:rPr>
        <w:t xml:space="preserve"> Attiecīgi</w:t>
      </w:r>
      <w:r w:rsidR="0025522A">
        <w:rPr>
          <w:rFonts w:cs="Times New Roman"/>
          <w:szCs w:val="24"/>
          <w:lang w:eastAsia="lv-LV"/>
        </w:rPr>
        <w:t xml:space="preserve"> 2020. gadā </w:t>
      </w:r>
      <w:r w:rsidR="0025522A" w:rsidRPr="0025522A">
        <w:rPr>
          <w:rFonts w:cs="Times New Roman"/>
          <w:szCs w:val="24"/>
          <w:lang w:eastAsia="lv-LV"/>
        </w:rPr>
        <w:t>investīciju vērtspapīri</w:t>
      </w:r>
      <w:r w:rsidR="0025522A">
        <w:rPr>
          <w:rFonts w:cs="Times New Roman"/>
          <w:szCs w:val="24"/>
          <w:lang w:eastAsia="lv-LV"/>
        </w:rPr>
        <w:t xml:space="preserve">em bija augstāka tirgus vērtība kā 2019. gadā. </w:t>
      </w:r>
      <w:r w:rsidR="00D07266">
        <w:rPr>
          <w:rFonts w:cs="Times New Roman"/>
          <w:szCs w:val="24"/>
          <w:lang w:eastAsia="lv-LV"/>
        </w:rPr>
        <w:t xml:space="preserve"> </w:t>
      </w:r>
    </w:p>
    <w:p w14:paraId="170AD54C" w14:textId="5D45DC67" w:rsidR="009A2DBE" w:rsidRPr="009A2DBE" w:rsidRDefault="009A2DBE" w:rsidP="00D07266">
      <w:pPr>
        <w:ind w:firstLine="694"/>
        <w:jc w:val="both"/>
        <w:rPr>
          <w:rFonts w:cs="Times New Roman"/>
          <w:szCs w:val="24"/>
          <w:lang w:eastAsia="lv-LV"/>
        </w:rPr>
      </w:pPr>
      <w:r>
        <w:rPr>
          <w:rFonts w:cs="Times New Roman"/>
          <w:szCs w:val="24"/>
          <w:lang w:eastAsia="lv-LV"/>
        </w:rPr>
        <w:t xml:space="preserve">Saistību pusē </w:t>
      </w:r>
      <w:r w:rsidR="00421A83" w:rsidRPr="003F3E8D">
        <w:rPr>
          <w:rFonts w:cs="Times New Roman"/>
          <w:szCs w:val="24"/>
        </w:rPr>
        <w:t xml:space="preserve">Eiropas Stabilitātes </w:t>
      </w:r>
      <w:r w:rsidR="00421A83">
        <w:rPr>
          <w:rFonts w:cs="Times New Roman"/>
          <w:szCs w:val="24"/>
        </w:rPr>
        <w:t>mehānisma</w:t>
      </w:r>
      <w:r>
        <w:rPr>
          <w:rFonts w:cs="Times New Roman"/>
          <w:szCs w:val="24"/>
          <w:lang w:eastAsia="lv-LV"/>
        </w:rPr>
        <w:t xml:space="preserve"> emitēto parādu vērtspapīru kopsumma sasniedza 117,5 mljrd. </w:t>
      </w:r>
      <w:r w:rsidRPr="00CC0D59">
        <w:rPr>
          <w:rFonts w:cs="Times New Roman"/>
          <w:i/>
          <w:szCs w:val="24"/>
          <w:lang w:eastAsia="lv-LV"/>
        </w:rPr>
        <w:t>euro</w:t>
      </w:r>
      <w:r>
        <w:rPr>
          <w:rFonts w:cs="Times New Roman"/>
          <w:i/>
          <w:szCs w:val="24"/>
          <w:lang w:eastAsia="lv-LV"/>
        </w:rPr>
        <w:t xml:space="preserve">, </w:t>
      </w:r>
      <w:r>
        <w:rPr>
          <w:rFonts w:cs="Times New Roman"/>
          <w:szCs w:val="24"/>
          <w:lang w:eastAsia="lv-LV"/>
        </w:rPr>
        <w:t xml:space="preserve">salīdzinot ar 110,4 mljrd. </w:t>
      </w:r>
      <w:r w:rsidRPr="00CC0D59">
        <w:rPr>
          <w:rFonts w:cs="Times New Roman"/>
          <w:i/>
          <w:szCs w:val="24"/>
          <w:lang w:eastAsia="lv-LV"/>
        </w:rPr>
        <w:t>euro</w:t>
      </w:r>
      <w:r>
        <w:rPr>
          <w:rFonts w:cs="Times New Roman"/>
          <w:szCs w:val="24"/>
          <w:lang w:eastAsia="lv-LV"/>
        </w:rPr>
        <w:t xml:space="preserve"> 2019. gada beigās. Palielinājums galvenokārt ir radies sakarā ar jaunu vērtspapīru emitēšanu, kas bija nepieciešami, lai nodrošinātu </w:t>
      </w:r>
      <w:r w:rsidR="003B6D35">
        <w:rPr>
          <w:rFonts w:cs="Times New Roman"/>
          <w:szCs w:val="24"/>
          <w:lang w:eastAsia="lv-LV"/>
        </w:rPr>
        <w:t xml:space="preserve">finanšu segumu esošajiem finanšu instrumentiem un nodrošinātu </w:t>
      </w:r>
      <w:r>
        <w:rPr>
          <w:rFonts w:cs="Times New Roman"/>
          <w:szCs w:val="24"/>
          <w:lang w:eastAsia="lv-LV"/>
        </w:rPr>
        <w:t>emitēto vērtspapīru</w:t>
      </w:r>
      <w:r w:rsidR="00EE43F2">
        <w:rPr>
          <w:rFonts w:cs="Times New Roman"/>
          <w:szCs w:val="24"/>
          <w:lang w:eastAsia="lv-LV"/>
        </w:rPr>
        <w:t xml:space="preserve"> refinansēšanu</w:t>
      </w:r>
      <w:r w:rsidR="003B6D35">
        <w:rPr>
          <w:rFonts w:cs="Times New Roman"/>
          <w:szCs w:val="24"/>
          <w:lang w:eastAsia="lv-LV"/>
        </w:rPr>
        <w:t>.</w:t>
      </w:r>
    </w:p>
    <w:p w14:paraId="15A58CEB" w14:textId="77777777" w:rsidR="005435B9" w:rsidRDefault="003F3E8D" w:rsidP="006144BF">
      <w:pPr>
        <w:ind w:firstLine="694"/>
        <w:jc w:val="both"/>
        <w:rPr>
          <w:rFonts w:cs="Times New Roman"/>
          <w:szCs w:val="24"/>
        </w:rPr>
      </w:pPr>
      <w:r w:rsidRPr="003F3E8D">
        <w:rPr>
          <w:rFonts w:cs="Times New Roman"/>
          <w:szCs w:val="24"/>
        </w:rPr>
        <w:t xml:space="preserve">Eiropas Stabilitātes </w:t>
      </w:r>
      <w:r w:rsidR="008D35CF">
        <w:rPr>
          <w:rFonts w:cs="Times New Roman"/>
          <w:szCs w:val="24"/>
        </w:rPr>
        <w:t xml:space="preserve">mehānisma </w:t>
      </w:r>
      <w:r w:rsidR="008D35CF" w:rsidRPr="00D07266">
        <w:rPr>
          <w:rFonts w:cs="Times New Roman"/>
          <w:b/>
          <w:szCs w:val="24"/>
        </w:rPr>
        <w:t>peļņa</w:t>
      </w:r>
      <w:r w:rsidRPr="003F3E8D">
        <w:rPr>
          <w:rFonts w:cs="Times New Roman"/>
          <w:szCs w:val="24"/>
        </w:rPr>
        <w:t xml:space="preserve"> 2020. gadā bija 392,9 milj. </w:t>
      </w:r>
      <w:r w:rsidRPr="003F3E8D">
        <w:rPr>
          <w:rFonts w:cs="Times New Roman"/>
          <w:i/>
          <w:szCs w:val="24"/>
        </w:rPr>
        <w:t>euro</w:t>
      </w:r>
      <w:r w:rsidRPr="003F3E8D">
        <w:rPr>
          <w:rFonts w:cs="Times New Roman"/>
          <w:szCs w:val="24"/>
        </w:rPr>
        <w:t xml:space="preserve"> salīdzinot ar 289,7 milj. </w:t>
      </w:r>
      <w:r w:rsidRPr="003F3E8D">
        <w:rPr>
          <w:rFonts w:cs="Times New Roman"/>
          <w:i/>
          <w:szCs w:val="24"/>
        </w:rPr>
        <w:t>euro</w:t>
      </w:r>
      <w:r w:rsidRPr="003F3E8D">
        <w:rPr>
          <w:rFonts w:cs="Times New Roman"/>
          <w:szCs w:val="24"/>
        </w:rPr>
        <w:t xml:space="preserve"> 2019. gadā. Lielāko daļu no peļņas – 235,7 milj</w:t>
      </w:r>
      <w:r w:rsidRPr="003F3E8D">
        <w:rPr>
          <w:rFonts w:cs="Times New Roman"/>
          <w:i/>
          <w:szCs w:val="24"/>
        </w:rPr>
        <w:t>. euro</w:t>
      </w:r>
      <w:r w:rsidRPr="003F3E8D">
        <w:rPr>
          <w:rFonts w:cs="Times New Roman"/>
          <w:szCs w:val="24"/>
        </w:rPr>
        <w:t>, tāpat kā iepriekšējā pārskata gadā veidoja Vācijas, Francijas un Itālijas maksājumi, kas veikti, ņemot vērā šo valstu politisko apņemšanos atgriezt Eiropas Stabilitātes mehānisma negatīvo procentu summu, kas tika iekasēta par Eiropas Stabilitātes mehānisma naudas līdzekļu uzturēšanu attiecīgo valstu centrālajās bankās 2017. gadā. Šie ieņēmu</w:t>
      </w:r>
      <w:r>
        <w:rPr>
          <w:rFonts w:cs="Times New Roman"/>
          <w:szCs w:val="24"/>
        </w:rPr>
        <w:t>mi ir uzskaitīti 2020. gada</w:t>
      </w:r>
      <w:r w:rsidRPr="003F3E8D">
        <w:rPr>
          <w:rFonts w:cs="Times New Roman"/>
          <w:szCs w:val="24"/>
        </w:rPr>
        <w:t xml:space="preserve"> pārskatā kā neparedzēti ieņēmumi. Eiropas Stabilitātes mehānisma peļņa pēc neparedzēto ieņēmumu atskaitīšanas 2020. gadā sastādīja 157,3 milj. </w:t>
      </w:r>
      <w:r w:rsidRPr="003F3E8D">
        <w:rPr>
          <w:rFonts w:cs="Times New Roman"/>
          <w:i/>
          <w:szCs w:val="24"/>
        </w:rPr>
        <w:t>euro</w:t>
      </w:r>
      <w:r w:rsidRPr="003F3E8D">
        <w:rPr>
          <w:rFonts w:cs="Times New Roman"/>
          <w:szCs w:val="24"/>
        </w:rPr>
        <w:t xml:space="preserve">, kas ir par 105,6 milj. </w:t>
      </w:r>
      <w:r w:rsidRPr="003F3E8D">
        <w:rPr>
          <w:rFonts w:cs="Times New Roman"/>
          <w:i/>
          <w:szCs w:val="24"/>
        </w:rPr>
        <w:t>euro</w:t>
      </w:r>
      <w:r w:rsidRPr="003F3E8D">
        <w:rPr>
          <w:rFonts w:cs="Times New Roman"/>
          <w:szCs w:val="24"/>
        </w:rPr>
        <w:t xml:space="preserve"> vairāk kā iepriekšējā gadā. </w:t>
      </w:r>
      <w:r w:rsidR="006144BF">
        <w:rPr>
          <w:rFonts w:cs="Times New Roman"/>
          <w:szCs w:val="24"/>
        </w:rPr>
        <w:t xml:space="preserve">Palielinājumu lielākoties nodrošināja peļņa no finanšu darījumiem, kas 2020. gadā bija 208,3 milj. </w:t>
      </w:r>
      <w:r w:rsidR="006144BF" w:rsidRPr="006144BF">
        <w:rPr>
          <w:rFonts w:cs="Times New Roman"/>
          <w:i/>
          <w:szCs w:val="24"/>
        </w:rPr>
        <w:t>euro</w:t>
      </w:r>
      <w:r w:rsidR="006144BF">
        <w:rPr>
          <w:rFonts w:cs="Times New Roman"/>
          <w:i/>
          <w:szCs w:val="24"/>
        </w:rPr>
        <w:t xml:space="preserve">, </w:t>
      </w:r>
      <w:r w:rsidR="006144BF">
        <w:rPr>
          <w:rFonts w:cs="Times New Roman"/>
          <w:szCs w:val="24"/>
        </w:rPr>
        <w:t xml:space="preserve">salīdzinot ar 63,8 milj. </w:t>
      </w:r>
      <w:r w:rsidR="006144BF" w:rsidRPr="006144BF">
        <w:rPr>
          <w:rFonts w:cs="Times New Roman"/>
          <w:i/>
          <w:szCs w:val="24"/>
        </w:rPr>
        <w:t>euro</w:t>
      </w:r>
      <w:r w:rsidR="006144BF">
        <w:rPr>
          <w:rFonts w:cs="Times New Roman"/>
          <w:szCs w:val="24"/>
        </w:rPr>
        <w:t xml:space="preserve"> 2019. gadā. </w:t>
      </w:r>
      <w:r w:rsidRPr="003F3E8D">
        <w:rPr>
          <w:rFonts w:cs="Times New Roman"/>
          <w:szCs w:val="24"/>
        </w:rPr>
        <w:t>202</w:t>
      </w:r>
      <w:r w:rsidR="006144BF">
        <w:rPr>
          <w:rFonts w:cs="Times New Roman"/>
          <w:szCs w:val="24"/>
        </w:rPr>
        <w:t>1. gadā rezerves fondā tika</w:t>
      </w:r>
      <w:r w:rsidRPr="003F3E8D">
        <w:rPr>
          <w:rFonts w:cs="Times New Roman"/>
          <w:szCs w:val="24"/>
        </w:rPr>
        <w:t xml:space="preserve"> ieskaitīt</w:t>
      </w:r>
      <w:r w:rsidR="006144BF">
        <w:rPr>
          <w:rFonts w:cs="Times New Roman"/>
          <w:szCs w:val="24"/>
        </w:rPr>
        <w:t>i</w:t>
      </w:r>
      <w:r w:rsidRPr="003F3E8D">
        <w:rPr>
          <w:rFonts w:cs="Times New Roman"/>
          <w:szCs w:val="24"/>
        </w:rPr>
        <w:t xml:space="preserve"> 392,9</w:t>
      </w:r>
      <w:r>
        <w:rPr>
          <w:rFonts w:cs="Times New Roman"/>
          <w:szCs w:val="24"/>
        </w:rPr>
        <w:t xml:space="preserve"> milj</w:t>
      </w:r>
      <w:r w:rsidRPr="003F3E8D">
        <w:rPr>
          <w:rFonts w:cs="Times New Roman"/>
          <w:i/>
          <w:szCs w:val="24"/>
        </w:rPr>
        <w:t>. euro</w:t>
      </w:r>
      <w:r>
        <w:rPr>
          <w:rFonts w:cs="Times New Roman"/>
          <w:szCs w:val="24"/>
        </w:rPr>
        <w:t xml:space="preserve">. </w:t>
      </w:r>
    </w:p>
    <w:p w14:paraId="0B1BD1B7" w14:textId="77777777" w:rsidR="003F3E8D" w:rsidRDefault="003F3E8D" w:rsidP="009A2DBE">
      <w:pPr>
        <w:ind w:firstLine="694"/>
        <w:jc w:val="both"/>
        <w:rPr>
          <w:rFonts w:cs="Times New Roman"/>
          <w:szCs w:val="24"/>
        </w:rPr>
      </w:pPr>
    </w:p>
    <w:p w14:paraId="454911C0" w14:textId="77777777" w:rsidR="005435B9" w:rsidRPr="004626CE" w:rsidRDefault="005435B9" w:rsidP="009A2DBE">
      <w:pPr>
        <w:jc w:val="right"/>
        <w:rPr>
          <w:rFonts w:cs="Times New Roman"/>
          <w:b/>
          <w:i/>
          <w:color w:val="000000"/>
          <w:sz w:val="20"/>
          <w:szCs w:val="24"/>
        </w:rPr>
      </w:pPr>
      <w:r w:rsidRPr="004626CE">
        <w:rPr>
          <w:rFonts w:cs="Times New Roman"/>
          <w:b/>
          <w:i/>
          <w:color w:val="000000"/>
          <w:sz w:val="20"/>
          <w:szCs w:val="24"/>
        </w:rPr>
        <w:t xml:space="preserve">2.tabula. </w:t>
      </w:r>
      <w:r>
        <w:rPr>
          <w:rFonts w:cs="Times New Roman"/>
          <w:b/>
          <w:i/>
          <w:color w:val="000000"/>
          <w:sz w:val="20"/>
          <w:szCs w:val="24"/>
        </w:rPr>
        <w:t>ESM peļņa/ zaudējumi</w:t>
      </w:r>
      <w:r w:rsidRPr="004626CE">
        <w:rPr>
          <w:rFonts w:cs="Times New Roman"/>
          <w:b/>
          <w:i/>
          <w:color w:val="000000"/>
          <w:sz w:val="20"/>
          <w:szCs w:val="24"/>
        </w:rPr>
        <w:t xml:space="preserve"> kopš ESM dibināšanas (milj. euro)</w:t>
      </w:r>
    </w:p>
    <w:tbl>
      <w:tblPr>
        <w:tblStyle w:val="GridTable1Light"/>
        <w:tblW w:w="0" w:type="auto"/>
        <w:jc w:val="center"/>
        <w:tblLook w:val="04A0" w:firstRow="1" w:lastRow="0" w:firstColumn="1" w:lastColumn="0" w:noHBand="0" w:noVBand="1"/>
      </w:tblPr>
      <w:tblGrid>
        <w:gridCol w:w="2093"/>
        <w:gridCol w:w="774"/>
        <w:gridCol w:w="791"/>
        <w:gridCol w:w="786"/>
        <w:gridCol w:w="795"/>
        <w:gridCol w:w="791"/>
        <w:gridCol w:w="774"/>
        <w:gridCol w:w="791"/>
        <w:gridCol w:w="788"/>
        <w:gridCol w:w="678"/>
      </w:tblGrid>
      <w:tr w:rsidR="003F3E8D" w:rsidRPr="004626CE" w14:paraId="35EEE611" w14:textId="77777777" w:rsidTr="003F3E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shd w:val="clear" w:color="auto" w:fill="DEEAF6" w:themeFill="accent1" w:themeFillTint="33"/>
          </w:tcPr>
          <w:p w14:paraId="1F3ADC67" w14:textId="77777777" w:rsidR="003F3E8D" w:rsidRPr="004626CE" w:rsidRDefault="003F3E8D" w:rsidP="009A2DBE">
            <w:pPr>
              <w:jc w:val="both"/>
              <w:rPr>
                <w:rFonts w:cs="Times New Roman"/>
                <w:sz w:val="20"/>
                <w:szCs w:val="24"/>
              </w:rPr>
            </w:pPr>
          </w:p>
        </w:tc>
        <w:tc>
          <w:tcPr>
            <w:tcW w:w="774" w:type="dxa"/>
            <w:shd w:val="clear" w:color="auto" w:fill="DEEAF6" w:themeFill="accent1" w:themeFillTint="33"/>
          </w:tcPr>
          <w:p w14:paraId="3026133E" w14:textId="77777777" w:rsidR="003F3E8D" w:rsidRPr="004626CE" w:rsidRDefault="003F3E8D" w:rsidP="009A2DBE">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4"/>
              </w:rPr>
            </w:pPr>
            <w:r w:rsidRPr="004626CE">
              <w:rPr>
                <w:rFonts w:cs="Times New Roman"/>
                <w:sz w:val="20"/>
                <w:szCs w:val="24"/>
              </w:rPr>
              <w:t>2012</w:t>
            </w:r>
          </w:p>
        </w:tc>
        <w:tc>
          <w:tcPr>
            <w:tcW w:w="791" w:type="dxa"/>
            <w:shd w:val="clear" w:color="auto" w:fill="DEEAF6" w:themeFill="accent1" w:themeFillTint="33"/>
          </w:tcPr>
          <w:p w14:paraId="3FBCF15D" w14:textId="77777777" w:rsidR="003F3E8D" w:rsidRPr="004626CE" w:rsidRDefault="003F3E8D" w:rsidP="009A2DBE">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4"/>
              </w:rPr>
            </w:pPr>
            <w:r w:rsidRPr="004626CE">
              <w:rPr>
                <w:rFonts w:cs="Times New Roman"/>
                <w:sz w:val="20"/>
                <w:szCs w:val="24"/>
              </w:rPr>
              <w:t>2013</w:t>
            </w:r>
          </w:p>
        </w:tc>
        <w:tc>
          <w:tcPr>
            <w:tcW w:w="786" w:type="dxa"/>
            <w:shd w:val="clear" w:color="auto" w:fill="DEEAF6" w:themeFill="accent1" w:themeFillTint="33"/>
          </w:tcPr>
          <w:p w14:paraId="4E844D55" w14:textId="77777777" w:rsidR="003F3E8D" w:rsidRPr="004626CE" w:rsidRDefault="003F3E8D" w:rsidP="009A2DBE">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4"/>
              </w:rPr>
            </w:pPr>
            <w:r w:rsidRPr="004626CE">
              <w:rPr>
                <w:rFonts w:cs="Times New Roman"/>
                <w:sz w:val="20"/>
                <w:szCs w:val="24"/>
              </w:rPr>
              <w:t>2014</w:t>
            </w:r>
          </w:p>
        </w:tc>
        <w:tc>
          <w:tcPr>
            <w:tcW w:w="795" w:type="dxa"/>
            <w:shd w:val="clear" w:color="auto" w:fill="DEEAF6" w:themeFill="accent1" w:themeFillTint="33"/>
          </w:tcPr>
          <w:p w14:paraId="449799D5" w14:textId="77777777" w:rsidR="003F3E8D" w:rsidRPr="004626CE" w:rsidRDefault="003F3E8D" w:rsidP="009A2DBE">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4"/>
              </w:rPr>
            </w:pPr>
            <w:r w:rsidRPr="004626CE">
              <w:rPr>
                <w:rFonts w:cs="Times New Roman"/>
                <w:sz w:val="20"/>
                <w:szCs w:val="24"/>
              </w:rPr>
              <w:t>2015</w:t>
            </w:r>
          </w:p>
        </w:tc>
        <w:tc>
          <w:tcPr>
            <w:tcW w:w="791" w:type="dxa"/>
            <w:shd w:val="clear" w:color="auto" w:fill="DEEAF6" w:themeFill="accent1" w:themeFillTint="33"/>
          </w:tcPr>
          <w:p w14:paraId="06F5660F" w14:textId="77777777" w:rsidR="003F3E8D" w:rsidRPr="004626CE" w:rsidRDefault="003F3E8D" w:rsidP="009A2DBE">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4"/>
              </w:rPr>
            </w:pPr>
            <w:r w:rsidRPr="004626CE">
              <w:rPr>
                <w:rFonts w:cs="Times New Roman"/>
                <w:sz w:val="20"/>
                <w:szCs w:val="24"/>
              </w:rPr>
              <w:t>2016</w:t>
            </w:r>
          </w:p>
        </w:tc>
        <w:tc>
          <w:tcPr>
            <w:tcW w:w="774" w:type="dxa"/>
            <w:shd w:val="clear" w:color="auto" w:fill="DEEAF6" w:themeFill="accent1" w:themeFillTint="33"/>
          </w:tcPr>
          <w:p w14:paraId="0F591396" w14:textId="77777777" w:rsidR="003F3E8D" w:rsidRPr="004626CE" w:rsidRDefault="003F3E8D" w:rsidP="009A2DBE">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4"/>
              </w:rPr>
            </w:pPr>
            <w:r w:rsidRPr="004626CE">
              <w:rPr>
                <w:rFonts w:cs="Times New Roman"/>
                <w:sz w:val="20"/>
                <w:szCs w:val="24"/>
              </w:rPr>
              <w:t>2017</w:t>
            </w:r>
          </w:p>
        </w:tc>
        <w:tc>
          <w:tcPr>
            <w:tcW w:w="791" w:type="dxa"/>
            <w:shd w:val="clear" w:color="auto" w:fill="DEEAF6" w:themeFill="accent1" w:themeFillTint="33"/>
          </w:tcPr>
          <w:p w14:paraId="67511591" w14:textId="77777777" w:rsidR="003F3E8D" w:rsidRPr="004626CE" w:rsidRDefault="003F3E8D" w:rsidP="009A2DBE">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4"/>
              </w:rPr>
            </w:pPr>
            <w:r w:rsidRPr="004626CE">
              <w:rPr>
                <w:rFonts w:cs="Times New Roman"/>
                <w:sz w:val="20"/>
                <w:szCs w:val="24"/>
              </w:rPr>
              <w:t>2018</w:t>
            </w:r>
          </w:p>
        </w:tc>
        <w:tc>
          <w:tcPr>
            <w:tcW w:w="788" w:type="dxa"/>
            <w:shd w:val="clear" w:color="auto" w:fill="DEEAF6" w:themeFill="accent1" w:themeFillTint="33"/>
          </w:tcPr>
          <w:p w14:paraId="2CB53EBC" w14:textId="77777777" w:rsidR="003F3E8D" w:rsidRPr="004626CE" w:rsidRDefault="003F3E8D" w:rsidP="009A2DBE">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4"/>
              </w:rPr>
            </w:pPr>
            <w:r w:rsidRPr="004626CE">
              <w:rPr>
                <w:rFonts w:cs="Times New Roman"/>
                <w:sz w:val="20"/>
                <w:szCs w:val="24"/>
              </w:rPr>
              <w:t>2019</w:t>
            </w:r>
          </w:p>
        </w:tc>
        <w:tc>
          <w:tcPr>
            <w:tcW w:w="678" w:type="dxa"/>
            <w:shd w:val="clear" w:color="auto" w:fill="DEEAF6" w:themeFill="accent1" w:themeFillTint="33"/>
          </w:tcPr>
          <w:p w14:paraId="40346AB8" w14:textId="77777777" w:rsidR="003F3E8D" w:rsidRPr="004626CE" w:rsidRDefault="003F3E8D" w:rsidP="009A2DBE">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4"/>
              </w:rPr>
            </w:pPr>
            <w:r>
              <w:rPr>
                <w:rFonts w:cs="Times New Roman"/>
                <w:sz w:val="20"/>
                <w:szCs w:val="24"/>
              </w:rPr>
              <w:t>2020</w:t>
            </w:r>
          </w:p>
        </w:tc>
      </w:tr>
      <w:tr w:rsidR="003F3E8D" w:rsidRPr="004626CE" w14:paraId="551314EB" w14:textId="77777777" w:rsidTr="003F3E8D">
        <w:trPr>
          <w:jc w:val="center"/>
        </w:trPr>
        <w:tc>
          <w:tcPr>
            <w:cnfStyle w:val="001000000000" w:firstRow="0" w:lastRow="0" w:firstColumn="1" w:lastColumn="0" w:oddVBand="0" w:evenVBand="0" w:oddHBand="0" w:evenHBand="0" w:firstRowFirstColumn="0" w:firstRowLastColumn="0" w:lastRowFirstColumn="0" w:lastRowLastColumn="0"/>
            <w:tcW w:w="2093" w:type="dxa"/>
          </w:tcPr>
          <w:p w14:paraId="28FCF01F" w14:textId="77777777" w:rsidR="003F3E8D" w:rsidRPr="004626CE" w:rsidRDefault="003F3E8D" w:rsidP="009A2DBE">
            <w:pPr>
              <w:jc w:val="both"/>
              <w:rPr>
                <w:rFonts w:cs="Times New Roman"/>
                <w:sz w:val="20"/>
                <w:szCs w:val="24"/>
              </w:rPr>
            </w:pPr>
            <w:r w:rsidRPr="004626CE">
              <w:rPr>
                <w:rFonts w:cs="Times New Roman"/>
                <w:sz w:val="20"/>
                <w:szCs w:val="24"/>
              </w:rPr>
              <w:t>ESM peļņa/ zaudējumi</w:t>
            </w:r>
          </w:p>
        </w:tc>
        <w:tc>
          <w:tcPr>
            <w:tcW w:w="774" w:type="dxa"/>
          </w:tcPr>
          <w:p w14:paraId="0A9495DA" w14:textId="77777777" w:rsidR="003F3E8D" w:rsidRPr="004626CE" w:rsidRDefault="003F3E8D" w:rsidP="009A2DB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4626CE">
              <w:rPr>
                <w:rFonts w:cs="Times New Roman"/>
                <w:sz w:val="20"/>
                <w:szCs w:val="24"/>
              </w:rPr>
              <w:t>-0,5</w:t>
            </w:r>
          </w:p>
        </w:tc>
        <w:tc>
          <w:tcPr>
            <w:tcW w:w="791" w:type="dxa"/>
          </w:tcPr>
          <w:p w14:paraId="014595B4" w14:textId="77777777" w:rsidR="003F3E8D" w:rsidRPr="004626CE" w:rsidRDefault="003F3E8D" w:rsidP="009A2DB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4626CE">
              <w:rPr>
                <w:rFonts w:cs="Times New Roman"/>
                <w:sz w:val="20"/>
                <w:szCs w:val="24"/>
              </w:rPr>
              <w:t>253,9</w:t>
            </w:r>
          </w:p>
        </w:tc>
        <w:tc>
          <w:tcPr>
            <w:tcW w:w="786" w:type="dxa"/>
          </w:tcPr>
          <w:p w14:paraId="658CD522" w14:textId="77777777" w:rsidR="003F3E8D" w:rsidRPr="004626CE" w:rsidRDefault="003F3E8D" w:rsidP="009A2DB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4626CE">
              <w:rPr>
                <w:rFonts w:cs="Times New Roman"/>
                <w:sz w:val="20"/>
                <w:szCs w:val="24"/>
              </w:rPr>
              <w:t>443,9</w:t>
            </w:r>
          </w:p>
        </w:tc>
        <w:tc>
          <w:tcPr>
            <w:tcW w:w="795" w:type="dxa"/>
          </w:tcPr>
          <w:p w14:paraId="66D962C6" w14:textId="77777777" w:rsidR="003F3E8D" w:rsidRPr="004626CE" w:rsidRDefault="003F3E8D" w:rsidP="009A2DB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4626CE">
              <w:rPr>
                <w:rFonts w:cs="Times New Roman"/>
                <w:sz w:val="20"/>
                <w:szCs w:val="24"/>
              </w:rPr>
              <w:t>729,4</w:t>
            </w:r>
          </w:p>
        </w:tc>
        <w:tc>
          <w:tcPr>
            <w:tcW w:w="791" w:type="dxa"/>
          </w:tcPr>
          <w:p w14:paraId="3CAF410A" w14:textId="77777777" w:rsidR="003F3E8D" w:rsidRPr="004626CE" w:rsidRDefault="003F3E8D" w:rsidP="009A2DB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4626CE">
              <w:rPr>
                <w:rFonts w:cs="Times New Roman"/>
                <w:sz w:val="20"/>
                <w:szCs w:val="24"/>
              </w:rPr>
              <w:t>568,8</w:t>
            </w:r>
          </w:p>
        </w:tc>
        <w:tc>
          <w:tcPr>
            <w:tcW w:w="774" w:type="dxa"/>
          </w:tcPr>
          <w:p w14:paraId="2A5EE0D2" w14:textId="77777777" w:rsidR="003F3E8D" w:rsidRPr="004626CE" w:rsidRDefault="003F3E8D" w:rsidP="009A2DB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4626CE">
              <w:rPr>
                <w:rFonts w:cs="Times New Roman"/>
                <w:sz w:val="20"/>
                <w:szCs w:val="24"/>
              </w:rPr>
              <w:t>68,6</w:t>
            </w:r>
          </w:p>
        </w:tc>
        <w:tc>
          <w:tcPr>
            <w:tcW w:w="791" w:type="dxa"/>
          </w:tcPr>
          <w:p w14:paraId="14E39702" w14:textId="77777777" w:rsidR="003F3E8D" w:rsidRPr="004626CE" w:rsidRDefault="003F3E8D" w:rsidP="009A2DB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4626CE">
              <w:rPr>
                <w:rFonts w:cs="Times New Roman"/>
                <w:sz w:val="20"/>
                <w:szCs w:val="24"/>
              </w:rPr>
              <w:t>284,7</w:t>
            </w:r>
          </w:p>
        </w:tc>
        <w:tc>
          <w:tcPr>
            <w:tcW w:w="788" w:type="dxa"/>
          </w:tcPr>
          <w:p w14:paraId="7A24DC79" w14:textId="77777777" w:rsidR="003F3E8D" w:rsidRPr="004626CE" w:rsidRDefault="003F3E8D" w:rsidP="009A2DB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4626CE">
              <w:rPr>
                <w:rFonts w:cs="Times New Roman"/>
                <w:sz w:val="20"/>
                <w:szCs w:val="24"/>
              </w:rPr>
              <w:t>289,6</w:t>
            </w:r>
          </w:p>
        </w:tc>
        <w:tc>
          <w:tcPr>
            <w:tcW w:w="678" w:type="dxa"/>
          </w:tcPr>
          <w:p w14:paraId="732B095C" w14:textId="77777777" w:rsidR="003F3E8D" w:rsidRPr="004626CE" w:rsidRDefault="003F3E8D" w:rsidP="009A2DB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3F3E8D">
              <w:rPr>
                <w:rFonts w:cs="Times New Roman"/>
                <w:sz w:val="20"/>
                <w:szCs w:val="24"/>
              </w:rPr>
              <w:t>392,9</w:t>
            </w:r>
          </w:p>
        </w:tc>
      </w:tr>
    </w:tbl>
    <w:p w14:paraId="58165702" w14:textId="77777777" w:rsidR="005435B9" w:rsidRPr="00A773A6" w:rsidRDefault="005435B9" w:rsidP="009A2DBE">
      <w:pPr>
        <w:jc w:val="both"/>
        <w:rPr>
          <w:rFonts w:cs="Times New Roman"/>
          <w:szCs w:val="24"/>
        </w:rPr>
      </w:pPr>
    </w:p>
    <w:p w14:paraId="6C14C72F" w14:textId="638E0F72" w:rsidR="00392FC8" w:rsidRPr="00D07266" w:rsidRDefault="003F3E8D" w:rsidP="00D07266">
      <w:pPr>
        <w:widowControl w:val="0"/>
        <w:autoSpaceDE w:val="0"/>
        <w:autoSpaceDN w:val="0"/>
        <w:adjustRightInd w:val="0"/>
        <w:ind w:firstLine="720"/>
        <w:jc w:val="both"/>
        <w:rPr>
          <w:rFonts w:eastAsia="Times New Roman" w:cs="Times New Roman"/>
          <w:szCs w:val="20"/>
          <w:lang w:eastAsia="lv-LV"/>
        </w:rPr>
      </w:pPr>
      <w:r>
        <w:rPr>
          <w:rFonts w:cs="Times New Roman"/>
          <w:szCs w:val="24"/>
        </w:rPr>
        <w:t xml:space="preserve">Līdzīgi kā </w:t>
      </w:r>
      <w:r w:rsidR="00470DD5">
        <w:rPr>
          <w:rFonts w:cs="Times New Roman"/>
          <w:szCs w:val="24"/>
        </w:rPr>
        <w:t xml:space="preserve">iepriekšējos gados arī šogad </w:t>
      </w:r>
      <w:r w:rsidR="00421A83" w:rsidRPr="003F3E8D">
        <w:rPr>
          <w:rFonts w:cs="Times New Roman"/>
          <w:szCs w:val="24"/>
        </w:rPr>
        <w:t xml:space="preserve">Eiropas Stabilitātes </w:t>
      </w:r>
      <w:r w:rsidR="00421A83">
        <w:rPr>
          <w:rFonts w:cs="Times New Roman"/>
          <w:szCs w:val="24"/>
        </w:rPr>
        <w:t>mehānisma</w:t>
      </w:r>
      <w:r w:rsidR="00470DD5">
        <w:rPr>
          <w:rFonts w:cs="Times New Roman"/>
          <w:szCs w:val="24"/>
        </w:rPr>
        <w:t xml:space="preserve"> Valdes sēdē, kas notika </w:t>
      </w:r>
      <w:r w:rsidR="007803CB">
        <w:rPr>
          <w:rFonts w:cs="Times New Roman"/>
          <w:szCs w:val="24"/>
        </w:rPr>
        <w:t>šī</w:t>
      </w:r>
      <w:r w:rsidR="00470DD5">
        <w:rPr>
          <w:rFonts w:cs="Times New Roman"/>
          <w:szCs w:val="24"/>
        </w:rPr>
        <w:t xml:space="preserve"> gada 17. jūnijā tika lemts, ka </w:t>
      </w:r>
      <w:r w:rsidRPr="003F3E8D">
        <w:rPr>
          <w:rFonts w:cs="Times New Roman"/>
          <w:szCs w:val="24"/>
        </w:rPr>
        <w:t>Eiropas Stabilitātes mehānisma peļņa</w:t>
      </w:r>
      <w:r w:rsidR="00470DD5">
        <w:rPr>
          <w:rFonts w:cs="Times New Roman"/>
          <w:szCs w:val="24"/>
        </w:rPr>
        <w:t xml:space="preserve"> tiek ieskaitīta</w:t>
      </w:r>
      <w:r w:rsidRPr="003F3E8D">
        <w:rPr>
          <w:rFonts w:cs="Times New Roman"/>
          <w:szCs w:val="24"/>
        </w:rPr>
        <w:t xml:space="preserve"> </w:t>
      </w:r>
      <w:r w:rsidRPr="00D07266">
        <w:rPr>
          <w:rFonts w:cs="Times New Roman"/>
          <w:b/>
          <w:szCs w:val="24"/>
        </w:rPr>
        <w:t>rezerves fondā</w:t>
      </w:r>
      <w:r w:rsidRPr="003F3E8D">
        <w:rPr>
          <w:rFonts w:cs="Times New Roman"/>
          <w:szCs w:val="24"/>
        </w:rPr>
        <w:t xml:space="preserve">, nevis izmaksāta dividendēs Eiropas Stabilitātes mehānisma dalībvalstīm. </w:t>
      </w:r>
      <w:r w:rsidR="00F153DE">
        <w:rPr>
          <w:rFonts w:eastAsia="Times New Roman" w:cs="Times New Roman"/>
          <w:szCs w:val="20"/>
          <w:lang w:eastAsia="lv-LV"/>
        </w:rPr>
        <w:t>L</w:t>
      </w:r>
      <w:r w:rsidR="00F153DE" w:rsidRPr="00831136">
        <w:rPr>
          <w:rFonts w:eastAsia="Times New Roman" w:cs="Times New Roman"/>
          <w:szCs w:val="20"/>
          <w:lang w:eastAsia="lv-LV"/>
        </w:rPr>
        <w:t>īguma par Eiropas Stabilitātes mehānisma dibināšanu 24. panta 2.</w:t>
      </w:r>
      <w:r w:rsidR="00F153DE">
        <w:rPr>
          <w:rFonts w:eastAsia="Times New Roman" w:cs="Times New Roman"/>
          <w:szCs w:val="20"/>
          <w:lang w:eastAsia="lv-LV"/>
        </w:rPr>
        <w:t xml:space="preserve"> </w:t>
      </w:r>
      <w:r w:rsidR="00F153DE" w:rsidRPr="00831136">
        <w:rPr>
          <w:rFonts w:eastAsia="Times New Roman" w:cs="Times New Roman"/>
          <w:szCs w:val="20"/>
          <w:lang w:eastAsia="lv-LV"/>
        </w:rPr>
        <w:t xml:space="preserve">punkts nosaka, ka </w:t>
      </w:r>
      <w:r w:rsidR="00F153DE" w:rsidRPr="00E957E5">
        <w:rPr>
          <w:rFonts w:eastAsia="Times New Roman" w:cs="Times New Roman"/>
          <w:szCs w:val="24"/>
          <w:lang w:eastAsia="lv-LV"/>
        </w:rPr>
        <w:t>Eiropas Stabilitātes mehānisma</w:t>
      </w:r>
      <w:r w:rsidR="00F153DE" w:rsidRPr="00831136">
        <w:rPr>
          <w:rFonts w:eastAsia="Times New Roman" w:cs="Times New Roman"/>
          <w:szCs w:val="20"/>
          <w:lang w:eastAsia="lv-LV"/>
        </w:rPr>
        <w:t xml:space="preserve"> rezerves fondā ir jānovirza līdzekļi, kas gūti </w:t>
      </w:r>
      <w:r w:rsidR="00F153DE" w:rsidRPr="00E957E5">
        <w:rPr>
          <w:rFonts w:eastAsia="Times New Roman" w:cs="Times New Roman"/>
          <w:szCs w:val="24"/>
          <w:lang w:eastAsia="lv-LV"/>
        </w:rPr>
        <w:t>Eiropas Stabilitātes mehānisma</w:t>
      </w:r>
      <w:r w:rsidR="00F153DE" w:rsidRPr="00831136">
        <w:rPr>
          <w:rFonts w:eastAsia="Times New Roman" w:cs="Times New Roman"/>
          <w:szCs w:val="20"/>
          <w:lang w:eastAsia="lv-LV"/>
        </w:rPr>
        <w:t xml:space="preserve"> finanšu darbības, kā arī valstīm piemēroto sankciju daudzpusējās uzraudzības, pārmērīgas budžeta deficīta un makroekonomisko nesabalansētību rezultātā.</w:t>
      </w:r>
      <w:r w:rsidR="00D07266">
        <w:rPr>
          <w:rFonts w:eastAsia="Times New Roman" w:cs="Times New Roman"/>
          <w:szCs w:val="20"/>
          <w:lang w:eastAsia="lv-LV"/>
        </w:rPr>
        <w:t xml:space="preserve"> </w:t>
      </w:r>
      <w:r w:rsidRPr="003F3E8D">
        <w:rPr>
          <w:rFonts w:cs="Times New Roman"/>
          <w:szCs w:val="24"/>
        </w:rPr>
        <w:t xml:space="preserve">Šāda lēmuma mērķis ir uzkrāt līdzekļus rezerves fondā, lai nodrošinātos pret iespējamiem zaudējumiem nākotnē un mazinātu risku, ka būtu jāizmanto kapitāla iesaukšana pēc pieprasījuma, kam būtu negatīva ietekme uz dalībvalsts vispārējās valdības budžeta bilanci. Rezerves fondā izvietotie finanšu līdzekļi tiek investēti saskaņā ar Eiropas Stabilitātes mehānisma ieguldīšanas vadlīnijām, un tas ir drošības uzkrājums, no kura var tikt segti zaudējumi, kas nākotnē var rasties Eiropas Stabilitātes mehānisma finanšu darbības rezultātā. Uz 2020. gada beigām rezerves fondā uzkrātā peļņa sastāda 2,6 mljrd. </w:t>
      </w:r>
      <w:r w:rsidRPr="00470DD5">
        <w:rPr>
          <w:rFonts w:cs="Times New Roman"/>
          <w:i/>
          <w:szCs w:val="24"/>
        </w:rPr>
        <w:t>euro</w:t>
      </w:r>
      <w:r w:rsidRPr="003F3E8D">
        <w:rPr>
          <w:rFonts w:cs="Times New Roman"/>
          <w:szCs w:val="24"/>
        </w:rPr>
        <w:t>.</w:t>
      </w:r>
    </w:p>
    <w:p w14:paraId="742A3FA5" w14:textId="77777777" w:rsidR="00A956E7" w:rsidRDefault="00A956E7" w:rsidP="009A2DBE">
      <w:pPr>
        <w:pStyle w:val="Heading1"/>
        <w:tabs>
          <w:tab w:val="left" w:pos="6840"/>
        </w:tabs>
        <w:spacing w:before="0"/>
        <w:rPr>
          <w:rFonts w:ascii="Times New Roman" w:hAnsi="Times New Roman" w:cs="Times New Roman"/>
          <w:noProof/>
          <w:color w:val="000000" w:themeColor="text1"/>
          <w:sz w:val="24"/>
          <w:szCs w:val="24"/>
        </w:rPr>
      </w:pPr>
    </w:p>
    <w:p w14:paraId="13D89A99" w14:textId="77777777" w:rsidR="00421A83" w:rsidRDefault="00421A83" w:rsidP="00421A83">
      <w:pPr>
        <w:pStyle w:val="ListParagraph"/>
        <w:numPr>
          <w:ilvl w:val="0"/>
          <w:numId w:val="22"/>
        </w:numPr>
        <w:ind w:left="426"/>
        <w:jc w:val="center"/>
        <w:rPr>
          <w:rFonts w:eastAsia="Times New Roman" w:cs="Times New Roman"/>
          <w:b/>
          <w:szCs w:val="24"/>
          <w:lang w:eastAsia="lv-LV"/>
        </w:rPr>
      </w:pPr>
      <w:r w:rsidRPr="004626CE">
        <w:rPr>
          <w:rFonts w:eastAsia="Times New Roman" w:cs="Times New Roman"/>
          <w:b/>
          <w:szCs w:val="24"/>
          <w:lang w:eastAsia="lv-LV"/>
        </w:rPr>
        <w:t>ESM īstenoto finansiālo palīdzību programmu pieredze</w:t>
      </w:r>
    </w:p>
    <w:p w14:paraId="77AFAA95" w14:textId="77777777" w:rsidR="00421A83" w:rsidRPr="004626CE" w:rsidRDefault="00421A83" w:rsidP="00421A83">
      <w:pPr>
        <w:pStyle w:val="ListParagraph"/>
        <w:ind w:left="1440"/>
        <w:rPr>
          <w:rFonts w:eastAsia="Times New Roman" w:cs="Times New Roman"/>
          <w:b/>
          <w:szCs w:val="24"/>
          <w:lang w:eastAsia="lv-LV"/>
        </w:rPr>
      </w:pPr>
    </w:p>
    <w:p w14:paraId="29300F84" w14:textId="77777777" w:rsidR="00421A83" w:rsidRDefault="00421A83" w:rsidP="00421A83">
      <w:pPr>
        <w:ind w:firstLine="720"/>
        <w:jc w:val="both"/>
        <w:rPr>
          <w:rFonts w:cs="Times New Roman"/>
          <w:szCs w:val="24"/>
        </w:rPr>
      </w:pPr>
      <w:r w:rsidRPr="00A773A6">
        <w:rPr>
          <w:rFonts w:eastAsia="Times New Roman" w:cs="Times New Roman"/>
          <w:szCs w:val="24"/>
          <w:lang w:eastAsia="lv-LV"/>
        </w:rPr>
        <w:t xml:space="preserve">Kopš dibināšanas brīža </w:t>
      </w:r>
      <w:r w:rsidRPr="003F3E8D">
        <w:rPr>
          <w:rFonts w:cs="Times New Roman"/>
          <w:szCs w:val="24"/>
        </w:rPr>
        <w:t xml:space="preserve">Eiropas Stabilitātes </w:t>
      </w:r>
      <w:r>
        <w:rPr>
          <w:rFonts w:cs="Times New Roman"/>
          <w:szCs w:val="24"/>
        </w:rPr>
        <w:t>mehānisms</w:t>
      </w:r>
      <w:r w:rsidRPr="00A773A6">
        <w:rPr>
          <w:rFonts w:eastAsia="Times New Roman" w:cs="Times New Roman"/>
          <w:szCs w:val="24"/>
          <w:lang w:eastAsia="lv-LV"/>
        </w:rPr>
        <w:t xml:space="preserve"> ir sniedzis palīdzību trīs valstīm. </w:t>
      </w:r>
      <w:r>
        <w:rPr>
          <w:rFonts w:eastAsia="Times New Roman" w:cs="Times New Roman"/>
          <w:szCs w:val="24"/>
          <w:lang w:eastAsia="lv-LV"/>
        </w:rPr>
        <w:t>Spānija</w:t>
      </w:r>
      <w:r w:rsidRPr="00A773A6">
        <w:rPr>
          <w:rFonts w:eastAsia="Times New Roman" w:cs="Times New Roman"/>
          <w:szCs w:val="24"/>
          <w:lang w:eastAsia="lv-LV"/>
        </w:rPr>
        <w:t xml:space="preserve"> </w:t>
      </w:r>
      <w:r w:rsidRPr="00A773A6">
        <w:rPr>
          <w:rFonts w:cs="Times New Roman"/>
          <w:szCs w:val="24"/>
        </w:rPr>
        <w:t xml:space="preserve">makroekonomikas korekcijas </w:t>
      </w:r>
      <w:r w:rsidRPr="00A773A6">
        <w:rPr>
          <w:rFonts w:eastAsia="Times New Roman" w:cs="Times New Roman"/>
          <w:szCs w:val="24"/>
          <w:lang w:eastAsia="lv-LV"/>
        </w:rPr>
        <w:t xml:space="preserve">programmu (turpmāk – programma) ir noslēgusi </w:t>
      </w:r>
      <w:r w:rsidRPr="00A773A6">
        <w:rPr>
          <w:rFonts w:cs="Times New Roman"/>
          <w:szCs w:val="24"/>
        </w:rPr>
        <w:t>2013.</w:t>
      </w:r>
      <w:r>
        <w:rPr>
          <w:rFonts w:cs="Times New Roman"/>
          <w:szCs w:val="24"/>
        </w:rPr>
        <w:t xml:space="preserve"> </w:t>
      </w:r>
      <w:r w:rsidRPr="00A773A6">
        <w:rPr>
          <w:rFonts w:cs="Times New Roman"/>
          <w:szCs w:val="24"/>
        </w:rPr>
        <w:t xml:space="preserve">gadā, </w:t>
      </w:r>
      <w:r>
        <w:rPr>
          <w:rFonts w:cs="Times New Roman"/>
          <w:szCs w:val="24"/>
        </w:rPr>
        <w:t>Kipra</w:t>
      </w:r>
      <w:r w:rsidRPr="00A773A6">
        <w:rPr>
          <w:rFonts w:cs="Times New Roman"/>
          <w:szCs w:val="24"/>
        </w:rPr>
        <w:t xml:space="preserve"> </w:t>
      </w:r>
      <w:r>
        <w:rPr>
          <w:rFonts w:cs="Times New Roman"/>
          <w:szCs w:val="24"/>
        </w:rPr>
        <w:t>–</w:t>
      </w:r>
      <w:r w:rsidRPr="00A773A6">
        <w:rPr>
          <w:rFonts w:cs="Times New Roman"/>
          <w:szCs w:val="24"/>
        </w:rPr>
        <w:t xml:space="preserve"> 2016.</w:t>
      </w:r>
      <w:r>
        <w:rPr>
          <w:rFonts w:cs="Times New Roman"/>
          <w:szCs w:val="24"/>
        </w:rPr>
        <w:t xml:space="preserve"> </w:t>
      </w:r>
      <w:r w:rsidRPr="00A773A6">
        <w:rPr>
          <w:rFonts w:cs="Times New Roman"/>
          <w:szCs w:val="24"/>
        </w:rPr>
        <w:t>gadā</w:t>
      </w:r>
      <w:r w:rsidRPr="00A773A6">
        <w:rPr>
          <w:rFonts w:eastAsia="Times New Roman" w:cs="Times New Roman"/>
          <w:szCs w:val="24"/>
          <w:lang w:eastAsia="lv-LV"/>
        </w:rPr>
        <w:t>, savuk</w:t>
      </w:r>
      <w:r>
        <w:rPr>
          <w:rFonts w:eastAsia="Times New Roman" w:cs="Times New Roman"/>
          <w:szCs w:val="24"/>
          <w:lang w:eastAsia="lv-LV"/>
        </w:rPr>
        <w:t>ārt Grieķija</w:t>
      </w:r>
      <w:r w:rsidRPr="00A773A6">
        <w:rPr>
          <w:rFonts w:eastAsia="Times New Roman" w:cs="Times New Roman"/>
          <w:szCs w:val="24"/>
          <w:lang w:eastAsia="lv-LV"/>
        </w:rPr>
        <w:t xml:space="preserve"> – 2018.</w:t>
      </w:r>
      <w:r>
        <w:rPr>
          <w:rFonts w:eastAsia="Times New Roman" w:cs="Times New Roman"/>
          <w:szCs w:val="24"/>
          <w:lang w:eastAsia="lv-LV"/>
        </w:rPr>
        <w:t xml:space="preserve"> </w:t>
      </w:r>
      <w:r w:rsidRPr="00A773A6">
        <w:rPr>
          <w:rFonts w:eastAsia="Times New Roman" w:cs="Times New Roman"/>
          <w:szCs w:val="24"/>
          <w:lang w:eastAsia="lv-LV"/>
        </w:rPr>
        <w:t>gadā.</w:t>
      </w:r>
      <w:r w:rsidRPr="00A773A6">
        <w:rPr>
          <w:rFonts w:cs="Times New Roman"/>
          <w:szCs w:val="24"/>
        </w:rPr>
        <w:t xml:space="preserve"> </w:t>
      </w:r>
    </w:p>
    <w:p w14:paraId="33CFF852" w14:textId="77777777" w:rsidR="00421A83" w:rsidRPr="00A773A6" w:rsidRDefault="00421A83" w:rsidP="00421A83">
      <w:pPr>
        <w:ind w:firstLine="720"/>
        <w:jc w:val="both"/>
        <w:rPr>
          <w:rFonts w:cs="Times New Roman"/>
          <w:szCs w:val="24"/>
        </w:rPr>
      </w:pPr>
      <w:r w:rsidRPr="00D07266">
        <w:rPr>
          <w:rFonts w:cs="Times New Roman"/>
          <w:b/>
          <w:szCs w:val="24"/>
        </w:rPr>
        <w:t>Spānijas programma</w:t>
      </w:r>
      <w:r>
        <w:rPr>
          <w:rFonts w:cs="Times New Roman"/>
          <w:szCs w:val="24"/>
        </w:rPr>
        <w:t xml:space="preserve"> bija </w:t>
      </w:r>
      <w:r w:rsidRPr="003F3E8D">
        <w:rPr>
          <w:rFonts w:cs="Times New Roman"/>
          <w:szCs w:val="24"/>
        </w:rPr>
        <w:t xml:space="preserve">Eiropas Stabilitātes </w:t>
      </w:r>
      <w:r>
        <w:rPr>
          <w:rFonts w:cs="Times New Roman"/>
          <w:szCs w:val="24"/>
        </w:rPr>
        <w:t xml:space="preserve">mehānisma pirmā finanšu palīdzības programma. Kopā </w:t>
      </w:r>
      <w:r w:rsidRPr="003F3E8D">
        <w:rPr>
          <w:rFonts w:cs="Times New Roman"/>
          <w:szCs w:val="24"/>
        </w:rPr>
        <w:t xml:space="preserve">Eiropas Stabilitātes </w:t>
      </w:r>
      <w:r>
        <w:rPr>
          <w:rFonts w:cs="Times New Roman"/>
          <w:szCs w:val="24"/>
        </w:rPr>
        <w:t xml:space="preserve">mehānisms piešķīra Spānijai 41,3 mljrd. </w:t>
      </w:r>
      <w:r w:rsidRPr="000D7675">
        <w:rPr>
          <w:rFonts w:cs="Times New Roman"/>
          <w:i/>
          <w:szCs w:val="24"/>
        </w:rPr>
        <w:t>euro</w:t>
      </w:r>
      <w:r>
        <w:rPr>
          <w:rFonts w:cs="Times New Roman"/>
          <w:szCs w:val="24"/>
        </w:rPr>
        <w:t xml:space="preserve"> lielu aizdevumu, lai Spānija varētu veikt banku sektora rekapitalizāciju. P</w:t>
      </w:r>
      <w:r w:rsidRPr="00A773A6">
        <w:rPr>
          <w:rFonts w:cs="Times New Roman"/>
          <w:szCs w:val="24"/>
        </w:rPr>
        <w:t>rogramma ilga līdz 2013.</w:t>
      </w:r>
      <w:r>
        <w:rPr>
          <w:rFonts w:cs="Times New Roman"/>
          <w:szCs w:val="24"/>
        </w:rPr>
        <w:t xml:space="preserve"> </w:t>
      </w:r>
      <w:r w:rsidRPr="00A773A6">
        <w:rPr>
          <w:rFonts w:cs="Times New Roman"/>
          <w:szCs w:val="24"/>
        </w:rPr>
        <w:t>gada decembrim</w:t>
      </w:r>
      <w:r>
        <w:rPr>
          <w:rFonts w:cs="Times New Roman"/>
          <w:szCs w:val="24"/>
        </w:rPr>
        <w:t xml:space="preserve">. </w:t>
      </w:r>
      <w:r>
        <w:rPr>
          <w:rFonts w:cs="Times New Roman"/>
          <w:szCs w:val="24"/>
          <w:lang w:eastAsia="lv-LV"/>
        </w:rPr>
        <w:t xml:space="preserve">Uz 2020. gada beigām Spānija ir atmaksājusi 17,6 mljrd. </w:t>
      </w:r>
      <w:r w:rsidRPr="00B9450C">
        <w:rPr>
          <w:rFonts w:cs="Times New Roman"/>
          <w:i/>
          <w:szCs w:val="24"/>
          <w:lang w:eastAsia="lv-LV"/>
        </w:rPr>
        <w:t>euro</w:t>
      </w:r>
      <w:r>
        <w:rPr>
          <w:rFonts w:cs="Times New Roman"/>
          <w:i/>
          <w:szCs w:val="24"/>
          <w:lang w:eastAsia="lv-LV"/>
        </w:rPr>
        <w:t xml:space="preserve"> </w:t>
      </w:r>
      <w:r w:rsidRPr="00C320F9">
        <w:rPr>
          <w:rFonts w:cs="Times New Roman"/>
          <w:szCs w:val="24"/>
          <w:lang w:eastAsia="lv-LV"/>
        </w:rPr>
        <w:t>no aizdevuma summas</w:t>
      </w:r>
      <w:r>
        <w:rPr>
          <w:rFonts w:cs="Times New Roman"/>
          <w:i/>
          <w:szCs w:val="24"/>
          <w:lang w:eastAsia="lv-LV"/>
        </w:rPr>
        <w:t xml:space="preserve">, </w:t>
      </w:r>
      <w:r>
        <w:rPr>
          <w:rFonts w:cs="Times New Roman"/>
          <w:szCs w:val="24"/>
          <w:lang w:eastAsia="lv-LV"/>
        </w:rPr>
        <w:t xml:space="preserve">parāda neatmaksātā daļa ir 23,7 mljrd. </w:t>
      </w:r>
      <w:r w:rsidRPr="00B9450C">
        <w:rPr>
          <w:rFonts w:cs="Times New Roman"/>
          <w:i/>
          <w:szCs w:val="24"/>
          <w:lang w:eastAsia="lv-LV"/>
        </w:rPr>
        <w:t>euro</w:t>
      </w:r>
      <w:r>
        <w:rPr>
          <w:rFonts w:cs="Times New Roman"/>
          <w:i/>
          <w:szCs w:val="24"/>
          <w:lang w:eastAsia="lv-LV"/>
        </w:rPr>
        <w:t>.</w:t>
      </w:r>
    </w:p>
    <w:p w14:paraId="4C763290" w14:textId="181A6F4E" w:rsidR="00421A83" w:rsidRPr="00A773A6" w:rsidRDefault="00421A83" w:rsidP="00552D6D">
      <w:pPr>
        <w:ind w:firstLine="709"/>
        <w:jc w:val="both"/>
        <w:rPr>
          <w:rFonts w:eastAsia="Times New Roman" w:cs="Times New Roman"/>
          <w:szCs w:val="24"/>
          <w:lang w:eastAsia="lv-LV"/>
        </w:rPr>
      </w:pPr>
      <w:r w:rsidRPr="00D07266">
        <w:rPr>
          <w:rFonts w:eastAsia="Times New Roman" w:cs="Times New Roman"/>
          <w:b/>
          <w:szCs w:val="24"/>
          <w:lang w:eastAsia="lv-LV"/>
        </w:rPr>
        <w:t>Kipras programma</w:t>
      </w:r>
      <w:r>
        <w:rPr>
          <w:rFonts w:eastAsia="Times New Roman" w:cs="Times New Roman"/>
          <w:szCs w:val="24"/>
          <w:lang w:eastAsia="lv-LV"/>
        </w:rPr>
        <w:t xml:space="preserve"> noslēdzās 2016. gadā, un programmas darbības laikā </w:t>
      </w:r>
      <w:r w:rsidRPr="003F3E8D">
        <w:rPr>
          <w:rFonts w:cs="Times New Roman"/>
          <w:szCs w:val="24"/>
        </w:rPr>
        <w:t xml:space="preserve">Eiropas Stabilitātes </w:t>
      </w:r>
      <w:r>
        <w:rPr>
          <w:rFonts w:cs="Times New Roman"/>
          <w:szCs w:val="24"/>
        </w:rPr>
        <w:t>mehānisms</w:t>
      </w:r>
      <w:r>
        <w:rPr>
          <w:rFonts w:eastAsia="Times New Roman" w:cs="Times New Roman"/>
          <w:szCs w:val="24"/>
          <w:lang w:eastAsia="lv-LV"/>
        </w:rPr>
        <w:t xml:space="preserve"> Kiprai piešķīra 6,3 mljrd. </w:t>
      </w:r>
      <w:r w:rsidRPr="00DD6F72">
        <w:rPr>
          <w:rFonts w:eastAsia="Times New Roman" w:cs="Times New Roman"/>
          <w:i/>
          <w:szCs w:val="24"/>
          <w:lang w:eastAsia="lv-LV"/>
        </w:rPr>
        <w:t>euro</w:t>
      </w:r>
      <w:r>
        <w:rPr>
          <w:rFonts w:eastAsia="Times New Roman" w:cs="Times New Roman"/>
          <w:szCs w:val="24"/>
          <w:lang w:eastAsia="lv-LV"/>
        </w:rPr>
        <w:t xml:space="preserve">. Papildus aptuveni 1 mljrd. </w:t>
      </w:r>
      <w:r w:rsidRPr="00DD6F72">
        <w:rPr>
          <w:rFonts w:eastAsia="Times New Roman" w:cs="Times New Roman"/>
          <w:i/>
          <w:szCs w:val="24"/>
          <w:lang w:eastAsia="lv-LV"/>
        </w:rPr>
        <w:t>euro</w:t>
      </w:r>
      <w:r>
        <w:rPr>
          <w:rFonts w:eastAsia="Times New Roman" w:cs="Times New Roman"/>
          <w:szCs w:val="24"/>
          <w:lang w:eastAsia="lv-LV"/>
        </w:rPr>
        <w:t xml:space="preserve"> piešķīra Starptautiskais Valūtas fonds.</w:t>
      </w:r>
      <w:r w:rsidR="00552D6D">
        <w:rPr>
          <w:rFonts w:eastAsia="Times New Roman" w:cs="Times New Roman"/>
          <w:szCs w:val="24"/>
          <w:lang w:eastAsia="lv-LV"/>
        </w:rPr>
        <w:t xml:space="preserve"> Aizdevums no abām institūcijām Kiprai bija nepieciešams, lai finansētu valsts palīdzības programmu banku sektoram, kas ietvēra budžeta finansējuma novirzīšanu banku sektoram, vidēja termiņa un ilgtermiņa parādzīmju izpirkšanu, kā arī finanšu institūciju rekapitalizāciju.</w:t>
      </w:r>
      <w:r>
        <w:rPr>
          <w:rFonts w:eastAsia="Times New Roman" w:cs="Times New Roman"/>
          <w:szCs w:val="24"/>
          <w:lang w:eastAsia="lv-LV"/>
        </w:rPr>
        <w:t xml:space="preserve"> </w:t>
      </w:r>
      <w:r>
        <w:rPr>
          <w:rFonts w:cs="Times New Roman"/>
          <w:szCs w:val="24"/>
          <w:lang w:eastAsia="lv-LV"/>
        </w:rPr>
        <w:t xml:space="preserve">Kiprai piešķirtā un vēl neatmaksātā aizdevuma summa sastāda 6,3 mljrd. </w:t>
      </w:r>
      <w:r w:rsidRPr="00B9450C">
        <w:rPr>
          <w:rFonts w:cs="Times New Roman"/>
          <w:i/>
          <w:szCs w:val="24"/>
          <w:lang w:eastAsia="lv-LV"/>
        </w:rPr>
        <w:t>euro</w:t>
      </w:r>
      <w:r>
        <w:rPr>
          <w:rFonts w:cs="Times New Roman"/>
          <w:szCs w:val="24"/>
          <w:lang w:eastAsia="lv-LV"/>
        </w:rPr>
        <w:t>.</w:t>
      </w:r>
      <w:r w:rsidR="00176C5E">
        <w:rPr>
          <w:rFonts w:cs="Times New Roman"/>
          <w:szCs w:val="24"/>
          <w:lang w:eastAsia="lv-LV"/>
        </w:rPr>
        <w:t xml:space="preserve"> </w:t>
      </w:r>
      <w:r w:rsidR="00F60A18">
        <w:rPr>
          <w:rFonts w:cs="Times New Roman"/>
          <w:szCs w:val="24"/>
          <w:lang w:eastAsia="lv-LV"/>
        </w:rPr>
        <w:t>F</w:t>
      </w:r>
      <w:r w:rsidR="00176C5E">
        <w:rPr>
          <w:rFonts w:cs="Times New Roman"/>
          <w:szCs w:val="24"/>
          <w:lang w:eastAsia="lv-LV"/>
        </w:rPr>
        <w:t>inanšu palīdzības vienošanās, kas noslēgta starp Eiropas Stabilitātes mehānismu un Kipru,</w:t>
      </w:r>
      <w:r w:rsidR="00F60A18">
        <w:rPr>
          <w:rFonts w:cs="Times New Roman"/>
          <w:szCs w:val="24"/>
          <w:lang w:eastAsia="lv-LV"/>
        </w:rPr>
        <w:t xml:space="preserve"> paredz, ka</w:t>
      </w:r>
      <w:r w:rsidR="00176C5E">
        <w:rPr>
          <w:rFonts w:cs="Times New Roman"/>
          <w:szCs w:val="24"/>
          <w:lang w:eastAsia="lv-LV"/>
        </w:rPr>
        <w:t xml:space="preserve"> Kipra sāks atmaksāt aizdevumu 2025. gadā un </w:t>
      </w:r>
      <w:r w:rsidR="003F5351">
        <w:rPr>
          <w:rFonts w:cs="Times New Roman"/>
          <w:szCs w:val="24"/>
          <w:lang w:eastAsia="lv-LV"/>
        </w:rPr>
        <w:t>izmaksās pēdējo aizdevuma daļu 2031. gadā.</w:t>
      </w:r>
    </w:p>
    <w:p w14:paraId="6D7E90CE" w14:textId="586D8472" w:rsidR="00421A83" w:rsidRPr="00383807" w:rsidRDefault="00421A83" w:rsidP="00383807">
      <w:pPr>
        <w:ind w:firstLine="709"/>
        <w:jc w:val="both"/>
        <w:rPr>
          <w:rFonts w:cs="Times New Roman"/>
          <w:szCs w:val="24"/>
          <w:lang w:eastAsia="lv-LV"/>
        </w:rPr>
      </w:pPr>
      <w:r w:rsidRPr="00D07266">
        <w:rPr>
          <w:rFonts w:cs="Times New Roman"/>
          <w:b/>
          <w:szCs w:val="24"/>
        </w:rPr>
        <w:t>Grieķijas programma</w:t>
      </w:r>
      <w:r>
        <w:rPr>
          <w:rFonts w:cs="Times New Roman"/>
          <w:szCs w:val="24"/>
        </w:rPr>
        <w:t xml:space="preserve"> noslēdzās 2018. gadā. Tās laikā </w:t>
      </w:r>
      <w:r w:rsidRPr="003F3E8D">
        <w:rPr>
          <w:rFonts w:cs="Times New Roman"/>
          <w:szCs w:val="24"/>
        </w:rPr>
        <w:t xml:space="preserve">Eiropas Stabilitātes </w:t>
      </w:r>
      <w:r>
        <w:rPr>
          <w:rFonts w:cs="Times New Roman"/>
          <w:szCs w:val="24"/>
        </w:rPr>
        <w:t xml:space="preserve">mehānisms izsniedza Grieķijai aizdevumu </w:t>
      </w:r>
      <w:r w:rsidRPr="00A773A6">
        <w:rPr>
          <w:rFonts w:eastAsia="Calibri" w:cs="Times New Roman"/>
          <w:kern w:val="24"/>
          <w:szCs w:val="24"/>
        </w:rPr>
        <w:t xml:space="preserve">61,9 mljrd. </w:t>
      </w:r>
      <w:r w:rsidRPr="00A773A6">
        <w:rPr>
          <w:rFonts w:eastAsia="Calibri" w:cs="Times New Roman"/>
          <w:i/>
          <w:kern w:val="24"/>
          <w:szCs w:val="24"/>
        </w:rPr>
        <w:t>euro</w:t>
      </w:r>
      <w:r w:rsidRPr="00A773A6">
        <w:rPr>
          <w:rFonts w:eastAsia="Calibri" w:cs="Times New Roman"/>
          <w:kern w:val="24"/>
          <w:szCs w:val="24"/>
        </w:rPr>
        <w:t xml:space="preserve"> apmērā. </w:t>
      </w:r>
      <w:r w:rsidRPr="00A773A6">
        <w:rPr>
          <w:rFonts w:eastAsia="Times New Roman" w:cs="Times New Roman"/>
          <w:kern w:val="24"/>
          <w:szCs w:val="24"/>
        </w:rPr>
        <w:t>Finanšu palīdzības izmaksa Grieķijai tika nodrošināta atsevišķās daļās, un katra maksājuma izmaksa bija atkarīga no apstiprināto nosacījumu izpildes. 2018.</w:t>
      </w:r>
      <w:r>
        <w:rPr>
          <w:rFonts w:eastAsia="Times New Roman" w:cs="Times New Roman"/>
          <w:kern w:val="24"/>
          <w:szCs w:val="24"/>
        </w:rPr>
        <w:t xml:space="preserve"> </w:t>
      </w:r>
      <w:r w:rsidRPr="00A773A6">
        <w:rPr>
          <w:rFonts w:eastAsia="Times New Roman" w:cs="Times New Roman"/>
          <w:kern w:val="24"/>
          <w:szCs w:val="24"/>
        </w:rPr>
        <w:t xml:space="preserve">gadā </w:t>
      </w:r>
      <w:r w:rsidRPr="003F3E8D">
        <w:rPr>
          <w:rFonts w:cs="Times New Roman"/>
          <w:szCs w:val="24"/>
        </w:rPr>
        <w:t xml:space="preserve">Eiropas Stabilitātes </w:t>
      </w:r>
      <w:r>
        <w:rPr>
          <w:rFonts w:cs="Times New Roman"/>
          <w:szCs w:val="24"/>
        </w:rPr>
        <w:t>mehānisms</w:t>
      </w:r>
      <w:r w:rsidRPr="00A773A6">
        <w:rPr>
          <w:rFonts w:eastAsia="Times New Roman" w:cs="Times New Roman"/>
          <w:kern w:val="24"/>
          <w:szCs w:val="24"/>
        </w:rPr>
        <w:t xml:space="preserve"> Grieķijai izsniedza pēdējos trīs aizdevuma maksājumus 21,7 mljrd. </w:t>
      </w:r>
      <w:r w:rsidRPr="00A773A6">
        <w:rPr>
          <w:rFonts w:eastAsia="Times New Roman" w:cs="Times New Roman"/>
          <w:i/>
          <w:kern w:val="24"/>
          <w:szCs w:val="24"/>
        </w:rPr>
        <w:t xml:space="preserve">euro </w:t>
      </w:r>
      <w:r w:rsidRPr="00A773A6">
        <w:rPr>
          <w:rFonts w:eastAsia="Times New Roman" w:cs="Times New Roman"/>
          <w:kern w:val="24"/>
          <w:szCs w:val="24"/>
        </w:rPr>
        <w:t>apmērā.</w:t>
      </w:r>
      <w:r w:rsidR="003F5351">
        <w:rPr>
          <w:rFonts w:eastAsia="Times New Roman" w:cs="Times New Roman"/>
          <w:kern w:val="24"/>
          <w:szCs w:val="24"/>
        </w:rPr>
        <w:t xml:space="preserve"> Grieķijai finanšu palīdzība aizdevuma formā tika sniegta kā daļa no makroekonomiskās korekcijas programmas. Aizdevumu Grieķija izmantoja, lai reorganizētu valsts finanšu ietvaru, uzsāktu ekonomikas modernizāciju un atgūtu investoru uzticību, kas tika pazaudēta globālās ekonomiskās krīzes laikā 2009. gadā.</w:t>
      </w:r>
      <w:r w:rsidR="00383807">
        <w:rPr>
          <w:rFonts w:eastAsia="Times New Roman" w:cs="Times New Roman"/>
          <w:kern w:val="24"/>
          <w:szCs w:val="24"/>
        </w:rPr>
        <w:t xml:space="preserve"> </w:t>
      </w:r>
      <w:r>
        <w:rPr>
          <w:rFonts w:cs="Times New Roman"/>
          <w:szCs w:val="24"/>
          <w:lang w:eastAsia="lv-LV"/>
        </w:rPr>
        <w:t xml:space="preserve">Grieķijas neatmaksātā parāda summa sastāda 59,9 mljrd. </w:t>
      </w:r>
      <w:r w:rsidRPr="006B2CA9">
        <w:rPr>
          <w:rFonts w:cs="Times New Roman"/>
          <w:i/>
          <w:szCs w:val="24"/>
          <w:lang w:eastAsia="lv-LV"/>
        </w:rPr>
        <w:t>euro</w:t>
      </w:r>
      <w:r>
        <w:rPr>
          <w:rFonts w:cs="Times New Roman"/>
          <w:i/>
          <w:szCs w:val="24"/>
          <w:lang w:eastAsia="lv-LV"/>
        </w:rPr>
        <w:t xml:space="preserve">. </w:t>
      </w:r>
      <w:r w:rsidR="00383807">
        <w:rPr>
          <w:rFonts w:cs="Times New Roman"/>
          <w:szCs w:val="24"/>
          <w:lang w:eastAsia="lv-LV"/>
        </w:rPr>
        <w:t>Atbilstoši saprašanās memorandam, kas noslēgts starp Eiropas Stabilitātes mehānismu un Grieķiju, Grieķija sāks atmaksāt kopējo aizdevumu summu 2034. gadā un izmaksās pēdējo aizdevuma daļu 2060. gadā.</w:t>
      </w:r>
      <w:r w:rsidR="00664922">
        <w:rPr>
          <w:rFonts w:cs="Times New Roman"/>
          <w:szCs w:val="24"/>
          <w:lang w:eastAsia="lv-LV"/>
        </w:rPr>
        <w:t xml:space="preserve"> 2 mljrd. </w:t>
      </w:r>
      <w:r w:rsidR="00664922" w:rsidRPr="00A9038F">
        <w:rPr>
          <w:rFonts w:cs="Times New Roman"/>
          <w:i/>
          <w:szCs w:val="24"/>
          <w:lang w:eastAsia="lv-LV"/>
        </w:rPr>
        <w:t>euro</w:t>
      </w:r>
      <w:r w:rsidR="00664922">
        <w:rPr>
          <w:rFonts w:cs="Times New Roman"/>
          <w:szCs w:val="24"/>
          <w:lang w:eastAsia="lv-LV"/>
        </w:rPr>
        <w:t xml:space="preserve"> Grieķija atmaksāja Eiropas Stabilitātes mehānismam 2017. gadā pēc rekapitalizētās </w:t>
      </w:r>
      <w:r w:rsidR="00A9038F">
        <w:rPr>
          <w:rFonts w:cs="Times New Roman"/>
          <w:szCs w:val="24"/>
          <w:lang w:eastAsia="lv-LV"/>
        </w:rPr>
        <w:t xml:space="preserve">Grieķijas </w:t>
      </w:r>
      <w:r w:rsidR="00A9038F">
        <w:rPr>
          <w:rFonts w:cs="Times New Roman"/>
          <w:szCs w:val="24"/>
          <w:lang w:eastAsia="lv-LV"/>
        </w:rPr>
        <w:lastRenderedPageBreak/>
        <w:t xml:space="preserve">nacionālās </w:t>
      </w:r>
      <w:r w:rsidR="00664922">
        <w:rPr>
          <w:rFonts w:cs="Times New Roman"/>
          <w:szCs w:val="24"/>
          <w:lang w:eastAsia="lv-LV"/>
        </w:rPr>
        <w:t xml:space="preserve">bankas </w:t>
      </w:r>
      <w:r w:rsidR="00A9038F">
        <w:rPr>
          <w:rFonts w:cs="Times New Roman"/>
          <w:szCs w:val="24"/>
          <w:lang w:eastAsia="lv-LV"/>
        </w:rPr>
        <w:t xml:space="preserve">(angļu val. – </w:t>
      </w:r>
      <w:r w:rsidR="00A9038F" w:rsidRPr="00A9038F">
        <w:rPr>
          <w:rFonts w:cs="Times New Roman"/>
          <w:i/>
          <w:szCs w:val="24"/>
          <w:lang w:eastAsia="lv-LV"/>
        </w:rPr>
        <w:t>NBG</w:t>
      </w:r>
      <w:r w:rsidR="00A9038F">
        <w:rPr>
          <w:rFonts w:cs="Times New Roman"/>
          <w:szCs w:val="24"/>
          <w:lang w:eastAsia="lv-LV"/>
        </w:rPr>
        <w:t xml:space="preserve">, </w:t>
      </w:r>
      <w:r w:rsidR="00A9038F" w:rsidRPr="00A9038F">
        <w:rPr>
          <w:rFonts w:cs="Times New Roman"/>
          <w:i/>
          <w:szCs w:val="24"/>
          <w:lang w:eastAsia="lv-LV"/>
        </w:rPr>
        <w:t xml:space="preserve">National </w:t>
      </w:r>
      <w:proofErr w:type="spellStart"/>
      <w:r w:rsidR="00A9038F" w:rsidRPr="00A9038F">
        <w:rPr>
          <w:rFonts w:cs="Times New Roman"/>
          <w:i/>
          <w:szCs w:val="24"/>
          <w:lang w:eastAsia="lv-LV"/>
        </w:rPr>
        <w:t>Bank</w:t>
      </w:r>
      <w:proofErr w:type="spellEnd"/>
      <w:r w:rsidR="00A9038F" w:rsidRPr="00A9038F">
        <w:rPr>
          <w:rFonts w:cs="Times New Roman"/>
          <w:i/>
          <w:szCs w:val="24"/>
          <w:lang w:eastAsia="lv-LV"/>
        </w:rPr>
        <w:t xml:space="preserve"> </w:t>
      </w:r>
      <w:proofErr w:type="spellStart"/>
      <w:r w:rsidR="00A9038F" w:rsidRPr="00A9038F">
        <w:rPr>
          <w:rFonts w:cs="Times New Roman"/>
          <w:i/>
          <w:szCs w:val="24"/>
          <w:lang w:eastAsia="lv-LV"/>
        </w:rPr>
        <w:t>of</w:t>
      </w:r>
      <w:proofErr w:type="spellEnd"/>
      <w:r w:rsidR="00A9038F" w:rsidRPr="00A9038F">
        <w:rPr>
          <w:rFonts w:cs="Times New Roman"/>
          <w:i/>
          <w:szCs w:val="24"/>
          <w:lang w:eastAsia="lv-LV"/>
        </w:rPr>
        <w:t xml:space="preserve"> </w:t>
      </w:r>
      <w:proofErr w:type="spellStart"/>
      <w:r w:rsidR="00A9038F" w:rsidRPr="00A9038F">
        <w:rPr>
          <w:rFonts w:cs="Times New Roman"/>
          <w:i/>
          <w:szCs w:val="24"/>
          <w:lang w:eastAsia="lv-LV"/>
        </w:rPr>
        <w:t>Greece</w:t>
      </w:r>
      <w:proofErr w:type="spellEnd"/>
      <w:r w:rsidR="00A9038F">
        <w:rPr>
          <w:rFonts w:cs="Times New Roman"/>
          <w:szCs w:val="24"/>
          <w:lang w:eastAsia="lv-LV"/>
        </w:rPr>
        <w:t xml:space="preserve">) aktīvu pārdošanas, kā to paredzēja līgumiskās saistības starp Eiropas Stabilitātes mehānismu un Grieķiju. </w:t>
      </w:r>
    </w:p>
    <w:p w14:paraId="2B862E84" w14:textId="77777777" w:rsidR="00421A83" w:rsidRDefault="00421A83" w:rsidP="00421A83">
      <w:pPr>
        <w:ind w:firstLine="720"/>
        <w:jc w:val="both"/>
        <w:rPr>
          <w:rFonts w:eastAsia="Times New Roman" w:cs="Times New Roman"/>
          <w:kern w:val="24"/>
          <w:szCs w:val="24"/>
        </w:rPr>
      </w:pPr>
    </w:p>
    <w:p w14:paraId="55B34535" w14:textId="77777777" w:rsidR="00421A83" w:rsidRPr="00881081" w:rsidRDefault="00421A83" w:rsidP="00421A83">
      <w:pPr>
        <w:ind w:firstLine="720"/>
        <w:jc w:val="both"/>
        <w:rPr>
          <w:rFonts w:cs="Times New Roman"/>
          <w:szCs w:val="24"/>
        </w:rPr>
      </w:pPr>
    </w:p>
    <w:p w14:paraId="5972F87D" w14:textId="77777777" w:rsidR="00421A83" w:rsidRPr="00421A83" w:rsidRDefault="00421A83" w:rsidP="00421A83"/>
    <w:p w14:paraId="2AB3C561" w14:textId="77777777" w:rsidR="00A956E7" w:rsidRDefault="00A956E7" w:rsidP="009A2DBE">
      <w:pPr>
        <w:pStyle w:val="Heading1"/>
        <w:tabs>
          <w:tab w:val="left" w:pos="6840"/>
        </w:tabs>
        <w:spacing w:before="0"/>
        <w:rPr>
          <w:rFonts w:ascii="Times New Roman" w:hAnsi="Times New Roman" w:cs="Times New Roman"/>
          <w:noProof/>
          <w:color w:val="000000" w:themeColor="text1"/>
          <w:sz w:val="24"/>
          <w:szCs w:val="24"/>
        </w:rPr>
      </w:pPr>
    </w:p>
    <w:p w14:paraId="4DA7D847" w14:textId="77777777" w:rsidR="00A956E7" w:rsidRDefault="00A956E7" w:rsidP="00A773A6">
      <w:pPr>
        <w:pStyle w:val="Heading1"/>
        <w:tabs>
          <w:tab w:val="left" w:pos="6840"/>
        </w:tabs>
        <w:spacing w:before="0"/>
        <w:rPr>
          <w:rFonts w:ascii="Times New Roman" w:hAnsi="Times New Roman" w:cs="Times New Roman"/>
          <w:noProof/>
          <w:color w:val="000000" w:themeColor="text1"/>
          <w:sz w:val="24"/>
          <w:szCs w:val="24"/>
        </w:rPr>
      </w:pPr>
    </w:p>
    <w:p w14:paraId="3B2104EB" w14:textId="77777777" w:rsidR="00A956E7" w:rsidRPr="00A773A6" w:rsidRDefault="00091292" w:rsidP="00A956E7">
      <w:pPr>
        <w:pStyle w:val="Heading1"/>
        <w:tabs>
          <w:tab w:val="left" w:pos="6840"/>
        </w:tabs>
        <w:spacing w:before="0"/>
        <w:rPr>
          <w:rFonts w:ascii="Times New Roman" w:hAnsi="Times New Roman" w:cs="Times New Roman"/>
          <w:color w:val="000000" w:themeColor="text1"/>
          <w:sz w:val="24"/>
          <w:szCs w:val="24"/>
          <w:lang w:eastAsia="lv-LV"/>
        </w:rPr>
      </w:pPr>
      <w:r w:rsidRPr="00A773A6">
        <w:rPr>
          <w:rFonts w:ascii="Times New Roman" w:hAnsi="Times New Roman" w:cs="Times New Roman"/>
          <w:noProof/>
          <w:color w:val="000000" w:themeColor="text1"/>
          <w:sz w:val="24"/>
          <w:szCs w:val="24"/>
        </w:rPr>
        <w:t>Finanšu ministrs</w:t>
      </w:r>
      <w:r w:rsidR="00A956E7">
        <w:rPr>
          <w:rFonts w:ascii="Times New Roman" w:hAnsi="Times New Roman" w:cs="Times New Roman"/>
          <w:noProof/>
          <w:color w:val="000000" w:themeColor="text1"/>
          <w:sz w:val="24"/>
          <w:szCs w:val="24"/>
        </w:rPr>
        <w:t xml:space="preserve"> </w:t>
      </w:r>
      <w:r w:rsidR="00B11113" w:rsidRPr="00A773A6">
        <w:rPr>
          <w:rFonts w:ascii="Times New Roman" w:hAnsi="Times New Roman" w:cs="Times New Roman"/>
          <w:noProof/>
          <w:color w:val="000000" w:themeColor="text1"/>
          <w:sz w:val="24"/>
          <w:szCs w:val="24"/>
        </w:rPr>
        <w:tab/>
      </w:r>
      <w:r w:rsidR="008F24BC">
        <w:rPr>
          <w:rFonts w:ascii="Times New Roman" w:hAnsi="Times New Roman" w:cs="Times New Roman"/>
          <w:noProof/>
          <w:color w:val="000000" w:themeColor="text1"/>
          <w:sz w:val="24"/>
          <w:szCs w:val="24"/>
        </w:rPr>
        <w:t xml:space="preserve">                 </w:t>
      </w:r>
      <w:r w:rsidR="00AE3856" w:rsidRPr="00A773A6">
        <w:rPr>
          <w:rFonts w:ascii="Times New Roman" w:hAnsi="Times New Roman" w:cs="Times New Roman"/>
          <w:noProof/>
          <w:color w:val="000000" w:themeColor="text1"/>
          <w:sz w:val="24"/>
          <w:szCs w:val="24"/>
        </w:rPr>
        <w:t xml:space="preserve"> </w:t>
      </w:r>
      <w:r w:rsidR="009A21B6" w:rsidRPr="00A773A6">
        <w:rPr>
          <w:rFonts w:ascii="Times New Roman" w:hAnsi="Times New Roman" w:cs="Times New Roman"/>
          <w:noProof/>
          <w:color w:val="000000" w:themeColor="text1"/>
          <w:sz w:val="24"/>
          <w:szCs w:val="24"/>
        </w:rPr>
        <w:t xml:space="preserve">      </w:t>
      </w:r>
      <w:r w:rsidR="00A956E7" w:rsidRPr="00A773A6">
        <w:rPr>
          <w:rFonts w:ascii="Times New Roman" w:hAnsi="Times New Roman" w:cs="Times New Roman"/>
          <w:noProof/>
          <w:color w:val="000000" w:themeColor="text1"/>
          <w:sz w:val="24"/>
          <w:szCs w:val="24"/>
        </w:rPr>
        <w:t>J.Reirs</w:t>
      </w:r>
    </w:p>
    <w:p w14:paraId="7CC67F23" w14:textId="77777777" w:rsidR="00B11113" w:rsidRPr="00A773A6" w:rsidRDefault="009A21B6" w:rsidP="00A773A6">
      <w:pPr>
        <w:pStyle w:val="Heading1"/>
        <w:tabs>
          <w:tab w:val="left" w:pos="6840"/>
        </w:tabs>
        <w:spacing w:before="0"/>
        <w:rPr>
          <w:rFonts w:ascii="Times New Roman" w:hAnsi="Times New Roman" w:cs="Times New Roman"/>
          <w:color w:val="000000" w:themeColor="text1"/>
          <w:sz w:val="24"/>
          <w:szCs w:val="24"/>
          <w:lang w:eastAsia="lv-LV"/>
        </w:rPr>
      </w:pPr>
      <w:r w:rsidRPr="00A773A6">
        <w:rPr>
          <w:rFonts w:ascii="Times New Roman" w:hAnsi="Times New Roman" w:cs="Times New Roman"/>
          <w:noProof/>
          <w:color w:val="000000" w:themeColor="text1"/>
          <w:sz w:val="24"/>
          <w:szCs w:val="24"/>
        </w:rPr>
        <w:t xml:space="preserve"> </w:t>
      </w:r>
      <w:r w:rsidR="00C81D2D" w:rsidRPr="00A773A6">
        <w:rPr>
          <w:rFonts w:ascii="Times New Roman" w:hAnsi="Times New Roman" w:cs="Times New Roman"/>
          <w:noProof/>
          <w:color w:val="000000" w:themeColor="text1"/>
          <w:sz w:val="24"/>
          <w:szCs w:val="24"/>
        </w:rPr>
        <w:t xml:space="preserve">           </w:t>
      </w:r>
      <w:r w:rsidR="00B221BD" w:rsidRPr="00A773A6">
        <w:rPr>
          <w:rFonts w:ascii="Times New Roman" w:hAnsi="Times New Roman" w:cs="Times New Roman"/>
          <w:noProof/>
          <w:color w:val="000000" w:themeColor="text1"/>
          <w:sz w:val="24"/>
          <w:szCs w:val="24"/>
        </w:rPr>
        <w:t xml:space="preserve">  </w:t>
      </w:r>
      <w:r w:rsidR="00A956E7">
        <w:rPr>
          <w:rFonts w:ascii="Times New Roman" w:hAnsi="Times New Roman" w:cs="Times New Roman"/>
          <w:noProof/>
          <w:color w:val="000000" w:themeColor="text1"/>
          <w:sz w:val="24"/>
          <w:szCs w:val="24"/>
        </w:rPr>
        <w:t xml:space="preserve">       </w:t>
      </w:r>
    </w:p>
    <w:p w14:paraId="660864C3" w14:textId="77777777" w:rsidR="00CF216A" w:rsidRDefault="00CF216A" w:rsidP="00A773A6">
      <w:pPr>
        <w:tabs>
          <w:tab w:val="left" w:pos="4216"/>
        </w:tabs>
        <w:jc w:val="both"/>
        <w:rPr>
          <w:rFonts w:cs="Times New Roman"/>
          <w:szCs w:val="24"/>
        </w:rPr>
      </w:pPr>
    </w:p>
    <w:p w14:paraId="6B0E8134" w14:textId="77777777" w:rsidR="00A956E7" w:rsidRDefault="00A956E7" w:rsidP="00A773A6">
      <w:pPr>
        <w:tabs>
          <w:tab w:val="left" w:pos="4216"/>
        </w:tabs>
        <w:jc w:val="both"/>
        <w:rPr>
          <w:rFonts w:cs="Times New Roman"/>
          <w:szCs w:val="24"/>
        </w:rPr>
      </w:pPr>
    </w:p>
    <w:p w14:paraId="267F851A" w14:textId="77777777" w:rsidR="00A956E7" w:rsidRDefault="00A956E7" w:rsidP="00A773A6">
      <w:pPr>
        <w:tabs>
          <w:tab w:val="left" w:pos="4216"/>
        </w:tabs>
        <w:jc w:val="both"/>
        <w:rPr>
          <w:rFonts w:cs="Times New Roman"/>
          <w:szCs w:val="24"/>
        </w:rPr>
      </w:pPr>
    </w:p>
    <w:p w14:paraId="05220ECA" w14:textId="77777777" w:rsidR="00A956E7" w:rsidRPr="00A956E7" w:rsidRDefault="00A956E7" w:rsidP="00A773A6">
      <w:pPr>
        <w:tabs>
          <w:tab w:val="left" w:pos="4216"/>
        </w:tabs>
        <w:jc w:val="both"/>
        <w:rPr>
          <w:rFonts w:cs="Times New Roman"/>
          <w:sz w:val="20"/>
          <w:szCs w:val="24"/>
        </w:rPr>
      </w:pPr>
    </w:p>
    <w:p w14:paraId="069E14C8" w14:textId="77777777" w:rsidR="00A956E7" w:rsidRPr="00A956E7" w:rsidRDefault="00A956E7" w:rsidP="00A956E7">
      <w:pPr>
        <w:tabs>
          <w:tab w:val="left" w:pos="4216"/>
        </w:tabs>
        <w:jc w:val="both"/>
        <w:rPr>
          <w:rFonts w:cs="Times New Roman"/>
          <w:sz w:val="20"/>
          <w:szCs w:val="24"/>
        </w:rPr>
      </w:pPr>
      <w:r w:rsidRPr="00A956E7">
        <w:rPr>
          <w:rFonts w:cs="Times New Roman"/>
          <w:sz w:val="20"/>
          <w:szCs w:val="24"/>
        </w:rPr>
        <w:t>Deksne, 67083823</w:t>
      </w:r>
    </w:p>
    <w:p w14:paraId="798FF560" w14:textId="77777777" w:rsidR="00A956E7" w:rsidRPr="00A956E7" w:rsidRDefault="00A956E7" w:rsidP="00A956E7">
      <w:pPr>
        <w:tabs>
          <w:tab w:val="left" w:pos="4216"/>
        </w:tabs>
        <w:jc w:val="both"/>
        <w:rPr>
          <w:rFonts w:cs="Times New Roman"/>
          <w:sz w:val="20"/>
          <w:szCs w:val="24"/>
        </w:rPr>
      </w:pPr>
      <w:r w:rsidRPr="00A956E7">
        <w:rPr>
          <w:rFonts w:cs="Times New Roman"/>
          <w:sz w:val="20"/>
          <w:szCs w:val="24"/>
        </w:rPr>
        <w:t>anna.deksne@fm.gov.lv</w:t>
      </w:r>
    </w:p>
    <w:sectPr w:rsidR="00A956E7" w:rsidRPr="00A956E7" w:rsidSect="00A956E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72D0" w16cex:dateUtc="2021-08-12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BE163F" w16cid:durableId="24BF700E"/>
  <w16cid:commentId w16cid:paraId="0153AF27" w16cid:durableId="24BF72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C43D9" w14:textId="77777777" w:rsidR="00335CAC" w:rsidRDefault="00335CAC" w:rsidP="001907A7">
      <w:r>
        <w:separator/>
      </w:r>
    </w:p>
  </w:endnote>
  <w:endnote w:type="continuationSeparator" w:id="0">
    <w:p w14:paraId="78A7215C" w14:textId="77777777" w:rsidR="00335CAC" w:rsidRDefault="00335CAC" w:rsidP="0019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483FE" w14:textId="77777777" w:rsidR="00A9038F" w:rsidRDefault="00A90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333F" w14:textId="427042F3" w:rsidR="00A956E7" w:rsidRDefault="005764E2" w:rsidP="00A956E7">
    <w:pPr>
      <w:jc w:val="both"/>
      <w:rPr>
        <w:noProof/>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A9038F">
      <w:rPr>
        <w:noProof/>
        <w:sz w:val="18"/>
        <w:szCs w:val="18"/>
      </w:rPr>
      <w:t>FMzin_12</w:t>
    </w:r>
    <w:r w:rsidR="00983AFC">
      <w:rPr>
        <w:noProof/>
        <w:sz w:val="18"/>
        <w:szCs w:val="18"/>
      </w:rPr>
      <w:t>08</w:t>
    </w:r>
    <w:r>
      <w:rPr>
        <w:noProof/>
        <w:sz w:val="18"/>
        <w:szCs w:val="18"/>
      </w:rPr>
      <w:t>21_ESM_2020.docx</w:t>
    </w:r>
    <w:r>
      <w:rPr>
        <w:sz w:val="18"/>
        <w:szCs w:val="18"/>
      </w:rPr>
      <w:fldChar w:fldCharType="end"/>
    </w:r>
  </w:p>
  <w:p w14:paraId="1ACDD1BA" w14:textId="77777777" w:rsidR="00A956E7" w:rsidRPr="00A956E7" w:rsidRDefault="00A956E7" w:rsidP="00A956E7">
    <w:pPr>
      <w:jc w:val="both"/>
      <w:rPr>
        <w:noProo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89E9" w14:textId="20F798F4" w:rsidR="00804885" w:rsidRPr="00FF1FB0" w:rsidRDefault="00FF1FB0" w:rsidP="00804885">
    <w:pPr>
      <w:jc w:val="both"/>
      <w:rPr>
        <w:noProof/>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A9038F">
      <w:rPr>
        <w:noProof/>
        <w:sz w:val="18"/>
        <w:szCs w:val="18"/>
      </w:rPr>
      <w:t>FMzin_12</w:t>
    </w:r>
    <w:r w:rsidR="00983AFC">
      <w:rPr>
        <w:noProof/>
        <w:sz w:val="18"/>
        <w:szCs w:val="18"/>
      </w:rPr>
      <w:t>08</w:t>
    </w:r>
    <w:r w:rsidR="005764E2">
      <w:rPr>
        <w:noProof/>
        <w:sz w:val="18"/>
        <w:szCs w:val="18"/>
      </w:rPr>
      <w:t>21_ESM_2020</w:t>
    </w:r>
    <w:r w:rsidR="003D3313">
      <w:rPr>
        <w:noProof/>
        <w:sz w:val="18"/>
        <w:szCs w:val="18"/>
      </w:rPr>
      <w:t>.docx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06E4C" w14:textId="77777777" w:rsidR="00335CAC" w:rsidRDefault="00335CAC" w:rsidP="001907A7">
      <w:r>
        <w:separator/>
      </w:r>
    </w:p>
  </w:footnote>
  <w:footnote w:type="continuationSeparator" w:id="0">
    <w:p w14:paraId="2FEB4AE1" w14:textId="77777777" w:rsidR="00335CAC" w:rsidRDefault="00335CAC" w:rsidP="0019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4952" w14:textId="77777777" w:rsidR="00A9038F" w:rsidRDefault="00A90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52100"/>
      <w:docPartObj>
        <w:docPartGallery w:val="Page Numbers (Top of Page)"/>
        <w:docPartUnique/>
      </w:docPartObj>
    </w:sdtPr>
    <w:sdtEndPr>
      <w:rPr>
        <w:noProof/>
        <w:sz w:val="22"/>
      </w:rPr>
    </w:sdtEndPr>
    <w:sdtContent>
      <w:p w14:paraId="29F2C964" w14:textId="3CEFD192" w:rsidR="005B1B7A" w:rsidRPr="00A31105" w:rsidRDefault="005B1B7A" w:rsidP="00896C7F">
        <w:pPr>
          <w:pStyle w:val="Header"/>
          <w:jc w:val="center"/>
          <w:rPr>
            <w:sz w:val="22"/>
          </w:rPr>
        </w:pPr>
        <w:r w:rsidRPr="00A31105">
          <w:rPr>
            <w:sz w:val="22"/>
          </w:rPr>
          <w:fldChar w:fldCharType="begin"/>
        </w:r>
        <w:r w:rsidRPr="00A31105">
          <w:rPr>
            <w:sz w:val="22"/>
          </w:rPr>
          <w:instrText xml:space="preserve"> PAGE   \* MERGEFORMAT </w:instrText>
        </w:r>
        <w:r w:rsidRPr="00A31105">
          <w:rPr>
            <w:sz w:val="22"/>
          </w:rPr>
          <w:fldChar w:fldCharType="separate"/>
        </w:r>
        <w:r w:rsidR="005C5617">
          <w:rPr>
            <w:noProof/>
            <w:sz w:val="22"/>
          </w:rPr>
          <w:t>4</w:t>
        </w:r>
        <w:r w:rsidRPr="00A31105">
          <w:rPr>
            <w:noProof/>
            <w:sz w:val="22"/>
          </w:rPr>
          <w:fldChar w:fldCharType="end"/>
        </w:r>
      </w:p>
    </w:sdtContent>
  </w:sdt>
  <w:p w14:paraId="6224DD7D" w14:textId="77777777" w:rsidR="00497D97" w:rsidRDefault="00497D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3F13" w14:textId="77777777" w:rsidR="00A9038F" w:rsidRDefault="00A90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901"/>
    <w:multiLevelType w:val="hybridMultilevel"/>
    <w:tmpl w:val="F8E27BF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A120161"/>
    <w:multiLevelType w:val="hybridMultilevel"/>
    <w:tmpl w:val="32C886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56B9E"/>
    <w:multiLevelType w:val="multilevel"/>
    <w:tmpl w:val="014C1A1C"/>
    <w:lvl w:ilvl="0">
      <w:start w:val="1"/>
      <w:numFmt w:val="decimal"/>
      <w:lvlText w:val="%1."/>
      <w:lvlJc w:val="left"/>
      <w:pPr>
        <w:ind w:left="1069"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BD46648"/>
    <w:multiLevelType w:val="hybridMultilevel"/>
    <w:tmpl w:val="74C293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17A7BC2"/>
    <w:multiLevelType w:val="hybridMultilevel"/>
    <w:tmpl w:val="433E01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E7742A"/>
    <w:multiLevelType w:val="hybridMultilevel"/>
    <w:tmpl w:val="93A47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FA2C11"/>
    <w:multiLevelType w:val="hybridMultilevel"/>
    <w:tmpl w:val="7F509B04"/>
    <w:lvl w:ilvl="0" w:tplc="EEF02E40">
      <w:start w:val="2012"/>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A12410"/>
    <w:multiLevelType w:val="hybridMultilevel"/>
    <w:tmpl w:val="6B46CB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322336"/>
    <w:multiLevelType w:val="hybridMultilevel"/>
    <w:tmpl w:val="F208E3D8"/>
    <w:lvl w:ilvl="0" w:tplc="EEF02E40">
      <w:start w:val="20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83356A"/>
    <w:multiLevelType w:val="hybridMultilevel"/>
    <w:tmpl w:val="B25C0E0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0AF63AF"/>
    <w:multiLevelType w:val="multilevel"/>
    <w:tmpl w:val="D56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716853"/>
    <w:multiLevelType w:val="hybridMultilevel"/>
    <w:tmpl w:val="F442085E"/>
    <w:lvl w:ilvl="0" w:tplc="EEF02E40">
      <w:start w:val="2012"/>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423C3C52"/>
    <w:multiLevelType w:val="hybridMultilevel"/>
    <w:tmpl w:val="5EF65FF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EAC5A46"/>
    <w:multiLevelType w:val="hybridMultilevel"/>
    <w:tmpl w:val="958EFB0A"/>
    <w:lvl w:ilvl="0" w:tplc="0426000F">
      <w:start w:val="1"/>
      <w:numFmt w:val="decimal"/>
      <w:lvlText w:val="%1."/>
      <w:lvlJc w:val="left"/>
      <w:pPr>
        <w:ind w:left="4614"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31D4125"/>
    <w:multiLevelType w:val="hybridMultilevel"/>
    <w:tmpl w:val="CBC60B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54E67EA"/>
    <w:multiLevelType w:val="hybridMultilevel"/>
    <w:tmpl w:val="996E9DD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6" w15:restartNumberingAfterBreak="0">
    <w:nsid w:val="635744F5"/>
    <w:multiLevelType w:val="hybridMultilevel"/>
    <w:tmpl w:val="4052F8A4"/>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65AE1497"/>
    <w:multiLevelType w:val="multilevel"/>
    <w:tmpl w:val="014C1A1C"/>
    <w:lvl w:ilvl="0">
      <w:start w:val="1"/>
      <w:numFmt w:val="decimal"/>
      <w:lvlText w:val="%1."/>
      <w:lvlJc w:val="left"/>
      <w:pPr>
        <w:ind w:left="1069"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6C4D0A2A"/>
    <w:multiLevelType w:val="multilevel"/>
    <w:tmpl w:val="014C1A1C"/>
    <w:lvl w:ilvl="0">
      <w:start w:val="1"/>
      <w:numFmt w:val="decimal"/>
      <w:lvlText w:val="%1."/>
      <w:lvlJc w:val="left"/>
      <w:pPr>
        <w:ind w:left="1069"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70997F96"/>
    <w:multiLevelType w:val="hybridMultilevel"/>
    <w:tmpl w:val="E744B964"/>
    <w:lvl w:ilvl="0" w:tplc="EEF02E40">
      <w:start w:val="201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0" w15:restartNumberingAfterBreak="0">
    <w:nsid w:val="7B041730"/>
    <w:multiLevelType w:val="hybridMultilevel"/>
    <w:tmpl w:val="9FA401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CD432F9"/>
    <w:multiLevelType w:val="hybridMultilevel"/>
    <w:tmpl w:val="813AF68C"/>
    <w:lvl w:ilvl="0" w:tplc="04260005">
      <w:start w:val="1"/>
      <w:numFmt w:val="bullet"/>
      <w:lvlText w:val=""/>
      <w:lvlJc w:val="left"/>
      <w:pPr>
        <w:ind w:left="757" w:hanging="360"/>
      </w:pPr>
      <w:rPr>
        <w:rFonts w:ascii="Wingdings" w:hAnsi="Wingdings"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2" w15:restartNumberingAfterBreak="0">
    <w:nsid w:val="7E6C3CFC"/>
    <w:multiLevelType w:val="hybridMultilevel"/>
    <w:tmpl w:val="C2C6B8C6"/>
    <w:lvl w:ilvl="0" w:tplc="EEF02E40">
      <w:start w:val="201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0"/>
  </w:num>
  <w:num w:numId="5">
    <w:abstractNumId w:val="21"/>
  </w:num>
  <w:num w:numId="6">
    <w:abstractNumId w:val="3"/>
  </w:num>
  <w:num w:numId="7">
    <w:abstractNumId w:val="4"/>
  </w:num>
  <w:num w:numId="8">
    <w:abstractNumId w:val="20"/>
  </w:num>
  <w:num w:numId="9">
    <w:abstractNumId w:val="14"/>
  </w:num>
  <w:num w:numId="10">
    <w:abstractNumId w:val="12"/>
  </w:num>
  <w:num w:numId="11">
    <w:abstractNumId w:val="1"/>
  </w:num>
  <w:num w:numId="12">
    <w:abstractNumId w:val="9"/>
  </w:num>
  <w:num w:numId="13">
    <w:abstractNumId w:val="15"/>
  </w:num>
  <w:num w:numId="14">
    <w:abstractNumId w:val="18"/>
  </w:num>
  <w:num w:numId="15">
    <w:abstractNumId w:val="19"/>
  </w:num>
  <w:num w:numId="16">
    <w:abstractNumId w:val="11"/>
  </w:num>
  <w:num w:numId="17">
    <w:abstractNumId w:val="22"/>
  </w:num>
  <w:num w:numId="18">
    <w:abstractNumId w:val="6"/>
  </w:num>
  <w:num w:numId="19">
    <w:abstractNumId w:val="8"/>
  </w:num>
  <w:num w:numId="20">
    <w:abstractNumId w:val="2"/>
  </w:num>
  <w:num w:numId="21">
    <w:abstractNumId w:val="17"/>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9F"/>
    <w:rsid w:val="0000092A"/>
    <w:rsid w:val="00000971"/>
    <w:rsid w:val="00000D0D"/>
    <w:rsid w:val="00004B78"/>
    <w:rsid w:val="00004DF1"/>
    <w:rsid w:val="00004E13"/>
    <w:rsid w:val="0000616B"/>
    <w:rsid w:val="00014BC7"/>
    <w:rsid w:val="0002018B"/>
    <w:rsid w:val="00032C70"/>
    <w:rsid w:val="0003320B"/>
    <w:rsid w:val="00033372"/>
    <w:rsid w:val="00033A36"/>
    <w:rsid w:val="000357AB"/>
    <w:rsid w:val="00036CBF"/>
    <w:rsid w:val="00041182"/>
    <w:rsid w:val="000415DE"/>
    <w:rsid w:val="00041D64"/>
    <w:rsid w:val="00042155"/>
    <w:rsid w:val="00042954"/>
    <w:rsid w:val="000430F2"/>
    <w:rsid w:val="000443F9"/>
    <w:rsid w:val="0004606F"/>
    <w:rsid w:val="00051835"/>
    <w:rsid w:val="00052415"/>
    <w:rsid w:val="000546FE"/>
    <w:rsid w:val="000553F9"/>
    <w:rsid w:val="00057128"/>
    <w:rsid w:val="00060396"/>
    <w:rsid w:val="00061979"/>
    <w:rsid w:val="00065412"/>
    <w:rsid w:val="000702C9"/>
    <w:rsid w:val="000753CB"/>
    <w:rsid w:val="0008170F"/>
    <w:rsid w:val="0008199E"/>
    <w:rsid w:val="00084DC8"/>
    <w:rsid w:val="00085635"/>
    <w:rsid w:val="00090C27"/>
    <w:rsid w:val="00091292"/>
    <w:rsid w:val="000A0264"/>
    <w:rsid w:val="000A07C1"/>
    <w:rsid w:val="000B13AC"/>
    <w:rsid w:val="000B18F7"/>
    <w:rsid w:val="000B1FC7"/>
    <w:rsid w:val="000B4FF2"/>
    <w:rsid w:val="000B529B"/>
    <w:rsid w:val="000B540C"/>
    <w:rsid w:val="000B5B8A"/>
    <w:rsid w:val="000B62EC"/>
    <w:rsid w:val="000C076D"/>
    <w:rsid w:val="000C45E9"/>
    <w:rsid w:val="000C5365"/>
    <w:rsid w:val="000C5D0C"/>
    <w:rsid w:val="000C7419"/>
    <w:rsid w:val="000D2339"/>
    <w:rsid w:val="000D4194"/>
    <w:rsid w:val="000D5783"/>
    <w:rsid w:val="000D7675"/>
    <w:rsid w:val="000E3AB8"/>
    <w:rsid w:val="000E698F"/>
    <w:rsid w:val="000E7D90"/>
    <w:rsid w:val="000F00DF"/>
    <w:rsid w:val="000F237C"/>
    <w:rsid w:val="000F4067"/>
    <w:rsid w:val="000F48EA"/>
    <w:rsid w:val="000F53DF"/>
    <w:rsid w:val="00100216"/>
    <w:rsid w:val="00101D4E"/>
    <w:rsid w:val="00101DC9"/>
    <w:rsid w:val="00102197"/>
    <w:rsid w:val="00105EEE"/>
    <w:rsid w:val="001113BF"/>
    <w:rsid w:val="001145D4"/>
    <w:rsid w:val="00122D35"/>
    <w:rsid w:val="0012434F"/>
    <w:rsid w:val="00124DEE"/>
    <w:rsid w:val="00125B6D"/>
    <w:rsid w:val="00126779"/>
    <w:rsid w:val="00127E5D"/>
    <w:rsid w:val="0013137B"/>
    <w:rsid w:val="00131D60"/>
    <w:rsid w:val="00141D76"/>
    <w:rsid w:val="001420FB"/>
    <w:rsid w:val="001424FF"/>
    <w:rsid w:val="00143EEE"/>
    <w:rsid w:val="0014588E"/>
    <w:rsid w:val="00146655"/>
    <w:rsid w:val="001503D4"/>
    <w:rsid w:val="00151A50"/>
    <w:rsid w:val="00157DB9"/>
    <w:rsid w:val="0016203E"/>
    <w:rsid w:val="001643D0"/>
    <w:rsid w:val="001672A6"/>
    <w:rsid w:val="00171469"/>
    <w:rsid w:val="00171BE2"/>
    <w:rsid w:val="00173195"/>
    <w:rsid w:val="0017633C"/>
    <w:rsid w:val="00176C5E"/>
    <w:rsid w:val="0018674C"/>
    <w:rsid w:val="001907A7"/>
    <w:rsid w:val="00192C59"/>
    <w:rsid w:val="001953F5"/>
    <w:rsid w:val="001960C9"/>
    <w:rsid w:val="00196E53"/>
    <w:rsid w:val="001A2456"/>
    <w:rsid w:val="001A4106"/>
    <w:rsid w:val="001A7C49"/>
    <w:rsid w:val="001A7F8F"/>
    <w:rsid w:val="001B1337"/>
    <w:rsid w:val="001B19A6"/>
    <w:rsid w:val="001B5973"/>
    <w:rsid w:val="001B7BA9"/>
    <w:rsid w:val="001C1B34"/>
    <w:rsid w:val="001C1D85"/>
    <w:rsid w:val="001C2094"/>
    <w:rsid w:val="001C32E4"/>
    <w:rsid w:val="001C4618"/>
    <w:rsid w:val="001C55AA"/>
    <w:rsid w:val="001C7FED"/>
    <w:rsid w:val="001D0841"/>
    <w:rsid w:val="001D29D7"/>
    <w:rsid w:val="001D63F2"/>
    <w:rsid w:val="001E3573"/>
    <w:rsid w:val="001E3DD6"/>
    <w:rsid w:val="001E7658"/>
    <w:rsid w:val="001E79A9"/>
    <w:rsid w:val="001F006C"/>
    <w:rsid w:val="001F3658"/>
    <w:rsid w:val="001F5245"/>
    <w:rsid w:val="001F57B3"/>
    <w:rsid w:val="001F7A49"/>
    <w:rsid w:val="0020097B"/>
    <w:rsid w:val="002018E8"/>
    <w:rsid w:val="00202D1F"/>
    <w:rsid w:val="00204419"/>
    <w:rsid w:val="00205871"/>
    <w:rsid w:val="002102E3"/>
    <w:rsid w:val="00210F31"/>
    <w:rsid w:val="00210F59"/>
    <w:rsid w:val="00221D74"/>
    <w:rsid w:val="00222243"/>
    <w:rsid w:val="0022352E"/>
    <w:rsid w:val="002239E0"/>
    <w:rsid w:val="002245D4"/>
    <w:rsid w:val="00225BE6"/>
    <w:rsid w:val="002307F3"/>
    <w:rsid w:val="0023328D"/>
    <w:rsid w:val="00233BEA"/>
    <w:rsid w:val="00233E6D"/>
    <w:rsid w:val="002373FE"/>
    <w:rsid w:val="00240A47"/>
    <w:rsid w:val="0024294E"/>
    <w:rsid w:val="0024666A"/>
    <w:rsid w:val="00246D5D"/>
    <w:rsid w:val="00246F94"/>
    <w:rsid w:val="00254817"/>
    <w:rsid w:val="0025522A"/>
    <w:rsid w:val="00257A47"/>
    <w:rsid w:val="002601B4"/>
    <w:rsid w:val="00260B26"/>
    <w:rsid w:val="00263737"/>
    <w:rsid w:val="00265EF8"/>
    <w:rsid w:val="002713EE"/>
    <w:rsid w:val="002715CA"/>
    <w:rsid w:val="00273663"/>
    <w:rsid w:val="002764F1"/>
    <w:rsid w:val="002774B1"/>
    <w:rsid w:val="00277AC8"/>
    <w:rsid w:val="00277D1B"/>
    <w:rsid w:val="00277D76"/>
    <w:rsid w:val="00280255"/>
    <w:rsid w:val="002848A6"/>
    <w:rsid w:val="00284E15"/>
    <w:rsid w:val="00287D40"/>
    <w:rsid w:val="0029137B"/>
    <w:rsid w:val="002920DF"/>
    <w:rsid w:val="002924A1"/>
    <w:rsid w:val="00293A15"/>
    <w:rsid w:val="00296AC1"/>
    <w:rsid w:val="002A2D30"/>
    <w:rsid w:val="002A5780"/>
    <w:rsid w:val="002A6276"/>
    <w:rsid w:val="002A7ADA"/>
    <w:rsid w:val="002B22DD"/>
    <w:rsid w:val="002B4459"/>
    <w:rsid w:val="002B46EA"/>
    <w:rsid w:val="002B54BC"/>
    <w:rsid w:val="002B6B90"/>
    <w:rsid w:val="002C0546"/>
    <w:rsid w:val="002C13FC"/>
    <w:rsid w:val="002C37D7"/>
    <w:rsid w:val="002C3BC5"/>
    <w:rsid w:val="002D12F8"/>
    <w:rsid w:val="002D1435"/>
    <w:rsid w:val="002D2D0B"/>
    <w:rsid w:val="002D351A"/>
    <w:rsid w:val="002D3808"/>
    <w:rsid w:val="002D3D40"/>
    <w:rsid w:val="002D3E68"/>
    <w:rsid w:val="002D70ED"/>
    <w:rsid w:val="002E12CB"/>
    <w:rsid w:val="002E2149"/>
    <w:rsid w:val="002E416D"/>
    <w:rsid w:val="002E422A"/>
    <w:rsid w:val="002E6FC2"/>
    <w:rsid w:val="002F4990"/>
    <w:rsid w:val="002F7DC9"/>
    <w:rsid w:val="002F7FB5"/>
    <w:rsid w:val="00302D46"/>
    <w:rsid w:val="00303D5F"/>
    <w:rsid w:val="0030497D"/>
    <w:rsid w:val="00305DC0"/>
    <w:rsid w:val="0030661F"/>
    <w:rsid w:val="003200F7"/>
    <w:rsid w:val="00321309"/>
    <w:rsid w:val="00325000"/>
    <w:rsid w:val="00325E12"/>
    <w:rsid w:val="00327473"/>
    <w:rsid w:val="00327D5C"/>
    <w:rsid w:val="00330BF4"/>
    <w:rsid w:val="00331EFA"/>
    <w:rsid w:val="00335CAC"/>
    <w:rsid w:val="00336790"/>
    <w:rsid w:val="00337E78"/>
    <w:rsid w:val="00346138"/>
    <w:rsid w:val="003537F5"/>
    <w:rsid w:val="003540A8"/>
    <w:rsid w:val="00357760"/>
    <w:rsid w:val="0036034E"/>
    <w:rsid w:val="003604A0"/>
    <w:rsid w:val="00361095"/>
    <w:rsid w:val="00365447"/>
    <w:rsid w:val="00365FAB"/>
    <w:rsid w:val="0036609C"/>
    <w:rsid w:val="00371C18"/>
    <w:rsid w:val="00372DDE"/>
    <w:rsid w:val="003738C6"/>
    <w:rsid w:val="0037448F"/>
    <w:rsid w:val="00376402"/>
    <w:rsid w:val="00377E10"/>
    <w:rsid w:val="00380BC8"/>
    <w:rsid w:val="00381906"/>
    <w:rsid w:val="0038266A"/>
    <w:rsid w:val="00382674"/>
    <w:rsid w:val="00383807"/>
    <w:rsid w:val="0038519E"/>
    <w:rsid w:val="00385E18"/>
    <w:rsid w:val="003869A2"/>
    <w:rsid w:val="00392FC8"/>
    <w:rsid w:val="00393AFB"/>
    <w:rsid w:val="003A0482"/>
    <w:rsid w:val="003A0EC6"/>
    <w:rsid w:val="003A1421"/>
    <w:rsid w:val="003A2703"/>
    <w:rsid w:val="003A2FFA"/>
    <w:rsid w:val="003A3BCE"/>
    <w:rsid w:val="003A7D77"/>
    <w:rsid w:val="003B0B6D"/>
    <w:rsid w:val="003B6D35"/>
    <w:rsid w:val="003C03BE"/>
    <w:rsid w:val="003C40F7"/>
    <w:rsid w:val="003C472D"/>
    <w:rsid w:val="003C62E5"/>
    <w:rsid w:val="003D2C89"/>
    <w:rsid w:val="003D3313"/>
    <w:rsid w:val="003D3B72"/>
    <w:rsid w:val="003D486A"/>
    <w:rsid w:val="003D79C9"/>
    <w:rsid w:val="003E67F9"/>
    <w:rsid w:val="003F0316"/>
    <w:rsid w:val="003F0F01"/>
    <w:rsid w:val="003F3E8D"/>
    <w:rsid w:val="003F4BE0"/>
    <w:rsid w:val="003F5351"/>
    <w:rsid w:val="00400110"/>
    <w:rsid w:val="00403BE4"/>
    <w:rsid w:val="0040727A"/>
    <w:rsid w:val="0041354F"/>
    <w:rsid w:val="00413851"/>
    <w:rsid w:val="004201EB"/>
    <w:rsid w:val="00421A83"/>
    <w:rsid w:val="00422C1A"/>
    <w:rsid w:val="004248FE"/>
    <w:rsid w:val="004257A2"/>
    <w:rsid w:val="00426DDA"/>
    <w:rsid w:val="004333B1"/>
    <w:rsid w:val="00434122"/>
    <w:rsid w:val="0043593D"/>
    <w:rsid w:val="004370EC"/>
    <w:rsid w:val="0044061A"/>
    <w:rsid w:val="00440F0E"/>
    <w:rsid w:val="004410F8"/>
    <w:rsid w:val="00441B6B"/>
    <w:rsid w:val="00447552"/>
    <w:rsid w:val="004502A9"/>
    <w:rsid w:val="00452349"/>
    <w:rsid w:val="004530C9"/>
    <w:rsid w:val="00461FE6"/>
    <w:rsid w:val="00462240"/>
    <w:rsid w:val="004626CE"/>
    <w:rsid w:val="00463107"/>
    <w:rsid w:val="00463C73"/>
    <w:rsid w:val="0046422B"/>
    <w:rsid w:val="00467C93"/>
    <w:rsid w:val="00470DD5"/>
    <w:rsid w:val="00470EBE"/>
    <w:rsid w:val="00472AC6"/>
    <w:rsid w:val="0047337B"/>
    <w:rsid w:val="00475EBE"/>
    <w:rsid w:val="004805C3"/>
    <w:rsid w:val="00480D71"/>
    <w:rsid w:val="00480DB4"/>
    <w:rsid w:val="00481EC5"/>
    <w:rsid w:val="00483B38"/>
    <w:rsid w:val="00485A69"/>
    <w:rsid w:val="00486227"/>
    <w:rsid w:val="004901FB"/>
    <w:rsid w:val="00494ECF"/>
    <w:rsid w:val="004960EF"/>
    <w:rsid w:val="00497588"/>
    <w:rsid w:val="00497D97"/>
    <w:rsid w:val="00497EB7"/>
    <w:rsid w:val="004A12D9"/>
    <w:rsid w:val="004A5280"/>
    <w:rsid w:val="004A59BA"/>
    <w:rsid w:val="004A7DAD"/>
    <w:rsid w:val="004B0EC0"/>
    <w:rsid w:val="004B115F"/>
    <w:rsid w:val="004B33A0"/>
    <w:rsid w:val="004B3996"/>
    <w:rsid w:val="004B6A15"/>
    <w:rsid w:val="004C1197"/>
    <w:rsid w:val="004C2792"/>
    <w:rsid w:val="004C2FFF"/>
    <w:rsid w:val="004C31FD"/>
    <w:rsid w:val="004C4B2C"/>
    <w:rsid w:val="004C5DF6"/>
    <w:rsid w:val="004C5FA0"/>
    <w:rsid w:val="004D1073"/>
    <w:rsid w:val="004D18B9"/>
    <w:rsid w:val="004D2877"/>
    <w:rsid w:val="004D4710"/>
    <w:rsid w:val="004D53B3"/>
    <w:rsid w:val="004D5485"/>
    <w:rsid w:val="004E2EE9"/>
    <w:rsid w:val="004E5B2C"/>
    <w:rsid w:val="004F02AD"/>
    <w:rsid w:val="004F31B4"/>
    <w:rsid w:val="004F3AD4"/>
    <w:rsid w:val="004F74A5"/>
    <w:rsid w:val="00502D31"/>
    <w:rsid w:val="005040EB"/>
    <w:rsid w:val="00505E01"/>
    <w:rsid w:val="00512201"/>
    <w:rsid w:val="00513965"/>
    <w:rsid w:val="00513E8F"/>
    <w:rsid w:val="00516182"/>
    <w:rsid w:val="00517270"/>
    <w:rsid w:val="00520B86"/>
    <w:rsid w:val="005220CE"/>
    <w:rsid w:val="00522FBC"/>
    <w:rsid w:val="00523B26"/>
    <w:rsid w:val="005266B8"/>
    <w:rsid w:val="00527C4A"/>
    <w:rsid w:val="005331AC"/>
    <w:rsid w:val="005338F1"/>
    <w:rsid w:val="00534A3A"/>
    <w:rsid w:val="00542E18"/>
    <w:rsid w:val="005435B9"/>
    <w:rsid w:val="005438CE"/>
    <w:rsid w:val="00546390"/>
    <w:rsid w:val="0054738D"/>
    <w:rsid w:val="00552D6D"/>
    <w:rsid w:val="00557EFA"/>
    <w:rsid w:val="00560607"/>
    <w:rsid w:val="00560C13"/>
    <w:rsid w:val="00560F9A"/>
    <w:rsid w:val="00564783"/>
    <w:rsid w:val="0056686E"/>
    <w:rsid w:val="005676C1"/>
    <w:rsid w:val="00567D43"/>
    <w:rsid w:val="00570769"/>
    <w:rsid w:val="00573E7C"/>
    <w:rsid w:val="005764A0"/>
    <w:rsid w:val="005764E2"/>
    <w:rsid w:val="00581E46"/>
    <w:rsid w:val="005835CE"/>
    <w:rsid w:val="00583715"/>
    <w:rsid w:val="005871E8"/>
    <w:rsid w:val="005900EA"/>
    <w:rsid w:val="00591A7B"/>
    <w:rsid w:val="00593D13"/>
    <w:rsid w:val="00593F53"/>
    <w:rsid w:val="00595DDF"/>
    <w:rsid w:val="005966DB"/>
    <w:rsid w:val="005A0FBC"/>
    <w:rsid w:val="005A10A1"/>
    <w:rsid w:val="005A2D2E"/>
    <w:rsid w:val="005A4A5D"/>
    <w:rsid w:val="005A4F0B"/>
    <w:rsid w:val="005A52BF"/>
    <w:rsid w:val="005A77B8"/>
    <w:rsid w:val="005B0C8D"/>
    <w:rsid w:val="005B1B7A"/>
    <w:rsid w:val="005C2CDE"/>
    <w:rsid w:val="005C4DF2"/>
    <w:rsid w:val="005C5617"/>
    <w:rsid w:val="005C6909"/>
    <w:rsid w:val="005C7085"/>
    <w:rsid w:val="005D083C"/>
    <w:rsid w:val="005D3D36"/>
    <w:rsid w:val="005D4A62"/>
    <w:rsid w:val="005D5B6C"/>
    <w:rsid w:val="005E0607"/>
    <w:rsid w:val="005E160B"/>
    <w:rsid w:val="005E4C19"/>
    <w:rsid w:val="005E6CED"/>
    <w:rsid w:val="005F4C6F"/>
    <w:rsid w:val="005F765C"/>
    <w:rsid w:val="005F79AE"/>
    <w:rsid w:val="00601021"/>
    <w:rsid w:val="006035AB"/>
    <w:rsid w:val="00603D6D"/>
    <w:rsid w:val="00604B52"/>
    <w:rsid w:val="00607189"/>
    <w:rsid w:val="006071D5"/>
    <w:rsid w:val="00610586"/>
    <w:rsid w:val="0061244D"/>
    <w:rsid w:val="006144BF"/>
    <w:rsid w:val="00617962"/>
    <w:rsid w:val="00620DBB"/>
    <w:rsid w:val="00621139"/>
    <w:rsid w:val="00627447"/>
    <w:rsid w:val="00630BE5"/>
    <w:rsid w:val="00630D84"/>
    <w:rsid w:val="00630DCC"/>
    <w:rsid w:val="006342BD"/>
    <w:rsid w:val="00634329"/>
    <w:rsid w:val="00640203"/>
    <w:rsid w:val="00640508"/>
    <w:rsid w:val="00640764"/>
    <w:rsid w:val="006418BD"/>
    <w:rsid w:val="00644FFB"/>
    <w:rsid w:val="00647316"/>
    <w:rsid w:val="00647669"/>
    <w:rsid w:val="00650DD5"/>
    <w:rsid w:val="00651B86"/>
    <w:rsid w:val="00652E23"/>
    <w:rsid w:val="00656194"/>
    <w:rsid w:val="006562FA"/>
    <w:rsid w:val="00656E6B"/>
    <w:rsid w:val="00662DC9"/>
    <w:rsid w:val="00664922"/>
    <w:rsid w:val="00667242"/>
    <w:rsid w:val="0066772C"/>
    <w:rsid w:val="00670A46"/>
    <w:rsid w:val="006710BE"/>
    <w:rsid w:val="0067361D"/>
    <w:rsid w:val="00674437"/>
    <w:rsid w:val="00675597"/>
    <w:rsid w:val="00676760"/>
    <w:rsid w:val="00677C64"/>
    <w:rsid w:val="0068172B"/>
    <w:rsid w:val="006826E5"/>
    <w:rsid w:val="00684983"/>
    <w:rsid w:val="00684E57"/>
    <w:rsid w:val="00686C29"/>
    <w:rsid w:val="00686F93"/>
    <w:rsid w:val="0069097F"/>
    <w:rsid w:val="00690AB3"/>
    <w:rsid w:val="00692AE1"/>
    <w:rsid w:val="0069433F"/>
    <w:rsid w:val="006A13FF"/>
    <w:rsid w:val="006A16B0"/>
    <w:rsid w:val="006A1A20"/>
    <w:rsid w:val="006A391B"/>
    <w:rsid w:val="006A623C"/>
    <w:rsid w:val="006A7D2C"/>
    <w:rsid w:val="006B33BE"/>
    <w:rsid w:val="006B3A51"/>
    <w:rsid w:val="006B54DE"/>
    <w:rsid w:val="006B556B"/>
    <w:rsid w:val="006C06D7"/>
    <w:rsid w:val="006C145B"/>
    <w:rsid w:val="006C2271"/>
    <w:rsid w:val="006C4CDE"/>
    <w:rsid w:val="006C6A48"/>
    <w:rsid w:val="006C7829"/>
    <w:rsid w:val="006D6BDF"/>
    <w:rsid w:val="006D7378"/>
    <w:rsid w:val="006D7475"/>
    <w:rsid w:val="006E6EA4"/>
    <w:rsid w:val="006E7176"/>
    <w:rsid w:val="006F3C7E"/>
    <w:rsid w:val="006F6122"/>
    <w:rsid w:val="006F6E9E"/>
    <w:rsid w:val="006F7EE6"/>
    <w:rsid w:val="007009DC"/>
    <w:rsid w:val="0070151F"/>
    <w:rsid w:val="007057BE"/>
    <w:rsid w:val="007065B4"/>
    <w:rsid w:val="007072BC"/>
    <w:rsid w:val="007103D1"/>
    <w:rsid w:val="00711962"/>
    <w:rsid w:val="007145BE"/>
    <w:rsid w:val="00715C24"/>
    <w:rsid w:val="00715D4D"/>
    <w:rsid w:val="00721B0C"/>
    <w:rsid w:val="00723595"/>
    <w:rsid w:val="007300DA"/>
    <w:rsid w:val="00731D50"/>
    <w:rsid w:val="007327DE"/>
    <w:rsid w:val="00732B07"/>
    <w:rsid w:val="0073395D"/>
    <w:rsid w:val="007344E6"/>
    <w:rsid w:val="00735274"/>
    <w:rsid w:val="00735876"/>
    <w:rsid w:val="00735C9F"/>
    <w:rsid w:val="00736271"/>
    <w:rsid w:val="00736A7E"/>
    <w:rsid w:val="0073785B"/>
    <w:rsid w:val="007408FE"/>
    <w:rsid w:val="007444C1"/>
    <w:rsid w:val="007448F4"/>
    <w:rsid w:val="00747176"/>
    <w:rsid w:val="00752648"/>
    <w:rsid w:val="007622BA"/>
    <w:rsid w:val="0076311D"/>
    <w:rsid w:val="0076340D"/>
    <w:rsid w:val="007717BD"/>
    <w:rsid w:val="00772672"/>
    <w:rsid w:val="007739F3"/>
    <w:rsid w:val="00780130"/>
    <w:rsid w:val="007803CB"/>
    <w:rsid w:val="007805C2"/>
    <w:rsid w:val="00783405"/>
    <w:rsid w:val="00783688"/>
    <w:rsid w:val="00783B9C"/>
    <w:rsid w:val="0078797C"/>
    <w:rsid w:val="00791142"/>
    <w:rsid w:val="00792523"/>
    <w:rsid w:val="00794726"/>
    <w:rsid w:val="00794FDC"/>
    <w:rsid w:val="007A0768"/>
    <w:rsid w:val="007A1031"/>
    <w:rsid w:val="007A10AA"/>
    <w:rsid w:val="007A1D60"/>
    <w:rsid w:val="007A1DE9"/>
    <w:rsid w:val="007A2797"/>
    <w:rsid w:val="007A2B19"/>
    <w:rsid w:val="007A2B6B"/>
    <w:rsid w:val="007A356C"/>
    <w:rsid w:val="007B04A8"/>
    <w:rsid w:val="007B103C"/>
    <w:rsid w:val="007B50D2"/>
    <w:rsid w:val="007B55FB"/>
    <w:rsid w:val="007C2C19"/>
    <w:rsid w:val="007C6A47"/>
    <w:rsid w:val="007C6AF9"/>
    <w:rsid w:val="007C7942"/>
    <w:rsid w:val="007D1C2E"/>
    <w:rsid w:val="007D48E9"/>
    <w:rsid w:val="007E110C"/>
    <w:rsid w:val="007E2ADD"/>
    <w:rsid w:val="007F061A"/>
    <w:rsid w:val="007F0CE5"/>
    <w:rsid w:val="007F1153"/>
    <w:rsid w:val="007F3A21"/>
    <w:rsid w:val="007F5EDD"/>
    <w:rsid w:val="007F6361"/>
    <w:rsid w:val="008014FA"/>
    <w:rsid w:val="008015BB"/>
    <w:rsid w:val="00804885"/>
    <w:rsid w:val="00805C4A"/>
    <w:rsid w:val="0080654E"/>
    <w:rsid w:val="008114CC"/>
    <w:rsid w:val="00813AE6"/>
    <w:rsid w:val="008150E1"/>
    <w:rsid w:val="00817609"/>
    <w:rsid w:val="00821ABE"/>
    <w:rsid w:val="00823887"/>
    <w:rsid w:val="00827A65"/>
    <w:rsid w:val="008333C4"/>
    <w:rsid w:val="008364B0"/>
    <w:rsid w:val="00842BEA"/>
    <w:rsid w:val="0084577F"/>
    <w:rsid w:val="00851B89"/>
    <w:rsid w:val="00851E44"/>
    <w:rsid w:val="00852208"/>
    <w:rsid w:val="00852268"/>
    <w:rsid w:val="0085469F"/>
    <w:rsid w:val="00856BC7"/>
    <w:rsid w:val="00862E26"/>
    <w:rsid w:val="0086357A"/>
    <w:rsid w:val="008648C4"/>
    <w:rsid w:val="00865FC9"/>
    <w:rsid w:val="008670DD"/>
    <w:rsid w:val="00872153"/>
    <w:rsid w:val="00874B6B"/>
    <w:rsid w:val="00881081"/>
    <w:rsid w:val="0088149C"/>
    <w:rsid w:val="00881652"/>
    <w:rsid w:val="00884942"/>
    <w:rsid w:val="008849D7"/>
    <w:rsid w:val="00886683"/>
    <w:rsid w:val="00890704"/>
    <w:rsid w:val="00892E29"/>
    <w:rsid w:val="00894248"/>
    <w:rsid w:val="0089427A"/>
    <w:rsid w:val="00896C7F"/>
    <w:rsid w:val="008A03CC"/>
    <w:rsid w:val="008A246F"/>
    <w:rsid w:val="008A4EC4"/>
    <w:rsid w:val="008B1CA2"/>
    <w:rsid w:val="008C151A"/>
    <w:rsid w:val="008C3E65"/>
    <w:rsid w:val="008C53E4"/>
    <w:rsid w:val="008C5F43"/>
    <w:rsid w:val="008C7216"/>
    <w:rsid w:val="008D010E"/>
    <w:rsid w:val="008D35CF"/>
    <w:rsid w:val="008D5DCC"/>
    <w:rsid w:val="008D6E8D"/>
    <w:rsid w:val="008D7A04"/>
    <w:rsid w:val="008D7D5F"/>
    <w:rsid w:val="008E17B8"/>
    <w:rsid w:val="008E1F8B"/>
    <w:rsid w:val="008E3C46"/>
    <w:rsid w:val="008E56A0"/>
    <w:rsid w:val="008F0BF6"/>
    <w:rsid w:val="008F0E26"/>
    <w:rsid w:val="008F24BC"/>
    <w:rsid w:val="008F4DE7"/>
    <w:rsid w:val="008F75BB"/>
    <w:rsid w:val="008F7805"/>
    <w:rsid w:val="00907846"/>
    <w:rsid w:val="00911591"/>
    <w:rsid w:val="00914E9C"/>
    <w:rsid w:val="00915E22"/>
    <w:rsid w:val="009214E7"/>
    <w:rsid w:val="00921961"/>
    <w:rsid w:val="0092271A"/>
    <w:rsid w:val="00923E49"/>
    <w:rsid w:val="00925F4F"/>
    <w:rsid w:val="00931661"/>
    <w:rsid w:val="00931C0B"/>
    <w:rsid w:val="00936759"/>
    <w:rsid w:val="00937054"/>
    <w:rsid w:val="00940BE5"/>
    <w:rsid w:val="009524FE"/>
    <w:rsid w:val="00953357"/>
    <w:rsid w:val="009539D4"/>
    <w:rsid w:val="00955B5B"/>
    <w:rsid w:val="009561B3"/>
    <w:rsid w:val="0095622F"/>
    <w:rsid w:val="00956CB7"/>
    <w:rsid w:val="009574EF"/>
    <w:rsid w:val="0095756F"/>
    <w:rsid w:val="00960E12"/>
    <w:rsid w:val="00962587"/>
    <w:rsid w:val="00963E9B"/>
    <w:rsid w:val="009650E5"/>
    <w:rsid w:val="00977742"/>
    <w:rsid w:val="00977AE0"/>
    <w:rsid w:val="00981C09"/>
    <w:rsid w:val="00983AFC"/>
    <w:rsid w:val="00985AE8"/>
    <w:rsid w:val="009915AA"/>
    <w:rsid w:val="00992342"/>
    <w:rsid w:val="00992B5B"/>
    <w:rsid w:val="009930A8"/>
    <w:rsid w:val="0099344B"/>
    <w:rsid w:val="009935FA"/>
    <w:rsid w:val="00994794"/>
    <w:rsid w:val="00994ECF"/>
    <w:rsid w:val="00996800"/>
    <w:rsid w:val="00996C40"/>
    <w:rsid w:val="009A0F7A"/>
    <w:rsid w:val="009A13DB"/>
    <w:rsid w:val="009A21B6"/>
    <w:rsid w:val="009A2C69"/>
    <w:rsid w:val="009A2DBE"/>
    <w:rsid w:val="009A545C"/>
    <w:rsid w:val="009A6EAD"/>
    <w:rsid w:val="009B313B"/>
    <w:rsid w:val="009B403B"/>
    <w:rsid w:val="009B4CCB"/>
    <w:rsid w:val="009B519E"/>
    <w:rsid w:val="009B6F55"/>
    <w:rsid w:val="009B706A"/>
    <w:rsid w:val="009B7ED1"/>
    <w:rsid w:val="009C044F"/>
    <w:rsid w:val="009C0944"/>
    <w:rsid w:val="009C2E03"/>
    <w:rsid w:val="009C2FBF"/>
    <w:rsid w:val="009C438F"/>
    <w:rsid w:val="009C6995"/>
    <w:rsid w:val="009D28A5"/>
    <w:rsid w:val="009D422E"/>
    <w:rsid w:val="009D5A2C"/>
    <w:rsid w:val="009D759F"/>
    <w:rsid w:val="009E5800"/>
    <w:rsid w:val="009F080F"/>
    <w:rsid w:val="009F0F00"/>
    <w:rsid w:val="009F0FDA"/>
    <w:rsid w:val="009F143A"/>
    <w:rsid w:val="009F3285"/>
    <w:rsid w:val="009F3B4C"/>
    <w:rsid w:val="009F426E"/>
    <w:rsid w:val="00A0281A"/>
    <w:rsid w:val="00A03784"/>
    <w:rsid w:val="00A051DF"/>
    <w:rsid w:val="00A0553D"/>
    <w:rsid w:val="00A11D90"/>
    <w:rsid w:val="00A12D0B"/>
    <w:rsid w:val="00A13238"/>
    <w:rsid w:val="00A13591"/>
    <w:rsid w:val="00A20F4D"/>
    <w:rsid w:val="00A233B6"/>
    <w:rsid w:val="00A239D6"/>
    <w:rsid w:val="00A264BB"/>
    <w:rsid w:val="00A30852"/>
    <w:rsid w:val="00A31105"/>
    <w:rsid w:val="00A314C5"/>
    <w:rsid w:val="00A31A40"/>
    <w:rsid w:val="00A31C6A"/>
    <w:rsid w:val="00A34C84"/>
    <w:rsid w:val="00A35C89"/>
    <w:rsid w:val="00A35F55"/>
    <w:rsid w:val="00A41B74"/>
    <w:rsid w:val="00A436BC"/>
    <w:rsid w:val="00A4502C"/>
    <w:rsid w:val="00A4581D"/>
    <w:rsid w:val="00A6252B"/>
    <w:rsid w:val="00A65B21"/>
    <w:rsid w:val="00A67256"/>
    <w:rsid w:val="00A678F3"/>
    <w:rsid w:val="00A72D4B"/>
    <w:rsid w:val="00A736A2"/>
    <w:rsid w:val="00A76219"/>
    <w:rsid w:val="00A773A6"/>
    <w:rsid w:val="00A807D2"/>
    <w:rsid w:val="00A807EA"/>
    <w:rsid w:val="00A80CA0"/>
    <w:rsid w:val="00A81023"/>
    <w:rsid w:val="00A83D94"/>
    <w:rsid w:val="00A9038F"/>
    <w:rsid w:val="00A90717"/>
    <w:rsid w:val="00A956E7"/>
    <w:rsid w:val="00A9603D"/>
    <w:rsid w:val="00AA2C2C"/>
    <w:rsid w:val="00AA2CE8"/>
    <w:rsid w:val="00AA3215"/>
    <w:rsid w:val="00AA3373"/>
    <w:rsid w:val="00AA47E4"/>
    <w:rsid w:val="00AA565A"/>
    <w:rsid w:val="00AB015A"/>
    <w:rsid w:val="00AB128C"/>
    <w:rsid w:val="00AB3EC0"/>
    <w:rsid w:val="00AB58FE"/>
    <w:rsid w:val="00AB5F60"/>
    <w:rsid w:val="00AC3BDB"/>
    <w:rsid w:val="00AC5ECE"/>
    <w:rsid w:val="00AC6244"/>
    <w:rsid w:val="00AD123E"/>
    <w:rsid w:val="00AD32B8"/>
    <w:rsid w:val="00AD55C4"/>
    <w:rsid w:val="00AD5681"/>
    <w:rsid w:val="00AD6689"/>
    <w:rsid w:val="00AD742F"/>
    <w:rsid w:val="00AD7B07"/>
    <w:rsid w:val="00AE01C0"/>
    <w:rsid w:val="00AE3856"/>
    <w:rsid w:val="00AE4CD6"/>
    <w:rsid w:val="00AE7FC3"/>
    <w:rsid w:val="00AF1364"/>
    <w:rsid w:val="00AF4636"/>
    <w:rsid w:val="00AF6E01"/>
    <w:rsid w:val="00AF74FF"/>
    <w:rsid w:val="00AF7631"/>
    <w:rsid w:val="00B01AA4"/>
    <w:rsid w:val="00B04672"/>
    <w:rsid w:val="00B04CBB"/>
    <w:rsid w:val="00B05175"/>
    <w:rsid w:val="00B06664"/>
    <w:rsid w:val="00B0682A"/>
    <w:rsid w:val="00B10B2B"/>
    <w:rsid w:val="00B11113"/>
    <w:rsid w:val="00B11AFB"/>
    <w:rsid w:val="00B1324D"/>
    <w:rsid w:val="00B132BC"/>
    <w:rsid w:val="00B13570"/>
    <w:rsid w:val="00B16427"/>
    <w:rsid w:val="00B1766B"/>
    <w:rsid w:val="00B2050F"/>
    <w:rsid w:val="00B216DB"/>
    <w:rsid w:val="00B221BD"/>
    <w:rsid w:val="00B23452"/>
    <w:rsid w:val="00B24C59"/>
    <w:rsid w:val="00B24C92"/>
    <w:rsid w:val="00B24D3D"/>
    <w:rsid w:val="00B260D4"/>
    <w:rsid w:val="00B2777F"/>
    <w:rsid w:val="00B421FA"/>
    <w:rsid w:val="00B4342D"/>
    <w:rsid w:val="00B43996"/>
    <w:rsid w:val="00B46A65"/>
    <w:rsid w:val="00B477C9"/>
    <w:rsid w:val="00B51911"/>
    <w:rsid w:val="00B55502"/>
    <w:rsid w:val="00B55702"/>
    <w:rsid w:val="00B60B00"/>
    <w:rsid w:val="00B64211"/>
    <w:rsid w:val="00B6424F"/>
    <w:rsid w:val="00B65A1D"/>
    <w:rsid w:val="00B67230"/>
    <w:rsid w:val="00B77CB8"/>
    <w:rsid w:val="00B839E7"/>
    <w:rsid w:val="00B84A91"/>
    <w:rsid w:val="00B86EB3"/>
    <w:rsid w:val="00B904E4"/>
    <w:rsid w:val="00B92CCD"/>
    <w:rsid w:val="00B95FE9"/>
    <w:rsid w:val="00B9701B"/>
    <w:rsid w:val="00BA38A9"/>
    <w:rsid w:val="00BA49B7"/>
    <w:rsid w:val="00BA5147"/>
    <w:rsid w:val="00BA768A"/>
    <w:rsid w:val="00BB00E1"/>
    <w:rsid w:val="00BB2B53"/>
    <w:rsid w:val="00BB3287"/>
    <w:rsid w:val="00BC0754"/>
    <w:rsid w:val="00BC1502"/>
    <w:rsid w:val="00BC1BC2"/>
    <w:rsid w:val="00BC5CBC"/>
    <w:rsid w:val="00BC5D26"/>
    <w:rsid w:val="00BC6438"/>
    <w:rsid w:val="00BC67E8"/>
    <w:rsid w:val="00BD06C7"/>
    <w:rsid w:val="00BD0B5F"/>
    <w:rsid w:val="00BD147B"/>
    <w:rsid w:val="00BD39F9"/>
    <w:rsid w:val="00BD667F"/>
    <w:rsid w:val="00BD7A7E"/>
    <w:rsid w:val="00BD7B8E"/>
    <w:rsid w:val="00BE21F8"/>
    <w:rsid w:val="00BE2EA2"/>
    <w:rsid w:val="00BE3FDD"/>
    <w:rsid w:val="00BE41B3"/>
    <w:rsid w:val="00BF078B"/>
    <w:rsid w:val="00BF0ECA"/>
    <w:rsid w:val="00BF641D"/>
    <w:rsid w:val="00C000B0"/>
    <w:rsid w:val="00C06AA1"/>
    <w:rsid w:val="00C06BAF"/>
    <w:rsid w:val="00C151F9"/>
    <w:rsid w:val="00C159A6"/>
    <w:rsid w:val="00C16DE9"/>
    <w:rsid w:val="00C20446"/>
    <w:rsid w:val="00C221DF"/>
    <w:rsid w:val="00C22648"/>
    <w:rsid w:val="00C302E9"/>
    <w:rsid w:val="00C305B1"/>
    <w:rsid w:val="00C31C33"/>
    <w:rsid w:val="00C32A57"/>
    <w:rsid w:val="00C34547"/>
    <w:rsid w:val="00C41A08"/>
    <w:rsid w:val="00C43DCC"/>
    <w:rsid w:val="00C47D94"/>
    <w:rsid w:val="00C53635"/>
    <w:rsid w:val="00C560D7"/>
    <w:rsid w:val="00C57112"/>
    <w:rsid w:val="00C572DE"/>
    <w:rsid w:val="00C61B49"/>
    <w:rsid w:val="00C65754"/>
    <w:rsid w:val="00C660D3"/>
    <w:rsid w:val="00C665F9"/>
    <w:rsid w:val="00C72A08"/>
    <w:rsid w:val="00C73C2B"/>
    <w:rsid w:val="00C752F0"/>
    <w:rsid w:val="00C762D6"/>
    <w:rsid w:val="00C805A3"/>
    <w:rsid w:val="00C80BB1"/>
    <w:rsid w:val="00C80E64"/>
    <w:rsid w:val="00C8161F"/>
    <w:rsid w:val="00C81D2D"/>
    <w:rsid w:val="00C8269D"/>
    <w:rsid w:val="00C844E2"/>
    <w:rsid w:val="00C8694C"/>
    <w:rsid w:val="00C92EE1"/>
    <w:rsid w:val="00C931D0"/>
    <w:rsid w:val="00CA032C"/>
    <w:rsid w:val="00CA124C"/>
    <w:rsid w:val="00CA1E4B"/>
    <w:rsid w:val="00CA22D2"/>
    <w:rsid w:val="00CA3EAC"/>
    <w:rsid w:val="00CA4839"/>
    <w:rsid w:val="00CA4F15"/>
    <w:rsid w:val="00CA7FE3"/>
    <w:rsid w:val="00CB3578"/>
    <w:rsid w:val="00CB5414"/>
    <w:rsid w:val="00CB6C4C"/>
    <w:rsid w:val="00CC0D87"/>
    <w:rsid w:val="00CC1A63"/>
    <w:rsid w:val="00CC3D86"/>
    <w:rsid w:val="00CC517C"/>
    <w:rsid w:val="00CD0752"/>
    <w:rsid w:val="00CD16CE"/>
    <w:rsid w:val="00CD1B4E"/>
    <w:rsid w:val="00CD209A"/>
    <w:rsid w:val="00CD4C48"/>
    <w:rsid w:val="00CD5AA8"/>
    <w:rsid w:val="00CD5C83"/>
    <w:rsid w:val="00CE02FE"/>
    <w:rsid w:val="00CE3404"/>
    <w:rsid w:val="00CE4B08"/>
    <w:rsid w:val="00CE5A7E"/>
    <w:rsid w:val="00CE643D"/>
    <w:rsid w:val="00CF08C5"/>
    <w:rsid w:val="00CF090C"/>
    <w:rsid w:val="00CF216A"/>
    <w:rsid w:val="00CF2571"/>
    <w:rsid w:val="00CF588A"/>
    <w:rsid w:val="00CF5ED7"/>
    <w:rsid w:val="00D00DFE"/>
    <w:rsid w:val="00D03982"/>
    <w:rsid w:val="00D068A5"/>
    <w:rsid w:val="00D07266"/>
    <w:rsid w:val="00D10F53"/>
    <w:rsid w:val="00D11F24"/>
    <w:rsid w:val="00D12948"/>
    <w:rsid w:val="00D13CF5"/>
    <w:rsid w:val="00D151D6"/>
    <w:rsid w:val="00D15E1F"/>
    <w:rsid w:val="00D15E70"/>
    <w:rsid w:val="00D16FA8"/>
    <w:rsid w:val="00D2014C"/>
    <w:rsid w:val="00D2071E"/>
    <w:rsid w:val="00D21452"/>
    <w:rsid w:val="00D219A4"/>
    <w:rsid w:val="00D226CF"/>
    <w:rsid w:val="00D2291A"/>
    <w:rsid w:val="00D2454B"/>
    <w:rsid w:val="00D24949"/>
    <w:rsid w:val="00D27689"/>
    <w:rsid w:val="00D278A2"/>
    <w:rsid w:val="00D321D9"/>
    <w:rsid w:val="00D32429"/>
    <w:rsid w:val="00D34404"/>
    <w:rsid w:val="00D3626F"/>
    <w:rsid w:val="00D407BC"/>
    <w:rsid w:val="00D40EE7"/>
    <w:rsid w:val="00D4141B"/>
    <w:rsid w:val="00D4302D"/>
    <w:rsid w:val="00D43DE7"/>
    <w:rsid w:val="00D441AD"/>
    <w:rsid w:val="00D45F25"/>
    <w:rsid w:val="00D46569"/>
    <w:rsid w:val="00D47BAE"/>
    <w:rsid w:val="00D525B8"/>
    <w:rsid w:val="00D542D4"/>
    <w:rsid w:val="00D5502A"/>
    <w:rsid w:val="00D56514"/>
    <w:rsid w:val="00D56E5D"/>
    <w:rsid w:val="00D57A57"/>
    <w:rsid w:val="00D57E19"/>
    <w:rsid w:val="00D60254"/>
    <w:rsid w:val="00D617B6"/>
    <w:rsid w:val="00D61857"/>
    <w:rsid w:val="00D63025"/>
    <w:rsid w:val="00D63141"/>
    <w:rsid w:val="00D639C5"/>
    <w:rsid w:val="00D64B72"/>
    <w:rsid w:val="00D650E8"/>
    <w:rsid w:val="00D75DBE"/>
    <w:rsid w:val="00D7649A"/>
    <w:rsid w:val="00D7725F"/>
    <w:rsid w:val="00D818A4"/>
    <w:rsid w:val="00D81DD9"/>
    <w:rsid w:val="00D826B4"/>
    <w:rsid w:val="00D83F4E"/>
    <w:rsid w:val="00D840EE"/>
    <w:rsid w:val="00D85E74"/>
    <w:rsid w:val="00D87B51"/>
    <w:rsid w:val="00D91CBE"/>
    <w:rsid w:val="00D92A93"/>
    <w:rsid w:val="00D931E1"/>
    <w:rsid w:val="00DA00DB"/>
    <w:rsid w:val="00DA3820"/>
    <w:rsid w:val="00DA7DBA"/>
    <w:rsid w:val="00DB2CBD"/>
    <w:rsid w:val="00DB33FB"/>
    <w:rsid w:val="00DB6D5D"/>
    <w:rsid w:val="00DB7199"/>
    <w:rsid w:val="00DC64BE"/>
    <w:rsid w:val="00DD10B9"/>
    <w:rsid w:val="00DD57ED"/>
    <w:rsid w:val="00DD6F72"/>
    <w:rsid w:val="00DD738E"/>
    <w:rsid w:val="00DE0BAE"/>
    <w:rsid w:val="00DE15A6"/>
    <w:rsid w:val="00DE2039"/>
    <w:rsid w:val="00DE3F13"/>
    <w:rsid w:val="00DE54D9"/>
    <w:rsid w:val="00DF31D5"/>
    <w:rsid w:val="00DF33AD"/>
    <w:rsid w:val="00DF49CF"/>
    <w:rsid w:val="00DF5A52"/>
    <w:rsid w:val="00DF5AE2"/>
    <w:rsid w:val="00DF69BE"/>
    <w:rsid w:val="00DF7359"/>
    <w:rsid w:val="00DF74E9"/>
    <w:rsid w:val="00E01018"/>
    <w:rsid w:val="00E01935"/>
    <w:rsid w:val="00E02C06"/>
    <w:rsid w:val="00E05509"/>
    <w:rsid w:val="00E057D9"/>
    <w:rsid w:val="00E07C1A"/>
    <w:rsid w:val="00E1433D"/>
    <w:rsid w:val="00E15544"/>
    <w:rsid w:val="00E1703E"/>
    <w:rsid w:val="00E205D1"/>
    <w:rsid w:val="00E21CB3"/>
    <w:rsid w:val="00E23A92"/>
    <w:rsid w:val="00E23C1A"/>
    <w:rsid w:val="00E266C3"/>
    <w:rsid w:val="00E3048A"/>
    <w:rsid w:val="00E31F93"/>
    <w:rsid w:val="00E33D05"/>
    <w:rsid w:val="00E35D7B"/>
    <w:rsid w:val="00E40513"/>
    <w:rsid w:val="00E4317A"/>
    <w:rsid w:val="00E51831"/>
    <w:rsid w:val="00E531DC"/>
    <w:rsid w:val="00E55F56"/>
    <w:rsid w:val="00E56244"/>
    <w:rsid w:val="00E571CC"/>
    <w:rsid w:val="00E57B97"/>
    <w:rsid w:val="00E631B3"/>
    <w:rsid w:val="00E64F3D"/>
    <w:rsid w:val="00E70345"/>
    <w:rsid w:val="00E730BC"/>
    <w:rsid w:val="00E7588C"/>
    <w:rsid w:val="00E76D7A"/>
    <w:rsid w:val="00E771C3"/>
    <w:rsid w:val="00E7759C"/>
    <w:rsid w:val="00E82640"/>
    <w:rsid w:val="00E874A7"/>
    <w:rsid w:val="00E87F35"/>
    <w:rsid w:val="00E87F67"/>
    <w:rsid w:val="00E953D0"/>
    <w:rsid w:val="00E97DF3"/>
    <w:rsid w:val="00EA30D3"/>
    <w:rsid w:val="00EA3708"/>
    <w:rsid w:val="00EA624F"/>
    <w:rsid w:val="00EB363C"/>
    <w:rsid w:val="00EB646B"/>
    <w:rsid w:val="00EC0F52"/>
    <w:rsid w:val="00EC44B3"/>
    <w:rsid w:val="00EC4736"/>
    <w:rsid w:val="00EC5D98"/>
    <w:rsid w:val="00EC6B37"/>
    <w:rsid w:val="00ED1239"/>
    <w:rsid w:val="00ED2D93"/>
    <w:rsid w:val="00ED2E60"/>
    <w:rsid w:val="00ED3F25"/>
    <w:rsid w:val="00ED6ACB"/>
    <w:rsid w:val="00ED6AEB"/>
    <w:rsid w:val="00ED6C4A"/>
    <w:rsid w:val="00ED6E04"/>
    <w:rsid w:val="00ED7668"/>
    <w:rsid w:val="00EE43F2"/>
    <w:rsid w:val="00EE43FE"/>
    <w:rsid w:val="00EE491D"/>
    <w:rsid w:val="00EE6452"/>
    <w:rsid w:val="00EF1DBD"/>
    <w:rsid w:val="00EF21C9"/>
    <w:rsid w:val="00EF2493"/>
    <w:rsid w:val="00EF53C7"/>
    <w:rsid w:val="00F01ED4"/>
    <w:rsid w:val="00F03812"/>
    <w:rsid w:val="00F03A47"/>
    <w:rsid w:val="00F0479B"/>
    <w:rsid w:val="00F05D47"/>
    <w:rsid w:val="00F07ADA"/>
    <w:rsid w:val="00F104F1"/>
    <w:rsid w:val="00F13618"/>
    <w:rsid w:val="00F13A6C"/>
    <w:rsid w:val="00F13FCC"/>
    <w:rsid w:val="00F153DE"/>
    <w:rsid w:val="00F179D2"/>
    <w:rsid w:val="00F201D3"/>
    <w:rsid w:val="00F21FCB"/>
    <w:rsid w:val="00F22AEA"/>
    <w:rsid w:val="00F27403"/>
    <w:rsid w:val="00F27BE4"/>
    <w:rsid w:val="00F31466"/>
    <w:rsid w:val="00F33108"/>
    <w:rsid w:val="00F334C2"/>
    <w:rsid w:val="00F33A20"/>
    <w:rsid w:val="00F33DD7"/>
    <w:rsid w:val="00F34263"/>
    <w:rsid w:val="00F35B7F"/>
    <w:rsid w:val="00F37E08"/>
    <w:rsid w:val="00F43821"/>
    <w:rsid w:val="00F474F5"/>
    <w:rsid w:val="00F53272"/>
    <w:rsid w:val="00F564B2"/>
    <w:rsid w:val="00F60A18"/>
    <w:rsid w:val="00F63F83"/>
    <w:rsid w:val="00F65E89"/>
    <w:rsid w:val="00F6633C"/>
    <w:rsid w:val="00F721A3"/>
    <w:rsid w:val="00F74F0B"/>
    <w:rsid w:val="00F77284"/>
    <w:rsid w:val="00F82711"/>
    <w:rsid w:val="00F84EEA"/>
    <w:rsid w:val="00F85581"/>
    <w:rsid w:val="00F8599D"/>
    <w:rsid w:val="00F859CE"/>
    <w:rsid w:val="00F85B36"/>
    <w:rsid w:val="00F90C75"/>
    <w:rsid w:val="00F91648"/>
    <w:rsid w:val="00F965D1"/>
    <w:rsid w:val="00FA0E28"/>
    <w:rsid w:val="00FA3DDE"/>
    <w:rsid w:val="00FA45F9"/>
    <w:rsid w:val="00FA6FA1"/>
    <w:rsid w:val="00FA76C8"/>
    <w:rsid w:val="00FC6088"/>
    <w:rsid w:val="00FC6526"/>
    <w:rsid w:val="00FC70EB"/>
    <w:rsid w:val="00FC785E"/>
    <w:rsid w:val="00FD4846"/>
    <w:rsid w:val="00FE01D9"/>
    <w:rsid w:val="00FE1CA2"/>
    <w:rsid w:val="00FE21CC"/>
    <w:rsid w:val="00FE30BC"/>
    <w:rsid w:val="00FE3B4D"/>
    <w:rsid w:val="00FE3BCE"/>
    <w:rsid w:val="00FE5D3B"/>
    <w:rsid w:val="00FE76E2"/>
    <w:rsid w:val="00FF0F56"/>
    <w:rsid w:val="00FF1FB0"/>
    <w:rsid w:val="00FF68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F5A369"/>
  <w15:docId w15:val="{DB9164B9-3A20-4358-9960-8F7BA366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1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C438F"/>
    <w:pPr>
      <w:spacing w:before="100" w:beforeAutospacing="1" w:after="100" w:afterAutospacing="1"/>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E01"/>
    <w:rPr>
      <w:color w:val="0563C1" w:themeColor="hyperlink"/>
      <w:u w:val="single"/>
    </w:rPr>
  </w:style>
  <w:style w:type="paragraph" w:styleId="ListParagraph">
    <w:name w:val="List Paragraph"/>
    <w:basedOn w:val="Normal"/>
    <w:uiPriority w:val="34"/>
    <w:qFormat/>
    <w:rsid w:val="00102197"/>
    <w:pPr>
      <w:ind w:left="720"/>
      <w:contextualSpacing/>
    </w:pPr>
  </w:style>
  <w:style w:type="character" w:customStyle="1" w:styleId="hps">
    <w:name w:val="hps"/>
    <w:basedOn w:val="DefaultParagraphFont"/>
    <w:rsid w:val="00D40EE7"/>
  </w:style>
  <w:style w:type="character" w:customStyle="1" w:styleId="atn">
    <w:name w:val="atn"/>
    <w:basedOn w:val="DefaultParagraphFont"/>
    <w:rsid w:val="00D40EE7"/>
  </w:style>
  <w:style w:type="paragraph" w:styleId="Header">
    <w:name w:val="header"/>
    <w:basedOn w:val="Normal"/>
    <w:link w:val="HeaderChar"/>
    <w:uiPriority w:val="99"/>
    <w:unhideWhenUsed/>
    <w:rsid w:val="001907A7"/>
    <w:pPr>
      <w:tabs>
        <w:tab w:val="center" w:pos="4153"/>
        <w:tab w:val="right" w:pos="8306"/>
      </w:tabs>
    </w:pPr>
  </w:style>
  <w:style w:type="character" w:customStyle="1" w:styleId="HeaderChar">
    <w:name w:val="Header Char"/>
    <w:basedOn w:val="DefaultParagraphFont"/>
    <w:link w:val="Header"/>
    <w:uiPriority w:val="99"/>
    <w:rsid w:val="001907A7"/>
  </w:style>
  <w:style w:type="paragraph" w:styleId="Footer">
    <w:name w:val="footer"/>
    <w:basedOn w:val="Normal"/>
    <w:link w:val="FooterChar"/>
    <w:uiPriority w:val="99"/>
    <w:unhideWhenUsed/>
    <w:rsid w:val="001907A7"/>
    <w:pPr>
      <w:tabs>
        <w:tab w:val="center" w:pos="4153"/>
        <w:tab w:val="right" w:pos="8306"/>
      </w:tabs>
    </w:pPr>
  </w:style>
  <w:style w:type="character" w:customStyle="1" w:styleId="FooterChar">
    <w:name w:val="Footer Char"/>
    <w:basedOn w:val="DefaultParagraphFont"/>
    <w:link w:val="Footer"/>
    <w:uiPriority w:val="99"/>
    <w:rsid w:val="001907A7"/>
  </w:style>
  <w:style w:type="table" w:styleId="TableGrid">
    <w:name w:val="Table Grid"/>
    <w:basedOn w:val="TableNormal"/>
    <w:uiPriority w:val="39"/>
    <w:rsid w:val="001C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Footnote,Fußnote,ft,Footnote Text Char1"/>
    <w:basedOn w:val="Normal"/>
    <w:link w:val="FootnoteTextChar"/>
    <w:uiPriority w:val="99"/>
    <w:unhideWhenUsed/>
    <w:qFormat/>
    <w:rsid w:val="00B77CB8"/>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uiPriority w:val="99"/>
    <w:rsid w:val="00B77CB8"/>
    <w:rPr>
      <w:sz w:val="20"/>
      <w:szCs w:val="20"/>
    </w:rPr>
  </w:style>
  <w:style w:type="character" w:styleId="FootnoteReference">
    <w:name w:val="footnote reference"/>
    <w:aliases w:val="stylish,number,SUPERS,Footnote Reference Number,Footnote symbol,Footnotes refss,Footnote Reference Superscript,BVI fnr,Footnote symboFußnotenzeichen,Footnote sign,E FNZ,-E Fußnotenzeichen,Footnote#,Times 10 Point,Exposant 3 Point,Ref"/>
    <w:basedOn w:val="DefaultParagraphFont"/>
    <w:uiPriority w:val="99"/>
    <w:unhideWhenUsed/>
    <w:qFormat/>
    <w:rsid w:val="00B77CB8"/>
    <w:rPr>
      <w:vertAlign w:val="superscript"/>
    </w:rPr>
  </w:style>
  <w:style w:type="character" w:customStyle="1" w:styleId="Heading3Char">
    <w:name w:val="Heading 3 Char"/>
    <w:basedOn w:val="DefaultParagraphFont"/>
    <w:link w:val="Heading3"/>
    <w:uiPriority w:val="9"/>
    <w:rsid w:val="009C438F"/>
    <w:rPr>
      <w:rFonts w:eastAsia="Times New Roman" w:cs="Times New Roman"/>
      <w:b/>
      <w:bCs/>
      <w:sz w:val="27"/>
      <w:szCs w:val="27"/>
      <w:lang w:val="en-US"/>
    </w:rPr>
  </w:style>
  <w:style w:type="paragraph" w:styleId="BalloonText">
    <w:name w:val="Balloon Text"/>
    <w:basedOn w:val="Normal"/>
    <w:link w:val="BalloonTextChar"/>
    <w:uiPriority w:val="99"/>
    <w:semiHidden/>
    <w:unhideWhenUsed/>
    <w:rsid w:val="006A1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20"/>
    <w:rPr>
      <w:rFonts w:ascii="Segoe UI" w:hAnsi="Segoe UI" w:cs="Segoe UI"/>
      <w:sz w:val="18"/>
      <w:szCs w:val="18"/>
    </w:rPr>
  </w:style>
  <w:style w:type="character" w:customStyle="1" w:styleId="xdtextbox1">
    <w:name w:val="xdtextbox1"/>
    <w:basedOn w:val="DefaultParagraphFont"/>
    <w:rsid w:val="00FA0E28"/>
    <w:rPr>
      <w:color w:val="auto"/>
      <w:bdr w:val="single" w:sz="8" w:space="1" w:color="DCDCDC" w:frame="1"/>
      <w:shd w:val="clear" w:color="auto" w:fill="FFFFFF"/>
    </w:rPr>
  </w:style>
  <w:style w:type="character" w:customStyle="1" w:styleId="Heading1Char">
    <w:name w:val="Heading 1 Char"/>
    <w:basedOn w:val="DefaultParagraphFont"/>
    <w:link w:val="Heading1"/>
    <w:uiPriority w:val="9"/>
    <w:rsid w:val="00B1111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57A57"/>
    <w:rPr>
      <w:b/>
      <w:bCs/>
    </w:rPr>
  </w:style>
  <w:style w:type="paragraph" w:styleId="NormalWeb">
    <w:name w:val="Normal (Web)"/>
    <w:basedOn w:val="Normal"/>
    <w:uiPriority w:val="99"/>
    <w:semiHidden/>
    <w:unhideWhenUsed/>
    <w:rsid w:val="00D57A57"/>
    <w:pPr>
      <w:spacing w:after="135" w:line="270" w:lineRule="atLeast"/>
    </w:pPr>
    <w:rPr>
      <w:rFonts w:ascii="Helvetica" w:eastAsia="Times New Roman" w:hAnsi="Helvetica" w:cs="Helvetica"/>
      <w:sz w:val="20"/>
      <w:szCs w:val="20"/>
      <w:lang w:eastAsia="lv-LV"/>
    </w:rPr>
  </w:style>
  <w:style w:type="table" w:styleId="ListTable1Light-Accent1">
    <w:name w:val="List Table 1 Light Accent 1"/>
    <w:basedOn w:val="TableNormal"/>
    <w:uiPriority w:val="46"/>
    <w:rsid w:val="00D57A5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D57A57"/>
    <w:rPr>
      <w:color w:val="954F72" w:themeColor="followedHyperlink"/>
      <w:u w:val="single"/>
    </w:rPr>
  </w:style>
  <w:style w:type="character" w:styleId="Emphasis">
    <w:name w:val="Emphasis"/>
    <w:basedOn w:val="DefaultParagraphFont"/>
    <w:uiPriority w:val="20"/>
    <w:qFormat/>
    <w:rsid w:val="00FA45F9"/>
    <w:rPr>
      <w:i/>
      <w:iCs/>
    </w:rPr>
  </w:style>
  <w:style w:type="paragraph" w:customStyle="1" w:styleId="teksts">
    <w:name w:val="teksts"/>
    <w:rsid w:val="002239E0"/>
    <w:pPr>
      <w:spacing w:after="40"/>
      <w:jc w:val="both"/>
    </w:pPr>
    <w:rPr>
      <w:rFonts w:ascii="Garamond" w:eastAsia="Times New Roman" w:hAnsi="Garamond" w:cs="Times New Roman"/>
      <w:kern w:val="24"/>
      <w:szCs w:val="20"/>
    </w:rPr>
  </w:style>
  <w:style w:type="character" w:customStyle="1" w:styleId="longtext">
    <w:name w:val="long_text"/>
    <w:basedOn w:val="DefaultParagraphFont"/>
    <w:rsid w:val="002239E0"/>
  </w:style>
  <w:style w:type="table" w:styleId="GridTable3-Accent1">
    <w:name w:val="Grid Table 3 Accent 1"/>
    <w:basedOn w:val="TableNormal"/>
    <w:uiPriority w:val="48"/>
    <w:rsid w:val="00210F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CommentReference">
    <w:name w:val="annotation reference"/>
    <w:basedOn w:val="DefaultParagraphFont"/>
    <w:uiPriority w:val="99"/>
    <w:semiHidden/>
    <w:unhideWhenUsed/>
    <w:rsid w:val="00101D4E"/>
    <w:rPr>
      <w:sz w:val="16"/>
      <w:szCs w:val="16"/>
    </w:rPr>
  </w:style>
  <w:style w:type="paragraph" w:styleId="CommentText">
    <w:name w:val="annotation text"/>
    <w:basedOn w:val="Normal"/>
    <w:link w:val="CommentTextChar"/>
    <w:uiPriority w:val="99"/>
    <w:semiHidden/>
    <w:unhideWhenUsed/>
    <w:rsid w:val="00101D4E"/>
    <w:rPr>
      <w:sz w:val="20"/>
      <w:szCs w:val="20"/>
    </w:rPr>
  </w:style>
  <w:style w:type="character" w:customStyle="1" w:styleId="CommentTextChar">
    <w:name w:val="Comment Text Char"/>
    <w:basedOn w:val="DefaultParagraphFont"/>
    <w:link w:val="CommentText"/>
    <w:uiPriority w:val="99"/>
    <w:semiHidden/>
    <w:rsid w:val="00101D4E"/>
    <w:rPr>
      <w:sz w:val="20"/>
      <w:szCs w:val="20"/>
    </w:rPr>
  </w:style>
  <w:style w:type="paragraph" w:styleId="CommentSubject">
    <w:name w:val="annotation subject"/>
    <w:basedOn w:val="CommentText"/>
    <w:next w:val="CommentText"/>
    <w:link w:val="CommentSubjectChar"/>
    <w:uiPriority w:val="99"/>
    <w:semiHidden/>
    <w:unhideWhenUsed/>
    <w:rsid w:val="00101D4E"/>
    <w:rPr>
      <w:b/>
      <w:bCs/>
    </w:rPr>
  </w:style>
  <w:style w:type="character" w:customStyle="1" w:styleId="CommentSubjectChar">
    <w:name w:val="Comment Subject Char"/>
    <w:basedOn w:val="CommentTextChar"/>
    <w:link w:val="CommentSubject"/>
    <w:uiPriority w:val="99"/>
    <w:semiHidden/>
    <w:rsid w:val="00101D4E"/>
    <w:rPr>
      <w:b/>
      <w:bCs/>
      <w:sz w:val="20"/>
      <w:szCs w:val="20"/>
    </w:rPr>
  </w:style>
  <w:style w:type="table" w:styleId="GridTable7Colorful-Accent5">
    <w:name w:val="Grid Table 7 Colorful Accent 5"/>
    <w:basedOn w:val="TableNormal"/>
    <w:uiPriority w:val="52"/>
    <w:rsid w:val="00931C0B"/>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2-Accent1">
    <w:name w:val="List Table 2 Accent 1"/>
    <w:basedOn w:val="TableNormal"/>
    <w:uiPriority w:val="47"/>
    <w:rsid w:val="00931C0B"/>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7Colorful-Accent51">
    <w:name w:val="List Table 7 Colorful - Accent 51"/>
    <w:basedOn w:val="TableNormal"/>
    <w:uiPriority w:val="52"/>
    <w:rsid w:val="00DC64B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64B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B234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7Colorful-Accent1">
    <w:name w:val="List Table 7 Colorful Accent 1"/>
    <w:basedOn w:val="TableNormal"/>
    <w:uiPriority w:val="52"/>
    <w:rsid w:val="00630DCC"/>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92A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5737">
      <w:bodyDiv w:val="1"/>
      <w:marLeft w:val="0"/>
      <w:marRight w:val="0"/>
      <w:marTop w:val="0"/>
      <w:marBottom w:val="0"/>
      <w:divBdr>
        <w:top w:val="none" w:sz="0" w:space="0" w:color="auto"/>
        <w:left w:val="none" w:sz="0" w:space="0" w:color="auto"/>
        <w:bottom w:val="none" w:sz="0" w:space="0" w:color="auto"/>
        <w:right w:val="none" w:sz="0" w:space="0" w:color="auto"/>
      </w:divBdr>
      <w:divsChild>
        <w:div w:id="1500734471">
          <w:marLeft w:val="0"/>
          <w:marRight w:val="0"/>
          <w:marTop w:val="0"/>
          <w:marBottom w:val="0"/>
          <w:divBdr>
            <w:top w:val="none" w:sz="0" w:space="0" w:color="auto"/>
            <w:left w:val="none" w:sz="0" w:space="0" w:color="auto"/>
            <w:bottom w:val="none" w:sz="0" w:space="0" w:color="auto"/>
            <w:right w:val="none" w:sz="0" w:space="0" w:color="auto"/>
          </w:divBdr>
          <w:divsChild>
            <w:div w:id="9591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7049">
      <w:bodyDiv w:val="1"/>
      <w:marLeft w:val="0"/>
      <w:marRight w:val="0"/>
      <w:marTop w:val="0"/>
      <w:marBottom w:val="0"/>
      <w:divBdr>
        <w:top w:val="none" w:sz="0" w:space="0" w:color="auto"/>
        <w:left w:val="none" w:sz="0" w:space="0" w:color="auto"/>
        <w:bottom w:val="none" w:sz="0" w:space="0" w:color="auto"/>
        <w:right w:val="none" w:sz="0" w:space="0" w:color="auto"/>
      </w:divBdr>
    </w:div>
    <w:div w:id="776487224">
      <w:bodyDiv w:val="1"/>
      <w:marLeft w:val="0"/>
      <w:marRight w:val="0"/>
      <w:marTop w:val="0"/>
      <w:marBottom w:val="0"/>
      <w:divBdr>
        <w:top w:val="none" w:sz="0" w:space="0" w:color="auto"/>
        <w:left w:val="none" w:sz="0" w:space="0" w:color="auto"/>
        <w:bottom w:val="none" w:sz="0" w:space="0" w:color="auto"/>
        <w:right w:val="none" w:sz="0" w:space="0" w:color="auto"/>
      </w:divBdr>
    </w:div>
    <w:div w:id="798718363">
      <w:bodyDiv w:val="1"/>
      <w:marLeft w:val="0"/>
      <w:marRight w:val="0"/>
      <w:marTop w:val="0"/>
      <w:marBottom w:val="0"/>
      <w:divBdr>
        <w:top w:val="none" w:sz="0" w:space="0" w:color="auto"/>
        <w:left w:val="none" w:sz="0" w:space="0" w:color="auto"/>
        <w:bottom w:val="none" w:sz="0" w:space="0" w:color="auto"/>
        <w:right w:val="none" w:sz="0" w:space="0" w:color="auto"/>
      </w:divBdr>
      <w:divsChild>
        <w:div w:id="752897254">
          <w:marLeft w:val="0"/>
          <w:marRight w:val="0"/>
          <w:marTop w:val="0"/>
          <w:marBottom w:val="0"/>
          <w:divBdr>
            <w:top w:val="none" w:sz="0" w:space="0" w:color="auto"/>
            <w:left w:val="none" w:sz="0" w:space="0" w:color="auto"/>
            <w:bottom w:val="none" w:sz="0" w:space="0" w:color="auto"/>
            <w:right w:val="none" w:sz="0" w:space="0" w:color="auto"/>
          </w:divBdr>
          <w:divsChild>
            <w:div w:id="1214388654">
              <w:marLeft w:val="-300"/>
              <w:marRight w:val="0"/>
              <w:marTop w:val="0"/>
              <w:marBottom w:val="270"/>
              <w:divBdr>
                <w:top w:val="none" w:sz="0" w:space="0" w:color="auto"/>
                <w:left w:val="none" w:sz="0" w:space="0" w:color="auto"/>
                <w:bottom w:val="none" w:sz="0" w:space="0" w:color="auto"/>
                <w:right w:val="none" w:sz="0" w:space="0" w:color="auto"/>
              </w:divBdr>
              <w:divsChild>
                <w:div w:id="1214197949">
                  <w:marLeft w:val="0"/>
                  <w:marRight w:val="0"/>
                  <w:marTop w:val="0"/>
                  <w:marBottom w:val="0"/>
                  <w:divBdr>
                    <w:top w:val="none" w:sz="0" w:space="0" w:color="auto"/>
                    <w:left w:val="none" w:sz="0" w:space="0" w:color="auto"/>
                    <w:bottom w:val="none" w:sz="0" w:space="0" w:color="auto"/>
                    <w:right w:val="none" w:sz="0" w:space="0" w:color="auto"/>
                  </w:divBdr>
                  <w:divsChild>
                    <w:div w:id="96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52776">
      <w:bodyDiv w:val="1"/>
      <w:marLeft w:val="0"/>
      <w:marRight w:val="0"/>
      <w:marTop w:val="0"/>
      <w:marBottom w:val="0"/>
      <w:divBdr>
        <w:top w:val="none" w:sz="0" w:space="0" w:color="auto"/>
        <w:left w:val="none" w:sz="0" w:space="0" w:color="auto"/>
        <w:bottom w:val="none" w:sz="0" w:space="0" w:color="auto"/>
        <w:right w:val="none" w:sz="0" w:space="0" w:color="auto"/>
      </w:divBdr>
    </w:div>
    <w:div w:id="932132913">
      <w:bodyDiv w:val="1"/>
      <w:marLeft w:val="0"/>
      <w:marRight w:val="0"/>
      <w:marTop w:val="0"/>
      <w:marBottom w:val="0"/>
      <w:divBdr>
        <w:top w:val="none" w:sz="0" w:space="0" w:color="auto"/>
        <w:left w:val="none" w:sz="0" w:space="0" w:color="auto"/>
        <w:bottom w:val="none" w:sz="0" w:space="0" w:color="auto"/>
        <w:right w:val="none" w:sz="0" w:space="0" w:color="auto"/>
      </w:divBdr>
      <w:divsChild>
        <w:div w:id="2135362622">
          <w:marLeft w:val="0"/>
          <w:marRight w:val="0"/>
          <w:marTop w:val="0"/>
          <w:marBottom w:val="0"/>
          <w:divBdr>
            <w:top w:val="none" w:sz="0" w:space="0" w:color="auto"/>
            <w:left w:val="none" w:sz="0" w:space="0" w:color="auto"/>
            <w:bottom w:val="none" w:sz="0" w:space="0" w:color="auto"/>
            <w:right w:val="none" w:sz="0" w:space="0" w:color="auto"/>
          </w:divBdr>
          <w:divsChild>
            <w:div w:id="435293218">
              <w:marLeft w:val="-300"/>
              <w:marRight w:val="0"/>
              <w:marTop w:val="0"/>
              <w:marBottom w:val="270"/>
              <w:divBdr>
                <w:top w:val="none" w:sz="0" w:space="0" w:color="auto"/>
                <w:left w:val="none" w:sz="0" w:space="0" w:color="auto"/>
                <w:bottom w:val="none" w:sz="0" w:space="0" w:color="auto"/>
                <w:right w:val="none" w:sz="0" w:space="0" w:color="auto"/>
              </w:divBdr>
              <w:divsChild>
                <w:div w:id="1649673704">
                  <w:marLeft w:val="0"/>
                  <w:marRight w:val="0"/>
                  <w:marTop w:val="0"/>
                  <w:marBottom w:val="0"/>
                  <w:divBdr>
                    <w:top w:val="none" w:sz="0" w:space="0" w:color="auto"/>
                    <w:left w:val="none" w:sz="0" w:space="0" w:color="auto"/>
                    <w:bottom w:val="none" w:sz="0" w:space="0" w:color="auto"/>
                    <w:right w:val="none" w:sz="0" w:space="0" w:color="auto"/>
                  </w:divBdr>
                  <w:divsChild>
                    <w:div w:id="9283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2123">
      <w:bodyDiv w:val="1"/>
      <w:marLeft w:val="0"/>
      <w:marRight w:val="0"/>
      <w:marTop w:val="0"/>
      <w:marBottom w:val="0"/>
      <w:divBdr>
        <w:top w:val="none" w:sz="0" w:space="0" w:color="auto"/>
        <w:left w:val="none" w:sz="0" w:space="0" w:color="auto"/>
        <w:bottom w:val="none" w:sz="0" w:space="0" w:color="auto"/>
        <w:right w:val="none" w:sz="0" w:space="0" w:color="auto"/>
      </w:divBdr>
    </w:div>
    <w:div w:id="1191607450">
      <w:bodyDiv w:val="1"/>
      <w:marLeft w:val="0"/>
      <w:marRight w:val="0"/>
      <w:marTop w:val="0"/>
      <w:marBottom w:val="0"/>
      <w:divBdr>
        <w:top w:val="none" w:sz="0" w:space="0" w:color="auto"/>
        <w:left w:val="none" w:sz="0" w:space="0" w:color="auto"/>
        <w:bottom w:val="none" w:sz="0" w:space="0" w:color="auto"/>
        <w:right w:val="none" w:sz="0" w:space="0" w:color="auto"/>
      </w:divBdr>
      <w:divsChild>
        <w:div w:id="1128160481">
          <w:marLeft w:val="0"/>
          <w:marRight w:val="0"/>
          <w:marTop w:val="0"/>
          <w:marBottom w:val="0"/>
          <w:divBdr>
            <w:top w:val="none" w:sz="0" w:space="0" w:color="auto"/>
            <w:left w:val="none" w:sz="0" w:space="0" w:color="auto"/>
            <w:bottom w:val="none" w:sz="0" w:space="0" w:color="auto"/>
            <w:right w:val="none" w:sz="0" w:space="0" w:color="auto"/>
          </w:divBdr>
          <w:divsChild>
            <w:div w:id="866679064">
              <w:marLeft w:val="-300"/>
              <w:marRight w:val="0"/>
              <w:marTop w:val="0"/>
              <w:marBottom w:val="270"/>
              <w:divBdr>
                <w:top w:val="none" w:sz="0" w:space="0" w:color="auto"/>
                <w:left w:val="none" w:sz="0" w:space="0" w:color="auto"/>
                <w:bottom w:val="none" w:sz="0" w:space="0" w:color="auto"/>
                <w:right w:val="none" w:sz="0" w:space="0" w:color="auto"/>
              </w:divBdr>
              <w:divsChild>
                <w:div w:id="943460615">
                  <w:marLeft w:val="0"/>
                  <w:marRight w:val="0"/>
                  <w:marTop w:val="0"/>
                  <w:marBottom w:val="0"/>
                  <w:divBdr>
                    <w:top w:val="none" w:sz="0" w:space="0" w:color="auto"/>
                    <w:left w:val="none" w:sz="0" w:space="0" w:color="auto"/>
                    <w:bottom w:val="none" w:sz="0" w:space="0" w:color="auto"/>
                    <w:right w:val="none" w:sz="0" w:space="0" w:color="auto"/>
                  </w:divBdr>
                  <w:divsChild>
                    <w:div w:id="572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20132">
      <w:bodyDiv w:val="1"/>
      <w:marLeft w:val="0"/>
      <w:marRight w:val="0"/>
      <w:marTop w:val="0"/>
      <w:marBottom w:val="0"/>
      <w:divBdr>
        <w:top w:val="none" w:sz="0" w:space="0" w:color="auto"/>
        <w:left w:val="none" w:sz="0" w:space="0" w:color="auto"/>
        <w:bottom w:val="none" w:sz="0" w:space="0" w:color="auto"/>
        <w:right w:val="none" w:sz="0" w:space="0" w:color="auto"/>
      </w:divBdr>
    </w:div>
    <w:div w:id="1281255928">
      <w:bodyDiv w:val="1"/>
      <w:marLeft w:val="0"/>
      <w:marRight w:val="0"/>
      <w:marTop w:val="0"/>
      <w:marBottom w:val="0"/>
      <w:divBdr>
        <w:top w:val="none" w:sz="0" w:space="0" w:color="auto"/>
        <w:left w:val="none" w:sz="0" w:space="0" w:color="auto"/>
        <w:bottom w:val="none" w:sz="0" w:space="0" w:color="auto"/>
        <w:right w:val="none" w:sz="0" w:space="0" w:color="auto"/>
      </w:divBdr>
      <w:divsChild>
        <w:div w:id="85422333">
          <w:marLeft w:val="0"/>
          <w:marRight w:val="0"/>
          <w:marTop w:val="0"/>
          <w:marBottom w:val="0"/>
          <w:divBdr>
            <w:top w:val="none" w:sz="0" w:space="0" w:color="auto"/>
            <w:left w:val="none" w:sz="0" w:space="0" w:color="auto"/>
            <w:bottom w:val="none" w:sz="0" w:space="0" w:color="auto"/>
            <w:right w:val="none" w:sz="0" w:space="0" w:color="auto"/>
          </w:divBdr>
          <w:divsChild>
            <w:div w:id="1528907988">
              <w:marLeft w:val="-300"/>
              <w:marRight w:val="0"/>
              <w:marTop w:val="0"/>
              <w:marBottom w:val="270"/>
              <w:divBdr>
                <w:top w:val="none" w:sz="0" w:space="0" w:color="auto"/>
                <w:left w:val="none" w:sz="0" w:space="0" w:color="auto"/>
                <w:bottom w:val="none" w:sz="0" w:space="0" w:color="auto"/>
                <w:right w:val="none" w:sz="0" w:space="0" w:color="auto"/>
              </w:divBdr>
              <w:divsChild>
                <w:div w:id="897479530">
                  <w:marLeft w:val="0"/>
                  <w:marRight w:val="0"/>
                  <w:marTop w:val="0"/>
                  <w:marBottom w:val="0"/>
                  <w:divBdr>
                    <w:top w:val="none" w:sz="0" w:space="0" w:color="auto"/>
                    <w:left w:val="none" w:sz="0" w:space="0" w:color="auto"/>
                    <w:bottom w:val="none" w:sz="0" w:space="0" w:color="auto"/>
                    <w:right w:val="none" w:sz="0" w:space="0" w:color="auto"/>
                  </w:divBdr>
                  <w:divsChild>
                    <w:div w:id="9918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0663">
      <w:bodyDiv w:val="1"/>
      <w:marLeft w:val="0"/>
      <w:marRight w:val="0"/>
      <w:marTop w:val="0"/>
      <w:marBottom w:val="0"/>
      <w:divBdr>
        <w:top w:val="none" w:sz="0" w:space="0" w:color="auto"/>
        <w:left w:val="none" w:sz="0" w:space="0" w:color="auto"/>
        <w:bottom w:val="none" w:sz="0" w:space="0" w:color="auto"/>
        <w:right w:val="none" w:sz="0" w:space="0" w:color="auto"/>
      </w:divBdr>
    </w:div>
    <w:div w:id="1579942346">
      <w:bodyDiv w:val="1"/>
      <w:marLeft w:val="0"/>
      <w:marRight w:val="0"/>
      <w:marTop w:val="0"/>
      <w:marBottom w:val="0"/>
      <w:divBdr>
        <w:top w:val="none" w:sz="0" w:space="0" w:color="auto"/>
        <w:left w:val="none" w:sz="0" w:space="0" w:color="auto"/>
        <w:bottom w:val="none" w:sz="0" w:space="0" w:color="auto"/>
        <w:right w:val="none" w:sz="0" w:space="0" w:color="auto"/>
      </w:divBdr>
      <w:divsChild>
        <w:div w:id="621616219">
          <w:marLeft w:val="0"/>
          <w:marRight w:val="0"/>
          <w:marTop w:val="0"/>
          <w:marBottom w:val="0"/>
          <w:divBdr>
            <w:top w:val="none" w:sz="0" w:space="0" w:color="auto"/>
            <w:left w:val="none" w:sz="0" w:space="0" w:color="auto"/>
            <w:bottom w:val="none" w:sz="0" w:space="0" w:color="auto"/>
            <w:right w:val="none" w:sz="0" w:space="0" w:color="auto"/>
          </w:divBdr>
          <w:divsChild>
            <w:div w:id="1673676819">
              <w:marLeft w:val="-300"/>
              <w:marRight w:val="0"/>
              <w:marTop w:val="0"/>
              <w:marBottom w:val="270"/>
              <w:divBdr>
                <w:top w:val="none" w:sz="0" w:space="0" w:color="auto"/>
                <w:left w:val="none" w:sz="0" w:space="0" w:color="auto"/>
                <w:bottom w:val="none" w:sz="0" w:space="0" w:color="auto"/>
                <w:right w:val="none" w:sz="0" w:space="0" w:color="auto"/>
              </w:divBdr>
              <w:divsChild>
                <w:div w:id="711736387">
                  <w:marLeft w:val="0"/>
                  <w:marRight w:val="0"/>
                  <w:marTop w:val="0"/>
                  <w:marBottom w:val="0"/>
                  <w:divBdr>
                    <w:top w:val="none" w:sz="0" w:space="0" w:color="auto"/>
                    <w:left w:val="none" w:sz="0" w:space="0" w:color="auto"/>
                    <w:bottom w:val="none" w:sz="0" w:space="0" w:color="auto"/>
                    <w:right w:val="none" w:sz="0" w:space="0" w:color="auto"/>
                  </w:divBdr>
                  <w:divsChild>
                    <w:div w:id="3448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05969">
      <w:bodyDiv w:val="1"/>
      <w:marLeft w:val="0"/>
      <w:marRight w:val="0"/>
      <w:marTop w:val="0"/>
      <w:marBottom w:val="0"/>
      <w:divBdr>
        <w:top w:val="none" w:sz="0" w:space="0" w:color="auto"/>
        <w:left w:val="none" w:sz="0" w:space="0" w:color="auto"/>
        <w:bottom w:val="none" w:sz="0" w:space="0" w:color="auto"/>
        <w:right w:val="none" w:sz="0" w:space="0" w:color="auto"/>
      </w:divBdr>
    </w:div>
    <w:div w:id="1743524777">
      <w:bodyDiv w:val="1"/>
      <w:marLeft w:val="0"/>
      <w:marRight w:val="0"/>
      <w:marTop w:val="0"/>
      <w:marBottom w:val="0"/>
      <w:divBdr>
        <w:top w:val="none" w:sz="0" w:space="0" w:color="auto"/>
        <w:left w:val="none" w:sz="0" w:space="0" w:color="auto"/>
        <w:bottom w:val="none" w:sz="0" w:space="0" w:color="auto"/>
        <w:right w:val="none" w:sz="0" w:space="0" w:color="auto"/>
      </w:divBdr>
    </w:div>
    <w:div w:id="1983853061">
      <w:bodyDiv w:val="1"/>
      <w:marLeft w:val="0"/>
      <w:marRight w:val="0"/>
      <w:marTop w:val="0"/>
      <w:marBottom w:val="0"/>
      <w:divBdr>
        <w:top w:val="none" w:sz="0" w:space="0" w:color="auto"/>
        <w:left w:val="none" w:sz="0" w:space="0" w:color="auto"/>
        <w:bottom w:val="none" w:sz="0" w:space="0" w:color="auto"/>
        <w:right w:val="none" w:sz="0" w:space="0" w:color="auto"/>
      </w:divBdr>
    </w:div>
    <w:div w:id="20600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DCEE9D0-8C15-4BDE-A16C-423D8D1F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7156</Words>
  <Characters>4079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Informatīvais ziņojums „Par Eiropas Stabilitātes mehānisma darbību 2020. gadā”</vt:lpstr>
    </vt:vector>
  </TitlesOfParts>
  <Company>Finanšu ministrija</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Stabilitātes mehānisma darbību 2020. gadā”</dc:title>
  <dc:subject>Informatīvais ziņojums</dc:subject>
  <dc:creator>anna.deksne@fm.gov.lv</dc:creator>
  <cp:keywords/>
  <dc:description>Deksne, 67083823
anna.deksne@fm.gov.lv</dc:description>
  <cp:lastModifiedBy>Anna Deksne</cp:lastModifiedBy>
  <cp:revision>5</cp:revision>
  <cp:lastPrinted>2019-08-08T07:49:00Z</cp:lastPrinted>
  <dcterms:created xsi:type="dcterms:W3CDTF">2021-08-12T07:15:00Z</dcterms:created>
  <dcterms:modified xsi:type="dcterms:W3CDTF">2021-08-12T12:07:00Z</dcterms:modified>
</cp:coreProperties>
</file>