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863D1" w14:textId="7A393726" w:rsidR="00856079" w:rsidRPr="009B5620" w:rsidRDefault="00856079" w:rsidP="00A00254">
      <w:pPr>
        <w:keepNext/>
        <w:jc w:val="center"/>
        <w:outlineLvl w:val="1"/>
        <w:rPr>
          <w:b/>
          <w:bCs/>
          <w:iCs/>
          <w:sz w:val="28"/>
        </w:rPr>
      </w:pPr>
      <w:bookmarkStart w:id="0" w:name="OLE_LINK6"/>
      <w:bookmarkStart w:id="1" w:name="OLE_LINK7"/>
      <w:r w:rsidRPr="009B5620">
        <w:rPr>
          <w:b/>
          <w:bCs/>
          <w:iCs/>
          <w:sz w:val="28"/>
        </w:rPr>
        <w:t xml:space="preserve">Ministru kabineta noteikumu </w:t>
      </w:r>
      <w:r w:rsidR="00033CC8">
        <w:rPr>
          <w:b/>
          <w:bCs/>
          <w:iCs/>
          <w:sz w:val="28"/>
        </w:rPr>
        <w:t>projekta</w:t>
      </w:r>
    </w:p>
    <w:p w14:paraId="36E7E720" w14:textId="0005946F" w:rsidR="00856079" w:rsidRPr="009B5620" w:rsidRDefault="00ED62D1" w:rsidP="00A00254">
      <w:pPr>
        <w:jc w:val="center"/>
        <w:rPr>
          <w:b/>
          <w:sz w:val="28"/>
          <w:lang w:eastAsia="en-US"/>
        </w:rPr>
      </w:pPr>
      <w:r w:rsidRPr="009B5620">
        <w:rPr>
          <w:b/>
          <w:sz w:val="28"/>
          <w:szCs w:val="28"/>
        </w:rPr>
        <w:t>„</w:t>
      </w:r>
      <w:r w:rsidRPr="009B5620">
        <w:rPr>
          <w:b/>
          <w:bCs/>
          <w:sz w:val="28"/>
          <w:szCs w:val="28"/>
          <w:shd w:val="clear" w:color="auto" w:fill="FFFFFF"/>
        </w:rPr>
        <w:t>Emisijas kvotu izsolīšanas instrumenta finansēto projektu atklāta konkursa "</w:t>
      </w:r>
      <w:r w:rsidR="00033CC8" w:rsidRPr="009F4645">
        <w:rPr>
          <w:b/>
          <w:bCs/>
          <w:sz w:val="28"/>
          <w:szCs w:val="28"/>
          <w:shd w:val="clear" w:color="auto" w:fill="FFFFFF"/>
        </w:rPr>
        <w:t>Siltumnīcefekta gāzu emisijas samazināšana transporta sektorā – atbalsts bezemisiju un mazemisiju transportlīdzekļu iegādei</w:t>
      </w:r>
      <w:r w:rsidRPr="009B5620">
        <w:rPr>
          <w:b/>
          <w:bCs/>
          <w:sz w:val="28"/>
          <w:szCs w:val="28"/>
          <w:shd w:val="clear" w:color="auto" w:fill="FFFFFF"/>
        </w:rPr>
        <w:t>" nolikums</w:t>
      </w:r>
      <w:r w:rsidR="00B81995" w:rsidRPr="009B5620">
        <w:rPr>
          <w:b/>
          <w:bCs/>
          <w:sz w:val="28"/>
        </w:rPr>
        <w:t>”</w:t>
      </w:r>
      <w:r w:rsidR="00F5342E" w:rsidRPr="009B5620">
        <w:rPr>
          <w:b/>
          <w:bCs/>
          <w:sz w:val="28"/>
        </w:rPr>
        <w:t xml:space="preserve"> </w:t>
      </w:r>
      <w:r w:rsidR="00273973" w:rsidRPr="009B5620">
        <w:rPr>
          <w:b/>
          <w:bCs/>
          <w:iCs/>
          <w:sz w:val="28"/>
        </w:rPr>
        <w:t>projekta</w:t>
      </w:r>
      <w:r w:rsidR="00273973" w:rsidRPr="009B5620">
        <w:rPr>
          <w:b/>
          <w:sz w:val="28"/>
          <w:lang w:eastAsia="en-US"/>
        </w:rPr>
        <w:t xml:space="preserve"> </w:t>
      </w:r>
      <w:r w:rsidR="00856079" w:rsidRPr="009B5620">
        <w:rPr>
          <w:b/>
          <w:sz w:val="28"/>
          <w:lang w:eastAsia="en-US"/>
        </w:rPr>
        <w:t>sākotnējās ietekmes novērtējuma ziņojums (anotācija</w:t>
      </w:r>
      <w:bookmarkEnd w:id="0"/>
      <w:bookmarkEnd w:id="1"/>
      <w:r w:rsidR="00856079" w:rsidRPr="009B5620">
        <w:rPr>
          <w:b/>
          <w:sz w:val="28"/>
          <w:lang w:eastAsia="en-US"/>
        </w:rPr>
        <w:t>)</w:t>
      </w:r>
    </w:p>
    <w:p w14:paraId="799A8B97" w14:textId="77777777" w:rsidR="00882958" w:rsidRPr="009B5620"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9B5620"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9B5620" w:rsidRDefault="00882958">
            <w:pPr>
              <w:jc w:val="center"/>
              <w:rPr>
                <w:b/>
                <w:bCs/>
              </w:rPr>
            </w:pPr>
            <w:r w:rsidRPr="009B5620">
              <w:rPr>
                <w:b/>
                <w:bCs/>
              </w:rPr>
              <w:t>Tiesību akta projekta anotācijas kopsavilkums</w:t>
            </w:r>
          </w:p>
        </w:tc>
      </w:tr>
      <w:tr w:rsidR="00882958" w:rsidRPr="009B5620"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9B5620" w:rsidRDefault="00882958">
            <w:pPr>
              <w:rPr>
                <w:iCs/>
              </w:rPr>
            </w:pPr>
            <w:r w:rsidRPr="009B5620">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BDDC04E" w14:textId="5D6E8CA5" w:rsidR="00882958" w:rsidRDefault="00F21932" w:rsidP="00A00254">
            <w:pPr>
              <w:ind w:right="142"/>
              <w:jc w:val="both"/>
            </w:pPr>
            <w:r w:rsidRPr="0044709F">
              <w:rPr>
                <w:iCs/>
              </w:rPr>
              <w:t>M</w:t>
            </w:r>
            <w:r w:rsidR="007A09F0">
              <w:rPr>
                <w:iCs/>
              </w:rPr>
              <w:t xml:space="preserve">inistru kabineta </w:t>
            </w:r>
            <w:r w:rsidRPr="00033CC8">
              <w:rPr>
                <w:iCs/>
              </w:rPr>
              <w:t xml:space="preserve">noteikumu </w:t>
            </w:r>
            <w:r w:rsidRPr="00033CC8">
              <w:t>„</w:t>
            </w:r>
            <w:r w:rsidR="00033CC8" w:rsidRPr="00033CC8">
              <w:rPr>
                <w:shd w:val="clear" w:color="auto" w:fill="FFFFFF"/>
              </w:rPr>
              <w:t>Emisijas kvotu izsolīšanas instrumenta finansēto projektu atklāta konkursa "Siltumnīcefekta gāzu emisijas samazināšana transporta sektorā – atbalsts bezemisiju un mazemisiju transportlīdzekļu iegādei" nolikums</w:t>
            </w:r>
            <w:r w:rsidRPr="00033CC8">
              <w:t>”</w:t>
            </w:r>
            <w:r w:rsidR="007A09F0">
              <w:t xml:space="preserve"> </w:t>
            </w:r>
            <w:r w:rsidR="00273973" w:rsidRPr="0044709F">
              <w:rPr>
                <w:iCs/>
              </w:rPr>
              <w:t>projekts</w:t>
            </w:r>
            <w:r w:rsidR="00273973">
              <w:t xml:space="preserve"> </w:t>
            </w:r>
            <w:r w:rsidR="007A09F0">
              <w:t>(turpmāk </w:t>
            </w:r>
            <w:r>
              <w:t>–</w:t>
            </w:r>
            <w:r w:rsidR="007A09F0">
              <w:t> </w:t>
            </w:r>
            <w:r w:rsidR="00273973">
              <w:t>n</w:t>
            </w:r>
            <w:r>
              <w:t>oteikumu projekts)</w:t>
            </w:r>
            <w:r w:rsidRPr="009B5620">
              <w:t xml:space="preserve"> </w:t>
            </w:r>
            <w:r w:rsidRPr="0044709F">
              <w:rPr>
                <w:iCs/>
              </w:rPr>
              <w:t xml:space="preserve">paredz </w:t>
            </w:r>
            <w:r w:rsidR="002F1205">
              <w:rPr>
                <w:iCs/>
              </w:rPr>
              <w:t xml:space="preserve">nosacījumus </w:t>
            </w:r>
            <w:r w:rsidR="00DC4FA9" w:rsidRPr="009B5620">
              <w:rPr>
                <w:bCs/>
                <w:shd w:val="clear" w:color="auto" w:fill="FFFFFF"/>
              </w:rPr>
              <w:t>konkursa "</w:t>
            </w:r>
            <w:r w:rsidR="00033CC8">
              <w:rPr>
                <w:bCs/>
                <w:shd w:val="clear" w:color="auto" w:fill="FFFFFF"/>
              </w:rPr>
              <w:t>S</w:t>
            </w:r>
            <w:r w:rsidR="00033CC8" w:rsidRPr="00033CC8">
              <w:rPr>
                <w:shd w:val="clear" w:color="auto" w:fill="FFFFFF"/>
              </w:rPr>
              <w:t>iltumnīcefekta gāzu emisijas samazināšana transporta sektorā – atbalsts bezemisiju un mazemisiju transportlīdzekļu iegādei</w:t>
            </w:r>
            <w:r w:rsidR="00DC4FA9">
              <w:rPr>
                <w:bCs/>
                <w:shd w:val="clear" w:color="auto" w:fill="FFFFFF"/>
              </w:rPr>
              <w:t>”</w:t>
            </w:r>
            <w:r w:rsidR="002F1205">
              <w:rPr>
                <w:iCs/>
              </w:rPr>
              <w:t xml:space="preserve"> organizēšanai</w:t>
            </w:r>
            <w:r w:rsidR="004E0B6B">
              <w:t>.</w:t>
            </w:r>
          </w:p>
          <w:p w14:paraId="4973DBC1" w14:textId="3DA37BAA" w:rsidR="00F21932" w:rsidRPr="009B5620" w:rsidRDefault="00F21932" w:rsidP="00B61B9E">
            <w:pPr>
              <w:ind w:right="142"/>
              <w:jc w:val="both"/>
              <w:rPr>
                <w:iCs/>
              </w:rPr>
            </w:pPr>
            <w:r>
              <w:t xml:space="preserve">Paredzēts, ka </w:t>
            </w:r>
            <w:r w:rsidR="00273973">
              <w:t>n</w:t>
            </w:r>
            <w:r>
              <w:t>oteikumu projekts stā</w:t>
            </w:r>
            <w:r w:rsidR="007A09F0">
              <w:t>sie</w:t>
            </w:r>
            <w:r>
              <w:t xml:space="preserve">s spēkā </w:t>
            </w:r>
            <w:r w:rsidR="002F1205">
              <w:t xml:space="preserve">atbilstoši </w:t>
            </w:r>
            <w:r w:rsidR="00DC4FA9">
              <w:t>normatīvajos aktos noteiktajai kārtībai</w:t>
            </w:r>
            <w:r>
              <w:t>.</w:t>
            </w:r>
          </w:p>
        </w:tc>
      </w:tr>
    </w:tbl>
    <w:p w14:paraId="497AE132" w14:textId="77777777" w:rsidR="00A627CD" w:rsidRPr="009B5620"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9B5620"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9B5620" w:rsidRDefault="0030341E" w:rsidP="0030341E">
            <w:pPr>
              <w:jc w:val="center"/>
              <w:rPr>
                <w:b/>
                <w:bCs/>
              </w:rPr>
            </w:pPr>
            <w:r w:rsidRPr="009B5620">
              <w:rPr>
                <w:b/>
                <w:bCs/>
              </w:rPr>
              <w:t>I. Tiesību akta projekta izstrādes nepieciešamība</w:t>
            </w:r>
          </w:p>
        </w:tc>
      </w:tr>
      <w:tr w:rsidR="004B0FC9" w:rsidRPr="009B5620"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9B5620" w:rsidRDefault="004B0FC9" w:rsidP="004B0FC9">
            <w:r w:rsidRPr="009B5620">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9B5620" w:rsidRDefault="004B0FC9" w:rsidP="004B0FC9">
            <w:r w:rsidRPr="009B5620">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6BA3B416" w:rsidR="00033CC8" w:rsidRPr="009B5620" w:rsidRDefault="00033CC8" w:rsidP="00273973">
            <w:pPr>
              <w:pStyle w:val="naiskr"/>
              <w:tabs>
                <w:tab w:val="left" w:pos="6491"/>
              </w:tabs>
              <w:spacing w:before="0" w:after="0"/>
              <w:ind w:left="131" w:right="236"/>
              <w:jc w:val="both"/>
            </w:pPr>
            <w:r w:rsidRPr="005E1928">
              <w:t>MK noteikumu projekts izstrādāts</w:t>
            </w:r>
            <w:r w:rsidRPr="005E1928">
              <w:rPr>
                <w:shd w:val="clear" w:color="auto" w:fill="FFFFFF"/>
              </w:rPr>
              <w:t xml:space="preserve"> pamatojoties uz </w:t>
            </w:r>
            <w:r w:rsidRPr="005E1928">
              <w:t>likuma “Par piesārņojumu” 32.</w:t>
            </w:r>
            <w:r w:rsidRPr="005E1928">
              <w:rPr>
                <w:vertAlign w:val="superscript"/>
              </w:rPr>
              <w:t>2</w:t>
            </w:r>
            <w:r w:rsidRPr="005E1928">
              <w:t>. panta 4.</w:t>
            </w:r>
            <w:r w:rsidRPr="005E1928">
              <w:rPr>
                <w:vertAlign w:val="superscript"/>
              </w:rPr>
              <w:t>6</w:t>
            </w:r>
            <w:r w:rsidRPr="005E1928">
              <w:t xml:space="preserve"> daļu, vides aizsardzības un reģionālās attīstības ministra 2021. gada 7. jūnija rīkojuma Nr. 1-2/84 „Par Emisijas kvotu izsolīšanas instrumenta darbības stratēģijas apstiprināšanu” 5.nodaļu un informatīvo ziņojumu “</w:t>
            </w:r>
            <w:r w:rsidRPr="005E1928">
              <w:rPr>
                <w:shd w:val="clear" w:color="auto" w:fill="FFFFFF"/>
              </w:rPr>
              <w:t>Par atbalstu bezemisiju un mazemisiju transportlīdzekļu iegādei</w:t>
            </w:r>
            <w:r w:rsidRPr="005E1928">
              <w:t>”.</w:t>
            </w:r>
          </w:p>
        </w:tc>
      </w:tr>
      <w:tr w:rsidR="001C1205" w:rsidRPr="009B5620"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9B5620" w:rsidRDefault="004B0FC9" w:rsidP="004B0FC9">
            <w:r w:rsidRPr="009B5620">
              <w:t>2.</w:t>
            </w:r>
          </w:p>
        </w:tc>
        <w:tc>
          <w:tcPr>
            <w:tcW w:w="1017" w:type="pct"/>
            <w:tcBorders>
              <w:top w:val="outset" w:sz="6" w:space="0" w:color="000000"/>
              <w:left w:val="outset" w:sz="6" w:space="0" w:color="000000"/>
              <w:bottom w:val="outset" w:sz="6" w:space="0" w:color="000000"/>
              <w:right w:val="outset" w:sz="6" w:space="0" w:color="000000"/>
            </w:tcBorders>
          </w:tcPr>
          <w:p w14:paraId="5D22EFDB" w14:textId="4616166B" w:rsidR="004B0FC9" w:rsidRPr="00CC02CD" w:rsidRDefault="004B0FC9" w:rsidP="004E0A18">
            <w:r w:rsidRPr="009B5620">
              <w:t>Pašreizējā situācija un problēmas, kuru risināšanai tiesību akta projekts izstrādāts, tiesiskā regulējuma mērķis un būtība</w:t>
            </w:r>
          </w:p>
        </w:tc>
        <w:tc>
          <w:tcPr>
            <w:tcW w:w="3752" w:type="pct"/>
            <w:tcBorders>
              <w:top w:val="outset" w:sz="6" w:space="0" w:color="000000"/>
              <w:left w:val="outset" w:sz="6" w:space="0" w:color="000000"/>
              <w:bottom w:val="outset" w:sz="6" w:space="0" w:color="000000"/>
              <w:right w:val="outset" w:sz="6" w:space="0" w:color="000000"/>
            </w:tcBorders>
          </w:tcPr>
          <w:p w14:paraId="51AC6504" w14:textId="1CE6051E" w:rsidR="00473CB7" w:rsidRPr="00473CB7" w:rsidRDefault="00473CB7" w:rsidP="00D27400">
            <w:pPr>
              <w:spacing w:before="120" w:after="120"/>
              <w:ind w:left="142" w:right="96"/>
              <w:jc w:val="both"/>
              <w:outlineLvl w:val="0"/>
            </w:pPr>
            <w:r w:rsidRPr="00473CB7">
              <w:t>Transporta sektors ir otrs lielākais siltumnīcefekta gāzu (turpmāk – SEG) emisiju avots un rada gandrīz trešo daļu (29 %) no kopējām Latvijas SEG emisijām. Autotransports ir lielākais SEG emisiju avots transporta sektorā. 2019. gadā autotransports veidoja 95,0 %, savukārt dzelzceļa transports tikai 4,6% no kopējām SEG emisijām transporta sektorā.</w:t>
            </w:r>
          </w:p>
          <w:p w14:paraId="1254EBE0" w14:textId="77777777" w:rsidR="00473CB7" w:rsidRPr="00473CB7" w:rsidRDefault="00473CB7" w:rsidP="00D27400">
            <w:pPr>
              <w:spacing w:before="120" w:after="120"/>
              <w:ind w:left="142" w:right="96"/>
              <w:jc w:val="both"/>
            </w:pPr>
            <w:r w:rsidRPr="00473CB7">
              <w:t>Vēsturiski SEG emisijas transporta sektorā ir saistītas ar ekonomiskajiem procesiem Latvijā: straujā ekonomikas attīstība un iedzīvotāju ienākumu pieaugums ir veicinājis strauju automobiļu skaita pieaugumu, savukārt valsts ekonomikas lejupslīdē – samazinājās pasažieru satiksme autotransportā (mērīta pasažierkilometros) un arī kravu pārvadājumi (mērīti tonnkilometros), kas attiecīgi noteica SEG emisiju samazināšanos. Sākot ar 2013. gadu, vērojams stabils transporta sektora SEG emisiju pieaugums, līdz ar to nepieciešami vispusīgi risinājumi transporta sektorā, lai veicinātu oglekļa mazietilpīgu attīstību Latvijā, atsaistot ekonomisko izaugsmi no SEG emisiju rašanās.</w:t>
            </w:r>
          </w:p>
          <w:p w14:paraId="5EE9B7B5" w14:textId="4171ACFA" w:rsidR="00473CB7" w:rsidRPr="00473CB7" w:rsidRDefault="00473CB7" w:rsidP="00D27400">
            <w:pPr>
              <w:spacing w:before="120" w:after="120"/>
              <w:ind w:left="142" w:right="96"/>
              <w:jc w:val="both"/>
            </w:pPr>
            <w:r w:rsidRPr="00473CB7">
              <w:t xml:space="preserve">Aplūkojot tieši autotransporta SEG emisiju dinamiku, tad 2019. gadā salīdzinot ar 2018. gadu, SEG emisiju daudzums ir palielinājies par 0,9 %, no tā 2019. gadā pasažieru automašīnas </w:t>
            </w:r>
            <w:r w:rsidRPr="00473CB7">
              <w:lastRenderedPageBreak/>
              <w:t>radīja aptuveni 58 %, bet kravas automašīnas un autobusi 32,4 % no kopējām autotransporta sektora SEG emisijā</w:t>
            </w:r>
            <w:r>
              <w:t>m</w:t>
            </w:r>
            <w:r w:rsidRPr="00473CB7">
              <w:t>.</w:t>
            </w:r>
          </w:p>
          <w:p w14:paraId="39E9D4BF" w14:textId="61372D3F" w:rsidR="00473CB7" w:rsidRPr="00473CB7" w:rsidRDefault="00473CB7" w:rsidP="00D27400">
            <w:pPr>
              <w:spacing w:before="120" w:after="120"/>
              <w:ind w:left="142" w:right="96"/>
              <w:jc w:val="both"/>
            </w:pPr>
            <w:r w:rsidRPr="00473CB7">
              <w:t xml:space="preserve">Analizējot transportlīdzekļu struktūru pēc degvielas tipa redzams, ka kopumā elektrotransportlīdzekļi veido tikai 0,2 % no Latvijā reģistrētajiem transportlīdzekļiem, kamēr nepilnus 70 % veido dīzeļdegvielas transportlīdzekļi un 27 % transportlīdzekļi, kas aprīkoti ar benzīndzinējiem. </w:t>
            </w:r>
          </w:p>
          <w:p w14:paraId="139C3DD7" w14:textId="77777777" w:rsidR="00473CB7" w:rsidRPr="00473CB7" w:rsidRDefault="00473CB7" w:rsidP="00D27400">
            <w:pPr>
              <w:spacing w:before="120" w:after="120"/>
              <w:ind w:left="142" w:right="96"/>
              <w:jc w:val="both"/>
            </w:pPr>
            <w:r w:rsidRPr="00473CB7">
              <w:t xml:space="preserve">Latvijā transporta sektoram nav noteikts atsevišķs SEG emisiju mērķis. Latvijai ir noteikts mērķis samazināt SEG emisijas </w:t>
            </w:r>
            <w:r w:rsidRPr="000D0D9C">
              <w:t>ne-ETS sektorā</w:t>
            </w:r>
            <w:r w:rsidRPr="000920FE">
              <w:t xml:space="preserve"> (emisijas, kas nav aptvertas ar ES emisiju tirdzn</w:t>
            </w:r>
            <w:r w:rsidRPr="00473CB7">
              <w:t xml:space="preserve">iecības sistēmu), ieskaitot transporta sektoru, par 6% līdz 2030. gadam salīdzinājumā ar 2005. gadu. Visām ES valstīm ir noteikti individuāli ikgadēji sasniedzamie SEG emisijas samazinājumi. </w:t>
            </w:r>
            <w:r w:rsidRPr="00473CB7">
              <w:rPr>
                <w:lang w:eastAsia="en-US"/>
              </w:rPr>
              <w:t>Lai ES trajektorija uz klimatneitralitāti 2050. gadā būtu līdzsvarota, reālistiska un apdomīgi izraudzīta, tika panākta vienošanās paaugstināt ES 2030. gada klimata politikas mērķus no -40 % uz -55 % (2030. gadā salīdzinot ar 2005. gadu). Līdz ar to gaidāma ES dalībvalstu nacionālo SEG emisiju mērķu pārskatīšana.</w:t>
            </w:r>
          </w:p>
          <w:p w14:paraId="6BFD11A8" w14:textId="77777777" w:rsidR="00473CB7" w:rsidRPr="00473CB7" w:rsidRDefault="00473CB7">
            <w:pPr>
              <w:spacing w:before="120" w:after="120"/>
              <w:ind w:left="142" w:right="96"/>
              <w:jc w:val="both"/>
            </w:pPr>
            <w:r w:rsidRPr="00473CB7">
              <w:t>Pastāv iespēja, ka ar esošajiem politikas pasākumiem, noteiktais ne-ETS mērķis uz 2030. gadu varētu netikt sasniegts. Tādēļ ir jāplāno un jāīsteno papildu pasākumi, t.sk. transporta sektorā, lai mazinātu šo risku. Kaut arī transporta sektora dekarbonizācija nav sasniedzama ar vienu risinājumu, kopumā nākotnē transporta sektora dekarbonizācija lielā mērā būs saistīta tieši ar tā elektrifikāciju.</w:t>
            </w:r>
          </w:p>
          <w:p w14:paraId="7A26172B" w14:textId="1D291D3A" w:rsidR="00473CB7" w:rsidRPr="00473CB7" w:rsidRDefault="00473CB7">
            <w:pPr>
              <w:spacing w:before="120" w:after="120"/>
              <w:ind w:left="142" w:right="96"/>
              <w:jc w:val="both"/>
            </w:pPr>
            <w:r w:rsidRPr="00473CB7">
              <w:t xml:space="preserve">Saskaņā ar Ceļu satiksmes drošības direkcijas (turpmāk – CSDD) datiem uz 2021. gada 1. aprīli vieglie bateriju darbināmie elektrotransportlīdzekļi (turpmāk – BEV) sasniedza tikai 0,2% no visa Latvijas vieglo transportlīdzekļu parka jeb 1 349 transportlīdzekļus. </w:t>
            </w:r>
            <w:r w:rsidR="000920FE">
              <w:t>T</w:t>
            </w:r>
            <w:r w:rsidRPr="00473CB7">
              <w:rPr>
                <w:shd w:val="clear" w:color="auto" w:fill="FFFFFF"/>
              </w:rPr>
              <w:t>ransportlīdzekļi ar hibrīda motoru, kam nepieciešamo elektroenerģiju var iegūt, pieslēdzoties ārējam elektroenerģijas avotam (</w:t>
            </w:r>
            <w:r w:rsidRPr="00473CB7">
              <w:rPr>
                <w:i/>
                <w:iCs/>
              </w:rPr>
              <w:t>plug-in</w:t>
            </w:r>
            <w:r w:rsidRPr="00473CB7">
              <w:t xml:space="preserve"> hibrīdi; turpmāk – PHEV) nav īsti populāri Latvijā. Pirmais būtiskais BEV skaita pieaugums bija novērojams 2014. gadā, kad Klimata pārmaiņu finanšu instrumenta (turpmāk – KPFI) ietvaros tika organizēts atklātais projektu iesniegumu konkurss “Siltumnīcefekta gāzu emisijas samazināšana transporta sektorā – atbalsts elektromobiļu un to uzlādes infrastruktūras ieviešanai”, kura ietvaros 93 projektos tika iegādāti 178 BEV ar kopējo KPFI līdzfinansējumu ~2,79 miljoni </w:t>
            </w:r>
            <w:r w:rsidRPr="00473CB7">
              <w:rPr>
                <w:i/>
              </w:rPr>
              <w:t>euro</w:t>
            </w:r>
            <w:r w:rsidRPr="00473CB7">
              <w:t>.</w:t>
            </w:r>
          </w:p>
          <w:p w14:paraId="56FF3802" w14:textId="62466D21" w:rsidR="00473CB7" w:rsidRDefault="00473CB7">
            <w:pPr>
              <w:spacing w:before="120" w:after="120"/>
              <w:ind w:left="142" w:right="96"/>
              <w:jc w:val="both"/>
            </w:pPr>
            <w:r w:rsidRPr="00473CB7">
              <w:t>Analizējot dažādu valstu publiski pieejamās iniciatīvas un datus, kā arī Eiropas Auto ražotāju asociācijas 2020. gada ziņojumu “Elektriskie transportlīdzekļi: nodokļu ieguvumi un iegādes stimuli”</w:t>
            </w:r>
            <w:r w:rsidRPr="00473CB7">
              <w:rPr>
                <w:rStyle w:val="FootnoteReference"/>
              </w:rPr>
              <w:footnoteReference w:id="2"/>
            </w:r>
            <w:r w:rsidRPr="00473CB7">
              <w:t xml:space="preserve"> ir jāsecina, ka 20 Eiropas Savienības (turpmāk – ES) dalībvalstīs un Apvienotajā Karalistē pastāv (vai pēdējos gados pastāvēja) dažādas atbalsta sistēmas bezemisiju un mazemisiju transportlīdzekļu iegādei. Atbalsta apjomi atkarīgi no dažādiem </w:t>
            </w:r>
            <w:r w:rsidRPr="00473CB7">
              <w:lastRenderedPageBreak/>
              <w:t>kritērijiem, piemēram, transportlīdzekļa veida, finansējuma saņēmēja, kā arī transportlīdzekļa cenas.</w:t>
            </w:r>
          </w:p>
          <w:p w14:paraId="7FCC804A" w14:textId="5A349C63" w:rsidR="0037072F" w:rsidRPr="00473CB7" w:rsidRDefault="0037072F">
            <w:pPr>
              <w:spacing w:before="120" w:after="120"/>
              <w:ind w:left="142" w:right="96"/>
              <w:jc w:val="both"/>
            </w:pPr>
            <w:r>
              <w:t>Transportlīdzkeļa kategorija noteikta atbilstoši Ministru kabineta</w:t>
            </w:r>
            <w:r w:rsidR="000920FE">
              <w:t xml:space="preserve"> </w:t>
            </w:r>
            <w:r>
              <w:t>2009. gada 22.decembra noteikumiem Nr. 1494 “Mopēdu, mehānisko transportlīdzekļu, to piekabju un sastāvdaļu atbilstības novērtēšanas noteikumi”.</w:t>
            </w:r>
          </w:p>
          <w:p w14:paraId="18148F34" w14:textId="77777777" w:rsidR="00473CB7" w:rsidRPr="00473CB7" w:rsidRDefault="00473CB7">
            <w:pPr>
              <w:spacing w:before="120" w:after="120"/>
              <w:ind w:left="142" w:right="96"/>
              <w:jc w:val="both"/>
            </w:pPr>
            <w:r w:rsidRPr="00473CB7">
              <w:t xml:space="preserve">ES jauniem BEV atbalsts ir vidēji ~6000 </w:t>
            </w:r>
            <w:r w:rsidRPr="00473CB7">
              <w:rPr>
                <w:i/>
                <w:iCs/>
              </w:rPr>
              <w:t>euro</w:t>
            </w:r>
            <w:r w:rsidRPr="00473CB7">
              <w:t xml:space="preserve"> (atbalsta lielums svārstās no 2000 </w:t>
            </w:r>
            <w:r w:rsidRPr="00473CB7">
              <w:rPr>
                <w:i/>
                <w:iCs/>
              </w:rPr>
              <w:t>euro</w:t>
            </w:r>
            <w:r w:rsidRPr="00473CB7">
              <w:t xml:space="preserve"> Somijā līdz pat 10 000</w:t>
            </w:r>
            <w:r w:rsidRPr="00473CB7">
              <w:rPr>
                <w:i/>
                <w:iCs/>
              </w:rPr>
              <w:t xml:space="preserve"> euro </w:t>
            </w:r>
            <w:r w:rsidRPr="00473CB7">
              <w:t>Rumānijā). Atbalsts tiek sniegts arī PHEV. 2020. gadā aptuveni pusei no ES dalībvalstīm bija pieejams atbalsts PHEV iegādei ar ievērojami zemāku atbalsta apjomu – aptuveni 50 % no BEV atbalsta apjoma.</w:t>
            </w:r>
          </w:p>
          <w:p w14:paraId="3F5F0DCA" w14:textId="67C675A3" w:rsidR="00473CB7" w:rsidRPr="00473CB7" w:rsidRDefault="00473CB7">
            <w:pPr>
              <w:spacing w:before="120" w:after="120"/>
              <w:ind w:left="142" w:right="96"/>
              <w:jc w:val="both"/>
              <w:outlineLvl w:val="0"/>
            </w:pPr>
            <w:r w:rsidRPr="00473CB7">
              <w:t>Papildus transportlīdzekļa iegādes atbalstam valstīs pastāv arī dažādi nodokļu atbrīvojumi vai transportlīdzekļa norakstīšanas bonuss (Lietuva, Rumānija, Francija, Grieķija, Spānija).</w:t>
            </w:r>
          </w:p>
          <w:p w14:paraId="714F0DE5" w14:textId="74B7F16E" w:rsidR="00D530C6" w:rsidRDefault="00816FBF" w:rsidP="00D27400">
            <w:pPr>
              <w:spacing w:before="120" w:after="120"/>
              <w:ind w:left="142" w:right="96"/>
              <w:jc w:val="both"/>
            </w:pPr>
            <w:r w:rsidRPr="00473CB7">
              <w:rPr>
                <w:bCs/>
                <w:color w:val="000000" w:themeColor="text1"/>
              </w:rPr>
              <w:t>Konkursa ietvaros projekta iesniedzējs bū</w:t>
            </w:r>
            <w:r w:rsidR="00103B16" w:rsidRPr="00473CB7">
              <w:rPr>
                <w:bCs/>
                <w:color w:val="000000" w:themeColor="text1"/>
              </w:rPr>
              <w:t>s</w:t>
            </w:r>
            <w:r w:rsidRPr="00473CB7">
              <w:rPr>
                <w:bCs/>
                <w:color w:val="000000" w:themeColor="text1"/>
              </w:rPr>
              <w:t xml:space="preserve"> </w:t>
            </w:r>
            <w:r w:rsidR="00103B16" w:rsidRPr="00473CB7">
              <w:t>komersants, bet atbalsta gala saņēmējs – fiziska persona</w:t>
            </w:r>
            <w:r w:rsidR="002C345E">
              <w:t>, kura varēs iegādāties (reģistrēt uz sava vārda) ne vairāk kā trīs automobiļus ģimenes mobilitātes nodrošināšanai</w:t>
            </w:r>
            <w:r w:rsidRPr="00473CB7">
              <w:t>.</w:t>
            </w:r>
            <w:r w:rsidR="00567C05">
              <w:t xml:space="preserve"> Visi projektu iesniedzēji, kas noslēgs līgumus ar Vides investīciju fondu par projekta īstenošanu būs tiesīgi pretendēt uz atbalstu par šo noteikumu ietvaros atbilstošo transportlīdzekļu pārdošanu brīvas konkurences ietvaros, t.i., nevienam projekta iesniedzējam netiks noteikts konkrēts pieejamā finansējuma apjoms.</w:t>
            </w:r>
          </w:p>
          <w:p w14:paraId="57A72E33" w14:textId="05A7568A" w:rsidR="00227095" w:rsidRDefault="00227095">
            <w:pPr>
              <w:spacing w:before="120" w:after="120"/>
              <w:ind w:left="142" w:right="96"/>
              <w:jc w:val="both"/>
            </w:pPr>
            <w:r>
              <w:rPr>
                <w:shd w:val="clear" w:color="auto" w:fill="FFFFFF"/>
              </w:rPr>
              <w:t xml:space="preserve">Attiecībā uz atbalstu elektromobiļu iegādei komersantiem, kā piemēru var minēt </w:t>
            </w:r>
            <w:r w:rsidRPr="002023C4">
              <w:rPr>
                <w:shd w:val="clear" w:color="auto" w:fill="FFFFFF"/>
              </w:rPr>
              <w:t>Atjaunošanas un noturības mehānisma plān</w:t>
            </w:r>
            <w:r>
              <w:rPr>
                <w:shd w:val="clear" w:color="auto" w:fill="FFFFFF"/>
              </w:rPr>
              <w:t>u</w:t>
            </w:r>
            <w:r>
              <w:rPr>
                <w:rStyle w:val="FootnoteReference"/>
                <w:shd w:val="clear" w:color="auto" w:fill="FFFFFF"/>
              </w:rPr>
              <w:footnoteReference w:id="3"/>
            </w:r>
            <w:r>
              <w:rPr>
                <w:shd w:val="clear" w:color="auto" w:fill="FFFFFF"/>
              </w:rPr>
              <w:t xml:space="preserve"> </w:t>
            </w:r>
            <w:r w:rsidRPr="002023C4">
              <w:rPr>
                <w:shd w:val="clear" w:color="auto" w:fill="FFFFFF"/>
              </w:rPr>
              <w:t>(Investīcijas 1.2.1.2.i. Energoefektivitātes paaugstināšana uzņēmējdarbībā ietvaros)</w:t>
            </w:r>
            <w:r>
              <w:rPr>
                <w:shd w:val="clear" w:color="auto" w:fill="FFFFFF"/>
              </w:rPr>
              <w:t xml:space="preserve">, kura </w:t>
            </w:r>
            <w:r w:rsidRPr="002023C4">
              <w:rPr>
                <w:shd w:val="clear" w:color="auto" w:fill="FFFFFF"/>
              </w:rPr>
              <w:t>ietvaros</w:t>
            </w:r>
            <w:r>
              <w:rPr>
                <w:shd w:val="clear" w:color="auto" w:fill="FFFFFF"/>
              </w:rPr>
              <w:t xml:space="preserve"> plānots a</w:t>
            </w:r>
            <w:r w:rsidRPr="002023C4">
              <w:rPr>
                <w:shd w:val="clear" w:color="auto" w:fill="FFFFFF"/>
              </w:rPr>
              <w:t>tbalsts ilgtspējīga jauna transporta iegādei uzņēmuma saimnieciskās darbības nodrošināšanai, kā alternatīvu transportlīdzekļiem, kuri izmanto degvielu no fosilajiem resursiem</w:t>
            </w:r>
            <w:r>
              <w:rPr>
                <w:shd w:val="clear" w:color="auto" w:fill="FFFFFF"/>
              </w:rPr>
              <w:t>,</w:t>
            </w:r>
            <w:r w:rsidRPr="002023C4">
              <w:rPr>
                <w:shd w:val="clear" w:color="auto" w:fill="FFFFFF"/>
              </w:rPr>
              <w:t xml:space="preserve"> arī uzņēmumiem, kuri sniedz auto nomas pakalpojumus.</w:t>
            </w:r>
          </w:p>
          <w:p w14:paraId="1C01A053" w14:textId="69AD9440" w:rsidR="00D42047" w:rsidRDefault="00D42047" w:rsidP="00D27400">
            <w:pPr>
              <w:tabs>
                <w:tab w:val="left" w:pos="1290"/>
              </w:tabs>
              <w:spacing w:before="120" w:after="120"/>
              <w:ind w:left="110" w:right="99"/>
              <w:jc w:val="both"/>
            </w:pPr>
            <w:r>
              <w:rPr>
                <w:shd w:val="clear" w:color="auto" w:fill="FFFFFF"/>
              </w:rPr>
              <w:t>Attiecībā uz transportlīdzekļa maksimālās cenas noteikšanu, ir ņemta vērā</w:t>
            </w:r>
            <w:r w:rsidRPr="001C4AE8">
              <w:t xml:space="preserve"> </w:t>
            </w:r>
            <w:r>
              <w:t>VARAM</w:t>
            </w:r>
            <w:r w:rsidRPr="001C4AE8">
              <w:t xml:space="preserve"> rīcībā esoš</w:t>
            </w:r>
            <w:r>
              <w:t>ā</w:t>
            </w:r>
            <w:r w:rsidRPr="001C4AE8">
              <w:t xml:space="preserve"> inf</w:t>
            </w:r>
            <w:r>
              <w:t>o</w:t>
            </w:r>
            <w:r w:rsidRPr="001C4AE8">
              <w:t>rmāciju par pārdošanā esošo jaunu elektro</w:t>
            </w:r>
            <w:r>
              <w:t>mobiļu</w:t>
            </w:r>
            <w:r w:rsidRPr="001C4AE8">
              <w:t xml:space="preserve"> cenu kategorijām, transportlīdzekļa iegādes cenas ierobežojums 50 000 euro (bez PVN) bāzes komplektācijā tiek noteikts, lai no atbalsta</w:t>
            </w:r>
            <w:r>
              <w:t xml:space="preserve"> tvēruma</w:t>
            </w:r>
            <w:r w:rsidRPr="001C4AE8">
              <w:t xml:space="preserve"> izslēgtu </w:t>
            </w:r>
            <w:r w:rsidRPr="00BF5DE4">
              <w:rPr>
                <w:i/>
                <w:iCs/>
              </w:rPr>
              <w:t xml:space="preserve">premium </w:t>
            </w:r>
            <w:r w:rsidRPr="001C4AE8">
              <w:t xml:space="preserve">segmenta </w:t>
            </w:r>
            <w:r w:rsidR="001524E5">
              <w:t xml:space="preserve">elektromobiļus (piemēram, </w:t>
            </w:r>
            <w:r w:rsidR="00D55E31">
              <w:t xml:space="preserve">Porsche Taycan, Jaguar I-PACE, Audi e-tron, Tesla Model S, Tesla Model X, Mercedes Benz </w:t>
            </w:r>
            <w:r w:rsidR="00D55E31" w:rsidRPr="000D0D9C">
              <w:rPr>
                <w:color w:val="000000"/>
                <w:lang w:eastAsia="en-US"/>
              </w:rPr>
              <w:t>EQC 400 4MATIC</w:t>
            </w:r>
            <w:r w:rsidR="001524E5">
              <w:t>)</w:t>
            </w:r>
            <w:r w:rsidRPr="001C4AE8">
              <w:t xml:space="preserve">, </w:t>
            </w:r>
            <w:r w:rsidRPr="000305B1">
              <w:rPr>
                <w:shd w:val="clear" w:color="auto" w:fill="FFFFFF"/>
              </w:rPr>
              <w:t xml:space="preserve">kuru </w:t>
            </w:r>
            <w:r>
              <w:rPr>
                <w:shd w:val="clear" w:color="auto" w:fill="FFFFFF"/>
              </w:rPr>
              <w:t xml:space="preserve">iegādi visticamāk </w:t>
            </w:r>
            <w:r w:rsidRPr="000305B1">
              <w:rPr>
                <w:shd w:val="clear" w:color="auto" w:fill="FFFFFF"/>
              </w:rPr>
              <w:t>izvēlas maksātspējīgākā sabiedrības daļa</w:t>
            </w:r>
            <w:r w:rsidRPr="001C4AE8">
              <w:t xml:space="preserve">, kas principā šāda </w:t>
            </w:r>
            <w:r>
              <w:t xml:space="preserve">veida </w:t>
            </w:r>
            <w:r w:rsidRPr="001C4AE8">
              <w:t xml:space="preserve">transportlīdzekļus </w:t>
            </w:r>
            <w:r>
              <w:t xml:space="preserve">varētu iegādāties </w:t>
            </w:r>
            <w:r w:rsidRPr="001C4AE8">
              <w:t xml:space="preserve">arī bez </w:t>
            </w:r>
            <w:r>
              <w:t xml:space="preserve">valsts </w:t>
            </w:r>
            <w:r w:rsidRPr="001C4AE8">
              <w:t>atbalsta.</w:t>
            </w:r>
          </w:p>
          <w:p w14:paraId="431D4FC3" w14:textId="01B533FD" w:rsidR="00107AE1" w:rsidRDefault="00107AE1" w:rsidP="00D27400">
            <w:pPr>
              <w:tabs>
                <w:tab w:val="left" w:pos="1290"/>
              </w:tabs>
              <w:spacing w:before="120" w:after="120"/>
              <w:ind w:left="110" w:right="99"/>
              <w:jc w:val="both"/>
            </w:pPr>
            <w:r>
              <w:t>Latvijā ir iegādājami vairāk kā 40 elektromobiļu modeļi no</w:t>
            </w:r>
            <w:r w:rsidR="00C872DD">
              <w:t xml:space="preserve"> vismaz</w:t>
            </w:r>
            <w:r>
              <w:t xml:space="preserve"> 1</w:t>
            </w:r>
            <w:r w:rsidR="00C872DD">
              <w:t>5</w:t>
            </w:r>
            <w:r>
              <w:t xml:space="preserve"> automobiļu markām.</w:t>
            </w:r>
          </w:p>
          <w:p w14:paraId="1F9829C8" w14:textId="238CE3E0" w:rsidR="00D83057" w:rsidRPr="00D83057" w:rsidRDefault="00D83057">
            <w:pPr>
              <w:tabs>
                <w:tab w:val="left" w:pos="1290"/>
              </w:tabs>
              <w:spacing w:before="120" w:after="120"/>
              <w:ind w:left="110" w:right="99"/>
              <w:jc w:val="both"/>
            </w:pPr>
            <w:r>
              <w:t>T</w:t>
            </w:r>
            <w:r w:rsidRPr="000D0D9C">
              <w:t>ransportlīdzekļu tirdzniecības vietu reģistrā reģistrēt</w:t>
            </w:r>
            <w:r>
              <w:t>ie</w:t>
            </w:r>
            <w:r w:rsidRPr="000D0D9C">
              <w:t xml:space="preserve"> komersant</w:t>
            </w:r>
            <w:r>
              <w:t>i</w:t>
            </w:r>
            <w:r w:rsidRPr="000D0D9C">
              <w:t xml:space="preserve"> šo noteikumu 7.2. apakšpunktā minētajā gadījumā</w:t>
            </w:r>
            <w:r>
              <w:t xml:space="preserve"> pieejami </w:t>
            </w:r>
            <w:r w:rsidRPr="00BA3216">
              <w:t xml:space="preserve">A/S </w:t>
            </w:r>
            <w:r w:rsidRPr="00BA3216">
              <w:lastRenderedPageBreak/>
              <w:t>“Ceļu satiksmes drošības direkcija”</w:t>
            </w:r>
            <w:r>
              <w:t xml:space="preserve"> tīmekļa vietnē </w:t>
            </w:r>
            <w:hyperlink r:id="rId8" w:history="1">
              <w:r w:rsidRPr="008F1BCC">
                <w:rPr>
                  <w:rStyle w:val="Hyperlink"/>
                </w:rPr>
                <w:t>https://e.csdd.lv/autoveikali/</w:t>
              </w:r>
            </w:hyperlink>
            <w:r>
              <w:rPr>
                <w:rStyle w:val="Hyperlink"/>
              </w:rPr>
              <w:t>.</w:t>
            </w:r>
          </w:p>
          <w:p w14:paraId="2C859714" w14:textId="27238283" w:rsidR="00D42047" w:rsidRPr="00473CB7" w:rsidRDefault="00D42047" w:rsidP="000D0D9C">
            <w:pPr>
              <w:spacing w:before="120" w:after="120"/>
              <w:ind w:left="110" w:right="99"/>
              <w:jc w:val="both"/>
            </w:pPr>
            <w:r>
              <w:t xml:space="preserve">Savukārt </w:t>
            </w:r>
            <w:r w:rsidRPr="0004537F">
              <w:t xml:space="preserve">attiecībā uz ikgadējo nobraukumu ar </w:t>
            </w:r>
            <w:r w:rsidR="00C14D3F">
              <w:t>elektromobili</w:t>
            </w:r>
            <w:r w:rsidRPr="0004537F">
              <w:t>, noteikumu projekt</w:t>
            </w:r>
            <w:r w:rsidR="00C14D3F">
              <w:t xml:space="preserve">ā </w:t>
            </w:r>
            <w:r w:rsidRPr="0004537F">
              <w:t xml:space="preserve">minētais rādītājs ir noteikts kā 13 000 km. </w:t>
            </w:r>
            <w:r>
              <w:t>Saskaņā ar Ceļu satiksmes drošības direkcijas datiem</w:t>
            </w:r>
            <w:r>
              <w:rPr>
                <w:rStyle w:val="FootnoteReference"/>
              </w:rPr>
              <w:footnoteReference w:id="4"/>
            </w:r>
            <w:r>
              <w:t xml:space="preserve"> 2016. gadā vidējais automašīnu nobraukums bija 13 000 km gadā, kas ir ievērojami mazāk, kā 2018. gada veiktajā Centrālās statistikas pārvaldes un SIA “</w:t>
            </w:r>
            <w:r w:rsidRPr="000D0D9C">
              <w:rPr>
                <w:i/>
                <w:iCs/>
              </w:rPr>
              <w:t>PriceWaterhouseCoopers</w:t>
            </w:r>
            <w:r>
              <w:t>” veiktajā mobilitātes pētījumā</w:t>
            </w:r>
            <w:r>
              <w:rPr>
                <w:rStyle w:val="FootnoteReference"/>
              </w:rPr>
              <w:footnoteReference w:id="5"/>
            </w:r>
            <w:r>
              <w:t>, par 2017. gadu aplēstie skaitļi, kur Latvijas iedzīvotājs vidēji gan kā pasažieris, gan kā autovadītājs ar vieglo transportlīdzekli dienā veic ~44 km jeb gadā tie būtu ~16</w:t>
            </w:r>
            <w:r w:rsidR="00C14D3F">
              <w:t> </w:t>
            </w:r>
            <w:r>
              <w:t>000</w:t>
            </w:r>
            <w:r w:rsidR="00C14D3F">
              <w:t xml:space="preserve"> </w:t>
            </w:r>
            <w:r>
              <w:t>km. Saskaņā ar bezizmešu mobilitātes medija www.uzladets.lv aplēsēm 2018. gadā Latvijas iedzīvotājs gadā nobrauc ap 17 000 km</w:t>
            </w:r>
            <w:r>
              <w:rPr>
                <w:rStyle w:val="FootnoteReference"/>
              </w:rPr>
              <w:footnoteReference w:id="6"/>
            </w:r>
            <w:r>
              <w:t xml:space="preserve">, jeb 46,5 km, dienā. Turklāt atsaucoties uz AS Latvenergo sniegto informāciju, </w:t>
            </w:r>
            <w:r w:rsidRPr="00AD0FBC">
              <w:t>Latvijā reģistrētie elektro</w:t>
            </w:r>
            <w:r>
              <w:t>mobiļi</w:t>
            </w:r>
            <w:r w:rsidRPr="00AD0FBC">
              <w:t xml:space="preserve"> gadā vidēji nobrauc no 13</w:t>
            </w:r>
            <w:r>
              <w:t> </w:t>
            </w:r>
            <w:r w:rsidRPr="00AD0FBC">
              <w:t>000 līdz 21</w:t>
            </w:r>
            <w:r>
              <w:t> </w:t>
            </w:r>
            <w:r w:rsidRPr="00AD0FBC">
              <w:t>000 km</w:t>
            </w:r>
            <w:r>
              <w:rPr>
                <w:rStyle w:val="FootnoteReference"/>
              </w:rPr>
              <w:footnoteReference w:id="7"/>
            </w:r>
            <w:r w:rsidRPr="00AD0FBC">
              <w:t xml:space="preserve"> jeb attālumu, kas ir samērojams ar iekšdedzes automašīnu nobraukto distanci</w:t>
            </w:r>
            <w:r>
              <w:t xml:space="preserve">. </w:t>
            </w:r>
            <w:r w:rsidRPr="0004537F">
              <w:t>Noteikumu projekta mērķis ir veicināt siltumnīcefekta gāzu emisiju samazināšanu tran</w:t>
            </w:r>
            <w:r>
              <w:t>s</w:t>
            </w:r>
            <w:r w:rsidRPr="0004537F">
              <w:t xml:space="preserve">porta sektorā, </w:t>
            </w:r>
            <w:r>
              <w:t xml:space="preserve">līdz ar to </w:t>
            </w:r>
            <w:r w:rsidRPr="0004537F">
              <w:t>ar tran</w:t>
            </w:r>
            <w:r>
              <w:t>s</w:t>
            </w:r>
            <w:r w:rsidRPr="0004537F">
              <w:t>portlīdzekli nobrauktajam apjomam ir vitāli svarīga loma, t.i., lai nodrošinātu, ka ar valsts atbalstu iegādātais transportlīdzeklis tiek aktīvi izmantots ekspluatācijā, tādā veidā aizstājot (un izslēdzot no satiksmes) attiecīgu ar iekšdedzes dzinēju darbināmu transportlīdzekli.</w:t>
            </w:r>
          </w:p>
          <w:p w14:paraId="57E329CB" w14:textId="77777777" w:rsidR="00473CB7" w:rsidRDefault="00473CB7">
            <w:pPr>
              <w:spacing w:before="120" w:after="120"/>
              <w:ind w:left="142" w:right="96"/>
              <w:jc w:val="both"/>
              <w:rPr>
                <w:color w:val="000000"/>
              </w:rPr>
            </w:pPr>
            <w:r w:rsidRPr="00473CB7">
              <w:rPr>
                <w:color w:val="000000"/>
              </w:rPr>
              <w:t xml:space="preserve">Valsts atbalsta shēmai nepiemīt nozaru raksturs, jo saskaņā ar konkursa nolikuma prasībām nav noteikts konkrēts </w:t>
            </w:r>
            <w:r w:rsidR="00630E29">
              <w:rPr>
                <w:color w:val="000000"/>
              </w:rPr>
              <w:t>gala atbalsta saņēmēja</w:t>
            </w:r>
            <w:r w:rsidRPr="00473CB7">
              <w:rPr>
                <w:color w:val="000000"/>
              </w:rPr>
              <w:t xml:space="preserve"> saimnieciskā</w:t>
            </w:r>
            <w:r w:rsidR="00630E29">
              <w:rPr>
                <w:color w:val="000000"/>
              </w:rPr>
              <w:t>s</w:t>
            </w:r>
            <w:r w:rsidRPr="00473CB7">
              <w:rPr>
                <w:color w:val="000000"/>
              </w:rPr>
              <w:t xml:space="preserve"> darbības aptvērums</w:t>
            </w:r>
            <w:r w:rsidR="00630E29">
              <w:rPr>
                <w:color w:val="000000"/>
              </w:rPr>
              <w:t>, t.i. atbalstu var saņemt ikviens Latvijas iedzīvotājs</w:t>
            </w:r>
            <w:r w:rsidRPr="00473CB7">
              <w:rPr>
                <w:color w:val="000000"/>
              </w:rPr>
              <w:t xml:space="preserve">, kā arī nav noteiktas elektromobiļu tehniskās prasības, izgatavotājs vai modelis, t.i. </w:t>
            </w:r>
            <w:r w:rsidR="00630E29">
              <w:rPr>
                <w:color w:val="000000"/>
              </w:rPr>
              <w:t>gala atbalsta saņēmējs</w:t>
            </w:r>
            <w:r w:rsidRPr="00473CB7">
              <w:rPr>
                <w:color w:val="000000"/>
              </w:rPr>
              <w:t xml:space="preserve"> pats var izvēlēties sev pieņemamāko elektromobili.</w:t>
            </w:r>
          </w:p>
          <w:p w14:paraId="3E51DE7B" w14:textId="1492CACD" w:rsidR="008A2B58" w:rsidRPr="000920FE" w:rsidRDefault="008A2B58">
            <w:pPr>
              <w:spacing w:before="120" w:after="120"/>
              <w:ind w:left="142" w:right="96"/>
              <w:jc w:val="both"/>
              <w:rPr>
                <w:iCs/>
              </w:rPr>
            </w:pPr>
            <w:r>
              <w:rPr>
                <w:iCs/>
              </w:rPr>
              <w:t>Atbalsta g</w:t>
            </w:r>
            <w:r w:rsidRPr="008A2B58">
              <w:rPr>
                <w:iCs/>
              </w:rPr>
              <w:t>ala saņēmēja</w:t>
            </w:r>
            <w:r w:rsidR="000920FE">
              <w:rPr>
                <w:iCs/>
              </w:rPr>
              <w:t xml:space="preserve"> (fiziskas personas)</w:t>
            </w:r>
            <w:r w:rsidRPr="008A2B58">
              <w:rPr>
                <w:iCs/>
              </w:rPr>
              <w:t xml:space="preserve"> līmenī nav saskatāms komercdarbības atbalsts, ņemot vērā to, ka atbalstu darbībām, kas nav saimnieciska rakstura, t. i., nav saistītas ar preču vai pakalpojumu piedāvāšanu tirgū, neuzskata par komercdarbības atbalstu</w:t>
            </w:r>
            <w:r>
              <w:rPr>
                <w:iCs/>
              </w:rPr>
              <w:t>, t.i.,</w:t>
            </w:r>
            <w:r w:rsidRPr="008A2B58">
              <w:rPr>
                <w:iCs/>
              </w:rPr>
              <w:t xml:space="preserve"> ja transportlīdzekļi tiek izmantoti privātām (personiskām vai ģimenes) vajadzībām, ko veic personas, kas ir to īpašnieki un kas nav iesaistītas saimnieciskajā darbībā, atbalsta pasākums nebūtu uzskatāms par komercdarbības atbalstu elektromobiļa pircējam.</w:t>
            </w:r>
            <w:r>
              <w:rPr>
                <w:iCs/>
              </w:rPr>
              <w:t xml:space="preserve"> Noteikuma projektā iekļauta atsauce uz to, </w:t>
            </w:r>
            <w:r w:rsidRPr="000920FE">
              <w:rPr>
                <w:iCs/>
              </w:rPr>
              <w:t>ka ar atbalstu iegādāto transportlīdzekli nedrīkst izmantot saimnieciskajā darbībā.</w:t>
            </w:r>
          </w:p>
          <w:p w14:paraId="0FF165EA" w14:textId="130A2D0F" w:rsidR="000920FE" w:rsidRPr="000920FE" w:rsidRDefault="000920FE" w:rsidP="000D0D9C">
            <w:pPr>
              <w:spacing w:before="120" w:after="120"/>
              <w:ind w:left="108" w:right="96"/>
              <w:jc w:val="both"/>
            </w:pPr>
            <w:r w:rsidRPr="000D0D9C">
              <w:t>Attiecībā uz projekta iesniedzēju</w:t>
            </w:r>
            <w:r w:rsidRPr="000920FE">
              <w:t xml:space="preserve"> (projekta īstenotāj</w:t>
            </w:r>
            <w:r>
              <w:t>u)</w:t>
            </w:r>
            <w:r w:rsidRPr="000920FE">
              <w:t xml:space="preserve">, </w:t>
            </w:r>
            <w:r w:rsidRPr="000D0D9C">
              <w:t xml:space="preserve">atbalsts, ko saņems projekta iesniedzējs </w:t>
            </w:r>
            <w:r w:rsidR="00D42047">
              <w:t>ir</w:t>
            </w:r>
            <w:r w:rsidRPr="000D0D9C">
              <w:t xml:space="preserve"> uzskat</w:t>
            </w:r>
            <w:r w:rsidR="00D42047">
              <w:t>āms</w:t>
            </w:r>
            <w:r w:rsidRPr="000D0D9C">
              <w:t xml:space="preserve"> kā komercdarbības atbalsts</w:t>
            </w:r>
            <w:r w:rsidRPr="000920FE">
              <w:t xml:space="preserve"> un </w:t>
            </w:r>
            <w:r w:rsidR="00D42047">
              <w:t xml:space="preserve">ir </w:t>
            </w:r>
            <w:r w:rsidRPr="000920FE">
              <w:t xml:space="preserve">nepieciešams piemērot komercdarbības atbalsta regulējumu, jo </w:t>
            </w:r>
            <w:r w:rsidRPr="000920FE">
              <w:lastRenderedPageBreak/>
              <w:t>nav izvērtējuma par to, ka šis līmenis negūs nekādas selektīvas ekonomiskas priekšrocības un būtu uzskatāms par starpnieku.</w:t>
            </w:r>
          </w:p>
          <w:p w14:paraId="3ADF7064" w14:textId="292F8724" w:rsidR="000920FE" w:rsidRDefault="000920FE" w:rsidP="000D0D9C">
            <w:pPr>
              <w:spacing w:before="120" w:after="120"/>
              <w:ind w:left="108" w:right="96"/>
              <w:jc w:val="both"/>
            </w:pPr>
            <w:r>
              <w:t>Turklāt plānotais atbalsts veicinā</w:t>
            </w:r>
            <w:r w:rsidR="00D42047">
              <w:t>s</w:t>
            </w:r>
            <w:r>
              <w:t xml:space="preserve"> pieprasījumu pēc elektromobiļu iegādes salīdzinājumā ar situāciju, kurā šāds atbalsts netiktu piešķirts. No tā izriet, ka atbalsta programma </w:t>
            </w:r>
            <w:r w:rsidR="00D42047">
              <w:t>sniedz</w:t>
            </w:r>
            <w:r>
              <w:t xml:space="preserve"> priekšrocības tiem tirgotājiem, kuri pērk šos automobiļus tālākpārdošanai, salīdzinājumā ar tiem tirgotājiem, kuri nepārdod šādus automobiļus. Tāpat priekšrocības izplatītājiem, kas pērk un pārdod elektromobiļus, var būt par labu elektromobiļu ražotājiem, kuri saskarsies ar lielāku pieprasījumu pēc elektromobiļu iepirkumiem no izplatītājiem salīdzinājumā ar situāciju, kurā šāds atbalsts netiktu piešķirts.</w:t>
            </w:r>
          </w:p>
          <w:p w14:paraId="51D436AB" w14:textId="43C24C7B" w:rsidR="000920FE" w:rsidRDefault="00D42047" w:rsidP="000D0D9C">
            <w:pPr>
              <w:pStyle w:val="CommentText"/>
              <w:spacing w:before="120" w:after="120"/>
              <w:ind w:left="108" w:right="96"/>
              <w:jc w:val="both"/>
              <w:rPr>
                <w:sz w:val="24"/>
                <w:szCs w:val="24"/>
              </w:rPr>
            </w:pPr>
            <w:r>
              <w:rPr>
                <w:sz w:val="24"/>
                <w:szCs w:val="24"/>
              </w:rPr>
              <w:t>Papildus tam</w:t>
            </w:r>
            <w:r w:rsidR="000920FE">
              <w:rPr>
                <w:sz w:val="24"/>
                <w:szCs w:val="24"/>
              </w:rPr>
              <w:t xml:space="preserve"> Eiropas Komisija ir pieņēmusi vairākus lēmumus, kur starpnieku līmenī ir konstatēts valsts atbalsts tā iemesla pēc, ka ne visi uzņēmumi piedāvā elektro</w:t>
            </w:r>
            <w:r>
              <w:rPr>
                <w:sz w:val="24"/>
                <w:szCs w:val="24"/>
              </w:rPr>
              <w:t>mobiļus (skat.</w:t>
            </w:r>
            <w:r w:rsidR="000920FE">
              <w:rPr>
                <w:sz w:val="24"/>
                <w:szCs w:val="24"/>
              </w:rPr>
              <w:t xml:space="preserve"> Eiropas Komisijas lēmumus SA.30741, SA.34719</w:t>
            </w:r>
            <w:r>
              <w:rPr>
                <w:sz w:val="24"/>
                <w:szCs w:val="24"/>
              </w:rPr>
              <w:t>)</w:t>
            </w:r>
            <w:r w:rsidR="000920FE">
              <w:rPr>
                <w:sz w:val="24"/>
                <w:szCs w:val="24"/>
              </w:rPr>
              <w:t>.</w:t>
            </w:r>
          </w:p>
          <w:p w14:paraId="6BE628DD" w14:textId="7484D68D" w:rsidR="007723BC" w:rsidRPr="00473CB7" w:rsidRDefault="00D42047" w:rsidP="000D0D9C">
            <w:pPr>
              <w:pStyle w:val="CommentText"/>
              <w:spacing w:before="120" w:after="120"/>
              <w:ind w:left="108" w:right="96"/>
              <w:jc w:val="both"/>
              <w:rPr>
                <w:iCs/>
              </w:rPr>
            </w:pPr>
            <w:r>
              <w:rPr>
                <w:sz w:val="24"/>
                <w:szCs w:val="24"/>
              </w:rPr>
              <w:t>Līdz ar to noteikumu projekts</w:t>
            </w:r>
            <w:r w:rsidR="000920FE">
              <w:rPr>
                <w:sz w:val="24"/>
                <w:szCs w:val="24"/>
              </w:rPr>
              <w:t xml:space="preserve"> </w:t>
            </w:r>
            <w:r>
              <w:rPr>
                <w:sz w:val="24"/>
                <w:szCs w:val="24"/>
              </w:rPr>
              <w:t xml:space="preserve">tiks </w:t>
            </w:r>
            <w:r w:rsidR="000920FE">
              <w:rPr>
                <w:sz w:val="24"/>
                <w:szCs w:val="24"/>
              </w:rPr>
              <w:t>skaņo</w:t>
            </w:r>
            <w:r>
              <w:rPr>
                <w:sz w:val="24"/>
                <w:szCs w:val="24"/>
              </w:rPr>
              <w:t>ts</w:t>
            </w:r>
            <w:r w:rsidR="000920FE">
              <w:rPr>
                <w:sz w:val="24"/>
                <w:szCs w:val="24"/>
              </w:rPr>
              <w:t xml:space="preserve"> ar Eiropas Komisiju (zem LESD 107.panta 3.punkta).</w:t>
            </w:r>
          </w:p>
        </w:tc>
      </w:tr>
      <w:tr w:rsidR="0030341E" w:rsidRPr="009B5620"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1615909C" w:rsidR="0030341E" w:rsidRPr="009B5620" w:rsidRDefault="001A7349" w:rsidP="0030341E">
            <w:r w:rsidRPr="009B5620">
              <w:lastRenderedPageBreak/>
              <w:t>3</w:t>
            </w:r>
            <w:r w:rsidR="0030341E" w:rsidRPr="009B5620">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9B5620" w:rsidRDefault="0030341E" w:rsidP="0030341E">
            <w:r w:rsidRPr="009B5620">
              <w:t>Projekta izstrādē iesaistītās institūcijas</w:t>
            </w:r>
            <w:r w:rsidR="00F47D5E" w:rsidRPr="009B5620">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1DBF4B0D" w:rsidR="0030341E" w:rsidRPr="009B5620" w:rsidRDefault="000D2C24" w:rsidP="003A09C1">
            <w:pPr>
              <w:jc w:val="both"/>
            </w:pPr>
            <w:r>
              <w:t>N</w:t>
            </w:r>
            <w:r w:rsidR="004B0FC9" w:rsidRPr="009B5620">
              <w:t>oteikumu projektu sagatavoja VARAM.</w:t>
            </w:r>
          </w:p>
        </w:tc>
      </w:tr>
      <w:tr w:rsidR="00114052" w:rsidRPr="009B5620"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9B5620" w:rsidRDefault="001A7349" w:rsidP="0030341E">
            <w:r w:rsidRPr="009B5620">
              <w:t>4</w:t>
            </w:r>
            <w:r w:rsidR="00114052" w:rsidRPr="009B5620">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9B5620" w:rsidRDefault="00114052" w:rsidP="0030341E">
            <w:r w:rsidRPr="009B5620">
              <w:t>Cita informācija</w:t>
            </w:r>
          </w:p>
        </w:tc>
        <w:tc>
          <w:tcPr>
            <w:tcW w:w="3752" w:type="pct"/>
            <w:tcBorders>
              <w:top w:val="outset" w:sz="6" w:space="0" w:color="000000"/>
              <w:left w:val="outset" w:sz="6" w:space="0" w:color="000000"/>
              <w:bottom w:val="outset" w:sz="6" w:space="0" w:color="000000"/>
              <w:right w:val="outset" w:sz="6" w:space="0" w:color="000000"/>
            </w:tcBorders>
          </w:tcPr>
          <w:p w14:paraId="0A55C5F8" w14:textId="40379602" w:rsidR="0018016E" w:rsidRDefault="00C066A6" w:rsidP="00620B9D">
            <w:pPr>
              <w:ind w:left="110"/>
              <w:jc w:val="both"/>
            </w:pPr>
            <w:r>
              <w:t xml:space="preserve">Konkursa ietvaros pieejamais finansējums ir 10 milj. </w:t>
            </w:r>
            <w:r w:rsidRPr="000D0D9C">
              <w:rPr>
                <w:i/>
                <w:iCs/>
              </w:rPr>
              <w:t>euro</w:t>
            </w:r>
            <w:r>
              <w:t xml:space="preserve"> , kura ietvaros fiziskas personas divu gadu laikā varētu iegādāties aptuveni</w:t>
            </w:r>
            <w:r w:rsidR="00620B9D">
              <w:t xml:space="preserve"> </w:t>
            </w:r>
            <w:r w:rsidR="00EC744B">
              <w:t>3300</w:t>
            </w:r>
            <w:r w:rsidR="00620B9D">
              <w:t xml:space="preserve"> mazemisiju un bezemisiju transportlīdzekļus.</w:t>
            </w:r>
          </w:p>
          <w:p w14:paraId="06C06621" w14:textId="464F0760" w:rsidR="0018016E" w:rsidRPr="0018016E" w:rsidRDefault="0018016E">
            <w:pPr>
              <w:ind w:left="110"/>
              <w:jc w:val="both"/>
            </w:pPr>
            <w:r w:rsidRPr="000D0D9C">
              <w:t>Vidējais automašīnas CO</w:t>
            </w:r>
            <w:r w:rsidRPr="000D0D9C">
              <w:rPr>
                <w:vertAlign w:val="subscript"/>
              </w:rPr>
              <w:t>2</w:t>
            </w:r>
            <w:r w:rsidRPr="000D0D9C">
              <w:t xml:space="preserve"> </w:t>
            </w:r>
            <w:r>
              <w:t>emisiju</w:t>
            </w:r>
            <w:r w:rsidRPr="000D0D9C">
              <w:t xml:space="preserve"> daudzums </w:t>
            </w:r>
            <w:r w:rsidR="00EC744B">
              <w:t>tiek pieņemts kā</w:t>
            </w:r>
            <w:r w:rsidRPr="000D0D9C">
              <w:t xml:space="preserve"> 230 grami uz kilometru (g/km)</w:t>
            </w:r>
            <w:r w:rsidRPr="0018016E">
              <w:t>.</w:t>
            </w:r>
          </w:p>
          <w:p w14:paraId="1469BA73" w14:textId="72CB041D" w:rsidR="00C066A6" w:rsidRDefault="00620B9D" w:rsidP="00620B9D">
            <w:pPr>
              <w:ind w:left="110"/>
              <w:jc w:val="both"/>
            </w:pPr>
            <w:r>
              <w:t xml:space="preserve">Rezultātā aptuvenais siltumnīcefekta gāzu emisiju samazinājums </w:t>
            </w:r>
            <w:r w:rsidR="0018016E">
              <w:t xml:space="preserve">ar konkursa ietvaros iegādātajiem transportlīdzekļiem </w:t>
            </w:r>
            <w:r>
              <w:t xml:space="preserve">būtu </w:t>
            </w:r>
            <w:r w:rsidR="0018016E">
              <w:t xml:space="preserve">ap </w:t>
            </w:r>
            <w:r w:rsidR="00EC744B">
              <w:t>98</w:t>
            </w:r>
            <w:r w:rsidR="0018016E">
              <w:t>00 tCO</w:t>
            </w:r>
            <w:r w:rsidR="0018016E" w:rsidRPr="000D0D9C">
              <w:rPr>
                <w:vertAlign w:val="subscript"/>
              </w:rPr>
              <w:t>2</w:t>
            </w:r>
            <w:r w:rsidR="0018016E">
              <w:t xml:space="preserve"> gadā jeb 3</w:t>
            </w:r>
            <w:r w:rsidR="00EC744B">
              <w:t>9</w:t>
            </w:r>
            <w:r w:rsidR="0018016E">
              <w:t> </w:t>
            </w:r>
            <w:r w:rsidR="00EC744B">
              <w:t>2</w:t>
            </w:r>
            <w:r w:rsidR="0018016E">
              <w:t>00 tCO</w:t>
            </w:r>
            <w:r w:rsidR="0018016E" w:rsidRPr="000D0D9C">
              <w:rPr>
                <w:vertAlign w:val="subscript"/>
              </w:rPr>
              <w:t>2</w:t>
            </w:r>
            <w:r w:rsidR="0018016E">
              <w:t xml:space="preserve"> monitoringa periodā (4 gadi).</w:t>
            </w:r>
          </w:p>
          <w:p w14:paraId="1AAAE16A" w14:textId="00D23801" w:rsidR="007324C0" w:rsidRPr="009B5620" w:rsidRDefault="007324C0" w:rsidP="000D0D9C">
            <w:pPr>
              <w:ind w:left="110"/>
              <w:jc w:val="both"/>
            </w:pPr>
            <w:r>
              <w:t xml:space="preserve">Indikatīvais </w:t>
            </w:r>
            <w:r w:rsidRPr="00AA3556">
              <w:t>efektivitāt</w:t>
            </w:r>
            <w:r>
              <w:t xml:space="preserve">es rādītājs (Emisijas kvotu izsolīšanas instrumenta (EKII) finansējums, </w:t>
            </w:r>
            <w:r w:rsidRPr="00E948F0">
              <w:rPr>
                <w:i/>
                <w:iCs/>
              </w:rPr>
              <w:t>euro</w:t>
            </w:r>
            <w:r>
              <w:t xml:space="preserve"> pret CO</w:t>
            </w:r>
            <w:r w:rsidRPr="004427DB">
              <w:rPr>
                <w:vertAlign w:val="subscript"/>
              </w:rPr>
              <w:t>2</w:t>
            </w:r>
            <w:r>
              <w:t xml:space="preserve"> emisiju samazinājumu, </w:t>
            </w:r>
            <w:r w:rsidRPr="005D701D">
              <w:rPr>
                <w:i/>
                <w:iCs/>
              </w:rPr>
              <w:t>tCO</w:t>
            </w:r>
            <w:r w:rsidRPr="005D701D">
              <w:rPr>
                <w:i/>
                <w:iCs/>
                <w:vertAlign w:val="subscript"/>
              </w:rPr>
              <w:t>2</w:t>
            </w:r>
            <w:r w:rsidRPr="005D701D">
              <w:t>)</w:t>
            </w:r>
            <w:r>
              <w:rPr>
                <w:i/>
                <w:iCs/>
              </w:rPr>
              <w:t xml:space="preserve"> </w:t>
            </w:r>
            <w:r>
              <w:t>būs aptuveni</w:t>
            </w:r>
            <w:r w:rsidR="00FD5B63">
              <w:t xml:space="preserve"> </w:t>
            </w:r>
            <w:r w:rsidR="00EC744B">
              <w:t>1</w:t>
            </w:r>
            <w:r w:rsidR="00FD5B63">
              <w:t xml:space="preserve"> kgCO</w:t>
            </w:r>
            <w:r w:rsidR="00FD5B63" w:rsidRPr="000D0D9C">
              <w:rPr>
                <w:vertAlign w:val="subscript"/>
              </w:rPr>
              <w:t>2</w:t>
            </w:r>
            <w:r w:rsidR="00FD5B63">
              <w:t>/EUR</w:t>
            </w:r>
            <w:r>
              <w:t xml:space="preserve">. Par izmantoto EKII līdzekļu </w:t>
            </w:r>
            <w:r w:rsidRPr="00E948F0">
              <w:t xml:space="preserve">efektivitāti nevar spriest tikai pēc </w:t>
            </w:r>
            <w:r>
              <w:t>efektīvitātes rādītāja (</w:t>
            </w:r>
            <w:r w:rsidRPr="00E948F0">
              <w:rPr>
                <w:i/>
                <w:iCs/>
              </w:rPr>
              <w:t>euro</w:t>
            </w:r>
            <w:r>
              <w:rPr>
                <w:i/>
                <w:iCs/>
              </w:rPr>
              <w:t>/t</w:t>
            </w:r>
            <w:r>
              <w:t>CO</w:t>
            </w:r>
            <w:r w:rsidRPr="00E948F0">
              <w:rPr>
                <w:vertAlign w:val="subscript"/>
              </w:rPr>
              <w:t>2</w:t>
            </w:r>
            <w:r>
              <w:t>)</w:t>
            </w:r>
            <w:r w:rsidRPr="00E948F0">
              <w:t xml:space="preserve">, jo būtiski ņemt vērā ne vien tiešos </w:t>
            </w:r>
            <w:r>
              <w:t xml:space="preserve">SEG </w:t>
            </w:r>
            <w:r w:rsidRPr="00E948F0">
              <w:t xml:space="preserve">emisiju samazinājumus, bet arī netiešos SEG emisiju samazinājumus, kas iespējami dēļ multiplikatīvā efekta. Tas sevišķi svarīgi, jo klimata politikas mērķu sasniegšanai nepieciešamas pakāpeniskas, visaptverošas un būtiskas izmaiņas tautsaimniecībā un iedzīvotāju dzīvesveidā un to nav iespējams panākt tikai līdzfinansējot atsevišķus </w:t>
            </w:r>
            <w:r>
              <w:t xml:space="preserve">viena veida </w:t>
            </w:r>
            <w:r w:rsidRPr="00E948F0">
              <w:t>projektus.</w:t>
            </w:r>
          </w:p>
        </w:tc>
      </w:tr>
    </w:tbl>
    <w:p w14:paraId="2DAEF48B" w14:textId="77777777" w:rsidR="00C318BB" w:rsidRPr="009B5620" w:rsidRDefault="00C318BB" w:rsidP="0030341E"/>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9B5620" w14:paraId="47471233" w14:textId="77777777" w:rsidTr="00674567">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9B5620" w:rsidRDefault="00115550" w:rsidP="001A7349">
            <w:pPr>
              <w:jc w:val="center"/>
              <w:rPr>
                <w:b/>
                <w:bCs/>
              </w:rPr>
            </w:pPr>
            <w:r w:rsidRPr="009B5620">
              <w:rPr>
                <w:b/>
                <w:bCs/>
              </w:rPr>
              <w:t xml:space="preserve">II. </w:t>
            </w:r>
            <w:r w:rsidR="001A7349" w:rsidRPr="009B5620">
              <w:rPr>
                <w:b/>
                <w:bCs/>
              </w:rPr>
              <w:t>Tiesību akta projekta ietekme uz sabiedrību, tautsaimniecības attīstību</w:t>
            </w:r>
          </w:p>
          <w:p w14:paraId="08051D70" w14:textId="77777777" w:rsidR="00115550" w:rsidRPr="009B5620" w:rsidRDefault="001A7349" w:rsidP="001A7349">
            <w:pPr>
              <w:jc w:val="center"/>
              <w:rPr>
                <w:b/>
                <w:bCs/>
              </w:rPr>
            </w:pPr>
            <w:r w:rsidRPr="009B5620">
              <w:rPr>
                <w:b/>
                <w:bCs/>
              </w:rPr>
              <w:t>un administratīvo slogu</w:t>
            </w:r>
          </w:p>
        </w:tc>
      </w:tr>
      <w:tr w:rsidR="00546703" w:rsidRPr="009B5620" w14:paraId="0FF5CE32" w14:textId="77777777" w:rsidTr="00674567">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546703" w:rsidRPr="009B5620" w:rsidRDefault="00546703" w:rsidP="00546703">
            <w:r w:rsidRPr="009B5620">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546703" w:rsidRPr="009B5620" w:rsidRDefault="00546703" w:rsidP="00546703">
            <w:r w:rsidRPr="009B5620">
              <w:t xml:space="preserve">Sabiedrības mērķgrupas, kuras </w:t>
            </w:r>
            <w:r w:rsidRPr="009B5620">
              <w:lastRenderedPageBreak/>
              <w:t>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2B516142" w:rsidR="00816FBF" w:rsidRPr="009B5620" w:rsidRDefault="00546703">
            <w:pPr>
              <w:ind w:left="59" w:right="142"/>
              <w:jc w:val="both"/>
              <w:rPr>
                <w:bCs/>
              </w:rPr>
            </w:pPr>
            <w:r w:rsidRPr="009B5620">
              <w:lastRenderedPageBreak/>
              <w:t xml:space="preserve">Noteikumu projektā ietvertais tiesiskais regulējums attiecas uz </w:t>
            </w:r>
            <w:r w:rsidR="00DA673D">
              <w:t xml:space="preserve">EKII </w:t>
            </w:r>
            <w:r w:rsidR="00B76D53" w:rsidRPr="009B5620">
              <w:t>finansējuma</w:t>
            </w:r>
            <w:r w:rsidR="00574811" w:rsidRPr="009B5620">
              <w:t xml:space="preserve"> </w:t>
            </w:r>
            <w:r w:rsidR="00B76D53" w:rsidRPr="009B5620">
              <w:t>saņēmējiem</w:t>
            </w:r>
            <w:r w:rsidR="00041FE4">
              <w:t xml:space="preserve"> </w:t>
            </w:r>
            <w:r w:rsidR="00103B16">
              <w:t xml:space="preserve">(komersantiem) </w:t>
            </w:r>
            <w:r w:rsidR="00041FE4">
              <w:t>konkursa ietvaros</w:t>
            </w:r>
            <w:r w:rsidR="00574811" w:rsidRPr="009B5620">
              <w:t xml:space="preserve">, </w:t>
            </w:r>
            <w:r w:rsidR="00574811" w:rsidRPr="009B5620">
              <w:lastRenderedPageBreak/>
              <w:t>V</w:t>
            </w:r>
            <w:r w:rsidR="00300272">
              <w:t>ides investīciju fondu</w:t>
            </w:r>
            <w:r w:rsidR="00574811" w:rsidRPr="009B5620">
              <w:t xml:space="preserve"> un VARAM</w:t>
            </w:r>
            <w:r w:rsidR="00923B0E">
              <w:t>, kā arī</w:t>
            </w:r>
            <w:r w:rsidR="00103B16">
              <w:t xml:space="preserve"> fiziskām personām -</w:t>
            </w:r>
            <w:r w:rsidR="00923B0E">
              <w:t xml:space="preserve"> </w:t>
            </w:r>
            <w:r w:rsidR="00103B16">
              <w:t>iedzīvotājiem, kas iegādāsies šos transportlīdzekļus</w:t>
            </w:r>
            <w:r w:rsidR="00816FBF">
              <w:t>.</w:t>
            </w:r>
          </w:p>
        </w:tc>
      </w:tr>
      <w:tr w:rsidR="00674567" w:rsidRPr="009B5620" w14:paraId="1ECEA4AA" w14:textId="77777777" w:rsidTr="00674567">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674567" w:rsidRPr="009B5620" w:rsidRDefault="00674567" w:rsidP="00674567">
            <w:r w:rsidRPr="009B5620">
              <w:lastRenderedPageBreak/>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674567" w:rsidRPr="009B5620" w:rsidRDefault="00674567" w:rsidP="00674567">
            <w:r w:rsidRPr="009B5620">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533A95B" w14:textId="0F411E2A" w:rsidR="00B76D53" w:rsidRPr="00A2096B" w:rsidRDefault="00B76D53" w:rsidP="00B76D53">
            <w:pPr>
              <w:spacing w:before="120" w:after="120"/>
              <w:ind w:left="57"/>
              <w:jc w:val="both"/>
            </w:pPr>
            <w:r w:rsidRPr="00300272">
              <w:rPr>
                <w:iCs/>
              </w:rPr>
              <w:t xml:space="preserve">Noteikumu projekts neparedz </w:t>
            </w:r>
            <w:r w:rsidR="00DA673D" w:rsidRPr="006A58F7">
              <w:rPr>
                <w:iCs/>
              </w:rPr>
              <w:t xml:space="preserve">negatīvu </w:t>
            </w:r>
            <w:r w:rsidRPr="00A2096B">
              <w:rPr>
                <w:iCs/>
              </w:rPr>
              <w:t>ietekmi uz tautsaimniecību.</w:t>
            </w:r>
          </w:p>
          <w:p w14:paraId="71031878" w14:textId="51155EA0" w:rsidR="00674567" w:rsidRPr="00CB018C" w:rsidRDefault="00B76D53" w:rsidP="00BF1CE1">
            <w:pPr>
              <w:spacing w:before="120" w:after="120"/>
              <w:ind w:left="57" w:right="130"/>
              <w:jc w:val="both"/>
            </w:pPr>
            <w:r w:rsidRPr="00A2096B">
              <w:t xml:space="preserve">Nav identificēts administratīvā sloga palielinājums finansējuma saņēmējiem. Administratīvais slogs palielināsies </w:t>
            </w:r>
            <w:r w:rsidR="00300272" w:rsidRPr="00300272">
              <w:t>Vides investīciju fondam</w:t>
            </w:r>
            <w:r w:rsidRPr="00300272">
              <w:t xml:space="preserve">, lai nodrošinātu Atsevišķu pārvaldes uzdevumu deleģēšanas līgumā ietverto </w:t>
            </w:r>
            <w:r w:rsidR="00BF1CE1" w:rsidRPr="00300272">
              <w:t xml:space="preserve">uzdevumu </w:t>
            </w:r>
            <w:r w:rsidRPr="00300272">
              <w:t>īstenošanu.</w:t>
            </w:r>
          </w:p>
        </w:tc>
      </w:tr>
      <w:tr w:rsidR="00674567" w:rsidRPr="009B5620" w14:paraId="394E8BE9" w14:textId="77777777" w:rsidTr="00674567">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674567" w:rsidRPr="009B5620" w:rsidRDefault="00674567" w:rsidP="00674567">
            <w:r w:rsidRPr="009B5620">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674567" w:rsidRPr="009B5620" w:rsidRDefault="00674567" w:rsidP="00674567">
            <w:r w:rsidRPr="009B5620">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3BDC068D" w:rsidR="00674567" w:rsidRPr="00CB018C" w:rsidRDefault="00B76D53" w:rsidP="00BF1CE1">
            <w:pPr>
              <w:pStyle w:val="naiskr"/>
              <w:spacing w:before="0" w:after="0"/>
              <w:ind w:left="59" w:right="142"/>
              <w:jc w:val="both"/>
            </w:pPr>
            <w:r w:rsidRPr="00300272">
              <w:t xml:space="preserve">Izmaksas deleģēto </w:t>
            </w:r>
            <w:r w:rsidR="00BF1CE1" w:rsidRPr="006A58F7">
              <w:t>uzdevumu</w:t>
            </w:r>
            <w:r w:rsidRPr="00A2096B">
              <w:t xml:space="preserve"> veikšanai V</w:t>
            </w:r>
            <w:r w:rsidR="00300272" w:rsidRPr="00300272">
              <w:t>ides investīciju fondam</w:t>
            </w:r>
            <w:r w:rsidRPr="00300272">
              <w:t xml:space="preserve"> plānots segt no valsts budžeta programmas 33.01.00 “Emisijas kvotu izsolīšanas instrumenta administrācija”.</w:t>
            </w:r>
          </w:p>
        </w:tc>
      </w:tr>
      <w:tr w:rsidR="00674567" w:rsidRPr="009B5620" w14:paraId="3BDD4DEB"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674567" w:rsidRPr="009B5620" w:rsidRDefault="00674567" w:rsidP="00674567">
            <w:r w:rsidRPr="009B5620">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674567" w:rsidRPr="009B5620" w:rsidRDefault="00674567" w:rsidP="00674567">
            <w:r w:rsidRPr="009B5620">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2CF43153" w:rsidR="00674567" w:rsidRPr="009B5620" w:rsidRDefault="00B76D53" w:rsidP="00674567">
            <w:pPr>
              <w:ind w:left="59"/>
              <w:jc w:val="both"/>
              <w:rPr>
                <w:highlight w:val="yellow"/>
              </w:rPr>
            </w:pPr>
            <w:r w:rsidRPr="009B5620">
              <w:t>Projekts šo jomu neskar.</w:t>
            </w:r>
          </w:p>
        </w:tc>
      </w:tr>
      <w:tr w:rsidR="0069761D" w:rsidRPr="009B5620" w14:paraId="047B8FA8" w14:textId="77777777" w:rsidTr="00674567">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69761D" w:rsidRPr="009B5620" w:rsidRDefault="00647D6D" w:rsidP="0069761D">
            <w:r w:rsidRPr="009B5620">
              <w:t>5</w:t>
            </w:r>
            <w:r w:rsidR="0069761D" w:rsidRPr="009B5620">
              <w:t>.</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69761D" w:rsidRPr="009B5620" w:rsidRDefault="0069761D" w:rsidP="0069761D">
            <w:r w:rsidRPr="009B5620">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3A2FFA15" w:rsidR="0069761D" w:rsidRPr="009B5620" w:rsidRDefault="00EE6340" w:rsidP="0069761D">
            <w:r w:rsidRPr="009B5620">
              <w:t>Nav</w:t>
            </w:r>
          </w:p>
        </w:tc>
      </w:tr>
    </w:tbl>
    <w:p w14:paraId="4ACFCA1A" w14:textId="77777777" w:rsidR="00972C84" w:rsidRPr="009B5620" w:rsidRDefault="00972C84" w:rsidP="009E31BC"/>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82"/>
      </w:tblGrid>
      <w:tr w:rsidR="00555789" w:rsidRPr="00364D00" w14:paraId="690DF862" w14:textId="77777777" w:rsidTr="009D52E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5611198C" w14:textId="77777777" w:rsidR="00555789" w:rsidRPr="00364D00" w:rsidRDefault="00555789" w:rsidP="00555789">
            <w:pPr>
              <w:jc w:val="center"/>
              <w:rPr>
                <w:b/>
                <w:bCs/>
                <w:iCs/>
              </w:rPr>
            </w:pPr>
            <w:r w:rsidRPr="00364D00">
              <w:rPr>
                <w:b/>
                <w:bCs/>
                <w:iCs/>
              </w:rPr>
              <w:t>III. Tiesību akta projekta ietekme uz valsts budžetu un pašvaldību budžetiem</w:t>
            </w:r>
          </w:p>
        </w:tc>
      </w:tr>
      <w:tr w:rsidR="00555789" w:rsidRPr="00364D00" w14:paraId="68BC0328" w14:textId="77777777" w:rsidTr="009D52E5">
        <w:trPr>
          <w:tblCellSpacing w:w="15" w:type="dxa"/>
        </w:trPr>
        <w:tc>
          <w:tcPr>
            <w:tcW w:w="873" w:type="pct"/>
            <w:vMerge w:val="restart"/>
            <w:tcBorders>
              <w:top w:val="outset" w:sz="6" w:space="0" w:color="auto"/>
              <w:left w:val="outset" w:sz="6" w:space="0" w:color="auto"/>
              <w:bottom w:val="outset" w:sz="6" w:space="0" w:color="auto"/>
              <w:right w:val="outset" w:sz="6" w:space="0" w:color="auto"/>
            </w:tcBorders>
            <w:vAlign w:val="center"/>
            <w:hideMark/>
          </w:tcPr>
          <w:p w14:paraId="57FEB05A" w14:textId="77777777" w:rsidR="00555789" w:rsidRPr="00364D00" w:rsidRDefault="00555789" w:rsidP="00555789">
            <w:pPr>
              <w:jc w:val="center"/>
              <w:rPr>
                <w:iCs/>
              </w:rPr>
            </w:pPr>
            <w:r w:rsidRPr="00364D00">
              <w:rPr>
                <w:iCs/>
              </w:rPr>
              <w:t>Rādītāji</w:t>
            </w:r>
          </w:p>
        </w:tc>
        <w:tc>
          <w:tcPr>
            <w:tcW w:w="109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C043FC" w14:textId="538F7F59" w:rsidR="00555789" w:rsidRPr="00364D00" w:rsidRDefault="00555789" w:rsidP="005D4CEC">
            <w:pPr>
              <w:rPr>
                <w:iCs/>
              </w:rPr>
            </w:pPr>
            <w:r w:rsidRPr="00364D00">
              <w:rPr>
                <w:iCs/>
              </w:rPr>
              <w:t>20</w:t>
            </w:r>
            <w:r w:rsidR="005D4CEC" w:rsidRPr="00364D00">
              <w:rPr>
                <w:iCs/>
              </w:rPr>
              <w:t>2</w:t>
            </w:r>
            <w:r w:rsidR="00364D00">
              <w:rPr>
                <w:iCs/>
              </w:rPr>
              <w:t>1</w:t>
            </w:r>
            <w:r w:rsidRPr="00364D00">
              <w:rPr>
                <w:iCs/>
              </w:rPr>
              <w:t>. gads</w:t>
            </w:r>
          </w:p>
        </w:tc>
        <w:tc>
          <w:tcPr>
            <w:tcW w:w="2967" w:type="pct"/>
            <w:gridSpan w:val="5"/>
            <w:tcBorders>
              <w:top w:val="outset" w:sz="6" w:space="0" w:color="auto"/>
              <w:left w:val="outset" w:sz="6" w:space="0" w:color="auto"/>
              <w:bottom w:val="outset" w:sz="6" w:space="0" w:color="auto"/>
              <w:right w:val="outset" w:sz="6" w:space="0" w:color="auto"/>
            </w:tcBorders>
            <w:vAlign w:val="center"/>
            <w:hideMark/>
          </w:tcPr>
          <w:p w14:paraId="4AFD0BD7" w14:textId="77777777" w:rsidR="00555789" w:rsidRPr="00364D00" w:rsidRDefault="00555789">
            <w:pPr>
              <w:rPr>
                <w:iCs/>
              </w:rPr>
            </w:pPr>
            <w:r w:rsidRPr="00364D00">
              <w:rPr>
                <w:iCs/>
              </w:rPr>
              <w:t>Turpmākie trīs gadi (</w:t>
            </w:r>
            <w:r w:rsidRPr="00364D00">
              <w:rPr>
                <w:i/>
                <w:iCs/>
              </w:rPr>
              <w:t>euro</w:t>
            </w:r>
            <w:r w:rsidRPr="00364D00">
              <w:rPr>
                <w:iCs/>
              </w:rPr>
              <w:t>)</w:t>
            </w:r>
          </w:p>
        </w:tc>
      </w:tr>
      <w:tr w:rsidR="00555789" w:rsidRPr="00364D00" w14:paraId="62C53375"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D1FD63" w14:textId="77777777" w:rsidR="00555789" w:rsidRPr="00364D00" w:rsidRDefault="00555789">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F26901" w14:textId="77777777" w:rsidR="00555789" w:rsidRPr="00364D00" w:rsidRDefault="00555789">
            <w:pPr>
              <w:rPr>
                <w:iCs/>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3FB2FB05" w14:textId="27520C0F" w:rsidR="00555789" w:rsidRPr="00364D00" w:rsidRDefault="00555789" w:rsidP="005D4CEC">
            <w:pPr>
              <w:rPr>
                <w:iCs/>
              </w:rPr>
            </w:pPr>
            <w:r w:rsidRPr="00364D00">
              <w:rPr>
                <w:iCs/>
              </w:rPr>
              <w:t>202</w:t>
            </w:r>
            <w:r w:rsidR="00364D00">
              <w:rPr>
                <w:iCs/>
              </w:rPr>
              <w:t>2</w:t>
            </w:r>
            <w:r w:rsidRPr="00364D00">
              <w:rPr>
                <w:iCs/>
              </w:rPr>
              <w:t>.</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14:paraId="5054B65F" w14:textId="1132E4D8" w:rsidR="00555789" w:rsidRPr="00364D00" w:rsidRDefault="00555789" w:rsidP="005D4CEC">
            <w:pPr>
              <w:rPr>
                <w:iCs/>
              </w:rPr>
            </w:pPr>
            <w:r w:rsidRPr="00364D00">
              <w:rPr>
                <w:iCs/>
              </w:rPr>
              <w:t>202</w:t>
            </w:r>
            <w:r w:rsidR="00364D00">
              <w:rPr>
                <w:iCs/>
              </w:rPr>
              <w:t>3</w:t>
            </w:r>
            <w:r w:rsidRPr="00364D00">
              <w:rPr>
                <w:iCs/>
              </w:rPr>
              <w:t>.</w:t>
            </w:r>
          </w:p>
        </w:tc>
        <w:tc>
          <w:tcPr>
            <w:tcW w:w="848" w:type="pct"/>
            <w:tcBorders>
              <w:top w:val="outset" w:sz="6" w:space="0" w:color="auto"/>
              <w:left w:val="outset" w:sz="6" w:space="0" w:color="auto"/>
              <w:bottom w:val="outset" w:sz="6" w:space="0" w:color="auto"/>
              <w:right w:val="outset" w:sz="6" w:space="0" w:color="auto"/>
            </w:tcBorders>
            <w:vAlign w:val="center"/>
            <w:hideMark/>
          </w:tcPr>
          <w:p w14:paraId="5CE54642" w14:textId="5E223B43" w:rsidR="00555789" w:rsidRPr="00364D00" w:rsidRDefault="00555789" w:rsidP="005D4CEC">
            <w:pPr>
              <w:rPr>
                <w:iCs/>
              </w:rPr>
            </w:pPr>
            <w:r w:rsidRPr="00364D00">
              <w:rPr>
                <w:iCs/>
              </w:rPr>
              <w:t>202</w:t>
            </w:r>
            <w:r w:rsidR="00364D00">
              <w:rPr>
                <w:iCs/>
              </w:rPr>
              <w:t>4</w:t>
            </w:r>
            <w:r w:rsidRPr="00364D00">
              <w:rPr>
                <w:iCs/>
              </w:rPr>
              <w:t>.</w:t>
            </w:r>
          </w:p>
        </w:tc>
      </w:tr>
      <w:tr w:rsidR="00555789" w:rsidRPr="00364D00" w14:paraId="0BB74A39" w14:textId="77777777" w:rsidTr="007A09F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53F568" w14:textId="77777777" w:rsidR="00555789" w:rsidRPr="00364D00" w:rsidRDefault="00555789">
            <w:pPr>
              <w:rPr>
                <w:iCs/>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9FA71D2" w14:textId="77777777" w:rsidR="00555789" w:rsidRPr="00364D00" w:rsidRDefault="00555789">
            <w:pPr>
              <w:rPr>
                <w:iCs/>
              </w:rPr>
            </w:pPr>
            <w:r w:rsidRPr="00364D00">
              <w:rPr>
                <w:iCs/>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ED535E" w14:textId="77777777" w:rsidR="00555789" w:rsidRPr="00364D00" w:rsidRDefault="00555789">
            <w:pPr>
              <w:rPr>
                <w:iCs/>
              </w:rPr>
            </w:pPr>
            <w:r w:rsidRPr="00364D00">
              <w:rPr>
                <w:iCs/>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36A3FAF7" w14:textId="77777777" w:rsidR="00555789" w:rsidRPr="00364D00" w:rsidRDefault="00555789">
            <w:pPr>
              <w:rPr>
                <w:iCs/>
              </w:rPr>
            </w:pPr>
            <w:r w:rsidRPr="00364D0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DFA9F3" w14:textId="5EDB83CB" w:rsidR="00555789" w:rsidRPr="00364D00" w:rsidRDefault="00555789" w:rsidP="00264B24">
            <w:pPr>
              <w:rPr>
                <w:iCs/>
              </w:rPr>
            </w:pPr>
            <w:r w:rsidRPr="00364D00">
              <w:rPr>
                <w:iCs/>
              </w:rPr>
              <w:t>izmaiņas, salīdzinot ar vidēja termiņa budžeta ietvaru 202</w:t>
            </w:r>
            <w:r w:rsidR="00264B24" w:rsidRPr="00364D00">
              <w:rPr>
                <w:iCs/>
              </w:rPr>
              <w:t>1</w:t>
            </w:r>
            <w:r w:rsidRPr="00364D00">
              <w:rPr>
                <w:iCs/>
              </w:rPr>
              <w:t>.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E87AF69" w14:textId="77777777" w:rsidR="00555789" w:rsidRPr="00364D00" w:rsidRDefault="00555789">
            <w:pPr>
              <w:rPr>
                <w:iCs/>
              </w:rPr>
            </w:pPr>
            <w:r w:rsidRPr="00364D0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612AB6" w14:textId="4932D8A5" w:rsidR="00555789" w:rsidRPr="00364D00" w:rsidRDefault="00555789" w:rsidP="00264B24">
            <w:pPr>
              <w:rPr>
                <w:iCs/>
              </w:rPr>
            </w:pPr>
            <w:r w:rsidRPr="00364D00">
              <w:rPr>
                <w:iCs/>
              </w:rPr>
              <w:t>izmaiņas, salīdzinot ar vidēja termiņa budžeta ietvaru 202</w:t>
            </w:r>
            <w:r w:rsidR="00264B24" w:rsidRPr="00364D00">
              <w:rPr>
                <w:iCs/>
              </w:rPr>
              <w:t>2</w:t>
            </w:r>
            <w:r w:rsidRPr="00364D00">
              <w:rPr>
                <w:iCs/>
              </w:rPr>
              <w:t>. gadam</w:t>
            </w:r>
          </w:p>
        </w:tc>
        <w:tc>
          <w:tcPr>
            <w:tcW w:w="848" w:type="pct"/>
            <w:tcBorders>
              <w:top w:val="outset" w:sz="6" w:space="0" w:color="auto"/>
              <w:left w:val="outset" w:sz="6" w:space="0" w:color="auto"/>
              <w:bottom w:val="outset" w:sz="6" w:space="0" w:color="auto"/>
              <w:right w:val="outset" w:sz="6" w:space="0" w:color="auto"/>
            </w:tcBorders>
            <w:vAlign w:val="center"/>
            <w:hideMark/>
          </w:tcPr>
          <w:p w14:paraId="28B03A3F" w14:textId="6647412B" w:rsidR="00555789" w:rsidRPr="00364D00" w:rsidRDefault="00555789" w:rsidP="00CC50F5">
            <w:pPr>
              <w:rPr>
                <w:iCs/>
              </w:rPr>
            </w:pPr>
            <w:r w:rsidRPr="00364D00">
              <w:rPr>
                <w:iCs/>
              </w:rPr>
              <w:t>izmaiņas, salīdzinot ar vidēja termiņa budžeta ietvaru 202</w:t>
            </w:r>
            <w:r w:rsidR="00CC50F5" w:rsidRPr="00364D00">
              <w:rPr>
                <w:iCs/>
              </w:rPr>
              <w:t>2</w:t>
            </w:r>
            <w:r w:rsidRPr="00364D00">
              <w:rPr>
                <w:iCs/>
              </w:rPr>
              <w:t>. gadam</w:t>
            </w:r>
          </w:p>
        </w:tc>
      </w:tr>
      <w:tr w:rsidR="00555789" w:rsidRPr="00364D00" w14:paraId="2172D20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vAlign w:val="center"/>
            <w:hideMark/>
          </w:tcPr>
          <w:p w14:paraId="11A71D30" w14:textId="77777777" w:rsidR="00555789" w:rsidRPr="00364D00" w:rsidRDefault="00555789">
            <w:pPr>
              <w:rPr>
                <w:iCs/>
              </w:rPr>
            </w:pPr>
            <w:r w:rsidRPr="00364D00">
              <w:rPr>
                <w:iCs/>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531781EB" w14:textId="77777777" w:rsidR="00555789" w:rsidRPr="00364D00" w:rsidRDefault="00555789">
            <w:pPr>
              <w:rPr>
                <w:iCs/>
              </w:rPr>
            </w:pPr>
            <w:r w:rsidRPr="00364D00">
              <w:rPr>
                <w:iCs/>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DFF926" w14:textId="77777777" w:rsidR="00555789" w:rsidRPr="00364D00" w:rsidRDefault="00555789">
            <w:pPr>
              <w:rPr>
                <w:iCs/>
              </w:rPr>
            </w:pPr>
            <w:r w:rsidRPr="00364D00">
              <w:rPr>
                <w:iCs/>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660C68" w14:textId="77777777" w:rsidR="00555789" w:rsidRPr="00364D00" w:rsidRDefault="00555789">
            <w:pPr>
              <w:rPr>
                <w:iCs/>
              </w:rPr>
            </w:pPr>
            <w:r w:rsidRPr="00364D0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3F6D74F" w14:textId="77777777" w:rsidR="00555789" w:rsidRPr="00364D00" w:rsidRDefault="00555789">
            <w:pPr>
              <w:rPr>
                <w:iCs/>
              </w:rPr>
            </w:pPr>
            <w:r w:rsidRPr="00364D00">
              <w:rPr>
                <w:iCs/>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6FAED055" w14:textId="77777777" w:rsidR="00555789" w:rsidRPr="00364D00" w:rsidRDefault="00555789">
            <w:pPr>
              <w:rPr>
                <w:iCs/>
              </w:rPr>
            </w:pPr>
            <w:r w:rsidRPr="00364D00">
              <w:rPr>
                <w:iCs/>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07B3688" w14:textId="77777777" w:rsidR="00555789" w:rsidRPr="00364D00" w:rsidRDefault="00555789">
            <w:pPr>
              <w:rPr>
                <w:iCs/>
              </w:rPr>
            </w:pPr>
            <w:r w:rsidRPr="00364D00">
              <w:rPr>
                <w:iCs/>
              </w:rPr>
              <w:t>7</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E7B761" w14:textId="77777777" w:rsidR="00555789" w:rsidRPr="00364D00" w:rsidRDefault="00555789">
            <w:pPr>
              <w:rPr>
                <w:iCs/>
              </w:rPr>
            </w:pPr>
            <w:r w:rsidRPr="00364D00">
              <w:rPr>
                <w:iCs/>
              </w:rPr>
              <w:t>8</w:t>
            </w:r>
          </w:p>
        </w:tc>
      </w:tr>
      <w:tr w:rsidR="00555789" w:rsidRPr="00364D00" w14:paraId="37B10BE7"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CEFABC2" w14:textId="77777777" w:rsidR="00555789" w:rsidRPr="00364D00" w:rsidRDefault="00555789">
            <w:pPr>
              <w:rPr>
                <w:iCs/>
              </w:rPr>
            </w:pPr>
            <w:r w:rsidRPr="00364D00">
              <w:rPr>
                <w:iCs/>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9D162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68C159"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CE369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122996" w14:textId="6C0CE456" w:rsidR="00555789" w:rsidRPr="00364D00" w:rsidRDefault="007F205D">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CD21F55"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08D06E" w14:textId="45A09C65" w:rsidR="00555789" w:rsidRPr="00364D00" w:rsidRDefault="007F205D">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3130C98E" w14:textId="65F97C37" w:rsidR="00555789" w:rsidRPr="00364D00" w:rsidRDefault="006533E5">
            <w:pPr>
              <w:jc w:val="center"/>
              <w:rPr>
                <w:iCs/>
              </w:rPr>
            </w:pPr>
            <w:r w:rsidRPr="00364D00">
              <w:rPr>
                <w:iCs/>
              </w:rPr>
              <w:t>0</w:t>
            </w:r>
          </w:p>
        </w:tc>
      </w:tr>
      <w:tr w:rsidR="009D52E5" w:rsidRPr="00364D00" w14:paraId="35ED0FAE"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E22630E" w14:textId="77777777" w:rsidR="009D52E5" w:rsidRPr="00364D00" w:rsidRDefault="009D52E5" w:rsidP="009D52E5">
            <w:pPr>
              <w:rPr>
                <w:iCs/>
              </w:rPr>
            </w:pPr>
            <w:r w:rsidRPr="00364D00">
              <w:rPr>
                <w:iCs/>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83EC42A"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F83BF4"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020B80F"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420F09" w14:textId="3D9CB0EC" w:rsidR="009D52E5" w:rsidRPr="00364D00" w:rsidRDefault="007F205D" w:rsidP="009D52E5">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B47A237" w14:textId="59E472FE"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26D891" w14:textId="3F3C2C98" w:rsidR="009D52E5" w:rsidRPr="00364D00" w:rsidRDefault="007F205D" w:rsidP="009D52E5">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B4F228B" w14:textId="580CD499" w:rsidR="009D52E5" w:rsidRPr="00364D00" w:rsidRDefault="006533E5" w:rsidP="009D52E5">
            <w:pPr>
              <w:jc w:val="center"/>
              <w:rPr>
                <w:iCs/>
              </w:rPr>
            </w:pPr>
            <w:r w:rsidRPr="00364D00">
              <w:rPr>
                <w:iCs/>
              </w:rPr>
              <w:t>0</w:t>
            </w:r>
          </w:p>
        </w:tc>
      </w:tr>
      <w:tr w:rsidR="00555789" w:rsidRPr="00364D00" w14:paraId="3C24C8C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27F503D" w14:textId="77777777" w:rsidR="00555789" w:rsidRPr="00364D00" w:rsidRDefault="00555789">
            <w:pPr>
              <w:rPr>
                <w:iCs/>
              </w:rPr>
            </w:pPr>
            <w:r w:rsidRPr="00364D00">
              <w:rPr>
                <w:iCs/>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361FAF"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6A492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852912"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85717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15E47C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498E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A9B8AB2" w14:textId="77777777" w:rsidR="00555789" w:rsidRPr="00364D00" w:rsidRDefault="00555789">
            <w:pPr>
              <w:jc w:val="center"/>
              <w:rPr>
                <w:iCs/>
              </w:rPr>
            </w:pPr>
            <w:r w:rsidRPr="00364D00">
              <w:rPr>
                <w:iCs/>
              </w:rPr>
              <w:t>0</w:t>
            </w:r>
          </w:p>
        </w:tc>
      </w:tr>
      <w:tr w:rsidR="00555789" w:rsidRPr="00364D00" w14:paraId="441C7986"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A36A6E5" w14:textId="77777777" w:rsidR="00555789" w:rsidRPr="00364D00" w:rsidRDefault="00555789">
            <w:pPr>
              <w:rPr>
                <w:iCs/>
              </w:rPr>
            </w:pPr>
            <w:r w:rsidRPr="00364D00">
              <w:rPr>
                <w:iCs/>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DAD990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D4625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CE1B7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009F5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ED90C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9D87A77"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0DEF2FC" w14:textId="77777777" w:rsidR="00555789" w:rsidRPr="00364D00" w:rsidRDefault="00555789">
            <w:pPr>
              <w:jc w:val="center"/>
              <w:rPr>
                <w:iCs/>
              </w:rPr>
            </w:pPr>
            <w:r w:rsidRPr="00364D00">
              <w:rPr>
                <w:iCs/>
              </w:rPr>
              <w:t>0</w:t>
            </w:r>
          </w:p>
        </w:tc>
      </w:tr>
      <w:tr w:rsidR="009D52E5" w:rsidRPr="00364D00" w14:paraId="5D19741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36EEA91" w14:textId="77777777" w:rsidR="009D52E5" w:rsidRPr="00364D00" w:rsidRDefault="009D52E5" w:rsidP="009D52E5">
            <w:pPr>
              <w:rPr>
                <w:iCs/>
              </w:rPr>
            </w:pPr>
            <w:r w:rsidRPr="00364D00">
              <w:rPr>
                <w:iCs/>
              </w:rPr>
              <w:lastRenderedPageBreak/>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21296AD5"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F4430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1BC0842"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95A5F7" w14:textId="02879B6A" w:rsidR="009D52E5" w:rsidRPr="00364D00" w:rsidRDefault="007F205D" w:rsidP="009D52E5">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0CD457" w14:textId="115E9051"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3ADEC2" w14:textId="2761DCF8" w:rsidR="009D52E5" w:rsidRPr="00364D00" w:rsidRDefault="007F205D" w:rsidP="009D52E5">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9806116" w14:textId="092E9F13" w:rsidR="009D52E5" w:rsidRPr="00364D00" w:rsidRDefault="006533E5" w:rsidP="009D52E5">
            <w:pPr>
              <w:jc w:val="center"/>
              <w:rPr>
                <w:iCs/>
              </w:rPr>
            </w:pPr>
            <w:r w:rsidRPr="00364D00">
              <w:rPr>
                <w:iCs/>
              </w:rPr>
              <w:t>0</w:t>
            </w:r>
          </w:p>
        </w:tc>
      </w:tr>
      <w:tr w:rsidR="009D52E5" w:rsidRPr="00364D00" w14:paraId="3B9EA47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486794F" w14:textId="77777777" w:rsidR="009D52E5" w:rsidRPr="00364D00" w:rsidRDefault="009D52E5" w:rsidP="009D52E5">
            <w:pPr>
              <w:rPr>
                <w:iCs/>
              </w:rPr>
            </w:pPr>
            <w:r w:rsidRPr="00364D00">
              <w:rPr>
                <w:iCs/>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5E889F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01A065" w14:textId="77777777" w:rsidR="009D52E5" w:rsidRPr="00364D00" w:rsidRDefault="009D52E5" w:rsidP="009D52E5">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A733077" w14:textId="77777777"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6FCAE" w14:textId="7066D70E" w:rsidR="009D52E5" w:rsidRPr="00364D00" w:rsidRDefault="007F205D" w:rsidP="009D52E5">
            <w:pPr>
              <w:jc w:val="center"/>
              <w:rPr>
                <w:iCs/>
              </w:rPr>
            </w:pPr>
            <w:r>
              <w:rPr>
                <w:iCs/>
              </w:rPr>
              <w:t>5 000 000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E86293" w14:textId="7E7625B4" w:rsidR="009D52E5" w:rsidRPr="00364D00" w:rsidRDefault="009D52E5" w:rsidP="009D52E5">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A6031" w14:textId="34553770" w:rsidR="009D52E5" w:rsidRPr="00364D00" w:rsidRDefault="007F205D" w:rsidP="009D52E5">
            <w:pPr>
              <w:jc w:val="center"/>
              <w:rPr>
                <w:iCs/>
              </w:rPr>
            </w:pPr>
            <w:r>
              <w:rPr>
                <w:iCs/>
              </w:rPr>
              <w:t>5 000 000</w:t>
            </w:r>
          </w:p>
        </w:tc>
        <w:tc>
          <w:tcPr>
            <w:tcW w:w="848" w:type="pct"/>
            <w:tcBorders>
              <w:top w:val="outset" w:sz="6" w:space="0" w:color="auto"/>
              <w:left w:val="outset" w:sz="6" w:space="0" w:color="auto"/>
              <w:bottom w:val="outset" w:sz="6" w:space="0" w:color="auto"/>
              <w:right w:val="outset" w:sz="6" w:space="0" w:color="auto"/>
            </w:tcBorders>
            <w:vAlign w:val="center"/>
            <w:hideMark/>
          </w:tcPr>
          <w:p w14:paraId="70E92789" w14:textId="0548EB44" w:rsidR="009D52E5" w:rsidRPr="00364D00" w:rsidRDefault="006533E5" w:rsidP="009D52E5">
            <w:pPr>
              <w:jc w:val="center"/>
              <w:rPr>
                <w:iCs/>
              </w:rPr>
            </w:pPr>
            <w:r w:rsidRPr="00364D00">
              <w:rPr>
                <w:iCs/>
              </w:rPr>
              <w:t>0</w:t>
            </w:r>
          </w:p>
        </w:tc>
      </w:tr>
      <w:tr w:rsidR="00555789" w:rsidRPr="00364D00" w14:paraId="4D1E81D3"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017254B" w14:textId="77777777" w:rsidR="00555789" w:rsidRPr="00364D00" w:rsidRDefault="00555789">
            <w:pPr>
              <w:rPr>
                <w:iCs/>
              </w:rPr>
            </w:pPr>
            <w:r w:rsidRPr="00364D00">
              <w:rPr>
                <w:iCs/>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2FE887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C5E50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7EFB599"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216A50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C67781"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E367E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0815F32C" w14:textId="77777777" w:rsidR="00555789" w:rsidRPr="00364D00" w:rsidRDefault="00555789">
            <w:pPr>
              <w:jc w:val="center"/>
              <w:rPr>
                <w:iCs/>
              </w:rPr>
            </w:pPr>
            <w:r w:rsidRPr="00364D00">
              <w:rPr>
                <w:iCs/>
              </w:rPr>
              <w:t>0</w:t>
            </w:r>
          </w:p>
        </w:tc>
      </w:tr>
      <w:tr w:rsidR="00555789" w:rsidRPr="00364D00" w14:paraId="3C41E084"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6676740" w14:textId="77777777" w:rsidR="00555789" w:rsidRPr="00364D00" w:rsidRDefault="00555789">
            <w:pPr>
              <w:rPr>
                <w:iCs/>
              </w:rPr>
            </w:pPr>
            <w:r w:rsidRPr="00364D00">
              <w:rPr>
                <w:iCs/>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7F0D5C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46BAE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7C971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BE2F04"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E1E937A"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0CA63C"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E520976" w14:textId="77777777" w:rsidR="00555789" w:rsidRPr="00364D00" w:rsidRDefault="00555789">
            <w:pPr>
              <w:jc w:val="center"/>
              <w:rPr>
                <w:iCs/>
              </w:rPr>
            </w:pPr>
            <w:r w:rsidRPr="00364D00">
              <w:rPr>
                <w:iCs/>
              </w:rPr>
              <w:t>0</w:t>
            </w:r>
          </w:p>
        </w:tc>
      </w:tr>
      <w:tr w:rsidR="00555789" w:rsidRPr="00364D00" w14:paraId="406BB96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64EE9F7" w14:textId="77777777" w:rsidR="00555789" w:rsidRPr="00364D00" w:rsidRDefault="00555789" w:rsidP="00555789">
            <w:pPr>
              <w:rPr>
                <w:iCs/>
              </w:rPr>
            </w:pPr>
            <w:r w:rsidRPr="00364D00">
              <w:rPr>
                <w:iCs/>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72838B"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2D4B08"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4A43C1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BA1EB17" w14:textId="58E09DE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DC495B1"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9AF73F5"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002A83" w14:textId="77777777" w:rsidR="00555789" w:rsidRPr="00364D00" w:rsidRDefault="00555789" w:rsidP="00555789">
            <w:pPr>
              <w:jc w:val="center"/>
              <w:rPr>
                <w:iCs/>
              </w:rPr>
            </w:pPr>
            <w:r w:rsidRPr="00364D00">
              <w:rPr>
                <w:iCs/>
              </w:rPr>
              <w:t>0</w:t>
            </w:r>
          </w:p>
        </w:tc>
      </w:tr>
      <w:tr w:rsidR="00555789" w:rsidRPr="00364D00" w14:paraId="3A24C1DF"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FB3BD9D" w14:textId="77777777" w:rsidR="00555789" w:rsidRPr="00364D00" w:rsidRDefault="00555789" w:rsidP="00555789">
            <w:pPr>
              <w:rPr>
                <w:iCs/>
              </w:rPr>
            </w:pPr>
            <w:r w:rsidRPr="00364D00">
              <w:rPr>
                <w:iCs/>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7E2826"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D6F3DF" w14:textId="77777777"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056A972"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hideMark/>
          </w:tcPr>
          <w:p w14:paraId="77AF68C8" w14:textId="496FC074" w:rsidR="00555789" w:rsidRPr="00364D00" w:rsidRDefault="00555789" w:rsidP="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53AFDA" w14:textId="77777777" w:rsidR="00555789" w:rsidRPr="00364D00" w:rsidRDefault="00555789" w:rsidP="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8E06F3" w14:textId="77777777" w:rsidR="00555789" w:rsidRPr="00364D00" w:rsidRDefault="00555789" w:rsidP="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2BAD806E" w14:textId="77777777" w:rsidR="00555789" w:rsidRPr="00364D00" w:rsidRDefault="00555789" w:rsidP="00555789">
            <w:pPr>
              <w:jc w:val="center"/>
              <w:rPr>
                <w:iCs/>
              </w:rPr>
            </w:pPr>
            <w:r w:rsidRPr="00364D00">
              <w:rPr>
                <w:iCs/>
              </w:rPr>
              <w:t>0</w:t>
            </w:r>
          </w:p>
        </w:tc>
      </w:tr>
      <w:tr w:rsidR="00555789" w:rsidRPr="00364D00" w14:paraId="5D38FB50"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F2E4D8C" w14:textId="77777777" w:rsidR="00555789" w:rsidRPr="00364D00" w:rsidRDefault="00555789">
            <w:pPr>
              <w:rPr>
                <w:iCs/>
              </w:rPr>
            </w:pPr>
            <w:r w:rsidRPr="00364D00">
              <w:rPr>
                <w:iCs/>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61BCEB"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993AAC"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F6C8DE8"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8CEAAD"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13D02E"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264CAD"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A586C20" w14:textId="77777777" w:rsidR="00555789" w:rsidRPr="00364D00" w:rsidRDefault="00555789">
            <w:pPr>
              <w:jc w:val="center"/>
              <w:rPr>
                <w:iCs/>
              </w:rPr>
            </w:pPr>
            <w:r w:rsidRPr="00364D00">
              <w:rPr>
                <w:iCs/>
              </w:rPr>
              <w:t>0</w:t>
            </w:r>
          </w:p>
        </w:tc>
      </w:tr>
      <w:tr w:rsidR="00555789" w:rsidRPr="00364D00" w14:paraId="17C1D2D9"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E0E1748" w14:textId="77777777" w:rsidR="00555789" w:rsidRPr="00364D00" w:rsidRDefault="00555789">
            <w:pPr>
              <w:rPr>
                <w:iCs/>
              </w:rPr>
            </w:pPr>
            <w:r w:rsidRPr="00364D00">
              <w:rPr>
                <w:iCs/>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DA0229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5BB107"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FA33FE6"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D712D3"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FA124D" w14:textId="77777777" w:rsidR="00555789" w:rsidRPr="00364D00" w:rsidRDefault="00555789">
            <w:pPr>
              <w:jc w:val="center"/>
              <w:rPr>
                <w:iCs/>
              </w:rPr>
            </w:pPr>
            <w:r w:rsidRPr="00364D0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9CF228"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502CEBC" w14:textId="77777777" w:rsidR="00555789" w:rsidRPr="00364D00" w:rsidRDefault="00555789">
            <w:pPr>
              <w:jc w:val="center"/>
              <w:rPr>
                <w:iCs/>
              </w:rPr>
            </w:pPr>
            <w:r w:rsidRPr="00364D00">
              <w:rPr>
                <w:iCs/>
              </w:rPr>
              <w:t>0</w:t>
            </w:r>
          </w:p>
        </w:tc>
      </w:tr>
      <w:tr w:rsidR="00555789" w:rsidRPr="00364D00" w14:paraId="3167CB18"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1C28C6D" w14:textId="77777777" w:rsidR="00555789" w:rsidRPr="00364D00" w:rsidRDefault="00555789">
            <w:pPr>
              <w:rPr>
                <w:iCs/>
              </w:rPr>
            </w:pPr>
            <w:r w:rsidRPr="00364D00">
              <w:rPr>
                <w:iCs/>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F91F0EA"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CD40725" w14:textId="77777777"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D22E185"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32854F" w14:textId="5D61C75A" w:rsidR="00555789" w:rsidRPr="00364D00" w:rsidRDefault="00555789">
            <w:pPr>
              <w:jc w:val="center"/>
              <w:rPr>
                <w:iCs/>
              </w:rPr>
            </w:pPr>
            <w:r w:rsidRPr="00364D00">
              <w:rPr>
                <w:iCs/>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6330E0F1"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532750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BC1B5C9" w14:textId="77777777" w:rsidR="00555789" w:rsidRPr="00364D00" w:rsidRDefault="00555789">
            <w:pPr>
              <w:jc w:val="center"/>
              <w:rPr>
                <w:iCs/>
              </w:rPr>
            </w:pPr>
            <w:r w:rsidRPr="00364D00">
              <w:rPr>
                <w:iCs/>
              </w:rPr>
              <w:t>0</w:t>
            </w:r>
          </w:p>
        </w:tc>
      </w:tr>
      <w:tr w:rsidR="00555789" w:rsidRPr="00364D00" w14:paraId="0938EDFA"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75E720D9" w14:textId="77777777" w:rsidR="00555789" w:rsidRPr="00364D00" w:rsidRDefault="00555789">
            <w:pPr>
              <w:rPr>
                <w:iCs/>
              </w:rPr>
            </w:pPr>
            <w:r w:rsidRPr="00364D00">
              <w:rPr>
                <w:iCs/>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tcPr>
          <w:p w14:paraId="3EE40976" w14:textId="77777777" w:rsidR="00555789" w:rsidRPr="00364D00" w:rsidRDefault="00555789">
            <w:pPr>
              <w:jc w:val="center"/>
              <w:rPr>
                <w:iCs/>
              </w:rPr>
            </w:pPr>
          </w:p>
          <w:p w14:paraId="4D4BCB9C" w14:textId="77777777" w:rsidR="00555789" w:rsidRPr="00364D00" w:rsidRDefault="00555789">
            <w:pPr>
              <w:jc w:val="center"/>
              <w:rPr>
                <w:iCs/>
              </w:rPr>
            </w:pPr>
          </w:p>
          <w:p w14:paraId="6FCEEE0B" w14:textId="77777777" w:rsidR="00555789" w:rsidRPr="00364D00" w:rsidRDefault="00555789">
            <w:pPr>
              <w:jc w:val="center"/>
              <w:rPr>
                <w:iCs/>
              </w:rPr>
            </w:pPr>
          </w:p>
          <w:p w14:paraId="708F1C0C" w14:textId="77777777" w:rsidR="00555789" w:rsidRPr="00364D00" w:rsidRDefault="00555789">
            <w:pPr>
              <w:jc w:val="center"/>
              <w:rPr>
                <w:iCs/>
              </w:rPr>
            </w:pPr>
          </w:p>
          <w:p w14:paraId="3D33E289" w14:textId="77777777" w:rsidR="00555789" w:rsidRPr="00364D00" w:rsidRDefault="00555789">
            <w:pPr>
              <w:jc w:val="center"/>
              <w:rPr>
                <w:iCs/>
              </w:rPr>
            </w:pPr>
          </w:p>
          <w:p w14:paraId="0A866416"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BA49F3" w14:textId="77777777" w:rsidR="00555789" w:rsidRPr="00364D00" w:rsidRDefault="00555789">
            <w:pPr>
              <w:jc w:val="center"/>
              <w:rPr>
                <w:iCs/>
              </w:rPr>
            </w:pPr>
            <w:r w:rsidRPr="00364D0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65B3E4B0" w14:textId="77777777" w:rsidR="00555789" w:rsidRPr="00364D00" w:rsidRDefault="00555789">
            <w:pPr>
              <w:jc w:val="center"/>
              <w:rPr>
                <w:iCs/>
              </w:rPr>
            </w:pPr>
          </w:p>
          <w:p w14:paraId="415925FB" w14:textId="77777777" w:rsidR="00555789" w:rsidRPr="00364D00" w:rsidRDefault="00555789">
            <w:pPr>
              <w:jc w:val="center"/>
              <w:rPr>
                <w:iCs/>
              </w:rPr>
            </w:pPr>
          </w:p>
          <w:p w14:paraId="1412D332" w14:textId="77777777" w:rsidR="00555789" w:rsidRPr="00364D00" w:rsidRDefault="00555789">
            <w:pPr>
              <w:jc w:val="center"/>
              <w:rPr>
                <w:iCs/>
              </w:rPr>
            </w:pPr>
          </w:p>
          <w:p w14:paraId="313CE3CE" w14:textId="77777777" w:rsidR="00555789" w:rsidRPr="00364D00" w:rsidRDefault="00555789">
            <w:pPr>
              <w:jc w:val="center"/>
              <w:rPr>
                <w:iCs/>
              </w:rPr>
            </w:pPr>
          </w:p>
          <w:p w14:paraId="07FC29FC" w14:textId="77777777" w:rsidR="00555789" w:rsidRPr="00364D00" w:rsidRDefault="00555789">
            <w:pPr>
              <w:jc w:val="center"/>
              <w:rPr>
                <w:iCs/>
              </w:rPr>
            </w:pPr>
          </w:p>
          <w:p w14:paraId="6FE35B58"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344505" w14:textId="77777777" w:rsidR="00555789" w:rsidRPr="00364D00" w:rsidRDefault="00555789">
            <w:pPr>
              <w:jc w:val="center"/>
              <w:rPr>
                <w:iCs/>
              </w:rPr>
            </w:pPr>
            <w:r w:rsidRPr="00364D00">
              <w:rPr>
                <w:iCs/>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tcPr>
          <w:p w14:paraId="704882A4" w14:textId="77777777" w:rsidR="00555789" w:rsidRPr="00364D00" w:rsidRDefault="00555789">
            <w:pPr>
              <w:jc w:val="center"/>
              <w:rPr>
                <w:iCs/>
              </w:rPr>
            </w:pPr>
          </w:p>
          <w:p w14:paraId="28C8C5C4" w14:textId="77777777" w:rsidR="00555789" w:rsidRPr="00364D00" w:rsidRDefault="00555789">
            <w:pPr>
              <w:jc w:val="center"/>
              <w:rPr>
                <w:iCs/>
              </w:rPr>
            </w:pPr>
          </w:p>
          <w:p w14:paraId="3957BF8E" w14:textId="77777777" w:rsidR="00555789" w:rsidRPr="00364D00" w:rsidRDefault="00555789">
            <w:pPr>
              <w:jc w:val="center"/>
              <w:rPr>
                <w:iCs/>
              </w:rPr>
            </w:pPr>
          </w:p>
          <w:p w14:paraId="765C6BC5" w14:textId="77777777" w:rsidR="00555789" w:rsidRPr="00364D00" w:rsidRDefault="00555789">
            <w:pPr>
              <w:jc w:val="center"/>
              <w:rPr>
                <w:iCs/>
              </w:rPr>
            </w:pPr>
          </w:p>
          <w:p w14:paraId="529F65D1" w14:textId="77777777" w:rsidR="00555789" w:rsidRPr="00364D00" w:rsidRDefault="00555789">
            <w:pPr>
              <w:jc w:val="center"/>
              <w:rPr>
                <w:iCs/>
              </w:rPr>
            </w:pPr>
          </w:p>
          <w:p w14:paraId="4811E981" w14:textId="77777777" w:rsidR="00555789" w:rsidRPr="00364D00" w:rsidRDefault="00555789">
            <w:pPr>
              <w:jc w:val="center"/>
              <w:rPr>
                <w:iCs/>
              </w:rPr>
            </w:pPr>
            <w:r w:rsidRPr="00364D0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37C6E3"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60D5E82D" w14:textId="77777777" w:rsidR="00555789" w:rsidRPr="00364D00" w:rsidRDefault="00555789">
            <w:pPr>
              <w:jc w:val="center"/>
              <w:rPr>
                <w:iCs/>
              </w:rPr>
            </w:pPr>
            <w:r w:rsidRPr="00364D00">
              <w:rPr>
                <w:iCs/>
              </w:rPr>
              <w:t>0</w:t>
            </w:r>
          </w:p>
        </w:tc>
      </w:tr>
      <w:tr w:rsidR="00555789" w:rsidRPr="00364D00" w14:paraId="36A9A3BD"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680E4B50" w14:textId="77777777" w:rsidR="00555789" w:rsidRPr="00364D00" w:rsidRDefault="00555789">
            <w:pPr>
              <w:rPr>
                <w:iCs/>
              </w:rPr>
            </w:pPr>
            <w:r w:rsidRPr="00364D0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6C1E7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9D8C1D8"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B9171C7"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5C6D83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8620980"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4136AEF"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57FA4158" w14:textId="77777777" w:rsidR="00555789" w:rsidRPr="00364D00" w:rsidRDefault="00555789">
            <w:pPr>
              <w:jc w:val="center"/>
              <w:rPr>
                <w:iCs/>
              </w:rPr>
            </w:pPr>
            <w:r w:rsidRPr="00364D00">
              <w:rPr>
                <w:iCs/>
              </w:rPr>
              <w:t>0</w:t>
            </w:r>
          </w:p>
        </w:tc>
      </w:tr>
      <w:tr w:rsidR="00555789" w:rsidRPr="00364D00" w14:paraId="38F0F042"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24FB4A2D" w14:textId="77777777" w:rsidR="00555789" w:rsidRPr="00364D00" w:rsidRDefault="00555789">
            <w:pPr>
              <w:rPr>
                <w:iCs/>
              </w:rPr>
            </w:pPr>
            <w:r w:rsidRPr="00364D0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5962E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B335D55"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90489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63CAF7A"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4124BC21"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9520B8A"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1B9186E6" w14:textId="77777777" w:rsidR="00555789" w:rsidRPr="00364D00" w:rsidRDefault="00555789">
            <w:pPr>
              <w:jc w:val="center"/>
              <w:rPr>
                <w:iCs/>
              </w:rPr>
            </w:pPr>
            <w:r w:rsidRPr="00364D00">
              <w:rPr>
                <w:iCs/>
              </w:rPr>
              <w:t>0</w:t>
            </w:r>
          </w:p>
        </w:tc>
      </w:tr>
      <w:tr w:rsidR="00555789" w:rsidRPr="00364D00" w14:paraId="61818EEB" w14:textId="77777777" w:rsidTr="007A09F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0E3DF17E" w14:textId="77777777" w:rsidR="00555789" w:rsidRPr="00364D00" w:rsidRDefault="00555789">
            <w:pPr>
              <w:rPr>
                <w:iCs/>
              </w:rPr>
            </w:pPr>
            <w:r w:rsidRPr="00364D0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661642"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C70D79D" w14:textId="77777777" w:rsidR="00555789" w:rsidRPr="00364D00" w:rsidRDefault="00555789">
            <w:pPr>
              <w:jc w:val="center"/>
              <w:rPr>
                <w:iCs/>
              </w:rPr>
            </w:pPr>
            <w:r w:rsidRPr="00364D0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0C82C4"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B018627" w14:textId="77777777" w:rsidR="00555789" w:rsidRPr="00364D00" w:rsidRDefault="00555789">
            <w:pPr>
              <w:jc w:val="center"/>
              <w:rPr>
                <w:iCs/>
              </w:rPr>
            </w:pPr>
            <w:r w:rsidRPr="00364D00">
              <w:rPr>
                <w:iCs/>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4843DD6" w14:textId="77777777" w:rsidR="00555789" w:rsidRPr="00364D00" w:rsidRDefault="00555789">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0453960" w14:textId="77777777" w:rsidR="00555789" w:rsidRPr="00364D00" w:rsidRDefault="00555789">
            <w:pPr>
              <w:jc w:val="center"/>
              <w:rPr>
                <w:iCs/>
              </w:rPr>
            </w:pPr>
            <w:r w:rsidRPr="00364D00">
              <w:rPr>
                <w:iCs/>
              </w:rPr>
              <w:t>0</w:t>
            </w:r>
          </w:p>
        </w:tc>
        <w:tc>
          <w:tcPr>
            <w:tcW w:w="848" w:type="pct"/>
            <w:tcBorders>
              <w:top w:val="outset" w:sz="6" w:space="0" w:color="auto"/>
              <w:left w:val="outset" w:sz="6" w:space="0" w:color="auto"/>
              <w:bottom w:val="outset" w:sz="6" w:space="0" w:color="auto"/>
              <w:right w:val="outset" w:sz="6" w:space="0" w:color="auto"/>
            </w:tcBorders>
            <w:vAlign w:val="center"/>
            <w:hideMark/>
          </w:tcPr>
          <w:p w14:paraId="4AB6CA74" w14:textId="77777777" w:rsidR="00555789" w:rsidRPr="00364D00" w:rsidRDefault="00555789">
            <w:pPr>
              <w:jc w:val="center"/>
              <w:rPr>
                <w:iCs/>
              </w:rPr>
            </w:pPr>
            <w:r w:rsidRPr="00364D00">
              <w:rPr>
                <w:iCs/>
              </w:rPr>
              <w:t>0</w:t>
            </w:r>
          </w:p>
        </w:tc>
      </w:tr>
      <w:tr w:rsidR="00555789" w:rsidRPr="00364D00" w14:paraId="724D2C72"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4254B1DA" w14:textId="77777777" w:rsidR="00555789" w:rsidRPr="00364D00" w:rsidRDefault="00555789">
            <w:pPr>
              <w:rPr>
                <w:iCs/>
              </w:rPr>
            </w:pPr>
            <w:r w:rsidRPr="00364D00">
              <w:rPr>
                <w:iCs/>
              </w:rPr>
              <w:t xml:space="preserve">6. Detalizēts ieņēmumu un izdevumu aprēķins (ja nepieciešams, detalizētu ieņēmumu un izdevumu aprēķinu var </w:t>
            </w:r>
            <w:r w:rsidRPr="00364D00">
              <w:rPr>
                <w:iCs/>
              </w:rPr>
              <w:lastRenderedPageBreak/>
              <w:t>pievienot anotācijas pielikumā)</w:t>
            </w:r>
          </w:p>
        </w:tc>
        <w:tc>
          <w:tcPr>
            <w:tcW w:w="407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1770BF" w14:textId="4A3E8E6E" w:rsidR="00555789" w:rsidRPr="00364D00" w:rsidRDefault="00555789" w:rsidP="00B462FE">
            <w:pPr>
              <w:jc w:val="both"/>
              <w:rPr>
                <w:iCs/>
              </w:rPr>
            </w:pPr>
          </w:p>
        </w:tc>
      </w:tr>
      <w:tr w:rsidR="00555789" w:rsidRPr="00364D00" w14:paraId="1A86B253"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5AF022F" w14:textId="77777777" w:rsidR="00555789" w:rsidRPr="00364D00" w:rsidRDefault="00555789">
            <w:pPr>
              <w:rPr>
                <w:iCs/>
              </w:rPr>
            </w:pPr>
            <w:r w:rsidRPr="00364D0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5F386C9" w14:textId="77777777" w:rsidR="00555789" w:rsidRPr="00364D00" w:rsidRDefault="00555789">
            <w:pPr>
              <w:rPr>
                <w:iCs/>
              </w:rPr>
            </w:pPr>
          </w:p>
        </w:tc>
      </w:tr>
      <w:tr w:rsidR="00555789" w:rsidRPr="00364D00" w14:paraId="5D1A4CEB"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3C73E3CF" w14:textId="77777777" w:rsidR="00555789" w:rsidRPr="00364D00" w:rsidRDefault="00555789">
            <w:pPr>
              <w:rPr>
                <w:iCs/>
              </w:rPr>
            </w:pPr>
            <w:r w:rsidRPr="00364D0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F744E1" w14:textId="77777777" w:rsidR="00555789" w:rsidRPr="00364D00" w:rsidRDefault="00555789">
            <w:pPr>
              <w:rPr>
                <w:iCs/>
              </w:rPr>
            </w:pPr>
          </w:p>
        </w:tc>
      </w:tr>
      <w:tr w:rsidR="00555789" w:rsidRPr="00364D00" w14:paraId="3A3EEB5D" w14:textId="77777777" w:rsidTr="009D52E5">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5505C3C3" w14:textId="77777777" w:rsidR="00555789" w:rsidRPr="00364D00" w:rsidRDefault="00555789">
            <w:pPr>
              <w:rPr>
                <w:iCs/>
              </w:rPr>
            </w:pPr>
            <w:r w:rsidRPr="00364D00">
              <w:rPr>
                <w:iCs/>
              </w:rPr>
              <w:t>7. Amata vietu skaita izmaiņas</w:t>
            </w:r>
          </w:p>
        </w:tc>
        <w:tc>
          <w:tcPr>
            <w:tcW w:w="4077" w:type="pct"/>
            <w:gridSpan w:val="7"/>
            <w:tcBorders>
              <w:top w:val="outset" w:sz="6" w:space="0" w:color="auto"/>
              <w:left w:val="outset" w:sz="6" w:space="0" w:color="auto"/>
              <w:bottom w:val="outset" w:sz="6" w:space="0" w:color="auto"/>
              <w:right w:val="outset" w:sz="6" w:space="0" w:color="auto"/>
            </w:tcBorders>
            <w:hideMark/>
          </w:tcPr>
          <w:p w14:paraId="5933FB5C" w14:textId="77777777" w:rsidR="00555789" w:rsidRPr="00364D00" w:rsidRDefault="00555789">
            <w:pPr>
              <w:rPr>
                <w:iCs/>
              </w:rPr>
            </w:pPr>
            <w:r w:rsidRPr="00364D00">
              <w:rPr>
                <w:iCs/>
              </w:rPr>
              <w:t>Nav</w:t>
            </w:r>
          </w:p>
        </w:tc>
      </w:tr>
      <w:tr w:rsidR="00555789" w:rsidRPr="009B5620" w14:paraId="4FC1A2D6" w14:textId="77777777" w:rsidTr="00364D00">
        <w:trPr>
          <w:tblCellSpacing w:w="15" w:type="dxa"/>
        </w:trPr>
        <w:tc>
          <w:tcPr>
            <w:tcW w:w="873" w:type="pct"/>
            <w:tcBorders>
              <w:top w:val="outset" w:sz="6" w:space="0" w:color="auto"/>
              <w:left w:val="outset" w:sz="6" w:space="0" w:color="auto"/>
              <w:bottom w:val="outset" w:sz="6" w:space="0" w:color="auto"/>
              <w:right w:val="outset" w:sz="6" w:space="0" w:color="auto"/>
            </w:tcBorders>
            <w:hideMark/>
          </w:tcPr>
          <w:p w14:paraId="1AD81AB1" w14:textId="77777777" w:rsidR="00555789" w:rsidRPr="00364D00" w:rsidRDefault="00555789">
            <w:pPr>
              <w:rPr>
                <w:iCs/>
              </w:rPr>
            </w:pPr>
            <w:r w:rsidRPr="00364D00">
              <w:rPr>
                <w:iCs/>
              </w:rPr>
              <w:t>8. Cita informācija</w:t>
            </w:r>
          </w:p>
        </w:tc>
        <w:tc>
          <w:tcPr>
            <w:tcW w:w="4077" w:type="pct"/>
            <w:gridSpan w:val="7"/>
            <w:tcBorders>
              <w:top w:val="outset" w:sz="6" w:space="0" w:color="auto"/>
              <w:left w:val="outset" w:sz="6" w:space="0" w:color="auto"/>
              <w:bottom w:val="outset" w:sz="6" w:space="0" w:color="auto"/>
              <w:right w:val="outset" w:sz="6" w:space="0" w:color="auto"/>
            </w:tcBorders>
          </w:tcPr>
          <w:p w14:paraId="51E4B89B" w14:textId="59DD6AD0" w:rsidR="006A58F7" w:rsidRPr="00C82407" w:rsidRDefault="006A58F7" w:rsidP="00CB018C">
            <w:pPr>
              <w:ind w:left="33" w:right="35"/>
              <w:jc w:val="both"/>
            </w:pPr>
            <w:r w:rsidRPr="00C82407">
              <w:t xml:space="preserve">Konkursa ietvaros pieejamais finansējums ir </w:t>
            </w:r>
            <w:r w:rsidR="00033CC8">
              <w:t>1</w:t>
            </w:r>
            <w:r>
              <w:t>0</w:t>
            </w:r>
            <w:r w:rsidRPr="00C82407">
              <w:t xml:space="preserve"> 000 000 </w:t>
            </w:r>
            <w:r w:rsidRPr="00A16961">
              <w:rPr>
                <w:i/>
                <w:iCs/>
              </w:rPr>
              <w:t>euro</w:t>
            </w:r>
            <w:r w:rsidRPr="00C82407">
              <w:t xml:space="preserve">. Finansējums plānots </w:t>
            </w:r>
            <w:r>
              <w:t>VARAM</w:t>
            </w:r>
            <w:r w:rsidRPr="00C82407">
              <w:t xml:space="preserve"> programmas „Emisijas kvotu izsolīšanas instruments” (33.00.00) apakšprogrammā „Emisijas kvotu izsolīšanas instrumenta projekti” (33.02.00).</w:t>
            </w:r>
            <w:r w:rsidR="007F205D">
              <w:t xml:space="preserve"> Plānots, ka </w:t>
            </w:r>
            <w:r w:rsidR="007F205D" w:rsidRPr="00273B6A">
              <w:t>maksājumi</w:t>
            </w:r>
            <w:r w:rsidR="007F205D" w:rsidRPr="007F205D">
              <w:t xml:space="preserve"> </w:t>
            </w:r>
            <w:r w:rsidR="007F205D" w:rsidRPr="00826D03">
              <w:t>atbilstoši MK noteikumu projekta 5</w:t>
            </w:r>
            <w:r w:rsidR="002B4CDC">
              <w:t>7</w:t>
            </w:r>
            <w:r w:rsidR="007F205D" w:rsidRPr="00826D03">
              <w:t>.</w:t>
            </w:r>
            <w:r w:rsidR="002B4CDC">
              <w:t> </w:t>
            </w:r>
            <w:r w:rsidR="007F205D" w:rsidRPr="00826D03">
              <w:t>punktam</w:t>
            </w:r>
            <w:r w:rsidR="007F205D">
              <w:t xml:space="preserve"> veicami </w:t>
            </w:r>
            <w:r w:rsidR="007F205D" w:rsidRPr="000D0D9C">
              <w:t>2022. un 2023. gadā</w:t>
            </w:r>
            <w:r w:rsidR="007F205D">
              <w:t xml:space="preserve"> 5 milj. </w:t>
            </w:r>
            <w:r w:rsidR="007F205D" w:rsidRPr="000D0D9C">
              <w:rPr>
                <w:i/>
                <w:iCs/>
              </w:rPr>
              <w:t>euro</w:t>
            </w:r>
            <w:r w:rsidR="007F205D">
              <w:t xml:space="preserve"> apmērā ikgadu.</w:t>
            </w:r>
          </w:p>
          <w:p w14:paraId="6F84ABD9" w14:textId="044302E0" w:rsidR="002473EC" w:rsidRPr="00364D00" w:rsidRDefault="006A58F7" w:rsidP="006A58F7">
            <w:pPr>
              <w:jc w:val="both"/>
              <w:rPr>
                <w:iCs/>
              </w:rPr>
            </w:pPr>
            <w:r w:rsidRPr="00C82407">
              <w:t xml:space="preserve">  Finansējuma maksāšanas kārtība finansējuma saņēmējiem tiks noteikta līguma par projekta īstenošanu </w:t>
            </w:r>
            <w:r w:rsidR="00484068">
              <w:t>v</w:t>
            </w:r>
            <w:r w:rsidRPr="00C82407">
              <w:t>ispārīgajos noteikumos.</w:t>
            </w:r>
          </w:p>
        </w:tc>
      </w:tr>
    </w:tbl>
    <w:p w14:paraId="7C3C5DC1" w14:textId="77777777" w:rsidR="00555789" w:rsidRPr="009B5620" w:rsidRDefault="00555789" w:rsidP="009E31B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9B5620" w14:paraId="5DBE8A2E" w14:textId="77777777" w:rsidTr="00B74F4C">
        <w:trPr>
          <w:jc w:val="center"/>
        </w:trPr>
        <w:tc>
          <w:tcPr>
            <w:tcW w:w="9209" w:type="dxa"/>
          </w:tcPr>
          <w:p w14:paraId="4F8934E1" w14:textId="3E16E992" w:rsidR="00B74F4C" w:rsidRPr="009B5620" w:rsidRDefault="00D81530" w:rsidP="008614B5">
            <w:pPr>
              <w:pStyle w:val="naisnod"/>
              <w:spacing w:before="0" w:after="0"/>
            </w:pPr>
            <w:r w:rsidRPr="009B5620">
              <w:t>IV. </w:t>
            </w:r>
            <w:r w:rsidR="00B74F4C" w:rsidRPr="009B5620">
              <w:t>Tiesību akta projekta ietekme uz spēkā esošo tiesību normu sistēmu</w:t>
            </w:r>
          </w:p>
        </w:tc>
      </w:tr>
      <w:tr w:rsidR="00082DF3" w:rsidRPr="009B5620" w14:paraId="34A11C91" w14:textId="77777777" w:rsidTr="00B74F4C">
        <w:trPr>
          <w:jc w:val="center"/>
        </w:trPr>
        <w:tc>
          <w:tcPr>
            <w:tcW w:w="9209" w:type="dxa"/>
          </w:tcPr>
          <w:p w14:paraId="0461BD20" w14:textId="246A6486" w:rsidR="00082DF3" w:rsidRPr="009B5620" w:rsidRDefault="00082DF3" w:rsidP="008614B5">
            <w:pPr>
              <w:pStyle w:val="naisnod"/>
              <w:spacing w:before="0" w:after="0"/>
              <w:rPr>
                <w:b w:val="0"/>
              </w:rPr>
            </w:pPr>
            <w:r w:rsidRPr="009B5620">
              <w:rPr>
                <w:b w:val="0"/>
              </w:rPr>
              <w:t>Projekts šo jomu neskar</w:t>
            </w:r>
          </w:p>
        </w:tc>
      </w:tr>
    </w:tbl>
    <w:p w14:paraId="11C03D41" w14:textId="77777777" w:rsidR="00B74F4C" w:rsidRPr="009B5620"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9B5620"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1C5C2F97" w:rsidR="001A28EB" w:rsidRPr="009B5620" w:rsidRDefault="00D81530" w:rsidP="00306098">
            <w:pPr>
              <w:pStyle w:val="tvhtml"/>
              <w:spacing w:line="293" w:lineRule="atLeast"/>
              <w:jc w:val="center"/>
              <w:rPr>
                <w:b/>
                <w:bCs/>
              </w:rPr>
            </w:pPr>
            <w:r w:rsidRPr="009B5620">
              <w:rPr>
                <w:b/>
                <w:bCs/>
              </w:rPr>
              <w:t>V. </w:t>
            </w:r>
            <w:r w:rsidR="001A28EB" w:rsidRPr="009B5620">
              <w:rPr>
                <w:b/>
                <w:bCs/>
              </w:rPr>
              <w:t>Tiesību akta projekta atbilstība Latvijas Republikas starptautiskajām saistībām</w:t>
            </w:r>
          </w:p>
        </w:tc>
      </w:tr>
      <w:tr w:rsidR="00FC5616" w:rsidRPr="009B5620"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FC5616" w:rsidRPr="009B5620" w:rsidRDefault="00FC5616" w:rsidP="00FC5616">
            <w:r w:rsidRPr="009B5620">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FC5616" w:rsidRPr="009B5620" w:rsidRDefault="00FC5616" w:rsidP="00FC5616">
            <w:r w:rsidRPr="009B5620">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02370E31" w:rsidR="00FC5616" w:rsidRPr="007A5951" w:rsidRDefault="00033CC8" w:rsidP="00FC5616">
            <w:pPr>
              <w:jc w:val="both"/>
            </w:pPr>
            <w:r w:rsidRPr="007A5951">
              <w:t>Projekts šo jomu neskar.</w:t>
            </w:r>
          </w:p>
        </w:tc>
      </w:tr>
      <w:tr w:rsidR="00FC5616" w:rsidRPr="009B5620"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FC5616" w:rsidRPr="009B5620" w:rsidRDefault="00FC5616" w:rsidP="00FC5616">
            <w:r w:rsidRPr="009B5620">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FC5616" w:rsidRPr="009B5620" w:rsidRDefault="00FC5616" w:rsidP="00FC5616">
            <w:r w:rsidRPr="009B5620">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FC5616" w:rsidRPr="007A5951" w:rsidRDefault="00FC5616" w:rsidP="00FC5616">
            <w:pPr>
              <w:jc w:val="both"/>
            </w:pPr>
            <w:r w:rsidRPr="007A5951">
              <w:t>Projekts šo jomu neskar.</w:t>
            </w:r>
          </w:p>
        </w:tc>
      </w:tr>
      <w:tr w:rsidR="00FC5616" w:rsidRPr="009B5620"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FC5616" w:rsidRPr="009B5620" w:rsidRDefault="00FC5616" w:rsidP="00FC5616">
            <w:r w:rsidRPr="009B5620">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FC5616" w:rsidRPr="009B5620" w:rsidRDefault="00FC5616" w:rsidP="00FC5616">
            <w:r w:rsidRPr="009B5620">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FC5616" w:rsidRPr="009B5620" w:rsidRDefault="00FC5616" w:rsidP="00FC5616">
            <w:pPr>
              <w:pStyle w:val="tvhtml"/>
              <w:spacing w:line="293" w:lineRule="atLeast"/>
            </w:pPr>
            <w:r w:rsidRPr="009B5620">
              <w:t>Nav.</w:t>
            </w:r>
          </w:p>
        </w:tc>
      </w:tr>
    </w:tbl>
    <w:p w14:paraId="6EB98C8D" w14:textId="77777777" w:rsidR="00C318BB" w:rsidRPr="009B5620"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9B5620"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9B5620" w:rsidRDefault="001A28EB" w:rsidP="00306098">
            <w:pPr>
              <w:pStyle w:val="tvhtml"/>
              <w:spacing w:line="293" w:lineRule="atLeast"/>
              <w:jc w:val="center"/>
              <w:rPr>
                <w:b/>
                <w:bCs/>
              </w:rPr>
            </w:pPr>
            <w:r w:rsidRPr="009B5620">
              <w:rPr>
                <w:b/>
                <w:bCs/>
              </w:rPr>
              <w:t>1.tabula</w:t>
            </w:r>
            <w:r w:rsidRPr="009B5620">
              <w:rPr>
                <w:b/>
                <w:bCs/>
              </w:rPr>
              <w:br/>
              <w:t>Tiesību akta projekta atbilstība ES tiesību aktiem</w:t>
            </w:r>
          </w:p>
        </w:tc>
      </w:tr>
      <w:tr w:rsidR="00C15F1C" w:rsidRPr="009B5620"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9B5620" w:rsidRDefault="00C15F1C" w:rsidP="00C15F1C">
            <w:r w:rsidRPr="009B5620">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67F86682" w:rsidR="00C15F1C" w:rsidRPr="009B5620" w:rsidRDefault="00FC5616" w:rsidP="00811B7F">
            <w:pPr>
              <w:jc w:val="both"/>
              <w:rPr>
                <w:i/>
              </w:rPr>
            </w:pPr>
            <w:r>
              <w:t>Komisijas 2004. gada 21. aprīļa regula (EK) Nr. 794/2004, ar ko īsteno Padomes Regulu (ES) 2015/1589, ar ko nosaka sīki izstrādātus noteikumus Līguma par Eiropas Savienības darbību 108. panta piemērošanai</w:t>
            </w:r>
            <w:r w:rsidR="006E62A0">
              <w:t>.</w:t>
            </w:r>
          </w:p>
        </w:tc>
      </w:tr>
      <w:tr w:rsidR="00C15F1C" w:rsidRPr="009B5620"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9B5620" w:rsidRDefault="00C15F1C" w:rsidP="00C15F1C">
            <w:pPr>
              <w:pStyle w:val="tvhtml"/>
              <w:spacing w:line="293" w:lineRule="atLeast"/>
              <w:jc w:val="center"/>
            </w:pPr>
            <w:r w:rsidRPr="009B5620">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9B5620" w:rsidRDefault="00C15F1C" w:rsidP="00C15F1C">
            <w:pPr>
              <w:pStyle w:val="tvhtml"/>
              <w:spacing w:line="293" w:lineRule="atLeast"/>
              <w:jc w:val="center"/>
            </w:pPr>
            <w:r w:rsidRPr="009B5620">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9B5620" w:rsidRDefault="00C15F1C" w:rsidP="00C15F1C">
            <w:pPr>
              <w:pStyle w:val="tvhtml"/>
              <w:spacing w:line="293" w:lineRule="atLeast"/>
              <w:jc w:val="center"/>
            </w:pPr>
            <w:r w:rsidRPr="009B5620">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9B5620" w:rsidRDefault="00C15F1C" w:rsidP="00C15F1C">
            <w:pPr>
              <w:pStyle w:val="tvhtml"/>
              <w:spacing w:line="293" w:lineRule="atLeast"/>
              <w:jc w:val="center"/>
            </w:pPr>
            <w:r w:rsidRPr="009B5620">
              <w:t>D</w:t>
            </w:r>
          </w:p>
        </w:tc>
      </w:tr>
      <w:tr w:rsidR="00C15F1C" w:rsidRPr="009B5620"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6C97348" w14:textId="77777777" w:rsidR="004C7E9E" w:rsidRDefault="004C7E9E" w:rsidP="004C7E9E">
            <w:r>
              <w:t>10. pants</w:t>
            </w:r>
          </w:p>
          <w:p w14:paraId="795853EA" w14:textId="77777777" w:rsidR="004C7E9E" w:rsidRDefault="004C7E9E" w:rsidP="004C7E9E">
            <w:r>
              <w:t>Publicēšana</w:t>
            </w:r>
          </w:p>
          <w:p w14:paraId="48EC465C" w14:textId="4C983224" w:rsidR="004C7E9E" w:rsidRDefault="004C7E9E" w:rsidP="004C7E9E">
            <w:r>
              <w:t xml:space="preserve">Komisija publicē kārtējās un attiecīgās sākotnējās valsts atbalsta atmaksāšanas procentu likmes Eiropas Savienības Oficiālajā Vēstnesī, kā arī </w:t>
            </w:r>
            <w:r>
              <w:lastRenderedPageBreak/>
              <w:t>Internetā informācijas nolūkiem.</w:t>
            </w:r>
          </w:p>
          <w:p w14:paraId="671D2275" w14:textId="3C19E829" w:rsidR="004C7E9E" w:rsidRDefault="004C7E9E" w:rsidP="004C7E9E">
            <w:r>
              <w:t>11. pants</w:t>
            </w:r>
          </w:p>
          <w:p w14:paraId="63BFC82E" w14:textId="77777777" w:rsidR="004C7E9E" w:rsidRDefault="004C7E9E" w:rsidP="004C7E9E">
            <w:r>
              <w:t>Procentu likmes piemērošanas metode</w:t>
            </w:r>
          </w:p>
          <w:p w14:paraId="4F6F7935" w14:textId="77777777" w:rsidR="004C7E9E" w:rsidRDefault="004C7E9E" w:rsidP="004C7E9E">
            <w:r>
              <w:t>1.  Piemērojamā procentu likme ir likme, kas piemērojama dienā, kad nelikumīgais atbalsts pirmo reizi nodots saņēmēja rīcībā.</w:t>
            </w:r>
          </w:p>
          <w:p w14:paraId="0289C0B2" w14:textId="77777777" w:rsidR="004C7E9E" w:rsidRDefault="004C7E9E" w:rsidP="004C7E9E">
            <w:r>
              <w:t>2.  Procentu likmi piemēro gan parāda pamatsummai, gan procentiem līdz atbalsta atmaksāšanas dienai. Procentiem, kas uzkrājas iepriekšējā gadā, piemēro procentus katrā turpmākā gadā.</w:t>
            </w:r>
          </w:p>
          <w:p w14:paraId="0577ECDB" w14:textId="79B2295A" w:rsidR="00C15F1C" w:rsidRPr="009B5620" w:rsidRDefault="004C7E9E" w:rsidP="004C7E9E">
            <w:r>
              <w:t>3.  Procentu likmes, kas minētas 1. punktā, piemēro visā periodā līdz atmaksāšanas datumam. Tomēr, ja no dienas, kad nelikumīgais atbalsts pirmo reizi nodots saņēmēja rīcībā, līdz atbalsta atmaksāšanas dienai pagājis vairāk nekā viens gads, procentu likmi pārrēķina reizi gadā, par pamatu ņemot pārrēķināšanas laikā spēkā esošo likmi.</w:t>
            </w:r>
          </w:p>
        </w:tc>
        <w:tc>
          <w:tcPr>
            <w:tcW w:w="987" w:type="pct"/>
            <w:tcBorders>
              <w:top w:val="outset" w:sz="6" w:space="0" w:color="414142"/>
              <w:left w:val="outset" w:sz="6" w:space="0" w:color="414142"/>
              <w:bottom w:val="outset" w:sz="6" w:space="0" w:color="414142"/>
              <w:right w:val="outset" w:sz="6" w:space="0" w:color="414142"/>
            </w:tcBorders>
            <w:hideMark/>
          </w:tcPr>
          <w:p w14:paraId="3D0C313D" w14:textId="77777777" w:rsidR="004C7E9E" w:rsidRDefault="004C7E9E" w:rsidP="004C7E9E">
            <w:r>
              <w:lastRenderedPageBreak/>
              <w:t>1.16.  papildināt noteikumus ar 98.1 punktu šādā redakcijā:</w:t>
            </w:r>
          </w:p>
          <w:p w14:paraId="64C65231" w14:textId="5351883A" w:rsidR="00C15F1C" w:rsidRPr="009B5620" w:rsidRDefault="004C7E9E" w:rsidP="004C7E9E">
            <w:r>
              <w:t xml:space="preserve">”98.1 Ja tiek pārkāptas šajos noteikumos noteiktās komercdarbības </w:t>
            </w:r>
            <w:r>
              <w:lastRenderedPageBreak/>
              <w:t xml:space="preserve">atbalsta piešķiršanas prasības, atbalsta saņēmējam ir pienākums atmaksāt Vides investīciju fondam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no dienas, kad nelikumīgais komercdarbības atbalsts tika izmaksāts finansējuma saņēmējam līdz tā atgūšanas dienai, ievērojot Regulas Nr. 794/2004 11. pantā noteikto </w:t>
            </w:r>
            <w:r>
              <w:lastRenderedPageBreak/>
              <w:t>procentu likmes piemērošanas metodi. Vides investīciju fonds, savukārt, nodrošina atmaksātā finanšu instrumenta finansējuma atmaksu Atbildīgajai iestādei.”</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A8A4736" w14:textId="7AD05FBD" w:rsidR="00C15F1C" w:rsidRPr="009B5620" w:rsidRDefault="004C7E9E" w:rsidP="004C7E9E">
            <w:r>
              <w:lastRenderedPageBreak/>
              <w:t>Š</w:t>
            </w:r>
            <w:r w:rsidR="00C15F1C" w:rsidRPr="009B5620">
              <w:t>īs tabulas A ailē minētās ES tiesību akta vienības tiek ieviestas pilnībā</w:t>
            </w:r>
            <w:r>
              <w:t>.</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CE2117F" w:rsidR="00C15F1C" w:rsidRPr="009B5620" w:rsidRDefault="004C7E9E" w:rsidP="00C15F1C">
            <w:r>
              <w:t>Šīs</w:t>
            </w:r>
            <w:r w:rsidR="00C15F1C" w:rsidRPr="009B5620">
              <w:t xml:space="preserve"> tabulas B ailē minētās projekta vienības </w:t>
            </w:r>
            <w:r>
              <w:t>ne</w:t>
            </w:r>
            <w:r w:rsidR="00C15F1C" w:rsidRPr="009B5620">
              <w:t>paredz stingrākas prasības nekā šīs tabulas A ailē minētās ES tiesību akta vienības.</w:t>
            </w:r>
          </w:p>
          <w:p w14:paraId="2743957F" w14:textId="279873A6" w:rsidR="00C15F1C" w:rsidRPr="009B5620" w:rsidRDefault="00C15F1C" w:rsidP="00C15F1C">
            <w:pPr>
              <w:pStyle w:val="tvhtml"/>
              <w:spacing w:line="293" w:lineRule="atLeast"/>
            </w:pPr>
          </w:p>
        </w:tc>
      </w:tr>
      <w:tr w:rsidR="00C95B8E" w:rsidRPr="009B5620"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9B5620" w:rsidRDefault="00C95B8E" w:rsidP="00C95B8E">
            <w:r w:rsidRPr="009B5620">
              <w:lastRenderedPageBreak/>
              <w:t>Kā ir izmantota ES tiesību aktā paredzētā rīcības brīvība dalībvalstij pārņemt vai ieviest noteiktas ES tiesību akta normas?</w:t>
            </w:r>
            <w:r w:rsidRPr="009B5620">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9B5620" w:rsidRDefault="009355AA" w:rsidP="00C95B8E">
            <w:pPr>
              <w:jc w:val="both"/>
            </w:pPr>
            <w:r w:rsidRPr="009B5620">
              <w:t>Projekts šo jomu neskar.</w:t>
            </w:r>
          </w:p>
        </w:tc>
      </w:tr>
      <w:tr w:rsidR="00C95B8E" w:rsidRPr="009B5620"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9B5620" w:rsidRDefault="00C95B8E" w:rsidP="00C95B8E">
            <w:r w:rsidRPr="009B5620">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9B5620" w:rsidRDefault="009355AA" w:rsidP="00C95B8E">
            <w:pPr>
              <w:jc w:val="both"/>
            </w:pPr>
            <w:r w:rsidRPr="009B5620">
              <w:t>Projekts šo jomu neskar.</w:t>
            </w:r>
          </w:p>
        </w:tc>
      </w:tr>
      <w:tr w:rsidR="00C95B8E" w:rsidRPr="009B5620"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9B5620" w:rsidRDefault="00C95B8E" w:rsidP="00C95B8E">
            <w:r w:rsidRPr="009B5620">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9B5620" w:rsidRDefault="00C95B8E" w:rsidP="00C95B8E">
            <w:pPr>
              <w:pStyle w:val="tvhtml"/>
              <w:spacing w:line="293" w:lineRule="atLeast"/>
            </w:pPr>
            <w:r w:rsidRPr="009B5620">
              <w:t>Nav.</w:t>
            </w:r>
          </w:p>
        </w:tc>
      </w:tr>
      <w:tr w:rsidR="00C95B8E" w:rsidRPr="009B5620"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9B5620" w:rsidRDefault="00C95B8E" w:rsidP="00C95B8E">
            <w:pPr>
              <w:pStyle w:val="tvhtml"/>
              <w:spacing w:line="293" w:lineRule="atLeast"/>
              <w:jc w:val="center"/>
              <w:rPr>
                <w:b/>
                <w:bCs/>
              </w:rPr>
            </w:pPr>
            <w:r w:rsidRPr="009B5620">
              <w:rPr>
                <w:b/>
                <w:bCs/>
              </w:rPr>
              <w:t>2.tabula</w:t>
            </w:r>
            <w:r w:rsidRPr="009B5620">
              <w:rPr>
                <w:b/>
                <w:bCs/>
              </w:rPr>
              <w:br/>
              <w:t>Ar tiesību akta projektu izpildītās vai uzņemtās saistības, kas izriet no starptautiskajiem tiesību aktiem vai starptautiskas institūcijas vai organizācijas dokumentiem.</w:t>
            </w:r>
            <w:r w:rsidRPr="009B5620">
              <w:rPr>
                <w:b/>
                <w:bCs/>
              </w:rPr>
              <w:br/>
              <w:t>Pasākumi šo saistību izpildei</w:t>
            </w:r>
          </w:p>
        </w:tc>
      </w:tr>
      <w:tr w:rsidR="00166CF6" w:rsidRPr="009B5620"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9B5620" w:rsidRDefault="00166CF6" w:rsidP="00166CF6">
            <w:r w:rsidRPr="009B5620">
              <w:t>Attiecīgā starptautiskā tiesību akta vai starptautiskas institūcijas vai 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9B5620" w:rsidRDefault="00166CF6" w:rsidP="00166CF6">
            <w:r w:rsidRPr="009B5620">
              <w:t>Projekts šo jomu neskar.</w:t>
            </w:r>
          </w:p>
        </w:tc>
      </w:tr>
      <w:tr w:rsidR="00166CF6" w:rsidRPr="009B5620"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9B5620" w:rsidRDefault="00166CF6" w:rsidP="00166CF6">
            <w:pPr>
              <w:pStyle w:val="tvhtml"/>
              <w:spacing w:line="293" w:lineRule="atLeast"/>
              <w:jc w:val="center"/>
            </w:pPr>
            <w:r w:rsidRPr="009B5620">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9B5620" w:rsidRDefault="00166CF6" w:rsidP="00166CF6">
            <w:pPr>
              <w:pStyle w:val="tvhtml"/>
              <w:spacing w:line="293" w:lineRule="atLeast"/>
              <w:jc w:val="center"/>
            </w:pPr>
            <w:r w:rsidRPr="009B5620">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9B5620" w:rsidRDefault="00166CF6" w:rsidP="00166CF6">
            <w:pPr>
              <w:pStyle w:val="tvhtml"/>
              <w:spacing w:line="293" w:lineRule="atLeast"/>
              <w:jc w:val="center"/>
            </w:pPr>
            <w:r w:rsidRPr="009B5620">
              <w:t>C</w:t>
            </w:r>
          </w:p>
        </w:tc>
      </w:tr>
      <w:tr w:rsidR="00166CF6" w:rsidRPr="009B5620"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9B5620" w:rsidRDefault="00166CF6" w:rsidP="00166CF6">
            <w:r w:rsidRPr="009B5620">
              <w:lastRenderedPageBreak/>
              <w:t>Starptautiskās saistības (pēc būtības), kas izriet no norādītā starptautiskā dokumenta.</w:t>
            </w:r>
          </w:p>
          <w:p w14:paraId="50C840D4" w14:textId="77777777" w:rsidR="00166CF6" w:rsidRPr="009B5620" w:rsidRDefault="00166CF6" w:rsidP="00166CF6">
            <w:pPr>
              <w:pStyle w:val="tvhtml"/>
              <w:spacing w:line="293" w:lineRule="atLeast"/>
            </w:pPr>
            <w:r w:rsidRPr="009B5620">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9B5620" w:rsidRDefault="00166CF6" w:rsidP="00166CF6">
            <w:r w:rsidRPr="009B5620">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9B5620" w:rsidRDefault="00166CF6" w:rsidP="00166CF6">
            <w:r w:rsidRPr="009B5620">
              <w:t>Informācija par to vai starptautiskās saistības, kas minētas šīs tabulas A ailē, tiek izpildītas pilnībā vai daļēji.</w:t>
            </w:r>
          </w:p>
          <w:p w14:paraId="0184AC6F" w14:textId="77777777" w:rsidR="00166CF6" w:rsidRPr="009B5620" w:rsidRDefault="00166CF6" w:rsidP="00166CF6">
            <w:pPr>
              <w:pStyle w:val="tvhtml"/>
              <w:spacing w:line="293" w:lineRule="atLeast"/>
            </w:pPr>
            <w:r w:rsidRPr="009B5620">
              <w:t>Ja attiecīgās starptautiskās saistības tiek izpildītas daļēji, sniedz skaidrojumu, kā arī precīzi norāda, kad un kādā veidā starptautiskās saistības tiks izpildītas pilnībā.</w:t>
            </w:r>
          </w:p>
          <w:p w14:paraId="59D7D339" w14:textId="77777777" w:rsidR="00166CF6" w:rsidRPr="009B5620" w:rsidRDefault="00166CF6" w:rsidP="00166CF6">
            <w:pPr>
              <w:pStyle w:val="tvhtml"/>
              <w:spacing w:line="293" w:lineRule="atLeast"/>
            </w:pPr>
            <w:r w:rsidRPr="009B5620">
              <w:t>Norāda institūciju, kas ir atbildīga par šo saistību izpildi pilnībā</w:t>
            </w:r>
          </w:p>
        </w:tc>
      </w:tr>
      <w:tr w:rsidR="00166CF6" w:rsidRPr="009B5620"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9B5620" w:rsidRDefault="00166CF6" w:rsidP="00166CF6">
            <w:r w:rsidRPr="009B5620">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9B5620" w:rsidRDefault="00166CF6" w:rsidP="00166CF6">
            <w:r w:rsidRPr="009B5620">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9B5620" w:rsidRDefault="00166CF6" w:rsidP="00166CF6">
            <w:r w:rsidRPr="009B5620">
              <w:t>Projekts šo jomu neskar.</w:t>
            </w:r>
          </w:p>
        </w:tc>
      </w:tr>
      <w:tr w:rsidR="00166CF6" w:rsidRPr="009B5620"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9B5620" w:rsidRDefault="00166CF6" w:rsidP="00166CF6">
            <w:r w:rsidRPr="009B5620">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9B5620" w:rsidRDefault="00166CF6" w:rsidP="00166CF6">
            <w:r w:rsidRPr="009B5620">
              <w:t>Projekts šo jomu neskar.</w:t>
            </w:r>
          </w:p>
        </w:tc>
      </w:tr>
      <w:tr w:rsidR="00166CF6" w:rsidRPr="009B5620"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9B5620" w:rsidRDefault="00166CF6" w:rsidP="00166CF6">
            <w:r w:rsidRPr="009B5620">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9B5620" w:rsidRDefault="00166CF6" w:rsidP="00166CF6">
            <w:pPr>
              <w:pStyle w:val="tvhtml"/>
              <w:spacing w:line="293" w:lineRule="atLeast"/>
            </w:pPr>
            <w:r w:rsidRPr="009B5620">
              <w:t>Nav.</w:t>
            </w:r>
          </w:p>
        </w:tc>
      </w:tr>
    </w:tbl>
    <w:p w14:paraId="1739423B" w14:textId="77777777" w:rsidR="00C318BB" w:rsidRPr="009B5620"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9B5620" w14:paraId="68805E86" w14:textId="77777777" w:rsidTr="00BB0D8D">
        <w:trPr>
          <w:jc w:val="center"/>
        </w:trPr>
        <w:tc>
          <w:tcPr>
            <w:tcW w:w="9319" w:type="dxa"/>
            <w:gridSpan w:val="3"/>
          </w:tcPr>
          <w:p w14:paraId="0AAEA1C3" w14:textId="77777777" w:rsidR="00263FFC" w:rsidRPr="009B5620" w:rsidRDefault="00263FFC" w:rsidP="00647D6D">
            <w:pPr>
              <w:pStyle w:val="naisnod"/>
              <w:spacing w:before="0" w:after="0"/>
              <w:ind w:left="57" w:right="57"/>
            </w:pPr>
            <w:r w:rsidRPr="009B5620">
              <w:t xml:space="preserve">VI. Sabiedrības līdzdalība un </w:t>
            </w:r>
            <w:r w:rsidR="00647D6D" w:rsidRPr="009B5620">
              <w:t>komunikācijas aktivitātes</w:t>
            </w:r>
          </w:p>
        </w:tc>
      </w:tr>
      <w:tr w:rsidR="00D957C5" w:rsidRPr="009B5620" w14:paraId="4BB0BBB1" w14:textId="77777777" w:rsidTr="00BB0D8D">
        <w:trPr>
          <w:trHeight w:val="553"/>
          <w:jc w:val="center"/>
        </w:trPr>
        <w:tc>
          <w:tcPr>
            <w:tcW w:w="407" w:type="dxa"/>
          </w:tcPr>
          <w:p w14:paraId="1FB72CB9" w14:textId="77777777" w:rsidR="00D957C5" w:rsidRPr="009B5620" w:rsidRDefault="00D957C5" w:rsidP="00D957C5">
            <w:pPr>
              <w:pStyle w:val="naiskr"/>
              <w:spacing w:before="0" w:after="0"/>
              <w:ind w:left="57" w:right="57"/>
              <w:rPr>
                <w:bCs/>
                <w:sz w:val="28"/>
                <w:szCs w:val="28"/>
              </w:rPr>
            </w:pPr>
            <w:r w:rsidRPr="009B5620">
              <w:rPr>
                <w:bCs/>
                <w:sz w:val="28"/>
                <w:szCs w:val="28"/>
              </w:rPr>
              <w:t>1.</w:t>
            </w:r>
          </w:p>
        </w:tc>
        <w:tc>
          <w:tcPr>
            <w:tcW w:w="3991" w:type="dxa"/>
          </w:tcPr>
          <w:p w14:paraId="513B7A37" w14:textId="77777777" w:rsidR="00D957C5" w:rsidRPr="009B5620" w:rsidRDefault="00D957C5" w:rsidP="00D957C5">
            <w:pPr>
              <w:pStyle w:val="naiskr"/>
              <w:tabs>
                <w:tab w:val="left" w:pos="170"/>
              </w:tabs>
              <w:spacing w:before="0" w:after="0"/>
              <w:ind w:left="57" w:right="57"/>
            </w:pPr>
            <w:r w:rsidRPr="009B5620">
              <w:t>Plānotās sabiedrības līdzdalības un komunikācijas aktivitātes saistībā ar projektu</w:t>
            </w:r>
          </w:p>
        </w:tc>
        <w:tc>
          <w:tcPr>
            <w:tcW w:w="4921" w:type="dxa"/>
          </w:tcPr>
          <w:p w14:paraId="71CC74FB" w14:textId="1E57871B" w:rsidR="00D957C5" w:rsidRPr="009B5620" w:rsidRDefault="00600F1A" w:rsidP="000D0D9C">
            <w:pPr>
              <w:pStyle w:val="naiskr"/>
              <w:spacing w:before="0" w:after="0"/>
              <w:ind w:left="121" w:right="123"/>
              <w:jc w:val="both"/>
            </w:pPr>
            <w:bookmarkStart w:id="2" w:name="_Hlk77673423"/>
            <w:r w:rsidRPr="00194B23">
              <w:rPr>
                <w:iCs/>
              </w:rPr>
              <w:t>S</w:t>
            </w:r>
            <w:r>
              <w:rPr>
                <w:iCs/>
              </w:rPr>
              <w:t>abiedrības līdzdalība tik</w:t>
            </w:r>
            <w:r w:rsidR="007F614F">
              <w:rPr>
                <w:iCs/>
              </w:rPr>
              <w:t>a</w:t>
            </w:r>
            <w:r>
              <w:rPr>
                <w:iCs/>
              </w:rPr>
              <w:t xml:space="preserve"> nodrošināta s</w:t>
            </w:r>
            <w:r w:rsidRPr="00194B23">
              <w:rPr>
                <w:iCs/>
              </w:rPr>
              <w:t>askaņā ar Ministru kabineta 2009.</w:t>
            </w:r>
            <w:r>
              <w:rPr>
                <w:iCs/>
              </w:rPr>
              <w:t> </w:t>
            </w:r>
            <w:r w:rsidRPr="00194B23">
              <w:rPr>
                <w:iCs/>
              </w:rPr>
              <w:t>gada 25.</w:t>
            </w:r>
            <w:r>
              <w:rPr>
                <w:iCs/>
              </w:rPr>
              <w:t> </w:t>
            </w:r>
            <w:r w:rsidRPr="00194B23">
              <w:rPr>
                <w:iCs/>
              </w:rPr>
              <w:t>augusta noteikumu Nr.</w:t>
            </w:r>
            <w:r>
              <w:rPr>
                <w:iCs/>
              </w:rPr>
              <w:t> </w:t>
            </w:r>
            <w:r w:rsidRPr="00194B23">
              <w:rPr>
                <w:iCs/>
              </w:rPr>
              <w:t xml:space="preserve">970 </w:t>
            </w:r>
            <w:r>
              <w:rPr>
                <w:iCs/>
              </w:rPr>
              <w:t>“</w:t>
            </w:r>
            <w:r w:rsidRPr="00194B23">
              <w:rPr>
                <w:iCs/>
              </w:rPr>
              <w:t>Sabiedrības līdzdalības kārtība attīstības plānošanas procesā” 7.4.</w:t>
            </w:r>
            <w:r w:rsidRPr="00194B23">
              <w:rPr>
                <w:iCs/>
                <w:vertAlign w:val="superscript"/>
              </w:rPr>
              <w:t>1</w:t>
            </w:r>
            <w:r>
              <w:rPr>
                <w:iCs/>
              </w:rPr>
              <w:t> </w:t>
            </w:r>
            <w:r w:rsidRPr="00194B23">
              <w:rPr>
                <w:iCs/>
              </w:rPr>
              <w:t>apakšpunktu</w:t>
            </w:r>
            <w:r>
              <w:rPr>
                <w:iCs/>
              </w:rPr>
              <w:t>,</w:t>
            </w:r>
            <w:r w:rsidRPr="00194B23">
              <w:rPr>
                <w:iCs/>
              </w:rPr>
              <w:t xml:space="preserve"> sabiedrības pārstāvj</w:t>
            </w:r>
            <w:r>
              <w:rPr>
                <w:iCs/>
              </w:rPr>
              <w:t>us</w:t>
            </w:r>
            <w:r w:rsidRPr="00194B23">
              <w:rPr>
                <w:iCs/>
              </w:rPr>
              <w:t xml:space="preserve"> </w:t>
            </w:r>
            <w:r>
              <w:rPr>
                <w:iCs/>
              </w:rPr>
              <w:t>aicinot</w:t>
            </w:r>
            <w:r w:rsidRPr="00194B23">
              <w:rPr>
                <w:iCs/>
              </w:rPr>
              <w:t xml:space="preserve"> līdzdarboties, rakstiski sniedzot viedokli par </w:t>
            </w:r>
            <w:r>
              <w:rPr>
                <w:iCs/>
              </w:rPr>
              <w:t xml:space="preserve">noteikumu projektu </w:t>
            </w:r>
            <w:r w:rsidRPr="00194B23">
              <w:rPr>
                <w:iCs/>
              </w:rPr>
              <w:t xml:space="preserve">tā izstrādes stadijā. Sabiedrības pārstāvji ir informēti par iespēju līdzdarboties, publicējot paziņojumu par līdzdalības procesu VARAM </w:t>
            </w:r>
            <w:r>
              <w:rPr>
                <w:iCs/>
              </w:rPr>
              <w:t xml:space="preserve">un Valsts kancelejas </w:t>
            </w:r>
            <w:r w:rsidRPr="00194B23">
              <w:rPr>
                <w:iCs/>
              </w:rPr>
              <w:t>tīmekļvietnē</w:t>
            </w:r>
            <w:r>
              <w:rPr>
                <w:iCs/>
              </w:rPr>
              <w:t>s.</w:t>
            </w:r>
            <w:bookmarkEnd w:id="2"/>
          </w:p>
        </w:tc>
      </w:tr>
      <w:tr w:rsidR="00D957C5" w:rsidRPr="009B5620" w14:paraId="3ADD65AF" w14:textId="77777777" w:rsidTr="00BB0D8D">
        <w:trPr>
          <w:trHeight w:val="487"/>
          <w:jc w:val="center"/>
        </w:trPr>
        <w:tc>
          <w:tcPr>
            <w:tcW w:w="407" w:type="dxa"/>
          </w:tcPr>
          <w:p w14:paraId="561D4E8A" w14:textId="77777777" w:rsidR="00D957C5" w:rsidRPr="009B5620" w:rsidRDefault="00D957C5" w:rsidP="00D957C5">
            <w:pPr>
              <w:pStyle w:val="naiskr"/>
              <w:spacing w:before="0" w:after="0"/>
              <w:ind w:left="57" w:right="57"/>
              <w:rPr>
                <w:bCs/>
              </w:rPr>
            </w:pPr>
            <w:r w:rsidRPr="009B5620">
              <w:rPr>
                <w:bCs/>
              </w:rPr>
              <w:t>2.</w:t>
            </w:r>
          </w:p>
        </w:tc>
        <w:tc>
          <w:tcPr>
            <w:tcW w:w="3991" w:type="dxa"/>
          </w:tcPr>
          <w:p w14:paraId="3D5AEAC9" w14:textId="77777777" w:rsidR="00D957C5" w:rsidRPr="009B5620" w:rsidRDefault="00D957C5" w:rsidP="00D957C5">
            <w:pPr>
              <w:pStyle w:val="naiskr"/>
              <w:spacing w:before="0" w:after="0"/>
              <w:ind w:left="57" w:right="57"/>
            </w:pPr>
            <w:r w:rsidRPr="009B5620">
              <w:t xml:space="preserve">Sabiedrības līdzdalība projekta izstrādē </w:t>
            </w:r>
          </w:p>
        </w:tc>
        <w:tc>
          <w:tcPr>
            <w:tcW w:w="4921" w:type="dxa"/>
          </w:tcPr>
          <w:p w14:paraId="63EDF503" w14:textId="0638CC1B" w:rsidR="00661A49" w:rsidRPr="009B5620" w:rsidRDefault="00600F1A">
            <w:pPr>
              <w:pStyle w:val="naiskr"/>
              <w:spacing w:before="0" w:after="0"/>
              <w:ind w:left="121" w:right="123"/>
              <w:jc w:val="both"/>
            </w:pPr>
            <w:r>
              <w:t>N</w:t>
            </w:r>
            <w:r w:rsidRPr="009B5620">
              <w:t xml:space="preserve">oteikumu </w:t>
            </w:r>
            <w:r w:rsidRPr="00661A49">
              <w:t xml:space="preserve">projekts tika publicēts VARAM tīmekļvietnē 2021. gada </w:t>
            </w:r>
            <w:r w:rsidR="00B03E1F" w:rsidRPr="000D0D9C">
              <w:t>17.</w:t>
            </w:r>
            <w:r w:rsidR="00661A49" w:rsidRPr="000D0D9C">
              <w:t> </w:t>
            </w:r>
            <w:r w:rsidR="00033CC8" w:rsidRPr="000D0D9C">
              <w:t>augustā</w:t>
            </w:r>
            <w:r w:rsidRPr="00661A49">
              <w:t xml:space="preserve"> un Valsts kancelejas tīmekļa vietnē 2021. gada </w:t>
            </w:r>
            <w:r w:rsidR="00B03E1F" w:rsidRPr="000D0D9C">
              <w:t>17.</w:t>
            </w:r>
            <w:r w:rsidR="00661A49" w:rsidRPr="000D0D9C">
              <w:t> </w:t>
            </w:r>
            <w:r w:rsidR="00033CC8" w:rsidRPr="000D0D9C">
              <w:t>augustā</w:t>
            </w:r>
            <w:r w:rsidRPr="00661A49">
              <w:t xml:space="preserve"> publiskai apspriešanai un</w:t>
            </w:r>
            <w:r w:rsidRPr="009B5620">
              <w:t xml:space="preserve"> komentāru sniegšanai līdz </w:t>
            </w:r>
            <w:r>
              <w:t>2021. gad</w:t>
            </w:r>
            <w:r w:rsidR="00661A49">
              <w:t>a 30. </w:t>
            </w:r>
            <w:r w:rsidR="00033CC8">
              <w:t>augustam</w:t>
            </w:r>
            <w:r>
              <w:t>.</w:t>
            </w:r>
            <w:r w:rsidR="00661A49">
              <w:t xml:space="preserve"> </w:t>
            </w:r>
          </w:p>
        </w:tc>
      </w:tr>
      <w:tr w:rsidR="00D957C5" w:rsidRPr="009B5620" w14:paraId="73465FF9" w14:textId="77777777" w:rsidTr="00BB0D8D">
        <w:trPr>
          <w:trHeight w:val="375"/>
          <w:jc w:val="center"/>
        </w:trPr>
        <w:tc>
          <w:tcPr>
            <w:tcW w:w="407" w:type="dxa"/>
          </w:tcPr>
          <w:p w14:paraId="5A92AC23" w14:textId="77777777" w:rsidR="00D957C5" w:rsidRPr="009B5620" w:rsidRDefault="00D957C5" w:rsidP="00D957C5">
            <w:pPr>
              <w:pStyle w:val="naiskr"/>
              <w:spacing w:before="0" w:after="0"/>
              <w:ind w:left="57" w:right="57"/>
              <w:rPr>
                <w:bCs/>
              </w:rPr>
            </w:pPr>
            <w:r w:rsidRPr="009B5620">
              <w:rPr>
                <w:bCs/>
              </w:rPr>
              <w:t>3.</w:t>
            </w:r>
          </w:p>
        </w:tc>
        <w:tc>
          <w:tcPr>
            <w:tcW w:w="3991" w:type="dxa"/>
          </w:tcPr>
          <w:p w14:paraId="47E29215" w14:textId="77777777" w:rsidR="00D957C5" w:rsidRPr="009B5620" w:rsidRDefault="00D957C5" w:rsidP="00D957C5">
            <w:pPr>
              <w:pStyle w:val="naiskr"/>
              <w:spacing w:before="0" w:after="0"/>
              <w:ind w:left="57" w:right="57"/>
            </w:pPr>
            <w:r w:rsidRPr="009B5620">
              <w:t xml:space="preserve">Sabiedrības līdzdalības rezultāti </w:t>
            </w:r>
          </w:p>
        </w:tc>
        <w:tc>
          <w:tcPr>
            <w:tcW w:w="4921" w:type="dxa"/>
          </w:tcPr>
          <w:p w14:paraId="59B69554" w14:textId="77777777" w:rsidR="00661A49" w:rsidRDefault="00661A49" w:rsidP="00661A49">
            <w:pPr>
              <w:pStyle w:val="naiskr"/>
              <w:spacing w:before="0" w:after="0"/>
              <w:ind w:left="121" w:right="123"/>
              <w:jc w:val="both"/>
            </w:pPr>
            <w:r>
              <w:t>Priekšlikumi noteikumu projekta pilnveidošanai tika saņemti no:</w:t>
            </w:r>
          </w:p>
          <w:p w14:paraId="4C8B9E77" w14:textId="77777777" w:rsidR="00661A49" w:rsidRDefault="00661A49" w:rsidP="00661A49">
            <w:pPr>
              <w:pStyle w:val="naiskr"/>
              <w:spacing w:before="0" w:after="0"/>
              <w:ind w:left="121" w:right="123"/>
              <w:jc w:val="both"/>
            </w:pPr>
            <w:r>
              <w:t>1. biedrības “Bezizmešu mobilitātes atbalsta biedrība”.</w:t>
            </w:r>
          </w:p>
          <w:p w14:paraId="1C17259F" w14:textId="10060B11" w:rsidR="00661A49" w:rsidRDefault="00661A49" w:rsidP="00661A49">
            <w:pPr>
              <w:pStyle w:val="naiskr"/>
              <w:spacing w:before="0" w:after="0"/>
              <w:ind w:left="121" w:right="123"/>
              <w:jc w:val="both"/>
            </w:pPr>
            <w:r>
              <w:t xml:space="preserve">Biedrība sniedza 8 priekšlikumus attiecībā uz braukšanas cikla noteikšanu pēc konkrētām metodēm, </w:t>
            </w:r>
            <w:r w:rsidR="00A43FAE">
              <w:t xml:space="preserve">ar elektromobili </w:t>
            </w:r>
            <w:r>
              <w:t>nobrau</w:t>
            </w:r>
            <w:r w:rsidR="00A43FAE">
              <w:t>camo</w:t>
            </w:r>
            <w:r>
              <w:t xml:space="preserve"> attālumu gada laikā, kā arī vairākus tehniska rakstura </w:t>
            </w:r>
            <w:r>
              <w:lastRenderedPageBreak/>
              <w:t>pilnveidojumus tiesību normu labākai izpratnei. Visi sniegtie priekšlikumi ir ņemti vērā.</w:t>
            </w:r>
          </w:p>
          <w:p w14:paraId="2610D10A" w14:textId="2FD094BB" w:rsidR="00A43FAE" w:rsidRDefault="00661A49" w:rsidP="00661A49">
            <w:pPr>
              <w:pStyle w:val="naiskr"/>
              <w:spacing w:before="0" w:after="0"/>
              <w:ind w:left="121" w:right="123"/>
              <w:jc w:val="both"/>
            </w:pPr>
            <w:r>
              <w:t>2. </w:t>
            </w:r>
            <w:r w:rsidR="00A43FAE">
              <w:t>Privātpersonas (1).</w:t>
            </w:r>
          </w:p>
          <w:p w14:paraId="3D5C0C07" w14:textId="73BDDA0A" w:rsidR="00D957C5" w:rsidRDefault="00A43FAE" w:rsidP="00661A49">
            <w:pPr>
              <w:pStyle w:val="naiskr"/>
              <w:spacing w:before="0" w:after="0"/>
              <w:ind w:left="121" w:right="123"/>
              <w:jc w:val="both"/>
              <w:rPr>
                <w:iCs/>
              </w:rPr>
            </w:pPr>
            <w:r>
              <w:t>Privātpersona sniedza priekšlikumus attiecībā uz ar elektromobili nobraucamo attālumu</w:t>
            </w:r>
            <w:r w:rsidR="00661A49">
              <w:t xml:space="preserve"> </w:t>
            </w:r>
            <w:r>
              <w:t xml:space="preserve">gada laikā, kā arī līdzfinansēšanas iespējām elektromobilim, kura vērtība pārsniedz 50 000 </w:t>
            </w:r>
            <w:r w:rsidRPr="000D0D9C">
              <w:rPr>
                <w:i/>
                <w:iCs/>
              </w:rPr>
              <w:t>euro</w:t>
            </w:r>
            <w:r>
              <w:rPr>
                <w:iCs/>
              </w:rPr>
              <w:t xml:space="preserve">. VARAM ir sniegusi rakstiski atbildi privātpersonai, kā arī noteikumu projektā precizējusi nosacījumu attiecībā uz ar elektromobili nobraucamo attālumu gada laikā, kā arī tiesību akta sākotnējā novērtējumā sniegusi argumentus par atbalstu </w:t>
            </w:r>
            <w:r w:rsidRPr="000D0D9C">
              <w:rPr>
                <w:i/>
              </w:rPr>
              <w:t>premium</w:t>
            </w:r>
            <w:r>
              <w:rPr>
                <w:iCs/>
              </w:rPr>
              <w:t xml:space="preserve"> klases elektromobiļiem.</w:t>
            </w:r>
          </w:p>
          <w:p w14:paraId="072F9805" w14:textId="77777777" w:rsidR="00450747" w:rsidRDefault="00450747" w:rsidP="00661A49">
            <w:pPr>
              <w:pStyle w:val="naiskr"/>
              <w:spacing w:before="0" w:after="0"/>
              <w:ind w:left="121" w:right="123"/>
              <w:jc w:val="both"/>
            </w:pPr>
            <w:r>
              <w:t>3. </w:t>
            </w:r>
            <w:r w:rsidR="008E75A7">
              <w:t>SIA “LIFE GROUP”.</w:t>
            </w:r>
          </w:p>
          <w:p w14:paraId="40776A26" w14:textId="169164C1" w:rsidR="008E75A7" w:rsidRPr="000D0D9C" w:rsidRDefault="008E75A7" w:rsidP="00661A49">
            <w:pPr>
              <w:pStyle w:val="naiskr"/>
              <w:spacing w:before="0" w:after="0"/>
              <w:ind w:left="121" w:right="123"/>
              <w:jc w:val="both"/>
            </w:pPr>
            <w:r>
              <w:t>Uzņēmums sniedza priekšlikumus attiecībā uz to, ka no</w:t>
            </w:r>
            <w:r w:rsidRPr="00057B13">
              <w:t>teikumu projekts ir jāpapildina ar atbalstu</w:t>
            </w:r>
            <w:r w:rsidR="00057B13" w:rsidRPr="00057B13">
              <w:t xml:space="preserve"> arī elektriskajām lēngaitas</w:t>
            </w:r>
            <w:r w:rsidR="00057B13" w:rsidRPr="000D0D9C">
              <w:t xml:space="preserve"> automašīnām, elektriskajiem motocikliem un elektriskajiem mopēdiem.</w:t>
            </w:r>
            <w:r w:rsidR="00057B13">
              <w:t xml:space="preserve"> </w:t>
            </w:r>
            <w:r w:rsidR="00057B13" w:rsidRPr="00923B0E">
              <w:t xml:space="preserve">Izvērtējot sniegtos priekšlikumus VARAM tos nav ņēmusi vērā, jo </w:t>
            </w:r>
            <w:r w:rsidR="00923B0E" w:rsidRPr="000D0D9C">
              <w:t>minētais atbalsta veids tiek paredzēts esošu autoceļa transportlīdzekļu nomaiņai vai būtiskai to izmantošanas samazināšanai, kas ir viens no galvenajiem siltumnīcefekta gāzu emisiju sektoriem Latvijā.</w:t>
            </w:r>
          </w:p>
          <w:p w14:paraId="1A015002" w14:textId="77777777" w:rsidR="00D35A78" w:rsidRDefault="00D35A78" w:rsidP="00661A49">
            <w:pPr>
              <w:pStyle w:val="naiskr"/>
              <w:spacing w:before="0" w:after="0"/>
              <w:ind w:left="121" w:right="123"/>
              <w:jc w:val="both"/>
            </w:pPr>
            <w:r w:rsidRPr="000D0D9C">
              <w:t>4. </w:t>
            </w:r>
            <w:r>
              <w:t>Finanšu nozaru asociācija.</w:t>
            </w:r>
          </w:p>
          <w:p w14:paraId="70F96025" w14:textId="3F4B25A5" w:rsidR="00D35A78" w:rsidRDefault="00D35A78" w:rsidP="00661A49">
            <w:pPr>
              <w:pStyle w:val="naiskr"/>
              <w:spacing w:before="0" w:after="0"/>
              <w:ind w:left="121" w:right="123"/>
              <w:jc w:val="both"/>
            </w:pPr>
            <w:r>
              <w:t xml:space="preserve">Finanšu nozaru asociācija sniedza priekšlikumus saistībā ar </w:t>
            </w:r>
            <w:r w:rsidR="006E0344">
              <w:t xml:space="preserve">nosacījumiem attiecībā uz līzinga devējiem, atbalsta apmēra norādīšanu (ar vai bez PVN), </w:t>
            </w:r>
            <w:r w:rsidR="001F261F">
              <w:t xml:space="preserve">elektromobiļa vērtības 50 000 </w:t>
            </w:r>
            <w:r w:rsidR="001F261F" w:rsidRPr="00BA3216">
              <w:rPr>
                <w:i/>
                <w:iCs/>
              </w:rPr>
              <w:t>euro</w:t>
            </w:r>
            <w:r w:rsidR="001F261F">
              <w:rPr>
                <w:i/>
                <w:iCs/>
              </w:rPr>
              <w:t xml:space="preserve"> </w:t>
            </w:r>
            <w:r w:rsidR="001F261F">
              <w:t xml:space="preserve">noteikšanu, </w:t>
            </w:r>
            <w:r w:rsidR="00EC2314">
              <w:t xml:space="preserve">stimulējošiem risinājumiem no autodīlera puses, par monitoringa prasībām – laika termiņš un nobraukums, </w:t>
            </w:r>
            <w:r w:rsidR="00C479E2">
              <w:t>līzinga darījuma veidu – finanšu vai operatīvais</w:t>
            </w:r>
            <w:r w:rsidR="001F261F">
              <w:rPr>
                <w:iCs/>
              </w:rPr>
              <w:t>.</w:t>
            </w:r>
          </w:p>
          <w:p w14:paraId="7CC145A3" w14:textId="43E9F92A" w:rsidR="006E0344" w:rsidRDefault="006E0344" w:rsidP="00661A49">
            <w:pPr>
              <w:pStyle w:val="naiskr"/>
              <w:spacing w:before="0" w:after="0"/>
              <w:ind w:left="121" w:right="123"/>
              <w:jc w:val="both"/>
            </w:pPr>
            <w:r>
              <w:t xml:space="preserve">Sniegtie priekšlikumi ņemti vērā daļēji. Nav ņemts vērā priekšlikums pie atbalsta summas norādīt, ka šī summa ir ar vai bez PVN, jo minētais atbalsta apjoms nav prece vai pakalpojams, kam tiktu piešķirts PVN. Šī summa tiek piešķirta atbalsta gala saņēmējam iegādājoties transportlīdzekli. </w:t>
            </w:r>
            <w:r w:rsidR="001F261F">
              <w:t xml:space="preserve">Attiecībā </w:t>
            </w:r>
            <w:r w:rsidR="001F261F">
              <w:rPr>
                <w:iCs/>
              </w:rPr>
              <w:t xml:space="preserve">uz elektromobiļa vērtību, tiesību akta sākotnējā novērtējumā ir sniegta argumentācija par atbalstu </w:t>
            </w:r>
            <w:r w:rsidR="001F261F" w:rsidRPr="00BA3216">
              <w:rPr>
                <w:i/>
              </w:rPr>
              <w:t>premium</w:t>
            </w:r>
            <w:r w:rsidR="001F261F">
              <w:rPr>
                <w:iCs/>
              </w:rPr>
              <w:t xml:space="preserve"> klases elektromobiļiem. </w:t>
            </w:r>
            <w:r w:rsidR="00C479E2">
              <w:rPr>
                <w:iCs/>
              </w:rPr>
              <w:t>Attiecībā uz līzinga veidu, noteikumu projekts paredz, ka elektromobiļus var iegādāties tikai finanšu līzinga veidā, bet nepieļauj operatīvo līzingu, jo tā pēc būtības ir automašīnas ilgtermiņa (parasti 2-5 gadi) noma.</w:t>
            </w:r>
            <w:r w:rsidR="00060F86">
              <w:rPr>
                <w:iCs/>
              </w:rPr>
              <w:t xml:space="preserve"> </w:t>
            </w:r>
          </w:p>
          <w:p w14:paraId="75C1C411" w14:textId="77777777" w:rsidR="00D35A78" w:rsidRDefault="00D35A78" w:rsidP="00661A49">
            <w:pPr>
              <w:pStyle w:val="naiskr"/>
              <w:spacing w:before="0" w:after="0"/>
              <w:ind w:left="121" w:right="123"/>
              <w:jc w:val="both"/>
            </w:pPr>
            <w:r>
              <w:t>5. </w:t>
            </w:r>
            <w:r w:rsidR="00EA477E">
              <w:t>Latvijas Tirdzniecības un rūpniecības kamera.</w:t>
            </w:r>
          </w:p>
          <w:p w14:paraId="5208CA84" w14:textId="77777777" w:rsidR="00923B0E" w:rsidRDefault="00EA477E" w:rsidP="00661A49">
            <w:pPr>
              <w:pStyle w:val="naiskr"/>
              <w:spacing w:before="0" w:after="0"/>
              <w:ind w:left="121" w:right="123"/>
              <w:jc w:val="both"/>
            </w:pPr>
            <w:r>
              <w:lastRenderedPageBreak/>
              <w:t>Latvijas Tirdzniecības un rūpniecības kamera snie</w:t>
            </w:r>
            <w:r w:rsidR="005E1C4B">
              <w:t>dza viedokli par jautājumiem, kas</w:t>
            </w:r>
            <w:r>
              <w:t xml:space="preserve"> ir saistīti ar </w:t>
            </w:r>
            <w:r w:rsidR="006E3090">
              <w:t xml:space="preserve">noteikumu projekta nosaukuma precizēšanu, informācijas norādīšanu attiecībā uz atbalstu elektromobiļu iegādei komersantiem, </w:t>
            </w:r>
            <w:r w:rsidR="001C2581">
              <w:t xml:space="preserve">diskusijas nepieciešamību par elektromobiļa vērtības 50 000 </w:t>
            </w:r>
            <w:r w:rsidR="001C2581" w:rsidRPr="005E1C4B">
              <w:rPr>
                <w:i/>
                <w:iCs/>
              </w:rPr>
              <w:t xml:space="preserve">euro </w:t>
            </w:r>
            <w:r w:rsidR="001C2581" w:rsidRPr="005E1C4B">
              <w:t>noteikšanu</w:t>
            </w:r>
            <w:r w:rsidR="005E1C4B">
              <w:t xml:space="preserve"> un</w:t>
            </w:r>
            <w:r w:rsidR="001C2581" w:rsidRPr="005E1C4B">
              <w:t xml:space="preserve"> par to cik elektromobiļu drīkst iegādāties fiziska persona, </w:t>
            </w:r>
            <w:r w:rsidR="005E1C4B">
              <w:t xml:space="preserve">ar </w:t>
            </w:r>
            <w:r w:rsidR="005E1C4B" w:rsidRPr="005E1C4B">
              <w:t>elektromobi</w:t>
            </w:r>
            <w:r w:rsidR="005E1C4B">
              <w:t>li</w:t>
            </w:r>
            <w:r w:rsidR="005E1C4B" w:rsidRPr="005E1C4B">
              <w:t xml:space="preserve"> nobraucamo minimālo attālumu</w:t>
            </w:r>
            <w:r w:rsidR="005E1C4B">
              <w:t xml:space="preserve">, kā ar to, ka </w:t>
            </w:r>
            <w:r w:rsidR="005E1C4B" w:rsidRPr="000D0D9C">
              <w:rPr>
                <w:bCs/>
              </w:rPr>
              <w:t xml:space="preserve">VARAM </w:t>
            </w:r>
            <w:r w:rsidR="005E1C4B">
              <w:rPr>
                <w:bCs/>
              </w:rPr>
              <w:t>jā</w:t>
            </w:r>
            <w:r w:rsidR="005E1C4B" w:rsidRPr="000D0D9C">
              <w:rPr>
                <w:bCs/>
              </w:rPr>
              <w:t>virz</w:t>
            </w:r>
            <w:r w:rsidR="005E1C4B">
              <w:rPr>
                <w:bCs/>
              </w:rPr>
              <w:t>a</w:t>
            </w:r>
            <w:r w:rsidR="005E1C4B" w:rsidRPr="000D0D9C">
              <w:rPr>
                <w:bCs/>
              </w:rPr>
              <w:t xml:space="preserve"> izmaiņas </w:t>
            </w:r>
            <w:r w:rsidR="005E1C4B" w:rsidRPr="000D0D9C">
              <w:t>Transportlīdzekļa ekspluatācijas nodokļa un uzņēmumu vieglo transportlīdzekļu nodokļa likumā</w:t>
            </w:r>
            <w:r w:rsidRPr="005E1C4B">
              <w:t>.</w:t>
            </w:r>
          </w:p>
          <w:p w14:paraId="5A0B0186" w14:textId="51D04C19" w:rsidR="00EA477E" w:rsidRPr="009B5620" w:rsidRDefault="00923B0E" w:rsidP="00661A49">
            <w:pPr>
              <w:pStyle w:val="naiskr"/>
              <w:spacing w:before="0" w:after="0"/>
              <w:ind w:left="121" w:right="123"/>
              <w:jc w:val="both"/>
            </w:pPr>
            <w:r>
              <w:rPr>
                <w:iCs/>
              </w:rPr>
              <w:t xml:space="preserve">VARAM ir sniegusi rakstisku atbildi sākotnējo LTRK vēstuli, kā arī noteikumu projektā precizējusi nosacījumu attiecībā uz ar elektromobili nobraucamo attālumu gada laikā, kā arī tiesību akta sākotnējā novērtējumā sniegusi argumentus par atbalstu </w:t>
            </w:r>
            <w:r w:rsidRPr="00BA3216">
              <w:rPr>
                <w:i/>
              </w:rPr>
              <w:t>premium</w:t>
            </w:r>
            <w:r>
              <w:rPr>
                <w:iCs/>
              </w:rPr>
              <w:t xml:space="preserve"> klases elektromobiļiem un atbalsta pieejamību uzņēmumiem.</w:t>
            </w:r>
            <w:r w:rsidR="005E1C4B">
              <w:t xml:space="preserve"> </w:t>
            </w:r>
          </w:p>
        </w:tc>
      </w:tr>
      <w:tr w:rsidR="00D957C5" w:rsidRPr="009B5620" w14:paraId="74EB9EAF" w14:textId="77777777" w:rsidTr="00BB0D8D">
        <w:trPr>
          <w:trHeight w:val="476"/>
          <w:jc w:val="center"/>
        </w:trPr>
        <w:tc>
          <w:tcPr>
            <w:tcW w:w="407" w:type="dxa"/>
          </w:tcPr>
          <w:p w14:paraId="6DDCBBAE" w14:textId="77777777" w:rsidR="00D957C5" w:rsidRPr="009B5620" w:rsidRDefault="00D957C5" w:rsidP="00D957C5">
            <w:pPr>
              <w:pStyle w:val="naiskr"/>
              <w:spacing w:before="0" w:after="0"/>
              <w:ind w:left="57" w:right="57"/>
              <w:rPr>
                <w:bCs/>
              </w:rPr>
            </w:pPr>
            <w:r w:rsidRPr="009B5620">
              <w:rPr>
                <w:bCs/>
              </w:rPr>
              <w:lastRenderedPageBreak/>
              <w:t>4.</w:t>
            </w:r>
          </w:p>
        </w:tc>
        <w:tc>
          <w:tcPr>
            <w:tcW w:w="3991" w:type="dxa"/>
          </w:tcPr>
          <w:p w14:paraId="4818F587" w14:textId="77777777" w:rsidR="00D957C5" w:rsidRPr="009B5620" w:rsidRDefault="00D957C5" w:rsidP="00D957C5">
            <w:pPr>
              <w:pStyle w:val="naiskr"/>
              <w:spacing w:before="0" w:after="0"/>
              <w:ind w:left="57" w:right="57"/>
            </w:pPr>
            <w:r w:rsidRPr="009B5620">
              <w:t>Cita informācija</w:t>
            </w:r>
          </w:p>
          <w:p w14:paraId="00900481" w14:textId="77777777" w:rsidR="00D957C5" w:rsidRPr="009B5620" w:rsidRDefault="00D957C5" w:rsidP="00D957C5">
            <w:pPr>
              <w:pStyle w:val="naiskr"/>
              <w:spacing w:before="0" w:after="0"/>
              <w:ind w:left="57" w:right="57"/>
            </w:pPr>
          </w:p>
        </w:tc>
        <w:tc>
          <w:tcPr>
            <w:tcW w:w="4921" w:type="dxa"/>
          </w:tcPr>
          <w:p w14:paraId="30096EC7" w14:textId="0EF8EBAA" w:rsidR="00D957C5" w:rsidRPr="009B5620" w:rsidRDefault="00D957C5" w:rsidP="00DB1952">
            <w:pPr>
              <w:pStyle w:val="naiskr"/>
              <w:spacing w:before="0" w:after="0"/>
              <w:ind w:left="57" w:right="123"/>
              <w:jc w:val="both"/>
            </w:pPr>
            <w:r w:rsidRPr="009B5620">
              <w:t>Nav.</w:t>
            </w:r>
          </w:p>
        </w:tc>
      </w:tr>
    </w:tbl>
    <w:p w14:paraId="0E33957A" w14:textId="77777777" w:rsidR="00A10BF2" w:rsidRPr="009B5620"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9B5620" w14:paraId="76FB7B16" w14:textId="77777777" w:rsidTr="00BB0D8D">
        <w:tc>
          <w:tcPr>
            <w:tcW w:w="9389" w:type="dxa"/>
            <w:gridSpan w:val="3"/>
            <w:tcBorders>
              <w:top w:val="single" w:sz="4" w:space="0" w:color="auto"/>
            </w:tcBorders>
          </w:tcPr>
          <w:p w14:paraId="6BFA28C8" w14:textId="77777777" w:rsidR="00263FFC" w:rsidRPr="009B5620" w:rsidRDefault="00263FFC" w:rsidP="00306098">
            <w:pPr>
              <w:pStyle w:val="naisnod"/>
              <w:spacing w:before="0" w:after="0"/>
              <w:ind w:left="57" w:right="57"/>
              <w:rPr>
                <w:sz w:val="28"/>
                <w:szCs w:val="28"/>
              </w:rPr>
            </w:pPr>
            <w:r w:rsidRPr="009B5620">
              <w:rPr>
                <w:szCs w:val="28"/>
              </w:rPr>
              <w:t>VII. Tiesību akta projekta izpildes nodrošināšana un tās ietekme uz institūcijām</w:t>
            </w:r>
          </w:p>
        </w:tc>
      </w:tr>
      <w:tr w:rsidR="00D957C5" w:rsidRPr="009B5620" w14:paraId="147F4932" w14:textId="77777777" w:rsidTr="00BB0D8D">
        <w:trPr>
          <w:trHeight w:val="427"/>
        </w:trPr>
        <w:tc>
          <w:tcPr>
            <w:tcW w:w="601" w:type="dxa"/>
          </w:tcPr>
          <w:p w14:paraId="28ADF3B4" w14:textId="77777777" w:rsidR="00D957C5" w:rsidRPr="009B5620" w:rsidRDefault="00D957C5" w:rsidP="00D957C5">
            <w:pPr>
              <w:pStyle w:val="naisnod"/>
              <w:spacing w:before="0" w:after="0"/>
              <w:ind w:left="57" w:right="57"/>
              <w:jc w:val="left"/>
              <w:rPr>
                <w:b w:val="0"/>
              </w:rPr>
            </w:pPr>
            <w:r w:rsidRPr="009B5620">
              <w:rPr>
                <w:b w:val="0"/>
              </w:rPr>
              <w:t>1.</w:t>
            </w:r>
          </w:p>
        </w:tc>
        <w:tc>
          <w:tcPr>
            <w:tcW w:w="4961" w:type="dxa"/>
          </w:tcPr>
          <w:p w14:paraId="346B0BD8" w14:textId="77777777" w:rsidR="00D957C5" w:rsidRPr="009B5620" w:rsidRDefault="00D957C5" w:rsidP="00D957C5">
            <w:pPr>
              <w:pStyle w:val="naisf"/>
              <w:spacing w:before="0" w:after="0"/>
              <w:ind w:left="57" w:right="57" w:firstLine="0"/>
              <w:jc w:val="left"/>
            </w:pPr>
            <w:r w:rsidRPr="009B5620">
              <w:t xml:space="preserve">Projekta izpildē iesaistītās institūcijas </w:t>
            </w:r>
          </w:p>
        </w:tc>
        <w:tc>
          <w:tcPr>
            <w:tcW w:w="3827" w:type="dxa"/>
          </w:tcPr>
          <w:p w14:paraId="09B233F1" w14:textId="113530DB" w:rsidR="00A00254" w:rsidRPr="009B5620" w:rsidRDefault="00383F16" w:rsidP="00A00254">
            <w:pPr>
              <w:pStyle w:val="tv213"/>
              <w:spacing w:before="0" w:beforeAutospacing="0" w:after="0" w:afterAutospacing="0"/>
              <w:ind w:left="81" w:right="147"/>
              <w:jc w:val="both"/>
              <w:rPr>
                <w:b/>
              </w:rPr>
            </w:pPr>
            <w:r w:rsidRPr="009B5620">
              <w:t>VARAM</w:t>
            </w:r>
            <w:r w:rsidR="00725CDE" w:rsidRPr="009B5620">
              <w:t xml:space="preserve"> un</w:t>
            </w:r>
            <w:r w:rsidRPr="009B5620">
              <w:t xml:space="preserve"> VIF</w:t>
            </w:r>
          </w:p>
        </w:tc>
      </w:tr>
      <w:tr w:rsidR="00D957C5" w:rsidRPr="009B5620" w14:paraId="24B24A4D" w14:textId="77777777" w:rsidTr="00BB0D8D">
        <w:trPr>
          <w:trHeight w:val="463"/>
        </w:trPr>
        <w:tc>
          <w:tcPr>
            <w:tcW w:w="601" w:type="dxa"/>
          </w:tcPr>
          <w:p w14:paraId="7227AFD2" w14:textId="2C0A5C96" w:rsidR="00D957C5" w:rsidRPr="009B5620" w:rsidRDefault="00D957C5" w:rsidP="00D957C5">
            <w:pPr>
              <w:pStyle w:val="naisnod"/>
              <w:spacing w:before="0" w:after="0"/>
              <w:ind w:left="57" w:right="57"/>
              <w:jc w:val="left"/>
              <w:rPr>
                <w:b w:val="0"/>
              </w:rPr>
            </w:pPr>
            <w:r w:rsidRPr="009B5620">
              <w:rPr>
                <w:b w:val="0"/>
              </w:rPr>
              <w:t>2.</w:t>
            </w:r>
          </w:p>
        </w:tc>
        <w:tc>
          <w:tcPr>
            <w:tcW w:w="4961" w:type="dxa"/>
          </w:tcPr>
          <w:p w14:paraId="7790EF04" w14:textId="77777777" w:rsidR="00D957C5" w:rsidRPr="009B5620" w:rsidRDefault="00D957C5" w:rsidP="00D957C5">
            <w:pPr>
              <w:pStyle w:val="naisf"/>
              <w:spacing w:before="0" w:after="0"/>
              <w:ind w:left="57" w:right="57" w:firstLine="0"/>
              <w:jc w:val="left"/>
            </w:pPr>
            <w:r w:rsidRPr="009B5620">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97E47C2" w:rsidR="00D957C5" w:rsidRPr="009B5620" w:rsidRDefault="00D957C5" w:rsidP="00D957C5">
            <w:pPr>
              <w:pStyle w:val="naisnod"/>
              <w:spacing w:before="0" w:after="0"/>
              <w:ind w:left="57" w:right="57"/>
              <w:jc w:val="both"/>
              <w:rPr>
                <w:b w:val="0"/>
              </w:rPr>
            </w:pPr>
            <w:r w:rsidRPr="009B5620">
              <w:rPr>
                <w:b w:val="0"/>
              </w:rPr>
              <w:t>Jaunas institūcijas netiks veidotas.</w:t>
            </w:r>
          </w:p>
        </w:tc>
      </w:tr>
      <w:tr w:rsidR="00D957C5" w:rsidRPr="009B5620" w14:paraId="2F036722" w14:textId="77777777" w:rsidTr="00BB0D8D">
        <w:trPr>
          <w:trHeight w:val="476"/>
        </w:trPr>
        <w:tc>
          <w:tcPr>
            <w:tcW w:w="601" w:type="dxa"/>
          </w:tcPr>
          <w:p w14:paraId="66D921C5" w14:textId="77777777" w:rsidR="00D957C5" w:rsidRPr="009B5620" w:rsidRDefault="00D957C5" w:rsidP="00D957C5">
            <w:pPr>
              <w:pStyle w:val="naiskr"/>
              <w:spacing w:before="0" w:after="0"/>
              <w:ind w:left="57" w:right="57"/>
            </w:pPr>
            <w:r w:rsidRPr="009B5620">
              <w:t>3.</w:t>
            </w:r>
          </w:p>
        </w:tc>
        <w:tc>
          <w:tcPr>
            <w:tcW w:w="4961" w:type="dxa"/>
          </w:tcPr>
          <w:p w14:paraId="32F16C71" w14:textId="77777777" w:rsidR="00D957C5" w:rsidRPr="009B5620" w:rsidRDefault="00D957C5" w:rsidP="00D957C5">
            <w:pPr>
              <w:pStyle w:val="naiskr"/>
              <w:spacing w:before="0" w:after="0"/>
              <w:ind w:left="57" w:right="57"/>
            </w:pPr>
            <w:r w:rsidRPr="009B5620">
              <w:t>Cita informācija</w:t>
            </w:r>
          </w:p>
        </w:tc>
        <w:tc>
          <w:tcPr>
            <w:tcW w:w="3827" w:type="dxa"/>
          </w:tcPr>
          <w:p w14:paraId="72D9F7C6" w14:textId="2C93D54A" w:rsidR="00D957C5" w:rsidRPr="009B5620" w:rsidRDefault="00D957C5" w:rsidP="00D957C5">
            <w:pPr>
              <w:pStyle w:val="naiskr"/>
              <w:spacing w:before="0" w:after="0"/>
              <w:ind w:left="57" w:right="57"/>
            </w:pPr>
            <w:r w:rsidRPr="009B5620">
              <w:t>Nav</w:t>
            </w:r>
          </w:p>
        </w:tc>
      </w:tr>
    </w:tbl>
    <w:p w14:paraId="30985519" w14:textId="77777777" w:rsidR="002D0400" w:rsidRPr="009B5620" w:rsidRDefault="002D0400" w:rsidP="006B3C54">
      <w:pPr>
        <w:jc w:val="both"/>
        <w:rPr>
          <w:sz w:val="28"/>
        </w:rPr>
      </w:pPr>
    </w:p>
    <w:p w14:paraId="5F058070" w14:textId="77777777" w:rsidR="00D30C05" w:rsidRPr="009B5620" w:rsidRDefault="00D30C05" w:rsidP="00B346D7">
      <w:pPr>
        <w:pStyle w:val="naisf"/>
        <w:tabs>
          <w:tab w:val="left" w:pos="6840"/>
        </w:tabs>
        <w:spacing w:before="0" w:after="0"/>
        <w:ind w:firstLine="0"/>
        <w:rPr>
          <w:sz w:val="28"/>
          <w:szCs w:val="28"/>
        </w:rPr>
      </w:pPr>
    </w:p>
    <w:p w14:paraId="79BABAE3" w14:textId="77777777" w:rsidR="00A84F16" w:rsidRDefault="00A84F16" w:rsidP="00A84F16">
      <w:r>
        <w:rPr>
          <w:sz w:val="28"/>
          <w:szCs w:val="28"/>
        </w:rPr>
        <w:t>Vides aizsardzības un</w:t>
      </w:r>
    </w:p>
    <w:p w14:paraId="0BA08C8E" w14:textId="77777777" w:rsidR="00A84F16" w:rsidRDefault="00A84F16" w:rsidP="00A84F16">
      <w:pPr>
        <w:tabs>
          <w:tab w:val="left" w:pos="7371"/>
        </w:tabs>
      </w:pPr>
      <w:r>
        <w:rPr>
          <w:sz w:val="28"/>
          <w:szCs w:val="28"/>
        </w:rPr>
        <w:t>reģionālās attīstības ministrs</w:t>
      </w:r>
      <w:r>
        <w:rPr>
          <w:sz w:val="28"/>
          <w:szCs w:val="28"/>
        </w:rPr>
        <w:tab/>
        <w:t>A. T. Plešs</w:t>
      </w:r>
    </w:p>
    <w:p w14:paraId="09267FA9" w14:textId="74324AC8" w:rsidR="00F47D5E" w:rsidRPr="009B5620" w:rsidRDefault="00F47D5E" w:rsidP="00D957C5">
      <w:pPr>
        <w:pStyle w:val="naisf"/>
        <w:tabs>
          <w:tab w:val="left" w:pos="6840"/>
        </w:tabs>
        <w:spacing w:before="0" w:after="0"/>
        <w:ind w:firstLine="0"/>
        <w:rPr>
          <w:sz w:val="28"/>
          <w:szCs w:val="28"/>
        </w:rPr>
      </w:pPr>
    </w:p>
    <w:p w14:paraId="2A82BD2C" w14:textId="77777777" w:rsidR="000D2C24" w:rsidRDefault="000D2C24" w:rsidP="009355AA">
      <w:pPr>
        <w:rPr>
          <w:sz w:val="22"/>
          <w:szCs w:val="22"/>
        </w:rPr>
      </w:pPr>
    </w:p>
    <w:p w14:paraId="2E3CBA9E" w14:textId="77777777" w:rsidR="00A84F16" w:rsidRPr="004911E7" w:rsidRDefault="00A84F16" w:rsidP="00A84F16">
      <w:pPr>
        <w:tabs>
          <w:tab w:val="center" w:pos="4536"/>
          <w:tab w:val="right" w:pos="8306"/>
        </w:tabs>
      </w:pPr>
      <w:r w:rsidRPr="004911E7">
        <w:rPr>
          <w:color w:val="000000"/>
        </w:rPr>
        <w:t>R. Kašs, 67026538</w:t>
      </w:r>
    </w:p>
    <w:p w14:paraId="6AD00022" w14:textId="6F7D3DB3" w:rsidR="00A84F16" w:rsidRDefault="00595AA8" w:rsidP="00A84F16">
      <w:pPr>
        <w:jc w:val="both"/>
        <w:rPr>
          <w:rStyle w:val="Hyperlink"/>
        </w:rPr>
      </w:pPr>
      <w:hyperlink r:id="rId9" w:history="1">
        <w:r w:rsidR="00A84F16" w:rsidRPr="004911E7">
          <w:rPr>
            <w:rStyle w:val="Hyperlink"/>
          </w:rPr>
          <w:t>raimonds.kass@varam.gov.lv</w:t>
        </w:r>
      </w:hyperlink>
    </w:p>
    <w:p w14:paraId="219BFFCE" w14:textId="41EEE433" w:rsidR="009355AA" w:rsidRPr="009B5620" w:rsidRDefault="009355AA" w:rsidP="00A84F16">
      <w:pPr>
        <w:rPr>
          <w:sz w:val="22"/>
          <w:szCs w:val="22"/>
        </w:rPr>
      </w:pPr>
    </w:p>
    <w:sectPr w:rsidR="009355AA" w:rsidRPr="009B5620" w:rsidSect="009232AB">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AD06D" w14:textId="77777777" w:rsidR="00595AA8" w:rsidRDefault="00595AA8">
      <w:r>
        <w:separator/>
      </w:r>
    </w:p>
  </w:endnote>
  <w:endnote w:type="continuationSeparator" w:id="0">
    <w:p w14:paraId="7E3F1FDF" w14:textId="77777777" w:rsidR="00595AA8" w:rsidRDefault="00595AA8">
      <w:r>
        <w:continuationSeparator/>
      </w:r>
    </w:p>
  </w:endnote>
  <w:endnote w:type="continuationNotice" w:id="1">
    <w:p w14:paraId="3B48CEA7" w14:textId="77777777" w:rsidR="00595AA8" w:rsidRDefault="00595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90D5" w14:textId="12890967" w:rsidR="00667849" w:rsidRPr="00530436" w:rsidRDefault="00667849" w:rsidP="003A09C1">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10B6C">
      <w:rPr>
        <w:noProof/>
        <w:sz w:val="20"/>
        <w:szCs w:val="20"/>
      </w:rPr>
      <w:t>VARAMAnot_070921_BEV-PHEV</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47CB4" w14:textId="1D74DEA5" w:rsidR="00667849" w:rsidRPr="00530436" w:rsidRDefault="00667849" w:rsidP="009232AB">
    <w:pPr>
      <w:pStyle w:val="Footer"/>
      <w:rPr>
        <w:noProof/>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10B6C">
      <w:rPr>
        <w:noProof/>
        <w:sz w:val="20"/>
        <w:szCs w:val="20"/>
      </w:rPr>
      <w:t>VARAMAnot_070921_BEV-PHEV</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403D" w14:textId="77777777" w:rsidR="00595AA8" w:rsidRDefault="00595AA8">
      <w:r>
        <w:separator/>
      </w:r>
    </w:p>
  </w:footnote>
  <w:footnote w:type="continuationSeparator" w:id="0">
    <w:p w14:paraId="436F8B67" w14:textId="77777777" w:rsidR="00595AA8" w:rsidRDefault="00595AA8">
      <w:r>
        <w:continuationSeparator/>
      </w:r>
    </w:p>
  </w:footnote>
  <w:footnote w:type="continuationNotice" w:id="1">
    <w:p w14:paraId="2827207F" w14:textId="77777777" w:rsidR="00595AA8" w:rsidRDefault="00595AA8"/>
  </w:footnote>
  <w:footnote w:id="2">
    <w:p w14:paraId="439BCD73" w14:textId="77777777" w:rsidR="00473CB7" w:rsidRPr="00C57429" w:rsidRDefault="00473CB7" w:rsidP="00473CB7">
      <w:pPr>
        <w:pStyle w:val="FootnoteText"/>
      </w:pPr>
      <w:r w:rsidRPr="007B04A2">
        <w:rPr>
          <w:rStyle w:val="FootnoteReference"/>
          <w:i/>
          <w:iCs/>
        </w:rPr>
        <w:footnoteRef/>
      </w:r>
      <w:r w:rsidRPr="007B04A2">
        <w:rPr>
          <w:i/>
          <w:iCs/>
        </w:rPr>
        <w:t xml:space="preserve"> </w:t>
      </w:r>
      <w:hyperlink r:id="rId1" w:history="1">
        <w:r w:rsidRPr="007B04A2">
          <w:rPr>
            <w:rStyle w:val="Hyperlink"/>
            <w:i/>
            <w:iCs/>
          </w:rPr>
          <w:t>https://www.acea.be/uploads/publications/Electric_vehicles-Tax_benefits_purchase_incentives_European_Union_2020.pdf</w:t>
        </w:r>
      </w:hyperlink>
    </w:p>
  </w:footnote>
  <w:footnote w:id="3">
    <w:p w14:paraId="10C1260F" w14:textId="77777777" w:rsidR="00227095" w:rsidRDefault="00227095" w:rsidP="00227095">
      <w:pPr>
        <w:pStyle w:val="FootnoteText"/>
        <w:contextualSpacing/>
        <w:jc w:val="both"/>
      </w:pPr>
      <w:r w:rsidRPr="00EB3408">
        <w:rPr>
          <w:rStyle w:val="FootnoteReference"/>
        </w:rPr>
        <w:footnoteRef/>
      </w:r>
      <w:r w:rsidRPr="00EB3408">
        <w:t xml:space="preserve"> </w:t>
      </w:r>
      <w:r w:rsidRPr="00EB3408">
        <w:rPr>
          <w:shd w:val="clear" w:color="auto" w:fill="FFFFFF"/>
        </w:rPr>
        <w:t>322pts. 82.lpp. kopējais finansējums ilgtspējīga jauna transporta iegādei nepilni 22,58 milj. euro</w:t>
      </w:r>
      <w:r w:rsidRPr="00EB3408">
        <w:t xml:space="preserve">  </w:t>
      </w:r>
      <w:hyperlink r:id="rId2" w:history="1">
        <w:r w:rsidRPr="00EB3408">
          <w:rPr>
            <w:rStyle w:val="Hyperlink"/>
          </w:rPr>
          <w:t>https://www.esfondi.lv/upload/anm/01_anm_plans_04062021.pdf</w:t>
        </w:r>
      </w:hyperlink>
    </w:p>
  </w:footnote>
  <w:footnote w:id="4">
    <w:p w14:paraId="43AAB1F0" w14:textId="77777777" w:rsidR="00D42047" w:rsidRPr="00BE5715" w:rsidRDefault="00D42047" w:rsidP="00D42047">
      <w:pPr>
        <w:pStyle w:val="FootnoteText"/>
        <w:rPr>
          <w:sz w:val="16"/>
          <w:szCs w:val="16"/>
        </w:rPr>
      </w:pPr>
      <w:r w:rsidRPr="00BE5715">
        <w:rPr>
          <w:rStyle w:val="FootnoteReference"/>
          <w:sz w:val="16"/>
          <w:szCs w:val="16"/>
        </w:rPr>
        <w:footnoteRef/>
      </w:r>
      <w:r w:rsidRPr="00BE5715">
        <w:rPr>
          <w:sz w:val="16"/>
          <w:szCs w:val="16"/>
        </w:rPr>
        <w:t xml:space="preserve"> </w:t>
      </w:r>
      <w:hyperlink r:id="rId3" w:history="1">
        <w:r w:rsidRPr="00BE5715">
          <w:rPr>
            <w:rStyle w:val="Hyperlink"/>
            <w:sz w:val="16"/>
            <w:szCs w:val="16"/>
          </w:rPr>
          <w:t>https://www.csdd.lv/jaunumi/csdd-tehniskaja-apskate-pern-videji-13-auto-diena-atteica-bremzes</w:t>
        </w:r>
      </w:hyperlink>
      <w:r w:rsidRPr="00BE5715">
        <w:rPr>
          <w:rStyle w:val="Hyperlink"/>
          <w:sz w:val="16"/>
          <w:szCs w:val="16"/>
        </w:rPr>
        <w:t>;</w:t>
      </w:r>
    </w:p>
  </w:footnote>
  <w:footnote w:id="5">
    <w:p w14:paraId="0679229A" w14:textId="77777777" w:rsidR="00D42047" w:rsidRPr="00BE5715" w:rsidRDefault="00D42047" w:rsidP="00D42047">
      <w:pPr>
        <w:pStyle w:val="FootnoteText"/>
        <w:rPr>
          <w:sz w:val="16"/>
          <w:szCs w:val="16"/>
        </w:rPr>
      </w:pPr>
      <w:r w:rsidRPr="00BE5715">
        <w:rPr>
          <w:rStyle w:val="FootnoteReference"/>
          <w:sz w:val="16"/>
          <w:szCs w:val="16"/>
        </w:rPr>
        <w:footnoteRef/>
      </w:r>
      <w:r w:rsidRPr="00BE5715">
        <w:rPr>
          <w:sz w:val="16"/>
          <w:szCs w:val="16"/>
        </w:rPr>
        <w:t xml:space="preserve"> </w:t>
      </w:r>
      <w:hyperlink r:id="rId4" w:history="1">
        <w:r w:rsidRPr="00BE5715">
          <w:rPr>
            <w:rStyle w:val="Hyperlink"/>
            <w:sz w:val="16"/>
            <w:szCs w:val="16"/>
          </w:rPr>
          <w:t>https://www.csb.gov.lv/lv/statistika/statistikas-temas/transports-turisms/transports/meklet-tema/357-apsekojuma-latvijas-iedzivotaju-mobilitate</w:t>
        </w:r>
      </w:hyperlink>
      <w:r w:rsidRPr="00BE5715">
        <w:rPr>
          <w:sz w:val="16"/>
          <w:szCs w:val="16"/>
        </w:rPr>
        <w:t xml:space="preserve"> un </w:t>
      </w:r>
      <w:hyperlink r:id="rId5" w:history="1">
        <w:r w:rsidRPr="00BE5715">
          <w:rPr>
            <w:rStyle w:val="Hyperlink"/>
            <w:sz w:val="16"/>
            <w:szCs w:val="16"/>
          </w:rPr>
          <w:t>https://www.pwc.com/lv/lv/news/tiek-laists-klaja-latvija-pirmais-mobilitates-petijums.html</w:t>
        </w:r>
      </w:hyperlink>
      <w:r w:rsidRPr="00BE5715">
        <w:rPr>
          <w:sz w:val="16"/>
          <w:szCs w:val="16"/>
        </w:rPr>
        <w:t>;</w:t>
      </w:r>
    </w:p>
  </w:footnote>
  <w:footnote w:id="6">
    <w:p w14:paraId="70311C53" w14:textId="77777777" w:rsidR="00D42047" w:rsidRPr="00BE5715" w:rsidRDefault="00D42047" w:rsidP="00D42047">
      <w:pPr>
        <w:pStyle w:val="FootnoteText"/>
        <w:rPr>
          <w:sz w:val="16"/>
          <w:szCs w:val="16"/>
        </w:rPr>
      </w:pPr>
      <w:r w:rsidRPr="00BE5715">
        <w:rPr>
          <w:rStyle w:val="FootnoteReference"/>
          <w:sz w:val="16"/>
          <w:szCs w:val="16"/>
        </w:rPr>
        <w:footnoteRef/>
      </w:r>
      <w:r w:rsidRPr="00BE5715">
        <w:rPr>
          <w:sz w:val="16"/>
          <w:szCs w:val="16"/>
        </w:rPr>
        <w:t xml:space="preserve"> </w:t>
      </w:r>
      <w:hyperlink r:id="rId6" w:history="1">
        <w:r w:rsidRPr="00BE5715">
          <w:rPr>
            <w:rStyle w:val="Hyperlink"/>
            <w:sz w:val="16"/>
            <w:szCs w:val="16"/>
          </w:rPr>
          <w:t>https://uzladets.lv/cik-lielu-nobraukumu-patiesiba-vajag-no-elektromobila/</w:t>
        </w:r>
      </w:hyperlink>
      <w:r w:rsidRPr="00BE5715">
        <w:rPr>
          <w:sz w:val="16"/>
          <w:szCs w:val="16"/>
        </w:rPr>
        <w:t>;</w:t>
      </w:r>
    </w:p>
  </w:footnote>
  <w:footnote w:id="7">
    <w:p w14:paraId="271886B4" w14:textId="77777777" w:rsidR="00D42047" w:rsidRDefault="00D42047" w:rsidP="00D42047">
      <w:pPr>
        <w:pStyle w:val="FootnoteText"/>
      </w:pPr>
      <w:r w:rsidRPr="00BE5715">
        <w:rPr>
          <w:rStyle w:val="FootnoteReference"/>
          <w:sz w:val="16"/>
          <w:szCs w:val="16"/>
        </w:rPr>
        <w:footnoteRef/>
      </w:r>
      <w:r w:rsidRPr="00BE5715">
        <w:rPr>
          <w:sz w:val="16"/>
          <w:szCs w:val="16"/>
        </w:rPr>
        <w:t xml:space="preserve"> </w:t>
      </w:r>
      <w:hyperlink r:id="rId7" w:history="1">
        <w:r w:rsidRPr="00BE5715">
          <w:rPr>
            <w:rStyle w:val="Hyperlink"/>
            <w:sz w:val="16"/>
            <w:szCs w:val="16"/>
          </w:rPr>
          <w:t>https://www.elektrum.lv/lv/majai/energoefektivitate/aktualitates/ka-izveleties-piemerotako-elektroauto-un-ta-uzladi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602B" w14:textId="77777777"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667849" w:rsidRDefault="00667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1F81" w14:textId="4C859C76" w:rsidR="00667849" w:rsidRDefault="00667849"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66D7">
      <w:rPr>
        <w:rStyle w:val="PageNumber"/>
        <w:noProof/>
      </w:rPr>
      <w:t>3</w:t>
    </w:r>
    <w:r>
      <w:rPr>
        <w:rStyle w:val="PageNumber"/>
      </w:rPr>
      <w:fldChar w:fldCharType="end"/>
    </w:r>
  </w:p>
  <w:p w14:paraId="237C5921" w14:textId="77777777" w:rsidR="00667849" w:rsidRDefault="00667849" w:rsidP="005A0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CAF"/>
    <w:multiLevelType w:val="hybridMultilevel"/>
    <w:tmpl w:val="47EECD26"/>
    <w:lvl w:ilvl="0" w:tplc="905A42A0">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2" w15:restartNumberingAfterBreak="0">
    <w:nsid w:val="50017C37"/>
    <w:multiLevelType w:val="hybridMultilevel"/>
    <w:tmpl w:val="51B62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30"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5"/>
  </w:num>
  <w:num w:numId="2">
    <w:abstractNumId w:val="30"/>
  </w:num>
  <w:num w:numId="3">
    <w:abstractNumId w:val="7"/>
  </w:num>
  <w:num w:numId="4">
    <w:abstractNumId w:val="11"/>
  </w:num>
  <w:num w:numId="5">
    <w:abstractNumId w:val="19"/>
  </w:num>
  <w:num w:numId="6">
    <w:abstractNumId w:val="6"/>
  </w:num>
  <w:num w:numId="7">
    <w:abstractNumId w:val="1"/>
  </w:num>
  <w:num w:numId="8">
    <w:abstractNumId w:val="2"/>
  </w:num>
  <w:num w:numId="9">
    <w:abstractNumId w:val="27"/>
  </w:num>
  <w:num w:numId="10">
    <w:abstractNumId w:val="10"/>
  </w:num>
  <w:num w:numId="11">
    <w:abstractNumId w:val="24"/>
  </w:num>
  <w:num w:numId="12">
    <w:abstractNumId w:val="20"/>
  </w:num>
  <w:num w:numId="13">
    <w:abstractNumId w:val="4"/>
  </w:num>
  <w:num w:numId="14">
    <w:abstractNumId w:val="28"/>
  </w:num>
  <w:num w:numId="15">
    <w:abstractNumId w:val="16"/>
  </w:num>
  <w:num w:numId="16">
    <w:abstractNumId w:val="5"/>
  </w:num>
  <w:num w:numId="17">
    <w:abstractNumId w:val="3"/>
  </w:num>
  <w:num w:numId="18">
    <w:abstractNumId w:val="14"/>
  </w:num>
  <w:num w:numId="19">
    <w:abstractNumId w:val="12"/>
  </w:num>
  <w:num w:numId="20">
    <w:abstractNumId w:val="18"/>
  </w:num>
  <w:num w:numId="21">
    <w:abstractNumId w:val="15"/>
  </w:num>
  <w:num w:numId="22">
    <w:abstractNumId w:val="13"/>
  </w:num>
  <w:num w:numId="23">
    <w:abstractNumId w:val="31"/>
  </w:num>
  <w:num w:numId="24">
    <w:abstractNumId w:val="8"/>
  </w:num>
  <w:num w:numId="25">
    <w:abstractNumId w:val="32"/>
  </w:num>
  <w:num w:numId="26">
    <w:abstractNumId w:val="17"/>
  </w:num>
  <w:num w:numId="27">
    <w:abstractNumId w:val="26"/>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3C9A"/>
    <w:rsid w:val="000043F9"/>
    <w:rsid w:val="00005427"/>
    <w:rsid w:val="00005826"/>
    <w:rsid w:val="000071F5"/>
    <w:rsid w:val="00010FE3"/>
    <w:rsid w:val="000112B1"/>
    <w:rsid w:val="00013713"/>
    <w:rsid w:val="000143DB"/>
    <w:rsid w:val="00014527"/>
    <w:rsid w:val="00015501"/>
    <w:rsid w:val="00015666"/>
    <w:rsid w:val="00016AA7"/>
    <w:rsid w:val="000179EA"/>
    <w:rsid w:val="00017A2C"/>
    <w:rsid w:val="00021604"/>
    <w:rsid w:val="00024ECF"/>
    <w:rsid w:val="00025FA9"/>
    <w:rsid w:val="000260DC"/>
    <w:rsid w:val="00026532"/>
    <w:rsid w:val="00027494"/>
    <w:rsid w:val="00027756"/>
    <w:rsid w:val="0002797B"/>
    <w:rsid w:val="00027A5A"/>
    <w:rsid w:val="00027F1C"/>
    <w:rsid w:val="00031099"/>
    <w:rsid w:val="00031399"/>
    <w:rsid w:val="00032CEA"/>
    <w:rsid w:val="00032D84"/>
    <w:rsid w:val="000332D3"/>
    <w:rsid w:val="00033CC8"/>
    <w:rsid w:val="000367AD"/>
    <w:rsid w:val="00037C68"/>
    <w:rsid w:val="00037CD7"/>
    <w:rsid w:val="00040172"/>
    <w:rsid w:val="000404D3"/>
    <w:rsid w:val="00040E6B"/>
    <w:rsid w:val="0004133D"/>
    <w:rsid w:val="00041FE4"/>
    <w:rsid w:val="00042031"/>
    <w:rsid w:val="000422EE"/>
    <w:rsid w:val="00043CB1"/>
    <w:rsid w:val="00047183"/>
    <w:rsid w:val="000473F7"/>
    <w:rsid w:val="00050F54"/>
    <w:rsid w:val="00051106"/>
    <w:rsid w:val="0005143C"/>
    <w:rsid w:val="00051BB0"/>
    <w:rsid w:val="0005632E"/>
    <w:rsid w:val="00056D70"/>
    <w:rsid w:val="00057B13"/>
    <w:rsid w:val="00060888"/>
    <w:rsid w:val="00060A47"/>
    <w:rsid w:val="00060F86"/>
    <w:rsid w:val="00062822"/>
    <w:rsid w:val="0006534F"/>
    <w:rsid w:val="00066E0A"/>
    <w:rsid w:val="000670BA"/>
    <w:rsid w:val="00070FB4"/>
    <w:rsid w:val="00071884"/>
    <w:rsid w:val="00071CD0"/>
    <w:rsid w:val="00071D6D"/>
    <w:rsid w:val="00072B20"/>
    <w:rsid w:val="00073270"/>
    <w:rsid w:val="00073464"/>
    <w:rsid w:val="0007788D"/>
    <w:rsid w:val="00077938"/>
    <w:rsid w:val="00082DF3"/>
    <w:rsid w:val="00084359"/>
    <w:rsid w:val="000845A9"/>
    <w:rsid w:val="0008488A"/>
    <w:rsid w:val="00084CD9"/>
    <w:rsid w:val="00085B89"/>
    <w:rsid w:val="00090302"/>
    <w:rsid w:val="000920FE"/>
    <w:rsid w:val="00092534"/>
    <w:rsid w:val="00092C64"/>
    <w:rsid w:val="00092DF0"/>
    <w:rsid w:val="00093D7B"/>
    <w:rsid w:val="000A13FA"/>
    <w:rsid w:val="000A17B0"/>
    <w:rsid w:val="000A2211"/>
    <w:rsid w:val="000A2884"/>
    <w:rsid w:val="000A359D"/>
    <w:rsid w:val="000A3B97"/>
    <w:rsid w:val="000A46CA"/>
    <w:rsid w:val="000A6067"/>
    <w:rsid w:val="000B127D"/>
    <w:rsid w:val="000B1AB1"/>
    <w:rsid w:val="000B1C02"/>
    <w:rsid w:val="000B219A"/>
    <w:rsid w:val="000B3F6E"/>
    <w:rsid w:val="000B4538"/>
    <w:rsid w:val="000B4607"/>
    <w:rsid w:val="000B4F08"/>
    <w:rsid w:val="000B59CB"/>
    <w:rsid w:val="000B66C8"/>
    <w:rsid w:val="000B6DF1"/>
    <w:rsid w:val="000C0EDB"/>
    <w:rsid w:val="000C230C"/>
    <w:rsid w:val="000C32EA"/>
    <w:rsid w:val="000C37C7"/>
    <w:rsid w:val="000C37D8"/>
    <w:rsid w:val="000C5FBC"/>
    <w:rsid w:val="000C61E4"/>
    <w:rsid w:val="000D0D9C"/>
    <w:rsid w:val="000D0DB8"/>
    <w:rsid w:val="000D163F"/>
    <w:rsid w:val="000D2C24"/>
    <w:rsid w:val="000D2C4F"/>
    <w:rsid w:val="000D320A"/>
    <w:rsid w:val="000D35F4"/>
    <w:rsid w:val="000D3DCD"/>
    <w:rsid w:val="000D41F8"/>
    <w:rsid w:val="000D5549"/>
    <w:rsid w:val="000D5F55"/>
    <w:rsid w:val="000D650D"/>
    <w:rsid w:val="000D7C74"/>
    <w:rsid w:val="000E1123"/>
    <w:rsid w:val="000E2092"/>
    <w:rsid w:val="000E2805"/>
    <w:rsid w:val="000E31DC"/>
    <w:rsid w:val="000E3B2A"/>
    <w:rsid w:val="000E4457"/>
    <w:rsid w:val="000E6F4B"/>
    <w:rsid w:val="000E7BB7"/>
    <w:rsid w:val="000F0876"/>
    <w:rsid w:val="000F35FE"/>
    <w:rsid w:val="000F3C86"/>
    <w:rsid w:val="000F3DBD"/>
    <w:rsid w:val="000F41C0"/>
    <w:rsid w:val="000F5E59"/>
    <w:rsid w:val="000F6A6D"/>
    <w:rsid w:val="00101F71"/>
    <w:rsid w:val="001029C5"/>
    <w:rsid w:val="001032E7"/>
    <w:rsid w:val="00103B16"/>
    <w:rsid w:val="00103B63"/>
    <w:rsid w:val="00107AE1"/>
    <w:rsid w:val="00110173"/>
    <w:rsid w:val="001114E0"/>
    <w:rsid w:val="00113CD0"/>
    <w:rsid w:val="00114052"/>
    <w:rsid w:val="00115550"/>
    <w:rsid w:val="00115E65"/>
    <w:rsid w:val="001170B0"/>
    <w:rsid w:val="001176C1"/>
    <w:rsid w:val="0012082E"/>
    <w:rsid w:val="001209A4"/>
    <w:rsid w:val="001214F2"/>
    <w:rsid w:val="00123E30"/>
    <w:rsid w:val="001242F0"/>
    <w:rsid w:val="00125941"/>
    <w:rsid w:val="00127C6E"/>
    <w:rsid w:val="00130C2D"/>
    <w:rsid w:val="001317E3"/>
    <w:rsid w:val="00133374"/>
    <w:rsid w:val="00133CF3"/>
    <w:rsid w:val="001347ED"/>
    <w:rsid w:val="001359E3"/>
    <w:rsid w:val="00136946"/>
    <w:rsid w:val="00137BF2"/>
    <w:rsid w:val="00141294"/>
    <w:rsid w:val="001425FF"/>
    <w:rsid w:val="00143528"/>
    <w:rsid w:val="00146380"/>
    <w:rsid w:val="001464EA"/>
    <w:rsid w:val="00146E61"/>
    <w:rsid w:val="00146F0F"/>
    <w:rsid w:val="001524E5"/>
    <w:rsid w:val="00153486"/>
    <w:rsid w:val="00153BD9"/>
    <w:rsid w:val="00154636"/>
    <w:rsid w:val="0015719D"/>
    <w:rsid w:val="00160235"/>
    <w:rsid w:val="00161AD7"/>
    <w:rsid w:val="001628FF"/>
    <w:rsid w:val="001637A5"/>
    <w:rsid w:val="00163D88"/>
    <w:rsid w:val="00166B1A"/>
    <w:rsid w:val="00166CF6"/>
    <w:rsid w:val="00166F6F"/>
    <w:rsid w:val="00167B8E"/>
    <w:rsid w:val="00167BB9"/>
    <w:rsid w:val="00167FA0"/>
    <w:rsid w:val="00170E4E"/>
    <w:rsid w:val="00171922"/>
    <w:rsid w:val="00172BCD"/>
    <w:rsid w:val="00174C75"/>
    <w:rsid w:val="00175296"/>
    <w:rsid w:val="00176D51"/>
    <w:rsid w:val="00180130"/>
    <w:rsid w:val="0018016E"/>
    <w:rsid w:val="00180848"/>
    <w:rsid w:val="001811FB"/>
    <w:rsid w:val="001837CD"/>
    <w:rsid w:val="00183ABD"/>
    <w:rsid w:val="00184E5C"/>
    <w:rsid w:val="00184F35"/>
    <w:rsid w:val="00185117"/>
    <w:rsid w:val="001865AD"/>
    <w:rsid w:val="001913AA"/>
    <w:rsid w:val="00191859"/>
    <w:rsid w:val="00192B89"/>
    <w:rsid w:val="00192FA8"/>
    <w:rsid w:val="001951AF"/>
    <w:rsid w:val="001954CD"/>
    <w:rsid w:val="00195BD8"/>
    <w:rsid w:val="00196B61"/>
    <w:rsid w:val="001A28EB"/>
    <w:rsid w:val="001A60FD"/>
    <w:rsid w:val="001A620C"/>
    <w:rsid w:val="001A683D"/>
    <w:rsid w:val="001A7349"/>
    <w:rsid w:val="001A7910"/>
    <w:rsid w:val="001B005C"/>
    <w:rsid w:val="001B0D10"/>
    <w:rsid w:val="001B256B"/>
    <w:rsid w:val="001B310C"/>
    <w:rsid w:val="001B366C"/>
    <w:rsid w:val="001B3E66"/>
    <w:rsid w:val="001B3ECB"/>
    <w:rsid w:val="001B47FF"/>
    <w:rsid w:val="001B57F1"/>
    <w:rsid w:val="001C002C"/>
    <w:rsid w:val="001C03C6"/>
    <w:rsid w:val="001C0442"/>
    <w:rsid w:val="001C07BF"/>
    <w:rsid w:val="001C0848"/>
    <w:rsid w:val="001C1205"/>
    <w:rsid w:val="001C2581"/>
    <w:rsid w:val="001C2F5E"/>
    <w:rsid w:val="001C5276"/>
    <w:rsid w:val="001C5BD5"/>
    <w:rsid w:val="001C7CCC"/>
    <w:rsid w:val="001D0B65"/>
    <w:rsid w:val="001D0BB7"/>
    <w:rsid w:val="001D0C1C"/>
    <w:rsid w:val="001D0FF3"/>
    <w:rsid w:val="001D2285"/>
    <w:rsid w:val="001D2DE3"/>
    <w:rsid w:val="001D2E1A"/>
    <w:rsid w:val="001D315D"/>
    <w:rsid w:val="001D54A9"/>
    <w:rsid w:val="001D6149"/>
    <w:rsid w:val="001D6C4F"/>
    <w:rsid w:val="001D6E4F"/>
    <w:rsid w:val="001D7C83"/>
    <w:rsid w:val="001E11D4"/>
    <w:rsid w:val="001E19E2"/>
    <w:rsid w:val="001E2891"/>
    <w:rsid w:val="001E6D7D"/>
    <w:rsid w:val="001E7E58"/>
    <w:rsid w:val="001F06CA"/>
    <w:rsid w:val="001F101B"/>
    <w:rsid w:val="001F261F"/>
    <w:rsid w:val="001F2765"/>
    <w:rsid w:val="001F59D8"/>
    <w:rsid w:val="001F5C90"/>
    <w:rsid w:val="001F66D1"/>
    <w:rsid w:val="001F7525"/>
    <w:rsid w:val="001F7E7E"/>
    <w:rsid w:val="00200346"/>
    <w:rsid w:val="00201781"/>
    <w:rsid w:val="00201C9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6F99"/>
    <w:rsid w:val="00217F73"/>
    <w:rsid w:val="00220B0C"/>
    <w:rsid w:val="00221638"/>
    <w:rsid w:val="00223974"/>
    <w:rsid w:val="002240F3"/>
    <w:rsid w:val="002249BA"/>
    <w:rsid w:val="00227095"/>
    <w:rsid w:val="0022722B"/>
    <w:rsid w:val="002317E8"/>
    <w:rsid w:val="00231B9D"/>
    <w:rsid w:val="00232A10"/>
    <w:rsid w:val="00233607"/>
    <w:rsid w:val="00233815"/>
    <w:rsid w:val="0023381F"/>
    <w:rsid w:val="00233EF8"/>
    <w:rsid w:val="002349E2"/>
    <w:rsid w:val="00234C65"/>
    <w:rsid w:val="00234DE6"/>
    <w:rsid w:val="00235098"/>
    <w:rsid w:val="0024097C"/>
    <w:rsid w:val="00241978"/>
    <w:rsid w:val="00243419"/>
    <w:rsid w:val="002436CE"/>
    <w:rsid w:val="00244669"/>
    <w:rsid w:val="00244732"/>
    <w:rsid w:val="00245A40"/>
    <w:rsid w:val="002460AD"/>
    <w:rsid w:val="002473EC"/>
    <w:rsid w:val="00247B79"/>
    <w:rsid w:val="00250B3C"/>
    <w:rsid w:val="00250DA9"/>
    <w:rsid w:val="00252088"/>
    <w:rsid w:val="00254327"/>
    <w:rsid w:val="0025436E"/>
    <w:rsid w:val="00254DF0"/>
    <w:rsid w:val="00255889"/>
    <w:rsid w:val="002564A2"/>
    <w:rsid w:val="00260591"/>
    <w:rsid w:val="002610BC"/>
    <w:rsid w:val="00262614"/>
    <w:rsid w:val="00263889"/>
    <w:rsid w:val="00263FBD"/>
    <w:rsid w:val="00263FFC"/>
    <w:rsid w:val="0026475B"/>
    <w:rsid w:val="00264B24"/>
    <w:rsid w:val="0026537B"/>
    <w:rsid w:val="00266BB4"/>
    <w:rsid w:val="00273973"/>
    <w:rsid w:val="00273CFE"/>
    <w:rsid w:val="00273F0D"/>
    <w:rsid w:val="00275B5C"/>
    <w:rsid w:val="0027719D"/>
    <w:rsid w:val="00277727"/>
    <w:rsid w:val="00277EEA"/>
    <w:rsid w:val="00280003"/>
    <w:rsid w:val="002811CE"/>
    <w:rsid w:val="00281446"/>
    <w:rsid w:val="00282AA6"/>
    <w:rsid w:val="00283314"/>
    <w:rsid w:val="002835E0"/>
    <w:rsid w:val="00283D16"/>
    <w:rsid w:val="0028468F"/>
    <w:rsid w:val="00284894"/>
    <w:rsid w:val="00284FBF"/>
    <w:rsid w:val="0028533B"/>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8AF"/>
    <w:rsid w:val="002B09F4"/>
    <w:rsid w:val="002B3ACF"/>
    <w:rsid w:val="002B40DD"/>
    <w:rsid w:val="002B438C"/>
    <w:rsid w:val="002B4CDC"/>
    <w:rsid w:val="002B7C07"/>
    <w:rsid w:val="002B7D81"/>
    <w:rsid w:val="002B7EAD"/>
    <w:rsid w:val="002C1999"/>
    <w:rsid w:val="002C2060"/>
    <w:rsid w:val="002C2B64"/>
    <w:rsid w:val="002C2D82"/>
    <w:rsid w:val="002C345E"/>
    <w:rsid w:val="002C3E2D"/>
    <w:rsid w:val="002C4423"/>
    <w:rsid w:val="002C4761"/>
    <w:rsid w:val="002C5994"/>
    <w:rsid w:val="002C5D2F"/>
    <w:rsid w:val="002C7EAC"/>
    <w:rsid w:val="002D010B"/>
    <w:rsid w:val="002D0400"/>
    <w:rsid w:val="002D202F"/>
    <w:rsid w:val="002D293F"/>
    <w:rsid w:val="002D29FE"/>
    <w:rsid w:val="002D3BD3"/>
    <w:rsid w:val="002D433C"/>
    <w:rsid w:val="002D775F"/>
    <w:rsid w:val="002D7B6C"/>
    <w:rsid w:val="002E0611"/>
    <w:rsid w:val="002E134E"/>
    <w:rsid w:val="002E1AD4"/>
    <w:rsid w:val="002E1EE6"/>
    <w:rsid w:val="002E23C4"/>
    <w:rsid w:val="002E45DE"/>
    <w:rsid w:val="002E5482"/>
    <w:rsid w:val="002F0CDC"/>
    <w:rsid w:val="002F1205"/>
    <w:rsid w:val="002F1B36"/>
    <w:rsid w:val="002F2ABF"/>
    <w:rsid w:val="002F5CD1"/>
    <w:rsid w:val="002F6A2D"/>
    <w:rsid w:val="002F714B"/>
    <w:rsid w:val="002F722A"/>
    <w:rsid w:val="002F73C4"/>
    <w:rsid w:val="00300272"/>
    <w:rsid w:val="003004F5"/>
    <w:rsid w:val="00301319"/>
    <w:rsid w:val="0030151C"/>
    <w:rsid w:val="0030209C"/>
    <w:rsid w:val="00302E5B"/>
    <w:rsid w:val="00302E7C"/>
    <w:rsid w:val="003033D1"/>
    <w:rsid w:val="0030341E"/>
    <w:rsid w:val="0030384F"/>
    <w:rsid w:val="003042DA"/>
    <w:rsid w:val="00304547"/>
    <w:rsid w:val="00304BAC"/>
    <w:rsid w:val="00305B71"/>
    <w:rsid w:val="00306098"/>
    <w:rsid w:val="00307444"/>
    <w:rsid w:val="003110F6"/>
    <w:rsid w:val="0031134A"/>
    <w:rsid w:val="00312A0E"/>
    <w:rsid w:val="00313854"/>
    <w:rsid w:val="003154EB"/>
    <w:rsid w:val="0031784C"/>
    <w:rsid w:val="003223A2"/>
    <w:rsid w:val="00322E58"/>
    <w:rsid w:val="00324943"/>
    <w:rsid w:val="00326D0B"/>
    <w:rsid w:val="003279F0"/>
    <w:rsid w:val="0033075B"/>
    <w:rsid w:val="00330A1A"/>
    <w:rsid w:val="003331F2"/>
    <w:rsid w:val="00333B38"/>
    <w:rsid w:val="00333BE3"/>
    <w:rsid w:val="00334184"/>
    <w:rsid w:val="003354DE"/>
    <w:rsid w:val="00346A8A"/>
    <w:rsid w:val="00351A48"/>
    <w:rsid w:val="003526F4"/>
    <w:rsid w:val="003547BA"/>
    <w:rsid w:val="003547DD"/>
    <w:rsid w:val="00355746"/>
    <w:rsid w:val="003558B0"/>
    <w:rsid w:val="00357B69"/>
    <w:rsid w:val="00360508"/>
    <w:rsid w:val="003614B3"/>
    <w:rsid w:val="00363A24"/>
    <w:rsid w:val="00364C53"/>
    <w:rsid w:val="00364D00"/>
    <w:rsid w:val="00366D63"/>
    <w:rsid w:val="00370243"/>
    <w:rsid w:val="0037072F"/>
    <w:rsid w:val="0037123F"/>
    <w:rsid w:val="003733C7"/>
    <w:rsid w:val="00373605"/>
    <w:rsid w:val="0037525D"/>
    <w:rsid w:val="003760E0"/>
    <w:rsid w:val="00377710"/>
    <w:rsid w:val="003800A3"/>
    <w:rsid w:val="0038157D"/>
    <w:rsid w:val="003826CD"/>
    <w:rsid w:val="00382D86"/>
    <w:rsid w:val="0038393A"/>
    <w:rsid w:val="00383F16"/>
    <w:rsid w:val="003848A9"/>
    <w:rsid w:val="0038507B"/>
    <w:rsid w:val="00385916"/>
    <w:rsid w:val="003868F7"/>
    <w:rsid w:val="00387D09"/>
    <w:rsid w:val="003905DC"/>
    <w:rsid w:val="0039137F"/>
    <w:rsid w:val="0039138C"/>
    <w:rsid w:val="00391C37"/>
    <w:rsid w:val="00391F7C"/>
    <w:rsid w:val="00394499"/>
    <w:rsid w:val="0039479B"/>
    <w:rsid w:val="003957C3"/>
    <w:rsid w:val="0039664A"/>
    <w:rsid w:val="003A09C1"/>
    <w:rsid w:val="003A0CE8"/>
    <w:rsid w:val="003A3D6B"/>
    <w:rsid w:val="003A66D4"/>
    <w:rsid w:val="003B011E"/>
    <w:rsid w:val="003B10FA"/>
    <w:rsid w:val="003B2102"/>
    <w:rsid w:val="003B2598"/>
    <w:rsid w:val="003B28CD"/>
    <w:rsid w:val="003B49B0"/>
    <w:rsid w:val="003B5875"/>
    <w:rsid w:val="003B5CDA"/>
    <w:rsid w:val="003B5E8D"/>
    <w:rsid w:val="003B678D"/>
    <w:rsid w:val="003C2229"/>
    <w:rsid w:val="003C2EFB"/>
    <w:rsid w:val="003C3340"/>
    <w:rsid w:val="003C4B70"/>
    <w:rsid w:val="003C4DCA"/>
    <w:rsid w:val="003C5A60"/>
    <w:rsid w:val="003C74A8"/>
    <w:rsid w:val="003D0ED0"/>
    <w:rsid w:val="003D1AA2"/>
    <w:rsid w:val="003D1E06"/>
    <w:rsid w:val="003D709D"/>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2000"/>
    <w:rsid w:val="00433137"/>
    <w:rsid w:val="00434F09"/>
    <w:rsid w:val="00434F57"/>
    <w:rsid w:val="00435386"/>
    <w:rsid w:val="00435C79"/>
    <w:rsid w:val="00436122"/>
    <w:rsid w:val="00436D37"/>
    <w:rsid w:val="00437470"/>
    <w:rsid w:val="00441225"/>
    <w:rsid w:val="00441985"/>
    <w:rsid w:val="00441CE8"/>
    <w:rsid w:val="00443616"/>
    <w:rsid w:val="0044375B"/>
    <w:rsid w:val="004440ED"/>
    <w:rsid w:val="00444688"/>
    <w:rsid w:val="00445211"/>
    <w:rsid w:val="004455E3"/>
    <w:rsid w:val="00446E89"/>
    <w:rsid w:val="00446F7F"/>
    <w:rsid w:val="004474D0"/>
    <w:rsid w:val="00450747"/>
    <w:rsid w:val="0045128B"/>
    <w:rsid w:val="004536D9"/>
    <w:rsid w:val="00454CB9"/>
    <w:rsid w:val="00456037"/>
    <w:rsid w:val="00456EBB"/>
    <w:rsid w:val="004600E8"/>
    <w:rsid w:val="00466245"/>
    <w:rsid w:val="0046646D"/>
    <w:rsid w:val="004666D7"/>
    <w:rsid w:val="00466E38"/>
    <w:rsid w:val="004675EA"/>
    <w:rsid w:val="00467F56"/>
    <w:rsid w:val="00470C11"/>
    <w:rsid w:val="004712E6"/>
    <w:rsid w:val="00473CB7"/>
    <w:rsid w:val="00475853"/>
    <w:rsid w:val="004775C4"/>
    <w:rsid w:val="004806C6"/>
    <w:rsid w:val="00482B5C"/>
    <w:rsid w:val="00482DAF"/>
    <w:rsid w:val="004835AB"/>
    <w:rsid w:val="00484068"/>
    <w:rsid w:val="004846B0"/>
    <w:rsid w:val="0048488E"/>
    <w:rsid w:val="00491AC1"/>
    <w:rsid w:val="00491BBE"/>
    <w:rsid w:val="00492468"/>
    <w:rsid w:val="0049260D"/>
    <w:rsid w:val="0049285F"/>
    <w:rsid w:val="00493362"/>
    <w:rsid w:val="00493C5C"/>
    <w:rsid w:val="004947BF"/>
    <w:rsid w:val="00495D48"/>
    <w:rsid w:val="00495FD5"/>
    <w:rsid w:val="004962CF"/>
    <w:rsid w:val="004979B7"/>
    <w:rsid w:val="004A0542"/>
    <w:rsid w:val="004A0B46"/>
    <w:rsid w:val="004A2CC2"/>
    <w:rsid w:val="004A377D"/>
    <w:rsid w:val="004A46AE"/>
    <w:rsid w:val="004A4FE4"/>
    <w:rsid w:val="004A6317"/>
    <w:rsid w:val="004A6460"/>
    <w:rsid w:val="004B0157"/>
    <w:rsid w:val="004B0553"/>
    <w:rsid w:val="004B0D14"/>
    <w:rsid w:val="004B0FC9"/>
    <w:rsid w:val="004B1167"/>
    <w:rsid w:val="004B2129"/>
    <w:rsid w:val="004B344A"/>
    <w:rsid w:val="004B352C"/>
    <w:rsid w:val="004B5BD2"/>
    <w:rsid w:val="004C094F"/>
    <w:rsid w:val="004C115B"/>
    <w:rsid w:val="004C59A6"/>
    <w:rsid w:val="004C5ECD"/>
    <w:rsid w:val="004C6E9E"/>
    <w:rsid w:val="004C7E9E"/>
    <w:rsid w:val="004D0CA0"/>
    <w:rsid w:val="004D132D"/>
    <w:rsid w:val="004D1BC6"/>
    <w:rsid w:val="004D3A7E"/>
    <w:rsid w:val="004D3CCF"/>
    <w:rsid w:val="004D7E9B"/>
    <w:rsid w:val="004E0A18"/>
    <w:rsid w:val="004E0B6B"/>
    <w:rsid w:val="004E17E3"/>
    <w:rsid w:val="004E17F1"/>
    <w:rsid w:val="004E1CA7"/>
    <w:rsid w:val="004E426C"/>
    <w:rsid w:val="004E4342"/>
    <w:rsid w:val="004E476D"/>
    <w:rsid w:val="004E4F30"/>
    <w:rsid w:val="004E6664"/>
    <w:rsid w:val="004F01CD"/>
    <w:rsid w:val="004F077E"/>
    <w:rsid w:val="004F3D66"/>
    <w:rsid w:val="004F4B57"/>
    <w:rsid w:val="004F50A7"/>
    <w:rsid w:val="004F74D7"/>
    <w:rsid w:val="00500F6A"/>
    <w:rsid w:val="00500FFC"/>
    <w:rsid w:val="00501475"/>
    <w:rsid w:val="0050280C"/>
    <w:rsid w:val="00504080"/>
    <w:rsid w:val="00505353"/>
    <w:rsid w:val="005055FE"/>
    <w:rsid w:val="00507AD7"/>
    <w:rsid w:val="00507DB7"/>
    <w:rsid w:val="00511518"/>
    <w:rsid w:val="005122E1"/>
    <w:rsid w:val="00512ABB"/>
    <w:rsid w:val="00513124"/>
    <w:rsid w:val="005140B7"/>
    <w:rsid w:val="00514A95"/>
    <w:rsid w:val="00515496"/>
    <w:rsid w:val="005161D0"/>
    <w:rsid w:val="005175E3"/>
    <w:rsid w:val="00517864"/>
    <w:rsid w:val="00517BBF"/>
    <w:rsid w:val="00520CEB"/>
    <w:rsid w:val="00522B73"/>
    <w:rsid w:val="0052358E"/>
    <w:rsid w:val="00525563"/>
    <w:rsid w:val="005262BA"/>
    <w:rsid w:val="00526827"/>
    <w:rsid w:val="005276EE"/>
    <w:rsid w:val="00527C99"/>
    <w:rsid w:val="00530436"/>
    <w:rsid w:val="00531D54"/>
    <w:rsid w:val="00532EA1"/>
    <w:rsid w:val="00533E07"/>
    <w:rsid w:val="0053486A"/>
    <w:rsid w:val="00534B38"/>
    <w:rsid w:val="00534E4D"/>
    <w:rsid w:val="0053525B"/>
    <w:rsid w:val="00537132"/>
    <w:rsid w:val="005404FB"/>
    <w:rsid w:val="00540803"/>
    <w:rsid w:val="005418E2"/>
    <w:rsid w:val="0054407D"/>
    <w:rsid w:val="005449CC"/>
    <w:rsid w:val="00546703"/>
    <w:rsid w:val="005467FD"/>
    <w:rsid w:val="00552038"/>
    <w:rsid w:val="00553E28"/>
    <w:rsid w:val="0055446B"/>
    <w:rsid w:val="00555789"/>
    <w:rsid w:val="00555D5C"/>
    <w:rsid w:val="005569BE"/>
    <w:rsid w:val="00557F96"/>
    <w:rsid w:val="00560B3F"/>
    <w:rsid w:val="0056398B"/>
    <w:rsid w:val="00563C16"/>
    <w:rsid w:val="005641E8"/>
    <w:rsid w:val="00564B0C"/>
    <w:rsid w:val="00564D72"/>
    <w:rsid w:val="0056729A"/>
    <w:rsid w:val="00567C05"/>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465"/>
    <w:rsid w:val="0059453A"/>
    <w:rsid w:val="00595AA8"/>
    <w:rsid w:val="00596F1A"/>
    <w:rsid w:val="00597DDB"/>
    <w:rsid w:val="005A09B7"/>
    <w:rsid w:val="005A1EE8"/>
    <w:rsid w:val="005A270A"/>
    <w:rsid w:val="005A300D"/>
    <w:rsid w:val="005A3405"/>
    <w:rsid w:val="005A355A"/>
    <w:rsid w:val="005A57DA"/>
    <w:rsid w:val="005A5D73"/>
    <w:rsid w:val="005A5E56"/>
    <w:rsid w:val="005A613F"/>
    <w:rsid w:val="005A620F"/>
    <w:rsid w:val="005A6F9D"/>
    <w:rsid w:val="005A758D"/>
    <w:rsid w:val="005A7D59"/>
    <w:rsid w:val="005A7F8F"/>
    <w:rsid w:val="005B17F2"/>
    <w:rsid w:val="005B396B"/>
    <w:rsid w:val="005B54AA"/>
    <w:rsid w:val="005B5AC4"/>
    <w:rsid w:val="005B5CBA"/>
    <w:rsid w:val="005B7A85"/>
    <w:rsid w:val="005B7B48"/>
    <w:rsid w:val="005C0E2A"/>
    <w:rsid w:val="005C0F2F"/>
    <w:rsid w:val="005C13DD"/>
    <w:rsid w:val="005C180F"/>
    <w:rsid w:val="005C18CA"/>
    <w:rsid w:val="005C208D"/>
    <w:rsid w:val="005C24F8"/>
    <w:rsid w:val="005C2CE0"/>
    <w:rsid w:val="005C41BF"/>
    <w:rsid w:val="005C42A1"/>
    <w:rsid w:val="005C64E5"/>
    <w:rsid w:val="005D06C3"/>
    <w:rsid w:val="005D294C"/>
    <w:rsid w:val="005D3048"/>
    <w:rsid w:val="005D48A9"/>
    <w:rsid w:val="005D4CEC"/>
    <w:rsid w:val="005D6FE8"/>
    <w:rsid w:val="005E1C4B"/>
    <w:rsid w:val="005E39AC"/>
    <w:rsid w:val="005E3C39"/>
    <w:rsid w:val="005E42CD"/>
    <w:rsid w:val="005E5D4A"/>
    <w:rsid w:val="005E638D"/>
    <w:rsid w:val="005E6774"/>
    <w:rsid w:val="005F28EE"/>
    <w:rsid w:val="005F2AAF"/>
    <w:rsid w:val="005F2BF0"/>
    <w:rsid w:val="005F2CFA"/>
    <w:rsid w:val="005F35AE"/>
    <w:rsid w:val="005F49F8"/>
    <w:rsid w:val="005F68E1"/>
    <w:rsid w:val="005F6D0A"/>
    <w:rsid w:val="00600290"/>
    <w:rsid w:val="00600752"/>
    <w:rsid w:val="00600F1A"/>
    <w:rsid w:val="006024FA"/>
    <w:rsid w:val="00602D03"/>
    <w:rsid w:val="00604193"/>
    <w:rsid w:val="00605CB7"/>
    <w:rsid w:val="00605CE6"/>
    <w:rsid w:val="0060792F"/>
    <w:rsid w:val="0061090C"/>
    <w:rsid w:val="00610E61"/>
    <w:rsid w:val="00612D2D"/>
    <w:rsid w:val="00613413"/>
    <w:rsid w:val="006143C4"/>
    <w:rsid w:val="006149CC"/>
    <w:rsid w:val="00615FBE"/>
    <w:rsid w:val="00616E1B"/>
    <w:rsid w:val="00617747"/>
    <w:rsid w:val="00620457"/>
    <w:rsid w:val="00620B9D"/>
    <w:rsid w:val="00620F17"/>
    <w:rsid w:val="006210E8"/>
    <w:rsid w:val="00621706"/>
    <w:rsid w:val="00623C95"/>
    <w:rsid w:val="00623D2A"/>
    <w:rsid w:val="00624C39"/>
    <w:rsid w:val="00625D72"/>
    <w:rsid w:val="00627AB9"/>
    <w:rsid w:val="00630DE0"/>
    <w:rsid w:val="00630E29"/>
    <w:rsid w:val="00631837"/>
    <w:rsid w:val="0063196F"/>
    <w:rsid w:val="0063271E"/>
    <w:rsid w:val="00632FD0"/>
    <w:rsid w:val="0063554C"/>
    <w:rsid w:val="00635963"/>
    <w:rsid w:val="0063775E"/>
    <w:rsid w:val="00637FBF"/>
    <w:rsid w:val="006407A9"/>
    <w:rsid w:val="00641112"/>
    <w:rsid w:val="006424F9"/>
    <w:rsid w:val="0064253C"/>
    <w:rsid w:val="00643603"/>
    <w:rsid w:val="0064635B"/>
    <w:rsid w:val="00646A13"/>
    <w:rsid w:val="00647366"/>
    <w:rsid w:val="00647CC4"/>
    <w:rsid w:val="00647D6D"/>
    <w:rsid w:val="006504F9"/>
    <w:rsid w:val="006511EE"/>
    <w:rsid w:val="00651E66"/>
    <w:rsid w:val="00652BE5"/>
    <w:rsid w:val="006533E5"/>
    <w:rsid w:val="00653A6A"/>
    <w:rsid w:val="00653CBF"/>
    <w:rsid w:val="00655EB2"/>
    <w:rsid w:val="00660A46"/>
    <w:rsid w:val="00661A49"/>
    <w:rsid w:val="00661BC9"/>
    <w:rsid w:val="00662A44"/>
    <w:rsid w:val="00662EFB"/>
    <w:rsid w:val="006633C1"/>
    <w:rsid w:val="00663ECC"/>
    <w:rsid w:val="00664BBD"/>
    <w:rsid w:val="006652A4"/>
    <w:rsid w:val="00666367"/>
    <w:rsid w:val="0066639B"/>
    <w:rsid w:val="006672EB"/>
    <w:rsid w:val="0066766E"/>
    <w:rsid w:val="00667849"/>
    <w:rsid w:val="0067019C"/>
    <w:rsid w:val="00670A62"/>
    <w:rsid w:val="006711FE"/>
    <w:rsid w:val="00671375"/>
    <w:rsid w:val="006724FB"/>
    <w:rsid w:val="00674567"/>
    <w:rsid w:val="006749F8"/>
    <w:rsid w:val="00674C83"/>
    <w:rsid w:val="00675587"/>
    <w:rsid w:val="006755B6"/>
    <w:rsid w:val="00676A30"/>
    <w:rsid w:val="006772AB"/>
    <w:rsid w:val="006775CD"/>
    <w:rsid w:val="00677B70"/>
    <w:rsid w:val="006805FB"/>
    <w:rsid w:val="006810B1"/>
    <w:rsid w:val="006828A9"/>
    <w:rsid w:val="0068440D"/>
    <w:rsid w:val="00685B67"/>
    <w:rsid w:val="006866C6"/>
    <w:rsid w:val="00686E08"/>
    <w:rsid w:val="00687A9D"/>
    <w:rsid w:val="00687D59"/>
    <w:rsid w:val="00687F7F"/>
    <w:rsid w:val="00691175"/>
    <w:rsid w:val="00691F57"/>
    <w:rsid w:val="0069761D"/>
    <w:rsid w:val="006A0950"/>
    <w:rsid w:val="006A0D3E"/>
    <w:rsid w:val="006A1158"/>
    <w:rsid w:val="006A1A1F"/>
    <w:rsid w:val="006A2D89"/>
    <w:rsid w:val="006A3A31"/>
    <w:rsid w:val="006A3CE6"/>
    <w:rsid w:val="006A41B7"/>
    <w:rsid w:val="006A58F7"/>
    <w:rsid w:val="006A6B6F"/>
    <w:rsid w:val="006A6BB1"/>
    <w:rsid w:val="006A6C84"/>
    <w:rsid w:val="006A6D9F"/>
    <w:rsid w:val="006B0BF4"/>
    <w:rsid w:val="006B1114"/>
    <w:rsid w:val="006B1453"/>
    <w:rsid w:val="006B197E"/>
    <w:rsid w:val="006B3C54"/>
    <w:rsid w:val="006B50F2"/>
    <w:rsid w:val="006B59A5"/>
    <w:rsid w:val="006C18D4"/>
    <w:rsid w:val="006C26AE"/>
    <w:rsid w:val="006C38AC"/>
    <w:rsid w:val="006C7105"/>
    <w:rsid w:val="006D033F"/>
    <w:rsid w:val="006D1404"/>
    <w:rsid w:val="006D32A9"/>
    <w:rsid w:val="006D4AEF"/>
    <w:rsid w:val="006D4FAF"/>
    <w:rsid w:val="006D5E89"/>
    <w:rsid w:val="006D5F2F"/>
    <w:rsid w:val="006D5FD0"/>
    <w:rsid w:val="006D6EDF"/>
    <w:rsid w:val="006E0344"/>
    <w:rsid w:val="006E066E"/>
    <w:rsid w:val="006E08E4"/>
    <w:rsid w:val="006E1731"/>
    <w:rsid w:val="006E3090"/>
    <w:rsid w:val="006E3313"/>
    <w:rsid w:val="006E3CD0"/>
    <w:rsid w:val="006E536C"/>
    <w:rsid w:val="006E594D"/>
    <w:rsid w:val="006E62A0"/>
    <w:rsid w:val="006E65F2"/>
    <w:rsid w:val="006E7D16"/>
    <w:rsid w:val="006E7F6E"/>
    <w:rsid w:val="006F0157"/>
    <w:rsid w:val="006F1BAA"/>
    <w:rsid w:val="006F20BD"/>
    <w:rsid w:val="006F49DA"/>
    <w:rsid w:val="006F4C57"/>
    <w:rsid w:val="006F5E1E"/>
    <w:rsid w:val="006F5EFE"/>
    <w:rsid w:val="006F7CE9"/>
    <w:rsid w:val="00700398"/>
    <w:rsid w:val="00700953"/>
    <w:rsid w:val="00701FF8"/>
    <w:rsid w:val="007038C9"/>
    <w:rsid w:val="00704566"/>
    <w:rsid w:val="00706385"/>
    <w:rsid w:val="007116F6"/>
    <w:rsid w:val="00711996"/>
    <w:rsid w:val="007133F3"/>
    <w:rsid w:val="0071341B"/>
    <w:rsid w:val="00713930"/>
    <w:rsid w:val="00713939"/>
    <w:rsid w:val="00713A94"/>
    <w:rsid w:val="00715E7F"/>
    <w:rsid w:val="00716953"/>
    <w:rsid w:val="00717E55"/>
    <w:rsid w:val="007211CE"/>
    <w:rsid w:val="00722700"/>
    <w:rsid w:val="0072328A"/>
    <w:rsid w:val="0072378B"/>
    <w:rsid w:val="00724AC7"/>
    <w:rsid w:val="00724D8A"/>
    <w:rsid w:val="007255BE"/>
    <w:rsid w:val="00725CDE"/>
    <w:rsid w:val="00725F6D"/>
    <w:rsid w:val="00730138"/>
    <w:rsid w:val="007309EE"/>
    <w:rsid w:val="00730FB1"/>
    <w:rsid w:val="00731C6D"/>
    <w:rsid w:val="00731DB9"/>
    <w:rsid w:val="007324C0"/>
    <w:rsid w:val="00732C63"/>
    <w:rsid w:val="00733A3F"/>
    <w:rsid w:val="00736EF5"/>
    <w:rsid w:val="00740964"/>
    <w:rsid w:val="00741112"/>
    <w:rsid w:val="007425A0"/>
    <w:rsid w:val="00743601"/>
    <w:rsid w:val="0074622A"/>
    <w:rsid w:val="00747D34"/>
    <w:rsid w:val="00750413"/>
    <w:rsid w:val="007513D2"/>
    <w:rsid w:val="00751770"/>
    <w:rsid w:val="00751D95"/>
    <w:rsid w:val="007532DB"/>
    <w:rsid w:val="007545D0"/>
    <w:rsid w:val="0075465B"/>
    <w:rsid w:val="007554AD"/>
    <w:rsid w:val="007555B5"/>
    <w:rsid w:val="007560FE"/>
    <w:rsid w:val="007606B4"/>
    <w:rsid w:val="00760E38"/>
    <w:rsid w:val="00761CB2"/>
    <w:rsid w:val="007628F0"/>
    <w:rsid w:val="007633F7"/>
    <w:rsid w:val="00763CA3"/>
    <w:rsid w:val="007641E5"/>
    <w:rsid w:val="007643DC"/>
    <w:rsid w:val="007649EC"/>
    <w:rsid w:val="00764B6B"/>
    <w:rsid w:val="0077155C"/>
    <w:rsid w:val="00771AF9"/>
    <w:rsid w:val="007723BC"/>
    <w:rsid w:val="00772B86"/>
    <w:rsid w:val="00773CC3"/>
    <w:rsid w:val="00773DB4"/>
    <w:rsid w:val="007746B9"/>
    <w:rsid w:val="00774982"/>
    <w:rsid w:val="00774E25"/>
    <w:rsid w:val="00775DD1"/>
    <w:rsid w:val="007762A8"/>
    <w:rsid w:val="00780CD6"/>
    <w:rsid w:val="00782C4C"/>
    <w:rsid w:val="007834ED"/>
    <w:rsid w:val="007856FE"/>
    <w:rsid w:val="007873AE"/>
    <w:rsid w:val="00787433"/>
    <w:rsid w:val="00790358"/>
    <w:rsid w:val="00791CBF"/>
    <w:rsid w:val="00792962"/>
    <w:rsid w:val="007944B3"/>
    <w:rsid w:val="00795C6F"/>
    <w:rsid w:val="007A09F0"/>
    <w:rsid w:val="007A39C9"/>
    <w:rsid w:val="007A3DEC"/>
    <w:rsid w:val="007A5951"/>
    <w:rsid w:val="007A5C89"/>
    <w:rsid w:val="007A6697"/>
    <w:rsid w:val="007A7904"/>
    <w:rsid w:val="007B021B"/>
    <w:rsid w:val="007B1709"/>
    <w:rsid w:val="007B417B"/>
    <w:rsid w:val="007B4D2D"/>
    <w:rsid w:val="007B71DB"/>
    <w:rsid w:val="007C20ED"/>
    <w:rsid w:val="007C30E4"/>
    <w:rsid w:val="007C3957"/>
    <w:rsid w:val="007C3A37"/>
    <w:rsid w:val="007C3B09"/>
    <w:rsid w:val="007C4873"/>
    <w:rsid w:val="007C6342"/>
    <w:rsid w:val="007C679E"/>
    <w:rsid w:val="007C7DB3"/>
    <w:rsid w:val="007D07C3"/>
    <w:rsid w:val="007D1658"/>
    <w:rsid w:val="007D1E37"/>
    <w:rsid w:val="007D2450"/>
    <w:rsid w:val="007D2460"/>
    <w:rsid w:val="007D2846"/>
    <w:rsid w:val="007D2E1D"/>
    <w:rsid w:val="007D3D58"/>
    <w:rsid w:val="007D3DBE"/>
    <w:rsid w:val="007D3FB0"/>
    <w:rsid w:val="007D5D83"/>
    <w:rsid w:val="007D607E"/>
    <w:rsid w:val="007D6338"/>
    <w:rsid w:val="007E1930"/>
    <w:rsid w:val="007E790F"/>
    <w:rsid w:val="007F03FB"/>
    <w:rsid w:val="007F15C9"/>
    <w:rsid w:val="007F1783"/>
    <w:rsid w:val="007F1795"/>
    <w:rsid w:val="007F19BF"/>
    <w:rsid w:val="007F205D"/>
    <w:rsid w:val="007F351E"/>
    <w:rsid w:val="007F3D4E"/>
    <w:rsid w:val="007F426D"/>
    <w:rsid w:val="007F4724"/>
    <w:rsid w:val="007F476F"/>
    <w:rsid w:val="007F5438"/>
    <w:rsid w:val="007F572A"/>
    <w:rsid w:val="007F6147"/>
    <w:rsid w:val="007F614F"/>
    <w:rsid w:val="007F729F"/>
    <w:rsid w:val="007F7D72"/>
    <w:rsid w:val="00801AB9"/>
    <w:rsid w:val="00804634"/>
    <w:rsid w:val="00804677"/>
    <w:rsid w:val="008052D7"/>
    <w:rsid w:val="008055BF"/>
    <w:rsid w:val="00806223"/>
    <w:rsid w:val="00806AE0"/>
    <w:rsid w:val="00810C2D"/>
    <w:rsid w:val="00811B7F"/>
    <w:rsid w:val="00814268"/>
    <w:rsid w:val="00814CEA"/>
    <w:rsid w:val="00814F2C"/>
    <w:rsid w:val="00815C08"/>
    <w:rsid w:val="00816FBF"/>
    <w:rsid w:val="00817451"/>
    <w:rsid w:val="00820313"/>
    <w:rsid w:val="0082068E"/>
    <w:rsid w:val="008215AE"/>
    <w:rsid w:val="00824C5C"/>
    <w:rsid w:val="00825CA4"/>
    <w:rsid w:val="00826230"/>
    <w:rsid w:val="0082666E"/>
    <w:rsid w:val="00826C2E"/>
    <w:rsid w:val="00827EEC"/>
    <w:rsid w:val="00831C0A"/>
    <w:rsid w:val="0083380E"/>
    <w:rsid w:val="0083387D"/>
    <w:rsid w:val="00835F35"/>
    <w:rsid w:val="00836D67"/>
    <w:rsid w:val="008419A6"/>
    <w:rsid w:val="00842603"/>
    <w:rsid w:val="008433EB"/>
    <w:rsid w:val="00844B3A"/>
    <w:rsid w:val="00844D95"/>
    <w:rsid w:val="00845248"/>
    <w:rsid w:val="00845860"/>
    <w:rsid w:val="0084649D"/>
    <w:rsid w:val="00846853"/>
    <w:rsid w:val="00846AB2"/>
    <w:rsid w:val="00846B74"/>
    <w:rsid w:val="00851D51"/>
    <w:rsid w:val="0085213A"/>
    <w:rsid w:val="008531E1"/>
    <w:rsid w:val="00856079"/>
    <w:rsid w:val="00857C6A"/>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1309"/>
    <w:rsid w:val="00882958"/>
    <w:rsid w:val="00883D0F"/>
    <w:rsid w:val="008840D8"/>
    <w:rsid w:val="0088496B"/>
    <w:rsid w:val="00885371"/>
    <w:rsid w:val="00885B5F"/>
    <w:rsid w:val="00887520"/>
    <w:rsid w:val="00887621"/>
    <w:rsid w:val="0089203E"/>
    <w:rsid w:val="008929C5"/>
    <w:rsid w:val="00893136"/>
    <w:rsid w:val="00894637"/>
    <w:rsid w:val="008956E6"/>
    <w:rsid w:val="0089747D"/>
    <w:rsid w:val="00897D57"/>
    <w:rsid w:val="00897ECC"/>
    <w:rsid w:val="008A0B5F"/>
    <w:rsid w:val="008A0E9F"/>
    <w:rsid w:val="008A1C7C"/>
    <w:rsid w:val="008A1EAA"/>
    <w:rsid w:val="008A210C"/>
    <w:rsid w:val="008A2B58"/>
    <w:rsid w:val="008A3D95"/>
    <w:rsid w:val="008A5706"/>
    <w:rsid w:val="008A570F"/>
    <w:rsid w:val="008A57F2"/>
    <w:rsid w:val="008A57F8"/>
    <w:rsid w:val="008A619D"/>
    <w:rsid w:val="008A6726"/>
    <w:rsid w:val="008A678C"/>
    <w:rsid w:val="008A67D0"/>
    <w:rsid w:val="008A7F5A"/>
    <w:rsid w:val="008A7FEC"/>
    <w:rsid w:val="008B1560"/>
    <w:rsid w:val="008B4D9E"/>
    <w:rsid w:val="008B5603"/>
    <w:rsid w:val="008B5DCB"/>
    <w:rsid w:val="008B6871"/>
    <w:rsid w:val="008B6F5B"/>
    <w:rsid w:val="008C0BBF"/>
    <w:rsid w:val="008C1F38"/>
    <w:rsid w:val="008C5336"/>
    <w:rsid w:val="008C5690"/>
    <w:rsid w:val="008C6115"/>
    <w:rsid w:val="008C6BDB"/>
    <w:rsid w:val="008D00DD"/>
    <w:rsid w:val="008D0185"/>
    <w:rsid w:val="008D1B71"/>
    <w:rsid w:val="008D2B21"/>
    <w:rsid w:val="008D3F9C"/>
    <w:rsid w:val="008D56A6"/>
    <w:rsid w:val="008D6FF8"/>
    <w:rsid w:val="008E032A"/>
    <w:rsid w:val="008E198D"/>
    <w:rsid w:val="008E20C6"/>
    <w:rsid w:val="008E24BC"/>
    <w:rsid w:val="008E32A1"/>
    <w:rsid w:val="008E3C4A"/>
    <w:rsid w:val="008E4062"/>
    <w:rsid w:val="008E48EE"/>
    <w:rsid w:val="008E75A7"/>
    <w:rsid w:val="008F13E3"/>
    <w:rsid w:val="008F2297"/>
    <w:rsid w:val="008F566F"/>
    <w:rsid w:val="008F5CD7"/>
    <w:rsid w:val="008F5E49"/>
    <w:rsid w:val="008F7088"/>
    <w:rsid w:val="008F775F"/>
    <w:rsid w:val="00901073"/>
    <w:rsid w:val="00901458"/>
    <w:rsid w:val="00902D07"/>
    <w:rsid w:val="00904429"/>
    <w:rsid w:val="00905B70"/>
    <w:rsid w:val="009061A0"/>
    <w:rsid w:val="00906967"/>
    <w:rsid w:val="0090743F"/>
    <w:rsid w:val="009079E0"/>
    <w:rsid w:val="00907FFB"/>
    <w:rsid w:val="009105EA"/>
    <w:rsid w:val="009106F7"/>
    <w:rsid w:val="00913B5A"/>
    <w:rsid w:val="00921F6F"/>
    <w:rsid w:val="00922276"/>
    <w:rsid w:val="009232AB"/>
    <w:rsid w:val="00923B0E"/>
    <w:rsid w:val="00924A11"/>
    <w:rsid w:val="00926517"/>
    <w:rsid w:val="009274C3"/>
    <w:rsid w:val="00930C7F"/>
    <w:rsid w:val="00931354"/>
    <w:rsid w:val="00932E56"/>
    <w:rsid w:val="009339FB"/>
    <w:rsid w:val="00933A70"/>
    <w:rsid w:val="009343F9"/>
    <w:rsid w:val="00934D05"/>
    <w:rsid w:val="009355AA"/>
    <w:rsid w:val="009362DA"/>
    <w:rsid w:val="00941CA8"/>
    <w:rsid w:val="00944AA2"/>
    <w:rsid w:val="00945ADB"/>
    <w:rsid w:val="009474E6"/>
    <w:rsid w:val="00947D60"/>
    <w:rsid w:val="00947ED0"/>
    <w:rsid w:val="00952ACE"/>
    <w:rsid w:val="00953E8D"/>
    <w:rsid w:val="0095445B"/>
    <w:rsid w:val="00954F15"/>
    <w:rsid w:val="00954F24"/>
    <w:rsid w:val="0095542F"/>
    <w:rsid w:val="00956DDA"/>
    <w:rsid w:val="00956F0D"/>
    <w:rsid w:val="009574B0"/>
    <w:rsid w:val="009577F5"/>
    <w:rsid w:val="009578A4"/>
    <w:rsid w:val="00960384"/>
    <w:rsid w:val="00963973"/>
    <w:rsid w:val="00964171"/>
    <w:rsid w:val="00964B31"/>
    <w:rsid w:val="0096542B"/>
    <w:rsid w:val="00966DA2"/>
    <w:rsid w:val="00970995"/>
    <w:rsid w:val="00970F58"/>
    <w:rsid w:val="00972584"/>
    <w:rsid w:val="00972C84"/>
    <w:rsid w:val="00973681"/>
    <w:rsid w:val="0097389F"/>
    <w:rsid w:val="00974FEF"/>
    <w:rsid w:val="00980258"/>
    <w:rsid w:val="0098182C"/>
    <w:rsid w:val="00982FB9"/>
    <w:rsid w:val="009835D9"/>
    <w:rsid w:val="0098493B"/>
    <w:rsid w:val="009928D4"/>
    <w:rsid w:val="00992BC1"/>
    <w:rsid w:val="00993DC8"/>
    <w:rsid w:val="00993F65"/>
    <w:rsid w:val="00993F89"/>
    <w:rsid w:val="00993FE4"/>
    <w:rsid w:val="00994230"/>
    <w:rsid w:val="009957F2"/>
    <w:rsid w:val="0099705B"/>
    <w:rsid w:val="009A07BA"/>
    <w:rsid w:val="009A1CA4"/>
    <w:rsid w:val="009A2AAA"/>
    <w:rsid w:val="009A4F8A"/>
    <w:rsid w:val="009A57DD"/>
    <w:rsid w:val="009B0ED7"/>
    <w:rsid w:val="009B1362"/>
    <w:rsid w:val="009B2997"/>
    <w:rsid w:val="009B5620"/>
    <w:rsid w:val="009B6BA5"/>
    <w:rsid w:val="009B77B0"/>
    <w:rsid w:val="009C3AD2"/>
    <w:rsid w:val="009C7764"/>
    <w:rsid w:val="009D143A"/>
    <w:rsid w:val="009D1AB5"/>
    <w:rsid w:val="009D23C6"/>
    <w:rsid w:val="009D3309"/>
    <w:rsid w:val="009D4770"/>
    <w:rsid w:val="009D52E5"/>
    <w:rsid w:val="009D7632"/>
    <w:rsid w:val="009E12EA"/>
    <w:rsid w:val="009E2925"/>
    <w:rsid w:val="009E31BC"/>
    <w:rsid w:val="009E358C"/>
    <w:rsid w:val="009E40E2"/>
    <w:rsid w:val="009E4785"/>
    <w:rsid w:val="009E4845"/>
    <w:rsid w:val="009E4C65"/>
    <w:rsid w:val="009E5179"/>
    <w:rsid w:val="009E67B3"/>
    <w:rsid w:val="009F2BF0"/>
    <w:rsid w:val="009F3724"/>
    <w:rsid w:val="009F4772"/>
    <w:rsid w:val="009F6C07"/>
    <w:rsid w:val="009F7674"/>
    <w:rsid w:val="009F7D8C"/>
    <w:rsid w:val="009F7FDD"/>
    <w:rsid w:val="00A00254"/>
    <w:rsid w:val="00A006B5"/>
    <w:rsid w:val="00A0184C"/>
    <w:rsid w:val="00A03106"/>
    <w:rsid w:val="00A03411"/>
    <w:rsid w:val="00A0435F"/>
    <w:rsid w:val="00A058C7"/>
    <w:rsid w:val="00A05A84"/>
    <w:rsid w:val="00A068A8"/>
    <w:rsid w:val="00A10BF2"/>
    <w:rsid w:val="00A11196"/>
    <w:rsid w:val="00A11D7D"/>
    <w:rsid w:val="00A12224"/>
    <w:rsid w:val="00A12A45"/>
    <w:rsid w:val="00A12C8B"/>
    <w:rsid w:val="00A16288"/>
    <w:rsid w:val="00A1677D"/>
    <w:rsid w:val="00A16961"/>
    <w:rsid w:val="00A16DAD"/>
    <w:rsid w:val="00A17DCD"/>
    <w:rsid w:val="00A20225"/>
    <w:rsid w:val="00A2096B"/>
    <w:rsid w:val="00A21738"/>
    <w:rsid w:val="00A230A3"/>
    <w:rsid w:val="00A23E92"/>
    <w:rsid w:val="00A25A4F"/>
    <w:rsid w:val="00A272A1"/>
    <w:rsid w:val="00A273E9"/>
    <w:rsid w:val="00A30186"/>
    <w:rsid w:val="00A305D7"/>
    <w:rsid w:val="00A30C05"/>
    <w:rsid w:val="00A3108B"/>
    <w:rsid w:val="00A3198A"/>
    <w:rsid w:val="00A31E9D"/>
    <w:rsid w:val="00A3267B"/>
    <w:rsid w:val="00A34620"/>
    <w:rsid w:val="00A34A26"/>
    <w:rsid w:val="00A353FB"/>
    <w:rsid w:val="00A35789"/>
    <w:rsid w:val="00A35C80"/>
    <w:rsid w:val="00A41B4D"/>
    <w:rsid w:val="00A41CAD"/>
    <w:rsid w:val="00A42CEE"/>
    <w:rsid w:val="00A43FAE"/>
    <w:rsid w:val="00A45A0C"/>
    <w:rsid w:val="00A50202"/>
    <w:rsid w:val="00A5168C"/>
    <w:rsid w:val="00A520E5"/>
    <w:rsid w:val="00A52F59"/>
    <w:rsid w:val="00A56621"/>
    <w:rsid w:val="00A57760"/>
    <w:rsid w:val="00A627CD"/>
    <w:rsid w:val="00A63C8E"/>
    <w:rsid w:val="00A6424F"/>
    <w:rsid w:val="00A6579D"/>
    <w:rsid w:val="00A67EE1"/>
    <w:rsid w:val="00A70130"/>
    <w:rsid w:val="00A71B6B"/>
    <w:rsid w:val="00A738C7"/>
    <w:rsid w:val="00A73D57"/>
    <w:rsid w:val="00A73F65"/>
    <w:rsid w:val="00A742B2"/>
    <w:rsid w:val="00A74A6B"/>
    <w:rsid w:val="00A75722"/>
    <w:rsid w:val="00A76573"/>
    <w:rsid w:val="00A802EA"/>
    <w:rsid w:val="00A816B4"/>
    <w:rsid w:val="00A81B09"/>
    <w:rsid w:val="00A84F16"/>
    <w:rsid w:val="00A8508F"/>
    <w:rsid w:val="00A93E4D"/>
    <w:rsid w:val="00A9551B"/>
    <w:rsid w:val="00A95EB9"/>
    <w:rsid w:val="00A966B0"/>
    <w:rsid w:val="00A96DB5"/>
    <w:rsid w:val="00A96FC5"/>
    <w:rsid w:val="00A9776F"/>
    <w:rsid w:val="00A97927"/>
    <w:rsid w:val="00A97DDD"/>
    <w:rsid w:val="00AA00C0"/>
    <w:rsid w:val="00AA0182"/>
    <w:rsid w:val="00AA25CF"/>
    <w:rsid w:val="00AA29D6"/>
    <w:rsid w:val="00AA3074"/>
    <w:rsid w:val="00AA6C4E"/>
    <w:rsid w:val="00AB065B"/>
    <w:rsid w:val="00AB09D7"/>
    <w:rsid w:val="00AB0F94"/>
    <w:rsid w:val="00AB1E0A"/>
    <w:rsid w:val="00AB26C1"/>
    <w:rsid w:val="00AB296B"/>
    <w:rsid w:val="00AB2ABA"/>
    <w:rsid w:val="00AB39BB"/>
    <w:rsid w:val="00AB40C2"/>
    <w:rsid w:val="00AB4E66"/>
    <w:rsid w:val="00AB5EC6"/>
    <w:rsid w:val="00AB734C"/>
    <w:rsid w:val="00AB7E9F"/>
    <w:rsid w:val="00AC035A"/>
    <w:rsid w:val="00AC05A7"/>
    <w:rsid w:val="00AC0AEE"/>
    <w:rsid w:val="00AC288C"/>
    <w:rsid w:val="00AC29FB"/>
    <w:rsid w:val="00AC38EF"/>
    <w:rsid w:val="00AC68F1"/>
    <w:rsid w:val="00AD09E2"/>
    <w:rsid w:val="00AD0E27"/>
    <w:rsid w:val="00AD1E35"/>
    <w:rsid w:val="00AD519F"/>
    <w:rsid w:val="00AD5222"/>
    <w:rsid w:val="00AE07F6"/>
    <w:rsid w:val="00AE088A"/>
    <w:rsid w:val="00AE1506"/>
    <w:rsid w:val="00AE15C2"/>
    <w:rsid w:val="00AE3BA6"/>
    <w:rsid w:val="00AE4EAB"/>
    <w:rsid w:val="00AE5A9F"/>
    <w:rsid w:val="00AF000B"/>
    <w:rsid w:val="00AF02A0"/>
    <w:rsid w:val="00AF162C"/>
    <w:rsid w:val="00AF2FE8"/>
    <w:rsid w:val="00AF3FA7"/>
    <w:rsid w:val="00AF4884"/>
    <w:rsid w:val="00AF4B04"/>
    <w:rsid w:val="00AF5217"/>
    <w:rsid w:val="00AF5700"/>
    <w:rsid w:val="00AF5A7B"/>
    <w:rsid w:val="00AF5AF8"/>
    <w:rsid w:val="00AF6656"/>
    <w:rsid w:val="00AF67BB"/>
    <w:rsid w:val="00B01FF6"/>
    <w:rsid w:val="00B02BF4"/>
    <w:rsid w:val="00B0346D"/>
    <w:rsid w:val="00B03E1F"/>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52EC"/>
    <w:rsid w:val="00B267A6"/>
    <w:rsid w:val="00B26D8E"/>
    <w:rsid w:val="00B3029E"/>
    <w:rsid w:val="00B30645"/>
    <w:rsid w:val="00B306A3"/>
    <w:rsid w:val="00B30FD0"/>
    <w:rsid w:val="00B32E97"/>
    <w:rsid w:val="00B33114"/>
    <w:rsid w:val="00B331BD"/>
    <w:rsid w:val="00B33AFD"/>
    <w:rsid w:val="00B346D7"/>
    <w:rsid w:val="00B3542E"/>
    <w:rsid w:val="00B35FE9"/>
    <w:rsid w:val="00B369D3"/>
    <w:rsid w:val="00B37497"/>
    <w:rsid w:val="00B416A2"/>
    <w:rsid w:val="00B417E8"/>
    <w:rsid w:val="00B42F08"/>
    <w:rsid w:val="00B43701"/>
    <w:rsid w:val="00B43A60"/>
    <w:rsid w:val="00B43A84"/>
    <w:rsid w:val="00B44792"/>
    <w:rsid w:val="00B450AD"/>
    <w:rsid w:val="00B462FE"/>
    <w:rsid w:val="00B46D49"/>
    <w:rsid w:val="00B470B0"/>
    <w:rsid w:val="00B47DEF"/>
    <w:rsid w:val="00B50A4A"/>
    <w:rsid w:val="00B51310"/>
    <w:rsid w:val="00B51AB5"/>
    <w:rsid w:val="00B5372D"/>
    <w:rsid w:val="00B547D0"/>
    <w:rsid w:val="00B576F3"/>
    <w:rsid w:val="00B57A08"/>
    <w:rsid w:val="00B57C14"/>
    <w:rsid w:val="00B608D1"/>
    <w:rsid w:val="00B60E0A"/>
    <w:rsid w:val="00B61B9E"/>
    <w:rsid w:val="00B62024"/>
    <w:rsid w:val="00B622A5"/>
    <w:rsid w:val="00B64C9C"/>
    <w:rsid w:val="00B64F12"/>
    <w:rsid w:val="00B66785"/>
    <w:rsid w:val="00B71B86"/>
    <w:rsid w:val="00B7335D"/>
    <w:rsid w:val="00B739DC"/>
    <w:rsid w:val="00B7445A"/>
    <w:rsid w:val="00B74F4C"/>
    <w:rsid w:val="00B76D53"/>
    <w:rsid w:val="00B77FE9"/>
    <w:rsid w:val="00B8032C"/>
    <w:rsid w:val="00B81995"/>
    <w:rsid w:val="00B81EA5"/>
    <w:rsid w:val="00B8241B"/>
    <w:rsid w:val="00B82681"/>
    <w:rsid w:val="00B826C7"/>
    <w:rsid w:val="00B82802"/>
    <w:rsid w:val="00B832F5"/>
    <w:rsid w:val="00B87814"/>
    <w:rsid w:val="00B87B53"/>
    <w:rsid w:val="00B9167E"/>
    <w:rsid w:val="00B920AF"/>
    <w:rsid w:val="00B924B0"/>
    <w:rsid w:val="00B95DB1"/>
    <w:rsid w:val="00B9737A"/>
    <w:rsid w:val="00BA1A5A"/>
    <w:rsid w:val="00BA2904"/>
    <w:rsid w:val="00BA2FDE"/>
    <w:rsid w:val="00BA3B74"/>
    <w:rsid w:val="00BA3F97"/>
    <w:rsid w:val="00BA460C"/>
    <w:rsid w:val="00BA52DC"/>
    <w:rsid w:val="00BA52F1"/>
    <w:rsid w:val="00BA6023"/>
    <w:rsid w:val="00BA6B2D"/>
    <w:rsid w:val="00BB021A"/>
    <w:rsid w:val="00BB0905"/>
    <w:rsid w:val="00BB0961"/>
    <w:rsid w:val="00BB0D8D"/>
    <w:rsid w:val="00BB1C04"/>
    <w:rsid w:val="00BB1CBE"/>
    <w:rsid w:val="00BB3AF9"/>
    <w:rsid w:val="00BB3BA8"/>
    <w:rsid w:val="00BB68AD"/>
    <w:rsid w:val="00BB6B02"/>
    <w:rsid w:val="00BC1398"/>
    <w:rsid w:val="00BC1569"/>
    <w:rsid w:val="00BC15F3"/>
    <w:rsid w:val="00BC26A9"/>
    <w:rsid w:val="00BC2ADD"/>
    <w:rsid w:val="00BC2BFC"/>
    <w:rsid w:val="00BC3573"/>
    <w:rsid w:val="00BC4704"/>
    <w:rsid w:val="00BC4B42"/>
    <w:rsid w:val="00BC6AE0"/>
    <w:rsid w:val="00BC7188"/>
    <w:rsid w:val="00BD0805"/>
    <w:rsid w:val="00BD5983"/>
    <w:rsid w:val="00BD7C7A"/>
    <w:rsid w:val="00BD7F2B"/>
    <w:rsid w:val="00BE08BC"/>
    <w:rsid w:val="00BE23DE"/>
    <w:rsid w:val="00BE5BC4"/>
    <w:rsid w:val="00BE5D94"/>
    <w:rsid w:val="00BE5E21"/>
    <w:rsid w:val="00BE5E7A"/>
    <w:rsid w:val="00BE60DA"/>
    <w:rsid w:val="00BF0011"/>
    <w:rsid w:val="00BF03F0"/>
    <w:rsid w:val="00BF0872"/>
    <w:rsid w:val="00BF1CE1"/>
    <w:rsid w:val="00BF214B"/>
    <w:rsid w:val="00BF3388"/>
    <w:rsid w:val="00BF39AC"/>
    <w:rsid w:val="00BF5D58"/>
    <w:rsid w:val="00BF6416"/>
    <w:rsid w:val="00BF651D"/>
    <w:rsid w:val="00BF6530"/>
    <w:rsid w:val="00BF6E5B"/>
    <w:rsid w:val="00BF7912"/>
    <w:rsid w:val="00C006C6"/>
    <w:rsid w:val="00C00836"/>
    <w:rsid w:val="00C013EE"/>
    <w:rsid w:val="00C01C76"/>
    <w:rsid w:val="00C01D88"/>
    <w:rsid w:val="00C0287F"/>
    <w:rsid w:val="00C049A7"/>
    <w:rsid w:val="00C04C37"/>
    <w:rsid w:val="00C05837"/>
    <w:rsid w:val="00C066A6"/>
    <w:rsid w:val="00C11441"/>
    <w:rsid w:val="00C125FE"/>
    <w:rsid w:val="00C129B4"/>
    <w:rsid w:val="00C12A70"/>
    <w:rsid w:val="00C13A48"/>
    <w:rsid w:val="00C14D3F"/>
    <w:rsid w:val="00C15F1C"/>
    <w:rsid w:val="00C16BE4"/>
    <w:rsid w:val="00C179A8"/>
    <w:rsid w:val="00C17FF3"/>
    <w:rsid w:val="00C20970"/>
    <w:rsid w:val="00C21090"/>
    <w:rsid w:val="00C21AFF"/>
    <w:rsid w:val="00C23979"/>
    <w:rsid w:val="00C239A0"/>
    <w:rsid w:val="00C23C00"/>
    <w:rsid w:val="00C2430B"/>
    <w:rsid w:val="00C25BC2"/>
    <w:rsid w:val="00C2666F"/>
    <w:rsid w:val="00C267D5"/>
    <w:rsid w:val="00C26CD0"/>
    <w:rsid w:val="00C318BB"/>
    <w:rsid w:val="00C3255D"/>
    <w:rsid w:val="00C34764"/>
    <w:rsid w:val="00C3771B"/>
    <w:rsid w:val="00C40128"/>
    <w:rsid w:val="00C42E9E"/>
    <w:rsid w:val="00C460E4"/>
    <w:rsid w:val="00C47130"/>
    <w:rsid w:val="00C4759B"/>
    <w:rsid w:val="00C479E2"/>
    <w:rsid w:val="00C50488"/>
    <w:rsid w:val="00C526B9"/>
    <w:rsid w:val="00C56375"/>
    <w:rsid w:val="00C57374"/>
    <w:rsid w:val="00C576A7"/>
    <w:rsid w:val="00C6029D"/>
    <w:rsid w:val="00C61F58"/>
    <w:rsid w:val="00C61FCD"/>
    <w:rsid w:val="00C63412"/>
    <w:rsid w:val="00C63C9B"/>
    <w:rsid w:val="00C652F4"/>
    <w:rsid w:val="00C67394"/>
    <w:rsid w:val="00C67735"/>
    <w:rsid w:val="00C70897"/>
    <w:rsid w:val="00C730C8"/>
    <w:rsid w:val="00C7512A"/>
    <w:rsid w:val="00C75B4D"/>
    <w:rsid w:val="00C75F1A"/>
    <w:rsid w:val="00C75F7D"/>
    <w:rsid w:val="00C76F10"/>
    <w:rsid w:val="00C77CF6"/>
    <w:rsid w:val="00C8176F"/>
    <w:rsid w:val="00C81CDB"/>
    <w:rsid w:val="00C81D5F"/>
    <w:rsid w:val="00C82191"/>
    <w:rsid w:val="00C821DF"/>
    <w:rsid w:val="00C859D3"/>
    <w:rsid w:val="00C872DD"/>
    <w:rsid w:val="00C92F0C"/>
    <w:rsid w:val="00C93266"/>
    <w:rsid w:val="00C935F7"/>
    <w:rsid w:val="00C95B8E"/>
    <w:rsid w:val="00CA22EE"/>
    <w:rsid w:val="00CA28AF"/>
    <w:rsid w:val="00CA5A50"/>
    <w:rsid w:val="00CA717A"/>
    <w:rsid w:val="00CA7D54"/>
    <w:rsid w:val="00CB018C"/>
    <w:rsid w:val="00CB0753"/>
    <w:rsid w:val="00CB1692"/>
    <w:rsid w:val="00CB18AF"/>
    <w:rsid w:val="00CB19F7"/>
    <w:rsid w:val="00CB2ED4"/>
    <w:rsid w:val="00CB3168"/>
    <w:rsid w:val="00CB3EE5"/>
    <w:rsid w:val="00CB44B3"/>
    <w:rsid w:val="00CB5719"/>
    <w:rsid w:val="00CB5CFA"/>
    <w:rsid w:val="00CB6209"/>
    <w:rsid w:val="00CB62DF"/>
    <w:rsid w:val="00CB7626"/>
    <w:rsid w:val="00CC028F"/>
    <w:rsid w:val="00CC02CD"/>
    <w:rsid w:val="00CC090A"/>
    <w:rsid w:val="00CC1B61"/>
    <w:rsid w:val="00CC1FC9"/>
    <w:rsid w:val="00CC50F5"/>
    <w:rsid w:val="00CC53F0"/>
    <w:rsid w:val="00CD045A"/>
    <w:rsid w:val="00CD088E"/>
    <w:rsid w:val="00CD0C08"/>
    <w:rsid w:val="00CD159D"/>
    <w:rsid w:val="00CD1961"/>
    <w:rsid w:val="00CD2812"/>
    <w:rsid w:val="00CD41DE"/>
    <w:rsid w:val="00CD48FA"/>
    <w:rsid w:val="00CD5D59"/>
    <w:rsid w:val="00CE1D98"/>
    <w:rsid w:val="00CE21C9"/>
    <w:rsid w:val="00CE24B0"/>
    <w:rsid w:val="00CE3567"/>
    <w:rsid w:val="00CE388F"/>
    <w:rsid w:val="00CE59B5"/>
    <w:rsid w:val="00CF07F2"/>
    <w:rsid w:val="00CF1828"/>
    <w:rsid w:val="00CF1E84"/>
    <w:rsid w:val="00CF51C3"/>
    <w:rsid w:val="00CF543E"/>
    <w:rsid w:val="00CF54F6"/>
    <w:rsid w:val="00CF5648"/>
    <w:rsid w:val="00CF6F1D"/>
    <w:rsid w:val="00D00A1C"/>
    <w:rsid w:val="00D033C6"/>
    <w:rsid w:val="00D036E9"/>
    <w:rsid w:val="00D06B16"/>
    <w:rsid w:val="00D0756A"/>
    <w:rsid w:val="00D10B6C"/>
    <w:rsid w:val="00D123A4"/>
    <w:rsid w:val="00D126D4"/>
    <w:rsid w:val="00D129A5"/>
    <w:rsid w:val="00D12B4A"/>
    <w:rsid w:val="00D13F9C"/>
    <w:rsid w:val="00D145FB"/>
    <w:rsid w:val="00D148E1"/>
    <w:rsid w:val="00D14F32"/>
    <w:rsid w:val="00D15161"/>
    <w:rsid w:val="00D15628"/>
    <w:rsid w:val="00D20567"/>
    <w:rsid w:val="00D20A36"/>
    <w:rsid w:val="00D20A38"/>
    <w:rsid w:val="00D2396A"/>
    <w:rsid w:val="00D24B79"/>
    <w:rsid w:val="00D26062"/>
    <w:rsid w:val="00D27400"/>
    <w:rsid w:val="00D30C05"/>
    <w:rsid w:val="00D30FDF"/>
    <w:rsid w:val="00D3173D"/>
    <w:rsid w:val="00D31A2D"/>
    <w:rsid w:val="00D32369"/>
    <w:rsid w:val="00D35A78"/>
    <w:rsid w:val="00D361DB"/>
    <w:rsid w:val="00D37ABD"/>
    <w:rsid w:val="00D418C3"/>
    <w:rsid w:val="00D42047"/>
    <w:rsid w:val="00D422B5"/>
    <w:rsid w:val="00D42B34"/>
    <w:rsid w:val="00D43322"/>
    <w:rsid w:val="00D4365C"/>
    <w:rsid w:val="00D44C75"/>
    <w:rsid w:val="00D451E3"/>
    <w:rsid w:val="00D45736"/>
    <w:rsid w:val="00D45A11"/>
    <w:rsid w:val="00D47DA8"/>
    <w:rsid w:val="00D47F43"/>
    <w:rsid w:val="00D51377"/>
    <w:rsid w:val="00D530C6"/>
    <w:rsid w:val="00D53193"/>
    <w:rsid w:val="00D54F1E"/>
    <w:rsid w:val="00D55704"/>
    <w:rsid w:val="00D55E31"/>
    <w:rsid w:val="00D56A51"/>
    <w:rsid w:val="00D56BA8"/>
    <w:rsid w:val="00D57E05"/>
    <w:rsid w:val="00D61529"/>
    <w:rsid w:val="00D61BA0"/>
    <w:rsid w:val="00D61CCF"/>
    <w:rsid w:val="00D63653"/>
    <w:rsid w:val="00D6423C"/>
    <w:rsid w:val="00D6499E"/>
    <w:rsid w:val="00D654E2"/>
    <w:rsid w:val="00D655BC"/>
    <w:rsid w:val="00D6678D"/>
    <w:rsid w:val="00D66DD2"/>
    <w:rsid w:val="00D66E17"/>
    <w:rsid w:val="00D67288"/>
    <w:rsid w:val="00D67A87"/>
    <w:rsid w:val="00D7056E"/>
    <w:rsid w:val="00D70A85"/>
    <w:rsid w:val="00D72035"/>
    <w:rsid w:val="00D730F2"/>
    <w:rsid w:val="00D73602"/>
    <w:rsid w:val="00D737FB"/>
    <w:rsid w:val="00D73B9F"/>
    <w:rsid w:val="00D73C2A"/>
    <w:rsid w:val="00D74204"/>
    <w:rsid w:val="00D76565"/>
    <w:rsid w:val="00D80E23"/>
    <w:rsid w:val="00D81196"/>
    <w:rsid w:val="00D81530"/>
    <w:rsid w:val="00D81F40"/>
    <w:rsid w:val="00D83057"/>
    <w:rsid w:val="00D83937"/>
    <w:rsid w:val="00D84054"/>
    <w:rsid w:val="00D84EB7"/>
    <w:rsid w:val="00D8570D"/>
    <w:rsid w:val="00D85FA3"/>
    <w:rsid w:val="00D86A84"/>
    <w:rsid w:val="00D87246"/>
    <w:rsid w:val="00D904FA"/>
    <w:rsid w:val="00D906DA"/>
    <w:rsid w:val="00D93FC0"/>
    <w:rsid w:val="00D94C2F"/>
    <w:rsid w:val="00D957C5"/>
    <w:rsid w:val="00D964CA"/>
    <w:rsid w:val="00DA02DC"/>
    <w:rsid w:val="00DA0E02"/>
    <w:rsid w:val="00DA1508"/>
    <w:rsid w:val="00DA19E1"/>
    <w:rsid w:val="00DA2692"/>
    <w:rsid w:val="00DA3D85"/>
    <w:rsid w:val="00DA51AD"/>
    <w:rsid w:val="00DA673D"/>
    <w:rsid w:val="00DA78A0"/>
    <w:rsid w:val="00DA7953"/>
    <w:rsid w:val="00DB0AE3"/>
    <w:rsid w:val="00DB1952"/>
    <w:rsid w:val="00DB25B9"/>
    <w:rsid w:val="00DB3796"/>
    <w:rsid w:val="00DB45C6"/>
    <w:rsid w:val="00DB6DEA"/>
    <w:rsid w:val="00DB797E"/>
    <w:rsid w:val="00DC14B6"/>
    <w:rsid w:val="00DC1E19"/>
    <w:rsid w:val="00DC375F"/>
    <w:rsid w:val="00DC3C76"/>
    <w:rsid w:val="00DC4FA1"/>
    <w:rsid w:val="00DC4FA9"/>
    <w:rsid w:val="00DC7A0F"/>
    <w:rsid w:val="00DC7C08"/>
    <w:rsid w:val="00DD0A03"/>
    <w:rsid w:val="00DD42A5"/>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1CF1"/>
    <w:rsid w:val="00DF2FC4"/>
    <w:rsid w:val="00DF3206"/>
    <w:rsid w:val="00DF4D6A"/>
    <w:rsid w:val="00DF4E67"/>
    <w:rsid w:val="00DF4F96"/>
    <w:rsid w:val="00DF6509"/>
    <w:rsid w:val="00DF65F5"/>
    <w:rsid w:val="00DF755C"/>
    <w:rsid w:val="00DF7999"/>
    <w:rsid w:val="00E00227"/>
    <w:rsid w:val="00E0228A"/>
    <w:rsid w:val="00E02590"/>
    <w:rsid w:val="00E10769"/>
    <w:rsid w:val="00E10FA0"/>
    <w:rsid w:val="00E11ABF"/>
    <w:rsid w:val="00E11E1C"/>
    <w:rsid w:val="00E12A7E"/>
    <w:rsid w:val="00E13F51"/>
    <w:rsid w:val="00E20CC2"/>
    <w:rsid w:val="00E2149C"/>
    <w:rsid w:val="00E218A8"/>
    <w:rsid w:val="00E23E28"/>
    <w:rsid w:val="00E25070"/>
    <w:rsid w:val="00E25B9E"/>
    <w:rsid w:val="00E26064"/>
    <w:rsid w:val="00E26248"/>
    <w:rsid w:val="00E26601"/>
    <w:rsid w:val="00E270AF"/>
    <w:rsid w:val="00E272CE"/>
    <w:rsid w:val="00E27510"/>
    <w:rsid w:val="00E30B16"/>
    <w:rsid w:val="00E31F05"/>
    <w:rsid w:val="00E32115"/>
    <w:rsid w:val="00E33019"/>
    <w:rsid w:val="00E33D7D"/>
    <w:rsid w:val="00E349FC"/>
    <w:rsid w:val="00E35EAD"/>
    <w:rsid w:val="00E366CB"/>
    <w:rsid w:val="00E43297"/>
    <w:rsid w:val="00E439B1"/>
    <w:rsid w:val="00E43EAB"/>
    <w:rsid w:val="00E46CA9"/>
    <w:rsid w:val="00E471ED"/>
    <w:rsid w:val="00E516C3"/>
    <w:rsid w:val="00E51AED"/>
    <w:rsid w:val="00E53299"/>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1CD0"/>
    <w:rsid w:val="00E9307B"/>
    <w:rsid w:val="00E93326"/>
    <w:rsid w:val="00E935D8"/>
    <w:rsid w:val="00E93F88"/>
    <w:rsid w:val="00E943AA"/>
    <w:rsid w:val="00E948D2"/>
    <w:rsid w:val="00E96D81"/>
    <w:rsid w:val="00EA040B"/>
    <w:rsid w:val="00EA05F0"/>
    <w:rsid w:val="00EA1151"/>
    <w:rsid w:val="00EA4429"/>
    <w:rsid w:val="00EA477E"/>
    <w:rsid w:val="00EA578C"/>
    <w:rsid w:val="00EA600D"/>
    <w:rsid w:val="00EA6231"/>
    <w:rsid w:val="00EA70CE"/>
    <w:rsid w:val="00EA70D7"/>
    <w:rsid w:val="00EA7A22"/>
    <w:rsid w:val="00EB1FE9"/>
    <w:rsid w:val="00EB2900"/>
    <w:rsid w:val="00EB3256"/>
    <w:rsid w:val="00EB33C0"/>
    <w:rsid w:val="00EB35E7"/>
    <w:rsid w:val="00EB5367"/>
    <w:rsid w:val="00EB5C01"/>
    <w:rsid w:val="00EB60AD"/>
    <w:rsid w:val="00EB68FF"/>
    <w:rsid w:val="00EB7226"/>
    <w:rsid w:val="00EB798E"/>
    <w:rsid w:val="00EC09BA"/>
    <w:rsid w:val="00EC09CE"/>
    <w:rsid w:val="00EC126B"/>
    <w:rsid w:val="00EC1600"/>
    <w:rsid w:val="00EC2314"/>
    <w:rsid w:val="00EC2F57"/>
    <w:rsid w:val="00EC31E9"/>
    <w:rsid w:val="00EC3757"/>
    <w:rsid w:val="00EC396F"/>
    <w:rsid w:val="00EC4548"/>
    <w:rsid w:val="00EC4F36"/>
    <w:rsid w:val="00EC516E"/>
    <w:rsid w:val="00EC6148"/>
    <w:rsid w:val="00EC72BA"/>
    <w:rsid w:val="00EC72BD"/>
    <w:rsid w:val="00EC744B"/>
    <w:rsid w:val="00EC76E3"/>
    <w:rsid w:val="00ED2534"/>
    <w:rsid w:val="00ED287B"/>
    <w:rsid w:val="00ED3952"/>
    <w:rsid w:val="00ED4BF4"/>
    <w:rsid w:val="00ED4F32"/>
    <w:rsid w:val="00ED5085"/>
    <w:rsid w:val="00ED5575"/>
    <w:rsid w:val="00ED62D1"/>
    <w:rsid w:val="00ED655C"/>
    <w:rsid w:val="00ED6BF9"/>
    <w:rsid w:val="00ED7725"/>
    <w:rsid w:val="00ED787A"/>
    <w:rsid w:val="00EE0382"/>
    <w:rsid w:val="00EE0DD4"/>
    <w:rsid w:val="00EE14F6"/>
    <w:rsid w:val="00EE29C4"/>
    <w:rsid w:val="00EE2F90"/>
    <w:rsid w:val="00EE3242"/>
    <w:rsid w:val="00EE43E2"/>
    <w:rsid w:val="00EE550C"/>
    <w:rsid w:val="00EE6340"/>
    <w:rsid w:val="00EE6A44"/>
    <w:rsid w:val="00EE71FD"/>
    <w:rsid w:val="00EE7C78"/>
    <w:rsid w:val="00EF014A"/>
    <w:rsid w:val="00EF22CC"/>
    <w:rsid w:val="00EF6762"/>
    <w:rsid w:val="00EF6B64"/>
    <w:rsid w:val="00EF7B1F"/>
    <w:rsid w:val="00F00A8E"/>
    <w:rsid w:val="00F017C0"/>
    <w:rsid w:val="00F01FE6"/>
    <w:rsid w:val="00F02E5F"/>
    <w:rsid w:val="00F03021"/>
    <w:rsid w:val="00F06809"/>
    <w:rsid w:val="00F100A7"/>
    <w:rsid w:val="00F11356"/>
    <w:rsid w:val="00F11970"/>
    <w:rsid w:val="00F13C08"/>
    <w:rsid w:val="00F15778"/>
    <w:rsid w:val="00F16606"/>
    <w:rsid w:val="00F21932"/>
    <w:rsid w:val="00F22105"/>
    <w:rsid w:val="00F23413"/>
    <w:rsid w:val="00F265B2"/>
    <w:rsid w:val="00F27E54"/>
    <w:rsid w:val="00F3015A"/>
    <w:rsid w:val="00F30EFA"/>
    <w:rsid w:val="00F324B8"/>
    <w:rsid w:val="00F33460"/>
    <w:rsid w:val="00F35487"/>
    <w:rsid w:val="00F40745"/>
    <w:rsid w:val="00F40B0E"/>
    <w:rsid w:val="00F410B4"/>
    <w:rsid w:val="00F41146"/>
    <w:rsid w:val="00F44BDA"/>
    <w:rsid w:val="00F44D26"/>
    <w:rsid w:val="00F463C1"/>
    <w:rsid w:val="00F465C3"/>
    <w:rsid w:val="00F47D5E"/>
    <w:rsid w:val="00F50A2E"/>
    <w:rsid w:val="00F50C41"/>
    <w:rsid w:val="00F52635"/>
    <w:rsid w:val="00F5342E"/>
    <w:rsid w:val="00F542E0"/>
    <w:rsid w:val="00F60662"/>
    <w:rsid w:val="00F616D3"/>
    <w:rsid w:val="00F621A9"/>
    <w:rsid w:val="00F62C38"/>
    <w:rsid w:val="00F65B2E"/>
    <w:rsid w:val="00F71C57"/>
    <w:rsid w:val="00F72296"/>
    <w:rsid w:val="00F724A2"/>
    <w:rsid w:val="00F7597D"/>
    <w:rsid w:val="00F77178"/>
    <w:rsid w:val="00F7796B"/>
    <w:rsid w:val="00F80871"/>
    <w:rsid w:val="00F848F2"/>
    <w:rsid w:val="00F84B9B"/>
    <w:rsid w:val="00F87759"/>
    <w:rsid w:val="00F918F1"/>
    <w:rsid w:val="00F91C8D"/>
    <w:rsid w:val="00F929D2"/>
    <w:rsid w:val="00F94318"/>
    <w:rsid w:val="00F945B5"/>
    <w:rsid w:val="00F95880"/>
    <w:rsid w:val="00F95EC0"/>
    <w:rsid w:val="00F97D2D"/>
    <w:rsid w:val="00FA0963"/>
    <w:rsid w:val="00FA24AB"/>
    <w:rsid w:val="00FA4CB5"/>
    <w:rsid w:val="00FA4DAE"/>
    <w:rsid w:val="00FA51D2"/>
    <w:rsid w:val="00FA5AFB"/>
    <w:rsid w:val="00FA6145"/>
    <w:rsid w:val="00FA632A"/>
    <w:rsid w:val="00FB085B"/>
    <w:rsid w:val="00FB0D4A"/>
    <w:rsid w:val="00FB3554"/>
    <w:rsid w:val="00FB3B93"/>
    <w:rsid w:val="00FB48A4"/>
    <w:rsid w:val="00FB60A3"/>
    <w:rsid w:val="00FC3525"/>
    <w:rsid w:val="00FC3B34"/>
    <w:rsid w:val="00FC51EB"/>
    <w:rsid w:val="00FC541F"/>
    <w:rsid w:val="00FC5616"/>
    <w:rsid w:val="00FC65F1"/>
    <w:rsid w:val="00FD131B"/>
    <w:rsid w:val="00FD179A"/>
    <w:rsid w:val="00FD1883"/>
    <w:rsid w:val="00FD535E"/>
    <w:rsid w:val="00FD5B63"/>
    <w:rsid w:val="00FD748B"/>
    <w:rsid w:val="00FE1602"/>
    <w:rsid w:val="00FE2616"/>
    <w:rsid w:val="00FE26FE"/>
    <w:rsid w:val="00FE2901"/>
    <w:rsid w:val="00FE3D1F"/>
    <w:rsid w:val="00FE48AE"/>
    <w:rsid w:val="00FE755A"/>
    <w:rsid w:val="00FE7FF1"/>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5A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rsid w:val="00D37ABD"/>
    <w:rPr>
      <w:sz w:val="16"/>
      <w:szCs w:val="16"/>
    </w:rPr>
  </w:style>
  <w:style w:type="paragraph" w:styleId="CommentText">
    <w:name w:val="annotation text"/>
    <w:basedOn w:val="Normal"/>
    <w:link w:val="CommentTextChar"/>
    <w:qFormat/>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Char"/>
    <w:basedOn w:val="Normal"/>
    <w:link w:val="FootnoteTextChar"/>
    <w:uiPriority w:val="99"/>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qFormat/>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qFormat/>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 w:type="character" w:customStyle="1" w:styleId="CommentTextChar">
    <w:name w:val="Comment Text Char"/>
    <w:basedOn w:val="DefaultParagraphFont"/>
    <w:link w:val="CommentText"/>
    <w:rsid w:val="006866C6"/>
  </w:style>
  <w:style w:type="paragraph" w:customStyle="1" w:styleId="naisc">
    <w:name w:val="naisc"/>
    <w:basedOn w:val="Normal"/>
    <w:rsid w:val="006A58F7"/>
    <w:pPr>
      <w:spacing w:before="100" w:beforeAutospacing="1" w:after="100" w:afterAutospacing="1" w:line="270" w:lineRule="atLeast"/>
      <w:jc w:val="both"/>
    </w:pPr>
  </w:style>
  <w:style w:type="paragraph" w:styleId="Title">
    <w:name w:val="Title"/>
    <w:basedOn w:val="Normal"/>
    <w:link w:val="TitleChar"/>
    <w:qFormat/>
    <w:rsid w:val="00CE388F"/>
    <w:pPr>
      <w:jc w:val="center"/>
    </w:pPr>
    <w:rPr>
      <w:sz w:val="28"/>
      <w:szCs w:val="20"/>
      <w:lang w:eastAsia="en-US"/>
    </w:rPr>
  </w:style>
  <w:style w:type="character" w:customStyle="1" w:styleId="TitleChar">
    <w:name w:val="Title Char"/>
    <w:basedOn w:val="DefaultParagraphFont"/>
    <w:link w:val="Title"/>
    <w:rsid w:val="00CE388F"/>
    <w:rPr>
      <w:sz w:val="28"/>
      <w:lang w:eastAsia="en-US"/>
    </w:rPr>
  </w:style>
  <w:style w:type="paragraph" w:styleId="PlainText">
    <w:name w:val="Plain Text"/>
    <w:basedOn w:val="Normal"/>
    <w:link w:val="PlainTextChar"/>
    <w:uiPriority w:val="99"/>
    <w:unhideWhenUsed/>
    <w:rsid w:val="00E935D8"/>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E935D8"/>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363A24"/>
    <w:rPr>
      <w:color w:val="605E5C"/>
      <w:shd w:val="clear" w:color="auto" w:fill="E1DFDD"/>
    </w:rPr>
  </w:style>
  <w:style w:type="character" w:styleId="FollowedHyperlink">
    <w:name w:val="FollowedHyperlink"/>
    <w:basedOn w:val="DefaultParagraphFont"/>
    <w:semiHidden/>
    <w:unhideWhenUsed/>
    <w:rsid w:val="00600F1A"/>
    <w:rPr>
      <w:color w:val="954F72" w:themeColor="followedHyperlink"/>
      <w:u w:val="single"/>
    </w:rPr>
  </w:style>
  <w:style w:type="character" w:styleId="UnresolvedMention">
    <w:name w:val="Unresolved Mention"/>
    <w:basedOn w:val="DefaultParagraphFont"/>
    <w:uiPriority w:val="99"/>
    <w:semiHidden/>
    <w:unhideWhenUsed/>
    <w:rsid w:val="009E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1036">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301817106">
      <w:bodyDiv w:val="1"/>
      <w:marLeft w:val="0"/>
      <w:marRight w:val="0"/>
      <w:marTop w:val="0"/>
      <w:marBottom w:val="0"/>
      <w:divBdr>
        <w:top w:val="none" w:sz="0" w:space="0" w:color="auto"/>
        <w:left w:val="none" w:sz="0" w:space="0" w:color="auto"/>
        <w:bottom w:val="none" w:sz="0" w:space="0" w:color="auto"/>
        <w:right w:val="none" w:sz="0" w:space="0" w:color="auto"/>
      </w:divBdr>
    </w:div>
    <w:div w:id="368651658">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31787255">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995454722">
      <w:bodyDiv w:val="1"/>
      <w:marLeft w:val="0"/>
      <w:marRight w:val="0"/>
      <w:marTop w:val="0"/>
      <w:marBottom w:val="0"/>
      <w:divBdr>
        <w:top w:val="none" w:sz="0" w:space="0" w:color="auto"/>
        <w:left w:val="none" w:sz="0" w:space="0" w:color="auto"/>
        <w:bottom w:val="none" w:sz="0" w:space="0" w:color="auto"/>
        <w:right w:val="none" w:sz="0" w:space="0" w:color="auto"/>
      </w:divBdr>
    </w:div>
    <w:div w:id="116689980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97389513">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83645825">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41506749">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sdd.lv/autoveika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kass@vara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sdd.lv/jaunumi/csdd-tehniskaja-apskate-pern-videji-13-auto-diena-atteica-bremzes" TargetMode="External"/><Relationship Id="rId7" Type="http://schemas.openxmlformats.org/officeDocument/2006/relationships/hyperlink" Target="https://www.elektrum.lv/lv/majai/energoefektivitate/aktualitates/ka-izveleties-piemerotako-elektroauto-un-ta-uzladi" TargetMode="External"/><Relationship Id="rId2" Type="http://schemas.openxmlformats.org/officeDocument/2006/relationships/hyperlink" Target="https://www.esfondi.lv/upload/anm/01_anm_plans_04062021.pdf" TargetMode="External"/><Relationship Id="rId1" Type="http://schemas.openxmlformats.org/officeDocument/2006/relationships/hyperlink" Target="https://www.acea.be/uploads/publications/Electric_vehicles-Tax_benefits_purchase_incentives_European_Union_2020.pdf" TargetMode="External"/><Relationship Id="rId6" Type="http://schemas.openxmlformats.org/officeDocument/2006/relationships/hyperlink" Target="https://uzladets.lv/cik-lielu-nobraukumu-patiesiba-vajag-no-elektromobila/" TargetMode="External"/><Relationship Id="rId5" Type="http://schemas.openxmlformats.org/officeDocument/2006/relationships/hyperlink" Target="https://www.pwc.com/lv/lv/news/tiek-laists-klaja-latvija-pirmais-mobilitates-petijums.html" TargetMode="External"/><Relationship Id="rId4" Type="http://schemas.openxmlformats.org/officeDocument/2006/relationships/hyperlink" Target="https://www.csb.gov.lv/lv/statistika/statistikas-temas/transports-turisms/transports/meklet-tema/357-apsekojuma-latvijas-iedzivotaju-mobilitat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47075-40E4-4465-B6DA-3FEF372F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16483</Words>
  <Characters>9396</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Gusts Zustenieks</dc:creator>
  <dc:description>gusts.zustenieks@varam.gov.lv; 67026489</dc:description>
  <cp:lastModifiedBy>Jekaterina Borovika</cp:lastModifiedBy>
  <cp:revision>2</cp:revision>
  <cp:lastPrinted>2019-09-27T07:58:00Z</cp:lastPrinted>
  <dcterms:created xsi:type="dcterms:W3CDTF">2021-09-07T11:16:00Z</dcterms:created>
  <dcterms:modified xsi:type="dcterms:W3CDTF">2021-09-07T11:16:00Z</dcterms:modified>
</cp:coreProperties>
</file>