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4A2AD5BB" w14:textId="20326183" w:rsidR="0007278B" w:rsidRPr="00A17EEC" w:rsidRDefault="0007278B" w:rsidP="00AE4EFC">
      <w:pPr>
        <w:spacing w:after="0" w:line="240" w:lineRule="auto"/>
        <w:jc w:val="center"/>
        <w:rPr>
          <w:rFonts w:ascii="Times New Roman" w:eastAsia="Times New Roman" w:hAnsi="Times New Roman" w:cs="Times New Roman"/>
          <w:bCs/>
          <w:sz w:val="28"/>
          <w:szCs w:val="28"/>
          <w:lang w:eastAsia="lv-LV"/>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7370"/>
      </w:tblGrid>
      <w:tr w:rsidR="000E2322" w:rsidRPr="00AE4EFC" w14:paraId="3A6EBCB3" w14:textId="77777777" w:rsidTr="00470FB8">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470FB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25C29CB7" w:rsidR="00313A9C" w:rsidRPr="00C2181D" w:rsidRDefault="00F30098" w:rsidP="00F1226C">
            <w:pPr>
              <w:spacing w:after="0" w:line="240" w:lineRule="auto"/>
              <w:jc w:val="both"/>
              <w:rPr>
                <w:rFonts w:ascii="Times New Roman" w:eastAsia="Times New Roman" w:hAnsi="Times New Roman" w:cs="Times New Roman"/>
                <w:bCs/>
                <w:sz w:val="24"/>
                <w:szCs w:val="24"/>
                <w:lang w:eastAsia="lv-LV"/>
              </w:rPr>
            </w:pPr>
            <w:r w:rsidRPr="009E60C7">
              <w:rPr>
                <w:rFonts w:ascii="Times New Roman" w:eastAsia="Times New Roman" w:hAnsi="Times New Roman" w:cs="Times New Roman"/>
                <w:bCs/>
                <w:sz w:val="24"/>
                <w:szCs w:val="24"/>
                <w:lang w:eastAsia="lv-LV"/>
              </w:rPr>
              <w:t>Ministru kabineta noteikumu projekta “Grozījumi Ministru kabineta 2020.</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sidR="00B608AE">
              <w:rPr>
                <w:rFonts w:ascii="Times New Roman" w:eastAsia="Times New Roman" w:hAnsi="Times New Roman" w:cs="Times New Roman"/>
                <w:bCs/>
                <w:sz w:val="24"/>
                <w:szCs w:val="24"/>
                <w:lang w:eastAsia="lv-LV"/>
              </w:rPr>
              <w:t xml:space="preserve">– </w:t>
            </w:r>
            <w:r w:rsidRPr="009E60C7">
              <w:rPr>
                <w:rFonts w:ascii="Times New Roman" w:eastAsia="Times New Roman" w:hAnsi="Times New Roman" w:cs="Times New Roman"/>
                <w:bCs/>
                <w:sz w:val="24"/>
                <w:szCs w:val="24"/>
                <w:lang w:eastAsia="lv-LV"/>
              </w:rPr>
              <w:t xml:space="preserve"> projekts) </w:t>
            </w:r>
            <w:r w:rsidRPr="00F30098">
              <w:rPr>
                <w:rFonts w:ascii="Times New Roman" w:eastAsia="Times New Roman" w:hAnsi="Times New Roman" w:cs="Times New Roman"/>
                <w:bCs/>
                <w:sz w:val="24"/>
                <w:szCs w:val="24"/>
                <w:lang w:eastAsia="lv-LV"/>
              </w:rPr>
              <w:t>mērķ</w:t>
            </w:r>
            <w:r>
              <w:rPr>
                <w:rFonts w:ascii="Times New Roman" w:eastAsia="Times New Roman" w:hAnsi="Times New Roman" w:cs="Times New Roman"/>
                <w:bCs/>
                <w:sz w:val="24"/>
                <w:szCs w:val="24"/>
                <w:lang w:eastAsia="lv-LV"/>
              </w:rPr>
              <w:t>is ir</w:t>
            </w:r>
            <w:r w:rsidR="00F1226C">
              <w:rPr>
                <w:rFonts w:ascii="Times New Roman" w:eastAsia="Times New Roman" w:hAnsi="Times New Roman" w:cs="Times New Roman"/>
                <w:bCs/>
                <w:sz w:val="24"/>
                <w:szCs w:val="24"/>
                <w:lang w:eastAsia="lv-LV"/>
              </w:rPr>
              <w:t xml:space="preserve"> </w:t>
            </w:r>
            <w:r w:rsidR="00894B68" w:rsidRPr="00894B68">
              <w:rPr>
                <w:rFonts w:ascii="Times New Roman" w:eastAsia="Times New Roman" w:hAnsi="Times New Roman" w:cs="Times New Roman"/>
                <w:bCs/>
                <w:iCs/>
                <w:sz w:val="24"/>
                <w:szCs w:val="24"/>
                <w:lang w:eastAsia="lv-LV"/>
              </w:rPr>
              <w:t>izpildīt Ministru kabinetam doto deleģējumu un noteikt galvenos ierobežoto intensīvās terapijas resursu izmantošanas un pacientu prioritizēšanas principus un kritērijus</w:t>
            </w:r>
            <w:r w:rsidR="00C774A2">
              <w:rPr>
                <w:rFonts w:ascii="Times New Roman" w:eastAsia="Times New Roman" w:hAnsi="Times New Roman" w:cs="Times New Roman"/>
                <w:bCs/>
                <w:iCs/>
                <w:sz w:val="24"/>
                <w:szCs w:val="24"/>
                <w:lang w:eastAsia="lv-LV"/>
              </w:rPr>
              <w:t xml:space="preserve">, </w:t>
            </w:r>
            <w:r w:rsidR="00C774A2" w:rsidRPr="00C774A2">
              <w:rPr>
                <w:rFonts w:ascii="Times New Roman" w:eastAsia="Times New Roman" w:hAnsi="Times New Roman" w:cs="Times New Roman"/>
                <w:bCs/>
                <w:iCs/>
                <w:sz w:val="24"/>
                <w:szCs w:val="24"/>
                <w:lang w:eastAsia="lv-LV"/>
              </w:rPr>
              <w:t>precizēt regulējumu par mutes un deguna aizsega lietošanu, kā arī par vakcinējamām iedzīvotāju grupām</w:t>
            </w:r>
            <w:r w:rsidR="00F1226C">
              <w:rPr>
                <w:rFonts w:ascii="Times New Roman" w:eastAsia="Times New Roman" w:hAnsi="Times New Roman" w:cs="Times New Roman"/>
                <w:bCs/>
                <w:iCs/>
                <w:sz w:val="24"/>
                <w:szCs w:val="24"/>
                <w:lang w:eastAsia="lv-LV"/>
              </w:rPr>
              <w:t>.</w:t>
            </w: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1793"/>
        <w:gridCol w:w="7299"/>
      </w:tblGrid>
      <w:tr w:rsidR="000E2322" w:rsidRPr="00AE4EFC" w14:paraId="6CBE8600" w14:textId="77777777" w:rsidTr="00EF77FE">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EF77FE">
        <w:trPr>
          <w:trHeight w:val="1144"/>
        </w:trPr>
        <w:tc>
          <w:tcPr>
            <w:tcW w:w="211"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845" w:type="pct"/>
            <w:tcBorders>
              <w:top w:val="single" w:sz="4" w:space="0" w:color="auto"/>
              <w:left w:val="single" w:sz="4" w:space="0" w:color="auto"/>
              <w:bottom w:val="single" w:sz="4" w:space="0" w:color="auto"/>
              <w:right w:val="single" w:sz="4" w:space="0" w:color="auto"/>
            </w:tcBorders>
          </w:tcPr>
          <w:p w14:paraId="5DBEFB69" w14:textId="5B942785" w:rsidR="00447582" w:rsidRPr="00447582" w:rsidRDefault="005C5DC6" w:rsidP="00447582">
            <w:pPr>
              <w:pStyle w:val="NoSpacing"/>
              <w:jc w:val="both"/>
              <w:rPr>
                <w:rFonts w:ascii="Times New Roman" w:hAnsi="Times New Roman"/>
                <w:sz w:val="24"/>
                <w:szCs w:val="24"/>
              </w:rPr>
            </w:pPr>
            <w:r w:rsidRPr="00B23552">
              <w:rPr>
                <w:rFonts w:ascii="Times New Roman" w:hAnsi="Times New Roman"/>
                <w:sz w:val="24"/>
                <w:szCs w:val="24"/>
              </w:rPr>
              <w:t>Izdoti saskaņā ar Epidemioloģiskās drošības likuma 3. panta otro daļu, 14. panta pirmās daļas 5. punktu, 19. panta pirmo un 2.</w:t>
            </w:r>
            <w:r w:rsidRPr="00B23552">
              <w:rPr>
                <w:rFonts w:ascii="Times New Roman" w:hAnsi="Times New Roman"/>
                <w:sz w:val="24"/>
                <w:szCs w:val="24"/>
                <w:vertAlign w:val="superscript"/>
              </w:rPr>
              <w:t>1</w:t>
            </w:r>
            <w:r w:rsidRPr="00B23552">
              <w:rPr>
                <w:rFonts w:ascii="Times New Roman" w:hAnsi="Times New Roman"/>
                <w:sz w:val="24"/>
                <w:szCs w:val="24"/>
              </w:rPr>
              <w:t> daļu, 19.</w:t>
            </w:r>
            <w:r w:rsidRPr="00B23552">
              <w:rPr>
                <w:rFonts w:ascii="Times New Roman" w:hAnsi="Times New Roman"/>
                <w:sz w:val="24"/>
                <w:szCs w:val="24"/>
                <w:vertAlign w:val="superscript"/>
              </w:rPr>
              <w:t>1</w:t>
            </w:r>
            <w:r w:rsidRPr="00B23552">
              <w:rPr>
                <w:rFonts w:ascii="Times New Roman" w:hAnsi="Times New Roman"/>
                <w:sz w:val="24"/>
                <w:szCs w:val="24"/>
              </w:rPr>
              <w:t> pantu, 30. panta trešo daļu, 31. panta piekto daļu, 39. panta pirmo un otro daļu un Covid-19 infekcijas izplatības pārvaldības likuma 4. panta 1., 2., 3., 4., 5., 6., 7., 8., 9., 10., 11., 12., 13., 14.</w:t>
            </w:r>
            <w:r w:rsidR="00C774A2">
              <w:rPr>
                <w:rFonts w:ascii="Times New Roman" w:hAnsi="Times New Roman"/>
                <w:sz w:val="24"/>
                <w:szCs w:val="24"/>
              </w:rPr>
              <w:t>,</w:t>
            </w:r>
            <w:r w:rsidR="00C774A2" w:rsidRPr="00B23552">
              <w:rPr>
                <w:rFonts w:ascii="Times New Roman" w:hAnsi="Times New Roman"/>
                <w:sz w:val="24"/>
                <w:szCs w:val="24"/>
              </w:rPr>
              <w:t xml:space="preserve"> 16.</w:t>
            </w:r>
            <w:r w:rsidR="00C774A2">
              <w:rPr>
                <w:rFonts w:ascii="Times New Roman" w:hAnsi="Times New Roman"/>
                <w:sz w:val="24"/>
                <w:szCs w:val="24"/>
              </w:rPr>
              <w:t>, 17., 18. un 21.</w:t>
            </w:r>
            <w:r w:rsidR="00C774A2" w:rsidRPr="00B23552">
              <w:rPr>
                <w:rFonts w:ascii="Times New Roman" w:hAnsi="Times New Roman"/>
                <w:sz w:val="24"/>
                <w:szCs w:val="24"/>
              </w:rPr>
              <w:t> punktu un 6.</w:t>
            </w:r>
            <w:r w:rsidR="00C774A2" w:rsidRPr="00B23552">
              <w:rPr>
                <w:rFonts w:ascii="Times New Roman" w:hAnsi="Times New Roman"/>
                <w:sz w:val="24"/>
                <w:szCs w:val="24"/>
                <w:vertAlign w:val="superscript"/>
              </w:rPr>
              <w:t>1</w:t>
            </w:r>
            <w:r w:rsidR="00C774A2">
              <w:rPr>
                <w:rFonts w:ascii="Times New Roman" w:hAnsi="Times New Roman"/>
                <w:sz w:val="24"/>
                <w:szCs w:val="24"/>
                <w:vertAlign w:val="superscript"/>
              </w:rPr>
              <w:t> </w:t>
            </w:r>
            <w:r w:rsidR="00C774A2" w:rsidRPr="00B23552">
              <w:rPr>
                <w:rFonts w:ascii="Times New Roman" w:hAnsi="Times New Roman"/>
                <w:sz w:val="24"/>
                <w:szCs w:val="24"/>
              </w:rPr>
              <w:t>panta otro daļu un 6.</w:t>
            </w:r>
            <w:r w:rsidR="00C774A2" w:rsidRPr="00B23552">
              <w:rPr>
                <w:rFonts w:ascii="Times New Roman" w:hAnsi="Times New Roman"/>
                <w:sz w:val="24"/>
                <w:szCs w:val="24"/>
                <w:vertAlign w:val="superscript"/>
              </w:rPr>
              <w:t>3</w:t>
            </w:r>
            <w:r w:rsidR="00C774A2">
              <w:rPr>
                <w:rFonts w:ascii="Times New Roman" w:hAnsi="Times New Roman"/>
                <w:sz w:val="24"/>
                <w:szCs w:val="24"/>
                <w:vertAlign w:val="superscript"/>
              </w:rPr>
              <w:t> </w:t>
            </w:r>
            <w:r w:rsidR="00C774A2" w:rsidRPr="00B23552">
              <w:rPr>
                <w:rFonts w:ascii="Times New Roman" w:hAnsi="Times New Roman"/>
                <w:sz w:val="24"/>
                <w:szCs w:val="24"/>
              </w:rPr>
              <w:t>panta otro daļu</w:t>
            </w:r>
            <w:r w:rsidR="00C774A2">
              <w:rPr>
                <w:rFonts w:ascii="Times New Roman" w:hAnsi="Times New Roman"/>
                <w:sz w:val="24"/>
                <w:szCs w:val="24"/>
              </w:rPr>
              <w:t xml:space="preserve">, </w:t>
            </w:r>
            <w:r w:rsidR="00C774A2" w:rsidRPr="00033C63">
              <w:rPr>
                <w:rFonts w:ascii="Times New Roman" w:hAnsi="Times New Roman"/>
                <w:sz w:val="24"/>
                <w:szCs w:val="24"/>
              </w:rPr>
              <w:t>6.</w:t>
            </w:r>
            <w:r w:rsidR="00C774A2" w:rsidRPr="00C774A2">
              <w:rPr>
                <w:rFonts w:ascii="Times New Roman" w:hAnsi="Times New Roman"/>
                <w:sz w:val="24"/>
                <w:szCs w:val="24"/>
                <w:vertAlign w:val="superscript"/>
              </w:rPr>
              <w:t>4</w:t>
            </w:r>
            <w:r w:rsidR="00C774A2" w:rsidRPr="00033C63">
              <w:rPr>
                <w:rFonts w:ascii="Times New Roman" w:hAnsi="Times New Roman"/>
                <w:sz w:val="24"/>
                <w:szCs w:val="24"/>
              </w:rPr>
              <w:t xml:space="preserve"> panta otro daļu,  6.</w:t>
            </w:r>
            <w:r w:rsidR="00C774A2" w:rsidRPr="00A75192">
              <w:rPr>
                <w:rFonts w:ascii="Times New Roman" w:hAnsi="Times New Roman"/>
                <w:sz w:val="24"/>
                <w:szCs w:val="24"/>
                <w:vertAlign w:val="superscript"/>
              </w:rPr>
              <w:t>7</w:t>
            </w:r>
            <w:r w:rsidR="00C774A2" w:rsidRPr="00033C63">
              <w:rPr>
                <w:rFonts w:ascii="Times New Roman" w:hAnsi="Times New Roman"/>
                <w:sz w:val="24"/>
                <w:szCs w:val="24"/>
              </w:rPr>
              <w:t xml:space="preserve"> panta pirmo, otro daļu un trešo daļu, 6.</w:t>
            </w:r>
            <w:r w:rsidR="00C774A2" w:rsidRPr="00A75192">
              <w:rPr>
                <w:rFonts w:ascii="Times New Roman" w:hAnsi="Times New Roman"/>
                <w:sz w:val="24"/>
                <w:szCs w:val="24"/>
                <w:vertAlign w:val="superscript"/>
              </w:rPr>
              <w:t>9</w:t>
            </w:r>
            <w:r w:rsidR="00C774A2" w:rsidRPr="00033C63">
              <w:rPr>
                <w:rFonts w:ascii="Times New Roman" w:hAnsi="Times New Roman"/>
                <w:sz w:val="24"/>
                <w:szCs w:val="24"/>
              </w:rPr>
              <w:t xml:space="preserve"> panta otro daļu un  10.</w:t>
            </w:r>
            <w:r w:rsidR="00C774A2" w:rsidRPr="00A75192">
              <w:rPr>
                <w:rFonts w:ascii="Times New Roman" w:hAnsi="Times New Roman"/>
                <w:sz w:val="24"/>
                <w:szCs w:val="24"/>
                <w:vertAlign w:val="superscript"/>
              </w:rPr>
              <w:t>4</w:t>
            </w:r>
            <w:r w:rsidR="00C774A2" w:rsidRPr="00033C63">
              <w:rPr>
                <w:rFonts w:ascii="Times New Roman" w:hAnsi="Times New Roman"/>
                <w:sz w:val="24"/>
                <w:szCs w:val="24"/>
              </w:rPr>
              <w:t xml:space="preserve"> panta trešo daļu</w:t>
            </w:r>
            <w:r w:rsidR="00447582" w:rsidRPr="00447582">
              <w:rPr>
                <w:rFonts w:ascii="Times New Roman" w:hAnsi="Times New Roman"/>
                <w:sz w:val="28"/>
                <w:szCs w:val="28"/>
              </w:rPr>
              <w:t xml:space="preserve"> </w:t>
            </w:r>
            <w:r w:rsidR="00447582" w:rsidRPr="00447582">
              <w:rPr>
                <w:rFonts w:ascii="Times New Roman" w:hAnsi="Times New Roman"/>
                <w:sz w:val="24"/>
                <w:szCs w:val="24"/>
              </w:rPr>
              <w:t>un</w:t>
            </w:r>
            <w:r w:rsidR="00447582">
              <w:rPr>
                <w:rFonts w:ascii="Times New Roman" w:hAnsi="Times New Roman"/>
                <w:sz w:val="24"/>
                <w:szCs w:val="24"/>
              </w:rPr>
              <w:t xml:space="preserve"> </w:t>
            </w:r>
            <w:r w:rsidR="00447582" w:rsidRPr="00447582">
              <w:rPr>
                <w:rFonts w:ascii="Times New Roman" w:hAnsi="Times New Roman"/>
                <w:sz w:val="24"/>
                <w:szCs w:val="24"/>
              </w:rPr>
              <w:t>Farmācijas likuma 5. panta 3. un 12. punktu</w:t>
            </w:r>
            <w:r w:rsidR="00447582">
              <w:rPr>
                <w:rFonts w:ascii="Times New Roman" w:hAnsi="Times New Roman"/>
                <w:sz w:val="24"/>
                <w:szCs w:val="24"/>
              </w:rPr>
              <w:t>.</w:t>
            </w:r>
          </w:p>
          <w:p w14:paraId="4F9E7C09" w14:textId="7672A210" w:rsidR="009B775D" w:rsidRPr="005C5DC6" w:rsidRDefault="009B775D" w:rsidP="005C5DC6">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BD50E2" w:rsidRPr="00BD50E2" w14:paraId="44CA8137" w14:textId="77777777" w:rsidTr="00EF77FE">
        <w:trPr>
          <w:trHeight w:val="1393"/>
        </w:trPr>
        <w:tc>
          <w:tcPr>
            <w:tcW w:w="211"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944" w:type="pct"/>
            <w:tcBorders>
              <w:top w:val="single" w:sz="4" w:space="0" w:color="auto"/>
              <w:left w:val="single" w:sz="4" w:space="0" w:color="auto"/>
              <w:bottom w:val="single" w:sz="4" w:space="0" w:color="auto"/>
              <w:right w:val="single" w:sz="4" w:space="0" w:color="auto"/>
            </w:tcBorders>
            <w:hideMark/>
          </w:tcPr>
          <w:p w14:paraId="0B43310B" w14:textId="413C7676" w:rsidR="00894B68" w:rsidRPr="00894B68" w:rsidRDefault="0007278B" w:rsidP="00F1226C">
            <w:pPr>
              <w:spacing w:after="0" w:line="240" w:lineRule="auto"/>
              <w:rPr>
                <w:rFonts w:ascii="Times New Roman" w:eastAsia="Times New Roman" w:hAnsi="Times New Roman" w:cs="Times New Roman"/>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1026BC67" w14:textId="77777777" w:rsidR="00894B68" w:rsidRPr="00894B68" w:rsidRDefault="00894B68" w:rsidP="00894B68">
            <w:pPr>
              <w:rPr>
                <w:rFonts w:ascii="Times New Roman" w:eastAsia="Times New Roman" w:hAnsi="Times New Roman" w:cs="Times New Roman"/>
                <w:sz w:val="24"/>
                <w:szCs w:val="24"/>
              </w:rPr>
            </w:pPr>
          </w:p>
          <w:p w14:paraId="2DF3A9FE" w14:textId="77777777" w:rsidR="00894B68" w:rsidRPr="00894B68" w:rsidRDefault="00894B68" w:rsidP="00894B68">
            <w:pPr>
              <w:rPr>
                <w:rFonts w:ascii="Times New Roman" w:eastAsia="Times New Roman" w:hAnsi="Times New Roman" w:cs="Times New Roman"/>
                <w:sz w:val="24"/>
                <w:szCs w:val="24"/>
              </w:rPr>
            </w:pPr>
          </w:p>
          <w:p w14:paraId="18475565" w14:textId="77777777" w:rsidR="00894B68" w:rsidRPr="00894B68" w:rsidRDefault="00894B68" w:rsidP="00894B68">
            <w:pPr>
              <w:rPr>
                <w:rFonts w:ascii="Times New Roman" w:eastAsia="Times New Roman" w:hAnsi="Times New Roman" w:cs="Times New Roman"/>
                <w:sz w:val="24"/>
                <w:szCs w:val="24"/>
              </w:rPr>
            </w:pPr>
          </w:p>
          <w:p w14:paraId="3B29B91F" w14:textId="77777777" w:rsidR="00894B68" w:rsidRPr="00894B68" w:rsidRDefault="00894B68" w:rsidP="00894B68">
            <w:pPr>
              <w:rPr>
                <w:rFonts w:ascii="Times New Roman" w:eastAsia="Times New Roman" w:hAnsi="Times New Roman" w:cs="Times New Roman"/>
                <w:sz w:val="24"/>
                <w:szCs w:val="24"/>
              </w:rPr>
            </w:pPr>
          </w:p>
          <w:p w14:paraId="4FD6EF8D" w14:textId="77777777" w:rsidR="00894B68" w:rsidRDefault="00894B68" w:rsidP="00894B68">
            <w:pPr>
              <w:rPr>
                <w:rFonts w:ascii="Times New Roman" w:eastAsia="Times New Roman" w:hAnsi="Times New Roman" w:cs="Times New Roman"/>
                <w:bCs/>
                <w:sz w:val="24"/>
                <w:szCs w:val="24"/>
              </w:rPr>
            </w:pPr>
          </w:p>
          <w:p w14:paraId="0F8281CA" w14:textId="4AAFA843" w:rsidR="00894B68" w:rsidRPr="00894B68" w:rsidRDefault="00894B68" w:rsidP="00894B68">
            <w:pPr>
              <w:ind w:firstLine="720"/>
              <w:rPr>
                <w:rFonts w:ascii="Times New Roman" w:eastAsia="Times New Roman" w:hAnsi="Times New Roman" w:cs="Times New Roman"/>
                <w:sz w:val="24"/>
                <w:szCs w:val="24"/>
              </w:rPr>
            </w:pPr>
          </w:p>
        </w:tc>
        <w:tc>
          <w:tcPr>
            <w:tcW w:w="3845" w:type="pct"/>
            <w:tcBorders>
              <w:top w:val="single" w:sz="4" w:space="0" w:color="auto"/>
              <w:left w:val="single" w:sz="4" w:space="0" w:color="auto"/>
              <w:bottom w:val="single" w:sz="4" w:space="0" w:color="auto"/>
              <w:right w:val="single" w:sz="4" w:space="0" w:color="auto"/>
            </w:tcBorders>
          </w:tcPr>
          <w:p w14:paraId="46C4D065" w14:textId="6A564C73" w:rsidR="009C0E6C" w:rsidRPr="00227A7F" w:rsidRDefault="00227A7F" w:rsidP="00227A7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1B4AA1" w:rsidRPr="00227A7F">
              <w:rPr>
                <w:rFonts w:ascii="Times New Roman" w:eastAsia="Calibri" w:hAnsi="Times New Roman" w:cs="Times New Roman"/>
                <w:sz w:val="24"/>
                <w:szCs w:val="24"/>
              </w:rPr>
              <w:t>Ņemot vērā to, ka pret Covid-19 vakcinētas personas ar Covid-19 inficējas vairāk kā 3 reizes retāk kā nevakcinētas pers</w:t>
            </w:r>
            <w:r w:rsidR="005D607C" w:rsidRPr="00227A7F">
              <w:rPr>
                <w:rFonts w:ascii="Times New Roman" w:eastAsia="Calibri" w:hAnsi="Times New Roman" w:cs="Times New Roman"/>
                <w:sz w:val="24"/>
                <w:szCs w:val="24"/>
              </w:rPr>
              <w:t>o</w:t>
            </w:r>
            <w:r w:rsidR="001B4AA1" w:rsidRPr="00227A7F">
              <w:rPr>
                <w:rFonts w:ascii="Times New Roman" w:eastAsia="Calibri" w:hAnsi="Times New Roman" w:cs="Times New Roman"/>
                <w:sz w:val="24"/>
                <w:szCs w:val="24"/>
              </w:rPr>
              <w:t>nas vairāk kā</w:t>
            </w:r>
            <w:r w:rsidR="005D607C" w:rsidRPr="00227A7F">
              <w:rPr>
                <w:rFonts w:ascii="Times New Roman" w:eastAsia="Calibri" w:hAnsi="Times New Roman" w:cs="Times New Roman"/>
                <w:sz w:val="24"/>
                <w:szCs w:val="24"/>
              </w:rPr>
              <w:t xml:space="preserve"> 30 reizes retāk nonāk slimnīcā un praktiski nav </w:t>
            </w:r>
            <w:r w:rsidR="00310D10" w:rsidRPr="00227A7F">
              <w:rPr>
                <w:rFonts w:ascii="Times New Roman" w:eastAsia="Calibri" w:hAnsi="Times New Roman" w:cs="Times New Roman"/>
                <w:sz w:val="24"/>
                <w:szCs w:val="24"/>
              </w:rPr>
              <w:t xml:space="preserve">nāves gadījumu no Covid-19 starp vakcinētām personām, </w:t>
            </w:r>
            <w:r w:rsidR="00D479AA" w:rsidRPr="00227A7F">
              <w:rPr>
                <w:rFonts w:ascii="Times New Roman" w:eastAsia="Calibri" w:hAnsi="Times New Roman" w:cs="Times New Roman"/>
                <w:sz w:val="24"/>
                <w:szCs w:val="24"/>
              </w:rPr>
              <w:t>š</w:t>
            </w:r>
            <w:r w:rsidR="00727DCB" w:rsidRPr="00227A7F">
              <w:rPr>
                <w:rFonts w:ascii="Times New Roman" w:eastAsia="Calibri" w:hAnsi="Times New Roman" w:cs="Times New Roman"/>
                <w:sz w:val="24"/>
                <w:szCs w:val="24"/>
              </w:rPr>
              <w:t>ī</w:t>
            </w:r>
            <w:r w:rsidR="00D479AA" w:rsidRPr="00227A7F">
              <w:rPr>
                <w:rFonts w:ascii="Times New Roman" w:eastAsia="Calibri" w:hAnsi="Times New Roman" w:cs="Times New Roman"/>
                <w:sz w:val="24"/>
                <w:szCs w:val="24"/>
              </w:rPr>
              <w:t xml:space="preserve"> cilvēku grupa</w:t>
            </w:r>
            <w:r w:rsidR="00042E67" w:rsidRPr="00227A7F">
              <w:rPr>
                <w:rFonts w:ascii="Times New Roman" w:eastAsia="Calibri" w:hAnsi="Times New Roman" w:cs="Times New Roman"/>
                <w:sz w:val="24"/>
                <w:szCs w:val="24"/>
              </w:rPr>
              <w:t xml:space="preserve"> ir pak</w:t>
            </w:r>
            <w:r w:rsidR="00727DCB" w:rsidRPr="00227A7F">
              <w:rPr>
                <w:rFonts w:ascii="Times New Roman" w:eastAsia="Calibri" w:hAnsi="Times New Roman" w:cs="Times New Roman"/>
                <w:sz w:val="24"/>
                <w:szCs w:val="24"/>
              </w:rPr>
              <w:t>ļauta</w:t>
            </w:r>
            <w:r w:rsidR="00042E67" w:rsidRPr="00227A7F">
              <w:rPr>
                <w:rFonts w:ascii="Times New Roman" w:eastAsia="Calibri" w:hAnsi="Times New Roman" w:cs="Times New Roman"/>
                <w:sz w:val="24"/>
                <w:szCs w:val="24"/>
              </w:rPr>
              <w:t xml:space="preserve"> mazākam riskam, kas ir saistīts ar Covid-19</w:t>
            </w:r>
            <w:r w:rsidR="00A673C4" w:rsidRPr="00227A7F">
              <w:rPr>
                <w:rFonts w:ascii="Times New Roman" w:eastAsia="Calibri" w:hAnsi="Times New Roman" w:cs="Times New Roman"/>
                <w:sz w:val="24"/>
                <w:szCs w:val="24"/>
              </w:rPr>
              <w:t xml:space="preserve"> inficēšanos un veselības riskiem, tādēļ šīm personām</w:t>
            </w:r>
            <w:r w:rsidR="00D479AA" w:rsidRPr="00227A7F">
              <w:rPr>
                <w:rFonts w:ascii="Times New Roman" w:eastAsia="Calibri" w:hAnsi="Times New Roman" w:cs="Times New Roman"/>
                <w:sz w:val="24"/>
                <w:szCs w:val="24"/>
              </w:rPr>
              <w:t xml:space="preserve"> var paredz</w:t>
            </w:r>
            <w:r w:rsidR="00042E67" w:rsidRPr="00227A7F">
              <w:rPr>
                <w:rFonts w:ascii="Times New Roman" w:eastAsia="Calibri" w:hAnsi="Times New Roman" w:cs="Times New Roman"/>
                <w:sz w:val="24"/>
                <w:szCs w:val="24"/>
              </w:rPr>
              <w:t>ē</w:t>
            </w:r>
            <w:r w:rsidR="00D479AA" w:rsidRPr="00227A7F">
              <w:rPr>
                <w:rFonts w:ascii="Times New Roman" w:eastAsia="Calibri" w:hAnsi="Times New Roman" w:cs="Times New Roman"/>
                <w:sz w:val="24"/>
                <w:szCs w:val="24"/>
              </w:rPr>
              <w:t xml:space="preserve">t </w:t>
            </w:r>
            <w:r w:rsidR="00042E67" w:rsidRPr="00227A7F">
              <w:rPr>
                <w:rFonts w:ascii="Times New Roman" w:eastAsia="Calibri" w:hAnsi="Times New Roman" w:cs="Times New Roman"/>
                <w:sz w:val="24"/>
                <w:szCs w:val="24"/>
              </w:rPr>
              <w:t>atvieglotus epidemiolo</w:t>
            </w:r>
            <w:r w:rsidR="00A673C4" w:rsidRPr="00227A7F">
              <w:rPr>
                <w:rFonts w:ascii="Times New Roman" w:eastAsia="Calibri" w:hAnsi="Times New Roman" w:cs="Times New Roman"/>
                <w:sz w:val="24"/>
                <w:szCs w:val="24"/>
              </w:rPr>
              <w:t>ģi</w:t>
            </w:r>
            <w:r w:rsidR="00042E67" w:rsidRPr="00227A7F">
              <w:rPr>
                <w:rFonts w:ascii="Times New Roman" w:eastAsia="Calibri" w:hAnsi="Times New Roman" w:cs="Times New Roman"/>
                <w:sz w:val="24"/>
                <w:szCs w:val="24"/>
              </w:rPr>
              <w:t>skās drošības pasākumus</w:t>
            </w:r>
            <w:r w:rsidR="00727DCB" w:rsidRPr="00227A7F">
              <w:rPr>
                <w:rFonts w:ascii="Times New Roman" w:eastAsia="Calibri" w:hAnsi="Times New Roman" w:cs="Times New Roman"/>
                <w:sz w:val="24"/>
                <w:szCs w:val="24"/>
              </w:rPr>
              <w:t>, tai skaitā paredzēt iespēju, ka šīs personas var nelietot mutes un deguna aizsegu telpās kontrolētos kolektīvos. Šāda norma ir spēkā arī šobrīd, bet ir jāparedz, ka šāds nosacījums paliek spēkā arī pieaugot saslims</w:t>
            </w:r>
            <w:r w:rsidR="00A4767B" w:rsidRPr="00227A7F">
              <w:rPr>
                <w:rFonts w:ascii="Times New Roman" w:eastAsia="Calibri" w:hAnsi="Times New Roman" w:cs="Times New Roman"/>
                <w:sz w:val="24"/>
                <w:szCs w:val="24"/>
              </w:rPr>
              <w:t xml:space="preserve">tībai, kad 14 dienu kumulatīvais Covid-19 gadījumu skaits pārsniedz 120 </w:t>
            </w:r>
            <w:r w:rsidR="008C649B" w:rsidRPr="00227A7F">
              <w:rPr>
                <w:rFonts w:ascii="Times New Roman" w:eastAsia="Calibri" w:hAnsi="Times New Roman" w:cs="Times New Roman"/>
                <w:sz w:val="24"/>
                <w:szCs w:val="24"/>
              </w:rPr>
              <w:t>uz</w:t>
            </w:r>
            <w:r w:rsidR="00A4767B" w:rsidRPr="00227A7F">
              <w:rPr>
                <w:rFonts w:ascii="Times New Roman" w:eastAsia="Calibri" w:hAnsi="Times New Roman" w:cs="Times New Roman"/>
                <w:sz w:val="24"/>
                <w:szCs w:val="24"/>
              </w:rPr>
              <w:t xml:space="preserve"> 100</w:t>
            </w:r>
            <w:r w:rsidR="008C649B" w:rsidRPr="00227A7F">
              <w:rPr>
                <w:rFonts w:ascii="Times New Roman" w:eastAsia="Calibri" w:hAnsi="Times New Roman" w:cs="Times New Roman"/>
                <w:sz w:val="24"/>
                <w:szCs w:val="24"/>
              </w:rPr>
              <w:t> </w:t>
            </w:r>
            <w:r w:rsidR="00A4767B" w:rsidRPr="00227A7F">
              <w:rPr>
                <w:rFonts w:ascii="Times New Roman" w:eastAsia="Calibri" w:hAnsi="Times New Roman" w:cs="Times New Roman"/>
                <w:sz w:val="24"/>
                <w:szCs w:val="24"/>
              </w:rPr>
              <w:t>000</w:t>
            </w:r>
            <w:r w:rsidR="008C649B" w:rsidRPr="00227A7F">
              <w:rPr>
                <w:rFonts w:ascii="Times New Roman" w:eastAsia="Calibri" w:hAnsi="Times New Roman" w:cs="Times New Roman"/>
                <w:sz w:val="24"/>
                <w:szCs w:val="24"/>
              </w:rPr>
              <w:t xml:space="preserve"> iedzīvotājiem. Tādēļ ir jāveic grozījumi </w:t>
            </w:r>
            <w:r w:rsidR="008C649B" w:rsidRPr="00227A7F">
              <w:rPr>
                <w:rFonts w:ascii="Times New Roman" w:eastAsia="Times New Roman" w:hAnsi="Times New Roman" w:cs="Times New Roman"/>
                <w:bCs/>
                <w:sz w:val="24"/>
                <w:szCs w:val="24"/>
                <w:lang w:eastAsia="lv-LV"/>
              </w:rPr>
              <w:t>Ministru kabineta 2020. gada 9. jūnija noteikumos Nr. 360 “Epidemioloģiskās drošības pasākumi Covid-19 infekcijas izplatības ierobežošanai”</w:t>
            </w:r>
            <w:r w:rsidR="00170534">
              <w:rPr>
                <w:rFonts w:ascii="Times New Roman" w:eastAsia="Times New Roman" w:hAnsi="Times New Roman" w:cs="Times New Roman"/>
                <w:bCs/>
                <w:sz w:val="24"/>
                <w:szCs w:val="24"/>
                <w:lang w:eastAsia="lv-LV"/>
              </w:rPr>
              <w:t xml:space="preserve"> </w:t>
            </w:r>
            <w:r w:rsidR="001A401B" w:rsidRPr="00227A7F">
              <w:rPr>
                <w:rFonts w:ascii="Times New Roman" w:eastAsia="Times New Roman" w:hAnsi="Times New Roman" w:cs="Times New Roman"/>
                <w:bCs/>
                <w:sz w:val="24"/>
                <w:szCs w:val="24"/>
                <w:lang w:eastAsia="lv-LV"/>
              </w:rPr>
              <w:t>(turpmāk – Noteikumi)</w:t>
            </w:r>
            <w:r w:rsidR="00170534">
              <w:rPr>
                <w:rFonts w:ascii="Times New Roman" w:eastAsia="Times New Roman" w:hAnsi="Times New Roman" w:cs="Times New Roman"/>
                <w:bCs/>
                <w:sz w:val="24"/>
                <w:szCs w:val="24"/>
                <w:lang w:eastAsia="lv-LV"/>
              </w:rPr>
              <w:t>,</w:t>
            </w:r>
            <w:r w:rsidR="008C649B" w:rsidRPr="00227A7F">
              <w:rPr>
                <w:rFonts w:ascii="Times New Roman" w:eastAsia="Times New Roman" w:hAnsi="Times New Roman" w:cs="Times New Roman"/>
                <w:bCs/>
                <w:sz w:val="24"/>
                <w:szCs w:val="24"/>
                <w:lang w:eastAsia="lv-LV"/>
              </w:rPr>
              <w:t xml:space="preserve"> </w:t>
            </w:r>
            <w:r w:rsidR="004232DB" w:rsidRPr="00227A7F">
              <w:rPr>
                <w:rFonts w:ascii="Times New Roman" w:eastAsia="Times New Roman" w:hAnsi="Times New Roman" w:cs="Times New Roman"/>
                <w:bCs/>
                <w:sz w:val="24"/>
                <w:szCs w:val="24"/>
                <w:lang w:eastAsia="lv-LV"/>
              </w:rPr>
              <w:t xml:space="preserve">pārnesot minēto normu no </w:t>
            </w:r>
            <w:r w:rsidR="00C435D2" w:rsidRPr="00227A7F">
              <w:rPr>
                <w:rFonts w:ascii="Times New Roman" w:hAnsi="Times New Roman" w:cs="Times New Roman"/>
                <w:sz w:val="24"/>
                <w:szCs w:val="24"/>
                <w:shd w:val="clear" w:color="auto" w:fill="FFFFFF"/>
              </w:rPr>
              <w:t>14.</w:t>
            </w:r>
            <w:r w:rsidR="00C435D2" w:rsidRPr="00227A7F">
              <w:rPr>
                <w:rFonts w:ascii="Times New Roman" w:hAnsi="Times New Roman" w:cs="Times New Roman"/>
                <w:sz w:val="24"/>
                <w:szCs w:val="24"/>
                <w:shd w:val="clear" w:color="auto" w:fill="FFFFFF"/>
                <w:vertAlign w:val="superscript"/>
              </w:rPr>
              <w:t>6</w:t>
            </w:r>
            <w:r w:rsidR="00C435D2" w:rsidRPr="00227A7F">
              <w:rPr>
                <w:rFonts w:ascii="Times New Roman" w:hAnsi="Times New Roman" w:cs="Times New Roman"/>
                <w:sz w:val="24"/>
                <w:szCs w:val="24"/>
                <w:shd w:val="clear" w:color="auto" w:fill="FFFFFF"/>
              </w:rPr>
              <w:t> 11. apakšpunkta, kas ir regulējum</w:t>
            </w:r>
            <w:r w:rsidR="00B40C63" w:rsidRPr="00227A7F">
              <w:rPr>
                <w:rFonts w:ascii="Times New Roman" w:hAnsi="Times New Roman" w:cs="Times New Roman"/>
                <w:sz w:val="24"/>
                <w:szCs w:val="24"/>
                <w:shd w:val="clear" w:color="auto" w:fill="FFFFFF"/>
              </w:rPr>
              <w:t>s</w:t>
            </w:r>
            <w:r w:rsidR="00C435D2" w:rsidRPr="00227A7F">
              <w:rPr>
                <w:rFonts w:ascii="Times New Roman" w:hAnsi="Times New Roman" w:cs="Times New Roman"/>
                <w:sz w:val="24"/>
                <w:szCs w:val="24"/>
                <w:shd w:val="clear" w:color="auto" w:fill="FFFFFF"/>
              </w:rPr>
              <w:t xml:space="preserve"> situācijai</w:t>
            </w:r>
            <w:r w:rsidR="00932676" w:rsidRPr="00227A7F">
              <w:rPr>
                <w:rFonts w:ascii="Times New Roman" w:hAnsi="Times New Roman" w:cs="Times New Roman"/>
                <w:sz w:val="24"/>
                <w:szCs w:val="24"/>
                <w:shd w:val="clear" w:color="auto" w:fill="FFFFFF"/>
              </w:rPr>
              <w:t xml:space="preserve">, kad Covid-19 saslimstības rādītājs ir zem 100 uz </w:t>
            </w:r>
            <w:r w:rsidR="00B40C63" w:rsidRPr="00227A7F">
              <w:rPr>
                <w:rFonts w:ascii="Times New Roman" w:hAnsi="Times New Roman" w:cs="Times New Roman"/>
                <w:sz w:val="24"/>
                <w:szCs w:val="24"/>
                <w:shd w:val="clear" w:color="auto" w:fill="FFFFFF"/>
              </w:rPr>
              <w:t>100 000 iedzīvotājiem u</w:t>
            </w:r>
            <w:r w:rsidR="0092447B" w:rsidRPr="00227A7F">
              <w:rPr>
                <w:rFonts w:ascii="Times New Roman" w:hAnsi="Times New Roman" w:cs="Times New Roman"/>
                <w:sz w:val="24"/>
                <w:szCs w:val="24"/>
                <w:shd w:val="clear" w:color="auto" w:fill="FFFFFF"/>
              </w:rPr>
              <w:t xml:space="preserve">z </w:t>
            </w:r>
            <w:r w:rsidR="0092447B" w:rsidRPr="00227A7F">
              <w:rPr>
                <w:rFonts w:ascii="Times New Roman" w:hAnsi="Times New Roman" w:cs="Times New Roman"/>
                <w:sz w:val="24"/>
                <w:szCs w:val="24"/>
              </w:rPr>
              <w:t>6.3.1.8.</w:t>
            </w:r>
            <w:r w:rsidR="0092447B" w:rsidRPr="00227A7F">
              <w:rPr>
                <w:rFonts w:ascii="Times New Roman" w:hAnsi="Times New Roman" w:cs="Times New Roman"/>
                <w:sz w:val="28"/>
                <w:szCs w:val="28"/>
              </w:rPr>
              <w:t> </w:t>
            </w:r>
            <w:r w:rsidR="00B40C63" w:rsidRPr="00227A7F">
              <w:rPr>
                <w:rFonts w:ascii="Times New Roman" w:hAnsi="Times New Roman" w:cs="Times New Roman"/>
                <w:sz w:val="24"/>
                <w:szCs w:val="24"/>
                <w:shd w:val="clear" w:color="auto" w:fill="FFFFFF"/>
              </w:rPr>
              <w:t xml:space="preserve"> </w:t>
            </w:r>
            <w:r w:rsidR="0092447B" w:rsidRPr="00227A7F">
              <w:rPr>
                <w:rFonts w:ascii="Times New Roman" w:hAnsi="Times New Roman" w:cs="Times New Roman"/>
                <w:sz w:val="24"/>
                <w:szCs w:val="24"/>
                <w:shd w:val="clear" w:color="auto" w:fill="FFFFFF"/>
              </w:rPr>
              <w:t>apak</w:t>
            </w:r>
            <w:r w:rsidR="00283D84" w:rsidRPr="00227A7F">
              <w:rPr>
                <w:rFonts w:ascii="Times New Roman" w:hAnsi="Times New Roman" w:cs="Times New Roman"/>
                <w:sz w:val="24"/>
                <w:szCs w:val="24"/>
                <w:shd w:val="clear" w:color="auto" w:fill="FFFFFF"/>
              </w:rPr>
              <w:t xml:space="preserve">špunktu, kas nosaka vispārējo mutes un deguna aizsegu </w:t>
            </w:r>
            <w:r w:rsidR="003D0D67" w:rsidRPr="00227A7F">
              <w:rPr>
                <w:rFonts w:ascii="Times New Roman" w:hAnsi="Times New Roman" w:cs="Times New Roman"/>
                <w:sz w:val="24"/>
                <w:szCs w:val="24"/>
                <w:shd w:val="clear" w:color="auto" w:fill="FFFFFF"/>
              </w:rPr>
              <w:t>lietošanas regulējumu.</w:t>
            </w:r>
          </w:p>
          <w:p w14:paraId="49FEA1D4" w14:textId="0184C6EC" w:rsidR="00894B68" w:rsidRPr="00170534" w:rsidRDefault="00170534" w:rsidP="001705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894B68" w:rsidRPr="00170534">
              <w:rPr>
                <w:rFonts w:ascii="Times New Roman" w:eastAsia="Calibri" w:hAnsi="Times New Roman" w:cs="Times New Roman"/>
                <w:sz w:val="24"/>
                <w:szCs w:val="24"/>
              </w:rPr>
              <w:t>Covid-19 infekcijas izplatības pārvaldības likuma 49.</w:t>
            </w:r>
            <w:r w:rsidR="00894B68" w:rsidRPr="00170534">
              <w:rPr>
                <w:rFonts w:ascii="Times New Roman" w:eastAsia="Calibri" w:hAnsi="Times New Roman" w:cs="Times New Roman"/>
                <w:sz w:val="24"/>
                <w:szCs w:val="24"/>
                <w:vertAlign w:val="superscript"/>
              </w:rPr>
              <w:t>6</w:t>
            </w:r>
            <w:r w:rsidR="00894B68" w:rsidRPr="00170534">
              <w:rPr>
                <w:rFonts w:ascii="Times New Roman" w:eastAsia="Calibri" w:hAnsi="Times New Roman" w:cs="Times New Roman"/>
                <w:sz w:val="24"/>
                <w:szCs w:val="24"/>
              </w:rPr>
              <w:t xml:space="preserve"> panta pirmajā daļā iekļautās tiesību normas (spēkā stājās 2021.gada 23.jūlijā) paredz, ka ierobežotu intensīvās terapijas resursu izmantošana un pacientu prioritizēšana atbilstoši medicīniskiem kritērijiem Covid-19 infekcijas izplatības laikā notiek, ievērojot uz pierādījumiem balstītus medicīnas principus. Vienlaikus likumā noteikts, ka Ministru kabinets nosaka galvenos ierobežoto intensīvās terapijas resursu izmantošanas un pacientu prioritizēšanas principus un kritērijus.</w:t>
            </w:r>
          </w:p>
          <w:p w14:paraId="0CF13CDA" w14:textId="238EA177" w:rsidR="00564840" w:rsidRDefault="00894B68" w:rsidP="001705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Ņemot vērā minēto, l</w:t>
            </w:r>
            <w:r w:rsidRPr="00894B68">
              <w:rPr>
                <w:rFonts w:ascii="Times New Roman" w:eastAsia="Calibri" w:hAnsi="Times New Roman" w:cs="Times New Roman"/>
                <w:sz w:val="24"/>
                <w:szCs w:val="24"/>
              </w:rPr>
              <w:t xml:space="preserve">ai nodrošinātu Ministru kabinetam deleģētā uzdevuma izpildi, </w:t>
            </w:r>
            <w:r>
              <w:rPr>
                <w:rFonts w:ascii="Times New Roman" w:eastAsia="Calibri" w:hAnsi="Times New Roman" w:cs="Times New Roman"/>
                <w:sz w:val="24"/>
                <w:szCs w:val="24"/>
              </w:rPr>
              <w:t xml:space="preserve">Veselības ministrija </w:t>
            </w:r>
            <w:r w:rsidRPr="00894B68">
              <w:rPr>
                <w:rFonts w:ascii="Times New Roman" w:eastAsia="Calibri" w:hAnsi="Times New Roman" w:cs="Times New Roman"/>
                <w:sz w:val="24"/>
                <w:szCs w:val="24"/>
              </w:rPr>
              <w:t xml:space="preserve">ir </w:t>
            </w:r>
            <w:r>
              <w:rPr>
                <w:rFonts w:ascii="Times New Roman" w:eastAsia="Calibri" w:hAnsi="Times New Roman" w:cs="Times New Roman"/>
                <w:sz w:val="24"/>
                <w:szCs w:val="24"/>
              </w:rPr>
              <w:t>izstrādājusi</w:t>
            </w:r>
            <w:r w:rsidRPr="00894B68">
              <w:rPr>
                <w:rFonts w:ascii="Times New Roman" w:eastAsia="Calibri" w:hAnsi="Times New Roman" w:cs="Times New Roman"/>
                <w:sz w:val="24"/>
                <w:szCs w:val="24"/>
              </w:rPr>
              <w:t xml:space="preserve"> ierobežotu intensīvās terapijas resursu izmantošanas un pacientu prioritizēšanas galven</w:t>
            </w:r>
            <w:r>
              <w:rPr>
                <w:rFonts w:ascii="Times New Roman" w:eastAsia="Calibri" w:hAnsi="Times New Roman" w:cs="Times New Roman"/>
                <w:sz w:val="24"/>
                <w:szCs w:val="24"/>
              </w:rPr>
              <w:t>os</w:t>
            </w:r>
            <w:r w:rsidRPr="00894B68">
              <w:rPr>
                <w:rFonts w:ascii="Times New Roman" w:eastAsia="Calibri" w:hAnsi="Times New Roman" w:cs="Times New Roman"/>
                <w:sz w:val="24"/>
                <w:szCs w:val="24"/>
              </w:rPr>
              <w:t xml:space="preserve"> princip</w:t>
            </w:r>
            <w:r>
              <w:rPr>
                <w:rFonts w:ascii="Times New Roman" w:eastAsia="Calibri" w:hAnsi="Times New Roman" w:cs="Times New Roman"/>
                <w:sz w:val="24"/>
                <w:szCs w:val="24"/>
              </w:rPr>
              <w:t>us</w:t>
            </w:r>
            <w:r w:rsidRPr="00894B68">
              <w:rPr>
                <w:rFonts w:ascii="Times New Roman" w:eastAsia="Calibri" w:hAnsi="Times New Roman" w:cs="Times New Roman"/>
                <w:sz w:val="24"/>
                <w:szCs w:val="24"/>
              </w:rPr>
              <w:t xml:space="preserve"> un </w:t>
            </w:r>
            <w:r w:rsidRPr="00894B68">
              <w:rPr>
                <w:rFonts w:ascii="Times New Roman" w:eastAsia="Calibri" w:hAnsi="Times New Roman" w:cs="Times New Roman"/>
                <w:sz w:val="24"/>
                <w:szCs w:val="24"/>
              </w:rPr>
              <w:lastRenderedPageBreak/>
              <w:t>kritērij</w:t>
            </w:r>
            <w:r>
              <w:rPr>
                <w:rFonts w:ascii="Times New Roman" w:eastAsia="Calibri" w:hAnsi="Times New Roman" w:cs="Times New Roman"/>
                <w:sz w:val="24"/>
                <w:szCs w:val="24"/>
              </w:rPr>
              <w:t>us, kas iekļauti projektā</w:t>
            </w:r>
            <w:r w:rsidRPr="00894B68">
              <w:rPr>
                <w:rFonts w:ascii="Times New Roman" w:eastAsia="Calibri" w:hAnsi="Times New Roman" w:cs="Times New Roman"/>
                <w:sz w:val="24"/>
                <w:szCs w:val="24"/>
              </w:rPr>
              <w:t>. Ierobežotu intensīvās terapijas  resursu izmantošanas principi Covid-19 pandēmijas laikā balstīti uz starptautiskos medicīnas ētikas dokumentos iekļautajām pamata normām un rekomendāciju izstrādi citās valstīs</w:t>
            </w:r>
            <w:r w:rsidR="00F70814">
              <w:rPr>
                <w:rStyle w:val="FootnoteReference"/>
                <w:rFonts w:ascii="Times New Roman" w:eastAsia="Calibri" w:hAnsi="Times New Roman" w:cs="Times New Roman"/>
                <w:sz w:val="24"/>
                <w:szCs w:val="24"/>
              </w:rPr>
              <w:footnoteReference w:id="2"/>
            </w:r>
            <w:r w:rsidRPr="00894B68">
              <w:rPr>
                <w:rFonts w:ascii="Times New Roman" w:eastAsia="Calibri" w:hAnsi="Times New Roman" w:cs="Times New Roman"/>
                <w:sz w:val="24"/>
                <w:szCs w:val="24"/>
              </w:rPr>
              <w:t>. </w:t>
            </w:r>
          </w:p>
          <w:p w14:paraId="3F07C1F3" w14:textId="77777777" w:rsidR="00000176" w:rsidRDefault="00894B68" w:rsidP="00170534">
            <w:pPr>
              <w:spacing w:after="0" w:line="240" w:lineRule="auto"/>
              <w:jc w:val="both"/>
              <w:rPr>
                <w:rFonts w:ascii="Times New Roman" w:eastAsia="Calibri" w:hAnsi="Times New Roman" w:cs="Times New Roman"/>
                <w:sz w:val="24"/>
                <w:szCs w:val="24"/>
              </w:rPr>
            </w:pPr>
            <w:r w:rsidRPr="00894B68">
              <w:rPr>
                <w:rFonts w:ascii="Times New Roman" w:eastAsia="Calibri" w:hAnsi="Times New Roman" w:cs="Times New Roman"/>
                <w:sz w:val="24"/>
                <w:szCs w:val="24"/>
              </w:rPr>
              <w:t>No vispāratzītiem piemērojamiem principiem un kritērijiem netiek piemēroti tādi kritēriji, kas saistās ar personas vecuma vai iespējamās dzīves kvalitātes noteikšanu, lai maksimāli izslēgtu iespēju personas diskriminācijai vecuma dēļ, kā arī maksimāli novērstu subjektīva vērtējuma piemērošanu. </w:t>
            </w:r>
          </w:p>
          <w:p w14:paraId="39E424BD" w14:textId="3096CC66" w:rsidR="00000176" w:rsidRDefault="00000176" w:rsidP="001705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Lai nodrošinātu nepieciešamo veselības aprūpi pacientiem, tiek paredzēts, ka palīdzība arī ierobežotu intensīvās terapijas resursu apstākļos būtu sniedzama pēc iespējas lielākam pacientu skaitam.</w:t>
            </w:r>
          </w:p>
          <w:p w14:paraId="3FE1DC48" w14:textId="1320CEC8" w:rsidR="00E32152" w:rsidRDefault="00000176" w:rsidP="001705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Tāpat, lai maksimāli novērstu subjektīvu izvērtējumu un nodrošinātu dažādu diagnožu pacientu vienlīdzīgu izvērtēšanu, projektā ir iekļauti kritēriji, kas nosaka, ka visi pacienti, neatkarīgi no noteiktās diagnozes tiek vērtēti pēc vienotiem kritērijiem un lēmumu pieņem konsīlijs.</w:t>
            </w:r>
          </w:p>
          <w:p w14:paraId="6CA99084" w14:textId="441136C5" w:rsidR="00000176" w:rsidRDefault="00000176" w:rsidP="001705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Vienlaikus respektējot pacientu tiesības, projekts paredz, ka </w:t>
            </w:r>
            <w:r w:rsidR="0080014F">
              <w:rPr>
                <w:rFonts w:ascii="Times New Roman" w:eastAsia="Calibri" w:hAnsi="Times New Roman" w:cs="Times New Roman"/>
                <w:sz w:val="24"/>
                <w:szCs w:val="24"/>
              </w:rPr>
              <w:t>tiek ņemta vērā pacienta griba par atteikšan</w:t>
            </w:r>
            <w:r w:rsidR="007D73ED">
              <w:rPr>
                <w:rFonts w:ascii="Times New Roman" w:eastAsia="Calibri" w:hAnsi="Times New Roman" w:cs="Times New Roman"/>
                <w:sz w:val="24"/>
                <w:szCs w:val="24"/>
              </w:rPr>
              <w:t>os</w:t>
            </w:r>
            <w:r w:rsidR="0080014F">
              <w:rPr>
                <w:rFonts w:ascii="Times New Roman" w:eastAsia="Calibri" w:hAnsi="Times New Roman" w:cs="Times New Roman"/>
                <w:sz w:val="24"/>
                <w:szCs w:val="24"/>
              </w:rPr>
              <w:t xml:space="preserve"> no ārstēšanas kopumā vai no konkrētas ārstniecības metodes. </w:t>
            </w:r>
          </w:p>
          <w:p w14:paraId="1AB827A8" w14:textId="636F0F03" w:rsidR="0080014F" w:rsidRDefault="0080014F" w:rsidP="0017053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Ņemot vērā to, ka pacientu veselības stāvoklis, saņemot ārstēšanu</w:t>
            </w:r>
            <w:r w:rsidR="007D73ED">
              <w:rPr>
                <w:rFonts w:ascii="Times New Roman" w:eastAsia="Calibri" w:hAnsi="Times New Roman" w:cs="Times New Roman"/>
                <w:sz w:val="24"/>
                <w:szCs w:val="24"/>
              </w:rPr>
              <w:t>,</w:t>
            </w:r>
            <w:r>
              <w:rPr>
                <w:rFonts w:ascii="Times New Roman" w:eastAsia="Calibri" w:hAnsi="Times New Roman" w:cs="Times New Roman"/>
                <w:sz w:val="24"/>
                <w:szCs w:val="24"/>
              </w:rPr>
              <w:t xml:space="preserve"> var uzlaboties vai arī strauji pasliktināties, projekts nosaka, ka pieņemtais lēmums par prioritizāciju (terpijas pieejamību) tiek regulāri pārskatīts, kā arī, pārtraucot intensīvās terapijas aprūpi, tiek nodrošināta cita pieejamā ārstēšana. </w:t>
            </w:r>
          </w:p>
          <w:p w14:paraId="11EE2513" w14:textId="77777777" w:rsidR="00564840" w:rsidRDefault="0080014F" w:rsidP="00170534">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t xml:space="preserve">Vienlaikus, lai nodrošinātu vienotu un straptautiski atzītu pacientu izvērtējuma veikšanu, ir noteikts, ka izvērtējums tiek balstīts uz starptautiski atzītām Kritiski slimo pacientu novērtēšanas skalām un citiem nozīmīgiem kritērijiem. Kritēji, kas izvērtējami ir: </w:t>
            </w:r>
            <w:r w:rsidR="00776FFC" w:rsidRPr="002226DB">
              <w:rPr>
                <w:rFonts w:ascii="Times New Roman" w:eastAsia="Calibri" w:hAnsi="Times New Roman" w:cs="Times New Roman"/>
                <w:sz w:val="24"/>
                <w:szCs w:val="24"/>
                <w:lang w:eastAsia="lv-LV"/>
              </w:rPr>
              <w:t xml:space="preserve">refraktāra hipoksēmija (SpO2 &lt; 90%, elpojot skābekli (FiO2 &gt; 0,85), respiratora acidoze (pH &lt;7,2), elpošanas mazspējas klīniskie simptomi, nespēja uzturēt elpceļu caurejamību, nepieciešama hemodinamiskā balsta terapija ar vazoaktīviem līdzekļiem, sistoliskais AS &lt; 90 mmH, relatīva arteriāla hipotensija ar hemodinamiska šoka pazīmēm (apziņas traucējumi, samazināta diurēze), refraktāra pret šķidruma ievadi, nepieciešama cita tikai ITN pieejama orgānu atbalsta  metode. Pacientu izvērtēšanai tiek piemērotas ITN un iekšķīgo slimību klīnikās izmantotie kritēriji un skalas: SOFA skala, klīniskā trausluma rādītājs (CFS), NYHA sirds mazspējas klasifikācija, HOPS klīniskā klasifikācija, aknu mazspējas </w:t>
            </w:r>
            <w:r w:rsidR="00776FFC" w:rsidRPr="002226DB">
              <w:rPr>
                <w:rFonts w:ascii="Times New Roman" w:eastAsia="Calibri" w:hAnsi="Times New Roman" w:cs="Times New Roman"/>
                <w:i/>
                <w:sz w:val="24"/>
                <w:szCs w:val="24"/>
                <w:lang w:eastAsia="lv-LV"/>
              </w:rPr>
              <w:t>Child-Pugh</w:t>
            </w:r>
            <w:r w:rsidR="00776FFC" w:rsidRPr="002226DB">
              <w:rPr>
                <w:rFonts w:ascii="Times New Roman" w:eastAsia="Calibri" w:hAnsi="Times New Roman" w:cs="Times New Roman"/>
                <w:sz w:val="24"/>
                <w:szCs w:val="24"/>
                <w:lang w:eastAsia="lv-LV"/>
              </w:rPr>
              <w:t xml:space="preserve"> klase, hroniska nieru slimība (KDIGO),  smaga demence</w:t>
            </w:r>
            <w:r w:rsidR="00776FFC" w:rsidRPr="002226DB">
              <w:rPr>
                <w:rStyle w:val="FootnoteReference"/>
                <w:rFonts w:ascii="Times New Roman" w:eastAsia="Calibri" w:hAnsi="Times New Roman" w:cs="Times New Roman"/>
                <w:sz w:val="24"/>
                <w:szCs w:val="24"/>
                <w:lang w:eastAsia="lv-LV"/>
              </w:rPr>
              <w:footnoteReference w:id="3"/>
            </w:r>
            <w:r w:rsidR="00776FFC" w:rsidRPr="002226DB">
              <w:rPr>
                <w:rFonts w:ascii="Times New Roman" w:eastAsia="Calibri" w:hAnsi="Times New Roman" w:cs="Times New Roman"/>
                <w:sz w:val="24"/>
                <w:szCs w:val="24"/>
                <w:vertAlign w:val="superscript"/>
                <w:lang w:eastAsia="lv-LV"/>
              </w:rPr>
              <w:t xml:space="preserve">, </w:t>
            </w:r>
            <w:r w:rsidR="00776FFC" w:rsidRPr="002226DB">
              <w:rPr>
                <w:rStyle w:val="FootnoteReference"/>
                <w:rFonts w:ascii="Times New Roman" w:eastAsia="Calibri" w:hAnsi="Times New Roman" w:cs="Times New Roman"/>
                <w:sz w:val="24"/>
                <w:szCs w:val="24"/>
                <w:lang w:eastAsia="lv-LV"/>
              </w:rPr>
              <w:footnoteReference w:id="4"/>
            </w:r>
            <w:r w:rsidR="00776FFC" w:rsidRPr="002226DB">
              <w:rPr>
                <w:rFonts w:ascii="Times New Roman" w:eastAsia="Calibri" w:hAnsi="Times New Roman" w:cs="Times New Roman"/>
                <w:sz w:val="24"/>
                <w:szCs w:val="24"/>
                <w:vertAlign w:val="superscript"/>
                <w:lang w:eastAsia="lv-LV"/>
              </w:rPr>
              <w:t xml:space="preserve">, </w:t>
            </w:r>
            <w:r w:rsidR="00776FFC" w:rsidRPr="002226DB">
              <w:rPr>
                <w:rStyle w:val="FootnoteReference"/>
                <w:rFonts w:ascii="Times New Roman" w:eastAsia="Calibri" w:hAnsi="Times New Roman" w:cs="Times New Roman"/>
                <w:sz w:val="24"/>
                <w:szCs w:val="24"/>
                <w:lang w:eastAsia="lv-LV"/>
              </w:rPr>
              <w:footnoteReference w:id="5"/>
            </w:r>
            <w:r w:rsidR="00776FFC" w:rsidRPr="002226DB">
              <w:rPr>
                <w:rFonts w:ascii="Times New Roman" w:eastAsia="Calibri" w:hAnsi="Times New Roman" w:cs="Times New Roman"/>
                <w:sz w:val="24"/>
                <w:szCs w:val="24"/>
                <w:vertAlign w:val="superscript"/>
                <w:lang w:eastAsia="lv-LV"/>
              </w:rPr>
              <w:t xml:space="preserve">, </w:t>
            </w:r>
            <w:r w:rsidR="00776FFC" w:rsidRPr="002226DB">
              <w:rPr>
                <w:rStyle w:val="FootnoteReference"/>
                <w:rFonts w:ascii="Times New Roman" w:eastAsia="Calibri" w:hAnsi="Times New Roman" w:cs="Times New Roman"/>
                <w:sz w:val="24"/>
                <w:szCs w:val="24"/>
                <w:lang w:eastAsia="lv-LV"/>
              </w:rPr>
              <w:footnoteReference w:id="6"/>
            </w:r>
            <w:r w:rsidR="00776FFC" w:rsidRPr="002226DB">
              <w:rPr>
                <w:rFonts w:ascii="Times New Roman" w:eastAsia="Calibri" w:hAnsi="Times New Roman" w:cs="Times New Roman"/>
                <w:sz w:val="24"/>
                <w:szCs w:val="24"/>
                <w:vertAlign w:val="superscript"/>
                <w:lang w:eastAsia="lv-LV"/>
              </w:rPr>
              <w:t xml:space="preserve">, </w:t>
            </w:r>
            <w:r w:rsidR="00776FFC" w:rsidRPr="002226DB">
              <w:rPr>
                <w:rStyle w:val="FootnoteReference"/>
                <w:rFonts w:ascii="Times New Roman" w:eastAsia="Calibri" w:hAnsi="Times New Roman" w:cs="Times New Roman"/>
                <w:sz w:val="24"/>
                <w:szCs w:val="24"/>
                <w:lang w:eastAsia="lv-LV"/>
              </w:rPr>
              <w:footnoteReference w:id="7"/>
            </w:r>
            <w:r w:rsidR="00776FFC" w:rsidRPr="002226DB">
              <w:rPr>
                <w:rFonts w:ascii="Times New Roman" w:eastAsia="Calibri" w:hAnsi="Times New Roman" w:cs="Times New Roman"/>
                <w:sz w:val="24"/>
                <w:szCs w:val="24"/>
                <w:lang w:eastAsia="lv-LV"/>
              </w:rPr>
              <w:t>.</w:t>
            </w:r>
          </w:p>
          <w:p w14:paraId="2AFCF187" w14:textId="2C8BBC52" w:rsidR="003C04EA" w:rsidRPr="00B6076F" w:rsidRDefault="00B6076F" w:rsidP="00B607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137D58" w:rsidRPr="00B6076F">
              <w:rPr>
                <w:rFonts w:ascii="Times New Roman" w:eastAsia="Times New Roman" w:hAnsi="Times New Roman" w:cs="Times New Roman"/>
                <w:sz w:val="24"/>
                <w:szCs w:val="24"/>
                <w:lang w:eastAsia="lv-LV"/>
              </w:rPr>
              <w:t>Noteikumu 3.pielikums nosaka prioritāri vakcinējamās grupas</w:t>
            </w:r>
            <w:r w:rsidR="00292FE0" w:rsidRPr="00B6076F">
              <w:rPr>
                <w:rFonts w:ascii="Times New Roman" w:eastAsia="Times New Roman" w:hAnsi="Times New Roman" w:cs="Times New Roman"/>
                <w:sz w:val="24"/>
                <w:szCs w:val="24"/>
                <w:lang w:eastAsia="lv-LV"/>
              </w:rPr>
              <w:t>. IX prioritāri vakcinējamā grupa ir v</w:t>
            </w:r>
            <w:r w:rsidR="00292FE0" w:rsidRPr="00B6076F">
              <w:rPr>
                <w:rFonts w:ascii="Times New Roman" w:eastAsia="Times New Roman" w:hAnsi="Times New Roman" w:cs="Times New Roman"/>
                <w:sz w:val="24"/>
                <w:szCs w:val="24"/>
                <w:bdr w:val="none" w:sz="0" w:space="0" w:color="auto" w:frame="1"/>
                <w:lang w:eastAsia="lv-LV"/>
              </w:rPr>
              <w:t xml:space="preserve">isi pārējie sabiedrības locekļi, kas vakcināciju nav saņēmuši iepriekš. </w:t>
            </w:r>
            <w:r w:rsidR="00197F99" w:rsidRPr="00B6076F">
              <w:rPr>
                <w:rFonts w:ascii="Times New Roman" w:eastAsia="Times New Roman" w:hAnsi="Times New Roman" w:cs="Times New Roman"/>
                <w:sz w:val="24"/>
                <w:szCs w:val="24"/>
                <w:bdr w:val="none" w:sz="0" w:space="0" w:color="auto" w:frame="1"/>
                <w:lang w:eastAsia="lv-LV"/>
              </w:rPr>
              <w:t>Veselības a</w:t>
            </w:r>
            <w:r w:rsidR="00315C30" w:rsidRPr="00B6076F">
              <w:rPr>
                <w:rFonts w:ascii="Times New Roman" w:eastAsia="Times New Roman" w:hAnsi="Times New Roman" w:cs="Times New Roman"/>
                <w:sz w:val="24"/>
                <w:szCs w:val="24"/>
                <w:bdr w:val="none" w:sz="0" w:space="0" w:color="auto" w:frame="1"/>
                <w:lang w:eastAsia="lv-LV"/>
              </w:rPr>
              <w:t>prūpes finansēšanas likum</w:t>
            </w:r>
            <w:r w:rsidR="00F74FC5" w:rsidRPr="00B6076F">
              <w:rPr>
                <w:rFonts w:ascii="Times New Roman" w:eastAsia="Times New Roman" w:hAnsi="Times New Roman" w:cs="Times New Roman"/>
                <w:sz w:val="24"/>
                <w:szCs w:val="24"/>
                <w:bdr w:val="none" w:sz="0" w:space="0" w:color="auto" w:frame="1"/>
                <w:lang w:eastAsia="lv-LV"/>
              </w:rPr>
              <w:t>a</w:t>
            </w:r>
            <w:r w:rsidR="000F0E74" w:rsidRPr="00B6076F">
              <w:rPr>
                <w:rFonts w:ascii="Times New Roman" w:eastAsia="Times New Roman" w:hAnsi="Times New Roman" w:cs="Times New Roman"/>
                <w:sz w:val="24"/>
                <w:szCs w:val="24"/>
                <w:bdr w:val="none" w:sz="0" w:space="0" w:color="auto" w:frame="1"/>
                <w:lang w:eastAsia="lv-LV"/>
              </w:rPr>
              <w:t xml:space="preserve"> (turpmāk – VAFL)</w:t>
            </w:r>
            <w:r w:rsidR="00F74FC5" w:rsidRPr="00B6076F">
              <w:rPr>
                <w:rFonts w:ascii="Times New Roman" w:eastAsia="Times New Roman" w:hAnsi="Times New Roman" w:cs="Times New Roman"/>
                <w:sz w:val="24"/>
                <w:szCs w:val="24"/>
                <w:bdr w:val="none" w:sz="0" w:space="0" w:color="auto" w:frame="1"/>
                <w:lang w:eastAsia="lv-LV"/>
              </w:rPr>
              <w:t xml:space="preserve"> 9.pants</w:t>
            </w:r>
            <w:r w:rsidR="00315C30" w:rsidRPr="00B6076F">
              <w:rPr>
                <w:rFonts w:ascii="Times New Roman" w:eastAsia="Times New Roman" w:hAnsi="Times New Roman" w:cs="Times New Roman"/>
                <w:sz w:val="24"/>
                <w:szCs w:val="24"/>
                <w:bdr w:val="none" w:sz="0" w:space="0" w:color="auto" w:frame="1"/>
                <w:lang w:eastAsia="lv-LV"/>
              </w:rPr>
              <w:t xml:space="preserve"> paredz </w:t>
            </w:r>
            <w:r w:rsidR="003C04EA" w:rsidRPr="00B6076F">
              <w:rPr>
                <w:rFonts w:ascii="Times New Roman" w:eastAsia="Times New Roman" w:hAnsi="Times New Roman" w:cs="Times New Roman"/>
                <w:sz w:val="24"/>
                <w:szCs w:val="24"/>
                <w:bdr w:val="none" w:sz="0" w:space="0" w:color="auto" w:frame="1"/>
                <w:lang w:eastAsia="lv-LV"/>
              </w:rPr>
              <w:t>sabiedrības grupas, ka</w:t>
            </w:r>
            <w:r w:rsidR="00F74FC5" w:rsidRPr="00B6076F">
              <w:rPr>
                <w:rFonts w:ascii="Times New Roman" w:eastAsia="Times New Roman" w:hAnsi="Times New Roman" w:cs="Times New Roman"/>
                <w:sz w:val="24"/>
                <w:szCs w:val="24"/>
                <w:bdr w:val="none" w:sz="0" w:space="0" w:color="auto" w:frame="1"/>
                <w:lang w:eastAsia="lv-LV"/>
              </w:rPr>
              <w:t>m ir tiesības saņemt valsts apmaksātu</w:t>
            </w:r>
            <w:r w:rsidR="009D021E" w:rsidRPr="00B6076F">
              <w:rPr>
                <w:rFonts w:ascii="Times New Roman" w:eastAsia="Times New Roman" w:hAnsi="Times New Roman" w:cs="Times New Roman"/>
                <w:sz w:val="24"/>
                <w:szCs w:val="24"/>
                <w:bdr w:val="none" w:sz="0" w:space="0" w:color="auto" w:frame="1"/>
                <w:lang w:eastAsia="lv-LV"/>
              </w:rPr>
              <w:t xml:space="preserve"> medicīniskās palīdzības minimumu</w:t>
            </w:r>
            <w:r w:rsidR="00CC2C87" w:rsidRPr="00B6076F">
              <w:rPr>
                <w:rFonts w:ascii="Times New Roman" w:eastAsia="Times New Roman" w:hAnsi="Times New Roman" w:cs="Times New Roman"/>
                <w:sz w:val="24"/>
                <w:szCs w:val="24"/>
                <w:bdr w:val="none" w:sz="0" w:space="0" w:color="auto" w:frame="1"/>
                <w:lang w:eastAsia="lv-LV"/>
              </w:rPr>
              <w:t>, tai skaitā patvēruma meklētājiem, bēgļiem</w:t>
            </w:r>
            <w:r w:rsidR="00C26C74" w:rsidRPr="00B6076F">
              <w:rPr>
                <w:rFonts w:ascii="Times New Roman" w:eastAsia="Times New Roman" w:hAnsi="Times New Roman" w:cs="Times New Roman"/>
                <w:sz w:val="24"/>
                <w:szCs w:val="24"/>
                <w:bdr w:val="none" w:sz="0" w:space="0" w:color="auto" w:frame="1"/>
                <w:lang w:eastAsia="lv-LV"/>
              </w:rPr>
              <w:t xml:space="preserve"> un aizturētajiem.</w:t>
            </w:r>
            <w:r w:rsidR="009D021E" w:rsidRPr="00B6076F">
              <w:rPr>
                <w:rFonts w:ascii="Times New Roman" w:eastAsia="Times New Roman" w:hAnsi="Times New Roman" w:cs="Times New Roman"/>
                <w:sz w:val="24"/>
                <w:szCs w:val="24"/>
                <w:bdr w:val="none" w:sz="0" w:space="0" w:color="auto" w:frame="1"/>
                <w:lang w:eastAsia="lv-LV"/>
              </w:rPr>
              <w:t xml:space="preserve"> Savukārt</w:t>
            </w:r>
            <w:r w:rsidR="009A2D7A" w:rsidRPr="00B6076F">
              <w:rPr>
                <w:rFonts w:ascii="Times New Roman" w:eastAsia="Times New Roman" w:hAnsi="Times New Roman" w:cs="Times New Roman"/>
                <w:sz w:val="24"/>
                <w:szCs w:val="24"/>
                <w:bdr w:val="none" w:sz="0" w:space="0" w:color="auto" w:frame="1"/>
                <w:lang w:eastAsia="lv-LV"/>
              </w:rPr>
              <w:t xml:space="preserve"> Covid-19 infekcijas </w:t>
            </w:r>
            <w:r w:rsidR="009A2D7A" w:rsidRPr="00B6076F">
              <w:rPr>
                <w:rFonts w:ascii="Times New Roman" w:eastAsia="Times New Roman" w:hAnsi="Times New Roman" w:cs="Times New Roman"/>
                <w:sz w:val="24"/>
                <w:szCs w:val="24"/>
                <w:bdr w:val="none" w:sz="0" w:space="0" w:color="auto" w:frame="1"/>
                <w:lang w:eastAsia="lv-LV"/>
              </w:rPr>
              <w:lastRenderedPageBreak/>
              <w:t>izplat</w:t>
            </w:r>
            <w:r w:rsidR="00CC2C87" w:rsidRPr="00B6076F">
              <w:rPr>
                <w:rFonts w:ascii="Times New Roman" w:eastAsia="Times New Roman" w:hAnsi="Times New Roman" w:cs="Times New Roman"/>
                <w:sz w:val="24"/>
                <w:szCs w:val="24"/>
                <w:bdr w:val="none" w:sz="0" w:space="0" w:color="auto" w:frame="1"/>
                <w:lang w:eastAsia="lv-LV"/>
              </w:rPr>
              <w:t>ī</w:t>
            </w:r>
            <w:r w:rsidR="009A2D7A" w:rsidRPr="00B6076F">
              <w:rPr>
                <w:rFonts w:ascii="Times New Roman" w:eastAsia="Times New Roman" w:hAnsi="Times New Roman" w:cs="Times New Roman"/>
                <w:sz w:val="24"/>
                <w:szCs w:val="24"/>
                <w:bdr w:val="none" w:sz="0" w:space="0" w:color="auto" w:frame="1"/>
                <w:lang w:eastAsia="lv-LV"/>
              </w:rPr>
              <w:t>bas pārvaldības likum</w:t>
            </w:r>
            <w:r w:rsidR="005C6EE0" w:rsidRPr="00B6076F">
              <w:rPr>
                <w:rFonts w:ascii="Times New Roman" w:eastAsia="Times New Roman" w:hAnsi="Times New Roman" w:cs="Times New Roman"/>
                <w:sz w:val="24"/>
                <w:szCs w:val="24"/>
                <w:bdr w:val="none" w:sz="0" w:space="0" w:color="auto" w:frame="1"/>
                <w:lang w:eastAsia="lv-LV"/>
              </w:rPr>
              <w:t>a</w:t>
            </w:r>
            <w:r w:rsidR="00CC2C87" w:rsidRPr="00B6076F">
              <w:rPr>
                <w:rFonts w:ascii="Times New Roman" w:eastAsia="Times New Roman" w:hAnsi="Times New Roman" w:cs="Times New Roman"/>
                <w:sz w:val="24"/>
                <w:szCs w:val="24"/>
                <w:bdr w:val="none" w:sz="0" w:space="0" w:color="auto" w:frame="1"/>
                <w:lang w:eastAsia="lv-LV"/>
              </w:rPr>
              <w:t xml:space="preserve"> </w:t>
            </w:r>
            <w:r w:rsidR="005C6EE0" w:rsidRPr="00B6076F">
              <w:rPr>
                <w:rFonts w:ascii="Times New Roman" w:hAnsi="Times New Roman" w:cs="Times New Roman"/>
                <w:sz w:val="24"/>
                <w:szCs w:val="24"/>
                <w:shd w:val="clear" w:color="auto" w:fill="FFFFFF"/>
              </w:rPr>
              <w:t>49.</w:t>
            </w:r>
            <w:r w:rsidR="005C6EE0" w:rsidRPr="00B6076F">
              <w:rPr>
                <w:rFonts w:ascii="Times New Roman" w:hAnsi="Times New Roman" w:cs="Times New Roman"/>
                <w:sz w:val="24"/>
                <w:szCs w:val="24"/>
                <w:shd w:val="clear" w:color="auto" w:fill="FFFFFF"/>
                <w:vertAlign w:val="superscript"/>
              </w:rPr>
              <w:t>4</w:t>
            </w:r>
            <w:r w:rsidR="005C6EE0" w:rsidRPr="00B6076F">
              <w:rPr>
                <w:rFonts w:ascii="Times New Roman" w:hAnsi="Times New Roman" w:cs="Times New Roman"/>
                <w:sz w:val="24"/>
                <w:szCs w:val="24"/>
                <w:shd w:val="clear" w:color="auto" w:fill="FFFFFF"/>
              </w:rPr>
              <w:t> pants</w:t>
            </w:r>
            <w:r w:rsidR="005C6EE0" w:rsidRPr="00B6076F">
              <w:rPr>
                <w:rFonts w:ascii="Times New Roman" w:eastAsia="Times New Roman" w:hAnsi="Times New Roman" w:cs="Times New Roman"/>
                <w:sz w:val="24"/>
                <w:szCs w:val="24"/>
                <w:bdr w:val="none" w:sz="0" w:space="0" w:color="auto" w:frame="1"/>
                <w:lang w:eastAsia="lv-LV"/>
              </w:rPr>
              <w:t xml:space="preserve"> </w:t>
            </w:r>
            <w:r w:rsidR="00CC2C87" w:rsidRPr="00B6076F">
              <w:rPr>
                <w:rFonts w:ascii="Times New Roman" w:eastAsia="Times New Roman" w:hAnsi="Times New Roman" w:cs="Times New Roman"/>
                <w:sz w:val="24"/>
                <w:szCs w:val="24"/>
                <w:bdr w:val="none" w:sz="0" w:space="0" w:color="auto" w:frame="1"/>
                <w:lang w:eastAsia="lv-LV"/>
              </w:rPr>
              <w:t>nosaka</w:t>
            </w:r>
            <w:r w:rsidR="005C6EE0" w:rsidRPr="00B6076F">
              <w:rPr>
                <w:rFonts w:ascii="Times New Roman" w:eastAsia="Times New Roman" w:hAnsi="Times New Roman" w:cs="Times New Roman"/>
                <w:sz w:val="24"/>
                <w:szCs w:val="24"/>
                <w:bdr w:val="none" w:sz="0" w:space="0" w:color="auto" w:frame="1"/>
                <w:lang w:eastAsia="lv-LV"/>
              </w:rPr>
              <w:t xml:space="preserve"> personu grupas, kam ir tiesības veikt valsts apmaksātu vakcināciju pret Covid-19</w:t>
            </w:r>
            <w:r w:rsidR="000F0E74" w:rsidRPr="00B6076F">
              <w:rPr>
                <w:rFonts w:ascii="Times New Roman" w:eastAsia="Times New Roman" w:hAnsi="Times New Roman" w:cs="Times New Roman"/>
                <w:sz w:val="24"/>
                <w:szCs w:val="24"/>
                <w:bdr w:val="none" w:sz="0" w:space="0" w:color="auto" w:frame="1"/>
                <w:lang w:eastAsia="lv-LV"/>
              </w:rPr>
              <w:t xml:space="preserve"> papildus VAFL noteiktajām sabiedrības grupām.</w:t>
            </w:r>
            <w:r w:rsidR="0007054A" w:rsidRPr="00B6076F">
              <w:rPr>
                <w:rFonts w:ascii="Times New Roman" w:eastAsia="Times New Roman" w:hAnsi="Times New Roman" w:cs="Times New Roman"/>
                <w:sz w:val="24"/>
                <w:szCs w:val="24"/>
                <w:bdr w:val="none" w:sz="0" w:space="0" w:color="auto" w:frame="1"/>
                <w:lang w:eastAsia="lv-LV"/>
              </w:rPr>
              <w:t xml:space="preserve"> Tādēļ tiek precizēta Noteikumu 3.pielikum</w:t>
            </w:r>
            <w:r w:rsidR="004E032B" w:rsidRPr="00B6076F">
              <w:rPr>
                <w:rFonts w:ascii="Times New Roman" w:eastAsia="Times New Roman" w:hAnsi="Times New Roman" w:cs="Times New Roman"/>
                <w:sz w:val="24"/>
                <w:szCs w:val="24"/>
                <w:bdr w:val="none" w:sz="0" w:space="0" w:color="auto" w:frame="1"/>
                <w:lang w:eastAsia="lv-LV"/>
              </w:rPr>
              <w:t>ā ietvertā IX prioritāri vakcinējamā sabiedrības grupa</w:t>
            </w:r>
            <w:r w:rsidR="007D73ED">
              <w:rPr>
                <w:rFonts w:ascii="Times New Roman" w:eastAsia="Times New Roman" w:hAnsi="Times New Roman" w:cs="Times New Roman"/>
                <w:sz w:val="24"/>
                <w:szCs w:val="24"/>
                <w:bdr w:val="none" w:sz="0" w:space="0" w:color="auto" w:frame="1"/>
                <w:lang w:eastAsia="lv-LV"/>
              </w:rPr>
              <w:t>,</w:t>
            </w:r>
            <w:r w:rsidR="004E032B" w:rsidRPr="00B6076F">
              <w:rPr>
                <w:rFonts w:ascii="Times New Roman" w:eastAsia="Times New Roman" w:hAnsi="Times New Roman" w:cs="Times New Roman"/>
                <w:sz w:val="24"/>
                <w:szCs w:val="24"/>
                <w:bdr w:val="none" w:sz="0" w:space="0" w:color="auto" w:frame="1"/>
                <w:lang w:eastAsia="lv-LV"/>
              </w:rPr>
              <w:t xml:space="preserve"> to papildinot arī </w:t>
            </w:r>
            <w:r w:rsidR="007D73ED">
              <w:rPr>
                <w:rFonts w:ascii="Times New Roman" w:eastAsia="Times New Roman" w:hAnsi="Times New Roman" w:cs="Times New Roman"/>
                <w:sz w:val="24"/>
                <w:szCs w:val="24"/>
                <w:bdr w:val="none" w:sz="0" w:space="0" w:color="auto" w:frame="1"/>
                <w:lang w:eastAsia="lv-LV"/>
              </w:rPr>
              <w:t xml:space="preserve">ar </w:t>
            </w:r>
            <w:r w:rsidR="004E032B" w:rsidRPr="00B6076F">
              <w:rPr>
                <w:rFonts w:ascii="Times New Roman" w:eastAsia="Times New Roman" w:hAnsi="Times New Roman" w:cs="Times New Roman"/>
                <w:sz w:val="24"/>
                <w:szCs w:val="24"/>
                <w:bdr w:val="none" w:sz="0" w:space="0" w:color="auto" w:frame="1"/>
                <w:lang w:eastAsia="lv-LV"/>
              </w:rPr>
              <w:t>personām, kas nav Latvijas valsts piederīgie, bet tiek vakcinēti pret Covid-19 līdztekus pār</w:t>
            </w:r>
            <w:r w:rsidR="001353CF" w:rsidRPr="00B6076F">
              <w:rPr>
                <w:rFonts w:ascii="Times New Roman" w:eastAsia="Times New Roman" w:hAnsi="Times New Roman" w:cs="Times New Roman"/>
                <w:sz w:val="24"/>
                <w:szCs w:val="24"/>
                <w:bdr w:val="none" w:sz="0" w:space="0" w:color="auto" w:frame="1"/>
                <w:lang w:eastAsia="lv-LV"/>
              </w:rPr>
              <w:t>ē</w:t>
            </w:r>
            <w:r w:rsidR="004E032B" w:rsidRPr="00B6076F">
              <w:rPr>
                <w:rFonts w:ascii="Times New Roman" w:eastAsia="Times New Roman" w:hAnsi="Times New Roman" w:cs="Times New Roman"/>
                <w:sz w:val="24"/>
                <w:szCs w:val="24"/>
                <w:bdr w:val="none" w:sz="0" w:space="0" w:color="auto" w:frame="1"/>
                <w:lang w:eastAsia="lv-LV"/>
              </w:rPr>
              <w:t>jiem sabied</w:t>
            </w:r>
            <w:r w:rsidR="001353CF" w:rsidRPr="00B6076F">
              <w:rPr>
                <w:rFonts w:ascii="Times New Roman" w:eastAsia="Times New Roman" w:hAnsi="Times New Roman" w:cs="Times New Roman"/>
                <w:sz w:val="24"/>
                <w:szCs w:val="24"/>
                <w:bdr w:val="none" w:sz="0" w:space="0" w:color="auto" w:frame="1"/>
                <w:lang w:eastAsia="lv-LV"/>
              </w:rPr>
              <w:t>rī</w:t>
            </w:r>
            <w:r w:rsidR="004E032B" w:rsidRPr="00B6076F">
              <w:rPr>
                <w:rFonts w:ascii="Times New Roman" w:eastAsia="Times New Roman" w:hAnsi="Times New Roman" w:cs="Times New Roman"/>
                <w:sz w:val="24"/>
                <w:szCs w:val="24"/>
                <w:bdr w:val="none" w:sz="0" w:space="0" w:color="auto" w:frame="1"/>
                <w:lang w:eastAsia="lv-LV"/>
              </w:rPr>
              <w:t>bas</w:t>
            </w:r>
            <w:r w:rsidR="001353CF" w:rsidRPr="00B6076F">
              <w:rPr>
                <w:rFonts w:ascii="Times New Roman" w:eastAsia="Times New Roman" w:hAnsi="Times New Roman" w:cs="Times New Roman"/>
                <w:sz w:val="24"/>
                <w:szCs w:val="24"/>
                <w:bdr w:val="none" w:sz="0" w:space="0" w:color="auto" w:frame="1"/>
                <w:lang w:eastAsia="lv-LV"/>
              </w:rPr>
              <w:t xml:space="preserve"> </w:t>
            </w:r>
            <w:r w:rsidR="004E032B" w:rsidRPr="00B6076F">
              <w:rPr>
                <w:rFonts w:ascii="Times New Roman" w:eastAsia="Times New Roman" w:hAnsi="Times New Roman" w:cs="Times New Roman"/>
                <w:sz w:val="24"/>
                <w:szCs w:val="24"/>
                <w:bdr w:val="none" w:sz="0" w:space="0" w:color="auto" w:frame="1"/>
                <w:lang w:eastAsia="lv-LV"/>
              </w:rPr>
              <w:t>locekļiem.</w:t>
            </w:r>
          </w:p>
        </w:tc>
      </w:tr>
      <w:tr w:rsidR="00BD50E2" w:rsidRPr="00BD50E2" w14:paraId="64359952" w14:textId="77777777" w:rsidTr="00EF77FE">
        <w:tc>
          <w:tcPr>
            <w:tcW w:w="211"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944"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45" w:type="pct"/>
            <w:tcBorders>
              <w:top w:val="single" w:sz="4" w:space="0" w:color="auto"/>
              <w:left w:val="single" w:sz="4" w:space="0" w:color="auto"/>
              <w:bottom w:val="single" w:sz="4" w:space="0" w:color="auto"/>
              <w:right w:val="single" w:sz="4" w:space="0" w:color="auto"/>
            </w:tcBorders>
            <w:hideMark/>
          </w:tcPr>
          <w:p w14:paraId="63E85C9B" w14:textId="78ED9982"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w:t>
            </w:r>
            <w:r w:rsidR="0080014F">
              <w:rPr>
                <w:rFonts w:ascii="Times New Roman" w:eastAsia="Times New Roman" w:hAnsi="Times New Roman" w:cs="Times New Roman"/>
                <w:bCs/>
                <w:sz w:val="24"/>
                <w:szCs w:val="24"/>
              </w:rPr>
              <w:t>, Latvijas Ārstu biedrība</w:t>
            </w:r>
          </w:p>
        </w:tc>
      </w:tr>
      <w:tr w:rsidR="000E2322" w:rsidRPr="00BD50E2" w14:paraId="516EC393" w14:textId="77777777" w:rsidTr="00EF77FE">
        <w:tc>
          <w:tcPr>
            <w:tcW w:w="211"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944"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45"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6246"/>
      </w:tblGrid>
      <w:tr w:rsidR="00BD50E2" w:rsidRPr="00BD50E2" w14:paraId="015A4B4E" w14:textId="77777777" w:rsidTr="001D758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1D7589">
        <w:tc>
          <w:tcPr>
            <w:tcW w:w="297"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91" w:type="pct"/>
            <w:tcBorders>
              <w:top w:val="single" w:sz="4" w:space="0" w:color="auto"/>
              <w:left w:val="single" w:sz="4" w:space="0" w:color="auto"/>
              <w:bottom w:val="single" w:sz="4" w:space="0" w:color="auto"/>
              <w:right w:val="single" w:sz="4" w:space="0" w:color="auto"/>
            </w:tcBorders>
          </w:tcPr>
          <w:p w14:paraId="554E76BE" w14:textId="4409F4D5" w:rsidR="00E32152" w:rsidRPr="00BD50E2" w:rsidRDefault="00894B68" w:rsidP="00AE4E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Ārstniecības iestādes un</w:t>
            </w:r>
            <w:r w:rsidR="00FA7DF7">
              <w:rPr>
                <w:rFonts w:ascii="Times New Roman" w:hAnsi="Times New Roman" w:cs="Times New Roman"/>
                <w:bCs/>
                <w:sz w:val="24"/>
                <w:szCs w:val="24"/>
              </w:rPr>
              <w:t xml:space="preserve"> ārstniecības personas ierobežotu </w:t>
            </w:r>
            <w:r w:rsidR="00FA7DF7" w:rsidRPr="00FA7DF7">
              <w:rPr>
                <w:rFonts w:ascii="Times New Roman" w:hAnsi="Times New Roman" w:cs="Times New Roman"/>
                <w:bCs/>
                <w:iCs/>
                <w:sz w:val="24"/>
                <w:szCs w:val="24"/>
              </w:rPr>
              <w:t xml:space="preserve">ierobežoto intensīvās terapijas resursu </w:t>
            </w:r>
            <w:r w:rsidR="00FA7DF7">
              <w:rPr>
                <w:rFonts w:ascii="Times New Roman" w:hAnsi="Times New Roman" w:cs="Times New Roman"/>
                <w:bCs/>
                <w:iCs/>
                <w:sz w:val="24"/>
                <w:szCs w:val="24"/>
              </w:rPr>
              <w:t>situācijās.</w:t>
            </w:r>
          </w:p>
        </w:tc>
      </w:tr>
      <w:tr w:rsidR="00BD50E2" w:rsidRPr="00BD50E2" w14:paraId="63982A56" w14:textId="77777777" w:rsidTr="001D7589">
        <w:tc>
          <w:tcPr>
            <w:tcW w:w="297"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13"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91" w:type="pct"/>
            <w:tcBorders>
              <w:top w:val="single" w:sz="4" w:space="0" w:color="auto"/>
              <w:left w:val="single" w:sz="4" w:space="0" w:color="auto"/>
              <w:bottom w:val="single" w:sz="4" w:space="0" w:color="auto"/>
              <w:right w:val="single" w:sz="4" w:space="0" w:color="auto"/>
            </w:tcBorders>
            <w:hideMark/>
          </w:tcPr>
          <w:p w14:paraId="5931B922" w14:textId="3CE94EFC" w:rsidR="00AF30FC" w:rsidRPr="00BD50E2" w:rsidRDefault="009A72BC"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r w:rsidR="00BD50E2" w:rsidRPr="00BD50E2" w14:paraId="54545A33" w14:textId="77777777" w:rsidTr="001D7589">
        <w:tc>
          <w:tcPr>
            <w:tcW w:w="297"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13" w:type="pct"/>
            <w:tcBorders>
              <w:top w:val="single" w:sz="4" w:space="0" w:color="auto"/>
              <w:left w:val="single" w:sz="4" w:space="0" w:color="auto"/>
              <w:bottom w:val="single" w:sz="4" w:space="0" w:color="auto"/>
              <w:right w:val="single" w:sz="4" w:space="0" w:color="auto"/>
            </w:tcBorders>
            <w:hideMark/>
          </w:tcPr>
          <w:p w14:paraId="2756DEC2" w14:textId="4D99BEFA"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w:t>
            </w:r>
            <w:r w:rsidR="00555929">
              <w:rPr>
                <w:rFonts w:ascii="Times New Roman" w:eastAsia="Times New Roman" w:hAnsi="Times New Roman" w:cs="Times New Roman"/>
                <w:bCs/>
                <w:sz w:val="24"/>
                <w:szCs w:val="24"/>
              </w:rPr>
              <w:t xml:space="preserve"> </w:t>
            </w:r>
            <w:r w:rsidRPr="00BD50E2">
              <w:rPr>
                <w:rFonts w:ascii="Times New Roman" w:eastAsia="Times New Roman" w:hAnsi="Times New Roman" w:cs="Times New Roman"/>
                <w:bCs/>
                <w:sz w:val="24"/>
                <w:szCs w:val="24"/>
              </w:rPr>
              <w:t>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4AAC7013" w14:textId="240D85A6"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hAnsi="Times New Roman" w:cs="Times New Roman"/>
                <w:bCs/>
                <w:sz w:val="24"/>
                <w:szCs w:val="24"/>
              </w:rPr>
              <w:t>Administratīvās izmaksas (naudas izteiksmē) gada laikā mērķgrupai, ko veido fiziskas personas, nepārsniedz 200 eiro, bet mērķgrupai, kuru veido juridiskas personas, – 2000 eiro.</w:t>
            </w:r>
          </w:p>
        </w:tc>
      </w:tr>
      <w:tr w:rsidR="00BD50E2" w:rsidRPr="00BD50E2" w14:paraId="001375C1" w14:textId="77777777" w:rsidTr="001D7589">
        <w:tc>
          <w:tcPr>
            <w:tcW w:w="297"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13"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1D7589">
        <w:tc>
          <w:tcPr>
            <w:tcW w:w="297"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13"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91"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3CC8DD1F" w:rsidR="007E4536" w:rsidRDefault="007E4536" w:rsidP="00D856F7">
      <w:pPr>
        <w:spacing w:after="0" w:line="240" w:lineRule="auto"/>
        <w:rPr>
          <w:rFonts w:ascii="Times New Roman" w:eastAsia="Times New Roman" w:hAnsi="Times New Roman" w:cs="Times New Roman"/>
          <w:bCs/>
          <w:sz w:val="28"/>
          <w:szCs w:val="28"/>
          <w:lang w:eastAsia="lv-LV"/>
        </w:rPr>
      </w:pPr>
    </w:p>
    <w:tbl>
      <w:tblPr>
        <w:tblStyle w:val="TableGrid"/>
        <w:tblW w:w="9498" w:type="dxa"/>
        <w:tblInd w:w="-5" w:type="dxa"/>
        <w:tblLayout w:type="fixed"/>
        <w:tblLook w:val="04A0" w:firstRow="1" w:lastRow="0" w:firstColumn="1" w:lastColumn="0" w:noHBand="0" w:noVBand="1"/>
      </w:tblPr>
      <w:tblGrid>
        <w:gridCol w:w="9498"/>
      </w:tblGrid>
      <w:tr w:rsidR="00043FEB" w:rsidRPr="00043FEB" w14:paraId="05F99A2A" w14:textId="77777777" w:rsidTr="00043FEB">
        <w:trPr>
          <w:trHeight w:val="360"/>
        </w:trPr>
        <w:tc>
          <w:tcPr>
            <w:tcW w:w="9498" w:type="dxa"/>
            <w:tcBorders>
              <w:top w:val="single" w:sz="4" w:space="0" w:color="auto"/>
              <w:left w:val="single" w:sz="4" w:space="0" w:color="auto"/>
              <w:bottom w:val="single" w:sz="4" w:space="0" w:color="auto"/>
              <w:right w:val="single" w:sz="4" w:space="0" w:color="auto"/>
            </w:tcBorders>
            <w:hideMark/>
          </w:tcPr>
          <w:p w14:paraId="6F9D70B4" w14:textId="77777777" w:rsidR="00043FEB" w:rsidRPr="00043FEB" w:rsidRDefault="00043FEB" w:rsidP="00043FEB">
            <w:pPr>
              <w:spacing w:after="0" w:line="240" w:lineRule="auto"/>
              <w:rPr>
                <w:b/>
                <w:bCs/>
                <w:sz w:val="24"/>
                <w:szCs w:val="24"/>
              </w:rPr>
            </w:pPr>
            <w:r w:rsidRPr="00043FEB">
              <w:rPr>
                <w:b/>
                <w:bCs/>
                <w:sz w:val="24"/>
                <w:szCs w:val="24"/>
              </w:rPr>
              <w:t>III. Tiesību akta projekta ietekme uz valsts budžetu un pašvaldību budžetiem</w:t>
            </w:r>
          </w:p>
        </w:tc>
      </w:tr>
      <w:tr w:rsidR="00043FEB" w:rsidRPr="00043FEB" w14:paraId="1E8C43B3" w14:textId="77777777" w:rsidTr="00043FEB">
        <w:trPr>
          <w:trHeight w:val="360"/>
        </w:trPr>
        <w:tc>
          <w:tcPr>
            <w:tcW w:w="9498" w:type="dxa"/>
            <w:tcBorders>
              <w:top w:val="single" w:sz="4" w:space="0" w:color="auto"/>
              <w:left w:val="single" w:sz="4" w:space="0" w:color="auto"/>
              <w:bottom w:val="single" w:sz="4" w:space="0" w:color="auto"/>
              <w:right w:val="single" w:sz="4" w:space="0" w:color="auto"/>
            </w:tcBorders>
          </w:tcPr>
          <w:p w14:paraId="539BE425" w14:textId="77777777" w:rsidR="00043FEB" w:rsidRPr="00043FEB" w:rsidRDefault="00043FEB" w:rsidP="00043FEB">
            <w:pPr>
              <w:spacing w:after="0" w:line="240" w:lineRule="auto"/>
              <w:rPr>
                <w:b/>
                <w:bCs/>
                <w:sz w:val="24"/>
                <w:szCs w:val="24"/>
              </w:rPr>
            </w:pPr>
            <w:r w:rsidRPr="00043FEB">
              <w:rPr>
                <w:bCs/>
                <w:sz w:val="24"/>
                <w:szCs w:val="24"/>
              </w:rPr>
              <w:t>Projekts šo jomu neskar.</w:t>
            </w:r>
          </w:p>
        </w:tc>
      </w:tr>
    </w:tbl>
    <w:p w14:paraId="00D7BDEA" w14:textId="2174DCC0" w:rsidR="00043FEB" w:rsidRDefault="00043FEB" w:rsidP="00D856F7">
      <w:pPr>
        <w:spacing w:after="0" w:line="240" w:lineRule="auto"/>
        <w:rPr>
          <w:rFonts w:ascii="Times New Roman" w:eastAsia="Times New Roman" w:hAnsi="Times New Roman" w:cs="Times New Roman"/>
          <w:bCs/>
          <w:sz w:val="28"/>
          <w:szCs w:val="28"/>
          <w:lang w:eastAsia="lv-LV"/>
        </w:rPr>
      </w:pPr>
    </w:p>
    <w:tbl>
      <w:tblPr>
        <w:tblStyle w:val="TableGrid"/>
        <w:tblW w:w="9498" w:type="dxa"/>
        <w:tblInd w:w="-5" w:type="dxa"/>
        <w:tblLayout w:type="fixed"/>
        <w:tblLook w:val="04A0" w:firstRow="1" w:lastRow="0" w:firstColumn="1" w:lastColumn="0" w:noHBand="0" w:noVBand="1"/>
      </w:tblPr>
      <w:tblGrid>
        <w:gridCol w:w="9498"/>
      </w:tblGrid>
      <w:tr w:rsidR="00C774A2" w:rsidRPr="00043FEB" w14:paraId="30E0E924" w14:textId="77777777" w:rsidTr="00A75192">
        <w:trPr>
          <w:trHeight w:val="360"/>
        </w:trPr>
        <w:tc>
          <w:tcPr>
            <w:tcW w:w="9498" w:type="dxa"/>
            <w:tcBorders>
              <w:top w:val="single" w:sz="4" w:space="0" w:color="auto"/>
              <w:left w:val="single" w:sz="4" w:space="0" w:color="auto"/>
              <w:bottom w:val="single" w:sz="4" w:space="0" w:color="auto"/>
              <w:right w:val="single" w:sz="4" w:space="0" w:color="auto"/>
            </w:tcBorders>
            <w:hideMark/>
          </w:tcPr>
          <w:p w14:paraId="4C92A56B" w14:textId="77777777" w:rsidR="00C774A2" w:rsidRPr="00043FEB" w:rsidRDefault="00C774A2" w:rsidP="00A75192">
            <w:pPr>
              <w:spacing w:after="0" w:line="240" w:lineRule="auto"/>
              <w:rPr>
                <w:b/>
                <w:bCs/>
                <w:sz w:val="24"/>
                <w:szCs w:val="24"/>
              </w:rPr>
            </w:pPr>
            <w:r w:rsidRPr="007E4536">
              <w:rPr>
                <w:b/>
                <w:sz w:val="24"/>
                <w:szCs w:val="24"/>
              </w:rPr>
              <w:t>IV. Tiesību akta projekta ietekme uz spēkā esošo tiesību normu sistēmu</w:t>
            </w:r>
          </w:p>
        </w:tc>
      </w:tr>
      <w:tr w:rsidR="00C774A2" w:rsidRPr="00043FEB" w14:paraId="681C7180" w14:textId="77777777" w:rsidTr="00A75192">
        <w:trPr>
          <w:trHeight w:val="360"/>
        </w:trPr>
        <w:tc>
          <w:tcPr>
            <w:tcW w:w="9498" w:type="dxa"/>
            <w:tcBorders>
              <w:top w:val="single" w:sz="4" w:space="0" w:color="auto"/>
              <w:left w:val="single" w:sz="4" w:space="0" w:color="auto"/>
              <w:bottom w:val="single" w:sz="4" w:space="0" w:color="auto"/>
              <w:right w:val="single" w:sz="4" w:space="0" w:color="auto"/>
            </w:tcBorders>
          </w:tcPr>
          <w:p w14:paraId="3F5CD9CD" w14:textId="77777777" w:rsidR="00C774A2" w:rsidRPr="00043FEB" w:rsidRDefault="00C774A2" w:rsidP="00A75192">
            <w:pPr>
              <w:spacing w:after="0" w:line="240" w:lineRule="auto"/>
              <w:rPr>
                <w:b/>
                <w:bCs/>
                <w:sz w:val="24"/>
                <w:szCs w:val="24"/>
              </w:rPr>
            </w:pPr>
            <w:r w:rsidRPr="00043FEB">
              <w:rPr>
                <w:bCs/>
                <w:sz w:val="24"/>
                <w:szCs w:val="24"/>
              </w:rPr>
              <w:t>Projekts šo jomu neskar.</w:t>
            </w:r>
          </w:p>
        </w:tc>
      </w:tr>
    </w:tbl>
    <w:p w14:paraId="1B4582AD" w14:textId="54B2E0EB" w:rsidR="00C774A2" w:rsidRDefault="00C774A2" w:rsidP="00D856F7">
      <w:pPr>
        <w:spacing w:after="0" w:line="240" w:lineRule="auto"/>
        <w:rPr>
          <w:rFonts w:ascii="Times New Roman" w:eastAsia="Times New Roman" w:hAnsi="Times New Roman" w:cs="Times New Roman"/>
          <w:bCs/>
          <w:sz w:val="28"/>
          <w:szCs w:val="28"/>
          <w:lang w:eastAsia="lv-LV"/>
        </w:rPr>
      </w:pPr>
    </w:p>
    <w:tbl>
      <w:tblPr>
        <w:tblW w:w="524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8"/>
      </w:tblGrid>
      <w:tr w:rsidR="00BD50E2" w:rsidRPr="00BD50E2" w14:paraId="564EC935" w14:textId="77777777" w:rsidTr="00C774A2">
        <w:tc>
          <w:tcPr>
            <w:tcW w:w="9498"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C774A2">
        <w:tc>
          <w:tcPr>
            <w:tcW w:w="9498"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521"/>
      </w:tblGrid>
      <w:tr w:rsidR="00BD50E2" w:rsidRPr="00BD50E2" w14:paraId="3B8C0E70"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712BE86" w14:textId="3366C382" w:rsidR="0007278B" w:rsidRPr="00BD50E2"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68"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435" w:type="pct"/>
            <w:tcBorders>
              <w:top w:val="single" w:sz="4" w:space="0" w:color="auto"/>
              <w:left w:val="single" w:sz="4" w:space="0" w:color="auto"/>
              <w:bottom w:val="single" w:sz="4" w:space="0" w:color="auto"/>
              <w:right w:val="single" w:sz="4" w:space="0" w:color="auto"/>
            </w:tcBorders>
          </w:tcPr>
          <w:p w14:paraId="7B7D311F" w14:textId="7829B746" w:rsidR="00137903" w:rsidRPr="00BD50E2" w:rsidRDefault="009929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Pēc p</w:t>
            </w:r>
            <w:r w:rsidR="00137903" w:rsidRPr="00BD50E2">
              <w:rPr>
                <w:rFonts w:ascii="Times New Roman" w:eastAsia="Times New Roman" w:hAnsi="Times New Roman" w:cs="Times New Roman"/>
                <w:iCs/>
                <w:sz w:val="24"/>
                <w:szCs w:val="24"/>
                <w:lang w:eastAsia="lv-LV"/>
              </w:rPr>
              <w:t>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w:t>
            </w:r>
            <w:r w:rsidR="006A5389">
              <w:rPr>
                <w:rFonts w:ascii="Times New Roman" w:eastAsia="Times New Roman" w:hAnsi="Times New Roman" w:cs="Times New Roman"/>
                <w:iCs/>
                <w:sz w:val="24"/>
                <w:szCs w:val="24"/>
                <w:lang w:eastAsia="lv-LV"/>
              </w:rPr>
              <w:t xml:space="preserve"> un S</w:t>
            </w:r>
            <w:r w:rsidR="001D7589">
              <w:rPr>
                <w:rFonts w:ascii="Times New Roman" w:eastAsia="Times New Roman" w:hAnsi="Times New Roman" w:cs="Times New Roman"/>
                <w:iCs/>
                <w:sz w:val="24"/>
                <w:szCs w:val="24"/>
                <w:lang w:eastAsia="lv-LV"/>
              </w:rPr>
              <w:t>limību profilakses un kontroles centra</w:t>
            </w:r>
            <w:r w:rsidR="00E1494D" w:rsidRPr="00BD50E2">
              <w:rPr>
                <w:rFonts w:ascii="Times New Roman" w:eastAsia="Times New Roman" w:hAnsi="Times New Roman" w:cs="Times New Roman"/>
                <w:iCs/>
                <w:sz w:val="24"/>
                <w:szCs w:val="24"/>
                <w:lang w:eastAsia="lv-LV"/>
              </w:rPr>
              <w:t xml:space="preserve"> </w:t>
            </w:r>
            <w:r w:rsidR="00D70DC5">
              <w:rPr>
                <w:rFonts w:ascii="Times New Roman" w:eastAsia="Times New Roman" w:hAnsi="Times New Roman" w:cs="Times New Roman"/>
                <w:iCs/>
                <w:sz w:val="24"/>
                <w:szCs w:val="24"/>
                <w:lang w:eastAsia="lv-LV"/>
              </w:rPr>
              <w:t>tīmekļvietnēs</w:t>
            </w:r>
            <w:r w:rsidR="00137903" w:rsidRPr="00BD50E2">
              <w:rPr>
                <w:rFonts w:ascii="Times New Roman" w:eastAsia="Times New Roman" w:hAnsi="Times New Roman" w:cs="Times New Roman"/>
                <w:iCs/>
                <w:sz w:val="24"/>
                <w:szCs w:val="24"/>
                <w:lang w:eastAsia="lv-LV"/>
              </w:rPr>
              <w:t xml:space="preserve">, kā arī paredzēts to </w:t>
            </w:r>
            <w:r w:rsidR="00E1494D" w:rsidRPr="00BD50E2">
              <w:rPr>
                <w:rFonts w:ascii="Times New Roman" w:eastAsia="Times New Roman" w:hAnsi="Times New Roman" w:cs="Times New Roman"/>
                <w:iCs/>
                <w:sz w:val="24"/>
                <w:szCs w:val="24"/>
                <w:lang w:eastAsia="lv-LV"/>
              </w:rPr>
              <w:t xml:space="preserve">elektroniski </w:t>
            </w:r>
            <w:r w:rsidR="00137903"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268" w:type="pct"/>
            <w:tcBorders>
              <w:top w:val="single" w:sz="4" w:space="0" w:color="auto"/>
              <w:left w:val="single" w:sz="4" w:space="0" w:color="auto"/>
              <w:bottom w:val="single" w:sz="4" w:space="0" w:color="auto"/>
              <w:right w:val="single" w:sz="4" w:space="0" w:color="auto"/>
            </w:tcBorders>
            <w:hideMark/>
          </w:tcPr>
          <w:p w14:paraId="6A342042" w14:textId="27286997" w:rsidR="00B86F86"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435" w:type="pct"/>
            <w:tcBorders>
              <w:top w:val="single" w:sz="4" w:space="0" w:color="auto"/>
              <w:left w:val="single" w:sz="4" w:space="0" w:color="auto"/>
              <w:bottom w:val="single" w:sz="4" w:space="0" w:color="auto"/>
              <w:right w:val="single" w:sz="4" w:space="0" w:color="auto"/>
            </w:tcBorders>
          </w:tcPr>
          <w:p w14:paraId="6CC683E0" w14:textId="2D9F5705"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netika organizēta.</w:t>
            </w:r>
          </w:p>
        </w:tc>
      </w:tr>
      <w:tr w:rsidR="00BD50E2" w:rsidRPr="00BD50E2" w14:paraId="4479B05F" w14:textId="77777777" w:rsidTr="00470FB8">
        <w:trPr>
          <w:trHeight w:val="585"/>
        </w:trPr>
        <w:tc>
          <w:tcPr>
            <w:tcW w:w="297"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1268"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435"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268"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435"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3258"/>
        <w:gridCol w:w="5671"/>
      </w:tblGrid>
      <w:tr w:rsidR="00BD50E2" w:rsidRPr="00BD50E2" w14:paraId="20F6EC7B"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16"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987" w:type="pct"/>
            <w:tcBorders>
              <w:top w:val="single" w:sz="4" w:space="0" w:color="auto"/>
              <w:left w:val="single" w:sz="4" w:space="0" w:color="auto"/>
              <w:bottom w:val="single" w:sz="4" w:space="0" w:color="auto"/>
              <w:right w:val="single" w:sz="4" w:space="0" w:color="auto"/>
            </w:tcBorders>
          </w:tcPr>
          <w:p w14:paraId="2EFE8F23" w14:textId="447D910C" w:rsidR="0007278B" w:rsidRPr="00BD50E2" w:rsidRDefault="00F1226C" w:rsidP="00043FE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Ā</w:t>
            </w:r>
            <w:r w:rsidR="00043FEB" w:rsidRPr="00043FEB">
              <w:rPr>
                <w:rFonts w:ascii="Times New Roman" w:eastAsia="Times New Roman" w:hAnsi="Times New Roman" w:cs="Times New Roman"/>
                <w:bCs/>
                <w:sz w:val="24"/>
                <w:szCs w:val="24"/>
              </w:rPr>
              <w:t xml:space="preserve">rstniecības iestādes un ārstniecības personas ierobežotu </w:t>
            </w:r>
            <w:r w:rsidR="00043FEB" w:rsidRPr="00043FEB">
              <w:rPr>
                <w:rFonts w:ascii="Times New Roman" w:eastAsia="Times New Roman" w:hAnsi="Times New Roman" w:cs="Times New Roman"/>
                <w:bCs/>
                <w:iCs/>
                <w:sz w:val="24"/>
                <w:szCs w:val="24"/>
              </w:rPr>
              <w:t>ierobežoto intensīvās terapijas resursu situācijās.</w:t>
            </w:r>
          </w:p>
        </w:tc>
      </w:tr>
      <w:tr w:rsidR="00BD50E2" w:rsidRPr="00BD50E2" w14:paraId="3B2F7A2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16"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987"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07278B" w:rsidRPr="00BD50E2" w14:paraId="35A396C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716"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987"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4E2F40DF" w:rsidR="00590FAA" w:rsidRPr="00234042" w:rsidRDefault="005758FB" w:rsidP="00590FAA">
            <w:pPr>
              <w:pStyle w:val="pamattekststabul"/>
              <w:tabs>
                <w:tab w:val="left" w:pos="3969"/>
                <w:tab w:val="left" w:pos="6379"/>
              </w:tabs>
              <w:rPr>
                <w:rFonts w:eastAsia="Calibri"/>
                <w:sz w:val="28"/>
                <w:szCs w:val="28"/>
                <w:lang w:val="lv-LV"/>
              </w:rPr>
            </w:pPr>
            <w:r w:rsidRPr="00234042">
              <w:rPr>
                <w:rFonts w:eastAsia="Calibri"/>
                <w:noProof/>
                <w:sz w:val="28"/>
                <w:szCs w:val="28"/>
                <w:lang w:val="lv-LV"/>
              </w:rPr>
              <w:t xml:space="preserve">Veselības </w:t>
            </w:r>
            <w:r w:rsidR="00590FAA">
              <w:rPr>
                <w:rFonts w:eastAsia="Calibri"/>
                <w:noProof/>
                <w:sz w:val="28"/>
                <w:szCs w:val="28"/>
                <w:lang w:val="lv-LV"/>
              </w:rPr>
              <w:t>ministrs</w:t>
            </w:r>
          </w:p>
        </w:tc>
        <w:tc>
          <w:tcPr>
            <w:tcW w:w="4251" w:type="dxa"/>
          </w:tcPr>
          <w:p w14:paraId="11E17F17" w14:textId="59D287BD" w:rsidR="00590FAA" w:rsidRPr="00590FAA" w:rsidRDefault="005373EF" w:rsidP="00590FAA">
            <w:pPr>
              <w:pStyle w:val="pamattekststabul"/>
              <w:tabs>
                <w:tab w:val="left" w:pos="3969"/>
                <w:tab w:val="left" w:pos="6379"/>
              </w:tabs>
              <w:jc w:val="right"/>
              <w:rPr>
                <w:rFonts w:eastAsia="Calibri"/>
                <w:sz w:val="28"/>
                <w:szCs w:val="28"/>
              </w:rPr>
            </w:pPr>
            <w:r>
              <w:rPr>
                <w:rFonts w:eastAsia="Calibri"/>
                <w:sz w:val="28"/>
                <w:szCs w:val="28"/>
              </w:rPr>
              <w:t xml:space="preserve">   </w:t>
            </w:r>
            <w:r w:rsidR="0043240B">
              <w:rPr>
                <w:rFonts w:eastAsia="Calibri"/>
                <w:sz w:val="28"/>
                <w:szCs w:val="28"/>
              </w:rPr>
              <w:t>D. Pavļuts</w:t>
            </w:r>
          </w:p>
          <w:p w14:paraId="1D46503B" w14:textId="30E95EBD" w:rsidR="005758FB" w:rsidRPr="00234042" w:rsidRDefault="005758FB" w:rsidP="008C3B71">
            <w:pPr>
              <w:pStyle w:val="pamattekststabul"/>
              <w:tabs>
                <w:tab w:val="left" w:pos="3969"/>
                <w:tab w:val="left" w:pos="6379"/>
              </w:tabs>
              <w:jc w:val="right"/>
              <w:rPr>
                <w:rFonts w:eastAsia="Calibri"/>
                <w:sz w:val="28"/>
                <w:szCs w:val="28"/>
                <w:lang w:val="lv-LV"/>
              </w:rPr>
            </w:pPr>
          </w:p>
        </w:tc>
      </w:tr>
    </w:tbl>
    <w:p w14:paraId="28AA86C7" w14:textId="3915CD76" w:rsidR="00886D79" w:rsidRPr="00FA153F" w:rsidRDefault="0007278B" w:rsidP="002226DB">
      <w:pPr>
        <w:pStyle w:val="naisf"/>
        <w:spacing w:before="0" w:beforeAutospacing="0" w:after="0" w:afterAutospacing="0"/>
        <w:rPr>
          <w:szCs w:val="28"/>
        </w:rPr>
      </w:pPr>
      <w:r w:rsidRPr="00426EE3">
        <w:rPr>
          <w:bCs/>
          <w:sz w:val="28"/>
          <w:szCs w:val="28"/>
        </w:rPr>
        <w:t>Vīza: valsts sekretār</w:t>
      </w:r>
      <w:r w:rsidR="00886D79">
        <w:rPr>
          <w:bCs/>
          <w:sz w:val="28"/>
          <w:szCs w:val="28"/>
        </w:rPr>
        <w:t>e</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366538">
        <w:rPr>
          <w:bCs/>
          <w:sz w:val="28"/>
          <w:szCs w:val="28"/>
        </w:rPr>
        <w:t xml:space="preserve">           </w:t>
      </w:r>
      <w:r w:rsidR="00333F6A">
        <w:rPr>
          <w:bCs/>
          <w:sz w:val="28"/>
          <w:szCs w:val="28"/>
        </w:rPr>
        <w:t xml:space="preserve"> </w:t>
      </w:r>
      <w:r w:rsidR="00196505">
        <w:rPr>
          <w:bCs/>
          <w:sz w:val="28"/>
          <w:szCs w:val="28"/>
        </w:rPr>
        <w:t>I.</w:t>
      </w:r>
      <w:r w:rsidR="00590FAA">
        <w:rPr>
          <w:bCs/>
          <w:sz w:val="28"/>
          <w:szCs w:val="28"/>
        </w:rPr>
        <w:t xml:space="preserve"> </w:t>
      </w:r>
      <w:r w:rsidR="00196505">
        <w:rPr>
          <w:bCs/>
          <w:sz w:val="28"/>
          <w:szCs w:val="28"/>
        </w:rPr>
        <w:t>Dreika</w:t>
      </w:r>
    </w:p>
    <w:sectPr w:rsidR="00886D79" w:rsidRPr="00FA153F" w:rsidSect="006A3F8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2B05" w14:textId="77777777" w:rsidR="00772BCE" w:rsidRDefault="00772BCE" w:rsidP="0007278B">
      <w:pPr>
        <w:spacing w:after="0" w:line="240" w:lineRule="auto"/>
      </w:pPr>
      <w:r>
        <w:separator/>
      </w:r>
    </w:p>
  </w:endnote>
  <w:endnote w:type="continuationSeparator" w:id="0">
    <w:p w14:paraId="75EE4B60" w14:textId="77777777" w:rsidR="00772BCE" w:rsidRDefault="00772BCE" w:rsidP="0007278B">
      <w:pPr>
        <w:spacing w:after="0" w:line="240" w:lineRule="auto"/>
      </w:pPr>
      <w:r>
        <w:continuationSeparator/>
      </w:r>
    </w:p>
  </w:endnote>
  <w:endnote w:type="continuationNotice" w:id="1">
    <w:p w14:paraId="7F2F8ACE" w14:textId="77777777" w:rsidR="00772BCE" w:rsidRDefault="00772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439E25C5" w:rsidR="009D7D59" w:rsidRDefault="009D7D59" w:rsidP="00F046BC">
    <w:pPr>
      <w:pStyle w:val="Foo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VManot_</w:t>
    </w:r>
    <w:r w:rsidR="00F70814">
      <w:rPr>
        <w:rFonts w:ascii="Times New Roman" w:eastAsia="Times New Roman" w:hAnsi="Times New Roman" w:cs="Times New Roman"/>
        <w:sz w:val="20"/>
        <w:szCs w:val="20"/>
        <w:lang w:eastAsia="lv-LV"/>
      </w:rPr>
      <w:t>2</w:t>
    </w:r>
    <w:r w:rsidR="00942E44">
      <w:rPr>
        <w:rFonts w:ascii="Times New Roman" w:eastAsia="Times New Roman" w:hAnsi="Times New Roman" w:cs="Times New Roman"/>
        <w:sz w:val="20"/>
        <w:szCs w:val="20"/>
        <w:lang w:eastAsia="lv-LV"/>
      </w:rPr>
      <w:t>7</w:t>
    </w:r>
    <w:r w:rsidR="00F31DB7">
      <w:rPr>
        <w:rFonts w:ascii="Times New Roman" w:eastAsia="Times New Roman" w:hAnsi="Times New Roman" w:cs="Times New Roman"/>
        <w:sz w:val="20"/>
        <w:szCs w:val="20"/>
        <w:lang w:eastAsia="lv-LV"/>
      </w:rPr>
      <w:t>08</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20" w14:textId="508B7D83" w:rsidR="009D7D59" w:rsidRPr="007E4536" w:rsidRDefault="007E4536" w:rsidP="007E4536">
    <w:pPr>
      <w:pStyle w:val="Footer"/>
    </w:pPr>
    <w:r>
      <w:rPr>
        <w:rFonts w:ascii="Times New Roman" w:eastAsia="Times New Roman" w:hAnsi="Times New Roman" w:cs="Times New Roman"/>
        <w:sz w:val="20"/>
        <w:szCs w:val="20"/>
        <w:lang w:eastAsia="lv-LV"/>
      </w:rPr>
      <w:t>VManot_</w:t>
    </w:r>
    <w:r w:rsidR="00F70814">
      <w:rPr>
        <w:rFonts w:ascii="Times New Roman" w:eastAsia="Times New Roman" w:hAnsi="Times New Roman" w:cs="Times New Roman"/>
        <w:sz w:val="20"/>
        <w:szCs w:val="20"/>
        <w:lang w:eastAsia="lv-LV"/>
      </w:rPr>
      <w:t>2</w:t>
    </w:r>
    <w:r w:rsidR="00942E44">
      <w:rPr>
        <w:rFonts w:ascii="Times New Roman" w:eastAsia="Times New Roman" w:hAnsi="Times New Roman" w:cs="Times New Roman"/>
        <w:sz w:val="20"/>
        <w:szCs w:val="20"/>
        <w:lang w:eastAsia="lv-LV"/>
      </w:rPr>
      <w:t>7</w:t>
    </w:r>
    <w:r w:rsidR="00F31DB7">
      <w:rPr>
        <w:rFonts w:ascii="Times New Roman" w:eastAsia="Times New Roman" w:hAnsi="Times New Roman" w:cs="Times New Roman"/>
        <w:sz w:val="20"/>
        <w:szCs w:val="20"/>
        <w:lang w:eastAsia="lv-LV"/>
      </w:rPr>
      <w:t>08</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08F8" w14:textId="77777777" w:rsidR="00772BCE" w:rsidRDefault="00772BCE" w:rsidP="0007278B">
      <w:pPr>
        <w:spacing w:after="0" w:line="240" w:lineRule="auto"/>
      </w:pPr>
      <w:r>
        <w:separator/>
      </w:r>
    </w:p>
  </w:footnote>
  <w:footnote w:type="continuationSeparator" w:id="0">
    <w:p w14:paraId="50F8FE64" w14:textId="77777777" w:rsidR="00772BCE" w:rsidRDefault="00772BCE" w:rsidP="0007278B">
      <w:pPr>
        <w:spacing w:after="0" w:line="240" w:lineRule="auto"/>
      </w:pPr>
      <w:r>
        <w:continuationSeparator/>
      </w:r>
    </w:p>
  </w:footnote>
  <w:footnote w:type="continuationNotice" w:id="1">
    <w:p w14:paraId="01551423" w14:textId="77777777" w:rsidR="00772BCE" w:rsidRDefault="00772BCE">
      <w:pPr>
        <w:spacing w:after="0" w:line="240" w:lineRule="auto"/>
      </w:pPr>
    </w:p>
  </w:footnote>
  <w:footnote w:id="2">
    <w:p w14:paraId="1EFC4A00" w14:textId="6AA68D3E" w:rsidR="00F70814" w:rsidRPr="00B6076F" w:rsidRDefault="00F70814">
      <w:pPr>
        <w:pStyle w:val="FootnoteText"/>
        <w:rPr>
          <w:rFonts w:ascii="Times New Roman" w:hAnsi="Times New Roman" w:cs="Times New Roman"/>
        </w:rPr>
      </w:pPr>
      <w:r>
        <w:rPr>
          <w:rStyle w:val="FootnoteReference"/>
        </w:rPr>
        <w:footnoteRef/>
      </w:r>
      <w:r>
        <w:t xml:space="preserve"> </w:t>
      </w:r>
      <w:r w:rsidRPr="00B6076F">
        <w:rPr>
          <w:rFonts w:ascii="Times New Roman" w:hAnsi="Times New Roman" w:cs="Times New Roman"/>
        </w:rPr>
        <w:t>skatīt tiešsaitē: https://www.ncbi.nlm.nih.gov/pmc/articles/PMC7537413/ </w:t>
      </w:r>
    </w:p>
  </w:footnote>
  <w:footnote w:id="3">
    <w:p w14:paraId="6E7BE740" w14:textId="77777777" w:rsidR="00776FFC" w:rsidRPr="00B6076F" w:rsidRDefault="00776FFC" w:rsidP="00776FFC">
      <w:pPr>
        <w:pStyle w:val="FootnoteText"/>
        <w:jc w:val="both"/>
        <w:rPr>
          <w:rFonts w:ascii="Times New Roman" w:hAnsi="Times New Roman" w:cs="Times New Roman"/>
        </w:rPr>
      </w:pPr>
      <w:r w:rsidRPr="00B6076F">
        <w:rPr>
          <w:rStyle w:val="FootnoteReference"/>
          <w:rFonts w:ascii="Times New Roman" w:hAnsi="Times New Roman" w:cs="Times New Roman"/>
        </w:rPr>
        <w:footnoteRef/>
      </w:r>
      <w:r w:rsidRPr="00B6076F">
        <w:rPr>
          <w:rFonts w:ascii="Times New Roman" w:hAnsi="Times New Roman" w:cs="Times New Roman"/>
        </w:rPr>
        <w:t xml:space="preserve"> Lambden, S., et al. The SOFA Score-development, Utility and Challenges of Accurate Assessment in Clinical Trials. Critical Care, 2019, 23.1: 1-9.</w:t>
      </w:r>
    </w:p>
  </w:footnote>
  <w:footnote w:id="4">
    <w:p w14:paraId="226386F3" w14:textId="77777777" w:rsidR="00776FFC" w:rsidRPr="00B6076F" w:rsidRDefault="00776FFC" w:rsidP="00776FFC">
      <w:pPr>
        <w:pStyle w:val="FootnoteText"/>
        <w:jc w:val="both"/>
        <w:rPr>
          <w:rFonts w:ascii="Times New Roman" w:hAnsi="Times New Roman" w:cs="Times New Roman"/>
        </w:rPr>
      </w:pPr>
      <w:r w:rsidRPr="00B6076F">
        <w:rPr>
          <w:rStyle w:val="FootnoteReference"/>
          <w:rFonts w:ascii="Times New Roman" w:hAnsi="Times New Roman" w:cs="Times New Roman"/>
        </w:rPr>
        <w:footnoteRef/>
      </w:r>
      <w:r w:rsidRPr="00B6076F">
        <w:rPr>
          <w:rFonts w:ascii="Times New Roman" w:hAnsi="Times New Roman" w:cs="Times New Roman"/>
        </w:rPr>
        <w:t xml:space="preserve"> Grīsle I, Pētermane I. HOPS ārstēšana jauno vadlīniju gaismā. Doctus, 2017, novembris.</w:t>
      </w:r>
    </w:p>
  </w:footnote>
  <w:footnote w:id="5">
    <w:p w14:paraId="5F3CE620" w14:textId="77777777" w:rsidR="00776FFC" w:rsidRPr="00B6076F" w:rsidRDefault="00776FFC" w:rsidP="00776FFC">
      <w:pPr>
        <w:pStyle w:val="FootnoteText"/>
        <w:jc w:val="both"/>
        <w:rPr>
          <w:rFonts w:ascii="Times New Roman" w:hAnsi="Times New Roman" w:cs="Times New Roman"/>
        </w:rPr>
      </w:pPr>
      <w:r w:rsidRPr="00B6076F">
        <w:rPr>
          <w:rStyle w:val="FootnoteReference"/>
          <w:rFonts w:ascii="Times New Roman" w:hAnsi="Times New Roman" w:cs="Times New Roman"/>
        </w:rPr>
        <w:footnoteRef/>
      </w:r>
      <w:r w:rsidRPr="00B6076F">
        <w:rPr>
          <w:rFonts w:ascii="Times New Roman" w:hAnsi="Times New Roman" w:cs="Times New Roman"/>
        </w:rPr>
        <w:t xml:space="preserve"> Hroniskas sirds mazspējas klīniskās vadlīnijas, Latvijas Kardiologu biedrība, 2012.</w:t>
      </w:r>
    </w:p>
  </w:footnote>
  <w:footnote w:id="6">
    <w:p w14:paraId="3E554F43" w14:textId="77777777" w:rsidR="00776FFC" w:rsidRPr="00B6076F" w:rsidRDefault="00776FFC" w:rsidP="00776FFC">
      <w:pPr>
        <w:pStyle w:val="FootnoteText"/>
        <w:jc w:val="both"/>
        <w:rPr>
          <w:rFonts w:ascii="Times New Roman" w:hAnsi="Times New Roman" w:cs="Times New Roman"/>
        </w:rPr>
      </w:pPr>
      <w:r w:rsidRPr="00B6076F">
        <w:rPr>
          <w:rStyle w:val="FootnoteReference"/>
          <w:rFonts w:ascii="Times New Roman" w:hAnsi="Times New Roman" w:cs="Times New Roman"/>
        </w:rPr>
        <w:footnoteRef/>
      </w:r>
      <w:r w:rsidRPr="00B6076F">
        <w:rPr>
          <w:rFonts w:ascii="Times New Roman" w:hAnsi="Times New Roman" w:cs="Times New Roman"/>
        </w:rPr>
        <w:t xml:space="preserve"> Child-Turcotte-Pugh (CTP) Calculator, Hepatitis C Online, 2020.</w:t>
      </w:r>
    </w:p>
  </w:footnote>
  <w:footnote w:id="7">
    <w:p w14:paraId="69CE9DEC" w14:textId="77777777" w:rsidR="00776FFC" w:rsidRDefault="00776FFC" w:rsidP="00776FFC">
      <w:pPr>
        <w:pStyle w:val="FootnoteText"/>
        <w:jc w:val="both"/>
      </w:pPr>
      <w:r w:rsidRPr="00B6076F">
        <w:rPr>
          <w:rStyle w:val="FootnoteReference"/>
          <w:rFonts w:ascii="Times New Roman" w:hAnsi="Times New Roman" w:cs="Times New Roman"/>
        </w:rPr>
        <w:footnoteRef/>
      </w:r>
      <w:r w:rsidRPr="00B6076F">
        <w:rPr>
          <w:rFonts w:ascii="Times New Roman" w:hAnsi="Times New Roman" w:cs="Times New Roman"/>
        </w:rPr>
        <w:t xml:space="preserve"> Nieres un veselība. Latvijas nefrologu asociācijas oficiālais izdevums, 2018, pavasaris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72962"/>
    <w:multiLevelType w:val="multilevel"/>
    <w:tmpl w:val="81BA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6B6B3D"/>
    <w:multiLevelType w:val="hybridMultilevel"/>
    <w:tmpl w:val="2482D7DE"/>
    <w:lvl w:ilvl="0" w:tplc="1D64044C">
      <w:start w:val="1"/>
      <w:numFmt w:val="decimal"/>
      <w:lvlText w:val="%1."/>
      <w:lvlJc w:val="left"/>
      <w:pPr>
        <w:ind w:left="720" w:hanging="360"/>
      </w:pPr>
      <w:rPr>
        <w:rFonts w:eastAsiaTheme="minorHAns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DDB09FE"/>
    <w:multiLevelType w:val="hybridMultilevel"/>
    <w:tmpl w:val="1CBEEFA2"/>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9"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4"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5AB2A2E"/>
    <w:multiLevelType w:val="hybridMultilevel"/>
    <w:tmpl w:val="96D4BAEE"/>
    <w:lvl w:ilvl="0" w:tplc="F4DC50C8">
      <w:start w:val="1"/>
      <w:numFmt w:val="bullet"/>
      <w:lvlText w:val="-"/>
      <w:lvlJc w:val="left"/>
      <w:pPr>
        <w:ind w:left="1287" w:hanging="360"/>
      </w:pPr>
      <w:rPr>
        <w:rFonts w:ascii="Times New Roman" w:eastAsia="Calibri"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6" w15:restartNumberingAfterBreak="0">
    <w:nsid w:val="65B76953"/>
    <w:multiLevelType w:val="hybridMultilevel"/>
    <w:tmpl w:val="C4021C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A069DA"/>
    <w:multiLevelType w:val="hybridMultilevel"/>
    <w:tmpl w:val="5C98C384"/>
    <w:lvl w:ilvl="0" w:tplc="C80CFC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9"/>
  </w:num>
  <w:num w:numId="3">
    <w:abstractNumId w:val="4"/>
  </w:num>
  <w:num w:numId="4">
    <w:abstractNumId w:val="17"/>
  </w:num>
  <w:num w:numId="5">
    <w:abstractNumId w:val="18"/>
  </w:num>
  <w:num w:numId="6">
    <w:abstractNumId w:val="12"/>
  </w:num>
  <w:num w:numId="7">
    <w:abstractNumId w:val="7"/>
  </w:num>
  <w:num w:numId="8">
    <w:abstractNumId w:val="10"/>
  </w:num>
  <w:num w:numId="9">
    <w:abstractNumId w:val="6"/>
  </w:num>
  <w:num w:numId="10">
    <w:abstractNumId w:val="11"/>
  </w:num>
  <w:num w:numId="11">
    <w:abstractNumId w:val="3"/>
  </w:num>
  <w:num w:numId="12">
    <w:abstractNumId w:val="14"/>
  </w:num>
  <w:num w:numId="13">
    <w:abstractNumId w:val="1"/>
  </w:num>
  <w:num w:numId="14">
    <w:abstractNumId w:val="0"/>
  </w:num>
  <w:num w:numId="15">
    <w:abstractNumId w:val="8"/>
  </w:num>
  <w:num w:numId="16">
    <w:abstractNumId w:val="19"/>
  </w:num>
  <w:num w:numId="17">
    <w:abstractNumId w:val="2"/>
  </w:num>
  <w:num w:numId="18">
    <w:abstractNumId w:val="5"/>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000E7"/>
    <w:rsid w:val="00000176"/>
    <w:rsid w:val="00003140"/>
    <w:rsid w:val="00012409"/>
    <w:rsid w:val="000127F1"/>
    <w:rsid w:val="00012C86"/>
    <w:rsid w:val="00015E8A"/>
    <w:rsid w:val="00016372"/>
    <w:rsid w:val="00023AD6"/>
    <w:rsid w:val="0002457B"/>
    <w:rsid w:val="00024F21"/>
    <w:rsid w:val="000254EB"/>
    <w:rsid w:val="00031D93"/>
    <w:rsid w:val="00032EF2"/>
    <w:rsid w:val="00041FB2"/>
    <w:rsid w:val="00042E67"/>
    <w:rsid w:val="00043FEB"/>
    <w:rsid w:val="00057EB1"/>
    <w:rsid w:val="00066E5F"/>
    <w:rsid w:val="0007054A"/>
    <w:rsid w:val="0007278B"/>
    <w:rsid w:val="00074908"/>
    <w:rsid w:val="00075D37"/>
    <w:rsid w:val="00085A5A"/>
    <w:rsid w:val="00087335"/>
    <w:rsid w:val="00087A23"/>
    <w:rsid w:val="00092597"/>
    <w:rsid w:val="00095861"/>
    <w:rsid w:val="000976F2"/>
    <w:rsid w:val="000A1151"/>
    <w:rsid w:val="000A4D59"/>
    <w:rsid w:val="000A6CB2"/>
    <w:rsid w:val="000B47C4"/>
    <w:rsid w:val="000C490C"/>
    <w:rsid w:val="000C6AFA"/>
    <w:rsid w:val="000C7D0F"/>
    <w:rsid w:val="000C7E59"/>
    <w:rsid w:val="000D08CA"/>
    <w:rsid w:val="000D2248"/>
    <w:rsid w:val="000D5547"/>
    <w:rsid w:val="000E0284"/>
    <w:rsid w:val="000E2322"/>
    <w:rsid w:val="000E3F6E"/>
    <w:rsid w:val="000F0E74"/>
    <w:rsid w:val="000F6AE3"/>
    <w:rsid w:val="00105AAC"/>
    <w:rsid w:val="00111363"/>
    <w:rsid w:val="00114943"/>
    <w:rsid w:val="00116C28"/>
    <w:rsid w:val="00122038"/>
    <w:rsid w:val="0013301B"/>
    <w:rsid w:val="001336B4"/>
    <w:rsid w:val="001353CF"/>
    <w:rsid w:val="00137903"/>
    <w:rsid w:val="00137D58"/>
    <w:rsid w:val="00140A51"/>
    <w:rsid w:val="00141D8E"/>
    <w:rsid w:val="00144998"/>
    <w:rsid w:val="001525CA"/>
    <w:rsid w:val="00154080"/>
    <w:rsid w:val="00156BB8"/>
    <w:rsid w:val="001571CA"/>
    <w:rsid w:val="00157BFC"/>
    <w:rsid w:val="00160626"/>
    <w:rsid w:val="00162412"/>
    <w:rsid w:val="00170534"/>
    <w:rsid w:val="00176445"/>
    <w:rsid w:val="0018564F"/>
    <w:rsid w:val="00196505"/>
    <w:rsid w:val="00197F99"/>
    <w:rsid w:val="001A05AA"/>
    <w:rsid w:val="001A401B"/>
    <w:rsid w:val="001A4CC0"/>
    <w:rsid w:val="001A5304"/>
    <w:rsid w:val="001B05E3"/>
    <w:rsid w:val="001B4AA1"/>
    <w:rsid w:val="001B66B2"/>
    <w:rsid w:val="001C088F"/>
    <w:rsid w:val="001C1B61"/>
    <w:rsid w:val="001C6B51"/>
    <w:rsid w:val="001D713B"/>
    <w:rsid w:val="001D7589"/>
    <w:rsid w:val="001D75D0"/>
    <w:rsid w:val="001E1D31"/>
    <w:rsid w:val="001E7831"/>
    <w:rsid w:val="001F3A4A"/>
    <w:rsid w:val="001F425F"/>
    <w:rsid w:val="001F7E87"/>
    <w:rsid w:val="00201BA6"/>
    <w:rsid w:val="002033F4"/>
    <w:rsid w:val="002226DB"/>
    <w:rsid w:val="00227A7F"/>
    <w:rsid w:val="0023721B"/>
    <w:rsid w:val="00242A4C"/>
    <w:rsid w:val="002519EE"/>
    <w:rsid w:val="00252768"/>
    <w:rsid w:val="002562FA"/>
    <w:rsid w:val="00263B22"/>
    <w:rsid w:val="00267D85"/>
    <w:rsid w:val="00272F7D"/>
    <w:rsid w:val="00276A81"/>
    <w:rsid w:val="00280A6B"/>
    <w:rsid w:val="00283D84"/>
    <w:rsid w:val="00292FE0"/>
    <w:rsid w:val="0029585A"/>
    <w:rsid w:val="002961D8"/>
    <w:rsid w:val="00297A0B"/>
    <w:rsid w:val="002A5E19"/>
    <w:rsid w:val="002A6C7F"/>
    <w:rsid w:val="002B14B8"/>
    <w:rsid w:val="002C3B6A"/>
    <w:rsid w:val="002C3CF3"/>
    <w:rsid w:val="002C5AC6"/>
    <w:rsid w:val="002C7628"/>
    <w:rsid w:val="002D5487"/>
    <w:rsid w:val="002E027E"/>
    <w:rsid w:val="002E02AA"/>
    <w:rsid w:val="002E0487"/>
    <w:rsid w:val="002E1AE9"/>
    <w:rsid w:val="002F15FE"/>
    <w:rsid w:val="002F181A"/>
    <w:rsid w:val="002F4B93"/>
    <w:rsid w:val="00302150"/>
    <w:rsid w:val="00310D10"/>
    <w:rsid w:val="003117FB"/>
    <w:rsid w:val="00313A9C"/>
    <w:rsid w:val="00315C30"/>
    <w:rsid w:val="00316074"/>
    <w:rsid w:val="00317FDB"/>
    <w:rsid w:val="0033349E"/>
    <w:rsid w:val="00333F6A"/>
    <w:rsid w:val="003354AF"/>
    <w:rsid w:val="00337697"/>
    <w:rsid w:val="00341BAD"/>
    <w:rsid w:val="00342047"/>
    <w:rsid w:val="00342DB9"/>
    <w:rsid w:val="0034366D"/>
    <w:rsid w:val="00345AAA"/>
    <w:rsid w:val="00351B51"/>
    <w:rsid w:val="003545AB"/>
    <w:rsid w:val="00366538"/>
    <w:rsid w:val="00371C88"/>
    <w:rsid w:val="00371F18"/>
    <w:rsid w:val="00373448"/>
    <w:rsid w:val="00387CFE"/>
    <w:rsid w:val="0039061D"/>
    <w:rsid w:val="00390B4E"/>
    <w:rsid w:val="003A0E17"/>
    <w:rsid w:val="003A29E2"/>
    <w:rsid w:val="003A376A"/>
    <w:rsid w:val="003A3C5A"/>
    <w:rsid w:val="003A42C4"/>
    <w:rsid w:val="003A5C4E"/>
    <w:rsid w:val="003B25DF"/>
    <w:rsid w:val="003B4887"/>
    <w:rsid w:val="003C04EA"/>
    <w:rsid w:val="003C1921"/>
    <w:rsid w:val="003C3A51"/>
    <w:rsid w:val="003D0D67"/>
    <w:rsid w:val="003D1230"/>
    <w:rsid w:val="003D15E2"/>
    <w:rsid w:val="003E4BEA"/>
    <w:rsid w:val="004059A2"/>
    <w:rsid w:val="0041142C"/>
    <w:rsid w:val="00412439"/>
    <w:rsid w:val="004231CC"/>
    <w:rsid w:val="004232DB"/>
    <w:rsid w:val="00425035"/>
    <w:rsid w:val="00425B3A"/>
    <w:rsid w:val="00426EE3"/>
    <w:rsid w:val="0043240B"/>
    <w:rsid w:val="00433A03"/>
    <w:rsid w:val="00447582"/>
    <w:rsid w:val="00454E76"/>
    <w:rsid w:val="00456B73"/>
    <w:rsid w:val="00457B37"/>
    <w:rsid w:val="00470FB8"/>
    <w:rsid w:val="00473581"/>
    <w:rsid w:val="00480999"/>
    <w:rsid w:val="00483A03"/>
    <w:rsid w:val="00487206"/>
    <w:rsid w:val="0049311E"/>
    <w:rsid w:val="00496AEF"/>
    <w:rsid w:val="00497DBB"/>
    <w:rsid w:val="004A2382"/>
    <w:rsid w:val="004A3552"/>
    <w:rsid w:val="004A5598"/>
    <w:rsid w:val="004B402F"/>
    <w:rsid w:val="004C7B99"/>
    <w:rsid w:val="004D5AE2"/>
    <w:rsid w:val="004E032B"/>
    <w:rsid w:val="004E084F"/>
    <w:rsid w:val="004E2D9C"/>
    <w:rsid w:val="004F4AAB"/>
    <w:rsid w:val="004F738C"/>
    <w:rsid w:val="004F7F24"/>
    <w:rsid w:val="00502DFD"/>
    <w:rsid w:val="00504320"/>
    <w:rsid w:val="005152B1"/>
    <w:rsid w:val="00525C3B"/>
    <w:rsid w:val="0053215F"/>
    <w:rsid w:val="00534268"/>
    <w:rsid w:val="00535888"/>
    <w:rsid w:val="005373EF"/>
    <w:rsid w:val="005434ED"/>
    <w:rsid w:val="0055413D"/>
    <w:rsid w:val="00555929"/>
    <w:rsid w:val="00564840"/>
    <w:rsid w:val="00573277"/>
    <w:rsid w:val="005735D4"/>
    <w:rsid w:val="005758FB"/>
    <w:rsid w:val="005764B7"/>
    <w:rsid w:val="00590FAA"/>
    <w:rsid w:val="0059150F"/>
    <w:rsid w:val="00593BC7"/>
    <w:rsid w:val="00594DA3"/>
    <w:rsid w:val="0059599E"/>
    <w:rsid w:val="005A1388"/>
    <w:rsid w:val="005A1ABA"/>
    <w:rsid w:val="005A3731"/>
    <w:rsid w:val="005B3B62"/>
    <w:rsid w:val="005C3B9D"/>
    <w:rsid w:val="005C5DC6"/>
    <w:rsid w:val="005C6C6C"/>
    <w:rsid w:val="005C6EE0"/>
    <w:rsid w:val="005D607C"/>
    <w:rsid w:val="005E1930"/>
    <w:rsid w:val="005E7398"/>
    <w:rsid w:val="005E7C04"/>
    <w:rsid w:val="005F3C49"/>
    <w:rsid w:val="0060363C"/>
    <w:rsid w:val="00603BD7"/>
    <w:rsid w:val="00604451"/>
    <w:rsid w:val="0060585D"/>
    <w:rsid w:val="00620304"/>
    <w:rsid w:val="0062651F"/>
    <w:rsid w:val="00626C1E"/>
    <w:rsid w:val="00636B7E"/>
    <w:rsid w:val="00641AF8"/>
    <w:rsid w:val="00652F39"/>
    <w:rsid w:val="00664759"/>
    <w:rsid w:val="0067096C"/>
    <w:rsid w:val="00675455"/>
    <w:rsid w:val="006803FE"/>
    <w:rsid w:val="0068081B"/>
    <w:rsid w:val="00681D29"/>
    <w:rsid w:val="00685C9E"/>
    <w:rsid w:val="00696E1B"/>
    <w:rsid w:val="006A3466"/>
    <w:rsid w:val="006A3F81"/>
    <w:rsid w:val="006A5389"/>
    <w:rsid w:val="006B2944"/>
    <w:rsid w:val="006B32D8"/>
    <w:rsid w:val="006B681F"/>
    <w:rsid w:val="006B7255"/>
    <w:rsid w:val="006C2EC0"/>
    <w:rsid w:val="006C5703"/>
    <w:rsid w:val="006D1AD8"/>
    <w:rsid w:val="006D22E5"/>
    <w:rsid w:val="006D2D1F"/>
    <w:rsid w:val="006D6DB7"/>
    <w:rsid w:val="0071090F"/>
    <w:rsid w:val="007223FE"/>
    <w:rsid w:val="00724197"/>
    <w:rsid w:val="00724FFA"/>
    <w:rsid w:val="00727DCB"/>
    <w:rsid w:val="00727E9F"/>
    <w:rsid w:val="00731409"/>
    <w:rsid w:val="0074015C"/>
    <w:rsid w:val="00742B05"/>
    <w:rsid w:val="00742C84"/>
    <w:rsid w:val="00746CE6"/>
    <w:rsid w:val="0075152B"/>
    <w:rsid w:val="007518AA"/>
    <w:rsid w:val="00772BCE"/>
    <w:rsid w:val="00776FFC"/>
    <w:rsid w:val="0079688F"/>
    <w:rsid w:val="007A71FC"/>
    <w:rsid w:val="007B0528"/>
    <w:rsid w:val="007C3F73"/>
    <w:rsid w:val="007C74EF"/>
    <w:rsid w:val="007D73ED"/>
    <w:rsid w:val="007D7575"/>
    <w:rsid w:val="007E2963"/>
    <w:rsid w:val="007E4536"/>
    <w:rsid w:val="007E7B78"/>
    <w:rsid w:val="007E7EF7"/>
    <w:rsid w:val="007F74AF"/>
    <w:rsid w:val="0080014F"/>
    <w:rsid w:val="00802A02"/>
    <w:rsid w:val="00805BE3"/>
    <w:rsid w:val="00812A8C"/>
    <w:rsid w:val="008314E5"/>
    <w:rsid w:val="008341E0"/>
    <w:rsid w:val="008614AF"/>
    <w:rsid w:val="00863944"/>
    <w:rsid w:val="008670E6"/>
    <w:rsid w:val="008723FA"/>
    <w:rsid w:val="00882A36"/>
    <w:rsid w:val="00882DBA"/>
    <w:rsid w:val="00886392"/>
    <w:rsid w:val="00886D79"/>
    <w:rsid w:val="00894B68"/>
    <w:rsid w:val="008A2D6D"/>
    <w:rsid w:val="008A49BF"/>
    <w:rsid w:val="008B1BB5"/>
    <w:rsid w:val="008B3101"/>
    <w:rsid w:val="008B3BDF"/>
    <w:rsid w:val="008B7C1C"/>
    <w:rsid w:val="008C062B"/>
    <w:rsid w:val="008C242E"/>
    <w:rsid w:val="008C46AB"/>
    <w:rsid w:val="008C5F53"/>
    <w:rsid w:val="008C649B"/>
    <w:rsid w:val="008C7FF7"/>
    <w:rsid w:val="008D1568"/>
    <w:rsid w:val="008E15C0"/>
    <w:rsid w:val="008E4C7D"/>
    <w:rsid w:val="009031F5"/>
    <w:rsid w:val="00903727"/>
    <w:rsid w:val="00911954"/>
    <w:rsid w:val="00914064"/>
    <w:rsid w:val="00922F28"/>
    <w:rsid w:val="00923553"/>
    <w:rsid w:val="0092447B"/>
    <w:rsid w:val="0093129C"/>
    <w:rsid w:val="00932676"/>
    <w:rsid w:val="00942E44"/>
    <w:rsid w:val="00946B3B"/>
    <w:rsid w:val="00950838"/>
    <w:rsid w:val="00955A5B"/>
    <w:rsid w:val="009763A8"/>
    <w:rsid w:val="009771E5"/>
    <w:rsid w:val="00977FBF"/>
    <w:rsid w:val="0098010D"/>
    <w:rsid w:val="0099298E"/>
    <w:rsid w:val="0099398F"/>
    <w:rsid w:val="00995645"/>
    <w:rsid w:val="00995846"/>
    <w:rsid w:val="009A2D7A"/>
    <w:rsid w:val="009A3982"/>
    <w:rsid w:val="009A412D"/>
    <w:rsid w:val="009A5645"/>
    <w:rsid w:val="009A72BC"/>
    <w:rsid w:val="009B370A"/>
    <w:rsid w:val="009B3BE8"/>
    <w:rsid w:val="009B3CEC"/>
    <w:rsid w:val="009B775D"/>
    <w:rsid w:val="009C0E6C"/>
    <w:rsid w:val="009D021E"/>
    <w:rsid w:val="009D3273"/>
    <w:rsid w:val="009D4395"/>
    <w:rsid w:val="009D7D59"/>
    <w:rsid w:val="009E1D54"/>
    <w:rsid w:val="009E3D17"/>
    <w:rsid w:val="009E43D6"/>
    <w:rsid w:val="009E5C6B"/>
    <w:rsid w:val="009E60C7"/>
    <w:rsid w:val="009E7D7F"/>
    <w:rsid w:val="009F13B8"/>
    <w:rsid w:val="009F50B6"/>
    <w:rsid w:val="00A03EFD"/>
    <w:rsid w:val="00A1243C"/>
    <w:rsid w:val="00A1381F"/>
    <w:rsid w:val="00A15AA7"/>
    <w:rsid w:val="00A16FD6"/>
    <w:rsid w:val="00A17EEC"/>
    <w:rsid w:val="00A235BA"/>
    <w:rsid w:val="00A30813"/>
    <w:rsid w:val="00A36D97"/>
    <w:rsid w:val="00A40AFD"/>
    <w:rsid w:val="00A4767B"/>
    <w:rsid w:val="00A504C8"/>
    <w:rsid w:val="00A51A3F"/>
    <w:rsid w:val="00A52342"/>
    <w:rsid w:val="00A533DC"/>
    <w:rsid w:val="00A57DA2"/>
    <w:rsid w:val="00A63523"/>
    <w:rsid w:val="00A673C4"/>
    <w:rsid w:val="00A751EC"/>
    <w:rsid w:val="00A764CA"/>
    <w:rsid w:val="00A7687B"/>
    <w:rsid w:val="00AA0090"/>
    <w:rsid w:val="00AA6D8E"/>
    <w:rsid w:val="00AB0F8D"/>
    <w:rsid w:val="00AC31B5"/>
    <w:rsid w:val="00AC3E32"/>
    <w:rsid w:val="00AD1C41"/>
    <w:rsid w:val="00AD7072"/>
    <w:rsid w:val="00AE31DA"/>
    <w:rsid w:val="00AE4EFC"/>
    <w:rsid w:val="00AE5FBE"/>
    <w:rsid w:val="00AF30FC"/>
    <w:rsid w:val="00B06392"/>
    <w:rsid w:val="00B07CE3"/>
    <w:rsid w:val="00B12CC7"/>
    <w:rsid w:val="00B13D9E"/>
    <w:rsid w:val="00B20E84"/>
    <w:rsid w:val="00B23552"/>
    <w:rsid w:val="00B236F0"/>
    <w:rsid w:val="00B24624"/>
    <w:rsid w:val="00B26BE2"/>
    <w:rsid w:val="00B309E7"/>
    <w:rsid w:val="00B32161"/>
    <w:rsid w:val="00B33F20"/>
    <w:rsid w:val="00B3576F"/>
    <w:rsid w:val="00B35F66"/>
    <w:rsid w:val="00B37EFB"/>
    <w:rsid w:val="00B40C63"/>
    <w:rsid w:val="00B53339"/>
    <w:rsid w:val="00B53A07"/>
    <w:rsid w:val="00B54E70"/>
    <w:rsid w:val="00B6076F"/>
    <w:rsid w:val="00B608AE"/>
    <w:rsid w:val="00B7759C"/>
    <w:rsid w:val="00B80753"/>
    <w:rsid w:val="00B81EE0"/>
    <w:rsid w:val="00B83FDD"/>
    <w:rsid w:val="00B86F86"/>
    <w:rsid w:val="00B90A06"/>
    <w:rsid w:val="00BB103E"/>
    <w:rsid w:val="00BB2713"/>
    <w:rsid w:val="00BB45E2"/>
    <w:rsid w:val="00BC4A6D"/>
    <w:rsid w:val="00BC7E1B"/>
    <w:rsid w:val="00BD50E2"/>
    <w:rsid w:val="00BE5426"/>
    <w:rsid w:val="00BF0DE0"/>
    <w:rsid w:val="00BF6AD1"/>
    <w:rsid w:val="00BF71E8"/>
    <w:rsid w:val="00C02689"/>
    <w:rsid w:val="00C04FF8"/>
    <w:rsid w:val="00C061EA"/>
    <w:rsid w:val="00C135AA"/>
    <w:rsid w:val="00C2181D"/>
    <w:rsid w:val="00C25E4F"/>
    <w:rsid w:val="00C26C74"/>
    <w:rsid w:val="00C33657"/>
    <w:rsid w:val="00C34539"/>
    <w:rsid w:val="00C40082"/>
    <w:rsid w:val="00C401DF"/>
    <w:rsid w:val="00C40695"/>
    <w:rsid w:val="00C435D2"/>
    <w:rsid w:val="00C44496"/>
    <w:rsid w:val="00C47F2A"/>
    <w:rsid w:val="00C61CB2"/>
    <w:rsid w:val="00C644A1"/>
    <w:rsid w:val="00C6533B"/>
    <w:rsid w:val="00C704F2"/>
    <w:rsid w:val="00C71CC7"/>
    <w:rsid w:val="00C74659"/>
    <w:rsid w:val="00C774A2"/>
    <w:rsid w:val="00C800E2"/>
    <w:rsid w:val="00C80A89"/>
    <w:rsid w:val="00C901A8"/>
    <w:rsid w:val="00C94620"/>
    <w:rsid w:val="00CA5686"/>
    <w:rsid w:val="00CA6A47"/>
    <w:rsid w:val="00CB1936"/>
    <w:rsid w:val="00CB60A4"/>
    <w:rsid w:val="00CC0385"/>
    <w:rsid w:val="00CC0EA9"/>
    <w:rsid w:val="00CC2C87"/>
    <w:rsid w:val="00CD26BC"/>
    <w:rsid w:val="00CE166E"/>
    <w:rsid w:val="00CE4139"/>
    <w:rsid w:val="00CF3D8A"/>
    <w:rsid w:val="00CF4976"/>
    <w:rsid w:val="00D0462F"/>
    <w:rsid w:val="00D20561"/>
    <w:rsid w:val="00D26DA9"/>
    <w:rsid w:val="00D32189"/>
    <w:rsid w:val="00D322A9"/>
    <w:rsid w:val="00D43B94"/>
    <w:rsid w:val="00D479AA"/>
    <w:rsid w:val="00D62EC3"/>
    <w:rsid w:val="00D70DC5"/>
    <w:rsid w:val="00D72509"/>
    <w:rsid w:val="00D729DF"/>
    <w:rsid w:val="00D74883"/>
    <w:rsid w:val="00D77367"/>
    <w:rsid w:val="00D827CA"/>
    <w:rsid w:val="00D856F7"/>
    <w:rsid w:val="00D94EEE"/>
    <w:rsid w:val="00D974CA"/>
    <w:rsid w:val="00DA2666"/>
    <w:rsid w:val="00DB015B"/>
    <w:rsid w:val="00DB63FD"/>
    <w:rsid w:val="00DD20E5"/>
    <w:rsid w:val="00DD556F"/>
    <w:rsid w:val="00DD6D9E"/>
    <w:rsid w:val="00DD7352"/>
    <w:rsid w:val="00DE1419"/>
    <w:rsid w:val="00DF75A0"/>
    <w:rsid w:val="00DF760B"/>
    <w:rsid w:val="00E021CF"/>
    <w:rsid w:val="00E06788"/>
    <w:rsid w:val="00E132DA"/>
    <w:rsid w:val="00E1494D"/>
    <w:rsid w:val="00E20F53"/>
    <w:rsid w:val="00E2222F"/>
    <w:rsid w:val="00E31492"/>
    <w:rsid w:val="00E32152"/>
    <w:rsid w:val="00E37B29"/>
    <w:rsid w:val="00E402A6"/>
    <w:rsid w:val="00E4195C"/>
    <w:rsid w:val="00E41AB7"/>
    <w:rsid w:val="00E422C4"/>
    <w:rsid w:val="00E431FF"/>
    <w:rsid w:val="00E5298D"/>
    <w:rsid w:val="00E578A8"/>
    <w:rsid w:val="00E57C60"/>
    <w:rsid w:val="00E61EAE"/>
    <w:rsid w:val="00E6284D"/>
    <w:rsid w:val="00E67090"/>
    <w:rsid w:val="00E70E37"/>
    <w:rsid w:val="00E7205F"/>
    <w:rsid w:val="00E72A4E"/>
    <w:rsid w:val="00E804E9"/>
    <w:rsid w:val="00E909EF"/>
    <w:rsid w:val="00E93BD2"/>
    <w:rsid w:val="00E94387"/>
    <w:rsid w:val="00E9532C"/>
    <w:rsid w:val="00E95395"/>
    <w:rsid w:val="00EA00E8"/>
    <w:rsid w:val="00EA7AA2"/>
    <w:rsid w:val="00EB18C7"/>
    <w:rsid w:val="00EC33C6"/>
    <w:rsid w:val="00EC4FFC"/>
    <w:rsid w:val="00EC7B41"/>
    <w:rsid w:val="00ED74EF"/>
    <w:rsid w:val="00EE3EFE"/>
    <w:rsid w:val="00EF5D0E"/>
    <w:rsid w:val="00EF6116"/>
    <w:rsid w:val="00EF77FE"/>
    <w:rsid w:val="00F046BC"/>
    <w:rsid w:val="00F0629B"/>
    <w:rsid w:val="00F1226C"/>
    <w:rsid w:val="00F12A6E"/>
    <w:rsid w:val="00F12CA2"/>
    <w:rsid w:val="00F13454"/>
    <w:rsid w:val="00F15DCD"/>
    <w:rsid w:val="00F200EA"/>
    <w:rsid w:val="00F23674"/>
    <w:rsid w:val="00F26541"/>
    <w:rsid w:val="00F30098"/>
    <w:rsid w:val="00F30AEB"/>
    <w:rsid w:val="00F31DB7"/>
    <w:rsid w:val="00F35B81"/>
    <w:rsid w:val="00F45121"/>
    <w:rsid w:val="00F64DDA"/>
    <w:rsid w:val="00F65FB1"/>
    <w:rsid w:val="00F67E68"/>
    <w:rsid w:val="00F70814"/>
    <w:rsid w:val="00F71269"/>
    <w:rsid w:val="00F74BAD"/>
    <w:rsid w:val="00F74FC5"/>
    <w:rsid w:val="00F803D1"/>
    <w:rsid w:val="00F8151E"/>
    <w:rsid w:val="00FA153F"/>
    <w:rsid w:val="00FA7DF7"/>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5732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470FB8"/>
    <w:rPr>
      <w:rFonts w:ascii="Calibri" w:eastAsia="Calibri" w:hAnsi="Calibri" w:cs="Times New Roman"/>
    </w:rPr>
  </w:style>
  <w:style w:type="paragraph" w:customStyle="1" w:styleId="tv213">
    <w:name w:val="tv213"/>
    <w:basedOn w:val="Normal"/>
    <w:rsid w:val="00470FB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280457134">
      <w:bodyDiv w:val="1"/>
      <w:marLeft w:val="0"/>
      <w:marRight w:val="0"/>
      <w:marTop w:val="0"/>
      <w:marBottom w:val="0"/>
      <w:divBdr>
        <w:top w:val="none" w:sz="0" w:space="0" w:color="auto"/>
        <w:left w:val="none" w:sz="0" w:space="0" w:color="auto"/>
        <w:bottom w:val="none" w:sz="0" w:space="0" w:color="auto"/>
        <w:right w:val="none" w:sz="0" w:space="0" w:color="auto"/>
      </w:divBdr>
    </w:div>
    <w:div w:id="33057018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08593124">
      <w:bodyDiv w:val="1"/>
      <w:marLeft w:val="0"/>
      <w:marRight w:val="0"/>
      <w:marTop w:val="0"/>
      <w:marBottom w:val="0"/>
      <w:divBdr>
        <w:top w:val="none" w:sz="0" w:space="0" w:color="auto"/>
        <w:left w:val="none" w:sz="0" w:space="0" w:color="auto"/>
        <w:bottom w:val="none" w:sz="0" w:space="0" w:color="auto"/>
        <w:right w:val="none" w:sz="0" w:space="0" w:color="auto"/>
      </w:divBdr>
      <w:divsChild>
        <w:div w:id="822353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336014">
              <w:marLeft w:val="0"/>
              <w:marRight w:val="0"/>
              <w:marTop w:val="0"/>
              <w:marBottom w:val="0"/>
              <w:divBdr>
                <w:top w:val="none" w:sz="0" w:space="0" w:color="auto"/>
                <w:left w:val="none" w:sz="0" w:space="0" w:color="auto"/>
                <w:bottom w:val="none" w:sz="0" w:space="0" w:color="auto"/>
                <w:right w:val="none" w:sz="0" w:space="0" w:color="auto"/>
              </w:divBdr>
              <w:divsChild>
                <w:div w:id="9722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497">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068990421">
      <w:bodyDiv w:val="1"/>
      <w:marLeft w:val="0"/>
      <w:marRight w:val="0"/>
      <w:marTop w:val="0"/>
      <w:marBottom w:val="0"/>
      <w:divBdr>
        <w:top w:val="none" w:sz="0" w:space="0" w:color="auto"/>
        <w:left w:val="none" w:sz="0" w:space="0" w:color="auto"/>
        <w:bottom w:val="none" w:sz="0" w:space="0" w:color="auto"/>
        <w:right w:val="none" w:sz="0" w:space="0" w:color="auto"/>
      </w:divBdr>
    </w:div>
    <w:div w:id="114551354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58002592">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37789991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57099621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677734712">
      <w:bodyDiv w:val="1"/>
      <w:marLeft w:val="0"/>
      <w:marRight w:val="0"/>
      <w:marTop w:val="0"/>
      <w:marBottom w:val="0"/>
      <w:divBdr>
        <w:top w:val="none" w:sz="0" w:space="0" w:color="auto"/>
        <w:left w:val="none" w:sz="0" w:space="0" w:color="auto"/>
        <w:bottom w:val="none" w:sz="0" w:space="0" w:color="auto"/>
        <w:right w:val="none" w:sz="0" w:space="0" w:color="auto"/>
      </w:divBdr>
    </w:div>
    <w:div w:id="1752041693">
      <w:bodyDiv w:val="1"/>
      <w:marLeft w:val="0"/>
      <w:marRight w:val="0"/>
      <w:marTop w:val="0"/>
      <w:marBottom w:val="0"/>
      <w:divBdr>
        <w:top w:val="none" w:sz="0" w:space="0" w:color="auto"/>
        <w:left w:val="none" w:sz="0" w:space="0" w:color="auto"/>
        <w:bottom w:val="none" w:sz="0" w:space="0" w:color="auto"/>
        <w:right w:val="none" w:sz="0" w:space="0" w:color="auto"/>
      </w:divBdr>
      <w:divsChild>
        <w:div w:id="1760710247">
          <w:marLeft w:val="0"/>
          <w:marRight w:val="0"/>
          <w:marTop w:val="0"/>
          <w:marBottom w:val="0"/>
          <w:divBdr>
            <w:top w:val="none" w:sz="0" w:space="0" w:color="auto"/>
            <w:left w:val="none" w:sz="0" w:space="0" w:color="auto"/>
            <w:bottom w:val="none" w:sz="0" w:space="0" w:color="auto"/>
            <w:right w:val="none" w:sz="0" w:space="0" w:color="auto"/>
          </w:divBdr>
        </w:div>
        <w:div w:id="1688020760">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 w:id="1960448132">
      <w:bodyDiv w:val="1"/>
      <w:marLeft w:val="0"/>
      <w:marRight w:val="0"/>
      <w:marTop w:val="0"/>
      <w:marBottom w:val="0"/>
      <w:divBdr>
        <w:top w:val="none" w:sz="0" w:space="0" w:color="auto"/>
        <w:left w:val="none" w:sz="0" w:space="0" w:color="auto"/>
        <w:bottom w:val="none" w:sz="0" w:space="0" w:color="auto"/>
        <w:right w:val="none" w:sz="0" w:space="0" w:color="auto"/>
      </w:divBdr>
    </w:div>
    <w:div w:id="2069181776">
      <w:bodyDiv w:val="1"/>
      <w:marLeft w:val="0"/>
      <w:marRight w:val="0"/>
      <w:marTop w:val="0"/>
      <w:marBottom w:val="0"/>
      <w:divBdr>
        <w:top w:val="none" w:sz="0" w:space="0" w:color="auto"/>
        <w:left w:val="none" w:sz="0" w:space="0" w:color="auto"/>
        <w:bottom w:val="none" w:sz="0" w:space="0" w:color="auto"/>
        <w:right w:val="none" w:sz="0" w:space="0" w:color="auto"/>
      </w:divBdr>
      <w:divsChild>
        <w:div w:id="120987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6077</Words>
  <Characters>3465</Characters>
  <Application>Microsoft Office Word</Application>
  <DocSecurity>0</DocSecurity>
  <Lines>28</Lines>
  <Paragraphs>19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Ilze Šķiņķe</cp:lastModifiedBy>
  <cp:revision>4</cp:revision>
  <cp:lastPrinted>2020-09-10T14:00:00Z</cp:lastPrinted>
  <dcterms:created xsi:type="dcterms:W3CDTF">2021-08-27T11:23:00Z</dcterms:created>
  <dcterms:modified xsi:type="dcterms:W3CDTF">2021-08-30T14:26:00Z</dcterms:modified>
</cp:coreProperties>
</file>