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E3" w:rsidRDefault="000433E3" w:rsidP="000433E3">
      <w:pPr>
        <w:pStyle w:val="BodyText"/>
        <w:spacing w:after="0"/>
        <w:rPr>
          <w:b/>
        </w:rPr>
      </w:pPr>
      <w:bookmarkStart w:id="0" w:name="OLE_LINK2"/>
      <w:bookmarkStart w:id="1" w:name="OLE_LINK1"/>
      <w:bookmarkStart w:id="2" w:name="_GoBack"/>
      <w:bookmarkEnd w:id="0"/>
      <w:bookmarkEnd w:id="2"/>
    </w:p>
    <w:p w:rsidR="000B0C40" w:rsidRPr="000D13DE" w:rsidRDefault="000B0C40" w:rsidP="000B0C40">
      <w:pPr>
        <w:pStyle w:val="BodyText"/>
        <w:spacing w:after="0"/>
        <w:jc w:val="center"/>
        <w:rPr>
          <w:b/>
          <w:bCs/>
        </w:rPr>
      </w:pPr>
      <w:r w:rsidRPr="000D13DE">
        <w:rPr>
          <w:b/>
        </w:rPr>
        <w:t xml:space="preserve">Ministru kabineta </w:t>
      </w:r>
      <w:bookmarkEnd w:id="1"/>
      <w:r w:rsidRPr="000D13DE">
        <w:rPr>
          <w:b/>
          <w:color w:val="000000"/>
        </w:rPr>
        <w:t>rīkojuma projekta</w:t>
      </w:r>
      <w:r w:rsidRPr="000D13DE">
        <w:rPr>
          <w:b/>
          <w:bCs/>
          <w:color w:val="000000"/>
        </w:rPr>
        <w:t xml:space="preserve"> </w:t>
      </w:r>
      <w:bookmarkStart w:id="3" w:name="OLE_LINK4"/>
      <w:bookmarkStart w:id="4" w:name="OLE_LINK3"/>
      <w:bookmarkEnd w:id="3"/>
      <w:r w:rsidRPr="000D13DE">
        <w:rPr>
          <w:b/>
          <w:color w:val="000000"/>
        </w:rPr>
        <w:t>„</w:t>
      </w:r>
      <w:bookmarkEnd w:id="4"/>
      <w:r w:rsidR="00621D37" w:rsidRPr="000D13DE">
        <w:rPr>
          <w:b/>
        </w:rPr>
        <w:t>Par iemaksu</w:t>
      </w:r>
      <w:r w:rsidRPr="000D13DE">
        <w:rPr>
          <w:b/>
        </w:rPr>
        <w:t xml:space="preserve"> </w:t>
      </w:r>
      <w:r w:rsidR="00621D37" w:rsidRPr="000D13DE">
        <w:rPr>
          <w:b/>
        </w:rPr>
        <w:t xml:space="preserve">Starptautiskā </w:t>
      </w:r>
      <w:r w:rsidRPr="000D13DE">
        <w:rPr>
          <w:b/>
        </w:rPr>
        <w:t>civil</w:t>
      </w:r>
      <w:r w:rsidR="00621D37" w:rsidRPr="000D13DE">
        <w:rPr>
          <w:b/>
        </w:rPr>
        <w:t xml:space="preserve">ā biroja </w:t>
      </w:r>
      <w:r w:rsidR="006C07BE" w:rsidRPr="000D13DE">
        <w:rPr>
          <w:b/>
        </w:rPr>
        <w:t>(</w:t>
      </w:r>
      <w:proofErr w:type="spellStart"/>
      <w:r w:rsidRPr="000D13DE">
        <w:rPr>
          <w:b/>
        </w:rPr>
        <w:t>International</w:t>
      </w:r>
      <w:proofErr w:type="spellEnd"/>
      <w:r w:rsidRPr="000D13DE">
        <w:rPr>
          <w:b/>
        </w:rPr>
        <w:t xml:space="preserve"> </w:t>
      </w:r>
      <w:proofErr w:type="spellStart"/>
      <w:r w:rsidRPr="000D13DE">
        <w:rPr>
          <w:b/>
        </w:rPr>
        <w:t>Civilian</w:t>
      </w:r>
      <w:proofErr w:type="spellEnd"/>
      <w:r w:rsidRPr="000D13DE">
        <w:rPr>
          <w:b/>
        </w:rPr>
        <w:t xml:space="preserve"> Office (</w:t>
      </w:r>
      <w:proofErr w:type="spellStart"/>
      <w:r w:rsidRPr="000D13DE">
        <w:rPr>
          <w:b/>
        </w:rPr>
        <w:t>Kosovo</w:t>
      </w:r>
      <w:proofErr w:type="spellEnd"/>
      <w:r w:rsidRPr="000D13DE">
        <w:rPr>
          <w:b/>
        </w:rPr>
        <w:t xml:space="preserve">) </w:t>
      </w:r>
      <w:r w:rsidR="006C07BE" w:rsidRPr="000D13DE">
        <w:rPr>
          <w:b/>
        </w:rPr>
        <w:t>–</w:t>
      </w:r>
      <w:r w:rsidRPr="000D13DE">
        <w:rPr>
          <w:b/>
        </w:rPr>
        <w:t xml:space="preserve"> ICO</w:t>
      </w:r>
      <w:r w:rsidR="006C07BE" w:rsidRPr="000D13DE">
        <w:rPr>
          <w:b/>
        </w:rPr>
        <w:t>) budžetā</w:t>
      </w:r>
      <w:r w:rsidRPr="000D13DE">
        <w:rPr>
          <w:b/>
        </w:rPr>
        <w:t xml:space="preserve">” sākotnējās ietekmes novērtējuma </w:t>
      </w:r>
      <w:smartTag w:uri="schemas-tilde-lv/tildestengine" w:element="veidnes">
        <w:smartTagPr>
          <w:attr w:name="text" w:val="ziņojums"/>
          <w:attr w:name="baseform" w:val="ziņojums"/>
          <w:attr w:name="id" w:val="-1"/>
        </w:smartTagPr>
        <w:r w:rsidRPr="000D13DE">
          <w:rPr>
            <w:b/>
          </w:rPr>
          <w:t>ziņojums</w:t>
        </w:r>
      </w:smartTag>
      <w:r w:rsidRPr="000D13DE">
        <w:rPr>
          <w:b/>
          <w:bCs/>
        </w:rPr>
        <w:t xml:space="preserve"> (anotācija)</w:t>
      </w:r>
    </w:p>
    <w:p w:rsidR="000B0C40" w:rsidRPr="000433E3" w:rsidRDefault="000B0C40" w:rsidP="000433E3">
      <w:pPr>
        <w:pStyle w:val="BodyText"/>
        <w:spacing w:after="0"/>
        <w:rPr>
          <w:b/>
          <w:bCs/>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60"/>
        <w:gridCol w:w="6420"/>
      </w:tblGrid>
      <w:tr w:rsidR="000B0C40" w:rsidRPr="000433E3" w:rsidTr="00F11802">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tcPr>
          <w:p w:rsidR="000B0C40" w:rsidRPr="000433E3" w:rsidRDefault="000B0C40" w:rsidP="00F11802">
            <w:pPr>
              <w:pStyle w:val="naisc"/>
              <w:spacing w:before="0" w:after="0"/>
              <w:rPr>
                <w:sz w:val="22"/>
                <w:szCs w:val="22"/>
              </w:rPr>
            </w:pPr>
            <w:r w:rsidRPr="000433E3">
              <w:rPr>
                <w:b/>
                <w:bCs/>
                <w:sz w:val="22"/>
                <w:szCs w:val="22"/>
              </w:rPr>
              <w:t>I. Tiesību akta projekta izstrādes nepieciešamība</w:t>
            </w:r>
          </w:p>
        </w:tc>
      </w:tr>
      <w:tr w:rsidR="000B0C40" w:rsidRPr="00F32831"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t>1. Pamatojums</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1C7487" w:rsidP="00B45FBF">
            <w:pPr>
              <w:pStyle w:val="NormalWeb"/>
              <w:spacing w:line="270" w:lineRule="atLeast"/>
              <w:jc w:val="both"/>
              <w:rPr>
                <w:rFonts w:eastAsia="Calibri"/>
                <w:lang w:eastAsia="en-US"/>
              </w:rPr>
            </w:pPr>
            <w:r w:rsidRPr="00480E40">
              <w:t>20</w:t>
            </w:r>
            <w:r w:rsidR="00CA59D5" w:rsidRPr="00480E40">
              <w:t>08.gada 28.februārī</w:t>
            </w:r>
            <w:r w:rsidRPr="00480E40">
              <w:t xml:space="preserve"> tika izveidota Starptautiskā Kosovas pārraudzības grupa ISG (</w:t>
            </w:r>
            <w:proofErr w:type="spellStart"/>
            <w:r w:rsidRPr="00480E40">
              <w:rPr>
                <w:i/>
                <w:iCs/>
              </w:rPr>
              <w:t>International</w:t>
            </w:r>
            <w:proofErr w:type="spellEnd"/>
            <w:r w:rsidRPr="00480E40">
              <w:rPr>
                <w:i/>
                <w:iCs/>
              </w:rPr>
              <w:t xml:space="preserve"> </w:t>
            </w:r>
            <w:proofErr w:type="spellStart"/>
            <w:r w:rsidRPr="00480E40">
              <w:rPr>
                <w:i/>
                <w:iCs/>
              </w:rPr>
              <w:t>Steering</w:t>
            </w:r>
            <w:proofErr w:type="spellEnd"/>
            <w:r w:rsidRPr="00480E40">
              <w:rPr>
                <w:i/>
                <w:iCs/>
              </w:rPr>
              <w:t xml:space="preserve"> </w:t>
            </w:r>
            <w:proofErr w:type="spellStart"/>
            <w:r w:rsidRPr="00480E40">
              <w:rPr>
                <w:i/>
                <w:iCs/>
              </w:rPr>
              <w:t>Group</w:t>
            </w:r>
            <w:proofErr w:type="spellEnd"/>
            <w:r w:rsidRPr="00480E40">
              <w:rPr>
                <w:i/>
                <w:iCs/>
              </w:rPr>
              <w:t xml:space="preserve"> </w:t>
            </w:r>
            <w:proofErr w:type="spellStart"/>
            <w:r w:rsidRPr="00480E40">
              <w:rPr>
                <w:i/>
                <w:iCs/>
              </w:rPr>
              <w:t>for</w:t>
            </w:r>
            <w:proofErr w:type="spellEnd"/>
            <w:r w:rsidRPr="00480E40">
              <w:rPr>
                <w:i/>
                <w:iCs/>
              </w:rPr>
              <w:t xml:space="preserve"> </w:t>
            </w:r>
            <w:proofErr w:type="spellStart"/>
            <w:r w:rsidRPr="00480E40">
              <w:rPr>
                <w:i/>
                <w:iCs/>
              </w:rPr>
              <w:t>Kosovo</w:t>
            </w:r>
            <w:proofErr w:type="spellEnd"/>
            <w:r w:rsidRPr="00480E40">
              <w:t>)</w:t>
            </w:r>
            <w:r w:rsidRPr="00480E40">
              <w:rPr>
                <w:i/>
                <w:iCs/>
              </w:rPr>
              <w:t>,</w:t>
            </w:r>
            <w:r w:rsidRPr="00480E40">
              <w:t xml:space="preserve"> </w:t>
            </w:r>
            <w:r w:rsidR="00B45FBF" w:rsidRPr="00480E40">
              <w:t>ar</w:t>
            </w:r>
            <w:r w:rsidR="00606BD5" w:rsidRPr="00480E40">
              <w:t xml:space="preserve"> mēr</w:t>
            </w:r>
            <w:r w:rsidR="00B45FBF" w:rsidRPr="00480E40">
              <w:t>ķi atbalstīt</w:t>
            </w:r>
            <w:r w:rsidRPr="00480E40">
              <w:t xml:space="preserve"> bijušā ANO īpašā sūtņa Marti Ahtisāri izstrādātā plāna Kosovai (</w:t>
            </w:r>
            <w:proofErr w:type="spellStart"/>
            <w:r w:rsidR="00F07B79">
              <w:fldChar w:fldCharType="begin"/>
            </w:r>
            <w:r w:rsidR="00F07B79">
              <w:instrText xml:space="preserve"> HYPERLINK "http://www.ico-kos.org/pdf/Ahtisaari%20Comprehensive%20Proposal%20in%20English.pdf" \t "_blank" </w:instrText>
            </w:r>
            <w:r w:rsidR="00F07B79">
              <w:fldChar w:fldCharType="separate"/>
            </w:r>
            <w:r w:rsidRPr="00480E40">
              <w:rPr>
                <w:rStyle w:val="Hyperlink"/>
                <w:i/>
                <w:iCs/>
                <w:color w:val="auto"/>
              </w:rPr>
              <w:t>Comprehensive</w:t>
            </w:r>
            <w:proofErr w:type="spellEnd"/>
            <w:r w:rsidRPr="00480E40">
              <w:rPr>
                <w:rStyle w:val="Hyperlink"/>
                <w:i/>
                <w:iCs/>
                <w:color w:val="auto"/>
              </w:rPr>
              <w:t xml:space="preserve"> </w:t>
            </w:r>
            <w:proofErr w:type="spellStart"/>
            <w:r w:rsidRPr="00480E40">
              <w:rPr>
                <w:rStyle w:val="Hyperlink"/>
                <w:i/>
                <w:iCs/>
                <w:color w:val="auto"/>
              </w:rPr>
              <w:t>Proposal</w:t>
            </w:r>
            <w:proofErr w:type="spellEnd"/>
            <w:r w:rsidRPr="00480E40">
              <w:rPr>
                <w:rStyle w:val="Hyperlink"/>
                <w:i/>
                <w:iCs/>
                <w:color w:val="auto"/>
              </w:rPr>
              <w:t xml:space="preserve"> </w:t>
            </w:r>
            <w:proofErr w:type="spellStart"/>
            <w:r w:rsidRPr="00480E40">
              <w:rPr>
                <w:rStyle w:val="Hyperlink"/>
                <w:i/>
                <w:iCs/>
                <w:color w:val="auto"/>
              </w:rPr>
              <w:t>for</w:t>
            </w:r>
            <w:proofErr w:type="spellEnd"/>
            <w:r w:rsidRPr="00480E40">
              <w:rPr>
                <w:rStyle w:val="Hyperlink"/>
                <w:i/>
                <w:iCs/>
                <w:color w:val="auto"/>
              </w:rPr>
              <w:t xml:space="preserve"> </w:t>
            </w:r>
            <w:proofErr w:type="spellStart"/>
            <w:r w:rsidRPr="00480E40">
              <w:rPr>
                <w:rStyle w:val="Hyperlink"/>
                <w:i/>
                <w:iCs/>
                <w:color w:val="auto"/>
              </w:rPr>
              <w:t>the</w:t>
            </w:r>
            <w:proofErr w:type="spellEnd"/>
            <w:r w:rsidRPr="00480E40">
              <w:rPr>
                <w:rStyle w:val="Hyperlink"/>
                <w:i/>
                <w:iCs/>
                <w:color w:val="auto"/>
              </w:rPr>
              <w:t xml:space="preserve"> </w:t>
            </w:r>
            <w:proofErr w:type="spellStart"/>
            <w:r w:rsidRPr="00480E40">
              <w:rPr>
                <w:rStyle w:val="Hyperlink"/>
                <w:i/>
                <w:iCs/>
                <w:color w:val="auto"/>
              </w:rPr>
              <w:t>Kosovo</w:t>
            </w:r>
            <w:proofErr w:type="spellEnd"/>
            <w:r w:rsidRPr="00480E40">
              <w:rPr>
                <w:rStyle w:val="Hyperlink"/>
                <w:i/>
                <w:iCs/>
                <w:color w:val="auto"/>
              </w:rPr>
              <w:t xml:space="preserve"> Status </w:t>
            </w:r>
            <w:proofErr w:type="spellStart"/>
            <w:r w:rsidRPr="00480E40">
              <w:rPr>
                <w:rStyle w:val="Hyperlink"/>
                <w:i/>
                <w:iCs/>
                <w:color w:val="auto"/>
              </w:rPr>
              <w:t>Settlement</w:t>
            </w:r>
            <w:proofErr w:type="spellEnd"/>
            <w:r w:rsidR="00F07B79">
              <w:rPr>
                <w:rStyle w:val="Hyperlink"/>
                <w:i/>
                <w:iCs/>
                <w:color w:val="auto"/>
              </w:rPr>
              <w:fldChar w:fldCharType="end"/>
            </w:r>
            <w:r w:rsidRPr="00480E40">
              <w:t>) īstenošanu.</w:t>
            </w:r>
            <w:r w:rsidR="00C8045C" w:rsidRPr="00480E40">
              <w:rPr>
                <w:b/>
              </w:rPr>
              <w:t xml:space="preserve"> </w:t>
            </w:r>
            <w:r w:rsidR="00C8045C" w:rsidRPr="00480E40">
              <w:t>ISG uzskatāma par</w:t>
            </w:r>
            <w:r w:rsidR="00B45FBF" w:rsidRPr="00480E40">
              <w:t xml:space="preserve"> Kosovas neatkarību atzinušo valstu</w:t>
            </w:r>
            <w:r w:rsidR="005E774B" w:rsidRPr="00480E40">
              <w:t xml:space="preserve"> </w:t>
            </w:r>
            <w:r w:rsidR="00C8045C" w:rsidRPr="00480E40">
              <w:t xml:space="preserve">politisko </w:t>
            </w:r>
            <w:r w:rsidR="005E774B" w:rsidRPr="00480E40">
              <w:t>apvienīb</w:t>
            </w:r>
            <w:r w:rsidR="00B45FBF" w:rsidRPr="00480E40">
              <w:t>u</w:t>
            </w:r>
            <w:r w:rsidR="00C8045C" w:rsidRPr="00480E40">
              <w:t xml:space="preserve">, kurā apvienojušās </w:t>
            </w:r>
            <w:r w:rsidR="00B45FBF" w:rsidRPr="00480E40">
              <w:t>lielākā daļa ES dalībvalstu, kā arī ASV, Šveice, Norvēģija un Turcija</w:t>
            </w:r>
            <w:r w:rsidR="005E774B" w:rsidRPr="00480E40">
              <w:t>.</w:t>
            </w:r>
            <w:r w:rsidR="005E774B" w:rsidRPr="00480E40">
              <w:rPr>
                <w:b/>
              </w:rPr>
              <w:t xml:space="preserve"> </w:t>
            </w:r>
            <w:r w:rsidRPr="00480E40">
              <w:t>Saskaņā ar ISG mandātu plāna īstenošanu uzrauga starptautiskais civilais pārstāvis (ICR) ar Starptaut</w:t>
            </w:r>
            <w:r w:rsidR="00CA59D5" w:rsidRPr="00480E40">
              <w:t xml:space="preserve">iskā civilā biroja (ICO) Kosovā </w:t>
            </w:r>
            <w:r w:rsidR="00FC11D8" w:rsidRPr="00480E40">
              <w:t>atbalstu.</w:t>
            </w:r>
            <w:r w:rsidR="009E3495" w:rsidRPr="00480E40">
              <w:t xml:space="preserve"> </w:t>
            </w:r>
            <w:r w:rsidR="00CB53B5" w:rsidRPr="00480E40">
              <w:t xml:space="preserve">ICO, </w:t>
            </w:r>
            <w:r w:rsidR="00477F68" w:rsidRPr="00480E40">
              <w:t>sadarb</w:t>
            </w:r>
            <w:r w:rsidR="00CB53B5" w:rsidRPr="00480E40">
              <w:t>ojoties</w:t>
            </w:r>
            <w:r w:rsidR="00477F68" w:rsidRPr="00480E40">
              <w:t xml:space="preserve"> ar pārējām ES pārstāvošajām institūcijām Kosovā</w:t>
            </w:r>
            <w:r w:rsidR="008E7347" w:rsidRPr="00480E40">
              <w:t xml:space="preserve"> (</w:t>
            </w:r>
            <w:r w:rsidR="00CB53B5" w:rsidRPr="00480E40">
              <w:t>Eiropas Komisija</w:t>
            </w:r>
            <w:r w:rsidR="00141D3D" w:rsidRPr="00480E40">
              <w:t xml:space="preserve"> (EK)</w:t>
            </w:r>
            <w:r w:rsidR="00CB53B5" w:rsidRPr="00480E40">
              <w:t xml:space="preserve">; ES īpašais pārstāvis; tiesiskuma misija </w:t>
            </w:r>
            <w:r w:rsidR="008E7347" w:rsidRPr="00480E40">
              <w:rPr>
                <w:i/>
              </w:rPr>
              <w:t>EULEX</w:t>
            </w:r>
            <w:r w:rsidR="00CB53B5" w:rsidRPr="00480E40">
              <w:t>)</w:t>
            </w:r>
            <w:r w:rsidR="00CF57E0" w:rsidRPr="00480E40">
              <w:t xml:space="preserve">, sniedz konsultācijas </w:t>
            </w:r>
            <w:r w:rsidR="00EF6EB7" w:rsidRPr="00480E40">
              <w:t>Kosovas valdīb</w:t>
            </w:r>
            <w:r w:rsidR="00CF57E0" w:rsidRPr="00480E40">
              <w:t>ai,</w:t>
            </w:r>
            <w:r w:rsidR="00EF6EB7" w:rsidRPr="00480E40">
              <w:t xml:space="preserve"> </w:t>
            </w:r>
            <w:r w:rsidR="00CF57E0" w:rsidRPr="00480E40">
              <w:t>lai atbalstītu valsts Eirointegrācijas</w:t>
            </w:r>
            <w:r w:rsidR="00A71B55" w:rsidRPr="00480E40">
              <w:t xml:space="preserve"> perspektīvu</w:t>
            </w:r>
            <w:r w:rsidR="00CF57E0" w:rsidRPr="00480E40">
              <w:t xml:space="preserve"> un reformu procesu</w:t>
            </w:r>
            <w:r w:rsidR="009E3495" w:rsidRPr="00480E40">
              <w:t xml:space="preserve">, tostarp valsts pārvaldes veidošanu, </w:t>
            </w:r>
            <w:r w:rsidR="00477F68" w:rsidRPr="00480E40">
              <w:t xml:space="preserve">likuma varas </w:t>
            </w:r>
            <w:r w:rsidR="00A1544F" w:rsidRPr="00480E40">
              <w:t>stiprināšanu</w:t>
            </w:r>
            <w:r w:rsidR="009E3495" w:rsidRPr="00480E40">
              <w:t>, sabiedrības integrāciju.</w:t>
            </w:r>
            <w:r w:rsidR="005E774B" w:rsidRPr="00480E40">
              <w:t xml:space="preserve"> Lai nodrošinātu ICO past</w:t>
            </w:r>
            <w:r w:rsidR="009425DC" w:rsidRPr="00480E40">
              <w:t>āvēšanu, ISG ietilpstošās valstis veic brīvprātīgos maksājumus.</w:t>
            </w:r>
            <w:r w:rsidR="009E3495" w:rsidRPr="00480E40">
              <w:t xml:space="preserve"> </w:t>
            </w:r>
            <w:r w:rsidR="00E407BB" w:rsidRPr="00480E40">
              <w:rPr>
                <w:rFonts w:eastAsia="Calibri"/>
                <w:lang w:eastAsia="en-US"/>
              </w:rPr>
              <w:t>Līdz šim lielākos</w:t>
            </w:r>
            <w:r w:rsidR="000B0C40" w:rsidRPr="00480E40">
              <w:rPr>
                <w:rFonts w:eastAsia="Calibri"/>
                <w:lang w:eastAsia="en-US"/>
              </w:rPr>
              <w:t xml:space="preserve"> </w:t>
            </w:r>
            <w:r w:rsidR="00E407BB" w:rsidRPr="00480E40">
              <w:rPr>
                <w:rFonts w:eastAsia="Calibri"/>
                <w:lang w:eastAsia="en-US"/>
              </w:rPr>
              <w:t>maksājumus</w:t>
            </w:r>
            <w:r w:rsidR="000B0C40" w:rsidRPr="00480E40">
              <w:rPr>
                <w:rFonts w:eastAsia="Calibri"/>
                <w:lang w:eastAsia="en-US"/>
              </w:rPr>
              <w:t xml:space="preserve"> ICO uzturēšanai ir </w:t>
            </w:r>
            <w:r w:rsidR="00E407BB" w:rsidRPr="00480E40">
              <w:rPr>
                <w:rFonts w:eastAsia="Calibri"/>
                <w:lang w:eastAsia="en-US"/>
              </w:rPr>
              <w:t xml:space="preserve">veikusi </w:t>
            </w:r>
            <w:r w:rsidR="000B0C40" w:rsidRPr="00480E40">
              <w:rPr>
                <w:rFonts w:eastAsia="Calibri"/>
                <w:lang w:eastAsia="en-US"/>
              </w:rPr>
              <w:t xml:space="preserve">Eiropas Komisija, ASV, Šveice, Norvēģija. </w:t>
            </w:r>
          </w:p>
        </w:tc>
      </w:tr>
      <w:tr w:rsidR="000B0C40" w:rsidRPr="00F32831"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rPr>
                <w:color w:val="000000"/>
              </w:rPr>
              <w:t>2.</w:t>
            </w:r>
            <w:r w:rsidRPr="00480E40">
              <w:t> Pašreizējā situācija un problēmas</w:t>
            </w:r>
          </w:p>
          <w:p w:rsidR="000B0C40" w:rsidRPr="00480E40" w:rsidRDefault="000B0C40" w:rsidP="00F11802">
            <w:pPr>
              <w:pStyle w:val="naisf"/>
              <w:spacing w:before="0" w:after="0"/>
              <w:ind w:firstLine="0"/>
              <w:jc w:val="left"/>
            </w:pP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433E3" w:rsidRPr="00480E40" w:rsidRDefault="00336919" w:rsidP="000433E3">
            <w:pPr>
              <w:jc w:val="both"/>
              <w:rPr>
                <w:rFonts w:eastAsia="Calibri"/>
                <w:lang w:val="lv-LV" w:eastAsia="en-US"/>
              </w:rPr>
            </w:pPr>
            <w:r w:rsidRPr="00480E40">
              <w:rPr>
                <w:rFonts w:eastAsia="Calibri"/>
                <w:lang w:val="lv-LV" w:eastAsia="en-US"/>
              </w:rPr>
              <w:t>Tā kā vairākas ISG valstis, tostarp</w:t>
            </w:r>
            <w:r w:rsidR="000B0C40" w:rsidRPr="00480E40">
              <w:rPr>
                <w:rFonts w:eastAsia="Calibri"/>
                <w:lang w:val="lv-LV" w:eastAsia="en-US"/>
              </w:rPr>
              <w:t xml:space="preserve"> Latvija</w:t>
            </w:r>
            <w:r w:rsidRPr="00480E40">
              <w:rPr>
                <w:rFonts w:eastAsia="Calibri"/>
                <w:lang w:val="lv-LV" w:eastAsia="en-US"/>
              </w:rPr>
              <w:t>,</w:t>
            </w:r>
            <w:r w:rsidR="000B0C40" w:rsidRPr="00480E40">
              <w:rPr>
                <w:rFonts w:eastAsia="Calibri"/>
                <w:lang w:val="lv-LV" w:eastAsia="en-US"/>
              </w:rPr>
              <w:t xml:space="preserve"> kopš ICO izveidošana</w:t>
            </w:r>
            <w:r w:rsidRPr="00480E40">
              <w:rPr>
                <w:rFonts w:eastAsia="Calibri"/>
                <w:lang w:val="lv-LV" w:eastAsia="en-US"/>
              </w:rPr>
              <w:t>s 2008.g. nav veikušas iemaksa</w:t>
            </w:r>
            <w:r w:rsidR="000B0C40" w:rsidRPr="00480E40">
              <w:rPr>
                <w:rFonts w:eastAsia="Calibri"/>
                <w:lang w:val="lv-LV" w:eastAsia="en-US"/>
              </w:rPr>
              <w:t>s</w:t>
            </w:r>
            <w:r w:rsidR="00B47FA5" w:rsidRPr="00480E40">
              <w:rPr>
                <w:rFonts w:eastAsia="Calibri"/>
                <w:lang w:val="lv-LV" w:eastAsia="en-US"/>
              </w:rPr>
              <w:t xml:space="preserve"> ICO budžetā</w:t>
            </w:r>
            <w:r w:rsidR="000B0C40" w:rsidRPr="00480E40">
              <w:rPr>
                <w:rFonts w:eastAsia="Calibri"/>
                <w:lang w:val="lv-LV" w:eastAsia="en-US"/>
              </w:rPr>
              <w:t xml:space="preserve">, EK </w:t>
            </w:r>
            <w:r w:rsidRPr="00480E40">
              <w:rPr>
                <w:rFonts w:eastAsia="Calibri"/>
                <w:lang w:val="lv-LV" w:eastAsia="en-US"/>
              </w:rPr>
              <w:t xml:space="preserve">ir </w:t>
            </w:r>
            <w:r w:rsidR="000B0C40" w:rsidRPr="00480E40">
              <w:rPr>
                <w:rFonts w:eastAsia="Calibri"/>
                <w:lang w:val="lv-LV" w:eastAsia="en-US"/>
              </w:rPr>
              <w:t>nācies palielināt s</w:t>
            </w:r>
            <w:r w:rsidRPr="00480E40">
              <w:rPr>
                <w:rFonts w:eastAsia="Calibri"/>
                <w:lang w:val="lv-LV" w:eastAsia="en-US"/>
              </w:rPr>
              <w:t>avas iemaks</w:t>
            </w:r>
            <w:r w:rsidR="0026410E" w:rsidRPr="00480E40">
              <w:rPr>
                <w:rFonts w:eastAsia="Calibri"/>
                <w:lang w:val="lv-LV" w:eastAsia="en-US"/>
              </w:rPr>
              <w:t xml:space="preserve">as daļu līdz pat 70%, </w:t>
            </w:r>
            <w:r w:rsidR="00E25FA8" w:rsidRPr="00480E40">
              <w:rPr>
                <w:rFonts w:eastAsia="Calibri"/>
                <w:lang w:val="lv-LV" w:eastAsia="en-US"/>
              </w:rPr>
              <w:t>kas ir</w:t>
            </w:r>
            <w:r w:rsidR="00B47FA5" w:rsidRPr="00480E40">
              <w:rPr>
                <w:rFonts w:eastAsia="Calibri"/>
                <w:lang w:val="lv-LV" w:eastAsia="en-US"/>
              </w:rPr>
              <w:t xml:space="preserve"> uzskat</w:t>
            </w:r>
            <w:r w:rsidR="00E25FA8" w:rsidRPr="00480E40">
              <w:rPr>
                <w:rFonts w:eastAsia="Calibri"/>
                <w:lang w:val="lv-LV" w:eastAsia="en-US"/>
              </w:rPr>
              <w:t>āms</w:t>
            </w:r>
            <w:r w:rsidR="00B47FA5" w:rsidRPr="00480E40">
              <w:rPr>
                <w:rFonts w:eastAsia="Calibri"/>
                <w:lang w:val="lv-LV" w:eastAsia="en-US"/>
              </w:rPr>
              <w:t xml:space="preserve"> par </w:t>
            </w:r>
            <w:r w:rsidR="00E256C1" w:rsidRPr="00480E40">
              <w:rPr>
                <w:rFonts w:eastAsia="Calibri"/>
                <w:lang w:val="lv-LV" w:eastAsia="en-US"/>
              </w:rPr>
              <w:t>ārkārtas</w:t>
            </w:r>
            <w:r w:rsidR="00B47FA5" w:rsidRPr="00480E40">
              <w:rPr>
                <w:rFonts w:eastAsia="Calibri"/>
                <w:lang w:val="lv-LV" w:eastAsia="en-US"/>
              </w:rPr>
              <w:t xml:space="preserve"> gadījumu</w:t>
            </w:r>
            <w:r w:rsidR="000B0C40" w:rsidRPr="00480E40">
              <w:rPr>
                <w:rFonts w:eastAsia="Calibri"/>
                <w:lang w:val="lv-LV" w:eastAsia="en-US"/>
              </w:rPr>
              <w:t>.</w:t>
            </w:r>
            <w:r w:rsidR="00E25FA8" w:rsidRPr="00480E40">
              <w:rPr>
                <w:rFonts w:eastAsia="Calibri"/>
                <w:lang w:val="lv-LV" w:eastAsia="en-US"/>
              </w:rPr>
              <w:t xml:space="preserve"> </w:t>
            </w:r>
            <w:r w:rsidR="008B6D72" w:rsidRPr="00480E40">
              <w:rPr>
                <w:rFonts w:eastAsia="Calibri"/>
                <w:lang w:val="lv-LV" w:eastAsia="en-US"/>
              </w:rPr>
              <w:t>EK ir izvirzījusi prasību ISG valstīm segt 2.2 miljonus</w:t>
            </w:r>
            <w:r w:rsidR="00CF6954" w:rsidRPr="00480E40">
              <w:rPr>
                <w:rFonts w:eastAsia="Calibri"/>
                <w:lang w:val="lv-LV" w:eastAsia="en-US"/>
              </w:rPr>
              <w:t xml:space="preserve"> EUR </w:t>
            </w:r>
            <w:r w:rsidR="008B6D72" w:rsidRPr="00480E40">
              <w:rPr>
                <w:rFonts w:eastAsia="Calibri"/>
                <w:lang w:val="lv-LV" w:eastAsia="en-US"/>
              </w:rPr>
              <w:t>lielo deficītu</w:t>
            </w:r>
            <w:r w:rsidR="00CF6954" w:rsidRPr="00480E40">
              <w:rPr>
                <w:rFonts w:eastAsia="Calibri"/>
                <w:lang w:val="lv-LV" w:eastAsia="en-US"/>
              </w:rPr>
              <w:t xml:space="preserve">, lai EK </w:t>
            </w:r>
            <w:r w:rsidR="00D61192" w:rsidRPr="00480E40">
              <w:rPr>
                <w:rFonts w:eastAsia="Calibri"/>
                <w:lang w:val="lv-LV" w:eastAsia="en-US"/>
              </w:rPr>
              <w:t xml:space="preserve">līdz 2011. gada beigām </w:t>
            </w:r>
            <w:r w:rsidR="0081751B" w:rsidRPr="00480E40">
              <w:rPr>
                <w:rFonts w:eastAsia="Calibri"/>
                <w:lang w:val="lv-LV" w:eastAsia="en-US"/>
              </w:rPr>
              <w:t xml:space="preserve">varētu veikt savu </w:t>
            </w:r>
            <w:r w:rsidR="00257780" w:rsidRPr="00480E40">
              <w:rPr>
                <w:rFonts w:eastAsia="Calibri"/>
                <w:lang w:val="lv-LV" w:eastAsia="en-US"/>
              </w:rPr>
              <w:t>iemaksu 4.2 miljonu</w:t>
            </w:r>
            <w:r w:rsidR="00D61192" w:rsidRPr="00480E40">
              <w:rPr>
                <w:rFonts w:eastAsia="Calibri"/>
                <w:lang w:val="lv-LV" w:eastAsia="en-US"/>
              </w:rPr>
              <w:t xml:space="preserve"> EUR </w:t>
            </w:r>
            <w:r w:rsidR="00257780" w:rsidRPr="00480E40">
              <w:rPr>
                <w:rFonts w:eastAsia="Calibri"/>
                <w:lang w:val="lv-LV" w:eastAsia="en-US"/>
              </w:rPr>
              <w:t>apmērā.</w:t>
            </w:r>
            <w:r w:rsidR="000433E3" w:rsidRPr="00480E40">
              <w:rPr>
                <w:rFonts w:eastAsia="Calibri"/>
                <w:lang w:val="lv-LV" w:eastAsia="en-US"/>
              </w:rPr>
              <w:t xml:space="preserve"> </w:t>
            </w:r>
            <w:r w:rsidR="007E3140" w:rsidRPr="00480E40">
              <w:rPr>
                <w:lang w:val="lv-LV"/>
              </w:rPr>
              <w:t>ISG sanāksmē 2011.</w:t>
            </w:r>
            <w:r w:rsidR="00D02457" w:rsidRPr="00480E40">
              <w:rPr>
                <w:lang w:val="lv-LV"/>
              </w:rPr>
              <w:t>g</w:t>
            </w:r>
            <w:r w:rsidR="007E3140" w:rsidRPr="00480E40">
              <w:rPr>
                <w:lang w:val="lv-LV"/>
              </w:rPr>
              <w:t xml:space="preserve">ada. 19.maijā </w:t>
            </w:r>
            <w:r w:rsidR="008A12ED" w:rsidRPr="00480E40">
              <w:rPr>
                <w:lang w:val="lv-LV"/>
              </w:rPr>
              <w:t>ICR informēja</w:t>
            </w:r>
            <w:r w:rsidR="007E3140" w:rsidRPr="00480E40">
              <w:rPr>
                <w:lang w:val="lv-LV"/>
              </w:rPr>
              <w:t xml:space="preserve"> par ICO štatu samazināš</w:t>
            </w:r>
            <w:r w:rsidR="008A12ED" w:rsidRPr="00480E40">
              <w:rPr>
                <w:lang w:val="lv-LV"/>
              </w:rPr>
              <w:t xml:space="preserve">anu </w:t>
            </w:r>
            <w:r w:rsidR="00D02457" w:rsidRPr="00480E40">
              <w:rPr>
                <w:lang w:val="lv-LV"/>
              </w:rPr>
              <w:t xml:space="preserve">42 % apmērā </w:t>
            </w:r>
            <w:r w:rsidR="008A12ED" w:rsidRPr="00480E40">
              <w:rPr>
                <w:lang w:val="lv-LV"/>
              </w:rPr>
              <w:t xml:space="preserve">un </w:t>
            </w:r>
            <w:r w:rsidR="007E3140" w:rsidRPr="00480E40">
              <w:rPr>
                <w:lang w:val="lv-LV"/>
              </w:rPr>
              <w:t>vērsās pie ISG dalībvalstīm ar lūgumu veik</w:t>
            </w:r>
            <w:r w:rsidR="00115C2A" w:rsidRPr="00480E40">
              <w:rPr>
                <w:lang w:val="lv-LV"/>
              </w:rPr>
              <w:t>t iemaksas 2012.g. ICO budžetā, lai</w:t>
            </w:r>
            <w:r w:rsidR="007E3140" w:rsidRPr="00480E40">
              <w:rPr>
                <w:lang w:val="lv-LV"/>
              </w:rPr>
              <w:t xml:space="preserve"> nep</w:t>
            </w:r>
            <w:r w:rsidR="00FF7B49" w:rsidRPr="00480E40">
              <w:rPr>
                <w:lang w:val="lv-LV"/>
              </w:rPr>
              <w:t>ietiekama finansējuma dēļ misij</w:t>
            </w:r>
            <w:r w:rsidR="00115C2A" w:rsidRPr="00480E40">
              <w:rPr>
                <w:lang w:val="lv-LV"/>
              </w:rPr>
              <w:t>a</w:t>
            </w:r>
            <w:r w:rsidR="00FF7B49" w:rsidRPr="00480E40">
              <w:rPr>
                <w:lang w:val="lv-LV"/>
              </w:rPr>
              <w:t xml:space="preserve"> </w:t>
            </w:r>
            <w:r w:rsidR="00115C2A" w:rsidRPr="00480E40">
              <w:rPr>
                <w:lang w:val="lv-LV"/>
              </w:rPr>
              <w:t>netiktu</w:t>
            </w:r>
            <w:r w:rsidR="007E3140" w:rsidRPr="00480E40">
              <w:rPr>
                <w:lang w:val="lv-LV"/>
              </w:rPr>
              <w:t xml:space="preserve"> slēgt</w:t>
            </w:r>
            <w:r w:rsidR="00115C2A" w:rsidRPr="00480E40">
              <w:rPr>
                <w:lang w:val="lv-LV"/>
              </w:rPr>
              <w:t>a</w:t>
            </w:r>
            <w:r w:rsidR="007E3140" w:rsidRPr="00480E40">
              <w:rPr>
                <w:lang w:val="lv-LV"/>
              </w:rPr>
              <w:t>.</w:t>
            </w:r>
            <w:r w:rsidR="00DF49EC" w:rsidRPr="00480E40">
              <w:rPr>
                <w:lang w:val="lv-LV"/>
              </w:rPr>
              <w:t xml:space="preserve"> No katras dalībvalsts būtu </w:t>
            </w:r>
            <w:r w:rsidR="00811232" w:rsidRPr="00480E40">
              <w:rPr>
                <w:lang w:val="lv-LV"/>
              </w:rPr>
              <w:t>nepiecieš</w:t>
            </w:r>
            <w:r w:rsidR="004C47B7" w:rsidRPr="00480E40">
              <w:rPr>
                <w:lang w:val="lv-LV"/>
              </w:rPr>
              <w:t>ama</w:t>
            </w:r>
            <w:r w:rsidR="00811232" w:rsidRPr="00480E40">
              <w:rPr>
                <w:lang w:val="lv-LV"/>
              </w:rPr>
              <w:t xml:space="preserve"> </w:t>
            </w:r>
            <w:r w:rsidR="000B0C40" w:rsidRPr="00480E40">
              <w:rPr>
                <w:rFonts w:eastAsia="Calibri"/>
                <w:lang w:val="lv-LV" w:eastAsia="en-US"/>
              </w:rPr>
              <w:t xml:space="preserve">vismaz 76.000 </w:t>
            </w:r>
            <w:r w:rsidR="004629D9" w:rsidRPr="00480E40">
              <w:rPr>
                <w:rFonts w:eastAsia="Calibri"/>
                <w:lang w:val="lv-LV" w:eastAsia="en-US"/>
              </w:rPr>
              <w:t>EUR</w:t>
            </w:r>
            <w:r w:rsidR="000B0C40" w:rsidRPr="00480E40">
              <w:rPr>
                <w:rFonts w:eastAsia="Calibri"/>
                <w:lang w:val="lv-LV" w:eastAsia="en-US"/>
              </w:rPr>
              <w:t xml:space="preserve"> </w:t>
            </w:r>
            <w:r w:rsidR="004C47B7" w:rsidRPr="00480E40">
              <w:rPr>
                <w:rFonts w:eastAsia="Calibri"/>
                <w:lang w:val="lv-LV" w:eastAsia="en-US"/>
              </w:rPr>
              <w:t>iemaksa</w:t>
            </w:r>
            <w:r w:rsidR="00061B57" w:rsidRPr="00480E40">
              <w:rPr>
                <w:rFonts w:eastAsia="Calibri"/>
                <w:lang w:val="lv-LV" w:eastAsia="en-US"/>
              </w:rPr>
              <w:t>. 2011</w:t>
            </w:r>
            <w:r w:rsidR="000B0C40" w:rsidRPr="00480E40">
              <w:rPr>
                <w:rFonts w:eastAsia="Calibri"/>
                <w:lang w:val="lv-LV" w:eastAsia="en-US"/>
              </w:rPr>
              <w:t xml:space="preserve">.g. 12.jūlijā </w:t>
            </w:r>
            <w:r w:rsidR="00061B57" w:rsidRPr="00480E40">
              <w:rPr>
                <w:rFonts w:eastAsia="Calibri"/>
                <w:lang w:val="lv-LV" w:eastAsia="en-US"/>
              </w:rPr>
              <w:t xml:space="preserve">ISG </w:t>
            </w:r>
            <w:r w:rsidR="000B0C40" w:rsidRPr="00480E40">
              <w:rPr>
                <w:rFonts w:eastAsia="Calibri"/>
                <w:lang w:val="lv-LV" w:eastAsia="en-US"/>
              </w:rPr>
              <w:t xml:space="preserve">sanāksmē </w:t>
            </w:r>
            <w:r w:rsidR="00061B57" w:rsidRPr="00480E40">
              <w:rPr>
                <w:rFonts w:eastAsia="Calibri"/>
                <w:lang w:val="lv-LV" w:eastAsia="en-US"/>
              </w:rPr>
              <w:t xml:space="preserve">Kosovā </w:t>
            </w:r>
            <w:r w:rsidR="000B0C40" w:rsidRPr="00480E40">
              <w:rPr>
                <w:rFonts w:eastAsia="Calibri"/>
                <w:lang w:val="lv-LV" w:eastAsia="en-US"/>
              </w:rPr>
              <w:t>tika apspriesta kritiskā situācija ar ICO finansējumu.</w:t>
            </w:r>
            <w:r w:rsidR="000433E3" w:rsidRPr="00480E40">
              <w:rPr>
                <w:rFonts w:eastAsia="Calibri"/>
                <w:lang w:val="lv-LV" w:eastAsia="en-US"/>
              </w:rPr>
              <w:t xml:space="preserve"> </w:t>
            </w:r>
          </w:p>
          <w:p w:rsidR="000B0C40" w:rsidRPr="00480E40" w:rsidRDefault="000B0C40" w:rsidP="007C1FB6">
            <w:pPr>
              <w:jc w:val="both"/>
              <w:rPr>
                <w:rFonts w:eastAsia="Calibri"/>
                <w:lang w:val="lv-LV" w:eastAsia="en-US"/>
              </w:rPr>
            </w:pPr>
            <w:r w:rsidRPr="00480E40">
              <w:rPr>
                <w:rFonts w:eastAsia="Calibri"/>
                <w:lang w:val="lv-LV" w:eastAsia="en-US"/>
              </w:rPr>
              <w:t>Latvijai kā valstij, kas</w:t>
            </w:r>
            <w:r w:rsidR="00671897" w:rsidRPr="00480E40">
              <w:rPr>
                <w:rFonts w:eastAsia="Calibri"/>
                <w:lang w:val="lv-LV" w:eastAsia="en-US"/>
              </w:rPr>
              <w:t xml:space="preserve"> 2008. gada 20. februārī </w:t>
            </w:r>
            <w:r w:rsidR="00917C42" w:rsidRPr="00480E40">
              <w:rPr>
                <w:rFonts w:eastAsia="Calibri"/>
                <w:lang w:val="lv-LV" w:eastAsia="en-US"/>
              </w:rPr>
              <w:t xml:space="preserve">ir </w:t>
            </w:r>
            <w:r w:rsidRPr="00480E40">
              <w:rPr>
                <w:rFonts w:eastAsia="Calibri"/>
                <w:lang w:val="lv-LV" w:eastAsia="en-US"/>
              </w:rPr>
              <w:t>atzinusi Kosovas neatkarību un</w:t>
            </w:r>
            <w:r w:rsidR="00671897" w:rsidRPr="00480E40">
              <w:rPr>
                <w:rFonts w:eastAsia="Calibri"/>
                <w:lang w:val="lv-LV" w:eastAsia="en-US"/>
              </w:rPr>
              <w:t xml:space="preserve"> 2008.gada 8. </w:t>
            </w:r>
            <w:r w:rsidR="007C1FB6" w:rsidRPr="00480E40">
              <w:rPr>
                <w:rFonts w:eastAsia="Calibri"/>
                <w:lang w:val="lv-LV" w:eastAsia="en-US"/>
              </w:rPr>
              <w:t>m</w:t>
            </w:r>
            <w:r w:rsidR="00E70D44" w:rsidRPr="00480E40">
              <w:rPr>
                <w:rFonts w:eastAsia="Calibri"/>
                <w:lang w:val="lv-LV" w:eastAsia="en-US"/>
              </w:rPr>
              <w:t xml:space="preserve">aijā </w:t>
            </w:r>
            <w:r w:rsidR="00671897" w:rsidRPr="00480E40">
              <w:rPr>
                <w:rFonts w:eastAsia="Calibri"/>
                <w:lang w:val="lv-LV" w:eastAsia="en-US"/>
              </w:rPr>
              <w:t xml:space="preserve">ir nodibinājusi diplomātiskās attiecības ar </w:t>
            </w:r>
            <w:r w:rsidR="00E70D44" w:rsidRPr="00480E40">
              <w:rPr>
                <w:rFonts w:eastAsia="Calibri"/>
                <w:lang w:val="lv-LV" w:eastAsia="en-US"/>
              </w:rPr>
              <w:t>Kosovu</w:t>
            </w:r>
            <w:r w:rsidR="00671897" w:rsidRPr="00480E40">
              <w:rPr>
                <w:rFonts w:eastAsia="Calibri"/>
                <w:lang w:val="lv-LV" w:eastAsia="en-US"/>
              </w:rPr>
              <w:t>, kā arī</w:t>
            </w:r>
            <w:r w:rsidRPr="00480E40">
              <w:rPr>
                <w:rFonts w:eastAsia="Calibri"/>
                <w:lang w:val="lv-LV" w:eastAsia="en-US"/>
              </w:rPr>
              <w:t xml:space="preserve"> cenšas stiprināt savu ieguldījumu reģionā</w:t>
            </w:r>
            <w:r w:rsidR="00D77BC3" w:rsidRPr="00480E40">
              <w:rPr>
                <w:rFonts w:eastAsia="Calibri"/>
                <w:lang w:val="lv-LV" w:eastAsia="en-US"/>
              </w:rPr>
              <w:t>,</w:t>
            </w:r>
            <w:r w:rsidRPr="00480E40">
              <w:rPr>
                <w:rFonts w:eastAsia="Calibri"/>
                <w:lang w:val="lv-LV" w:eastAsia="en-US"/>
              </w:rPr>
              <w:t xml:space="preserve"> ir būtiski </w:t>
            </w:r>
            <w:r w:rsidR="004629D9" w:rsidRPr="00480E40">
              <w:rPr>
                <w:rFonts w:eastAsia="Calibri"/>
                <w:lang w:val="lv-LV" w:eastAsia="en-US"/>
              </w:rPr>
              <w:t>veikt iemaksu</w:t>
            </w:r>
            <w:r w:rsidRPr="00480E40">
              <w:rPr>
                <w:rFonts w:eastAsia="Calibri"/>
                <w:lang w:val="lv-LV" w:eastAsia="en-US"/>
              </w:rPr>
              <w:t xml:space="preserve"> ICO tālākai darbības nodrošināšanai un mērķu sasniegšanai.</w:t>
            </w:r>
            <w:r w:rsidR="00671897" w:rsidRPr="00480E40">
              <w:rPr>
                <w:rFonts w:eastAsia="Calibri"/>
                <w:lang w:val="lv-LV" w:eastAsia="en-US"/>
              </w:rPr>
              <w:t xml:space="preserve"> </w:t>
            </w:r>
            <w:r w:rsidRPr="00480E40">
              <w:rPr>
                <w:rFonts w:eastAsia="Calibri"/>
                <w:lang w:val="lv-LV" w:eastAsia="en-US"/>
              </w:rPr>
              <w:t xml:space="preserve">Savas </w:t>
            </w:r>
            <w:r w:rsidR="000433E3" w:rsidRPr="00480E40">
              <w:rPr>
                <w:rFonts w:eastAsia="Calibri"/>
                <w:lang w:val="lv-LV" w:eastAsia="en-US"/>
              </w:rPr>
              <w:t>iemaksas</w:t>
            </w:r>
            <w:r w:rsidRPr="00480E40">
              <w:rPr>
                <w:rFonts w:eastAsia="Calibri"/>
                <w:lang w:val="lv-LV" w:eastAsia="en-US"/>
              </w:rPr>
              <w:t xml:space="preserve"> ICO uzturēšanai, ņemot vērā ICO kritisko finanšu situāciju</w:t>
            </w:r>
            <w:r w:rsidR="008F5D6D" w:rsidRPr="00480E40">
              <w:rPr>
                <w:rFonts w:eastAsia="Calibri"/>
                <w:lang w:val="lv-LV" w:eastAsia="en-US"/>
              </w:rPr>
              <w:t>,</w:t>
            </w:r>
            <w:r w:rsidRPr="00480E40">
              <w:rPr>
                <w:rFonts w:eastAsia="Calibri"/>
                <w:lang w:val="lv-LV" w:eastAsia="en-US"/>
              </w:rPr>
              <w:t xml:space="preserve"> </w:t>
            </w:r>
            <w:r w:rsidR="004629D9" w:rsidRPr="00480E40">
              <w:rPr>
                <w:rFonts w:eastAsia="Calibri"/>
                <w:lang w:val="lv-LV" w:eastAsia="en-US"/>
              </w:rPr>
              <w:t xml:space="preserve">ir solījušas </w:t>
            </w:r>
            <w:r w:rsidR="00385715" w:rsidRPr="00480E40">
              <w:rPr>
                <w:rFonts w:eastAsia="Calibri"/>
                <w:lang w:val="lv-LV" w:eastAsia="en-US"/>
              </w:rPr>
              <w:t>vairākas ISG valstis</w:t>
            </w:r>
            <w:r w:rsidR="00C33BF5" w:rsidRPr="00480E40">
              <w:rPr>
                <w:rFonts w:eastAsia="Calibri"/>
                <w:lang w:val="lv-LV" w:eastAsia="en-US"/>
              </w:rPr>
              <w:t>, kuras</w:t>
            </w:r>
            <w:r w:rsidR="002858F3" w:rsidRPr="00480E40">
              <w:rPr>
                <w:rFonts w:eastAsia="Calibri"/>
                <w:lang w:val="lv-LV" w:eastAsia="en-US"/>
              </w:rPr>
              <w:t>, tāpat kā Latvija,</w:t>
            </w:r>
            <w:r w:rsidR="00C33BF5" w:rsidRPr="00480E40">
              <w:rPr>
                <w:rFonts w:eastAsia="Calibri"/>
                <w:lang w:val="lv-LV" w:eastAsia="en-US"/>
              </w:rPr>
              <w:t xml:space="preserve"> līdz šim</w:t>
            </w:r>
            <w:r w:rsidRPr="00480E40">
              <w:rPr>
                <w:rFonts w:eastAsia="Calibri"/>
                <w:lang w:val="lv-LV" w:eastAsia="en-US"/>
              </w:rPr>
              <w:t xml:space="preserve"> nebija piedalījušās ICO finansēšanā.</w:t>
            </w:r>
            <w:r w:rsidR="008472AB" w:rsidRPr="00480E40">
              <w:rPr>
                <w:rFonts w:eastAsia="Calibri"/>
                <w:lang w:val="lv-LV" w:eastAsia="en-US"/>
              </w:rPr>
              <w:t xml:space="preserve"> Kopš 2008. gada regulāras un iev</w:t>
            </w:r>
            <w:r w:rsidR="000433E3" w:rsidRPr="00480E40">
              <w:rPr>
                <w:rFonts w:eastAsia="Calibri"/>
                <w:lang w:val="lv-LV" w:eastAsia="en-US"/>
              </w:rPr>
              <w:t>ērojamas iemaksas veikušas Austrija, Čehija, Igaunija, Vācija, Ungārija, Īrija, Nīderlande, Turcija un Luksemburga. Iemaksas šogad apsolījušas veikt arī Polija, Somija, Itālija, Zviedrija, Lielbritānija, Beļģija un Dānija.</w:t>
            </w:r>
            <w:r w:rsidR="008165A4" w:rsidRPr="00480E40">
              <w:rPr>
                <w:rFonts w:eastAsia="Calibri"/>
                <w:lang w:val="lv-LV" w:eastAsia="en-US"/>
              </w:rPr>
              <w:t xml:space="preserve"> Arī Balkānu reģiona valstis Horvātija un Slov</w:t>
            </w:r>
            <w:r w:rsidR="002549A0" w:rsidRPr="00480E40">
              <w:rPr>
                <w:rFonts w:eastAsia="Calibri"/>
                <w:lang w:val="lv-LV" w:eastAsia="en-US"/>
              </w:rPr>
              <w:t>ēnija</w:t>
            </w:r>
            <w:r w:rsidR="008165A4" w:rsidRPr="00480E40">
              <w:rPr>
                <w:rFonts w:eastAsia="Calibri"/>
                <w:lang w:val="lv-LV" w:eastAsia="en-US"/>
              </w:rPr>
              <w:t xml:space="preserve"> </w:t>
            </w:r>
            <w:r w:rsidR="002549A0" w:rsidRPr="00480E40">
              <w:rPr>
                <w:rFonts w:eastAsia="Calibri"/>
                <w:lang w:val="lv-LV" w:eastAsia="en-US"/>
              </w:rPr>
              <w:t xml:space="preserve">nopietni izvērtē iemaksas </w:t>
            </w:r>
            <w:r w:rsidR="002549A0" w:rsidRPr="00480E40">
              <w:rPr>
                <w:rFonts w:eastAsia="Calibri"/>
                <w:lang w:val="lv-LV" w:eastAsia="en-US"/>
              </w:rPr>
              <w:lastRenderedPageBreak/>
              <w:t>veikšanu, kaut arī abas valstis jau sniedz Kosovai palīdzību cita veida ietvaros</w:t>
            </w:r>
            <w:r w:rsidR="00C340B0" w:rsidRPr="00480E40">
              <w:rPr>
                <w:rFonts w:eastAsia="Calibri"/>
                <w:lang w:val="lv-LV" w:eastAsia="en-US"/>
              </w:rPr>
              <w:t>.</w:t>
            </w:r>
            <w:r w:rsidRPr="00480E40">
              <w:rPr>
                <w:rFonts w:eastAsia="Calibri"/>
                <w:lang w:val="lv-LV" w:eastAsia="en-US"/>
              </w:rPr>
              <w:t xml:space="preserve"> Priekšlaicīga ICO slēgšana finansēj</w:t>
            </w:r>
            <w:r w:rsidR="0093368C" w:rsidRPr="00480E40">
              <w:rPr>
                <w:rFonts w:eastAsia="Calibri"/>
                <w:lang w:val="lv-LV" w:eastAsia="en-US"/>
              </w:rPr>
              <w:t xml:space="preserve">uma trūkuma dēļ </w:t>
            </w:r>
            <w:r w:rsidRPr="00480E40">
              <w:rPr>
                <w:rFonts w:eastAsia="Calibri"/>
                <w:lang w:val="lv-LV" w:eastAsia="en-US"/>
              </w:rPr>
              <w:t xml:space="preserve">negatīvi ietekmētu vispārējo drošības situāciju Kosovā un </w:t>
            </w:r>
            <w:r w:rsidR="0093368C" w:rsidRPr="00480E40">
              <w:rPr>
                <w:rFonts w:eastAsia="Calibri"/>
                <w:lang w:val="lv-LV" w:eastAsia="en-US"/>
              </w:rPr>
              <w:t xml:space="preserve">arī </w:t>
            </w:r>
            <w:r w:rsidRPr="00480E40">
              <w:rPr>
                <w:rFonts w:eastAsia="Calibri"/>
                <w:lang w:val="lv-LV" w:eastAsia="en-US"/>
              </w:rPr>
              <w:t xml:space="preserve">Rietumbalkānu reģionā. </w:t>
            </w:r>
            <w:r w:rsidR="00825E7A" w:rsidRPr="00480E40">
              <w:rPr>
                <w:rFonts w:eastAsia="Calibri"/>
                <w:lang w:val="lv-LV" w:eastAsia="en-US"/>
              </w:rPr>
              <w:t>Latvijas Republikas iemaksa ICO paredzēta kā vienreizēja brīvprātīgā iemaksa. Nekādas sankcijas par turpmāko iemaksu neveikšanu nav, jo ICO funkcionē balstoties uz tā dalībvalstu brīvprātīgo iemaksu pamata.</w:t>
            </w:r>
          </w:p>
        </w:tc>
      </w:tr>
      <w:tr w:rsidR="000B0C40" w:rsidRPr="000433E3" w:rsidTr="00F11802">
        <w:trPr>
          <w:trHeight w:val="774"/>
        </w:trPr>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jc w:val="both"/>
            </w:pPr>
            <w:r w:rsidRPr="00480E40">
              <w:lastRenderedPageBreak/>
              <w:t>3.Saistītie politikas ietekmes novērtējumi un pētījumi</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ind w:right="70"/>
              <w:jc w:val="both"/>
              <w:rPr>
                <w:lang w:val="lv-LV"/>
              </w:rPr>
            </w:pPr>
            <w:r w:rsidRPr="00480E40">
              <w:rPr>
                <w:lang w:val="lv-LV"/>
              </w:rPr>
              <w:t>Nav attiecināms.</w:t>
            </w:r>
          </w:p>
          <w:p w:rsidR="000B0C40" w:rsidRPr="00480E40" w:rsidRDefault="000B0C40" w:rsidP="00F11802">
            <w:pPr>
              <w:tabs>
                <w:tab w:val="left" w:pos="1020"/>
              </w:tabs>
              <w:rPr>
                <w:lang w:val="lv-LV"/>
              </w:rPr>
            </w:pPr>
          </w:p>
        </w:tc>
      </w:tr>
      <w:tr w:rsidR="000B0C40" w:rsidRPr="00F32831" w:rsidTr="00F11802">
        <w:trPr>
          <w:trHeight w:val="419"/>
        </w:trPr>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jc w:val="both"/>
            </w:pPr>
            <w:r w:rsidRPr="00480E40">
              <w:t>4.  Tiesiskā regulējuma mērķis un būtība</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9C2497">
            <w:pPr>
              <w:pStyle w:val="BodyText"/>
              <w:spacing w:after="0"/>
              <w:ind w:right="70"/>
              <w:jc w:val="both"/>
            </w:pPr>
            <w:r w:rsidRPr="00480E40">
              <w:t>Rīkojuma mērķis ir noteikt, ka Ārlietu ministrijai 2011. gadā no budžeta programmas 02.00.00 „Iemaksas starptautiskajās organizācijās” līdzekļiem jāveic iemaksa Starptautiskā civilā biroja budžetā 10 </w:t>
            </w:r>
            <w:smartTag w:uri="schemas-tilde-lv/tildestengine" w:element="currency2">
              <w:smartTagPr>
                <w:attr w:name="currency_id" w:val="48"/>
                <w:attr w:name="currency_key" w:val="LVL"/>
                <w:attr w:name="currency_value" w:val="542"/>
                <w:attr w:name="currency_text" w:val="LVL"/>
              </w:smartTagPr>
              <w:r w:rsidRPr="00480E40">
                <w:t>542 LVL</w:t>
              </w:r>
            </w:smartTag>
            <w:r w:rsidRPr="00480E40">
              <w:t xml:space="preserve"> (15 000 EUR) apmērā. Iemaksas veikšana Starptautiskā civilā biroja 2012. gada budžetā atbilst Latvijas ārpolitikas interesēm, jo veicina Latv</w:t>
            </w:r>
            <w:r w:rsidR="00D0776C" w:rsidRPr="00480E40">
              <w:t xml:space="preserve">ijas ciešāku iesaisti reģionā, kā arī </w:t>
            </w:r>
            <w:r w:rsidR="004629D9" w:rsidRPr="00480E40">
              <w:t xml:space="preserve">Kosovas </w:t>
            </w:r>
            <w:proofErr w:type="spellStart"/>
            <w:r w:rsidR="009C2497" w:rsidRPr="00480E40">
              <w:t>Eiro</w:t>
            </w:r>
            <w:r w:rsidR="004629D9" w:rsidRPr="00480E40">
              <w:t>integrāciju</w:t>
            </w:r>
            <w:proofErr w:type="spellEnd"/>
            <w:r w:rsidR="004629D9" w:rsidRPr="00480E40">
              <w:t>.</w:t>
            </w:r>
          </w:p>
        </w:tc>
      </w:tr>
      <w:tr w:rsidR="000B0C40" w:rsidRPr="000433E3" w:rsidTr="000433E3">
        <w:trPr>
          <w:trHeight w:val="503"/>
        </w:trPr>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pPr>
            <w:r w:rsidRPr="00480E40">
              <w:t xml:space="preserve">5. Projekta izstrādē iesaistītās institūcijas </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ind w:right="70"/>
              <w:jc w:val="both"/>
            </w:pPr>
            <w:r w:rsidRPr="00480E40">
              <w:t>Nav attiecināms.</w:t>
            </w:r>
          </w:p>
        </w:tc>
      </w:tr>
      <w:tr w:rsidR="000B0C40" w:rsidRPr="000433E3"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pPr>
            <w:r w:rsidRPr="00480E40">
              <w:t xml:space="preserve">6. Iemesli, kādēļ netika nodrošināta sabiedrības līdzdalība </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ind w:right="70"/>
              <w:jc w:val="both"/>
            </w:pPr>
            <w:r w:rsidRPr="00480E40">
              <w:t xml:space="preserve">Nav attiecināms. </w:t>
            </w:r>
          </w:p>
        </w:tc>
      </w:tr>
      <w:tr w:rsidR="000B0C40" w:rsidRPr="00F32831"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beforeAutospacing="0" w:after="0" w:afterAutospacing="0"/>
            </w:pPr>
            <w:r w:rsidRPr="00480E40">
              <w:t>7. Cita informācija</w:t>
            </w:r>
          </w:p>
          <w:p w:rsidR="000B0C40" w:rsidRPr="00480E40" w:rsidRDefault="000B0C40" w:rsidP="00F11802">
            <w:pPr>
              <w:pStyle w:val="NormalWeb"/>
              <w:spacing w:before="0" w:beforeAutospacing="0" w:after="0" w:afterAutospacing="0"/>
            </w:pPr>
          </w:p>
          <w:p w:rsidR="000B0C40" w:rsidRPr="00480E40" w:rsidRDefault="000B0C40" w:rsidP="00F11802">
            <w:pPr>
              <w:pStyle w:val="NormalWeb"/>
              <w:spacing w:before="0" w:beforeAutospacing="0" w:after="0" w:afterAutospacing="0"/>
            </w:pP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E24A9" w:rsidRPr="00480E40" w:rsidRDefault="00825E7A" w:rsidP="008E24A9">
            <w:pPr>
              <w:pStyle w:val="naisc"/>
              <w:spacing w:before="0" w:after="0"/>
              <w:ind w:firstLine="12"/>
              <w:jc w:val="both"/>
              <w:rPr>
                <w:sz w:val="24"/>
                <w:szCs w:val="24"/>
              </w:rPr>
            </w:pPr>
            <w:r w:rsidRPr="00480E40">
              <w:rPr>
                <w:sz w:val="24"/>
                <w:szCs w:val="24"/>
              </w:rPr>
              <w:t>Projekta ieviešanai papildus valsts un pašvaldību budžeta līdzekļi nav nepieciešami. Iemaksas tiks veiktas no Ārlietu ministrijas budžeta programmas 02.00.00 „Iemaksas starptautiskajās organizācijās” līdzekļiem. Ārlietu ministrija vērš uzmanību, ka iemaksu apjoms starptautiskajās organizācijās ir atkarīgs gan no katras organizācijas budžeta tendencēm, gan iemaksu skalas, gan valūta</w:t>
            </w:r>
            <w:r w:rsidR="00D4693E">
              <w:rPr>
                <w:sz w:val="24"/>
                <w:szCs w:val="24"/>
              </w:rPr>
              <w:t xml:space="preserve">s kursa svārstībām (īpaši USD). </w:t>
            </w:r>
            <w:r w:rsidR="00480E40" w:rsidRPr="00F32831">
              <w:rPr>
                <w:sz w:val="24"/>
                <w:szCs w:val="24"/>
              </w:rPr>
              <w:t>Ņemot vērā iepriekš minētos faktorus, no valsts budžeta programmas 02.00.00 „Iemaksas starptaut</w:t>
            </w:r>
            <w:r w:rsidR="000D13DE" w:rsidRPr="00F32831">
              <w:rPr>
                <w:sz w:val="24"/>
                <w:szCs w:val="24"/>
              </w:rPr>
              <w:t xml:space="preserve">iskajās organizācijās” veiktās </w:t>
            </w:r>
            <w:r w:rsidR="00480E40" w:rsidRPr="00F32831">
              <w:rPr>
                <w:sz w:val="24"/>
                <w:szCs w:val="24"/>
              </w:rPr>
              <w:t xml:space="preserve">iemaksas starptautiskajās organizācijās ir mazākā apmērā, kā tika plānots. Lielākie ietaupījumi ir izveidojušies no iemaksām ANO (aptuveni 20 000 LVL), Reģionālajā sadarbības organizācijā (aptuveni 10 400 LVL), EDSO (aptuveni 9 500 LVL) </w:t>
            </w:r>
            <w:r w:rsidR="00D4693E" w:rsidRPr="00F32831">
              <w:rPr>
                <w:sz w:val="24"/>
                <w:szCs w:val="24"/>
              </w:rPr>
              <w:t>un UNESCO (aptuveni 9 038 LVL)</w:t>
            </w:r>
            <w:r w:rsidR="00F32831" w:rsidRPr="00F32831">
              <w:rPr>
                <w:sz w:val="24"/>
                <w:szCs w:val="24"/>
              </w:rPr>
              <w:t>.</w:t>
            </w:r>
          </w:p>
        </w:tc>
      </w:tr>
    </w:tbl>
    <w:p w:rsidR="000B0C40" w:rsidRDefault="000B0C40" w:rsidP="000B0C40">
      <w:pPr>
        <w:pStyle w:val="NormalWeb"/>
        <w:spacing w:before="0" w:beforeAutospacing="0" w:after="0" w:afterAutospacing="0"/>
        <w:rPr>
          <w:sz w:val="22"/>
          <w:szCs w:val="22"/>
        </w:rPr>
      </w:pPr>
    </w:p>
    <w:p w:rsidR="008E24A9" w:rsidRPr="000433E3" w:rsidRDefault="008E24A9" w:rsidP="000B0C40">
      <w:pPr>
        <w:pStyle w:val="NormalWeb"/>
        <w:spacing w:before="0" w:beforeAutospacing="0" w:after="0" w:afterAutospacing="0"/>
        <w:rPr>
          <w:sz w:val="22"/>
          <w:szCs w:val="22"/>
        </w:rPr>
      </w:pPr>
    </w:p>
    <w:p w:rsidR="000433E3" w:rsidRPr="00480E40" w:rsidRDefault="000B0C40" w:rsidP="00DC3584">
      <w:pPr>
        <w:jc w:val="center"/>
        <w:rPr>
          <w:lang w:val="lv-LV"/>
        </w:rPr>
      </w:pPr>
      <w:r w:rsidRPr="00480E40">
        <w:rPr>
          <w:lang w:val="lv-LV"/>
        </w:rPr>
        <w:t>Anotācijas  II. – VI. sadaļa – nav attiecināms.</w:t>
      </w:r>
    </w:p>
    <w:p w:rsidR="000B0C40" w:rsidRDefault="000B0C40" w:rsidP="000B0C40">
      <w:pPr>
        <w:jc w:val="both"/>
        <w:rPr>
          <w:sz w:val="22"/>
          <w:szCs w:val="22"/>
          <w:lang w:val="lv-LV"/>
        </w:rPr>
      </w:pPr>
    </w:p>
    <w:p w:rsidR="000D13DE" w:rsidRPr="00480E40" w:rsidRDefault="000D13DE" w:rsidP="000B0C40">
      <w:pPr>
        <w:jc w:val="both"/>
        <w:rPr>
          <w:lang w:val="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60"/>
        <w:gridCol w:w="6420"/>
      </w:tblGrid>
      <w:tr w:rsidR="000B0C40" w:rsidRPr="00F32831" w:rsidTr="00F11802">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tcPr>
          <w:p w:rsidR="000B0C40" w:rsidRPr="00480E40" w:rsidRDefault="000B0C40" w:rsidP="00F11802">
            <w:pPr>
              <w:pStyle w:val="naisc"/>
              <w:spacing w:before="0" w:after="0"/>
              <w:rPr>
                <w:sz w:val="24"/>
                <w:szCs w:val="24"/>
              </w:rPr>
            </w:pPr>
            <w:r w:rsidRPr="00480E40">
              <w:rPr>
                <w:b/>
                <w:sz w:val="24"/>
                <w:szCs w:val="24"/>
              </w:rPr>
              <w:t>VII. Tiesību akta projekta izpildes nodrošināšana un tās ietekme uz institūcijām</w:t>
            </w:r>
          </w:p>
        </w:tc>
      </w:tr>
      <w:tr w:rsidR="000B0C40" w:rsidRPr="00480E40"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t>1. Projekta izpildē iesaistītās institūcijas</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after="0"/>
            </w:pPr>
            <w:r w:rsidRPr="00480E40">
              <w:t>Projekta izpildi nodrošinās Ārlietu ministrija.</w:t>
            </w:r>
          </w:p>
        </w:tc>
      </w:tr>
      <w:tr w:rsidR="000B0C40" w:rsidRPr="00480E40"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t xml:space="preserve"> 2. Projekta izpildes </w:t>
            </w:r>
            <w:r w:rsidRPr="00480E40">
              <w:lastRenderedPageBreak/>
              <w:t>ietekme uz pārvaldes funkcijām</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after="0"/>
            </w:pPr>
            <w:r w:rsidRPr="00480E40">
              <w:lastRenderedPageBreak/>
              <w:t>Nav attiecināms.</w:t>
            </w:r>
          </w:p>
        </w:tc>
      </w:tr>
      <w:tr w:rsidR="000B0C40" w:rsidRPr="00480E40"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lastRenderedPageBreak/>
              <w:t>3. Projekta izpildes ietekme uz pārvaldes institucionālo struktūru.</w:t>
            </w:r>
          </w:p>
          <w:p w:rsidR="000B0C40" w:rsidRPr="00480E40" w:rsidRDefault="000B0C40" w:rsidP="00F11802">
            <w:pPr>
              <w:pStyle w:val="naisf"/>
              <w:spacing w:before="0" w:after="0"/>
              <w:ind w:firstLine="0"/>
            </w:pPr>
            <w:r w:rsidRPr="00480E40">
              <w:t>Jaunu institūciju izveide</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after="0"/>
            </w:pPr>
            <w:r w:rsidRPr="00480E40">
              <w:t>Saistībā ar projekta izpildi nav nepieciešams veidot jaunas institūcijas.</w:t>
            </w:r>
          </w:p>
        </w:tc>
      </w:tr>
      <w:tr w:rsidR="000B0C40" w:rsidRPr="00F32831"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t>4. Projekta izpildes ietekme uz pārvaldes institucionālo struktūru. Esošu institūciju likvidācija</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ormalWeb"/>
              <w:spacing w:before="0" w:after="0"/>
            </w:pPr>
            <w:r w:rsidRPr="00480E40">
              <w:t xml:space="preserve"> Saistībā ar projekta izpildi nav plānots likvidēt esošās institūcijas.</w:t>
            </w:r>
          </w:p>
        </w:tc>
      </w:tr>
      <w:tr w:rsidR="000B0C40" w:rsidRPr="00F32831"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RDefault="000B0C40" w:rsidP="00F11802">
            <w:pPr>
              <w:pStyle w:val="naisf"/>
              <w:spacing w:before="0" w:after="0"/>
              <w:ind w:firstLine="0"/>
            </w:pPr>
            <w:r w:rsidRPr="00480E40">
              <w:t>5. Projekta izpildes ietekme uz pārvaldes institucionālo struktūru. Esošu institūciju reorganizācija</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480E40" w:rsidDel="001478B3" w:rsidRDefault="000B0C40" w:rsidP="00F11802">
            <w:pPr>
              <w:pStyle w:val="NormalWeb"/>
              <w:spacing w:before="0" w:after="0"/>
            </w:pPr>
            <w:r w:rsidRPr="00480E40">
              <w:t>Saistībā ar projekta izpildi nav plānots reorganizēt esošu institūciju vai arī apvienot esošas institūcijas.</w:t>
            </w:r>
          </w:p>
        </w:tc>
      </w:tr>
      <w:tr w:rsidR="000B0C40" w:rsidRPr="000433E3" w:rsidTr="00F11802">
        <w:tc>
          <w:tcPr>
            <w:tcW w:w="154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0433E3" w:rsidRDefault="000B0C40" w:rsidP="00F11802">
            <w:pPr>
              <w:pStyle w:val="naisf"/>
              <w:spacing w:before="0" w:after="0"/>
              <w:ind w:firstLine="0"/>
              <w:rPr>
                <w:sz w:val="22"/>
                <w:szCs w:val="22"/>
              </w:rPr>
            </w:pPr>
            <w:r w:rsidRPr="000433E3">
              <w:rPr>
                <w:sz w:val="22"/>
                <w:szCs w:val="22"/>
              </w:rPr>
              <w:t>6. Cita informācija</w:t>
            </w:r>
          </w:p>
        </w:tc>
        <w:tc>
          <w:tcPr>
            <w:tcW w:w="3459"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0B0C40" w:rsidRPr="000433E3" w:rsidRDefault="000B0C40" w:rsidP="00F11802">
            <w:pPr>
              <w:pStyle w:val="NormalWeb"/>
              <w:spacing w:before="0" w:after="0"/>
              <w:rPr>
                <w:sz w:val="22"/>
                <w:szCs w:val="22"/>
              </w:rPr>
            </w:pPr>
            <w:r w:rsidRPr="000433E3">
              <w:rPr>
                <w:sz w:val="22"/>
                <w:szCs w:val="22"/>
              </w:rPr>
              <w:t>Nav.</w:t>
            </w:r>
          </w:p>
        </w:tc>
      </w:tr>
    </w:tbl>
    <w:p w:rsidR="004629D9" w:rsidRPr="000433E3" w:rsidRDefault="004629D9" w:rsidP="000B0C40">
      <w:pPr>
        <w:jc w:val="both"/>
        <w:rPr>
          <w:sz w:val="22"/>
          <w:szCs w:val="22"/>
          <w:lang w:val="lv-LV"/>
        </w:rPr>
      </w:pPr>
    </w:p>
    <w:p w:rsidR="004629D9" w:rsidRPr="00480E40" w:rsidRDefault="004629D9" w:rsidP="000B0C40">
      <w:pPr>
        <w:jc w:val="both"/>
        <w:rPr>
          <w:lang w:val="lv-LV"/>
        </w:rPr>
      </w:pPr>
    </w:p>
    <w:p w:rsidR="0039562F" w:rsidRPr="00480E40" w:rsidRDefault="0039562F" w:rsidP="000B0C40">
      <w:pPr>
        <w:jc w:val="both"/>
        <w:rPr>
          <w:lang w:val="lv-LV"/>
        </w:rPr>
      </w:pPr>
    </w:p>
    <w:p w:rsidR="000B0C40" w:rsidRPr="00480E40" w:rsidRDefault="000B0C40" w:rsidP="000B0C40">
      <w:pPr>
        <w:jc w:val="both"/>
        <w:rPr>
          <w:b/>
          <w:lang w:val="lv-LV"/>
        </w:rPr>
      </w:pPr>
      <w:r w:rsidRPr="00480E40">
        <w:rPr>
          <w:b/>
          <w:lang w:val="lv-LV"/>
        </w:rPr>
        <w:t>Ārlietu ministrs</w:t>
      </w:r>
      <w:r w:rsidRPr="00480E40">
        <w:rPr>
          <w:b/>
          <w:lang w:val="lv-LV"/>
        </w:rPr>
        <w:tab/>
      </w:r>
      <w:r w:rsidRPr="00480E40">
        <w:rPr>
          <w:b/>
          <w:lang w:val="lv-LV"/>
        </w:rPr>
        <w:tab/>
      </w:r>
      <w:r w:rsidRPr="00480E40">
        <w:rPr>
          <w:b/>
          <w:lang w:val="lv-LV"/>
        </w:rPr>
        <w:tab/>
      </w:r>
      <w:r w:rsidRPr="00480E40">
        <w:rPr>
          <w:b/>
          <w:lang w:val="lv-LV"/>
        </w:rPr>
        <w:tab/>
      </w:r>
      <w:r w:rsidRPr="00480E40">
        <w:rPr>
          <w:b/>
          <w:lang w:val="lv-LV"/>
        </w:rPr>
        <w:tab/>
      </w:r>
      <w:r w:rsidRPr="00480E40">
        <w:rPr>
          <w:b/>
          <w:lang w:val="lv-LV"/>
        </w:rPr>
        <w:tab/>
      </w:r>
      <w:r w:rsidR="008E24A9" w:rsidRPr="00480E40">
        <w:rPr>
          <w:b/>
          <w:lang w:val="lv-LV"/>
        </w:rPr>
        <w:t xml:space="preserve">          </w:t>
      </w:r>
      <w:r w:rsidR="00480E40">
        <w:rPr>
          <w:b/>
          <w:lang w:val="lv-LV"/>
        </w:rPr>
        <w:t xml:space="preserve">                       </w:t>
      </w:r>
      <w:r w:rsidR="004F27E8" w:rsidRPr="00480E40">
        <w:rPr>
          <w:b/>
          <w:lang w:val="lv-LV"/>
        </w:rPr>
        <w:t>E. Rinkēvičs</w:t>
      </w:r>
    </w:p>
    <w:p w:rsidR="000B0C40" w:rsidRPr="00480E40" w:rsidRDefault="000B0C40" w:rsidP="000B0C40">
      <w:pPr>
        <w:jc w:val="both"/>
        <w:rPr>
          <w:b/>
          <w:lang w:val="lv-LV"/>
        </w:rPr>
      </w:pPr>
    </w:p>
    <w:p w:rsidR="000B0C40" w:rsidRPr="00480E40" w:rsidRDefault="000B0C40" w:rsidP="000B0C40">
      <w:pPr>
        <w:jc w:val="both"/>
        <w:rPr>
          <w:b/>
          <w:lang w:val="lv-LV"/>
        </w:rPr>
      </w:pPr>
    </w:p>
    <w:p w:rsidR="000B0C40" w:rsidRPr="00480E40" w:rsidRDefault="000B0C40" w:rsidP="000B0C40">
      <w:pPr>
        <w:jc w:val="both"/>
        <w:rPr>
          <w:b/>
          <w:lang w:val="lv-LV"/>
        </w:rPr>
      </w:pPr>
    </w:p>
    <w:p w:rsidR="000B0C40" w:rsidRPr="00480E40" w:rsidRDefault="000B0C40" w:rsidP="000B0C40">
      <w:pPr>
        <w:jc w:val="both"/>
        <w:rPr>
          <w:b/>
          <w:lang w:val="lv-LV"/>
        </w:rPr>
      </w:pPr>
      <w:r w:rsidRPr="00480E40">
        <w:rPr>
          <w:b/>
          <w:lang w:val="lv-LV"/>
        </w:rPr>
        <w:t xml:space="preserve">Vīza: Valsts sekretārs                                                    </w:t>
      </w:r>
      <w:r w:rsidR="008E24A9" w:rsidRPr="00480E40">
        <w:rPr>
          <w:b/>
          <w:lang w:val="lv-LV"/>
        </w:rPr>
        <w:t xml:space="preserve">     </w:t>
      </w:r>
      <w:r w:rsidRPr="00480E40">
        <w:rPr>
          <w:b/>
          <w:lang w:val="lv-LV"/>
        </w:rPr>
        <w:t xml:space="preserve">      </w:t>
      </w:r>
      <w:r w:rsidR="00480E40">
        <w:rPr>
          <w:b/>
          <w:lang w:val="lv-LV"/>
        </w:rPr>
        <w:t xml:space="preserve">                           </w:t>
      </w:r>
      <w:r w:rsidRPr="00480E40">
        <w:rPr>
          <w:b/>
          <w:lang w:val="lv-LV"/>
        </w:rPr>
        <w:t>A. Teikmanis</w:t>
      </w:r>
    </w:p>
    <w:p w:rsidR="000433E3" w:rsidRPr="00480E40" w:rsidRDefault="000433E3" w:rsidP="000433E3">
      <w:pPr>
        <w:rPr>
          <w:lang w:val="lv-LV"/>
        </w:rPr>
      </w:pPr>
    </w:p>
    <w:p w:rsidR="000433E3" w:rsidRDefault="000433E3" w:rsidP="000433E3">
      <w:pPr>
        <w:rPr>
          <w:sz w:val="16"/>
          <w:szCs w:val="16"/>
          <w:lang w:val="lv-LV"/>
        </w:rPr>
      </w:pPr>
    </w:p>
    <w:p w:rsidR="000433E3" w:rsidRDefault="000433E3" w:rsidP="000433E3">
      <w:pPr>
        <w:rPr>
          <w:sz w:val="16"/>
          <w:szCs w:val="16"/>
          <w:lang w:val="lv-LV"/>
        </w:rPr>
      </w:pPr>
    </w:p>
    <w:p w:rsidR="000433E3" w:rsidRDefault="000433E3" w:rsidP="000433E3">
      <w:pPr>
        <w:rPr>
          <w:sz w:val="16"/>
          <w:szCs w:val="16"/>
          <w:lang w:val="lv-LV"/>
        </w:rPr>
      </w:pPr>
    </w:p>
    <w:p w:rsidR="000433E3" w:rsidRPr="000433E3" w:rsidRDefault="00480E40" w:rsidP="000433E3">
      <w:pPr>
        <w:rPr>
          <w:sz w:val="16"/>
          <w:szCs w:val="16"/>
          <w:lang w:val="lv-LV"/>
        </w:rPr>
      </w:pPr>
      <w:r>
        <w:rPr>
          <w:sz w:val="16"/>
          <w:szCs w:val="16"/>
          <w:lang w:val="lv-LV"/>
        </w:rPr>
        <w:t>0</w:t>
      </w:r>
      <w:r w:rsidR="00EC1517">
        <w:rPr>
          <w:sz w:val="16"/>
          <w:szCs w:val="16"/>
          <w:lang w:val="lv-LV"/>
        </w:rPr>
        <w:t>7</w:t>
      </w:r>
      <w:r w:rsidR="000433E3" w:rsidRPr="000433E3">
        <w:rPr>
          <w:sz w:val="16"/>
          <w:szCs w:val="16"/>
          <w:lang w:val="lv-LV"/>
        </w:rPr>
        <w:t>.</w:t>
      </w:r>
      <w:r w:rsidR="004F27E8">
        <w:rPr>
          <w:sz w:val="16"/>
          <w:szCs w:val="16"/>
          <w:lang w:val="lv-LV"/>
        </w:rPr>
        <w:t>1</w:t>
      </w:r>
      <w:r>
        <w:rPr>
          <w:sz w:val="16"/>
          <w:szCs w:val="16"/>
          <w:lang w:val="lv-LV"/>
        </w:rPr>
        <w:t>2</w:t>
      </w:r>
      <w:r w:rsidR="000433E3" w:rsidRPr="000433E3">
        <w:rPr>
          <w:sz w:val="16"/>
          <w:szCs w:val="16"/>
          <w:lang w:val="lv-LV"/>
        </w:rPr>
        <w:t>.2011, </w:t>
      </w:r>
      <w:r>
        <w:rPr>
          <w:sz w:val="16"/>
          <w:szCs w:val="16"/>
          <w:lang w:val="lv-LV"/>
        </w:rPr>
        <w:t>1</w:t>
      </w:r>
      <w:r w:rsidR="00EC1517">
        <w:rPr>
          <w:sz w:val="16"/>
          <w:szCs w:val="16"/>
          <w:lang w:val="lv-LV"/>
        </w:rPr>
        <w:t>6</w:t>
      </w:r>
      <w:r w:rsidR="000433E3">
        <w:rPr>
          <w:sz w:val="16"/>
          <w:szCs w:val="16"/>
          <w:lang w:val="lv-LV"/>
        </w:rPr>
        <w:t>:00</w:t>
      </w:r>
    </w:p>
    <w:p w:rsidR="000433E3" w:rsidRPr="000433E3" w:rsidRDefault="00825E7A" w:rsidP="000433E3">
      <w:pPr>
        <w:rPr>
          <w:sz w:val="16"/>
          <w:szCs w:val="16"/>
          <w:lang w:val="lv-LV"/>
        </w:rPr>
      </w:pPr>
      <w:r>
        <w:rPr>
          <w:sz w:val="16"/>
          <w:szCs w:val="16"/>
          <w:lang w:val="lv-LV"/>
        </w:rPr>
        <w:t>7</w:t>
      </w:r>
      <w:r w:rsidR="00EC1517">
        <w:rPr>
          <w:sz w:val="16"/>
          <w:szCs w:val="16"/>
          <w:lang w:val="lv-LV"/>
        </w:rPr>
        <w:t>48</w:t>
      </w:r>
    </w:p>
    <w:p w:rsidR="000433E3" w:rsidRPr="000433E3" w:rsidRDefault="000433E3" w:rsidP="000433E3">
      <w:pPr>
        <w:rPr>
          <w:sz w:val="16"/>
          <w:szCs w:val="16"/>
          <w:lang w:val="lv-LV"/>
        </w:rPr>
      </w:pPr>
      <w:r>
        <w:rPr>
          <w:sz w:val="16"/>
          <w:szCs w:val="16"/>
          <w:lang w:val="lv-LV"/>
        </w:rPr>
        <w:t>Edvards Rubīns</w:t>
      </w:r>
    </w:p>
    <w:p w:rsidR="00F11802" w:rsidRPr="000433E3" w:rsidRDefault="000433E3">
      <w:pPr>
        <w:rPr>
          <w:sz w:val="16"/>
          <w:szCs w:val="16"/>
          <w:lang w:val="lv-LV"/>
        </w:rPr>
      </w:pPr>
      <w:r w:rsidRPr="000433E3">
        <w:rPr>
          <w:sz w:val="16"/>
          <w:szCs w:val="16"/>
          <w:lang w:val="lv-LV"/>
        </w:rPr>
        <w:t xml:space="preserve">Tālr. 67016 </w:t>
      </w:r>
      <w:r>
        <w:rPr>
          <w:sz w:val="16"/>
          <w:szCs w:val="16"/>
          <w:lang w:val="lv-LV"/>
        </w:rPr>
        <w:t>238</w:t>
      </w:r>
      <w:r w:rsidRPr="000433E3">
        <w:rPr>
          <w:sz w:val="16"/>
          <w:szCs w:val="16"/>
          <w:lang w:val="lv-LV"/>
        </w:rPr>
        <w:t xml:space="preserve">, </w:t>
      </w:r>
      <w:hyperlink r:id="rId7" w:history="1">
        <w:r w:rsidRPr="00426185">
          <w:rPr>
            <w:rStyle w:val="Hyperlink"/>
            <w:sz w:val="16"/>
            <w:szCs w:val="16"/>
            <w:lang w:val="lv-LV"/>
          </w:rPr>
          <w:t>edvards.rubins@mfa.gov.lv</w:t>
        </w:r>
      </w:hyperlink>
      <w:r w:rsidRPr="000433E3">
        <w:rPr>
          <w:sz w:val="16"/>
          <w:szCs w:val="16"/>
          <w:lang w:val="lv-LV"/>
        </w:rPr>
        <w:t xml:space="preserve"> </w:t>
      </w:r>
    </w:p>
    <w:sectPr w:rsidR="00F11802" w:rsidRPr="000433E3" w:rsidSect="00F11802">
      <w:footerReference w:type="even" r:id="rId8"/>
      <w:footerReference w:type="default" r:id="rId9"/>
      <w:pgSz w:w="11906" w:h="16838" w:code="9"/>
      <w:pgMar w:top="899"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EE" w:rsidRDefault="00A648EE" w:rsidP="000B0C40">
      <w:r>
        <w:separator/>
      </w:r>
    </w:p>
  </w:endnote>
  <w:endnote w:type="continuationSeparator" w:id="0">
    <w:p w:rsidR="00A648EE" w:rsidRDefault="00A648EE" w:rsidP="000B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B" w:rsidRDefault="005E774B" w:rsidP="00F1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74B" w:rsidRDefault="005E774B" w:rsidP="00F118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B" w:rsidRDefault="005E774B" w:rsidP="00F1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F90">
      <w:rPr>
        <w:rStyle w:val="PageNumber"/>
        <w:noProof/>
      </w:rPr>
      <w:t>2</w:t>
    </w:r>
    <w:r>
      <w:rPr>
        <w:rStyle w:val="PageNumber"/>
      </w:rPr>
      <w:fldChar w:fldCharType="end"/>
    </w:r>
  </w:p>
  <w:p w:rsidR="005E774B" w:rsidRPr="00BE673C" w:rsidRDefault="005E774B" w:rsidP="00F11802">
    <w:pPr>
      <w:pStyle w:val="Footer"/>
      <w:ind w:right="360"/>
      <w:jc w:val="both"/>
      <w:rPr>
        <w:sz w:val="20"/>
        <w:szCs w:val="20"/>
      </w:rPr>
    </w:pPr>
    <w:r>
      <w:rPr>
        <w:sz w:val="20"/>
        <w:szCs w:val="20"/>
      </w:rPr>
      <w:t>AMAnot_</w:t>
    </w:r>
    <w:r w:rsidR="00912F90">
      <w:rPr>
        <w:sz w:val="20"/>
        <w:szCs w:val="20"/>
      </w:rPr>
      <w:t>07</w:t>
    </w:r>
    <w:r w:rsidR="000D13DE">
      <w:rPr>
        <w:sz w:val="20"/>
        <w:szCs w:val="20"/>
      </w:rPr>
      <w:t>12</w:t>
    </w:r>
    <w:r w:rsidR="004F27E8">
      <w:rPr>
        <w:sz w:val="20"/>
        <w:szCs w:val="20"/>
      </w:rPr>
      <w:t>20</w:t>
    </w:r>
    <w:r>
      <w:rPr>
        <w:sz w:val="20"/>
        <w:szCs w:val="20"/>
      </w:rPr>
      <w:t xml:space="preserve">11_VSS; </w:t>
    </w:r>
    <w:proofErr w:type="spellStart"/>
    <w:r w:rsidRPr="003919C7">
      <w:rPr>
        <w:sz w:val="20"/>
        <w:szCs w:val="20"/>
      </w:rPr>
      <w:t>Ministru</w:t>
    </w:r>
    <w:proofErr w:type="spellEnd"/>
    <w:r w:rsidRPr="003919C7">
      <w:rPr>
        <w:sz w:val="20"/>
        <w:szCs w:val="20"/>
      </w:rPr>
      <w:t xml:space="preserve"> </w:t>
    </w:r>
    <w:proofErr w:type="spellStart"/>
    <w:r w:rsidRPr="003919C7">
      <w:rPr>
        <w:sz w:val="20"/>
        <w:szCs w:val="20"/>
      </w:rPr>
      <w:t>kabineta</w:t>
    </w:r>
    <w:proofErr w:type="spellEnd"/>
    <w:r w:rsidRPr="003919C7">
      <w:rPr>
        <w:sz w:val="20"/>
        <w:szCs w:val="20"/>
      </w:rPr>
      <w:t xml:space="preserve"> </w:t>
    </w:r>
    <w:proofErr w:type="spellStart"/>
    <w:r w:rsidRPr="003919C7">
      <w:rPr>
        <w:color w:val="000000"/>
        <w:sz w:val="20"/>
        <w:szCs w:val="20"/>
      </w:rPr>
      <w:t>rīkojuma</w:t>
    </w:r>
    <w:proofErr w:type="spellEnd"/>
    <w:r w:rsidRPr="003919C7">
      <w:rPr>
        <w:color w:val="000000"/>
        <w:sz w:val="20"/>
        <w:szCs w:val="20"/>
      </w:rPr>
      <w:t xml:space="preserve"> </w:t>
    </w:r>
    <w:proofErr w:type="spellStart"/>
    <w:r w:rsidRPr="003919C7">
      <w:rPr>
        <w:color w:val="000000"/>
        <w:sz w:val="20"/>
        <w:szCs w:val="20"/>
      </w:rPr>
      <w:t>projekta</w:t>
    </w:r>
    <w:proofErr w:type="spellEnd"/>
    <w:r w:rsidRPr="003919C7">
      <w:rPr>
        <w:bCs/>
        <w:color w:val="000000"/>
        <w:sz w:val="20"/>
        <w:szCs w:val="20"/>
      </w:rPr>
      <w:t xml:space="preserve"> </w:t>
    </w:r>
    <w:r w:rsidRPr="003919C7">
      <w:rPr>
        <w:color w:val="000000"/>
        <w:sz w:val="20"/>
        <w:szCs w:val="20"/>
      </w:rPr>
      <w:t>„</w:t>
    </w:r>
    <w:r>
      <w:rPr>
        <w:sz w:val="20"/>
        <w:szCs w:val="20"/>
      </w:rPr>
      <w:t xml:space="preserve">Par </w:t>
    </w:r>
    <w:proofErr w:type="spellStart"/>
    <w:r>
      <w:rPr>
        <w:sz w:val="20"/>
        <w:szCs w:val="20"/>
      </w:rPr>
      <w:t>iemaksu</w:t>
    </w:r>
    <w:proofErr w:type="spellEnd"/>
    <w:r>
      <w:rPr>
        <w:sz w:val="20"/>
        <w:szCs w:val="20"/>
      </w:rPr>
      <w:t xml:space="preserve"> </w:t>
    </w:r>
    <w:proofErr w:type="spellStart"/>
    <w:r>
      <w:rPr>
        <w:sz w:val="20"/>
        <w:szCs w:val="20"/>
      </w:rPr>
      <w:t>veikšanu</w:t>
    </w:r>
    <w:proofErr w:type="spellEnd"/>
    <w:r>
      <w:rPr>
        <w:sz w:val="20"/>
        <w:szCs w:val="20"/>
      </w:rPr>
      <w:t xml:space="preserve"> </w:t>
    </w:r>
    <w:proofErr w:type="spellStart"/>
    <w:r w:rsidR="004F27E8">
      <w:rPr>
        <w:sz w:val="20"/>
        <w:szCs w:val="20"/>
      </w:rPr>
      <w:t>Starptautiskajā</w:t>
    </w:r>
    <w:proofErr w:type="spellEnd"/>
    <w:r w:rsidR="004F27E8">
      <w:rPr>
        <w:sz w:val="20"/>
        <w:szCs w:val="20"/>
      </w:rPr>
      <w:t xml:space="preserve"> </w:t>
    </w:r>
    <w:proofErr w:type="spellStart"/>
    <w:r w:rsidR="004F27E8">
      <w:rPr>
        <w:sz w:val="20"/>
        <w:szCs w:val="20"/>
      </w:rPr>
      <w:t>civilajā</w:t>
    </w:r>
    <w:proofErr w:type="spellEnd"/>
    <w:r w:rsidR="004F27E8">
      <w:rPr>
        <w:sz w:val="20"/>
        <w:szCs w:val="20"/>
      </w:rPr>
      <w:t xml:space="preserve"> </w:t>
    </w:r>
    <w:proofErr w:type="spellStart"/>
    <w:r w:rsidR="004F27E8">
      <w:rPr>
        <w:sz w:val="20"/>
        <w:szCs w:val="20"/>
      </w:rPr>
      <w:t>birojā</w:t>
    </w:r>
    <w:proofErr w:type="spellEnd"/>
    <w:r w:rsidRPr="003919C7">
      <w:rPr>
        <w:sz w:val="20"/>
        <w:szCs w:val="20"/>
      </w:rPr>
      <w:t xml:space="preserve">” </w:t>
    </w:r>
    <w:proofErr w:type="spellStart"/>
    <w:r w:rsidRPr="003919C7">
      <w:rPr>
        <w:bCs/>
        <w:sz w:val="20"/>
        <w:szCs w:val="20"/>
      </w:rPr>
      <w:t>anotācija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EE" w:rsidRDefault="00A648EE" w:rsidP="000B0C40">
      <w:r>
        <w:separator/>
      </w:r>
    </w:p>
  </w:footnote>
  <w:footnote w:type="continuationSeparator" w:id="0">
    <w:p w:rsidR="00A648EE" w:rsidRDefault="00A648EE" w:rsidP="000B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40"/>
    <w:rsid w:val="000433E3"/>
    <w:rsid w:val="00061B57"/>
    <w:rsid w:val="00087078"/>
    <w:rsid w:val="000B0C40"/>
    <w:rsid w:val="000D13DE"/>
    <w:rsid w:val="00115C2A"/>
    <w:rsid w:val="00141D3D"/>
    <w:rsid w:val="00145761"/>
    <w:rsid w:val="001C7487"/>
    <w:rsid w:val="001E488B"/>
    <w:rsid w:val="002549A0"/>
    <w:rsid w:val="00257780"/>
    <w:rsid w:val="002633D4"/>
    <w:rsid w:val="0026410E"/>
    <w:rsid w:val="002858F3"/>
    <w:rsid w:val="00336919"/>
    <w:rsid w:val="00337E0B"/>
    <w:rsid w:val="00385715"/>
    <w:rsid w:val="00387424"/>
    <w:rsid w:val="0039562F"/>
    <w:rsid w:val="003C59ED"/>
    <w:rsid w:val="003D36A5"/>
    <w:rsid w:val="004264A3"/>
    <w:rsid w:val="004629D9"/>
    <w:rsid w:val="00477F68"/>
    <w:rsid w:val="00480E40"/>
    <w:rsid w:val="004A3DC4"/>
    <w:rsid w:val="004C47B7"/>
    <w:rsid w:val="004F27E8"/>
    <w:rsid w:val="00506AEE"/>
    <w:rsid w:val="00511F43"/>
    <w:rsid w:val="00581A99"/>
    <w:rsid w:val="005E774B"/>
    <w:rsid w:val="00606BD5"/>
    <w:rsid w:val="00621D37"/>
    <w:rsid w:val="00671897"/>
    <w:rsid w:val="006C07BE"/>
    <w:rsid w:val="006E5E50"/>
    <w:rsid w:val="007078DA"/>
    <w:rsid w:val="00775062"/>
    <w:rsid w:val="007B302C"/>
    <w:rsid w:val="007C1EAB"/>
    <w:rsid w:val="007C1FB6"/>
    <w:rsid w:val="007E3140"/>
    <w:rsid w:val="008051F3"/>
    <w:rsid w:val="00811232"/>
    <w:rsid w:val="008165A4"/>
    <w:rsid w:val="008169CB"/>
    <w:rsid w:val="0081751B"/>
    <w:rsid w:val="00825E7A"/>
    <w:rsid w:val="008472AB"/>
    <w:rsid w:val="008620EA"/>
    <w:rsid w:val="00891F85"/>
    <w:rsid w:val="008A12ED"/>
    <w:rsid w:val="008A1BB4"/>
    <w:rsid w:val="008A7476"/>
    <w:rsid w:val="008B6D72"/>
    <w:rsid w:val="008E24A9"/>
    <w:rsid w:val="008E2E46"/>
    <w:rsid w:val="008E7347"/>
    <w:rsid w:val="008F5D6D"/>
    <w:rsid w:val="008F7CDC"/>
    <w:rsid w:val="00912F90"/>
    <w:rsid w:val="00917C42"/>
    <w:rsid w:val="0093368C"/>
    <w:rsid w:val="009425DC"/>
    <w:rsid w:val="009444F5"/>
    <w:rsid w:val="009921BF"/>
    <w:rsid w:val="009C2497"/>
    <w:rsid w:val="009E3495"/>
    <w:rsid w:val="00A1544F"/>
    <w:rsid w:val="00A42E75"/>
    <w:rsid w:val="00A54CF2"/>
    <w:rsid w:val="00A648EE"/>
    <w:rsid w:val="00A71B55"/>
    <w:rsid w:val="00B45FBF"/>
    <w:rsid w:val="00B47FA5"/>
    <w:rsid w:val="00C076CA"/>
    <w:rsid w:val="00C10DCB"/>
    <w:rsid w:val="00C33BF5"/>
    <w:rsid w:val="00C340B0"/>
    <w:rsid w:val="00C42A7E"/>
    <w:rsid w:val="00C70F26"/>
    <w:rsid w:val="00C730DB"/>
    <w:rsid w:val="00C8045C"/>
    <w:rsid w:val="00C81614"/>
    <w:rsid w:val="00CA59D5"/>
    <w:rsid w:val="00CB53B5"/>
    <w:rsid w:val="00CF57E0"/>
    <w:rsid w:val="00CF6954"/>
    <w:rsid w:val="00D02457"/>
    <w:rsid w:val="00D0776C"/>
    <w:rsid w:val="00D4693E"/>
    <w:rsid w:val="00D61192"/>
    <w:rsid w:val="00D76475"/>
    <w:rsid w:val="00D77BC3"/>
    <w:rsid w:val="00DC3584"/>
    <w:rsid w:val="00DE6EBC"/>
    <w:rsid w:val="00DF49EC"/>
    <w:rsid w:val="00E031B9"/>
    <w:rsid w:val="00E110A5"/>
    <w:rsid w:val="00E256C1"/>
    <w:rsid w:val="00E25FA8"/>
    <w:rsid w:val="00E407BB"/>
    <w:rsid w:val="00E70D44"/>
    <w:rsid w:val="00EC1517"/>
    <w:rsid w:val="00ED0995"/>
    <w:rsid w:val="00EE39E4"/>
    <w:rsid w:val="00EF6EB7"/>
    <w:rsid w:val="00F07B79"/>
    <w:rsid w:val="00F11802"/>
    <w:rsid w:val="00F12451"/>
    <w:rsid w:val="00F32831"/>
    <w:rsid w:val="00FA5511"/>
    <w:rsid w:val="00FC11D8"/>
    <w:rsid w:val="00FD3EE4"/>
    <w:rsid w:val="00FF7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40"/>
    <w:pPr>
      <w:spacing w:after="0" w:line="240" w:lineRule="auto"/>
    </w:pPr>
    <w:rPr>
      <w:rFonts w:ascii="Times New Roman" w:eastAsia="Times New Roman" w:hAnsi="Times New Roman" w:cs="Times New Roman"/>
      <w:sz w:val="24"/>
      <w:szCs w:val="24"/>
      <w:lang w:val="en-GB" w:eastAsia="lv-LV"/>
    </w:rPr>
  </w:style>
  <w:style w:type="paragraph" w:styleId="Heading3">
    <w:name w:val="heading 3"/>
    <w:basedOn w:val="Normal"/>
    <w:link w:val="Heading3Char"/>
    <w:qFormat/>
    <w:rsid w:val="000B0C40"/>
    <w:pPr>
      <w:keepNext/>
      <w:spacing w:after="120"/>
      <w:jc w:val="both"/>
      <w:outlineLvl w:val="2"/>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0C40"/>
    <w:rPr>
      <w:rFonts w:ascii="Times New Roman" w:eastAsia="Times New Roman" w:hAnsi="Times New Roman" w:cs="Times New Roman"/>
      <w:sz w:val="28"/>
      <w:szCs w:val="28"/>
      <w:lang w:eastAsia="lv-LV"/>
    </w:rPr>
  </w:style>
  <w:style w:type="character" w:styleId="Hyperlink">
    <w:name w:val="Hyperlink"/>
    <w:rsid w:val="000B0C40"/>
    <w:rPr>
      <w:color w:val="0000FF"/>
      <w:u w:val="single"/>
    </w:rPr>
  </w:style>
  <w:style w:type="paragraph" w:styleId="NormalWeb">
    <w:name w:val="Normal (Web)"/>
    <w:basedOn w:val="Normal"/>
    <w:uiPriority w:val="99"/>
    <w:rsid w:val="000B0C40"/>
    <w:pPr>
      <w:spacing w:before="100" w:beforeAutospacing="1" w:after="100" w:afterAutospacing="1"/>
    </w:pPr>
    <w:rPr>
      <w:lang w:val="lv-LV"/>
    </w:rPr>
  </w:style>
  <w:style w:type="paragraph" w:styleId="BodyText">
    <w:name w:val="Body Text"/>
    <w:basedOn w:val="Normal"/>
    <w:link w:val="BodyTextChar"/>
    <w:rsid w:val="000B0C40"/>
    <w:pPr>
      <w:spacing w:after="120"/>
    </w:pPr>
    <w:rPr>
      <w:lang w:val="lv-LV"/>
    </w:rPr>
  </w:style>
  <w:style w:type="character" w:customStyle="1" w:styleId="BodyTextChar">
    <w:name w:val="Body Text Char"/>
    <w:basedOn w:val="DefaultParagraphFont"/>
    <w:link w:val="BodyText"/>
    <w:rsid w:val="000B0C40"/>
    <w:rPr>
      <w:rFonts w:ascii="Times New Roman" w:eastAsia="Times New Roman" w:hAnsi="Times New Roman" w:cs="Times New Roman"/>
      <w:sz w:val="24"/>
      <w:szCs w:val="24"/>
      <w:lang w:eastAsia="lv-LV"/>
    </w:rPr>
  </w:style>
  <w:style w:type="paragraph" w:customStyle="1" w:styleId="naisf">
    <w:name w:val="naisf"/>
    <w:basedOn w:val="Normal"/>
    <w:rsid w:val="000B0C40"/>
    <w:pPr>
      <w:spacing w:before="75" w:after="75"/>
      <w:ind w:firstLine="375"/>
      <w:jc w:val="both"/>
    </w:pPr>
    <w:rPr>
      <w:lang w:val="lv-LV"/>
    </w:rPr>
  </w:style>
  <w:style w:type="paragraph" w:customStyle="1" w:styleId="naisc">
    <w:name w:val="naisc"/>
    <w:basedOn w:val="Normal"/>
    <w:rsid w:val="000B0C40"/>
    <w:pPr>
      <w:spacing w:before="450" w:after="300"/>
      <w:jc w:val="center"/>
    </w:pPr>
    <w:rPr>
      <w:sz w:val="26"/>
      <w:szCs w:val="26"/>
      <w:lang w:val="lv-LV"/>
    </w:rPr>
  </w:style>
  <w:style w:type="paragraph" w:styleId="BodyTextIndent">
    <w:name w:val="Body Text Indent"/>
    <w:basedOn w:val="Normal"/>
    <w:link w:val="BodyTextIndentChar"/>
    <w:rsid w:val="000B0C40"/>
    <w:pPr>
      <w:spacing w:after="120"/>
      <w:ind w:left="283"/>
    </w:pPr>
  </w:style>
  <w:style w:type="character" w:customStyle="1" w:styleId="BodyTextIndentChar">
    <w:name w:val="Body Text Indent Char"/>
    <w:basedOn w:val="DefaultParagraphFont"/>
    <w:link w:val="BodyTextIndent"/>
    <w:rsid w:val="000B0C40"/>
    <w:rPr>
      <w:rFonts w:ascii="Times New Roman" w:eastAsia="Times New Roman" w:hAnsi="Times New Roman" w:cs="Times New Roman"/>
      <w:sz w:val="24"/>
      <w:szCs w:val="24"/>
      <w:lang w:val="en-GB" w:eastAsia="lv-LV"/>
    </w:rPr>
  </w:style>
  <w:style w:type="character" w:styleId="PageNumber">
    <w:name w:val="page number"/>
    <w:basedOn w:val="DefaultParagraphFont"/>
    <w:rsid w:val="000B0C40"/>
  </w:style>
  <w:style w:type="paragraph" w:styleId="Footer">
    <w:name w:val="footer"/>
    <w:basedOn w:val="Normal"/>
    <w:link w:val="FooterChar"/>
    <w:rsid w:val="000B0C40"/>
    <w:pPr>
      <w:tabs>
        <w:tab w:val="center" w:pos="4153"/>
        <w:tab w:val="right" w:pos="8306"/>
      </w:tabs>
    </w:pPr>
  </w:style>
  <w:style w:type="character" w:customStyle="1" w:styleId="FooterChar">
    <w:name w:val="Footer Char"/>
    <w:basedOn w:val="DefaultParagraphFont"/>
    <w:link w:val="Footer"/>
    <w:rsid w:val="000B0C40"/>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unhideWhenUsed/>
    <w:rsid w:val="000B0C40"/>
    <w:pPr>
      <w:tabs>
        <w:tab w:val="center" w:pos="4153"/>
        <w:tab w:val="right" w:pos="8306"/>
      </w:tabs>
    </w:pPr>
  </w:style>
  <w:style w:type="character" w:customStyle="1" w:styleId="HeaderChar">
    <w:name w:val="Header Char"/>
    <w:basedOn w:val="DefaultParagraphFont"/>
    <w:link w:val="Header"/>
    <w:uiPriority w:val="99"/>
    <w:rsid w:val="000B0C40"/>
    <w:rPr>
      <w:rFonts w:ascii="Times New Roman" w:eastAsia="Times New Roman" w:hAnsi="Times New Roman" w:cs="Times New Roman"/>
      <w:sz w:val="24"/>
      <w:szCs w:val="24"/>
      <w:lang w:val="en-GB" w:eastAsia="lv-LV"/>
    </w:rPr>
  </w:style>
  <w:style w:type="paragraph" w:styleId="BalloonText">
    <w:name w:val="Balloon Text"/>
    <w:basedOn w:val="Normal"/>
    <w:link w:val="BalloonTextChar"/>
    <w:uiPriority w:val="99"/>
    <w:semiHidden/>
    <w:unhideWhenUsed/>
    <w:rsid w:val="00E031B9"/>
    <w:rPr>
      <w:rFonts w:ascii="Tahoma" w:hAnsi="Tahoma" w:cs="Tahoma"/>
      <w:sz w:val="16"/>
      <w:szCs w:val="16"/>
    </w:rPr>
  </w:style>
  <w:style w:type="character" w:customStyle="1" w:styleId="BalloonTextChar">
    <w:name w:val="Balloon Text Char"/>
    <w:basedOn w:val="DefaultParagraphFont"/>
    <w:link w:val="BalloonText"/>
    <w:uiPriority w:val="99"/>
    <w:semiHidden/>
    <w:rsid w:val="00E031B9"/>
    <w:rPr>
      <w:rFonts w:ascii="Tahoma" w:eastAsia="Times New Roman" w:hAnsi="Tahoma" w:cs="Tahoma"/>
      <w:sz w:val="16"/>
      <w:szCs w:val="16"/>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40"/>
    <w:pPr>
      <w:spacing w:after="0" w:line="240" w:lineRule="auto"/>
    </w:pPr>
    <w:rPr>
      <w:rFonts w:ascii="Times New Roman" w:eastAsia="Times New Roman" w:hAnsi="Times New Roman" w:cs="Times New Roman"/>
      <w:sz w:val="24"/>
      <w:szCs w:val="24"/>
      <w:lang w:val="en-GB" w:eastAsia="lv-LV"/>
    </w:rPr>
  </w:style>
  <w:style w:type="paragraph" w:styleId="Heading3">
    <w:name w:val="heading 3"/>
    <w:basedOn w:val="Normal"/>
    <w:link w:val="Heading3Char"/>
    <w:qFormat/>
    <w:rsid w:val="000B0C40"/>
    <w:pPr>
      <w:keepNext/>
      <w:spacing w:after="120"/>
      <w:jc w:val="both"/>
      <w:outlineLvl w:val="2"/>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0C40"/>
    <w:rPr>
      <w:rFonts w:ascii="Times New Roman" w:eastAsia="Times New Roman" w:hAnsi="Times New Roman" w:cs="Times New Roman"/>
      <w:sz w:val="28"/>
      <w:szCs w:val="28"/>
      <w:lang w:eastAsia="lv-LV"/>
    </w:rPr>
  </w:style>
  <w:style w:type="character" w:styleId="Hyperlink">
    <w:name w:val="Hyperlink"/>
    <w:rsid w:val="000B0C40"/>
    <w:rPr>
      <w:color w:val="0000FF"/>
      <w:u w:val="single"/>
    </w:rPr>
  </w:style>
  <w:style w:type="paragraph" w:styleId="NormalWeb">
    <w:name w:val="Normal (Web)"/>
    <w:basedOn w:val="Normal"/>
    <w:uiPriority w:val="99"/>
    <w:rsid w:val="000B0C40"/>
    <w:pPr>
      <w:spacing w:before="100" w:beforeAutospacing="1" w:after="100" w:afterAutospacing="1"/>
    </w:pPr>
    <w:rPr>
      <w:lang w:val="lv-LV"/>
    </w:rPr>
  </w:style>
  <w:style w:type="paragraph" w:styleId="BodyText">
    <w:name w:val="Body Text"/>
    <w:basedOn w:val="Normal"/>
    <w:link w:val="BodyTextChar"/>
    <w:rsid w:val="000B0C40"/>
    <w:pPr>
      <w:spacing w:after="120"/>
    </w:pPr>
    <w:rPr>
      <w:lang w:val="lv-LV"/>
    </w:rPr>
  </w:style>
  <w:style w:type="character" w:customStyle="1" w:styleId="BodyTextChar">
    <w:name w:val="Body Text Char"/>
    <w:basedOn w:val="DefaultParagraphFont"/>
    <w:link w:val="BodyText"/>
    <w:rsid w:val="000B0C40"/>
    <w:rPr>
      <w:rFonts w:ascii="Times New Roman" w:eastAsia="Times New Roman" w:hAnsi="Times New Roman" w:cs="Times New Roman"/>
      <w:sz w:val="24"/>
      <w:szCs w:val="24"/>
      <w:lang w:eastAsia="lv-LV"/>
    </w:rPr>
  </w:style>
  <w:style w:type="paragraph" w:customStyle="1" w:styleId="naisf">
    <w:name w:val="naisf"/>
    <w:basedOn w:val="Normal"/>
    <w:rsid w:val="000B0C40"/>
    <w:pPr>
      <w:spacing w:before="75" w:after="75"/>
      <w:ind w:firstLine="375"/>
      <w:jc w:val="both"/>
    </w:pPr>
    <w:rPr>
      <w:lang w:val="lv-LV"/>
    </w:rPr>
  </w:style>
  <w:style w:type="paragraph" w:customStyle="1" w:styleId="naisc">
    <w:name w:val="naisc"/>
    <w:basedOn w:val="Normal"/>
    <w:rsid w:val="000B0C40"/>
    <w:pPr>
      <w:spacing w:before="450" w:after="300"/>
      <w:jc w:val="center"/>
    </w:pPr>
    <w:rPr>
      <w:sz w:val="26"/>
      <w:szCs w:val="26"/>
      <w:lang w:val="lv-LV"/>
    </w:rPr>
  </w:style>
  <w:style w:type="paragraph" w:styleId="BodyTextIndent">
    <w:name w:val="Body Text Indent"/>
    <w:basedOn w:val="Normal"/>
    <w:link w:val="BodyTextIndentChar"/>
    <w:rsid w:val="000B0C40"/>
    <w:pPr>
      <w:spacing w:after="120"/>
      <w:ind w:left="283"/>
    </w:pPr>
  </w:style>
  <w:style w:type="character" w:customStyle="1" w:styleId="BodyTextIndentChar">
    <w:name w:val="Body Text Indent Char"/>
    <w:basedOn w:val="DefaultParagraphFont"/>
    <w:link w:val="BodyTextIndent"/>
    <w:rsid w:val="000B0C40"/>
    <w:rPr>
      <w:rFonts w:ascii="Times New Roman" w:eastAsia="Times New Roman" w:hAnsi="Times New Roman" w:cs="Times New Roman"/>
      <w:sz w:val="24"/>
      <w:szCs w:val="24"/>
      <w:lang w:val="en-GB" w:eastAsia="lv-LV"/>
    </w:rPr>
  </w:style>
  <w:style w:type="character" w:styleId="PageNumber">
    <w:name w:val="page number"/>
    <w:basedOn w:val="DefaultParagraphFont"/>
    <w:rsid w:val="000B0C40"/>
  </w:style>
  <w:style w:type="paragraph" w:styleId="Footer">
    <w:name w:val="footer"/>
    <w:basedOn w:val="Normal"/>
    <w:link w:val="FooterChar"/>
    <w:rsid w:val="000B0C40"/>
    <w:pPr>
      <w:tabs>
        <w:tab w:val="center" w:pos="4153"/>
        <w:tab w:val="right" w:pos="8306"/>
      </w:tabs>
    </w:pPr>
  </w:style>
  <w:style w:type="character" w:customStyle="1" w:styleId="FooterChar">
    <w:name w:val="Footer Char"/>
    <w:basedOn w:val="DefaultParagraphFont"/>
    <w:link w:val="Footer"/>
    <w:rsid w:val="000B0C40"/>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unhideWhenUsed/>
    <w:rsid w:val="000B0C40"/>
    <w:pPr>
      <w:tabs>
        <w:tab w:val="center" w:pos="4153"/>
        <w:tab w:val="right" w:pos="8306"/>
      </w:tabs>
    </w:pPr>
  </w:style>
  <w:style w:type="character" w:customStyle="1" w:styleId="HeaderChar">
    <w:name w:val="Header Char"/>
    <w:basedOn w:val="DefaultParagraphFont"/>
    <w:link w:val="Header"/>
    <w:uiPriority w:val="99"/>
    <w:rsid w:val="000B0C40"/>
    <w:rPr>
      <w:rFonts w:ascii="Times New Roman" w:eastAsia="Times New Roman" w:hAnsi="Times New Roman" w:cs="Times New Roman"/>
      <w:sz w:val="24"/>
      <w:szCs w:val="24"/>
      <w:lang w:val="en-GB" w:eastAsia="lv-LV"/>
    </w:rPr>
  </w:style>
  <w:style w:type="paragraph" w:styleId="BalloonText">
    <w:name w:val="Balloon Text"/>
    <w:basedOn w:val="Normal"/>
    <w:link w:val="BalloonTextChar"/>
    <w:uiPriority w:val="99"/>
    <w:semiHidden/>
    <w:unhideWhenUsed/>
    <w:rsid w:val="00E031B9"/>
    <w:rPr>
      <w:rFonts w:ascii="Tahoma" w:hAnsi="Tahoma" w:cs="Tahoma"/>
      <w:sz w:val="16"/>
      <w:szCs w:val="16"/>
    </w:rPr>
  </w:style>
  <w:style w:type="character" w:customStyle="1" w:styleId="BalloonTextChar">
    <w:name w:val="Balloon Text Char"/>
    <w:basedOn w:val="DefaultParagraphFont"/>
    <w:link w:val="BalloonText"/>
    <w:uiPriority w:val="99"/>
    <w:semiHidden/>
    <w:rsid w:val="00E031B9"/>
    <w:rPr>
      <w:rFonts w:ascii="Tahoma" w:eastAsia="Times New Roman" w:hAnsi="Tahoma" w:cs="Tahoma"/>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1735">
      <w:bodyDiv w:val="1"/>
      <w:marLeft w:val="0"/>
      <w:marRight w:val="0"/>
      <w:marTop w:val="0"/>
      <w:marBottom w:val="0"/>
      <w:divBdr>
        <w:top w:val="none" w:sz="0" w:space="0" w:color="auto"/>
        <w:left w:val="none" w:sz="0" w:space="0" w:color="auto"/>
        <w:bottom w:val="none" w:sz="0" w:space="0" w:color="auto"/>
        <w:right w:val="none" w:sz="0" w:space="0" w:color="auto"/>
      </w:divBdr>
      <w:divsChild>
        <w:div w:id="2101483659">
          <w:marLeft w:val="0"/>
          <w:marRight w:val="0"/>
          <w:marTop w:val="0"/>
          <w:marBottom w:val="0"/>
          <w:divBdr>
            <w:top w:val="none" w:sz="0" w:space="0" w:color="auto"/>
            <w:left w:val="none" w:sz="0" w:space="0" w:color="auto"/>
            <w:bottom w:val="none" w:sz="0" w:space="0" w:color="auto"/>
            <w:right w:val="none" w:sz="0" w:space="0" w:color="auto"/>
          </w:divBdr>
          <w:divsChild>
            <w:div w:id="647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vards.rubins@mfa.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3947</Words>
  <Characters>2250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Edvards Rubins</dc:creator>
  <cp:lastModifiedBy>Edvards Rubins</cp:lastModifiedBy>
  <cp:revision>12</cp:revision>
  <cp:lastPrinted>2011-12-07T14:07:00Z</cp:lastPrinted>
  <dcterms:created xsi:type="dcterms:W3CDTF">2011-12-06T11:21:00Z</dcterms:created>
  <dcterms:modified xsi:type="dcterms:W3CDTF">2011-12-16T13:42:00Z</dcterms:modified>
</cp:coreProperties>
</file>