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33" w:rsidRPr="00FD3819" w:rsidRDefault="00C33033" w:rsidP="000F2535">
      <w:pPr>
        <w:spacing w:before="100" w:beforeAutospacing="1" w:after="100" w:afterAutospacing="1"/>
        <w:jc w:val="center"/>
        <w:outlineLvl w:val="3"/>
        <w:rPr>
          <w:rFonts w:eastAsia="Times New Roman"/>
          <w:b/>
          <w:bCs/>
          <w:sz w:val="24"/>
          <w:szCs w:val="24"/>
          <w:lang w:eastAsia="lv-LV"/>
        </w:rPr>
      </w:pPr>
      <w:r w:rsidRPr="00FD3819">
        <w:rPr>
          <w:rFonts w:eastAsia="Times New Roman"/>
          <w:b/>
          <w:bCs/>
          <w:sz w:val="24"/>
          <w:szCs w:val="24"/>
          <w:lang w:eastAsia="lv-LV"/>
        </w:rPr>
        <w:t>Likumprojekta „Grozījum</w:t>
      </w:r>
      <w:r w:rsidR="004E1997" w:rsidRPr="00FD3819">
        <w:rPr>
          <w:rFonts w:eastAsia="Times New Roman"/>
          <w:b/>
          <w:bCs/>
          <w:sz w:val="24"/>
          <w:szCs w:val="24"/>
          <w:lang w:eastAsia="lv-LV"/>
        </w:rPr>
        <w:t>i</w:t>
      </w:r>
      <w:r w:rsidRPr="00FD3819">
        <w:rPr>
          <w:rFonts w:eastAsia="Times New Roman"/>
          <w:b/>
          <w:bCs/>
          <w:sz w:val="24"/>
          <w:szCs w:val="24"/>
          <w:lang w:eastAsia="lv-LV"/>
        </w:rPr>
        <w:t xml:space="preserve"> likumā „Par piesārņojumu”” sākotnējās ietekmes novērtējuma ziņojums (anotācija)</w:t>
      </w:r>
    </w:p>
    <w:tbl>
      <w:tblPr>
        <w:tblW w:w="535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0"/>
        <w:gridCol w:w="2880"/>
        <w:gridCol w:w="5815"/>
      </w:tblGrid>
      <w:tr w:rsidR="00C33033" w:rsidRPr="00FD3819" w:rsidTr="0062235E">
        <w:tc>
          <w:tcPr>
            <w:tcW w:w="5000" w:type="pct"/>
            <w:gridSpan w:val="3"/>
            <w:tcBorders>
              <w:top w:val="single" w:sz="6" w:space="0" w:color="auto"/>
              <w:left w:val="single" w:sz="6" w:space="0" w:color="auto"/>
              <w:bottom w:val="outset" w:sz="6" w:space="0" w:color="000000"/>
              <w:right w:val="single" w:sz="6" w:space="0" w:color="auto"/>
            </w:tcBorders>
            <w:vAlign w:val="center"/>
          </w:tcPr>
          <w:p w:rsidR="00C33033" w:rsidRPr="00FD3819" w:rsidRDefault="00C33033" w:rsidP="0062235E">
            <w:pPr>
              <w:spacing w:before="100" w:beforeAutospacing="1" w:after="100" w:afterAutospacing="1"/>
              <w:jc w:val="center"/>
              <w:rPr>
                <w:rFonts w:eastAsia="Times New Roman"/>
                <w:b/>
                <w:bCs/>
                <w:sz w:val="24"/>
                <w:szCs w:val="24"/>
                <w:lang w:eastAsia="lv-LV"/>
              </w:rPr>
            </w:pPr>
            <w:r w:rsidRPr="00FD3819">
              <w:rPr>
                <w:rFonts w:eastAsia="Times New Roman"/>
                <w:b/>
                <w:bCs/>
                <w:sz w:val="24"/>
                <w:szCs w:val="24"/>
                <w:lang w:eastAsia="lv-LV"/>
              </w:rPr>
              <w:t>I. Tiesību akta projekta izstrādes nepieciešamība</w:t>
            </w:r>
          </w:p>
        </w:tc>
      </w:tr>
      <w:tr w:rsidR="00C33033" w:rsidRPr="00FD3819" w:rsidTr="0062235E">
        <w:tc>
          <w:tcPr>
            <w:tcW w:w="15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1.</w:t>
            </w:r>
          </w:p>
        </w:tc>
        <w:tc>
          <w:tcPr>
            <w:tcW w:w="160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Pamatojums</w:t>
            </w:r>
          </w:p>
        </w:tc>
        <w:tc>
          <w:tcPr>
            <w:tcW w:w="3244"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autoSpaceDE w:val="0"/>
              <w:autoSpaceDN w:val="0"/>
              <w:adjustRightInd w:val="0"/>
              <w:jc w:val="both"/>
              <w:rPr>
                <w:sz w:val="24"/>
                <w:szCs w:val="24"/>
              </w:rPr>
            </w:pPr>
            <w:r w:rsidRPr="00FD3819">
              <w:rPr>
                <w:sz w:val="24"/>
                <w:szCs w:val="24"/>
              </w:rPr>
              <w:t xml:space="preserve">Ministru kabineta 2011.gada 12.jūlija sēdes </w:t>
            </w:r>
            <w:proofErr w:type="spellStart"/>
            <w:r w:rsidRPr="00FD3819">
              <w:rPr>
                <w:sz w:val="24"/>
                <w:szCs w:val="24"/>
              </w:rPr>
              <w:t>protokollēmums</w:t>
            </w:r>
            <w:proofErr w:type="spellEnd"/>
            <w:r w:rsidRPr="00FD3819">
              <w:rPr>
                <w:sz w:val="24"/>
                <w:szCs w:val="24"/>
              </w:rPr>
              <w:t xml:space="preserve"> (prot. Nr.43 27.§ 2.punkts) un Ministru kabineta 2012.gada 31.jūlija sēdes </w:t>
            </w:r>
            <w:proofErr w:type="spellStart"/>
            <w:r w:rsidRPr="00FD3819">
              <w:rPr>
                <w:sz w:val="24"/>
                <w:szCs w:val="24"/>
              </w:rPr>
              <w:t>protokollēmums</w:t>
            </w:r>
            <w:proofErr w:type="spellEnd"/>
            <w:r w:rsidRPr="00FD3819">
              <w:rPr>
                <w:sz w:val="24"/>
                <w:szCs w:val="24"/>
              </w:rPr>
              <w:t xml:space="preserve"> (prot. Nr.42 4.§).</w:t>
            </w:r>
          </w:p>
        </w:tc>
      </w:tr>
      <w:tr w:rsidR="00C33033" w:rsidRPr="00FD3819" w:rsidTr="0062235E">
        <w:tc>
          <w:tcPr>
            <w:tcW w:w="15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2.</w:t>
            </w:r>
          </w:p>
        </w:tc>
        <w:tc>
          <w:tcPr>
            <w:tcW w:w="160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Pašreizējā situācija un problēmas</w:t>
            </w:r>
          </w:p>
          <w:p w:rsidR="00C33033" w:rsidRPr="00FD3819" w:rsidRDefault="00C33033" w:rsidP="0062235E">
            <w:pPr>
              <w:spacing w:before="100" w:beforeAutospacing="1" w:after="100" w:afterAutospacing="1"/>
              <w:rPr>
                <w:rFonts w:eastAsia="Times New Roman"/>
                <w:sz w:val="24"/>
                <w:szCs w:val="24"/>
                <w:lang w:eastAsia="lv-LV"/>
              </w:rPr>
            </w:pPr>
          </w:p>
          <w:p w:rsidR="00C33033" w:rsidRPr="00FD3819" w:rsidRDefault="00C33033" w:rsidP="0062235E">
            <w:pPr>
              <w:spacing w:before="100" w:beforeAutospacing="1" w:after="100" w:afterAutospacing="1"/>
              <w:rPr>
                <w:rFonts w:eastAsia="Times New Roman"/>
                <w:sz w:val="24"/>
                <w:szCs w:val="24"/>
                <w:lang w:eastAsia="lv-LV"/>
              </w:rPr>
            </w:pPr>
          </w:p>
          <w:p w:rsidR="00C33033" w:rsidRPr="00FD3819" w:rsidRDefault="00C33033" w:rsidP="0062235E">
            <w:pPr>
              <w:pStyle w:val="naisc"/>
              <w:snapToGrid w:val="0"/>
              <w:spacing w:before="0" w:after="0"/>
              <w:jc w:val="both"/>
              <w:rPr>
                <w:lang w:eastAsia="lv-LV"/>
              </w:rPr>
            </w:pPr>
          </w:p>
        </w:tc>
        <w:tc>
          <w:tcPr>
            <w:tcW w:w="3244"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after="120"/>
              <w:jc w:val="both"/>
              <w:rPr>
                <w:spacing w:val="-4"/>
                <w:sz w:val="24"/>
                <w:szCs w:val="24"/>
              </w:rPr>
            </w:pPr>
            <w:r w:rsidRPr="00FD3819">
              <w:rPr>
                <w:sz w:val="24"/>
                <w:szCs w:val="24"/>
              </w:rPr>
              <w:t xml:space="preserve">Saskaņā ar Ekonomikas ministrijas informatīvo ziņojumu „Par normatīvajiem aktiem, kas nosaka dažādu atļauju (licenču) izsniegšanu un tajos paredzēto anulēšanas kārtību par nopietniem saimnieciskās darbības pārkāpumiem” attiecībā uz normatīvajiem aktiem, kas nosaka dažādu atļauju (licenču) izsniegšanu, izvērtējot, vai tajos ir noteikts, ka minētās atļaujas (licences) tiek anulētas, ja personai tiek atklāti nopietni saimnieciskās darbības pārkāpumi, Aizsardzības ministrija izvērtēja normatīvos aktus un secināja, ka attiecībā uz speciālistu sertificēšanu darbam </w:t>
            </w:r>
            <w:r w:rsidRPr="00FD3819">
              <w:rPr>
                <w:spacing w:val="-4"/>
                <w:sz w:val="24"/>
                <w:szCs w:val="24"/>
              </w:rPr>
              <w:t>ar militāra rakstura sprādzienbīstamiem priekšmetiem un ar nesprāgušu munīciju piesārņotu un potenciāli piesārņotu teritoriju izpēti, nesprāgušas munīcijas meklēšanu, identificēšanu, izcelšanu, savākšanu un uzglabāšanu (turpmāk – sanācijas darbi) atbilstoši</w:t>
            </w:r>
            <w:r w:rsidRPr="00FD3819">
              <w:rPr>
                <w:sz w:val="24"/>
                <w:szCs w:val="24"/>
              </w:rPr>
              <w:t xml:space="preserve"> likumam „Par piesārņojumu” </w:t>
            </w:r>
            <w:r w:rsidRPr="00FD3819">
              <w:rPr>
                <w:spacing w:val="-4"/>
                <w:sz w:val="24"/>
                <w:szCs w:val="24"/>
              </w:rPr>
              <w:t>nav noteikta sertifikāta anulēšanas kārtība.</w:t>
            </w:r>
          </w:p>
          <w:p w:rsidR="00C33033" w:rsidRPr="00FD3819" w:rsidRDefault="00C33033" w:rsidP="0062235E">
            <w:pPr>
              <w:spacing w:after="120"/>
              <w:jc w:val="both"/>
              <w:rPr>
                <w:spacing w:val="-4"/>
                <w:sz w:val="24"/>
                <w:szCs w:val="24"/>
              </w:rPr>
            </w:pPr>
            <w:r w:rsidRPr="00FD3819">
              <w:rPr>
                <w:sz w:val="24"/>
                <w:szCs w:val="24"/>
              </w:rPr>
              <w:t>Šobrīd likums paredz, ka Ministru kabinets nosaka kārtību, kādā izsniedz licenci sanācijas darbu veikšanai,</w:t>
            </w:r>
            <w:r w:rsidRPr="00FD3819">
              <w:rPr>
                <w:spacing w:val="-4"/>
                <w:sz w:val="24"/>
                <w:szCs w:val="24"/>
              </w:rPr>
              <w:t xml:space="preserve"> kā arī aptur licences darbību vai anulē to,</w:t>
            </w:r>
            <w:r w:rsidRPr="00FD3819">
              <w:rPr>
                <w:sz w:val="24"/>
                <w:szCs w:val="24"/>
              </w:rPr>
              <w:t xml:space="preserve"> un kārtību, kādā sertificē speciālistus, kas veic sanācijas darbus, taču nenosaka kārtību, kādā </w:t>
            </w:r>
            <w:r w:rsidRPr="00FD3819">
              <w:rPr>
                <w:rFonts w:eastAsia="Times New Roman"/>
                <w:sz w:val="24"/>
                <w:szCs w:val="24"/>
                <w:lang w:eastAsia="lv-LV"/>
              </w:rPr>
              <w:t>anulējams sertifikāts un apturama tā darbība. Tāpat regulējums neparedz sertifikāta anulēšanu, ja konstatēti būtiski saimnieciskās darbības pārkāpumi.</w:t>
            </w:r>
          </w:p>
          <w:p w:rsidR="00C33033" w:rsidRPr="00FD3819" w:rsidRDefault="00C33033" w:rsidP="0062235E">
            <w:pPr>
              <w:spacing w:after="60"/>
              <w:ind w:right="45"/>
              <w:jc w:val="both"/>
              <w:rPr>
                <w:sz w:val="24"/>
                <w:szCs w:val="24"/>
              </w:rPr>
            </w:pPr>
            <w:r w:rsidRPr="00FD3819">
              <w:rPr>
                <w:sz w:val="24"/>
                <w:szCs w:val="24"/>
              </w:rPr>
              <w:t>Ņemot vērā Ministru kabineta 2011.gada 12.jūlija sēdes protokola Nr.43 27.§ 2.punktu, lai apkarotu ēnu ekonomiku un veicinātu personu lojalitāti attiecībā uz saistību izpildi pret valsti, ir jāparedz regulējums attiecībā uz speciālo atļauju (licenču) anulēšanu, ja šādas saistības netiek pildītas vai konstatēti būtiski saimnieciskās darbības pārkāpumi.</w:t>
            </w:r>
          </w:p>
          <w:p w:rsidR="00C33033" w:rsidRPr="00FD3819" w:rsidRDefault="00C33033" w:rsidP="00CE3998">
            <w:pPr>
              <w:spacing w:after="60"/>
              <w:ind w:right="45"/>
              <w:jc w:val="both"/>
              <w:rPr>
                <w:sz w:val="24"/>
                <w:szCs w:val="24"/>
              </w:rPr>
            </w:pPr>
            <w:r w:rsidRPr="00FD3819">
              <w:rPr>
                <w:bCs/>
                <w:sz w:val="24"/>
                <w:szCs w:val="24"/>
              </w:rPr>
              <w:t>Saskaņā ar l</w:t>
            </w:r>
            <w:r w:rsidRPr="00FD3819">
              <w:rPr>
                <w:rFonts w:eastAsia="Times New Roman"/>
                <w:sz w:val="24"/>
                <w:szCs w:val="24"/>
                <w:lang w:eastAsia="lv-LV"/>
              </w:rPr>
              <w:t xml:space="preserve">ikuma </w:t>
            </w:r>
            <w:r w:rsidRPr="00FD3819">
              <w:rPr>
                <w:bCs/>
                <w:sz w:val="24"/>
                <w:szCs w:val="24"/>
              </w:rPr>
              <w:t xml:space="preserve">prasībām sertifikātu sanācijas darbu veikšanai ir tiesīgas saņemt personas, kas atbilst likumā „Par piesārņojumu” noteiktajām prasībām un </w:t>
            </w:r>
            <w:r w:rsidRPr="00FD3819">
              <w:rPr>
                <w:sz w:val="24"/>
                <w:szCs w:val="24"/>
              </w:rPr>
              <w:t xml:space="preserve">ir </w:t>
            </w:r>
            <w:r w:rsidRPr="00FD3819">
              <w:rPr>
                <w:bCs/>
                <w:sz w:val="24"/>
                <w:szCs w:val="24"/>
              </w:rPr>
              <w:t>nokārtojušas speciālista kvalifikācijas eksāmenu. Savukārt l</w:t>
            </w:r>
            <w:r w:rsidRPr="00FD3819">
              <w:rPr>
                <w:rFonts w:eastAsia="Times New Roman"/>
                <w:sz w:val="24"/>
                <w:szCs w:val="24"/>
                <w:lang w:eastAsia="lv-LV"/>
              </w:rPr>
              <w:t xml:space="preserve">icenci sanācijas darbu veikšanai ir tiesīgi saņemt individuālie komersanti vai komercsabiedrības, </w:t>
            </w:r>
            <w:r w:rsidRPr="00FD3819">
              <w:rPr>
                <w:sz w:val="24"/>
                <w:szCs w:val="24"/>
              </w:rPr>
              <w:t xml:space="preserve">ja valsts drošības iestāžu rīcībā nav ziņu par to, ka attiecīgā komersanta darbība ir vērsta pret Latvijas Republikas drošību vai šis komersants pārkāpj Latvijas Republikai saistošos starptautiskajos līgumos ietvertos vai starptautisko organizāciju noteiktos ierobežojumus, un ja </w:t>
            </w:r>
            <w:r w:rsidRPr="00FD3819">
              <w:rPr>
                <w:sz w:val="24"/>
                <w:szCs w:val="24"/>
              </w:rPr>
              <w:lastRenderedPageBreak/>
              <w:t xml:space="preserve">šā komersanta dalībnieki (fiziskās personas), izņemot akcionārus, kuru līdzdalība sabiedrības pamatkapitālā ir mazāka par 10 procentiem no sabiedrības pamatkapitāla, prokūristi, vadītāji, personas, kas ieņem amatus pārvaldes institūcijās, kā arī darbinieki (sertificētie speciālisti), kas tieši saistīti ar licencē minēto darbu veikšanu, atbilst </w:t>
            </w:r>
            <w:r w:rsidRPr="00FD3819">
              <w:rPr>
                <w:bCs/>
                <w:sz w:val="24"/>
                <w:szCs w:val="24"/>
              </w:rPr>
              <w:t>likumā „Par piesārņojumu” noteiktajām prasībām</w:t>
            </w:r>
            <w:r w:rsidRPr="00FD3819">
              <w:rPr>
                <w:sz w:val="24"/>
                <w:szCs w:val="24"/>
              </w:rPr>
              <w:t>.</w:t>
            </w:r>
            <w:r w:rsidRPr="00FD3819">
              <w:rPr>
                <w:rFonts w:eastAsia="Times New Roman"/>
                <w:sz w:val="24"/>
                <w:szCs w:val="24"/>
                <w:lang w:eastAsia="lv-LV"/>
              </w:rPr>
              <w:t xml:space="preserve"> </w:t>
            </w:r>
          </w:p>
        </w:tc>
      </w:tr>
      <w:tr w:rsidR="00C33033" w:rsidRPr="00FD3819" w:rsidTr="0062235E">
        <w:tc>
          <w:tcPr>
            <w:tcW w:w="15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lastRenderedPageBreak/>
              <w:t>3.</w:t>
            </w:r>
          </w:p>
        </w:tc>
        <w:tc>
          <w:tcPr>
            <w:tcW w:w="160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Saistītie politikas ietekmes novērtējumi un pētījumi</w:t>
            </w:r>
          </w:p>
        </w:tc>
        <w:tc>
          <w:tcPr>
            <w:tcW w:w="3244" w:type="pct"/>
            <w:tcBorders>
              <w:top w:val="outset" w:sz="6" w:space="0" w:color="000000"/>
              <w:left w:val="outset" w:sz="6" w:space="0" w:color="000000"/>
              <w:bottom w:val="outset" w:sz="6" w:space="0" w:color="000000"/>
              <w:right w:val="outset" w:sz="6" w:space="0" w:color="000000"/>
            </w:tcBorders>
          </w:tcPr>
          <w:p w:rsidR="00C33033" w:rsidRPr="00FD3819" w:rsidRDefault="0062235E"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Projekts šo jomu neskar.</w:t>
            </w:r>
          </w:p>
        </w:tc>
      </w:tr>
      <w:tr w:rsidR="00C33033" w:rsidRPr="00FD3819" w:rsidTr="0062235E">
        <w:tc>
          <w:tcPr>
            <w:tcW w:w="15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4.</w:t>
            </w:r>
          </w:p>
        </w:tc>
        <w:tc>
          <w:tcPr>
            <w:tcW w:w="160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Tiesiskā regulējuma mērķis un būtība</w:t>
            </w:r>
          </w:p>
          <w:p w:rsidR="00C33033" w:rsidRPr="00FD3819" w:rsidRDefault="00C33033" w:rsidP="0062235E">
            <w:pPr>
              <w:pStyle w:val="naisc"/>
              <w:snapToGrid w:val="0"/>
              <w:spacing w:before="0" w:after="0"/>
              <w:jc w:val="both"/>
              <w:rPr>
                <w:sz w:val="22"/>
                <w:szCs w:val="22"/>
              </w:rPr>
            </w:pPr>
          </w:p>
          <w:p w:rsidR="00C33033" w:rsidRPr="00FD3819" w:rsidRDefault="00C33033" w:rsidP="0062235E">
            <w:pPr>
              <w:pStyle w:val="naisc"/>
              <w:snapToGrid w:val="0"/>
              <w:spacing w:before="0" w:after="0"/>
              <w:jc w:val="both"/>
              <w:rPr>
                <w:sz w:val="22"/>
                <w:szCs w:val="22"/>
              </w:rPr>
            </w:pPr>
          </w:p>
          <w:p w:rsidR="00C33033" w:rsidRPr="00FD3819" w:rsidRDefault="00C33033" w:rsidP="0062235E">
            <w:pPr>
              <w:pStyle w:val="naisc"/>
              <w:snapToGrid w:val="0"/>
              <w:spacing w:before="0" w:after="0"/>
              <w:jc w:val="both"/>
              <w:rPr>
                <w:sz w:val="22"/>
                <w:szCs w:val="22"/>
              </w:rPr>
            </w:pPr>
          </w:p>
          <w:p w:rsidR="00C33033" w:rsidRPr="00FD3819" w:rsidRDefault="00C33033" w:rsidP="0062235E">
            <w:pPr>
              <w:pStyle w:val="naisc"/>
              <w:snapToGrid w:val="0"/>
              <w:spacing w:before="0" w:after="0"/>
              <w:jc w:val="both"/>
              <w:rPr>
                <w:sz w:val="22"/>
                <w:szCs w:val="22"/>
              </w:rPr>
            </w:pPr>
          </w:p>
          <w:p w:rsidR="00C33033" w:rsidRPr="00FD3819" w:rsidRDefault="00C33033" w:rsidP="0062235E">
            <w:pPr>
              <w:pStyle w:val="naisc"/>
              <w:snapToGrid w:val="0"/>
              <w:spacing w:before="0" w:after="0"/>
              <w:jc w:val="both"/>
              <w:rPr>
                <w:lang w:eastAsia="lv-LV"/>
              </w:rPr>
            </w:pPr>
          </w:p>
        </w:tc>
        <w:tc>
          <w:tcPr>
            <w:tcW w:w="3244" w:type="pct"/>
            <w:tcBorders>
              <w:top w:val="outset" w:sz="6" w:space="0" w:color="000000"/>
              <w:left w:val="outset" w:sz="6" w:space="0" w:color="000000"/>
              <w:bottom w:val="outset" w:sz="6" w:space="0" w:color="000000"/>
              <w:right w:val="outset" w:sz="6" w:space="0" w:color="000000"/>
            </w:tcBorders>
          </w:tcPr>
          <w:p w:rsidR="006A55D7" w:rsidRPr="00FD3819" w:rsidRDefault="006A55D7" w:rsidP="006A55D7">
            <w:pPr>
              <w:spacing w:after="60"/>
              <w:ind w:right="45"/>
              <w:jc w:val="both"/>
              <w:rPr>
                <w:sz w:val="24"/>
                <w:szCs w:val="24"/>
              </w:rPr>
            </w:pPr>
            <w:r w:rsidRPr="00FD3819">
              <w:rPr>
                <w:bCs/>
                <w:sz w:val="24"/>
                <w:szCs w:val="24"/>
              </w:rPr>
              <w:t xml:space="preserve">Izpildot </w:t>
            </w:r>
            <w:r w:rsidRPr="00FD3819">
              <w:rPr>
                <w:sz w:val="24"/>
                <w:szCs w:val="24"/>
              </w:rPr>
              <w:t xml:space="preserve">Ministru kabineta 2011.gada 12.jūlija sēdes </w:t>
            </w:r>
            <w:proofErr w:type="spellStart"/>
            <w:r w:rsidRPr="00FD3819">
              <w:rPr>
                <w:sz w:val="24"/>
                <w:szCs w:val="24"/>
              </w:rPr>
              <w:t>protokollēmumā</w:t>
            </w:r>
            <w:proofErr w:type="spellEnd"/>
            <w:r w:rsidRPr="00FD3819">
              <w:rPr>
                <w:sz w:val="24"/>
                <w:szCs w:val="24"/>
              </w:rPr>
              <w:t xml:space="preserve"> (prot. Nr.43 27.§ 2.punktā) doto uzdevumu, Aizsardzības ministrija ir izstrādājusi likumprojektu, paredzot </w:t>
            </w:r>
            <w:r w:rsidRPr="00FD3819">
              <w:rPr>
                <w:bCs/>
                <w:sz w:val="24"/>
                <w:szCs w:val="24"/>
              </w:rPr>
              <w:t xml:space="preserve">sertifikāta anulēšanas </w:t>
            </w:r>
            <w:r w:rsidRPr="00FD3819">
              <w:rPr>
                <w:sz w:val="24"/>
                <w:szCs w:val="24"/>
              </w:rPr>
              <w:t>un tā darbības apturēšanu</w:t>
            </w:r>
            <w:r w:rsidRPr="00FD3819">
              <w:rPr>
                <w:bCs/>
                <w:sz w:val="24"/>
                <w:szCs w:val="24"/>
              </w:rPr>
              <w:t xml:space="preserve"> kārtību</w:t>
            </w:r>
            <w:r w:rsidRPr="00FD3819">
              <w:rPr>
                <w:sz w:val="24"/>
                <w:szCs w:val="24"/>
              </w:rPr>
              <w:t xml:space="preserve">, </w:t>
            </w:r>
            <w:r w:rsidRPr="00FD3819">
              <w:rPr>
                <w:bCs/>
                <w:sz w:val="24"/>
                <w:szCs w:val="24"/>
              </w:rPr>
              <w:t>kā arī</w:t>
            </w:r>
            <w:r w:rsidRPr="00FD3819">
              <w:rPr>
                <w:sz w:val="24"/>
                <w:szCs w:val="24"/>
              </w:rPr>
              <w:t xml:space="preserve"> precizējot licences </w:t>
            </w:r>
            <w:r w:rsidRPr="00FD3819">
              <w:rPr>
                <w:bCs/>
                <w:sz w:val="24"/>
                <w:szCs w:val="24"/>
              </w:rPr>
              <w:t xml:space="preserve">anulēšanas </w:t>
            </w:r>
            <w:r w:rsidRPr="00FD3819">
              <w:rPr>
                <w:sz w:val="24"/>
                <w:szCs w:val="24"/>
              </w:rPr>
              <w:t>un darbības apturēšanas</w:t>
            </w:r>
            <w:r w:rsidRPr="00FD3819">
              <w:rPr>
                <w:bCs/>
                <w:sz w:val="24"/>
                <w:szCs w:val="24"/>
              </w:rPr>
              <w:t xml:space="preserve"> kārtību un</w:t>
            </w:r>
            <w:r w:rsidRPr="00FD3819">
              <w:rPr>
                <w:sz w:val="24"/>
                <w:szCs w:val="24"/>
              </w:rPr>
              <w:t xml:space="preserve"> paredzot </w:t>
            </w:r>
            <w:r w:rsidRPr="00FD3819">
              <w:rPr>
                <w:bCs/>
                <w:sz w:val="24"/>
                <w:szCs w:val="24"/>
              </w:rPr>
              <w:t>licences pārreģistrāciju.</w:t>
            </w:r>
          </w:p>
          <w:p w:rsidR="006A55D7" w:rsidRPr="00FD3819" w:rsidRDefault="006A55D7" w:rsidP="006A55D7">
            <w:pPr>
              <w:spacing w:after="60"/>
              <w:ind w:right="45"/>
              <w:jc w:val="both"/>
              <w:rPr>
                <w:sz w:val="24"/>
                <w:szCs w:val="24"/>
              </w:rPr>
            </w:pPr>
            <w:r w:rsidRPr="00FD3819">
              <w:rPr>
                <w:rFonts w:eastAsia="Times New Roman"/>
                <w:sz w:val="24"/>
                <w:szCs w:val="24"/>
                <w:lang w:eastAsia="lv-LV"/>
              </w:rPr>
              <w:t xml:space="preserve">Likumprojekts </w:t>
            </w:r>
            <w:r w:rsidRPr="00FD3819">
              <w:rPr>
                <w:sz w:val="24"/>
                <w:szCs w:val="24"/>
              </w:rPr>
              <w:t>izstrādāts, lai noteiktu sertifikāta un licences darbības apturēšanas un anulēšanas gadījumus, ja tiek konstatēti būtiski saimnieciskās darbības pārkāpumi</w:t>
            </w:r>
            <w:r w:rsidR="002F31BB" w:rsidRPr="00FD3819">
              <w:rPr>
                <w:sz w:val="24"/>
                <w:szCs w:val="24"/>
              </w:rPr>
              <w:t>,</w:t>
            </w:r>
            <w:r w:rsidRPr="00FD3819">
              <w:rPr>
                <w:sz w:val="24"/>
                <w:szCs w:val="24"/>
              </w:rPr>
              <w:t xml:space="preserve"> </w:t>
            </w:r>
            <w:r w:rsidR="002F31BB" w:rsidRPr="00FD3819">
              <w:rPr>
                <w:spacing w:val="-4"/>
                <w:sz w:val="24"/>
                <w:szCs w:val="24"/>
              </w:rPr>
              <w:t>darba tiesību pārkāpumi</w:t>
            </w:r>
            <w:r w:rsidR="002F31BB" w:rsidRPr="00FD3819">
              <w:rPr>
                <w:sz w:val="24"/>
                <w:szCs w:val="24"/>
              </w:rPr>
              <w:t xml:space="preserve"> </w:t>
            </w:r>
            <w:r w:rsidRPr="00FD3819">
              <w:rPr>
                <w:sz w:val="24"/>
                <w:szCs w:val="24"/>
              </w:rPr>
              <w:t>vai arī pārkāpti licencē vai sertifikātā iekļautie nosacījumi.</w:t>
            </w:r>
            <w:r w:rsidR="00CE3998" w:rsidRPr="00FD3819">
              <w:rPr>
                <w:sz w:val="24"/>
                <w:szCs w:val="24"/>
              </w:rPr>
              <w:t xml:space="preserve"> </w:t>
            </w:r>
          </w:p>
          <w:p w:rsidR="00381E6E" w:rsidRPr="00FD3819" w:rsidRDefault="005053F9" w:rsidP="00381E6E">
            <w:pPr>
              <w:autoSpaceDE w:val="0"/>
              <w:autoSpaceDN w:val="0"/>
              <w:adjustRightInd w:val="0"/>
              <w:spacing w:after="120"/>
              <w:jc w:val="both"/>
              <w:rPr>
                <w:rFonts w:eastAsia="Times New Roman"/>
                <w:sz w:val="24"/>
                <w:szCs w:val="24"/>
                <w:lang w:eastAsia="lv-LV"/>
              </w:rPr>
            </w:pPr>
            <w:r w:rsidRPr="00FD3819">
              <w:rPr>
                <w:spacing w:val="-4"/>
                <w:sz w:val="24"/>
                <w:szCs w:val="24"/>
              </w:rPr>
              <w:t xml:space="preserve">Likumprojekts paredz papildināt likuma </w:t>
            </w:r>
            <w:r w:rsidR="002F31BB" w:rsidRPr="00FD3819">
              <w:rPr>
                <w:spacing w:val="-4"/>
                <w:sz w:val="24"/>
                <w:szCs w:val="24"/>
              </w:rPr>
              <w:t>„Par piesārņojumu” 44.</w:t>
            </w:r>
            <w:r w:rsidR="002F31BB" w:rsidRPr="00FD3819">
              <w:rPr>
                <w:spacing w:val="-4"/>
                <w:sz w:val="24"/>
                <w:szCs w:val="24"/>
                <w:vertAlign w:val="superscript"/>
              </w:rPr>
              <w:t>1</w:t>
            </w:r>
            <w:r w:rsidRPr="00FD3819">
              <w:rPr>
                <w:spacing w:val="-4"/>
                <w:sz w:val="24"/>
                <w:szCs w:val="24"/>
              </w:rPr>
              <w:t xml:space="preserve">panta </w:t>
            </w:r>
            <w:r w:rsidR="00381E6E" w:rsidRPr="00FD3819">
              <w:rPr>
                <w:rFonts w:eastAsia="Times New Roman"/>
                <w:sz w:val="24"/>
                <w:szCs w:val="24"/>
                <w:lang w:eastAsia="lv-LV"/>
              </w:rPr>
              <w:t>piekto daļu ar 12.punktu, nosakot, ka komersants ir tiesīgs saņemt licenci, ja nav apturēta sertifikāta darbība, kas izsniegta sanācijas speciālistam. Likuma „Par piesārņojumu” 44.</w:t>
            </w:r>
            <w:r w:rsidR="00381E6E" w:rsidRPr="00FD3819">
              <w:rPr>
                <w:rFonts w:eastAsia="Times New Roman"/>
                <w:sz w:val="24"/>
                <w:szCs w:val="24"/>
                <w:vertAlign w:val="superscript"/>
                <w:lang w:eastAsia="lv-LV"/>
              </w:rPr>
              <w:t>1</w:t>
            </w:r>
            <w:r w:rsidR="00381E6E" w:rsidRPr="00FD3819">
              <w:rPr>
                <w:rFonts w:eastAsia="Times New Roman"/>
                <w:sz w:val="24"/>
                <w:szCs w:val="24"/>
                <w:lang w:eastAsia="lv-LV"/>
              </w:rPr>
              <w:t>panta piektā daļa, kas kopumā nosaka licences un sertifikāta pretendenta atbilstību, attiecas uz licences saņēmēju.</w:t>
            </w:r>
          </w:p>
          <w:p w:rsidR="006A55D7" w:rsidRPr="00FD3819" w:rsidRDefault="006A55D7" w:rsidP="006A55D7">
            <w:pPr>
              <w:spacing w:after="60"/>
              <w:ind w:right="45"/>
              <w:jc w:val="both"/>
              <w:rPr>
                <w:sz w:val="24"/>
                <w:szCs w:val="24"/>
              </w:rPr>
            </w:pPr>
            <w:r w:rsidRPr="00FD3819">
              <w:rPr>
                <w:bCs/>
                <w:sz w:val="24"/>
                <w:szCs w:val="24"/>
              </w:rPr>
              <w:t>Lai pārliecinātos par licencētā komersanta atbilstību likumā noteiktajām prasībām un nosacījumiem, likumdevējs paredz licenci pārreģistrēt reizi trijos gados, tādējādi</w:t>
            </w:r>
            <w:r w:rsidRPr="00FD3819">
              <w:rPr>
                <w:sz w:val="24"/>
                <w:szCs w:val="24"/>
              </w:rPr>
              <w:t xml:space="preserve"> veicinot komersanta lojalitāti attiecībā uz saistību izpildi pret valsti. Licences pārreģistrācija ietver arī sertificētā speciālista atbilstības pārbaudi, kas pamatojoties uz darba līgumu pieņemts darbā pie attiecīgā komersanta. Licences pārreģistrācija ir bezmaksas. Kārtību, kādā tiks veikta licences pārreģistrācija, paredzēts noteikt ar Ministru kabineta noteikumiem.</w:t>
            </w:r>
          </w:p>
          <w:p w:rsidR="006A55D7" w:rsidRPr="00FD3819" w:rsidRDefault="006A55D7" w:rsidP="006A55D7">
            <w:pPr>
              <w:spacing w:after="60"/>
              <w:ind w:right="45"/>
              <w:jc w:val="both"/>
              <w:rPr>
                <w:sz w:val="24"/>
                <w:szCs w:val="24"/>
              </w:rPr>
            </w:pPr>
            <w:r w:rsidRPr="00FD3819">
              <w:rPr>
                <w:rFonts w:eastAsia="Times New Roman"/>
                <w:sz w:val="24"/>
                <w:szCs w:val="24"/>
                <w:lang w:eastAsia="lv-LV"/>
              </w:rPr>
              <w:t xml:space="preserve">Likumprojekts </w:t>
            </w:r>
            <w:r w:rsidRPr="00FD3819">
              <w:rPr>
                <w:bCs/>
                <w:sz w:val="24"/>
                <w:szCs w:val="24"/>
              </w:rPr>
              <w:t xml:space="preserve">paredz izteikt likuma „Par piesārņojumu” </w:t>
            </w:r>
            <w:r w:rsidRPr="00FD3819">
              <w:rPr>
                <w:spacing w:val="-4"/>
                <w:sz w:val="24"/>
                <w:szCs w:val="24"/>
              </w:rPr>
              <w:t>44.</w:t>
            </w:r>
            <w:r w:rsidRPr="00FD3819">
              <w:rPr>
                <w:spacing w:val="-4"/>
                <w:sz w:val="24"/>
                <w:szCs w:val="24"/>
                <w:vertAlign w:val="superscript"/>
              </w:rPr>
              <w:t>1</w:t>
            </w:r>
            <w:r w:rsidRPr="00FD3819">
              <w:rPr>
                <w:spacing w:val="-4"/>
                <w:sz w:val="24"/>
                <w:szCs w:val="24"/>
              </w:rPr>
              <w:t xml:space="preserve">panta trešo daļu jaunā redakcijā, nosakot plašāku deleģējuma apjomu, kas pēc būtības nemaina </w:t>
            </w:r>
            <w:r w:rsidRPr="00FD3819">
              <w:rPr>
                <w:rFonts w:eastAsia="Times New Roman"/>
                <w:sz w:val="24"/>
                <w:szCs w:val="28"/>
                <w:lang w:eastAsia="lv-LV"/>
              </w:rPr>
              <w:t xml:space="preserve">2008.gada 25.augusta noteikumu Nr.671 </w:t>
            </w:r>
            <w:r w:rsidRPr="00FD3819">
              <w:rPr>
                <w:rFonts w:eastAsia="Times New Roman"/>
                <w:sz w:val="24"/>
                <w:szCs w:val="24"/>
                <w:lang w:eastAsia="lv-LV"/>
              </w:rPr>
              <w:t>„</w:t>
            </w:r>
            <w:r w:rsidRPr="00FD3819">
              <w:rPr>
                <w:sz w:val="24"/>
                <w:szCs w:val="24"/>
              </w:rPr>
              <w:t xml:space="preserve">Ar militāra rakstura sprādzienbīstamiem priekšmetiem un nesprāgušu munīciju piesārņotu un potenciāli piesārņotu teritoriju izpētes un sanācijas darbu veikšanas speciālistu sertifikācijas un komersantu licencēšanas kārtība” </w:t>
            </w:r>
            <w:r w:rsidRPr="00FD3819">
              <w:rPr>
                <w:spacing w:val="-4"/>
                <w:sz w:val="24"/>
                <w:szCs w:val="24"/>
              </w:rPr>
              <w:t>izdošanas pamatojumu attiecībā uz sertificēto speciālistu, kas veic sanācijas darbus.</w:t>
            </w:r>
          </w:p>
          <w:p w:rsidR="00C33033" w:rsidRPr="00FD3819" w:rsidRDefault="00CE3998" w:rsidP="006A55D7">
            <w:pPr>
              <w:spacing w:after="60"/>
              <w:ind w:right="45"/>
              <w:jc w:val="both"/>
              <w:rPr>
                <w:sz w:val="24"/>
                <w:szCs w:val="24"/>
              </w:rPr>
            </w:pPr>
            <w:r w:rsidRPr="00FD3819">
              <w:rPr>
                <w:sz w:val="24"/>
                <w:szCs w:val="24"/>
              </w:rPr>
              <w:t xml:space="preserve">Sertifikāts sanācijas darbu veikšanai tiek izsniegts uz pieciem gadiem. </w:t>
            </w:r>
            <w:r w:rsidR="00B82D4C" w:rsidRPr="00FD3819">
              <w:rPr>
                <w:sz w:val="24"/>
                <w:szCs w:val="24"/>
              </w:rPr>
              <w:t xml:space="preserve">Licence piešķir tiesības komersantam </w:t>
            </w:r>
            <w:r w:rsidR="00B82D4C" w:rsidRPr="00FD3819">
              <w:rPr>
                <w:sz w:val="24"/>
                <w:szCs w:val="24"/>
              </w:rPr>
              <w:lastRenderedPageBreak/>
              <w:t>veikt ar sanāciju saistītu komercdarbību uz nenoteiktu laiku. Komersants ir atbildīgs par licences izmantošanu un licences nosacījumu ievērošanu un izpildi. Ņ</w:t>
            </w:r>
            <w:r w:rsidR="002977DE" w:rsidRPr="00FD3819">
              <w:rPr>
                <w:sz w:val="24"/>
                <w:szCs w:val="24"/>
              </w:rPr>
              <w:t>emot vērā likumprojektā noteikto, Aizsardzības ministrijas Licencēšanas komisija atkarībā no konstatētā pārkāpuma lems jautājumu par sertifikāta vai licences neizsniegšanu, darbības apturēšanu vai anulēšanu.</w:t>
            </w:r>
          </w:p>
        </w:tc>
      </w:tr>
      <w:tr w:rsidR="00C33033" w:rsidRPr="00FD3819" w:rsidTr="0062235E">
        <w:tc>
          <w:tcPr>
            <w:tcW w:w="15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lastRenderedPageBreak/>
              <w:t>5.</w:t>
            </w:r>
          </w:p>
        </w:tc>
        <w:tc>
          <w:tcPr>
            <w:tcW w:w="160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Projekta izstrādē iesaistītās institūcijas</w:t>
            </w:r>
          </w:p>
        </w:tc>
        <w:tc>
          <w:tcPr>
            <w:tcW w:w="3244"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jc w:val="both"/>
              <w:rPr>
                <w:rFonts w:eastAsia="Times New Roman"/>
                <w:sz w:val="24"/>
                <w:szCs w:val="24"/>
                <w:lang w:eastAsia="lv-LV"/>
              </w:rPr>
            </w:pPr>
            <w:r w:rsidRPr="00FD3819">
              <w:rPr>
                <w:rFonts w:eastAsia="Times New Roman"/>
                <w:sz w:val="24"/>
                <w:szCs w:val="24"/>
                <w:lang w:eastAsia="lv-LV"/>
              </w:rPr>
              <w:t>Projekts izstrādāts Aizsardzības ministrijā.</w:t>
            </w:r>
          </w:p>
        </w:tc>
      </w:tr>
      <w:tr w:rsidR="00C33033" w:rsidRPr="00FD3819" w:rsidTr="0062235E">
        <w:tc>
          <w:tcPr>
            <w:tcW w:w="15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6.</w:t>
            </w:r>
          </w:p>
        </w:tc>
        <w:tc>
          <w:tcPr>
            <w:tcW w:w="160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Iemesli, kādēļ netika nodrošināta sabiedrības līdzdalība</w:t>
            </w:r>
          </w:p>
        </w:tc>
        <w:tc>
          <w:tcPr>
            <w:tcW w:w="3244" w:type="pct"/>
            <w:tcBorders>
              <w:top w:val="outset" w:sz="6" w:space="0" w:color="000000"/>
              <w:left w:val="outset" w:sz="6" w:space="0" w:color="000000"/>
              <w:bottom w:val="outset" w:sz="6" w:space="0" w:color="000000"/>
              <w:right w:val="outset" w:sz="6" w:space="0" w:color="000000"/>
            </w:tcBorders>
          </w:tcPr>
          <w:p w:rsidR="00C33033" w:rsidRPr="00FD3819" w:rsidRDefault="0062235E"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Projekts šo jomu neskar.</w:t>
            </w:r>
          </w:p>
        </w:tc>
      </w:tr>
      <w:tr w:rsidR="00C33033" w:rsidRPr="00FD3819" w:rsidTr="0062235E">
        <w:tc>
          <w:tcPr>
            <w:tcW w:w="15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7.</w:t>
            </w:r>
          </w:p>
        </w:tc>
        <w:tc>
          <w:tcPr>
            <w:tcW w:w="160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Cita informācija</w:t>
            </w:r>
          </w:p>
        </w:tc>
        <w:tc>
          <w:tcPr>
            <w:tcW w:w="3244"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Nav.</w:t>
            </w:r>
          </w:p>
        </w:tc>
      </w:tr>
    </w:tbl>
    <w:p w:rsidR="00C33033" w:rsidRPr="00FD3819" w:rsidRDefault="00C33033" w:rsidP="00C33033">
      <w:pPr>
        <w:spacing w:before="100" w:beforeAutospacing="1" w:after="100" w:afterAutospacing="1"/>
        <w:rPr>
          <w:rFonts w:eastAsia="Times New Roman"/>
          <w:sz w:val="24"/>
          <w:szCs w:val="24"/>
          <w:lang w:eastAsia="lv-LV"/>
        </w:rPr>
      </w:pPr>
      <w:r w:rsidRPr="00FD3819">
        <w:rPr>
          <w:rFonts w:eastAsia="Times New Roman"/>
          <w:sz w:val="24"/>
          <w:szCs w:val="24"/>
          <w:lang w:eastAsia="lv-LV"/>
        </w:rPr>
        <w:t> </w:t>
      </w:r>
    </w:p>
    <w:tbl>
      <w:tblPr>
        <w:tblW w:w="535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7"/>
        <w:gridCol w:w="3712"/>
        <w:gridCol w:w="4963"/>
      </w:tblGrid>
      <w:tr w:rsidR="00C33033" w:rsidRPr="00FD3819" w:rsidTr="0062235E">
        <w:tc>
          <w:tcPr>
            <w:tcW w:w="5000" w:type="pct"/>
            <w:gridSpan w:val="3"/>
            <w:tcBorders>
              <w:top w:val="single" w:sz="6" w:space="0" w:color="auto"/>
              <w:left w:val="single" w:sz="6" w:space="0" w:color="auto"/>
              <w:bottom w:val="outset" w:sz="6" w:space="0" w:color="000000"/>
              <w:right w:val="single" w:sz="6" w:space="0" w:color="auto"/>
            </w:tcBorders>
            <w:vAlign w:val="center"/>
          </w:tcPr>
          <w:p w:rsidR="00C33033" w:rsidRPr="00FD3819" w:rsidRDefault="00C33033" w:rsidP="0062235E">
            <w:pPr>
              <w:spacing w:before="100" w:beforeAutospacing="1" w:after="100" w:afterAutospacing="1"/>
              <w:jc w:val="center"/>
              <w:rPr>
                <w:rFonts w:eastAsia="Times New Roman"/>
                <w:b/>
                <w:bCs/>
                <w:sz w:val="24"/>
                <w:szCs w:val="24"/>
                <w:lang w:eastAsia="lv-LV"/>
              </w:rPr>
            </w:pPr>
            <w:r w:rsidRPr="00FD3819">
              <w:rPr>
                <w:rFonts w:eastAsia="Times New Roman"/>
                <w:b/>
                <w:bCs/>
                <w:sz w:val="24"/>
                <w:szCs w:val="24"/>
                <w:lang w:eastAsia="lv-LV"/>
              </w:rPr>
              <w:t>II. Tiesību akta projekta ietekme uz sabiedrību</w:t>
            </w:r>
          </w:p>
        </w:tc>
      </w:tr>
      <w:tr w:rsidR="00C33033" w:rsidRPr="00FD3819" w:rsidTr="0062235E">
        <w:tc>
          <w:tcPr>
            <w:tcW w:w="160"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1.</w:t>
            </w:r>
          </w:p>
        </w:tc>
        <w:tc>
          <w:tcPr>
            <w:tcW w:w="207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 xml:space="preserve">Sabiedrības </w:t>
            </w:r>
            <w:proofErr w:type="spellStart"/>
            <w:r w:rsidRPr="00FD3819">
              <w:rPr>
                <w:rFonts w:eastAsia="Times New Roman"/>
                <w:sz w:val="24"/>
                <w:szCs w:val="24"/>
                <w:lang w:eastAsia="lv-LV"/>
              </w:rPr>
              <w:t>mērķgrupa</w:t>
            </w:r>
            <w:proofErr w:type="spellEnd"/>
          </w:p>
        </w:tc>
        <w:tc>
          <w:tcPr>
            <w:tcW w:w="2769"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jc w:val="both"/>
              <w:rPr>
                <w:sz w:val="24"/>
                <w:szCs w:val="24"/>
              </w:rPr>
            </w:pPr>
            <w:r w:rsidRPr="00FD3819">
              <w:rPr>
                <w:rFonts w:eastAsia="Times New Roman"/>
                <w:sz w:val="24"/>
                <w:szCs w:val="24"/>
                <w:lang w:eastAsia="lv-LV"/>
              </w:rPr>
              <w:t xml:space="preserve">Likumprojekta </w:t>
            </w:r>
            <w:proofErr w:type="spellStart"/>
            <w:r w:rsidRPr="00FD3819">
              <w:rPr>
                <w:rFonts w:eastAsia="Times New Roman"/>
                <w:sz w:val="24"/>
                <w:szCs w:val="24"/>
                <w:lang w:eastAsia="lv-LV"/>
              </w:rPr>
              <w:t>mērķgrupa</w:t>
            </w:r>
            <w:proofErr w:type="spellEnd"/>
            <w:r w:rsidRPr="00FD3819">
              <w:rPr>
                <w:rFonts w:eastAsia="Times New Roman"/>
                <w:sz w:val="24"/>
                <w:szCs w:val="24"/>
                <w:lang w:eastAsia="lv-LV"/>
              </w:rPr>
              <w:t xml:space="preserve"> ir individuālie komersanti vai komercsabiedrības, kas vēlas saņemt licenci sanācijas darbu veikšanai, un </w:t>
            </w:r>
            <w:r w:rsidRPr="00FD3819">
              <w:rPr>
                <w:sz w:val="24"/>
                <w:szCs w:val="24"/>
              </w:rPr>
              <w:t>fiziskas personas, kuras vēlas saņemt sertifikātu sanācijas darbu veikšanai.</w:t>
            </w:r>
          </w:p>
          <w:p w:rsidR="00CE3998" w:rsidRPr="00FD3819" w:rsidRDefault="00CE3998" w:rsidP="0062235E">
            <w:pPr>
              <w:jc w:val="both"/>
              <w:rPr>
                <w:sz w:val="24"/>
                <w:szCs w:val="24"/>
              </w:rPr>
            </w:pPr>
            <w:r w:rsidRPr="00FD3819">
              <w:rPr>
                <w:sz w:val="24"/>
                <w:szCs w:val="24"/>
              </w:rPr>
              <w:t>Aizsardzības ministrija kopš 2010.gada līdz šim brīdim ir izsniegusi sertifikātus 15 personām un licences 2 komersantiem.</w:t>
            </w:r>
          </w:p>
          <w:p w:rsidR="00715558" w:rsidRPr="00FD3819" w:rsidRDefault="002E4DB0" w:rsidP="002E4DB0">
            <w:pPr>
              <w:jc w:val="both"/>
              <w:rPr>
                <w:sz w:val="24"/>
                <w:szCs w:val="24"/>
              </w:rPr>
            </w:pPr>
            <w:r w:rsidRPr="00FD3819">
              <w:rPr>
                <w:sz w:val="24"/>
                <w:szCs w:val="24"/>
              </w:rPr>
              <w:t>Pamatdarbības veids k</w:t>
            </w:r>
            <w:r w:rsidR="00715558" w:rsidRPr="00FD3819">
              <w:rPr>
                <w:sz w:val="24"/>
                <w:szCs w:val="24"/>
              </w:rPr>
              <w:t xml:space="preserve">omersantiem, kuriem ir piešķirtas tiesības veikt ar sanāciju saistītu komercdarbību </w:t>
            </w:r>
            <w:r w:rsidR="00463D74" w:rsidRPr="00FD3819">
              <w:rPr>
                <w:sz w:val="24"/>
                <w:szCs w:val="24"/>
              </w:rPr>
              <w:t>ir personiskās drošības darbība</w:t>
            </w:r>
            <w:r w:rsidR="0054731F" w:rsidRPr="00FD3819">
              <w:rPr>
                <w:sz w:val="24"/>
                <w:szCs w:val="24"/>
              </w:rPr>
              <w:t xml:space="preserve"> (NACE 80.10)</w:t>
            </w:r>
            <w:r w:rsidR="00463D74" w:rsidRPr="00FD3819">
              <w:rPr>
                <w:sz w:val="24"/>
                <w:szCs w:val="24"/>
              </w:rPr>
              <w:t xml:space="preserve"> un drošības sistēmu pakalpojumi</w:t>
            </w:r>
            <w:r w:rsidR="0054731F" w:rsidRPr="00FD3819">
              <w:rPr>
                <w:sz w:val="24"/>
                <w:szCs w:val="24"/>
              </w:rPr>
              <w:t xml:space="preserve"> (NACE 80.20)</w:t>
            </w:r>
            <w:r w:rsidR="00463D74" w:rsidRPr="00FD3819">
              <w:rPr>
                <w:sz w:val="24"/>
                <w:szCs w:val="24"/>
              </w:rPr>
              <w:t>. Saskaņā ar Lursoft datiem Latvijā ar š</w:t>
            </w:r>
            <w:r w:rsidR="0054731F" w:rsidRPr="00FD3819">
              <w:rPr>
                <w:sz w:val="24"/>
                <w:szCs w:val="24"/>
              </w:rPr>
              <w:t>ādu</w:t>
            </w:r>
            <w:r w:rsidR="00463D74" w:rsidRPr="00FD3819">
              <w:rPr>
                <w:sz w:val="24"/>
                <w:szCs w:val="24"/>
              </w:rPr>
              <w:t xml:space="preserve"> NACE kodu reģistrēti</w:t>
            </w:r>
            <w:r w:rsidR="0054731F" w:rsidRPr="00FD3819">
              <w:rPr>
                <w:sz w:val="24"/>
                <w:szCs w:val="24"/>
              </w:rPr>
              <w:t xml:space="preserve"> 40 komersanti.</w:t>
            </w:r>
          </w:p>
        </w:tc>
      </w:tr>
      <w:tr w:rsidR="00C33033" w:rsidRPr="00FD3819" w:rsidTr="0062235E">
        <w:tc>
          <w:tcPr>
            <w:tcW w:w="160"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2.</w:t>
            </w:r>
          </w:p>
        </w:tc>
        <w:tc>
          <w:tcPr>
            <w:tcW w:w="207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 xml:space="preserve">Citas sabiedrības grupas (bez </w:t>
            </w:r>
            <w:proofErr w:type="spellStart"/>
            <w:r w:rsidRPr="00FD3819">
              <w:rPr>
                <w:rFonts w:eastAsia="Times New Roman"/>
                <w:sz w:val="24"/>
                <w:szCs w:val="24"/>
                <w:lang w:eastAsia="lv-LV"/>
              </w:rPr>
              <w:t>mērķgrupas</w:t>
            </w:r>
            <w:proofErr w:type="spellEnd"/>
            <w:r w:rsidRPr="00FD3819">
              <w:rPr>
                <w:rFonts w:eastAsia="Times New Roman"/>
                <w:sz w:val="24"/>
                <w:szCs w:val="24"/>
                <w:lang w:eastAsia="lv-LV"/>
              </w:rPr>
              <w:t>), kuras tiesiskais regulējums arī ietekmē vai varētu ietekmēt</w:t>
            </w:r>
          </w:p>
        </w:tc>
        <w:tc>
          <w:tcPr>
            <w:tcW w:w="2769" w:type="pct"/>
            <w:tcBorders>
              <w:top w:val="outset" w:sz="6" w:space="0" w:color="000000"/>
              <w:left w:val="outset" w:sz="6" w:space="0" w:color="000000"/>
              <w:bottom w:val="outset" w:sz="6" w:space="0" w:color="000000"/>
              <w:right w:val="outset" w:sz="6" w:space="0" w:color="000000"/>
            </w:tcBorders>
          </w:tcPr>
          <w:p w:rsidR="00C33033" w:rsidRPr="00FD3819" w:rsidRDefault="00733F3D" w:rsidP="0062235E">
            <w:pPr>
              <w:jc w:val="both"/>
              <w:rPr>
                <w:rFonts w:eastAsia="Times New Roman"/>
                <w:sz w:val="24"/>
                <w:szCs w:val="24"/>
                <w:lang w:eastAsia="lv-LV"/>
              </w:rPr>
            </w:pPr>
            <w:r w:rsidRPr="00FD3819">
              <w:rPr>
                <w:rFonts w:eastAsia="Times New Roman"/>
                <w:sz w:val="24"/>
                <w:szCs w:val="24"/>
                <w:lang w:eastAsia="lv-LV"/>
              </w:rPr>
              <w:t>Nav.</w:t>
            </w:r>
          </w:p>
        </w:tc>
      </w:tr>
      <w:tr w:rsidR="00C33033" w:rsidRPr="00FD3819" w:rsidTr="0062235E">
        <w:tc>
          <w:tcPr>
            <w:tcW w:w="160"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3.</w:t>
            </w:r>
          </w:p>
        </w:tc>
        <w:tc>
          <w:tcPr>
            <w:tcW w:w="207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Tiesiskā regulējuma finansiālā ietekme</w:t>
            </w:r>
          </w:p>
        </w:tc>
        <w:tc>
          <w:tcPr>
            <w:tcW w:w="2769"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jc w:val="both"/>
              <w:rPr>
                <w:rFonts w:eastAsia="Times New Roman"/>
                <w:sz w:val="24"/>
                <w:szCs w:val="24"/>
                <w:lang w:eastAsia="lv-LV"/>
              </w:rPr>
            </w:pPr>
            <w:r w:rsidRPr="00FD3819">
              <w:rPr>
                <w:sz w:val="24"/>
              </w:rPr>
              <w:t>Finansiālā ietekme nemainīsies.</w:t>
            </w:r>
          </w:p>
        </w:tc>
      </w:tr>
      <w:tr w:rsidR="00C33033" w:rsidRPr="00FD3819" w:rsidTr="0062235E">
        <w:tc>
          <w:tcPr>
            <w:tcW w:w="160"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4.</w:t>
            </w:r>
          </w:p>
        </w:tc>
        <w:tc>
          <w:tcPr>
            <w:tcW w:w="207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Tiesiskā regulējuma nefinansiālā ietekme</w:t>
            </w:r>
          </w:p>
        </w:tc>
        <w:tc>
          <w:tcPr>
            <w:tcW w:w="2769" w:type="pct"/>
            <w:tcBorders>
              <w:top w:val="outset" w:sz="6" w:space="0" w:color="000000"/>
              <w:left w:val="outset" w:sz="6" w:space="0" w:color="000000"/>
              <w:bottom w:val="outset" w:sz="6" w:space="0" w:color="000000"/>
              <w:right w:val="outset" w:sz="6" w:space="0" w:color="000000"/>
            </w:tcBorders>
          </w:tcPr>
          <w:p w:rsidR="00C33033" w:rsidRPr="00FD3819" w:rsidRDefault="00733F3D" w:rsidP="0062235E">
            <w:pPr>
              <w:jc w:val="both"/>
              <w:rPr>
                <w:rFonts w:eastAsia="Times New Roman"/>
                <w:sz w:val="24"/>
                <w:szCs w:val="24"/>
                <w:lang w:eastAsia="lv-LV"/>
              </w:rPr>
            </w:pPr>
            <w:r w:rsidRPr="00FD3819">
              <w:rPr>
                <w:rFonts w:eastAsia="Times New Roman"/>
                <w:sz w:val="24"/>
                <w:szCs w:val="24"/>
                <w:lang w:eastAsia="lv-LV"/>
              </w:rPr>
              <w:t>Nav.</w:t>
            </w:r>
          </w:p>
        </w:tc>
      </w:tr>
      <w:tr w:rsidR="00C33033" w:rsidRPr="00FD3819" w:rsidTr="0062235E">
        <w:tc>
          <w:tcPr>
            <w:tcW w:w="160"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5.</w:t>
            </w:r>
          </w:p>
        </w:tc>
        <w:tc>
          <w:tcPr>
            <w:tcW w:w="207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Administratīvās procedūras raksturojums</w:t>
            </w:r>
          </w:p>
        </w:tc>
        <w:tc>
          <w:tcPr>
            <w:tcW w:w="2769" w:type="pct"/>
            <w:tcBorders>
              <w:top w:val="outset" w:sz="6" w:space="0" w:color="000000"/>
              <w:left w:val="outset" w:sz="6" w:space="0" w:color="000000"/>
              <w:bottom w:val="outset" w:sz="6" w:space="0" w:color="000000"/>
              <w:right w:val="outset" w:sz="6" w:space="0" w:color="000000"/>
            </w:tcBorders>
          </w:tcPr>
          <w:p w:rsidR="00C33033" w:rsidRPr="00FD3819" w:rsidRDefault="00733F3D" w:rsidP="0062235E">
            <w:pPr>
              <w:jc w:val="both"/>
              <w:rPr>
                <w:rFonts w:eastAsia="Times New Roman"/>
                <w:sz w:val="24"/>
                <w:szCs w:val="24"/>
                <w:lang w:eastAsia="lv-LV"/>
              </w:rPr>
            </w:pPr>
            <w:r w:rsidRPr="00FD3819">
              <w:rPr>
                <w:rFonts w:eastAsia="Times New Roman"/>
                <w:sz w:val="24"/>
                <w:szCs w:val="24"/>
                <w:lang w:eastAsia="lv-LV"/>
              </w:rPr>
              <w:t>Nav.</w:t>
            </w:r>
          </w:p>
        </w:tc>
      </w:tr>
      <w:tr w:rsidR="00C33033" w:rsidRPr="00FD3819" w:rsidTr="0062235E">
        <w:tc>
          <w:tcPr>
            <w:tcW w:w="160"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6.</w:t>
            </w:r>
          </w:p>
        </w:tc>
        <w:tc>
          <w:tcPr>
            <w:tcW w:w="207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Administratīvo izmaksu monetārs novērtējums</w:t>
            </w:r>
          </w:p>
        </w:tc>
        <w:tc>
          <w:tcPr>
            <w:tcW w:w="2769" w:type="pct"/>
            <w:tcBorders>
              <w:top w:val="outset" w:sz="6" w:space="0" w:color="000000"/>
              <w:left w:val="outset" w:sz="6" w:space="0" w:color="000000"/>
              <w:bottom w:val="outset" w:sz="6" w:space="0" w:color="000000"/>
              <w:right w:val="outset" w:sz="6" w:space="0" w:color="000000"/>
            </w:tcBorders>
          </w:tcPr>
          <w:p w:rsidR="00C33033" w:rsidRPr="00FD3819" w:rsidRDefault="00733F3D"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Nav.</w:t>
            </w:r>
          </w:p>
        </w:tc>
      </w:tr>
      <w:tr w:rsidR="00C33033" w:rsidRPr="00FD3819" w:rsidTr="0062235E">
        <w:tc>
          <w:tcPr>
            <w:tcW w:w="160"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7.</w:t>
            </w:r>
          </w:p>
        </w:tc>
        <w:tc>
          <w:tcPr>
            <w:tcW w:w="207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Cita informācija</w:t>
            </w:r>
          </w:p>
        </w:tc>
        <w:tc>
          <w:tcPr>
            <w:tcW w:w="2769"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Nav.</w:t>
            </w:r>
          </w:p>
        </w:tc>
      </w:tr>
    </w:tbl>
    <w:p w:rsidR="00C33033" w:rsidRPr="00FD3819" w:rsidRDefault="00C33033" w:rsidP="00C33033">
      <w:pPr>
        <w:rPr>
          <w:sz w:val="24"/>
          <w:szCs w:val="24"/>
        </w:rPr>
      </w:pPr>
    </w:p>
    <w:p w:rsidR="00C33033" w:rsidRPr="00FD3819" w:rsidRDefault="00C33033" w:rsidP="00C33033">
      <w:pPr>
        <w:jc w:val="center"/>
        <w:rPr>
          <w:b/>
          <w:sz w:val="24"/>
          <w:szCs w:val="24"/>
        </w:rPr>
      </w:pPr>
      <w:r w:rsidRPr="00FD3819">
        <w:rPr>
          <w:b/>
          <w:sz w:val="24"/>
          <w:szCs w:val="24"/>
        </w:rPr>
        <w:t xml:space="preserve">Anotācijas III sadaļa </w:t>
      </w:r>
      <w:r w:rsidR="00733F3D" w:rsidRPr="00FD3819">
        <w:rPr>
          <w:b/>
          <w:sz w:val="24"/>
          <w:szCs w:val="24"/>
        </w:rPr>
        <w:t xml:space="preserve">– </w:t>
      </w:r>
      <w:r w:rsidRPr="00FD3819">
        <w:rPr>
          <w:b/>
          <w:sz w:val="24"/>
          <w:szCs w:val="24"/>
        </w:rPr>
        <w:t>projekt</w:t>
      </w:r>
      <w:r w:rsidR="00733F3D" w:rsidRPr="00FD3819">
        <w:rPr>
          <w:b/>
          <w:sz w:val="24"/>
          <w:szCs w:val="24"/>
        </w:rPr>
        <w:t>s šo jomu neskar.</w:t>
      </w:r>
    </w:p>
    <w:p w:rsidR="006D4510" w:rsidRPr="00FD3819" w:rsidRDefault="006D4510" w:rsidP="00C33033">
      <w:pPr>
        <w:jc w:val="both"/>
        <w:rPr>
          <w:b/>
          <w:sz w:val="24"/>
          <w:szCs w:val="24"/>
        </w:rPr>
      </w:pPr>
    </w:p>
    <w:tbl>
      <w:tblPr>
        <w:tblW w:w="535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0"/>
        <w:gridCol w:w="2880"/>
        <w:gridCol w:w="5815"/>
      </w:tblGrid>
      <w:tr w:rsidR="00C33033" w:rsidRPr="00FD3819" w:rsidTr="0062235E">
        <w:tc>
          <w:tcPr>
            <w:tcW w:w="5000" w:type="pct"/>
            <w:gridSpan w:val="3"/>
            <w:tcBorders>
              <w:top w:val="single" w:sz="6" w:space="0" w:color="auto"/>
              <w:left w:val="single" w:sz="6" w:space="0" w:color="auto"/>
              <w:bottom w:val="outset" w:sz="6" w:space="0" w:color="000000"/>
              <w:right w:val="single" w:sz="6" w:space="0" w:color="auto"/>
            </w:tcBorders>
            <w:vAlign w:val="center"/>
          </w:tcPr>
          <w:p w:rsidR="00C33033" w:rsidRPr="00FD3819" w:rsidRDefault="00C33033" w:rsidP="0062235E">
            <w:pPr>
              <w:spacing w:before="100" w:beforeAutospacing="1" w:after="100" w:afterAutospacing="1"/>
              <w:jc w:val="center"/>
              <w:rPr>
                <w:rFonts w:eastAsia="Times New Roman"/>
                <w:b/>
                <w:bCs/>
                <w:sz w:val="24"/>
                <w:szCs w:val="24"/>
                <w:lang w:eastAsia="lv-LV"/>
              </w:rPr>
            </w:pPr>
            <w:r w:rsidRPr="00FD3819">
              <w:rPr>
                <w:rFonts w:eastAsia="Times New Roman"/>
                <w:b/>
                <w:bCs/>
                <w:sz w:val="24"/>
                <w:szCs w:val="24"/>
                <w:lang w:eastAsia="lv-LV"/>
              </w:rPr>
              <w:lastRenderedPageBreak/>
              <w:t xml:space="preserve">IV. </w:t>
            </w:r>
            <w:r w:rsidRPr="00FD3819">
              <w:rPr>
                <w:rFonts w:eastAsia="Times New Roman"/>
                <w:b/>
                <w:sz w:val="24"/>
                <w:szCs w:val="24"/>
                <w:lang w:eastAsia="lv-LV"/>
              </w:rPr>
              <w:t>Tiesību akta projekta ietekme uz spēkā esošo tiesību normu sistēmu</w:t>
            </w:r>
          </w:p>
        </w:tc>
      </w:tr>
      <w:tr w:rsidR="00C33033" w:rsidRPr="00FD3819" w:rsidTr="0062235E">
        <w:tc>
          <w:tcPr>
            <w:tcW w:w="15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1.</w:t>
            </w:r>
          </w:p>
        </w:tc>
        <w:tc>
          <w:tcPr>
            <w:tcW w:w="160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8"/>
                <w:lang w:eastAsia="lv-LV"/>
              </w:rPr>
              <w:t>Nepieciešamie saistītie tiesību aktu projekti</w:t>
            </w:r>
          </w:p>
        </w:tc>
        <w:tc>
          <w:tcPr>
            <w:tcW w:w="3243" w:type="pct"/>
            <w:tcBorders>
              <w:top w:val="outset" w:sz="6" w:space="0" w:color="000000"/>
              <w:left w:val="outset" w:sz="6" w:space="0" w:color="000000"/>
              <w:bottom w:val="outset" w:sz="6" w:space="0" w:color="000000"/>
              <w:right w:val="outset" w:sz="6" w:space="0" w:color="000000"/>
            </w:tcBorders>
          </w:tcPr>
          <w:p w:rsidR="003110C4" w:rsidRPr="00FD3819" w:rsidRDefault="006C500C" w:rsidP="001C2717">
            <w:pPr>
              <w:autoSpaceDE w:val="0"/>
              <w:autoSpaceDN w:val="0"/>
              <w:adjustRightInd w:val="0"/>
              <w:jc w:val="both"/>
              <w:rPr>
                <w:sz w:val="24"/>
                <w:szCs w:val="24"/>
              </w:rPr>
            </w:pPr>
            <w:r w:rsidRPr="00FD3819">
              <w:rPr>
                <w:sz w:val="24"/>
                <w:szCs w:val="24"/>
              </w:rPr>
              <w:t>L</w:t>
            </w:r>
            <w:r w:rsidR="00044B9E" w:rsidRPr="00FD3819">
              <w:rPr>
                <w:sz w:val="24"/>
                <w:szCs w:val="24"/>
              </w:rPr>
              <w:t xml:space="preserve">ikumprojekts paredz vairākas izmaiņas likuma „Par piesārņojumu” </w:t>
            </w:r>
            <w:r w:rsidR="00044B9E" w:rsidRPr="00FD3819">
              <w:rPr>
                <w:spacing w:val="-4"/>
                <w:sz w:val="24"/>
                <w:szCs w:val="24"/>
              </w:rPr>
              <w:t>44.</w:t>
            </w:r>
            <w:r w:rsidR="00044B9E" w:rsidRPr="00FD3819">
              <w:rPr>
                <w:spacing w:val="-4"/>
                <w:sz w:val="24"/>
                <w:szCs w:val="24"/>
                <w:vertAlign w:val="superscript"/>
              </w:rPr>
              <w:t>1</w:t>
            </w:r>
            <w:r w:rsidR="00044B9E" w:rsidRPr="00FD3819">
              <w:rPr>
                <w:spacing w:val="-4"/>
                <w:sz w:val="24"/>
                <w:szCs w:val="24"/>
              </w:rPr>
              <w:t>panta piektajā daļā</w:t>
            </w:r>
            <w:r w:rsidR="00044B9E" w:rsidRPr="00FD3819">
              <w:rPr>
                <w:sz w:val="24"/>
                <w:szCs w:val="24"/>
              </w:rPr>
              <w:t xml:space="preserve">, t.sk., jaunā redakcijā </w:t>
            </w:r>
            <w:r w:rsidRPr="00FD3819">
              <w:rPr>
                <w:sz w:val="24"/>
                <w:szCs w:val="24"/>
              </w:rPr>
              <w:t xml:space="preserve">ir </w:t>
            </w:r>
            <w:r w:rsidR="00044B9E" w:rsidRPr="00FD3819">
              <w:rPr>
                <w:sz w:val="24"/>
                <w:szCs w:val="24"/>
              </w:rPr>
              <w:t>izteikts Ministru kabinetam dotais deleģējums izdot attiecīgus Ministru kabineta noteikumus, paredzot arī sertifikāta darbības apturēšanu un tā anulāciju</w:t>
            </w:r>
            <w:r w:rsidR="00EA3DC3" w:rsidRPr="00FD3819">
              <w:rPr>
                <w:sz w:val="24"/>
                <w:szCs w:val="24"/>
              </w:rPr>
              <w:t>.</w:t>
            </w:r>
            <w:r w:rsidR="00044B9E" w:rsidRPr="00FD3819">
              <w:rPr>
                <w:sz w:val="24"/>
                <w:szCs w:val="24"/>
              </w:rPr>
              <w:t xml:space="preserve"> </w:t>
            </w:r>
          </w:p>
          <w:p w:rsidR="00044B9E" w:rsidRPr="00FD3819" w:rsidRDefault="003110C4" w:rsidP="001C2717">
            <w:pPr>
              <w:autoSpaceDE w:val="0"/>
              <w:autoSpaceDN w:val="0"/>
              <w:adjustRightInd w:val="0"/>
              <w:jc w:val="both"/>
              <w:rPr>
                <w:spacing w:val="-4"/>
                <w:sz w:val="24"/>
                <w:szCs w:val="28"/>
              </w:rPr>
            </w:pPr>
            <w:r w:rsidRPr="00FD3819">
              <w:rPr>
                <w:sz w:val="24"/>
                <w:szCs w:val="24"/>
              </w:rPr>
              <w:t>Ievērojot minēto,</w:t>
            </w:r>
            <w:r w:rsidR="00044B9E" w:rsidRPr="00FD3819">
              <w:rPr>
                <w:sz w:val="24"/>
                <w:szCs w:val="24"/>
              </w:rPr>
              <w:t xml:space="preserve"> nepieciešams izdot jaunus Ministru kabineta noteikumus, kas noteiks</w:t>
            </w:r>
            <w:r w:rsidRPr="00FD3819">
              <w:rPr>
                <w:sz w:val="24"/>
                <w:szCs w:val="24"/>
              </w:rPr>
              <w:t xml:space="preserve"> a</w:t>
            </w:r>
            <w:r w:rsidRPr="00FD3819">
              <w:rPr>
                <w:spacing w:val="-4"/>
                <w:sz w:val="24"/>
                <w:szCs w:val="28"/>
              </w:rPr>
              <w:t xml:space="preserve">r militāra rakstura sprādzienbīstamiem priekšmetiem un nesprāgušu munīciju piesārņotu un potenciāli piesārņotu teritoriju izpētes un sanācijas darbu veikšanas speciālistu sertifikācijas un komersantu licencēšanas </w:t>
            </w:r>
            <w:r w:rsidRPr="00FD3819">
              <w:rPr>
                <w:sz w:val="24"/>
                <w:szCs w:val="24"/>
              </w:rPr>
              <w:t>kārtību</w:t>
            </w:r>
            <w:r w:rsidR="00044B9E" w:rsidRPr="00FD3819">
              <w:rPr>
                <w:sz w:val="24"/>
                <w:szCs w:val="24"/>
              </w:rPr>
              <w:t>,</w:t>
            </w:r>
            <w:r w:rsidR="008E4319" w:rsidRPr="00FD3819">
              <w:rPr>
                <w:sz w:val="24"/>
                <w:szCs w:val="24"/>
              </w:rPr>
              <w:t xml:space="preserve"> </w:t>
            </w:r>
            <w:r w:rsidR="001C2717" w:rsidRPr="00FD3819">
              <w:rPr>
                <w:rFonts w:eastAsia="Times New Roman"/>
                <w:sz w:val="24"/>
                <w:szCs w:val="24"/>
                <w:lang w:eastAsia="lv-LV"/>
              </w:rPr>
              <w:t>ar kuru spēkā stāšanos, spēku zaudēs</w:t>
            </w:r>
            <w:r w:rsidRPr="00FD3819">
              <w:rPr>
                <w:rFonts w:eastAsia="Times New Roman"/>
                <w:sz w:val="24"/>
                <w:szCs w:val="24"/>
                <w:lang w:eastAsia="lv-LV"/>
              </w:rPr>
              <w:t xml:space="preserve"> </w:t>
            </w:r>
            <w:r w:rsidR="001C2717" w:rsidRPr="00FD3819">
              <w:rPr>
                <w:spacing w:val="-4"/>
                <w:sz w:val="24"/>
                <w:szCs w:val="28"/>
              </w:rPr>
              <w:t>Ministru kabineta 2008.gada 25.augusta noteikumi Nr.671 „Ar militāra rakstura sprādzienbīstamiem priekšmetiem un nesprāgušu munīciju piesārņotu un potenciāli piesārņotu teritoriju izpētes un sanācijas darbu veikšanas speciālistu sertifikācijas un komersantu licencēšanas kārtība”.</w:t>
            </w:r>
          </w:p>
          <w:p w:rsidR="008E4319" w:rsidRPr="00FD3819" w:rsidRDefault="00DB3A56" w:rsidP="001C2717">
            <w:pPr>
              <w:autoSpaceDE w:val="0"/>
              <w:autoSpaceDN w:val="0"/>
              <w:adjustRightInd w:val="0"/>
              <w:jc w:val="both"/>
              <w:rPr>
                <w:sz w:val="24"/>
                <w:szCs w:val="24"/>
              </w:rPr>
            </w:pPr>
            <w:r w:rsidRPr="00FD3819">
              <w:rPr>
                <w:sz w:val="24"/>
                <w:szCs w:val="24"/>
              </w:rPr>
              <w:t>Jaunais noteikumu projekts paredz noteikt kārtību līdzīgi šā brīža regulējumam</w:t>
            </w:r>
            <w:r w:rsidR="008E4319" w:rsidRPr="00FD3819">
              <w:rPr>
                <w:sz w:val="24"/>
                <w:szCs w:val="24"/>
              </w:rPr>
              <w:t xml:space="preserve"> un vienlaikus nodrošinot likuma „Par piesārņojumu” normu pārņemšanu noteikumu projektā</w:t>
            </w:r>
            <w:r w:rsidRPr="00FD3819">
              <w:rPr>
                <w:sz w:val="24"/>
                <w:szCs w:val="24"/>
              </w:rPr>
              <w:t xml:space="preserve">. </w:t>
            </w:r>
          </w:p>
          <w:p w:rsidR="001C2717" w:rsidRPr="00FD3819" w:rsidRDefault="00EA3DC3" w:rsidP="001C2717">
            <w:pPr>
              <w:autoSpaceDE w:val="0"/>
              <w:autoSpaceDN w:val="0"/>
              <w:adjustRightInd w:val="0"/>
              <w:jc w:val="both"/>
              <w:rPr>
                <w:spacing w:val="-4"/>
                <w:sz w:val="24"/>
                <w:szCs w:val="28"/>
              </w:rPr>
            </w:pPr>
            <w:r w:rsidRPr="00FD3819">
              <w:rPr>
                <w:spacing w:val="-4"/>
                <w:sz w:val="24"/>
                <w:szCs w:val="28"/>
              </w:rPr>
              <w:t>Līdz jaunu Ministru kabineta noteikumu spēkā stāšanās dienai, bet ne ilgāk kā līdz 2013.gada 30.aprīlim ir spēkā Ministru kabineta 2008.gada 25.augusta noteikumi Nr.671</w:t>
            </w:r>
            <w:r w:rsidR="001C2717" w:rsidRPr="00FD3819">
              <w:rPr>
                <w:spacing w:val="-4"/>
                <w:sz w:val="24"/>
                <w:szCs w:val="28"/>
              </w:rPr>
              <w:t>.</w:t>
            </w:r>
          </w:p>
          <w:p w:rsidR="00ED0618" w:rsidRPr="00FD3819" w:rsidRDefault="00F118AB" w:rsidP="00F118AB">
            <w:pPr>
              <w:autoSpaceDE w:val="0"/>
              <w:autoSpaceDN w:val="0"/>
              <w:adjustRightInd w:val="0"/>
              <w:jc w:val="both"/>
              <w:rPr>
                <w:rFonts w:eastAsia="Times New Roman"/>
                <w:sz w:val="24"/>
                <w:szCs w:val="24"/>
                <w:lang w:eastAsia="lv-LV"/>
              </w:rPr>
            </w:pPr>
            <w:r w:rsidRPr="00FD3819">
              <w:rPr>
                <w:rFonts w:eastAsia="Times New Roman"/>
                <w:sz w:val="24"/>
                <w:szCs w:val="24"/>
                <w:lang w:eastAsia="lv-LV"/>
              </w:rPr>
              <w:t xml:space="preserve">Līdz </w:t>
            </w:r>
            <w:r w:rsidRPr="00FD3819">
              <w:rPr>
                <w:spacing w:val="-4"/>
                <w:sz w:val="24"/>
                <w:szCs w:val="28"/>
              </w:rPr>
              <w:t xml:space="preserve">2013.gada 30.aprīlim </w:t>
            </w:r>
            <w:r w:rsidRPr="00FD3819">
              <w:rPr>
                <w:rFonts w:eastAsia="Times New Roman"/>
                <w:sz w:val="24"/>
                <w:szCs w:val="24"/>
                <w:lang w:eastAsia="lv-LV"/>
              </w:rPr>
              <w:t xml:space="preserve">tiks izstrādāti jauni </w:t>
            </w:r>
            <w:r w:rsidRPr="00FD3819">
              <w:rPr>
                <w:spacing w:val="-4"/>
                <w:sz w:val="24"/>
                <w:szCs w:val="28"/>
              </w:rPr>
              <w:t xml:space="preserve">Ministru kabineta noteikumi </w:t>
            </w:r>
            <w:r w:rsidRPr="00FD3819">
              <w:rPr>
                <w:rFonts w:eastAsia="Times New Roman"/>
                <w:sz w:val="24"/>
                <w:szCs w:val="24"/>
                <w:lang w:eastAsia="lv-LV"/>
              </w:rPr>
              <w:t xml:space="preserve">atbilstoši likuma „Par piesārņojumu” </w:t>
            </w:r>
            <w:r w:rsidRPr="00FD3819">
              <w:rPr>
                <w:spacing w:val="-4"/>
                <w:sz w:val="24"/>
                <w:szCs w:val="24"/>
              </w:rPr>
              <w:t>44.</w:t>
            </w:r>
            <w:r w:rsidRPr="00FD3819">
              <w:rPr>
                <w:spacing w:val="-4"/>
                <w:sz w:val="24"/>
                <w:szCs w:val="24"/>
                <w:vertAlign w:val="superscript"/>
              </w:rPr>
              <w:t>1</w:t>
            </w:r>
            <w:r w:rsidRPr="00FD3819">
              <w:rPr>
                <w:spacing w:val="-4"/>
                <w:sz w:val="24"/>
                <w:szCs w:val="24"/>
              </w:rPr>
              <w:t>panta trešajai un ceturtajai daļai.</w:t>
            </w:r>
          </w:p>
        </w:tc>
      </w:tr>
      <w:tr w:rsidR="00C33033" w:rsidRPr="00FD3819" w:rsidTr="0062235E">
        <w:tc>
          <w:tcPr>
            <w:tcW w:w="151"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2.</w:t>
            </w:r>
          </w:p>
        </w:tc>
        <w:tc>
          <w:tcPr>
            <w:tcW w:w="160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Cita informācija</w:t>
            </w:r>
          </w:p>
        </w:tc>
        <w:tc>
          <w:tcPr>
            <w:tcW w:w="3243"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autoSpaceDE w:val="0"/>
              <w:autoSpaceDN w:val="0"/>
              <w:adjustRightInd w:val="0"/>
              <w:jc w:val="both"/>
              <w:rPr>
                <w:sz w:val="24"/>
                <w:szCs w:val="24"/>
              </w:rPr>
            </w:pPr>
            <w:r w:rsidRPr="00FD3819">
              <w:rPr>
                <w:sz w:val="24"/>
                <w:szCs w:val="24"/>
              </w:rPr>
              <w:t>Nav.</w:t>
            </w:r>
          </w:p>
        </w:tc>
      </w:tr>
    </w:tbl>
    <w:p w:rsidR="00C33033" w:rsidRPr="00FD3819" w:rsidRDefault="00C33033" w:rsidP="00C33033">
      <w:pPr>
        <w:jc w:val="both"/>
        <w:rPr>
          <w:b/>
          <w:sz w:val="24"/>
          <w:szCs w:val="24"/>
        </w:rPr>
      </w:pPr>
    </w:p>
    <w:p w:rsidR="00C33033" w:rsidRPr="00FD3819" w:rsidRDefault="00C33033" w:rsidP="00C33033">
      <w:pPr>
        <w:jc w:val="center"/>
        <w:rPr>
          <w:b/>
          <w:sz w:val="24"/>
          <w:szCs w:val="24"/>
        </w:rPr>
      </w:pPr>
      <w:r w:rsidRPr="00FD3819">
        <w:rPr>
          <w:b/>
          <w:sz w:val="24"/>
          <w:szCs w:val="24"/>
        </w:rPr>
        <w:t xml:space="preserve">Anotācijas V un VI sadaļas </w:t>
      </w:r>
      <w:r w:rsidR="00BF7C83" w:rsidRPr="00FD3819">
        <w:rPr>
          <w:b/>
          <w:sz w:val="24"/>
          <w:szCs w:val="24"/>
        </w:rPr>
        <w:t>– projekts šīs jomas neskar.</w:t>
      </w:r>
    </w:p>
    <w:p w:rsidR="00C33033" w:rsidRPr="00FD3819" w:rsidRDefault="00C33033" w:rsidP="00C33033">
      <w:pPr>
        <w:jc w:val="both"/>
        <w:rPr>
          <w:b/>
          <w:sz w:val="24"/>
          <w:szCs w:val="24"/>
        </w:rPr>
      </w:pPr>
    </w:p>
    <w:tbl>
      <w:tblPr>
        <w:tblW w:w="535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1"/>
        <w:gridCol w:w="3587"/>
        <w:gridCol w:w="5097"/>
      </w:tblGrid>
      <w:tr w:rsidR="00C33033" w:rsidRPr="00FD3819" w:rsidTr="0062235E">
        <w:tc>
          <w:tcPr>
            <w:tcW w:w="5000" w:type="pct"/>
            <w:gridSpan w:val="3"/>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jc w:val="center"/>
              <w:rPr>
                <w:rFonts w:eastAsia="Times New Roman"/>
                <w:b/>
                <w:bCs/>
                <w:sz w:val="24"/>
                <w:szCs w:val="24"/>
                <w:lang w:eastAsia="lv-LV"/>
              </w:rPr>
            </w:pPr>
            <w:r w:rsidRPr="00FD3819">
              <w:rPr>
                <w:rFonts w:eastAsia="Times New Roman"/>
                <w:b/>
                <w:bCs/>
                <w:sz w:val="24"/>
                <w:szCs w:val="24"/>
                <w:lang w:eastAsia="lv-LV"/>
              </w:rPr>
              <w:t>VII. Tiesību akta projekta izpildes nodrošināšana un tās ietekme uz institūcijām</w:t>
            </w:r>
          </w:p>
        </w:tc>
      </w:tr>
      <w:tr w:rsidR="00C33033" w:rsidRPr="00FD3819" w:rsidTr="0062235E">
        <w:tc>
          <w:tcPr>
            <w:tcW w:w="0" w:type="auto"/>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1.</w:t>
            </w:r>
          </w:p>
        </w:tc>
        <w:tc>
          <w:tcPr>
            <w:tcW w:w="2003"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Projekta izpildē iesaistītās institūcijas</w:t>
            </w:r>
          </w:p>
        </w:tc>
        <w:tc>
          <w:tcPr>
            <w:tcW w:w="284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jc w:val="both"/>
              <w:rPr>
                <w:rFonts w:eastAsia="Times New Roman"/>
                <w:sz w:val="24"/>
                <w:szCs w:val="24"/>
                <w:lang w:eastAsia="lv-LV"/>
              </w:rPr>
            </w:pPr>
            <w:r w:rsidRPr="00FD3819">
              <w:rPr>
                <w:rFonts w:eastAsia="Times New Roman"/>
                <w:sz w:val="24"/>
                <w:szCs w:val="24"/>
                <w:lang w:eastAsia="lv-LV"/>
              </w:rPr>
              <w:t>Projekta izpildi nodrošinās Aizsardzības ministrija normatīvajos aktos noteiktajā kārtībā.</w:t>
            </w:r>
          </w:p>
        </w:tc>
      </w:tr>
      <w:tr w:rsidR="00C33033" w:rsidRPr="00FD3819" w:rsidTr="0062235E">
        <w:tc>
          <w:tcPr>
            <w:tcW w:w="0" w:type="auto"/>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2.</w:t>
            </w:r>
          </w:p>
        </w:tc>
        <w:tc>
          <w:tcPr>
            <w:tcW w:w="2003"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Projekta izpildes ietekme uz pārvaldes funkcijām</w:t>
            </w:r>
          </w:p>
        </w:tc>
        <w:tc>
          <w:tcPr>
            <w:tcW w:w="284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jc w:val="both"/>
              <w:rPr>
                <w:rFonts w:eastAsia="Times New Roman"/>
                <w:sz w:val="24"/>
                <w:szCs w:val="24"/>
                <w:lang w:eastAsia="lv-LV"/>
              </w:rPr>
            </w:pPr>
            <w:r w:rsidRPr="00FD3819">
              <w:rPr>
                <w:rFonts w:eastAsia="Times New Roman"/>
                <w:sz w:val="24"/>
                <w:szCs w:val="24"/>
                <w:lang w:eastAsia="lv-LV"/>
              </w:rPr>
              <w:t xml:space="preserve">Veicamās funkcijas netiek paplašinātas vai sašaurinātas. </w:t>
            </w:r>
          </w:p>
        </w:tc>
      </w:tr>
      <w:tr w:rsidR="00C33033" w:rsidRPr="00FD3819" w:rsidTr="0062235E">
        <w:tc>
          <w:tcPr>
            <w:tcW w:w="0" w:type="auto"/>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3.</w:t>
            </w:r>
          </w:p>
        </w:tc>
        <w:tc>
          <w:tcPr>
            <w:tcW w:w="2003"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Projekta izpildes ietekme uz pārvaldes institucionālo struktūru.</w:t>
            </w:r>
          </w:p>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Jaunu institūciju izveide</w:t>
            </w:r>
          </w:p>
        </w:tc>
        <w:tc>
          <w:tcPr>
            <w:tcW w:w="2846" w:type="pct"/>
            <w:tcBorders>
              <w:top w:val="outset" w:sz="6" w:space="0" w:color="000000"/>
              <w:left w:val="outset" w:sz="6" w:space="0" w:color="000000"/>
              <w:bottom w:val="outset" w:sz="6" w:space="0" w:color="000000"/>
              <w:right w:val="outset" w:sz="6" w:space="0" w:color="000000"/>
            </w:tcBorders>
          </w:tcPr>
          <w:p w:rsidR="00C33033" w:rsidRPr="00FD3819" w:rsidRDefault="00DB3A56" w:rsidP="00DB3A56">
            <w:pPr>
              <w:autoSpaceDE w:val="0"/>
              <w:autoSpaceDN w:val="0"/>
              <w:adjustRightInd w:val="0"/>
              <w:jc w:val="both"/>
              <w:rPr>
                <w:rFonts w:eastAsia="Times New Roman"/>
                <w:sz w:val="24"/>
                <w:szCs w:val="24"/>
                <w:lang w:eastAsia="lv-LV"/>
              </w:rPr>
            </w:pPr>
            <w:r w:rsidRPr="00FD3819">
              <w:rPr>
                <w:rFonts w:eastAsia="Times New Roman"/>
                <w:sz w:val="24"/>
                <w:szCs w:val="24"/>
                <w:lang w:eastAsia="lv-LV"/>
              </w:rPr>
              <w:t>Jaunas institūcijas nav nepieciešams izveidot.</w:t>
            </w:r>
          </w:p>
        </w:tc>
      </w:tr>
      <w:tr w:rsidR="00C33033" w:rsidRPr="00FD3819" w:rsidTr="0062235E">
        <w:tc>
          <w:tcPr>
            <w:tcW w:w="0" w:type="auto"/>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4.</w:t>
            </w:r>
          </w:p>
        </w:tc>
        <w:tc>
          <w:tcPr>
            <w:tcW w:w="2003"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Projekta izpildes ietekme uz pārvaldes institucionālo struktūru.</w:t>
            </w:r>
          </w:p>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Esošu institūciju likvidācija</w:t>
            </w:r>
          </w:p>
        </w:tc>
        <w:tc>
          <w:tcPr>
            <w:tcW w:w="2846" w:type="pct"/>
            <w:tcBorders>
              <w:top w:val="outset" w:sz="6" w:space="0" w:color="000000"/>
              <w:left w:val="outset" w:sz="6" w:space="0" w:color="000000"/>
              <w:bottom w:val="outset" w:sz="6" w:space="0" w:color="000000"/>
              <w:right w:val="outset" w:sz="6" w:space="0" w:color="000000"/>
            </w:tcBorders>
          </w:tcPr>
          <w:p w:rsidR="00C33033" w:rsidRPr="00FD3819" w:rsidRDefault="00DB3A56" w:rsidP="0062235E">
            <w:pPr>
              <w:spacing w:before="100" w:beforeAutospacing="1" w:after="100" w:afterAutospacing="1"/>
              <w:jc w:val="both"/>
              <w:rPr>
                <w:rFonts w:eastAsia="Times New Roman"/>
                <w:sz w:val="24"/>
                <w:szCs w:val="24"/>
                <w:lang w:eastAsia="lv-LV"/>
              </w:rPr>
            </w:pPr>
            <w:r w:rsidRPr="00FD3819">
              <w:rPr>
                <w:rFonts w:eastAsia="Times New Roman"/>
                <w:sz w:val="24"/>
                <w:szCs w:val="24"/>
                <w:lang w:eastAsia="lv-LV"/>
              </w:rPr>
              <w:t>Nav plānota esošu institūciju likvidācija.</w:t>
            </w:r>
          </w:p>
        </w:tc>
      </w:tr>
      <w:tr w:rsidR="00C33033" w:rsidRPr="00FD3819" w:rsidTr="0062235E">
        <w:tc>
          <w:tcPr>
            <w:tcW w:w="0" w:type="auto"/>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5.</w:t>
            </w:r>
          </w:p>
        </w:tc>
        <w:tc>
          <w:tcPr>
            <w:tcW w:w="2003"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Projekta izpildes ietekme uz pārvaldes institucionālo struktūru.</w:t>
            </w:r>
          </w:p>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Esošu institūciju reorganizācija</w:t>
            </w:r>
          </w:p>
        </w:tc>
        <w:tc>
          <w:tcPr>
            <w:tcW w:w="2846" w:type="pct"/>
            <w:tcBorders>
              <w:top w:val="outset" w:sz="6" w:space="0" w:color="000000"/>
              <w:left w:val="outset" w:sz="6" w:space="0" w:color="000000"/>
              <w:bottom w:val="outset" w:sz="6" w:space="0" w:color="000000"/>
              <w:right w:val="outset" w:sz="6" w:space="0" w:color="000000"/>
            </w:tcBorders>
          </w:tcPr>
          <w:p w:rsidR="00C33033" w:rsidRPr="00FD3819" w:rsidRDefault="00DB3A56" w:rsidP="00DB3A56">
            <w:pPr>
              <w:autoSpaceDE w:val="0"/>
              <w:autoSpaceDN w:val="0"/>
              <w:adjustRightInd w:val="0"/>
              <w:jc w:val="both"/>
              <w:rPr>
                <w:rFonts w:eastAsia="Times New Roman"/>
                <w:sz w:val="24"/>
                <w:szCs w:val="24"/>
                <w:lang w:eastAsia="lv-LV"/>
              </w:rPr>
            </w:pPr>
            <w:r w:rsidRPr="00FD3819">
              <w:rPr>
                <w:rFonts w:eastAsia="Times New Roman"/>
                <w:sz w:val="24"/>
                <w:szCs w:val="24"/>
                <w:lang w:eastAsia="lv-LV"/>
              </w:rPr>
              <w:t>Pārvaldes institucionālajā struktūrā izmaiņas nav paredzētas, un reorganizācija netiek plānota.</w:t>
            </w:r>
          </w:p>
        </w:tc>
      </w:tr>
      <w:tr w:rsidR="00C33033" w:rsidRPr="00FD3819" w:rsidTr="0062235E">
        <w:tc>
          <w:tcPr>
            <w:tcW w:w="0" w:type="auto"/>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lastRenderedPageBreak/>
              <w:t>6.</w:t>
            </w:r>
          </w:p>
        </w:tc>
        <w:tc>
          <w:tcPr>
            <w:tcW w:w="2003"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Cita informācija</w:t>
            </w:r>
          </w:p>
        </w:tc>
        <w:tc>
          <w:tcPr>
            <w:tcW w:w="2846" w:type="pct"/>
            <w:tcBorders>
              <w:top w:val="outset" w:sz="6" w:space="0" w:color="000000"/>
              <w:left w:val="outset" w:sz="6" w:space="0" w:color="000000"/>
              <w:bottom w:val="outset" w:sz="6" w:space="0" w:color="000000"/>
              <w:right w:val="outset" w:sz="6" w:space="0" w:color="000000"/>
            </w:tcBorders>
          </w:tcPr>
          <w:p w:rsidR="00C33033" w:rsidRPr="00FD3819" w:rsidRDefault="00C33033" w:rsidP="0062235E">
            <w:pPr>
              <w:spacing w:before="100" w:beforeAutospacing="1" w:after="100" w:afterAutospacing="1"/>
              <w:rPr>
                <w:rFonts w:eastAsia="Times New Roman"/>
                <w:sz w:val="24"/>
                <w:szCs w:val="24"/>
                <w:lang w:eastAsia="lv-LV"/>
              </w:rPr>
            </w:pPr>
            <w:r w:rsidRPr="00FD3819">
              <w:rPr>
                <w:rFonts w:eastAsia="Times New Roman"/>
                <w:sz w:val="24"/>
                <w:szCs w:val="24"/>
                <w:lang w:eastAsia="lv-LV"/>
              </w:rPr>
              <w:t>Nav.</w:t>
            </w:r>
          </w:p>
        </w:tc>
      </w:tr>
    </w:tbl>
    <w:p w:rsidR="00C33033" w:rsidRPr="00FD3819" w:rsidRDefault="00C33033" w:rsidP="00C33033">
      <w:pPr>
        <w:rPr>
          <w:sz w:val="24"/>
          <w:szCs w:val="24"/>
        </w:rPr>
      </w:pPr>
    </w:p>
    <w:p w:rsidR="00C33033" w:rsidRPr="00FD3819" w:rsidRDefault="00C33033" w:rsidP="00C33033">
      <w:pPr>
        <w:rPr>
          <w:sz w:val="24"/>
          <w:szCs w:val="24"/>
        </w:rPr>
      </w:pPr>
    </w:p>
    <w:p w:rsidR="005D3013" w:rsidRPr="00FD3819" w:rsidRDefault="005D3013" w:rsidP="00C33033">
      <w:pPr>
        <w:rPr>
          <w:sz w:val="24"/>
          <w:szCs w:val="24"/>
        </w:rPr>
      </w:pPr>
    </w:p>
    <w:p w:rsidR="00020D5F" w:rsidRPr="00FD3819" w:rsidRDefault="00020D5F" w:rsidP="00C33033">
      <w:pPr>
        <w:rPr>
          <w:sz w:val="24"/>
          <w:szCs w:val="24"/>
        </w:rPr>
      </w:pPr>
    </w:p>
    <w:p w:rsidR="00C33033" w:rsidRPr="00FD3819" w:rsidRDefault="00C33033" w:rsidP="00C33033">
      <w:pPr>
        <w:tabs>
          <w:tab w:val="left" w:pos="6480"/>
        </w:tabs>
        <w:rPr>
          <w:sz w:val="24"/>
          <w:szCs w:val="24"/>
        </w:rPr>
      </w:pPr>
      <w:r w:rsidRPr="00FD3819">
        <w:rPr>
          <w:sz w:val="24"/>
          <w:szCs w:val="24"/>
        </w:rPr>
        <w:t>Aizsardzības ministrs</w:t>
      </w:r>
      <w:r w:rsidRPr="00FD3819">
        <w:rPr>
          <w:sz w:val="24"/>
          <w:szCs w:val="24"/>
        </w:rPr>
        <w:tab/>
      </w:r>
      <w:r w:rsidRPr="00FD3819">
        <w:rPr>
          <w:sz w:val="24"/>
          <w:szCs w:val="24"/>
        </w:rPr>
        <w:tab/>
      </w:r>
      <w:proofErr w:type="spellStart"/>
      <w:r w:rsidRPr="00FD3819">
        <w:rPr>
          <w:sz w:val="24"/>
          <w:szCs w:val="24"/>
        </w:rPr>
        <w:t>A.Pabriks</w:t>
      </w:r>
      <w:proofErr w:type="spellEnd"/>
    </w:p>
    <w:p w:rsidR="00C33033" w:rsidRPr="00FD3819" w:rsidRDefault="00C33033" w:rsidP="00C33033">
      <w:pPr>
        <w:pStyle w:val="EnvelopeReturn"/>
        <w:tabs>
          <w:tab w:val="left" w:pos="6480"/>
          <w:tab w:val="right" w:pos="7560"/>
        </w:tabs>
        <w:spacing w:before="0"/>
        <w:ind w:left="540"/>
        <w:rPr>
          <w:sz w:val="24"/>
          <w:szCs w:val="24"/>
          <w:lang w:val="lv-LV"/>
        </w:rPr>
      </w:pPr>
    </w:p>
    <w:p w:rsidR="00C33033" w:rsidRPr="00FD3819" w:rsidRDefault="00C33033" w:rsidP="00C33033">
      <w:pPr>
        <w:pStyle w:val="EnvelopeReturn"/>
        <w:tabs>
          <w:tab w:val="left" w:pos="6480"/>
          <w:tab w:val="right" w:pos="7560"/>
        </w:tabs>
        <w:spacing w:before="0"/>
        <w:ind w:left="540"/>
        <w:rPr>
          <w:sz w:val="24"/>
          <w:szCs w:val="24"/>
          <w:lang w:val="lv-LV"/>
        </w:rPr>
      </w:pPr>
    </w:p>
    <w:p w:rsidR="008E4398" w:rsidRPr="00FD3819" w:rsidRDefault="008E4398" w:rsidP="00C33033">
      <w:pPr>
        <w:pStyle w:val="EnvelopeReturn"/>
        <w:tabs>
          <w:tab w:val="left" w:pos="6480"/>
          <w:tab w:val="right" w:pos="7560"/>
        </w:tabs>
        <w:spacing w:before="0"/>
        <w:ind w:left="540"/>
        <w:rPr>
          <w:sz w:val="24"/>
          <w:szCs w:val="24"/>
          <w:lang w:val="lv-LV"/>
        </w:rPr>
      </w:pPr>
    </w:p>
    <w:p w:rsidR="005D3013" w:rsidRPr="00FD3819" w:rsidRDefault="005D3013" w:rsidP="00C33033">
      <w:pPr>
        <w:pStyle w:val="EnvelopeReturn"/>
        <w:tabs>
          <w:tab w:val="left" w:pos="6480"/>
          <w:tab w:val="right" w:pos="7560"/>
        </w:tabs>
        <w:spacing w:before="0"/>
        <w:ind w:left="540"/>
        <w:rPr>
          <w:sz w:val="24"/>
          <w:szCs w:val="24"/>
          <w:lang w:val="lv-LV"/>
        </w:rPr>
      </w:pPr>
    </w:p>
    <w:p w:rsidR="00C33033" w:rsidRPr="00FD3819" w:rsidRDefault="00C33033" w:rsidP="00C33033">
      <w:pPr>
        <w:pStyle w:val="EnvelopeReturn"/>
        <w:tabs>
          <w:tab w:val="left" w:pos="6480"/>
          <w:tab w:val="right" w:pos="7560"/>
        </w:tabs>
        <w:spacing w:before="0"/>
        <w:ind w:left="540"/>
        <w:rPr>
          <w:sz w:val="24"/>
          <w:szCs w:val="24"/>
          <w:lang w:val="lv-LV"/>
        </w:rPr>
      </w:pPr>
    </w:p>
    <w:p w:rsidR="00C33033" w:rsidRPr="00FD3819" w:rsidRDefault="00C33033" w:rsidP="00C33033">
      <w:pPr>
        <w:jc w:val="both"/>
        <w:rPr>
          <w:noProof/>
          <w:sz w:val="24"/>
          <w:szCs w:val="24"/>
        </w:rPr>
      </w:pPr>
      <w:r w:rsidRPr="00FD3819">
        <w:rPr>
          <w:sz w:val="24"/>
          <w:szCs w:val="24"/>
        </w:rPr>
        <w:t>Vīza: valsts sekretārs</w:t>
      </w:r>
      <w:r w:rsidRPr="00FD3819">
        <w:rPr>
          <w:sz w:val="24"/>
          <w:szCs w:val="24"/>
        </w:rPr>
        <w:tab/>
      </w:r>
      <w:r w:rsidRPr="00FD3819">
        <w:rPr>
          <w:sz w:val="24"/>
          <w:szCs w:val="24"/>
        </w:rPr>
        <w:tab/>
      </w:r>
      <w:r w:rsidRPr="00FD3819">
        <w:rPr>
          <w:sz w:val="24"/>
          <w:szCs w:val="24"/>
        </w:rPr>
        <w:tab/>
      </w:r>
      <w:r w:rsidRPr="00FD3819">
        <w:rPr>
          <w:sz w:val="24"/>
          <w:szCs w:val="24"/>
        </w:rPr>
        <w:tab/>
      </w:r>
      <w:r w:rsidRPr="00FD3819">
        <w:rPr>
          <w:sz w:val="24"/>
          <w:szCs w:val="24"/>
        </w:rPr>
        <w:tab/>
      </w:r>
      <w:r w:rsidRPr="00FD3819">
        <w:rPr>
          <w:sz w:val="24"/>
          <w:szCs w:val="24"/>
        </w:rPr>
        <w:tab/>
      </w:r>
      <w:r w:rsidRPr="00FD3819">
        <w:rPr>
          <w:sz w:val="24"/>
          <w:szCs w:val="24"/>
        </w:rPr>
        <w:tab/>
      </w:r>
      <w:r w:rsidRPr="00FD3819">
        <w:rPr>
          <w:sz w:val="24"/>
          <w:szCs w:val="24"/>
        </w:rPr>
        <w:tab/>
        <w:t>J.Sārts</w:t>
      </w:r>
    </w:p>
    <w:p w:rsidR="00C33033" w:rsidRPr="00FD3819" w:rsidRDefault="00C33033"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8E4398" w:rsidRPr="00FD3819" w:rsidRDefault="008E4398" w:rsidP="00C33033">
      <w:pPr>
        <w:rPr>
          <w:sz w:val="24"/>
          <w:szCs w:val="24"/>
        </w:rPr>
      </w:pPr>
    </w:p>
    <w:p w:rsidR="00C33033" w:rsidRPr="00FD3819" w:rsidRDefault="00C33033" w:rsidP="00C33033">
      <w:pPr>
        <w:rPr>
          <w:sz w:val="24"/>
          <w:szCs w:val="24"/>
        </w:rPr>
      </w:pPr>
    </w:p>
    <w:bookmarkStart w:id="0" w:name="OLE_LINK1"/>
    <w:bookmarkStart w:id="1" w:name="OLE_LINK2"/>
    <w:p w:rsidR="00C33033" w:rsidRPr="00FD3819" w:rsidRDefault="00C33033" w:rsidP="00C33033">
      <w:pPr>
        <w:pStyle w:val="EnvelopeReturn"/>
        <w:tabs>
          <w:tab w:val="left" w:pos="6480"/>
          <w:tab w:val="right" w:pos="7560"/>
        </w:tabs>
        <w:spacing w:before="0"/>
        <w:jc w:val="both"/>
        <w:rPr>
          <w:sz w:val="20"/>
          <w:lang w:val="lv-LV"/>
        </w:rPr>
      </w:pPr>
      <w:r w:rsidRPr="00FD3819">
        <w:rPr>
          <w:sz w:val="20"/>
          <w:lang w:val="lv-LV"/>
        </w:rPr>
        <w:fldChar w:fldCharType="begin"/>
      </w:r>
      <w:r w:rsidRPr="00FD3819">
        <w:rPr>
          <w:sz w:val="20"/>
          <w:lang w:val="lv-LV"/>
        </w:rPr>
        <w:instrText xml:space="preserve"> DATE  \@ "dd.MM.yyyy H:mm"  \* MERGEFORMAT </w:instrText>
      </w:r>
      <w:r w:rsidRPr="00FD3819">
        <w:rPr>
          <w:sz w:val="20"/>
          <w:lang w:val="lv-LV"/>
        </w:rPr>
        <w:fldChar w:fldCharType="separate"/>
      </w:r>
      <w:r w:rsidR="00FD3819" w:rsidRPr="00FD3819">
        <w:rPr>
          <w:noProof/>
          <w:sz w:val="20"/>
          <w:lang w:val="lv-LV"/>
        </w:rPr>
        <w:t>15.10.2012 12:05</w:t>
      </w:r>
      <w:r w:rsidRPr="00FD3819">
        <w:rPr>
          <w:sz w:val="20"/>
          <w:lang w:val="lv-LV"/>
        </w:rPr>
        <w:fldChar w:fldCharType="end"/>
      </w:r>
    </w:p>
    <w:p w:rsidR="00C33033" w:rsidRPr="00FD3819" w:rsidRDefault="00C33033" w:rsidP="00C33033">
      <w:pPr>
        <w:pStyle w:val="EnvelopeReturn"/>
        <w:tabs>
          <w:tab w:val="left" w:pos="6480"/>
          <w:tab w:val="right" w:pos="7560"/>
        </w:tabs>
        <w:spacing w:before="0"/>
        <w:jc w:val="both"/>
        <w:rPr>
          <w:sz w:val="20"/>
          <w:lang w:val="lv-LV"/>
        </w:rPr>
      </w:pPr>
      <w:r w:rsidRPr="00FD3819">
        <w:rPr>
          <w:sz w:val="20"/>
          <w:lang w:val="lv-LV"/>
        </w:rPr>
        <w:fldChar w:fldCharType="begin"/>
      </w:r>
      <w:r w:rsidRPr="00FD3819">
        <w:rPr>
          <w:sz w:val="20"/>
          <w:lang w:val="lv-LV"/>
        </w:rPr>
        <w:instrText xml:space="preserve"> NUMWORDS  \# "0"  \* MERGEFORMAT </w:instrText>
      </w:r>
      <w:r w:rsidRPr="00FD3819">
        <w:rPr>
          <w:sz w:val="20"/>
          <w:lang w:val="lv-LV"/>
        </w:rPr>
        <w:fldChar w:fldCharType="separate"/>
      </w:r>
      <w:r w:rsidR="003A3C20">
        <w:rPr>
          <w:noProof/>
          <w:sz w:val="20"/>
          <w:lang w:val="lv-LV"/>
        </w:rPr>
        <w:t>1132</w:t>
      </w:r>
      <w:r w:rsidRPr="00FD3819">
        <w:rPr>
          <w:sz w:val="20"/>
          <w:lang w:val="lv-LV"/>
        </w:rPr>
        <w:fldChar w:fldCharType="end"/>
      </w:r>
    </w:p>
    <w:bookmarkEnd w:id="0"/>
    <w:bookmarkEnd w:id="1"/>
    <w:p w:rsidR="00C33033" w:rsidRPr="00FD3819" w:rsidRDefault="00C33033" w:rsidP="00C33033">
      <w:pPr>
        <w:pStyle w:val="Header"/>
        <w:rPr>
          <w:sz w:val="20"/>
          <w:szCs w:val="20"/>
        </w:rPr>
      </w:pPr>
      <w:proofErr w:type="spellStart"/>
      <w:r w:rsidRPr="00FD3819">
        <w:rPr>
          <w:sz w:val="20"/>
          <w:szCs w:val="20"/>
        </w:rPr>
        <w:t>H.Brinkmane</w:t>
      </w:r>
      <w:proofErr w:type="spellEnd"/>
    </w:p>
    <w:p w:rsidR="00C33033" w:rsidRPr="00FD3819" w:rsidRDefault="00C33033" w:rsidP="00C33033">
      <w:pPr>
        <w:pStyle w:val="Header"/>
        <w:rPr>
          <w:sz w:val="20"/>
          <w:szCs w:val="20"/>
        </w:rPr>
      </w:pPr>
      <w:r w:rsidRPr="00FD3819">
        <w:rPr>
          <w:sz w:val="20"/>
          <w:szCs w:val="20"/>
        </w:rPr>
        <w:fldChar w:fldCharType="begin"/>
      </w:r>
      <w:r w:rsidRPr="00FD3819">
        <w:rPr>
          <w:sz w:val="20"/>
          <w:szCs w:val="20"/>
        </w:rPr>
        <w:instrText xml:space="preserve"> COMMENTS  \* MERGEFORMAT </w:instrText>
      </w:r>
      <w:r w:rsidRPr="00FD3819">
        <w:rPr>
          <w:sz w:val="20"/>
          <w:szCs w:val="20"/>
        </w:rPr>
        <w:fldChar w:fldCharType="separate"/>
      </w:r>
      <w:r w:rsidRPr="00FD3819">
        <w:rPr>
          <w:sz w:val="20"/>
          <w:szCs w:val="20"/>
        </w:rPr>
        <w:t>tālr.: 67335233, fakss: 67229150,</w:t>
      </w:r>
    </w:p>
    <w:p w:rsidR="0026236D" w:rsidRPr="00FD3819" w:rsidRDefault="00C33033" w:rsidP="006E2F46">
      <w:pPr>
        <w:pStyle w:val="Header"/>
        <w:rPr>
          <w:sz w:val="20"/>
          <w:szCs w:val="20"/>
        </w:rPr>
      </w:pPr>
      <w:r w:rsidRPr="00FD3819">
        <w:rPr>
          <w:sz w:val="20"/>
          <w:szCs w:val="20"/>
          <w:lang w:val="en-GB"/>
        </w:rPr>
        <w:t>Helena.Brinkmane@mod.gov.lv</w:t>
      </w:r>
      <w:r w:rsidRPr="00FD3819">
        <w:rPr>
          <w:sz w:val="20"/>
          <w:szCs w:val="20"/>
        </w:rPr>
        <w:fldChar w:fldCharType="end"/>
      </w:r>
      <w:r w:rsidR="006E2F46" w:rsidRPr="00FD3819">
        <w:rPr>
          <w:sz w:val="20"/>
          <w:szCs w:val="20"/>
        </w:rPr>
        <w:t xml:space="preserve"> </w:t>
      </w:r>
      <w:bookmarkStart w:id="2" w:name="_GoBack"/>
      <w:bookmarkEnd w:id="2"/>
    </w:p>
    <w:sectPr w:rsidR="0026236D" w:rsidRPr="00FD3819" w:rsidSect="008E4398">
      <w:headerReference w:type="even" r:id="rId8"/>
      <w:headerReference w:type="default" r:id="rId9"/>
      <w:footerReference w:type="default" r:id="rId10"/>
      <w:footerReference w:type="first" r:id="rId11"/>
      <w:pgSz w:w="11906" w:h="16838"/>
      <w:pgMar w:top="1440" w:right="1800" w:bottom="993" w:left="1800" w:header="708" w:footer="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C4" w:rsidRDefault="003110C4">
      <w:r>
        <w:separator/>
      </w:r>
    </w:p>
  </w:endnote>
  <w:endnote w:type="continuationSeparator" w:id="0">
    <w:p w:rsidR="003110C4" w:rsidRDefault="0031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C4" w:rsidRDefault="003110C4" w:rsidP="008E4398">
    <w:pPr>
      <w:spacing w:before="100" w:beforeAutospacing="1" w:after="100" w:afterAutospacing="1"/>
      <w:jc w:val="both"/>
      <w:outlineLvl w:val="3"/>
    </w:pPr>
    <w:r w:rsidRPr="002E1B9C">
      <w:rPr>
        <w:sz w:val="20"/>
        <w:szCs w:val="20"/>
      </w:rPr>
      <w:t>AIMAnot_</w:t>
    </w:r>
    <w:r w:rsidR="006D4510">
      <w:rPr>
        <w:sz w:val="20"/>
        <w:szCs w:val="20"/>
      </w:rPr>
      <w:t>1</w:t>
    </w:r>
    <w:r w:rsidR="00FD3819">
      <w:rPr>
        <w:sz w:val="20"/>
        <w:szCs w:val="20"/>
      </w:rPr>
      <w:t>5</w:t>
    </w:r>
    <w:r>
      <w:rPr>
        <w:sz w:val="20"/>
        <w:szCs w:val="20"/>
      </w:rPr>
      <w:t>10</w:t>
    </w:r>
    <w:r w:rsidRPr="002E1B9C">
      <w:rPr>
        <w:sz w:val="20"/>
        <w:szCs w:val="20"/>
      </w:rPr>
      <w:t>1</w:t>
    </w:r>
    <w:r>
      <w:rPr>
        <w:sz w:val="20"/>
        <w:szCs w:val="20"/>
      </w:rPr>
      <w:t xml:space="preserve">2; </w:t>
    </w:r>
    <w:r w:rsidRPr="002E1B9C">
      <w:rPr>
        <w:rFonts w:eastAsia="Times New Roman"/>
        <w:bCs/>
        <w:sz w:val="20"/>
        <w:szCs w:val="20"/>
        <w:lang w:eastAsia="lv-LV"/>
      </w:rPr>
      <w:t>Likumprojekts „Grozījum</w:t>
    </w:r>
    <w:r>
      <w:rPr>
        <w:rFonts w:eastAsia="Times New Roman"/>
        <w:bCs/>
        <w:sz w:val="20"/>
        <w:szCs w:val="20"/>
        <w:lang w:eastAsia="lv-LV"/>
      </w:rPr>
      <w:t>i</w:t>
    </w:r>
    <w:r w:rsidRPr="002E1B9C">
      <w:rPr>
        <w:rFonts w:eastAsia="Times New Roman"/>
        <w:bCs/>
        <w:sz w:val="20"/>
        <w:szCs w:val="20"/>
        <w:lang w:eastAsia="lv-LV"/>
      </w:rPr>
      <w:t xml:space="preserve"> likumā </w:t>
    </w:r>
    <w:r>
      <w:rPr>
        <w:rFonts w:eastAsia="Times New Roman"/>
        <w:bCs/>
        <w:sz w:val="20"/>
        <w:szCs w:val="20"/>
        <w:lang w:eastAsia="lv-LV"/>
      </w:rPr>
      <w:t>„Par piesārņojumu”</w:t>
    </w:r>
    <w:r w:rsidRPr="002E1B9C">
      <w:rPr>
        <w:rFonts w:eastAsia="Times New Roman"/>
        <w:bCs/>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C4" w:rsidRPr="002E1B9C" w:rsidRDefault="003110C4" w:rsidP="0062235E">
    <w:pPr>
      <w:spacing w:before="100" w:beforeAutospacing="1" w:after="100" w:afterAutospacing="1"/>
      <w:jc w:val="both"/>
      <w:outlineLvl w:val="3"/>
      <w:rPr>
        <w:rFonts w:eastAsia="Times New Roman"/>
        <w:b/>
        <w:bCs/>
        <w:sz w:val="20"/>
        <w:szCs w:val="20"/>
        <w:lang w:eastAsia="lv-LV"/>
      </w:rPr>
    </w:pPr>
    <w:r w:rsidRPr="002E1B9C">
      <w:rPr>
        <w:sz w:val="20"/>
        <w:szCs w:val="20"/>
      </w:rPr>
      <w:t>AIMAnot_</w:t>
    </w:r>
    <w:r w:rsidR="006D4510">
      <w:rPr>
        <w:sz w:val="20"/>
        <w:szCs w:val="20"/>
      </w:rPr>
      <w:t>1</w:t>
    </w:r>
    <w:r w:rsidR="00FD3819">
      <w:rPr>
        <w:sz w:val="20"/>
        <w:szCs w:val="20"/>
      </w:rPr>
      <w:t>5</w:t>
    </w:r>
    <w:r>
      <w:rPr>
        <w:sz w:val="20"/>
        <w:szCs w:val="20"/>
      </w:rPr>
      <w:t>10</w:t>
    </w:r>
    <w:r w:rsidRPr="002E1B9C">
      <w:rPr>
        <w:sz w:val="20"/>
        <w:szCs w:val="20"/>
      </w:rPr>
      <w:t>1</w:t>
    </w:r>
    <w:r>
      <w:rPr>
        <w:sz w:val="20"/>
        <w:szCs w:val="20"/>
      </w:rPr>
      <w:t xml:space="preserve">2; </w:t>
    </w:r>
    <w:r w:rsidRPr="002E1B9C">
      <w:rPr>
        <w:rFonts w:eastAsia="Times New Roman"/>
        <w:bCs/>
        <w:sz w:val="20"/>
        <w:szCs w:val="20"/>
        <w:lang w:eastAsia="lv-LV"/>
      </w:rPr>
      <w:t>Likumprojekts „Grozījum</w:t>
    </w:r>
    <w:r>
      <w:rPr>
        <w:rFonts w:eastAsia="Times New Roman"/>
        <w:bCs/>
        <w:sz w:val="20"/>
        <w:szCs w:val="20"/>
        <w:lang w:eastAsia="lv-LV"/>
      </w:rPr>
      <w:t>i</w:t>
    </w:r>
    <w:r w:rsidRPr="002E1B9C">
      <w:rPr>
        <w:rFonts w:eastAsia="Times New Roman"/>
        <w:bCs/>
        <w:sz w:val="20"/>
        <w:szCs w:val="20"/>
        <w:lang w:eastAsia="lv-LV"/>
      </w:rPr>
      <w:t xml:space="preserve"> liku</w:t>
    </w:r>
    <w:r>
      <w:rPr>
        <w:rFonts w:eastAsia="Times New Roman"/>
        <w:bCs/>
        <w:sz w:val="20"/>
        <w:szCs w:val="20"/>
        <w:lang w:eastAsia="lv-LV"/>
      </w:rPr>
      <w:t>mā „</w:t>
    </w:r>
    <w:r w:rsidRPr="002E1B9C">
      <w:rPr>
        <w:rFonts w:eastAsia="Times New Roman"/>
        <w:bCs/>
        <w:sz w:val="20"/>
        <w:szCs w:val="20"/>
        <w:lang w:eastAsia="lv-LV"/>
      </w:rPr>
      <w:t>Par piesārņojumu</w:t>
    </w:r>
    <w:r>
      <w:rPr>
        <w:rFonts w:eastAsia="Times New Roman"/>
        <w:bCs/>
        <w:sz w:val="20"/>
        <w:szCs w:val="20"/>
        <w:lang w:eastAsia="lv-LV"/>
      </w:rPr>
      <w:t>”</w:t>
    </w:r>
    <w:r w:rsidRPr="002E1B9C">
      <w:rPr>
        <w:rFonts w:eastAsia="Times New Roman"/>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C4" w:rsidRDefault="003110C4">
      <w:r>
        <w:separator/>
      </w:r>
    </w:p>
  </w:footnote>
  <w:footnote w:type="continuationSeparator" w:id="0">
    <w:p w:rsidR="003110C4" w:rsidRDefault="0031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C4" w:rsidRDefault="003110C4" w:rsidP="006223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0C4" w:rsidRDefault="00311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C4" w:rsidRDefault="003110C4" w:rsidP="006223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C20">
      <w:rPr>
        <w:rStyle w:val="PageNumber"/>
        <w:noProof/>
      </w:rPr>
      <w:t>5</w:t>
    </w:r>
    <w:r>
      <w:rPr>
        <w:rStyle w:val="PageNumber"/>
      </w:rPr>
      <w:fldChar w:fldCharType="end"/>
    </w:r>
  </w:p>
  <w:p w:rsidR="003110C4" w:rsidRDefault="00311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33"/>
    <w:rsid w:val="00020D5F"/>
    <w:rsid w:val="00044B9E"/>
    <w:rsid w:val="000D4F33"/>
    <w:rsid w:val="000F2535"/>
    <w:rsid w:val="0015386A"/>
    <w:rsid w:val="00155528"/>
    <w:rsid w:val="001C25DB"/>
    <w:rsid w:val="001C2717"/>
    <w:rsid w:val="0026236D"/>
    <w:rsid w:val="002977DE"/>
    <w:rsid w:val="002A3E35"/>
    <w:rsid w:val="002E298A"/>
    <w:rsid w:val="002E4DB0"/>
    <w:rsid w:val="002F31BB"/>
    <w:rsid w:val="003029DA"/>
    <w:rsid w:val="00304507"/>
    <w:rsid w:val="003110C4"/>
    <w:rsid w:val="00375673"/>
    <w:rsid w:val="00381E6E"/>
    <w:rsid w:val="00387A03"/>
    <w:rsid w:val="00397FD8"/>
    <w:rsid w:val="003A3C20"/>
    <w:rsid w:val="003E4D10"/>
    <w:rsid w:val="00405347"/>
    <w:rsid w:val="00420ADC"/>
    <w:rsid w:val="00463D74"/>
    <w:rsid w:val="00471DD3"/>
    <w:rsid w:val="00492742"/>
    <w:rsid w:val="004C3BA3"/>
    <w:rsid w:val="004E0E26"/>
    <w:rsid w:val="004E1997"/>
    <w:rsid w:val="005053F9"/>
    <w:rsid w:val="0054731F"/>
    <w:rsid w:val="005C10C5"/>
    <w:rsid w:val="005D3013"/>
    <w:rsid w:val="005F2AFF"/>
    <w:rsid w:val="005F3161"/>
    <w:rsid w:val="006012DD"/>
    <w:rsid w:val="00621C82"/>
    <w:rsid w:val="0062235E"/>
    <w:rsid w:val="006752D9"/>
    <w:rsid w:val="00680D7C"/>
    <w:rsid w:val="006933AD"/>
    <w:rsid w:val="006A55D7"/>
    <w:rsid w:val="006C500C"/>
    <w:rsid w:val="006D4510"/>
    <w:rsid w:val="006E2F46"/>
    <w:rsid w:val="00715558"/>
    <w:rsid w:val="00733F3D"/>
    <w:rsid w:val="007635F3"/>
    <w:rsid w:val="00783E42"/>
    <w:rsid w:val="008455F0"/>
    <w:rsid w:val="008801F0"/>
    <w:rsid w:val="008804EF"/>
    <w:rsid w:val="008E4319"/>
    <w:rsid w:val="008E4398"/>
    <w:rsid w:val="00911D67"/>
    <w:rsid w:val="00976C10"/>
    <w:rsid w:val="00985AE2"/>
    <w:rsid w:val="00995C13"/>
    <w:rsid w:val="009A48D6"/>
    <w:rsid w:val="00A93E56"/>
    <w:rsid w:val="00AF319E"/>
    <w:rsid w:val="00AF3AC3"/>
    <w:rsid w:val="00B140C2"/>
    <w:rsid w:val="00B82D4C"/>
    <w:rsid w:val="00BC3E25"/>
    <w:rsid w:val="00BF5596"/>
    <w:rsid w:val="00BF7C83"/>
    <w:rsid w:val="00C33033"/>
    <w:rsid w:val="00C729FB"/>
    <w:rsid w:val="00CA588F"/>
    <w:rsid w:val="00CE3998"/>
    <w:rsid w:val="00D1282B"/>
    <w:rsid w:val="00D62DF6"/>
    <w:rsid w:val="00DB3A56"/>
    <w:rsid w:val="00DE4D23"/>
    <w:rsid w:val="00DE53BF"/>
    <w:rsid w:val="00EA3DC3"/>
    <w:rsid w:val="00EC07E1"/>
    <w:rsid w:val="00ED0618"/>
    <w:rsid w:val="00EF15C0"/>
    <w:rsid w:val="00F118AB"/>
    <w:rsid w:val="00F22346"/>
    <w:rsid w:val="00F86915"/>
    <w:rsid w:val="00FB42F5"/>
    <w:rsid w:val="00FD38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033"/>
    <w:rPr>
      <w:rFonts w:eastAsia="Calibri"/>
      <w:sz w:val="28"/>
      <w:szCs w:val="22"/>
      <w:lang w:eastAsia="en-US"/>
    </w:rPr>
  </w:style>
  <w:style w:type="paragraph" w:styleId="Heading4">
    <w:name w:val="heading 4"/>
    <w:basedOn w:val="Normal"/>
    <w:next w:val="Normal"/>
    <w:link w:val="Heading4Char"/>
    <w:uiPriority w:val="9"/>
    <w:semiHidden/>
    <w:unhideWhenUsed/>
    <w:qFormat/>
    <w:rsid w:val="00044B9E"/>
    <w:pPr>
      <w:keepNext/>
      <w:keepLines/>
      <w:spacing w:before="200"/>
      <w:outlineLvl w:val="3"/>
    </w:pPr>
    <w:rPr>
      <w:rFonts w:asciiTheme="majorHAnsi" w:eastAsiaTheme="majorEastAsia" w:hAnsiTheme="majorHAnsi" w:cstheme="majorBidi"/>
      <w:b/>
      <w:bCs/>
      <w:i/>
      <w:iCs/>
      <w:color w:val="4F81BD" w:themeColor="accent1"/>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033"/>
    <w:pPr>
      <w:tabs>
        <w:tab w:val="center" w:pos="4153"/>
        <w:tab w:val="right" w:pos="8306"/>
      </w:tabs>
    </w:pPr>
  </w:style>
  <w:style w:type="character" w:customStyle="1" w:styleId="HeaderChar">
    <w:name w:val="Header Char"/>
    <w:basedOn w:val="DefaultParagraphFont"/>
    <w:link w:val="Header"/>
    <w:uiPriority w:val="99"/>
    <w:rsid w:val="00C33033"/>
    <w:rPr>
      <w:rFonts w:eastAsia="Calibri"/>
      <w:sz w:val="28"/>
      <w:szCs w:val="22"/>
      <w:lang w:eastAsia="en-US"/>
    </w:rPr>
  </w:style>
  <w:style w:type="character" w:styleId="PageNumber">
    <w:name w:val="page number"/>
    <w:basedOn w:val="DefaultParagraphFont"/>
    <w:rsid w:val="00C33033"/>
  </w:style>
  <w:style w:type="paragraph" w:styleId="EnvelopeReturn">
    <w:name w:val="envelope return"/>
    <w:basedOn w:val="Normal"/>
    <w:rsid w:val="00C33033"/>
    <w:pPr>
      <w:keepLines/>
      <w:widowControl w:val="0"/>
      <w:spacing w:before="600"/>
    </w:pPr>
    <w:rPr>
      <w:rFonts w:eastAsia="Times New Roman"/>
      <w:sz w:val="26"/>
      <w:szCs w:val="20"/>
      <w:lang w:val="en-AU"/>
    </w:rPr>
  </w:style>
  <w:style w:type="paragraph" w:customStyle="1" w:styleId="naisc">
    <w:name w:val="naisc"/>
    <w:basedOn w:val="Normal"/>
    <w:rsid w:val="00C33033"/>
    <w:pPr>
      <w:suppressAutoHyphens/>
      <w:spacing w:before="75" w:after="75"/>
      <w:jc w:val="center"/>
    </w:pPr>
    <w:rPr>
      <w:rFonts w:eastAsia="Times New Roman"/>
      <w:sz w:val="24"/>
      <w:szCs w:val="24"/>
      <w:lang w:eastAsia="ar-SA"/>
    </w:rPr>
  </w:style>
  <w:style w:type="paragraph" w:styleId="BalloonText">
    <w:name w:val="Balloon Text"/>
    <w:basedOn w:val="Normal"/>
    <w:link w:val="BalloonTextChar"/>
    <w:rsid w:val="00C33033"/>
    <w:rPr>
      <w:rFonts w:ascii="Tahoma" w:hAnsi="Tahoma" w:cs="Tahoma"/>
      <w:sz w:val="16"/>
      <w:szCs w:val="16"/>
    </w:rPr>
  </w:style>
  <w:style w:type="character" w:customStyle="1" w:styleId="BalloonTextChar">
    <w:name w:val="Balloon Text Char"/>
    <w:basedOn w:val="DefaultParagraphFont"/>
    <w:link w:val="BalloonText"/>
    <w:rsid w:val="00C33033"/>
    <w:rPr>
      <w:rFonts w:ascii="Tahoma" w:eastAsia="Calibri" w:hAnsi="Tahoma" w:cs="Tahoma"/>
      <w:sz w:val="16"/>
      <w:szCs w:val="16"/>
      <w:lang w:eastAsia="en-US"/>
    </w:rPr>
  </w:style>
  <w:style w:type="paragraph" w:styleId="Footer">
    <w:name w:val="footer"/>
    <w:basedOn w:val="Normal"/>
    <w:link w:val="FooterChar"/>
    <w:rsid w:val="006752D9"/>
    <w:pPr>
      <w:tabs>
        <w:tab w:val="center" w:pos="4153"/>
        <w:tab w:val="right" w:pos="8306"/>
      </w:tabs>
    </w:pPr>
  </w:style>
  <w:style w:type="character" w:customStyle="1" w:styleId="FooterChar">
    <w:name w:val="Footer Char"/>
    <w:basedOn w:val="DefaultParagraphFont"/>
    <w:link w:val="Footer"/>
    <w:rsid w:val="006752D9"/>
    <w:rPr>
      <w:rFonts w:eastAsia="Calibri"/>
      <w:sz w:val="28"/>
      <w:szCs w:val="22"/>
      <w:lang w:eastAsia="en-US"/>
    </w:rPr>
  </w:style>
  <w:style w:type="character" w:styleId="CommentReference">
    <w:name w:val="annotation reference"/>
    <w:basedOn w:val="DefaultParagraphFont"/>
    <w:rsid w:val="00BF5596"/>
    <w:rPr>
      <w:sz w:val="16"/>
      <w:szCs w:val="16"/>
    </w:rPr>
  </w:style>
  <w:style w:type="paragraph" w:styleId="CommentText">
    <w:name w:val="annotation text"/>
    <w:basedOn w:val="Normal"/>
    <w:link w:val="CommentTextChar"/>
    <w:rsid w:val="00BF5596"/>
    <w:rPr>
      <w:sz w:val="20"/>
      <w:szCs w:val="20"/>
    </w:rPr>
  </w:style>
  <w:style w:type="character" w:customStyle="1" w:styleId="CommentTextChar">
    <w:name w:val="Comment Text Char"/>
    <w:basedOn w:val="DefaultParagraphFont"/>
    <w:link w:val="CommentText"/>
    <w:rsid w:val="00BF5596"/>
    <w:rPr>
      <w:rFonts w:eastAsia="Calibri"/>
      <w:lang w:eastAsia="en-US"/>
    </w:rPr>
  </w:style>
  <w:style w:type="paragraph" w:styleId="CommentSubject">
    <w:name w:val="annotation subject"/>
    <w:basedOn w:val="CommentText"/>
    <w:next w:val="CommentText"/>
    <w:link w:val="CommentSubjectChar"/>
    <w:rsid w:val="00BF5596"/>
    <w:rPr>
      <w:b/>
      <w:bCs/>
    </w:rPr>
  </w:style>
  <w:style w:type="character" w:customStyle="1" w:styleId="CommentSubjectChar">
    <w:name w:val="Comment Subject Char"/>
    <w:basedOn w:val="CommentTextChar"/>
    <w:link w:val="CommentSubject"/>
    <w:rsid w:val="00BF5596"/>
    <w:rPr>
      <w:rFonts w:eastAsia="Calibri"/>
      <w:b/>
      <w:bCs/>
      <w:lang w:eastAsia="en-US"/>
    </w:rPr>
  </w:style>
  <w:style w:type="character" w:customStyle="1" w:styleId="Heading4Char">
    <w:name w:val="Heading 4 Char"/>
    <w:basedOn w:val="DefaultParagraphFont"/>
    <w:link w:val="Heading4"/>
    <w:uiPriority w:val="9"/>
    <w:semiHidden/>
    <w:rsid w:val="00044B9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2F3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033"/>
    <w:rPr>
      <w:rFonts w:eastAsia="Calibri"/>
      <w:sz w:val="28"/>
      <w:szCs w:val="22"/>
      <w:lang w:eastAsia="en-US"/>
    </w:rPr>
  </w:style>
  <w:style w:type="paragraph" w:styleId="Heading4">
    <w:name w:val="heading 4"/>
    <w:basedOn w:val="Normal"/>
    <w:next w:val="Normal"/>
    <w:link w:val="Heading4Char"/>
    <w:uiPriority w:val="9"/>
    <w:semiHidden/>
    <w:unhideWhenUsed/>
    <w:qFormat/>
    <w:rsid w:val="00044B9E"/>
    <w:pPr>
      <w:keepNext/>
      <w:keepLines/>
      <w:spacing w:before="200"/>
      <w:outlineLvl w:val="3"/>
    </w:pPr>
    <w:rPr>
      <w:rFonts w:asciiTheme="majorHAnsi" w:eastAsiaTheme="majorEastAsia" w:hAnsiTheme="majorHAnsi" w:cstheme="majorBidi"/>
      <w:b/>
      <w:bCs/>
      <w:i/>
      <w:iCs/>
      <w:color w:val="4F81BD" w:themeColor="accent1"/>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033"/>
    <w:pPr>
      <w:tabs>
        <w:tab w:val="center" w:pos="4153"/>
        <w:tab w:val="right" w:pos="8306"/>
      </w:tabs>
    </w:pPr>
  </w:style>
  <w:style w:type="character" w:customStyle="1" w:styleId="HeaderChar">
    <w:name w:val="Header Char"/>
    <w:basedOn w:val="DefaultParagraphFont"/>
    <w:link w:val="Header"/>
    <w:uiPriority w:val="99"/>
    <w:rsid w:val="00C33033"/>
    <w:rPr>
      <w:rFonts w:eastAsia="Calibri"/>
      <w:sz w:val="28"/>
      <w:szCs w:val="22"/>
      <w:lang w:eastAsia="en-US"/>
    </w:rPr>
  </w:style>
  <w:style w:type="character" w:styleId="PageNumber">
    <w:name w:val="page number"/>
    <w:basedOn w:val="DefaultParagraphFont"/>
    <w:rsid w:val="00C33033"/>
  </w:style>
  <w:style w:type="paragraph" w:styleId="EnvelopeReturn">
    <w:name w:val="envelope return"/>
    <w:basedOn w:val="Normal"/>
    <w:rsid w:val="00C33033"/>
    <w:pPr>
      <w:keepLines/>
      <w:widowControl w:val="0"/>
      <w:spacing w:before="600"/>
    </w:pPr>
    <w:rPr>
      <w:rFonts w:eastAsia="Times New Roman"/>
      <w:sz w:val="26"/>
      <w:szCs w:val="20"/>
      <w:lang w:val="en-AU"/>
    </w:rPr>
  </w:style>
  <w:style w:type="paragraph" w:customStyle="1" w:styleId="naisc">
    <w:name w:val="naisc"/>
    <w:basedOn w:val="Normal"/>
    <w:rsid w:val="00C33033"/>
    <w:pPr>
      <w:suppressAutoHyphens/>
      <w:spacing w:before="75" w:after="75"/>
      <w:jc w:val="center"/>
    </w:pPr>
    <w:rPr>
      <w:rFonts w:eastAsia="Times New Roman"/>
      <w:sz w:val="24"/>
      <w:szCs w:val="24"/>
      <w:lang w:eastAsia="ar-SA"/>
    </w:rPr>
  </w:style>
  <w:style w:type="paragraph" w:styleId="BalloonText">
    <w:name w:val="Balloon Text"/>
    <w:basedOn w:val="Normal"/>
    <w:link w:val="BalloonTextChar"/>
    <w:rsid w:val="00C33033"/>
    <w:rPr>
      <w:rFonts w:ascii="Tahoma" w:hAnsi="Tahoma" w:cs="Tahoma"/>
      <w:sz w:val="16"/>
      <w:szCs w:val="16"/>
    </w:rPr>
  </w:style>
  <w:style w:type="character" w:customStyle="1" w:styleId="BalloonTextChar">
    <w:name w:val="Balloon Text Char"/>
    <w:basedOn w:val="DefaultParagraphFont"/>
    <w:link w:val="BalloonText"/>
    <w:rsid w:val="00C33033"/>
    <w:rPr>
      <w:rFonts w:ascii="Tahoma" w:eastAsia="Calibri" w:hAnsi="Tahoma" w:cs="Tahoma"/>
      <w:sz w:val="16"/>
      <w:szCs w:val="16"/>
      <w:lang w:eastAsia="en-US"/>
    </w:rPr>
  </w:style>
  <w:style w:type="paragraph" w:styleId="Footer">
    <w:name w:val="footer"/>
    <w:basedOn w:val="Normal"/>
    <w:link w:val="FooterChar"/>
    <w:rsid w:val="006752D9"/>
    <w:pPr>
      <w:tabs>
        <w:tab w:val="center" w:pos="4153"/>
        <w:tab w:val="right" w:pos="8306"/>
      </w:tabs>
    </w:pPr>
  </w:style>
  <w:style w:type="character" w:customStyle="1" w:styleId="FooterChar">
    <w:name w:val="Footer Char"/>
    <w:basedOn w:val="DefaultParagraphFont"/>
    <w:link w:val="Footer"/>
    <w:rsid w:val="006752D9"/>
    <w:rPr>
      <w:rFonts w:eastAsia="Calibri"/>
      <w:sz w:val="28"/>
      <w:szCs w:val="22"/>
      <w:lang w:eastAsia="en-US"/>
    </w:rPr>
  </w:style>
  <w:style w:type="character" w:styleId="CommentReference">
    <w:name w:val="annotation reference"/>
    <w:basedOn w:val="DefaultParagraphFont"/>
    <w:rsid w:val="00BF5596"/>
    <w:rPr>
      <w:sz w:val="16"/>
      <w:szCs w:val="16"/>
    </w:rPr>
  </w:style>
  <w:style w:type="paragraph" w:styleId="CommentText">
    <w:name w:val="annotation text"/>
    <w:basedOn w:val="Normal"/>
    <w:link w:val="CommentTextChar"/>
    <w:rsid w:val="00BF5596"/>
    <w:rPr>
      <w:sz w:val="20"/>
      <w:szCs w:val="20"/>
    </w:rPr>
  </w:style>
  <w:style w:type="character" w:customStyle="1" w:styleId="CommentTextChar">
    <w:name w:val="Comment Text Char"/>
    <w:basedOn w:val="DefaultParagraphFont"/>
    <w:link w:val="CommentText"/>
    <w:rsid w:val="00BF5596"/>
    <w:rPr>
      <w:rFonts w:eastAsia="Calibri"/>
      <w:lang w:eastAsia="en-US"/>
    </w:rPr>
  </w:style>
  <w:style w:type="paragraph" w:styleId="CommentSubject">
    <w:name w:val="annotation subject"/>
    <w:basedOn w:val="CommentText"/>
    <w:next w:val="CommentText"/>
    <w:link w:val="CommentSubjectChar"/>
    <w:rsid w:val="00BF5596"/>
    <w:rPr>
      <w:b/>
      <w:bCs/>
    </w:rPr>
  </w:style>
  <w:style w:type="character" w:customStyle="1" w:styleId="CommentSubjectChar">
    <w:name w:val="Comment Subject Char"/>
    <w:basedOn w:val="CommentTextChar"/>
    <w:link w:val="CommentSubject"/>
    <w:rsid w:val="00BF5596"/>
    <w:rPr>
      <w:rFonts w:eastAsia="Calibri"/>
      <w:b/>
      <w:bCs/>
      <w:lang w:eastAsia="en-US"/>
    </w:rPr>
  </w:style>
  <w:style w:type="character" w:customStyle="1" w:styleId="Heading4Char">
    <w:name w:val="Heading 4 Char"/>
    <w:basedOn w:val="DefaultParagraphFont"/>
    <w:link w:val="Heading4"/>
    <w:uiPriority w:val="9"/>
    <w:semiHidden/>
    <w:rsid w:val="00044B9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2F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4030-9917-4467-8BBC-1A58472E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F32398C.dotm</Template>
  <TotalTime>96</TotalTime>
  <Pages>5</Pages>
  <Words>1132</Words>
  <Characters>8549</Characters>
  <Application>Microsoft Office Word</Application>
  <DocSecurity>0</DocSecurity>
  <Lines>305</Lines>
  <Paragraphs>112</Paragraphs>
  <ScaleCrop>false</ScaleCrop>
  <HeadingPairs>
    <vt:vector size="2" baseType="variant">
      <vt:variant>
        <vt:lpstr>Title</vt:lpstr>
      </vt:variant>
      <vt:variant>
        <vt:i4>1</vt:i4>
      </vt:variant>
    </vt:vector>
  </HeadingPairs>
  <TitlesOfParts>
    <vt:vector size="1" baseType="lpstr">
      <vt:lpstr>Likumprojekts „Grozījums likumā „Par piesārņojumu”” sākotnējās ietekmes novērtējuma ziņojums (anotācija)</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piesārņojumu”” sākotnējās ietekmes novērtējuma ziņojums (anotācija)</dc:title>
  <dc:creator>Helēna Brinkmane</dc:creator>
  <dc:description>H.Brinkmane
tālr.: 67335233, fakss: 67229150,
Helena.Brinkmane@mod.gov.lv</dc:description>
  <cp:lastModifiedBy>Karīna Korsaka</cp:lastModifiedBy>
  <cp:revision>20</cp:revision>
  <cp:lastPrinted>2012-10-05T12:49:00Z</cp:lastPrinted>
  <dcterms:created xsi:type="dcterms:W3CDTF">2012-10-10T08:06:00Z</dcterms:created>
  <dcterms:modified xsi:type="dcterms:W3CDTF">2012-10-15T09:06:00Z</dcterms:modified>
</cp:coreProperties>
</file>