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AAFF8" w14:textId="700C2F90" w:rsidR="0032718B" w:rsidRPr="00531392" w:rsidRDefault="00CF4D3B" w:rsidP="00107913">
      <w:pPr>
        <w:pStyle w:val="naisvisr"/>
        <w:spacing w:before="0" w:beforeAutospacing="0" w:after="0" w:afterAutospacing="0"/>
        <w:jc w:val="center"/>
        <w:rPr>
          <w:b/>
          <w:sz w:val="26"/>
          <w:szCs w:val="26"/>
        </w:rPr>
      </w:pPr>
      <w:r w:rsidRPr="00531392">
        <w:rPr>
          <w:b/>
          <w:sz w:val="26"/>
          <w:szCs w:val="26"/>
        </w:rPr>
        <w:t xml:space="preserve">Ministru kabineta </w:t>
      </w:r>
      <w:r w:rsidR="00014EB6" w:rsidRPr="00531392">
        <w:rPr>
          <w:b/>
          <w:sz w:val="26"/>
          <w:szCs w:val="26"/>
        </w:rPr>
        <w:t xml:space="preserve">noteikumu </w:t>
      </w:r>
      <w:r w:rsidRPr="00531392">
        <w:rPr>
          <w:b/>
          <w:sz w:val="26"/>
          <w:szCs w:val="26"/>
        </w:rPr>
        <w:t xml:space="preserve">projekta </w:t>
      </w:r>
      <w:r w:rsidR="00014EB6" w:rsidRPr="00531392">
        <w:rPr>
          <w:b/>
          <w:sz w:val="26"/>
          <w:szCs w:val="26"/>
        </w:rPr>
        <w:t>„</w:t>
      </w:r>
      <w:r w:rsidR="007044CC" w:rsidRPr="00531392">
        <w:rPr>
          <w:b/>
          <w:sz w:val="26"/>
          <w:szCs w:val="26"/>
        </w:rPr>
        <w:t>Grozījumi Ministru kabineta 2009.gada 17.februāra noteikumos Nr.166 „Kārtība, kādā veidojamas, finansējamas un sagatavojamas Latvijas Nacionālo bruņoto spēku vienības, kas piedalās starptautiskajās operācijās un ātrās reaģēšanas spēkos”</w:t>
      </w:r>
      <w:r w:rsidR="00014EB6" w:rsidRPr="00531392">
        <w:rPr>
          <w:b/>
          <w:sz w:val="26"/>
          <w:szCs w:val="26"/>
        </w:rPr>
        <w:t xml:space="preserve">” </w:t>
      </w:r>
    </w:p>
    <w:p w14:paraId="51941171" w14:textId="434DA133" w:rsidR="0055133A" w:rsidRPr="00531392" w:rsidRDefault="0055133A" w:rsidP="00107913">
      <w:pPr>
        <w:pStyle w:val="naisvisr"/>
        <w:spacing w:before="0" w:beforeAutospacing="0" w:after="0" w:afterAutospacing="0"/>
        <w:jc w:val="center"/>
        <w:rPr>
          <w:b/>
          <w:sz w:val="26"/>
          <w:szCs w:val="26"/>
        </w:rPr>
      </w:pPr>
      <w:r w:rsidRPr="00531392">
        <w:rPr>
          <w:b/>
          <w:bCs/>
          <w:sz w:val="26"/>
          <w:szCs w:val="26"/>
        </w:rPr>
        <w:t>sākotnējās ietekmes novērtējuma ziņojums (anotācija)</w:t>
      </w:r>
    </w:p>
    <w:p w14:paraId="386E07A6" w14:textId="77777777" w:rsidR="0024678C" w:rsidRPr="00531392" w:rsidRDefault="0024678C" w:rsidP="0024678C">
      <w:pPr>
        <w:pStyle w:val="BodyText3"/>
        <w:jc w:val="center"/>
        <w:rPr>
          <w:i w:val="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2464"/>
        <w:gridCol w:w="6109"/>
      </w:tblGrid>
      <w:tr w:rsidR="0070526D" w:rsidRPr="00531392" w14:paraId="40FF6942" w14:textId="77777777" w:rsidTr="00EF329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14:paraId="70283ED9" w14:textId="77777777" w:rsidR="0070526D" w:rsidRPr="00531392" w:rsidRDefault="0070526D" w:rsidP="00F94DEB">
            <w:pPr>
              <w:pStyle w:val="ListParagraph"/>
              <w:numPr>
                <w:ilvl w:val="0"/>
                <w:numId w:val="2"/>
              </w:numPr>
              <w:jc w:val="center"/>
              <w:rPr>
                <w:rFonts w:eastAsia="Times New Roman" w:cs="Times New Roman"/>
                <w:b/>
                <w:bCs/>
                <w:sz w:val="26"/>
                <w:szCs w:val="26"/>
                <w:lang w:eastAsia="lv-LV"/>
              </w:rPr>
            </w:pPr>
            <w:r w:rsidRPr="00531392">
              <w:rPr>
                <w:rFonts w:eastAsia="Times New Roman" w:cs="Times New Roman"/>
                <w:b/>
                <w:bCs/>
                <w:sz w:val="26"/>
                <w:szCs w:val="26"/>
                <w:lang w:eastAsia="lv-LV"/>
              </w:rPr>
              <w:t>Tiesību akta projekta izstrādes nepieciešamība</w:t>
            </w:r>
          </w:p>
          <w:p w14:paraId="52FFF8FA" w14:textId="77777777" w:rsidR="00062334" w:rsidRPr="00531392" w:rsidRDefault="00062334" w:rsidP="00C030E6">
            <w:pPr>
              <w:pStyle w:val="ListParagraph"/>
              <w:ind w:left="840"/>
              <w:rPr>
                <w:rFonts w:eastAsia="Times New Roman" w:cs="Times New Roman"/>
                <w:sz w:val="26"/>
                <w:szCs w:val="26"/>
                <w:lang w:eastAsia="lv-LV"/>
              </w:rPr>
            </w:pPr>
          </w:p>
        </w:tc>
      </w:tr>
      <w:tr w:rsidR="0070526D" w:rsidRPr="00531392" w14:paraId="6A9B7A9F" w14:textId="77777777" w:rsidTr="0024678C">
        <w:trPr>
          <w:trHeight w:val="630"/>
          <w:tblCellSpacing w:w="0" w:type="dxa"/>
        </w:trPr>
        <w:tc>
          <w:tcPr>
            <w:tcW w:w="528" w:type="dxa"/>
            <w:tcBorders>
              <w:top w:val="outset" w:sz="6" w:space="0" w:color="auto"/>
              <w:left w:val="outset" w:sz="6" w:space="0" w:color="auto"/>
              <w:bottom w:val="outset" w:sz="6" w:space="0" w:color="auto"/>
              <w:right w:val="outset" w:sz="6" w:space="0" w:color="auto"/>
            </w:tcBorders>
            <w:hideMark/>
          </w:tcPr>
          <w:p w14:paraId="2175EC09" w14:textId="77777777" w:rsidR="0070526D" w:rsidRPr="00531392" w:rsidRDefault="0070526D" w:rsidP="0024678C">
            <w:pPr>
              <w:rPr>
                <w:rFonts w:eastAsia="Times New Roman" w:cs="Times New Roman"/>
                <w:sz w:val="26"/>
                <w:szCs w:val="26"/>
                <w:lang w:eastAsia="lv-LV"/>
              </w:rPr>
            </w:pPr>
            <w:r w:rsidRPr="00531392">
              <w:rPr>
                <w:rFonts w:eastAsia="Times New Roman" w:cs="Times New Roman"/>
                <w:sz w:val="26"/>
                <w:szCs w:val="26"/>
                <w:lang w:eastAsia="lv-LV"/>
              </w:rPr>
              <w:t> 1.</w:t>
            </w:r>
          </w:p>
        </w:tc>
        <w:tc>
          <w:tcPr>
            <w:tcW w:w="2464" w:type="dxa"/>
            <w:tcBorders>
              <w:top w:val="outset" w:sz="6" w:space="0" w:color="auto"/>
              <w:left w:val="outset" w:sz="6" w:space="0" w:color="auto"/>
              <w:bottom w:val="outset" w:sz="6" w:space="0" w:color="auto"/>
              <w:right w:val="outset" w:sz="6" w:space="0" w:color="auto"/>
            </w:tcBorders>
            <w:hideMark/>
          </w:tcPr>
          <w:p w14:paraId="43ECCDB1" w14:textId="77777777" w:rsidR="0070526D" w:rsidRPr="00531392" w:rsidRDefault="0070526D" w:rsidP="0024678C">
            <w:pPr>
              <w:rPr>
                <w:rFonts w:eastAsia="Times New Roman" w:cs="Times New Roman"/>
                <w:sz w:val="26"/>
                <w:szCs w:val="26"/>
                <w:lang w:eastAsia="lv-LV"/>
              </w:rPr>
            </w:pPr>
            <w:r w:rsidRPr="00531392">
              <w:rPr>
                <w:rFonts w:eastAsia="Times New Roman" w:cs="Times New Roman"/>
                <w:sz w:val="26"/>
                <w:szCs w:val="26"/>
                <w:lang w:eastAsia="lv-LV"/>
              </w:rPr>
              <w:t> Pamatojums</w:t>
            </w:r>
          </w:p>
        </w:tc>
        <w:tc>
          <w:tcPr>
            <w:tcW w:w="6109" w:type="dxa"/>
            <w:tcBorders>
              <w:top w:val="outset" w:sz="6" w:space="0" w:color="auto"/>
              <w:left w:val="outset" w:sz="6" w:space="0" w:color="auto"/>
              <w:bottom w:val="outset" w:sz="6" w:space="0" w:color="auto"/>
              <w:right w:val="outset" w:sz="6" w:space="0" w:color="auto"/>
            </w:tcBorders>
            <w:hideMark/>
          </w:tcPr>
          <w:p w14:paraId="6E9BD085" w14:textId="5B78ACEF" w:rsidR="0070526D" w:rsidRPr="00531392" w:rsidRDefault="00640BB4" w:rsidP="00F94DEB">
            <w:pPr>
              <w:jc w:val="both"/>
              <w:rPr>
                <w:rFonts w:eastAsia="Times New Roman" w:cs="Times New Roman"/>
                <w:sz w:val="26"/>
                <w:szCs w:val="26"/>
                <w:lang w:eastAsia="lv-LV"/>
              </w:rPr>
            </w:pPr>
            <w:r w:rsidRPr="00531392">
              <w:rPr>
                <w:rFonts w:cs="Times New Roman"/>
                <w:sz w:val="26"/>
                <w:szCs w:val="26"/>
              </w:rPr>
              <w:t>Euro iev</w:t>
            </w:r>
            <w:r w:rsidR="00F94DEB" w:rsidRPr="00531392">
              <w:rPr>
                <w:rFonts w:cs="Times New Roman"/>
                <w:sz w:val="26"/>
                <w:szCs w:val="26"/>
              </w:rPr>
              <w:t>iešanas kārtības likuma 30.panta pirmā daļa</w:t>
            </w:r>
            <w:r w:rsidRPr="00531392">
              <w:rPr>
                <w:rFonts w:cs="Times New Roman"/>
                <w:sz w:val="26"/>
                <w:szCs w:val="26"/>
              </w:rPr>
              <w:t>,</w:t>
            </w:r>
            <w:r w:rsidR="000520FB" w:rsidRPr="00531392">
              <w:rPr>
                <w:rFonts w:cs="Times New Roman"/>
                <w:sz w:val="26"/>
                <w:szCs w:val="26"/>
              </w:rPr>
              <w:t xml:space="preserve"> </w:t>
            </w:r>
            <w:r w:rsidR="00863C1E" w:rsidRPr="00531392">
              <w:rPr>
                <w:rFonts w:eastAsia="Times New Roman" w:cs="Times New Roman"/>
                <w:sz w:val="26"/>
                <w:szCs w:val="26"/>
                <w:lang w:eastAsia="lv-LV"/>
              </w:rPr>
              <w:t xml:space="preserve">Ministru kabineta 2012.gada 27.jūnija rīkojuma </w:t>
            </w:r>
            <w:r w:rsidR="00F94DEB" w:rsidRPr="00531392">
              <w:rPr>
                <w:rFonts w:eastAsia="Times New Roman" w:cs="Times New Roman"/>
                <w:sz w:val="26"/>
                <w:szCs w:val="26"/>
                <w:lang w:eastAsia="lv-LV"/>
              </w:rPr>
              <w:t>Nr.282 „Par „</w:t>
            </w:r>
            <w:r w:rsidR="00863C1E" w:rsidRPr="00531392">
              <w:rPr>
                <w:rFonts w:eastAsia="Times New Roman" w:cs="Times New Roman"/>
                <w:sz w:val="26"/>
                <w:szCs w:val="26"/>
                <w:lang w:eastAsia="lv-LV"/>
              </w:rPr>
              <w:t>Koncepciju par normatīvo aktu sakārtošanu saistībā ar eiro iev</w:t>
            </w:r>
            <w:r w:rsidRPr="00531392">
              <w:rPr>
                <w:rFonts w:cs="Times New Roman"/>
                <w:sz w:val="26"/>
                <w:szCs w:val="26"/>
              </w:rPr>
              <w:t>i</w:t>
            </w:r>
            <w:r w:rsidR="00DD561C" w:rsidRPr="00531392">
              <w:rPr>
                <w:rFonts w:cs="Times New Roman"/>
                <w:sz w:val="26"/>
                <w:szCs w:val="26"/>
              </w:rPr>
              <w:t>ešanu Latvijā”” 7.1.apakšpunkt</w:t>
            </w:r>
            <w:r w:rsidR="00F94DEB" w:rsidRPr="00531392">
              <w:rPr>
                <w:rFonts w:cs="Times New Roman"/>
                <w:sz w:val="26"/>
                <w:szCs w:val="26"/>
              </w:rPr>
              <w:t>s un Latvijas Nacionālā</w:t>
            </w:r>
            <w:r w:rsidR="00F94DEB" w:rsidRPr="00531392">
              <w:rPr>
                <w:rFonts w:cs="Times New Roman"/>
                <w:i/>
                <w:sz w:val="26"/>
                <w:szCs w:val="26"/>
              </w:rPr>
              <w:t xml:space="preserve"> euro</w:t>
            </w:r>
            <w:r w:rsidR="00F94DEB" w:rsidRPr="00531392">
              <w:rPr>
                <w:rFonts w:cs="Times New Roman"/>
                <w:sz w:val="26"/>
                <w:szCs w:val="26"/>
              </w:rPr>
              <w:t xml:space="preserve"> ieviešanas plāna (apstiprināts ar Ministru kabineta 2013.gada 4.aprīļa rīk</w:t>
            </w:r>
            <w:r w:rsidR="00BE1F31" w:rsidRPr="00531392">
              <w:rPr>
                <w:rFonts w:cs="Times New Roman"/>
                <w:sz w:val="26"/>
                <w:szCs w:val="26"/>
              </w:rPr>
              <w:t>ojumu Nr.136) 1.pielikuma J2.2.2</w:t>
            </w:r>
            <w:r w:rsidR="00F94DEB" w:rsidRPr="00531392">
              <w:rPr>
                <w:rFonts w:cs="Times New Roman"/>
                <w:sz w:val="26"/>
                <w:szCs w:val="26"/>
              </w:rPr>
              <w:t xml:space="preserve"> apakšpunkts. </w:t>
            </w:r>
          </w:p>
        </w:tc>
      </w:tr>
      <w:tr w:rsidR="0070526D" w:rsidRPr="00531392" w14:paraId="6EEEAD5E" w14:textId="77777777" w:rsidTr="00E24549">
        <w:trPr>
          <w:trHeight w:val="472"/>
          <w:tblCellSpacing w:w="0" w:type="dxa"/>
        </w:trPr>
        <w:tc>
          <w:tcPr>
            <w:tcW w:w="528" w:type="dxa"/>
            <w:tcBorders>
              <w:top w:val="outset" w:sz="6" w:space="0" w:color="auto"/>
              <w:left w:val="outset" w:sz="6" w:space="0" w:color="auto"/>
              <w:bottom w:val="outset" w:sz="6" w:space="0" w:color="auto"/>
              <w:right w:val="outset" w:sz="6" w:space="0" w:color="auto"/>
            </w:tcBorders>
            <w:hideMark/>
          </w:tcPr>
          <w:p w14:paraId="69BC0CC9" w14:textId="77777777" w:rsidR="0070526D" w:rsidRPr="00531392" w:rsidRDefault="0070526D" w:rsidP="0070526D">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2.</w:t>
            </w:r>
          </w:p>
        </w:tc>
        <w:tc>
          <w:tcPr>
            <w:tcW w:w="2464" w:type="dxa"/>
            <w:tcBorders>
              <w:top w:val="outset" w:sz="6" w:space="0" w:color="auto"/>
              <w:left w:val="outset" w:sz="6" w:space="0" w:color="auto"/>
              <w:bottom w:val="outset" w:sz="6" w:space="0" w:color="auto"/>
              <w:right w:val="outset" w:sz="6" w:space="0" w:color="auto"/>
            </w:tcBorders>
            <w:hideMark/>
          </w:tcPr>
          <w:p w14:paraId="6E4371DA" w14:textId="77777777" w:rsidR="0070526D" w:rsidRPr="00531392" w:rsidRDefault="0070526D" w:rsidP="0030223A">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Pašreizējā situācija un problēmas</w:t>
            </w:r>
          </w:p>
        </w:tc>
        <w:tc>
          <w:tcPr>
            <w:tcW w:w="6109" w:type="dxa"/>
            <w:tcBorders>
              <w:top w:val="outset" w:sz="6" w:space="0" w:color="auto"/>
              <w:left w:val="outset" w:sz="6" w:space="0" w:color="auto"/>
              <w:bottom w:val="outset" w:sz="6" w:space="0" w:color="auto"/>
              <w:right w:val="outset" w:sz="6" w:space="0" w:color="auto"/>
            </w:tcBorders>
          </w:tcPr>
          <w:p w14:paraId="2C73BB8C" w14:textId="5F98043D" w:rsidR="0093094C" w:rsidRPr="00531392" w:rsidRDefault="00F94DEB" w:rsidP="00A25E2A">
            <w:pPr>
              <w:pStyle w:val="naisf"/>
              <w:spacing w:before="0" w:beforeAutospacing="0" w:after="0" w:afterAutospacing="0"/>
              <w:jc w:val="both"/>
              <w:rPr>
                <w:sz w:val="26"/>
                <w:szCs w:val="26"/>
              </w:rPr>
            </w:pPr>
            <w:r w:rsidRPr="00531392">
              <w:rPr>
                <w:sz w:val="26"/>
                <w:szCs w:val="26"/>
              </w:rPr>
              <w:t xml:space="preserve">Ņemot vērā, ka </w:t>
            </w:r>
            <w:r w:rsidR="00A25E2A" w:rsidRPr="00531392">
              <w:rPr>
                <w:sz w:val="26"/>
                <w:szCs w:val="26"/>
              </w:rPr>
              <w:t>2014.gada 1.janvārī</w:t>
            </w:r>
            <w:r w:rsidRPr="00531392">
              <w:rPr>
                <w:sz w:val="26"/>
                <w:szCs w:val="26"/>
              </w:rPr>
              <w:t xml:space="preserve"> Latvijā </w:t>
            </w:r>
            <w:r w:rsidR="00A25E2A" w:rsidRPr="00531392">
              <w:rPr>
                <w:sz w:val="26"/>
                <w:szCs w:val="26"/>
              </w:rPr>
              <w:t>tiks</w:t>
            </w:r>
            <w:r w:rsidRPr="00531392">
              <w:rPr>
                <w:sz w:val="26"/>
                <w:szCs w:val="26"/>
              </w:rPr>
              <w:t xml:space="preserve"> ieviest</w:t>
            </w:r>
            <w:r w:rsidR="00A25E2A" w:rsidRPr="00531392">
              <w:rPr>
                <w:sz w:val="26"/>
                <w:szCs w:val="26"/>
              </w:rPr>
              <w:t>a Eiropas vienotā valūta-</w:t>
            </w:r>
            <w:r w:rsidRPr="00531392">
              <w:rPr>
                <w:sz w:val="26"/>
                <w:szCs w:val="26"/>
              </w:rPr>
              <w:t xml:space="preserve"> </w:t>
            </w:r>
            <w:r w:rsidRPr="00531392">
              <w:rPr>
                <w:i/>
                <w:sz w:val="26"/>
                <w:szCs w:val="26"/>
              </w:rPr>
              <w:t>euro</w:t>
            </w:r>
            <w:r w:rsidRPr="00531392">
              <w:rPr>
                <w:sz w:val="26"/>
                <w:szCs w:val="26"/>
              </w:rPr>
              <w:t xml:space="preserve">, ir nepieciešams veikt grozījumus Ministru kabineta </w:t>
            </w:r>
            <w:r w:rsidR="002B2361" w:rsidRPr="00531392">
              <w:rPr>
                <w:sz w:val="26"/>
                <w:szCs w:val="26"/>
              </w:rPr>
              <w:t>2009.gada 17.februāra noteikumos Nr.166 „Kārtība, kādā veidojamas, finansējamas un sagatavojamas vienības, kas piedalās starptautiskajās operācijās un ātrās reaģēšanas spēkos”” (turpmāk – MK noteikumi Nr.166)</w:t>
            </w:r>
            <w:r w:rsidR="005366F2" w:rsidRPr="00531392">
              <w:rPr>
                <w:sz w:val="26"/>
                <w:szCs w:val="26"/>
              </w:rPr>
              <w:t>, aizstājot taj</w:t>
            </w:r>
            <w:r w:rsidR="002B2361" w:rsidRPr="00531392">
              <w:rPr>
                <w:sz w:val="26"/>
                <w:szCs w:val="26"/>
              </w:rPr>
              <w:t>os</w:t>
            </w:r>
            <w:r w:rsidR="005366F2" w:rsidRPr="00531392">
              <w:rPr>
                <w:sz w:val="26"/>
                <w:szCs w:val="26"/>
              </w:rPr>
              <w:t xml:space="preserve"> latus ar </w:t>
            </w:r>
            <w:r w:rsidR="005366F2" w:rsidRPr="00531392">
              <w:rPr>
                <w:i/>
                <w:sz w:val="26"/>
                <w:szCs w:val="26"/>
              </w:rPr>
              <w:t>euro</w:t>
            </w:r>
            <w:r w:rsidRPr="00531392">
              <w:rPr>
                <w:sz w:val="26"/>
                <w:szCs w:val="26"/>
              </w:rPr>
              <w:t xml:space="preserve">. </w:t>
            </w:r>
          </w:p>
        </w:tc>
      </w:tr>
      <w:tr w:rsidR="0070526D" w:rsidRPr="00531392" w14:paraId="22A464E0" w14:textId="77777777" w:rsidTr="0024678C">
        <w:trPr>
          <w:trHeight w:val="735"/>
          <w:tblCellSpacing w:w="0" w:type="dxa"/>
        </w:trPr>
        <w:tc>
          <w:tcPr>
            <w:tcW w:w="528" w:type="dxa"/>
            <w:tcBorders>
              <w:top w:val="outset" w:sz="6" w:space="0" w:color="auto"/>
              <w:left w:val="outset" w:sz="6" w:space="0" w:color="auto"/>
              <w:bottom w:val="outset" w:sz="6" w:space="0" w:color="auto"/>
              <w:right w:val="outset" w:sz="6" w:space="0" w:color="auto"/>
            </w:tcBorders>
            <w:hideMark/>
          </w:tcPr>
          <w:p w14:paraId="557DE23D" w14:textId="77777777" w:rsidR="0070526D" w:rsidRPr="00531392" w:rsidRDefault="0070526D" w:rsidP="0070526D">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3.</w:t>
            </w:r>
          </w:p>
        </w:tc>
        <w:tc>
          <w:tcPr>
            <w:tcW w:w="2464" w:type="dxa"/>
            <w:tcBorders>
              <w:top w:val="outset" w:sz="6" w:space="0" w:color="auto"/>
              <w:left w:val="outset" w:sz="6" w:space="0" w:color="auto"/>
              <w:bottom w:val="outset" w:sz="6" w:space="0" w:color="auto"/>
              <w:right w:val="outset" w:sz="6" w:space="0" w:color="auto"/>
            </w:tcBorders>
            <w:hideMark/>
          </w:tcPr>
          <w:p w14:paraId="595D17FF" w14:textId="77777777" w:rsidR="0070526D" w:rsidRPr="00531392" w:rsidRDefault="0070526D" w:rsidP="0070526D">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Saistītie politikas ietekmes novērtējumi un pētījumi</w:t>
            </w:r>
          </w:p>
        </w:tc>
        <w:tc>
          <w:tcPr>
            <w:tcW w:w="6109" w:type="dxa"/>
            <w:tcBorders>
              <w:top w:val="outset" w:sz="6" w:space="0" w:color="auto"/>
              <w:left w:val="outset" w:sz="6" w:space="0" w:color="auto"/>
              <w:bottom w:val="outset" w:sz="6" w:space="0" w:color="auto"/>
              <w:right w:val="outset" w:sz="6" w:space="0" w:color="auto"/>
            </w:tcBorders>
            <w:hideMark/>
          </w:tcPr>
          <w:p w14:paraId="636E89AC" w14:textId="77777777" w:rsidR="0070526D" w:rsidRPr="00531392" w:rsidRDefault="00E77C7F" w:rsidP="0070526D">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Projekts šo jomu neskar.</w:t>
            </w:r>
          </w:p>
        </w:tc>
      </w:tr>
      <w:tr w:rsidR="0070526D" w:rsidRPr="00531392" w14:paraId="016A6040" w14:textId="77777777" w:rsidTr="00E24549">
        <w:trPr>
          <w:trHeight w:val="384"/>
          <w:tblCellSpacing w:w="0" w:type="dxa"/>
        </w:trPr>
        <w:tc>
          <w:tcPr>
            <w:tcW w:w="528" w:type="dxa"/>
            <w:tcBorders>
              <w:top w:val="outset" w:sz="6" w:space="0" w:color="auto"/>
              <w:left w:val="outset" w:sz="6" w:space="0" w:color="auto"/>
              <w:bottom w:val="outset" w:sz="6" w:space="0" w:color="auto"/>
              <w:right w:val="outset" w:sz="6" w:space="0" w:color="auto"/>
            </w:tcBorders>
            <w:hideMark/>
          </w:tcPr>
          <w:p w14:paraId="17BEB39A" w14:textId="77777777" w:rsidR="0070526D" w:rsidRPr="00531392" w:rsidRDefault="0070526D" w:rsidP="0070526D">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4.</w:t>
            </w:r>
          </w:p>
        </w:tc>
        <w:tc>
          <w:tcPr>
            <w:tcW w:w="2464" w:type="dxa"/>
            <w:tcBorders>
              <w:top w:val="outset" w:sz="6" w:space="0" w:color="auto"/>
              <w:left w:val="outset" w:sz="6" w:space="0" w:color="auto"/>
              <w:bottom w:val="outset" w:sz="6" w:space="0" w:color="auto"/>
              <w:right w:val="outset" w:sz="6" w:space="0" w:color="auto"/>
            </w:tcBorders>
            <w:hideMark/>
          </w:tcPr>
          <w:p w14:paraId="09FCE6B4" w14:textId="77777777" w:rsidR="0070526D" w:rsidRPr="00531392" w:rsidRDefault="0070526D" w:rsidP="0070526D">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Tiesiskā regulējuma mērķis un būtība</w:t>
            </w:r>
          </w:p>
        </w:tc>
        <w:tc>
          <w:tcPr>
            <w:tcW w:w="6109" w:type="dxa"/>
            <w:tcBorders>
              <w:top w:val="outset" w:sz="6" w:space="0" w:color="auto"/>
              <w:left w:val="outset" w:sz="6" w:space="0" w:color="auto"/>
              <w:bottom w:val="outset" w:sz="6" w:space="0" w:color="auto"/>
              <w:right w:val="outset" w:sz="6" w:space="0" w:color="auto"/>
            </w:tcBorders>
          </w:tcPr>
          <w:p w14:paraId="494E6C97" w14:textId="3C973CE2" w:rsidR="002B2361" w:rsidRPr="00531392" w:rsidRDefault="00095DBE" w:rsidP="002B2361">
            <w:pPr>
              <w:pStyle w:val="naisf"/>
              <w:spacing w:before="0" w:beforeAutospacing="0" w:after="0" w:afterAutospacing="0"/>
              <w:jc w:val="both"/>
              <w:rPr>
                <w:sz w:val="26"/>
                <w:szCs w:val="26"/>
              </w:rPr>
            </w:pPr>
            <w:r w:rsidRPr="00531392">
              <w:rPr>
                <w:sz w:val="26"/>
                <w:szCs w:val="26"/>
              </w:rPr>
              <w:t>Projekta mērķis ir pielāgot MK noteikumus Nr.</w:t>
            </w:r>
            <w:r w:rsidR="002B2361" w:rsidRPr="00531392">
              <w:rPr>
                <w:sz w:val="26"/>
                <w:szCs w:val="26"/>
              </w:rPr>
              <w:t>166</w:t>
            </w:r>
            <w:r w:rsidRPr="00531392">
              <w:rPr>
                <w:sz w:val="26"/>
                <w:szCs w:val="26"/>
              </w:rPr>
              <w:t xml:space="preserve"> </w:t>
            </w:r>
            <w:r w:rsidRPr="00531392">
              <w:rPr>
                <w:i/>
                <w:sz w:val="26"/>
                <w:szCs w:val="26"/>
              </w:rPr>
              <w:t>euro</w:t>
            </w:r>
            <w:r w:rsidR="002B2361" w:rsidRPr="00531392">
              <w:rPr>
                <w:sz w:val="26"/>
                <w:szCs w:val="26"/>
              </w:rPr>
              <w:t xml:space="preserve"> ieviešanai. Projekts paredz aizstāt MK noteikumos Nr.166 latus</w:t>
            </w:r>
            <w:r w:rsidRPr="00531392">
              <w:rPr>
                <w:sz w:val="26"/>
                <w:szCs w:val="26"/>
              </w:rPr>
              <w:t xml:space="preserve"> </w:t>
            </w:r>
            <w:r w:rsidR="002B2361" w:rsidRPr="00531392">
              <w:rPr>
                <w:sz w:val="26"/>
                <w:szCs w:val="26"/>
              </w:rPr>
              <w:t>ar</w:t>
            </w:r>
            <w:r w:rsidRPr="00531392">
              <w:rPr>
                <w:sz w:val="26"/>
                <w:szCs w:val="26"/>
              </w:rPr>
              <w:t xml:space="preserve"> </w:t>
            </w:r>
            <w:r w:rsidRPr="00531392">
              <w:rPr>
                <w:i/>
                <w:sz w:val="26"/>
                <w:szCs w:val="26"/>
              </w:rPr>
              <w:t>euro</w:t>
            </w:r>
            <w:r w:rsidRPr="00531392">
              <w:rPr>
                <w:sz w:val="26"/>
                <w:szCs w:val="26"/>
              </w:rPr>
              <w:t xml:space="preserve"> atbilstoši </w:t>
            </w:r>
            <w:r w:rsidRPr="00531392">
              <w:rPr>
                <w:i/>
                <w:sz w:val="26"/>
                <w:szCs w:val="26"/>
              </w:rPr>
              <w:t>Euro</w:t>
            </w:r>
            <w:r w:rsidRPr="00531392">
              <w:rPr>
                <w:sz w:val="26"/>
                <w:szCs w:val="26"/>
              </w:rPr>
              <w:t xml:space="preserve"> ieviešanas kārtības likuma </w:t>
            </w:r>
            <w:r w:rsidR="002B2361" w:rsidRPr="00531392">
              <w:rPr>
                <w:sz w:val="26"/>
                <w:szCs w:val="26"/>
              </w:rPr>
              <w:t>32.panta</w:t>
            </w:r>
            <w:r w:rsidRPr="00531392">
              <w:rPr>
                <w:sz w:val="26"/>
                <w:szCs w:val="26"/>
              </w:rPr>
              <w:t xml:space="preserve"> </w:t>
            </w:r>
            <w:r w:rsidR="002B2361" w:rsidRPr="00531392">
              <w:rPr>
                <w:sz w:val="26"/>
                <w:szCs w:val="26"/>
              </w:rPr>
              <w:t xml:space="preserve">otrās daļas 2.punktā </w:t>
            </w:r>
            <w:r w:rsidR="00B91ED1" w:rsidRPr="00531392">
              <w:rPr>
                <w:sz w:val="26"/>
                <w:szCs w:val="26"/>
              </w:rPr>
              <w:t>noteiktajam</w:t>
            </w:r>
            <w:r w:rsidR="002B2361" w:rsidRPr="00531392">
              <w:rPr>
                <w:sz w:val="26"/>
                <w:szCs w:val="26"/>
              </w:rPr>
              <w:t xml:space="preserve"> principam un tajā paredzētajiem nosacījumiem.</w:t>
            </w:r>
          </w:p>
          <w:p w14:paraId="6DA9EF6E" w14:textId="77777777" w:rsidR="0094461E" w:rsidRPr="00531392" w:rsidRDefault="00095DBE" w:rsidP="002B2361">
            <w:pPr>
              <w:pStyle w:val="naisf"/>
              <w:spacing w:before="0" w:beforeAutospacing="0" w:after="0" w:afterAutospacing="0"/>
              <w:jc w:val="both"/>
              <w:rPr>
                <w:sz w:val="26"/>
                <w:szCs w:val="26"/>
              </w:rPr>
            </w:pPr>
            <w:r w:rsidRPr="00531392">
              <w:rPr>
                <w:sz w:val="26"/>
                <w:szCs w:val="26"/>
              </w:rPr>
              <w:t xml:space="preserve">Grozītās tiesību normas </w:t>
            </w:r>
            <w:r w:rsidRPr="00531392">
              <w:rPr>
                <w:i/>
                <w:sz w:val="26"/>
                <w:szCs w:val="26"/>
              </w:rPr>
              <w:t>euro</w:t>
            </w:r>
            <w:r w:rsidRPr="00531392">
              <w:rPr>
                <w:sz w:val="26"/>
                <w:szCs w:val="26"/>
              </w:rPr>
              <w:t xml:space="preserve"> valūtā nav personām nelabvēlīgākas par sākotnējo tiesību normu latos un nerada negatīvu ietekmi uz valsts budžetu.</w:t>
            </w:r>
            <w:r w:rsidR="0094461E" w:rsidRPr="00531392">
              <w:rPr>
                <w:sz w:val="26"/>
                <w:szCs w:val="26"/>
              </w:rPr>
              <w:t xml:space="preserve"> </w:t>
            </w:r>
          </w:p>
          <w:p w14:paraId="462B2D01" w14:textId="2AD2BDD6" w:rsidR="009A5FD3" w:rsidRPr="00531392" w:rsidRDefault="0094461E" w:rsidP="00E15714">
            <w:pPr>
              <w:pStyle w:val="naisf"/>
              <w:spacing w:before="0" w:beforeAutospacing="0" w:after="0" w:afterAutospacing="0"/>
              <w:jc w:val="both"/>
              <w:rPr>
                <w:sz w:val="26"/>
                <w:szCs w:val="26"/>
              </w:rPr>
            </w:pPr>
            <w:r w:rsidRPr="00531392">
              <w:rPr>
                <w:sz w:val="26"/>
                <w:szCs w:val="26"/>
              </w:rPr>
              <w:t xml:space="preserve">Ņemot vērā, ka vēsturiski starptautisko operāciju ietvaros paredzēto reprezentācijas u.c. izdevumu apmēri (limiti) ir izteikti veselos vienos, simtos un tūkstošos latu un ievērojot to, ka izpildās abi </w:t>
            </w:r>
            <w:r w:rsidRPr="00531392">
              <w:rPr>
                <w:i/>
                <w:sz w:val="26"/>
                <w:szCs w:val="26"/>
              </w:rPr>
              <w:t>Euro</w:t>
            </w:r>
            <w:r w:rsidRPr="00531392">
              <w:rPr>
                <w:sz w:val="26"/>
                <w:szCs w:val="26"/>
              </w:rPr>
              <w:t xml:space="preserve"> ieviešanas kārtības likuma 32.panta otrās daļas 2.punkta nosacījumi (jaunā tiesību norma nav personai nelabvēlīgāka par sākotnējo tiesību normu un tā ir fiskāli neitrāla), attiecīgi paredzēts atbilstošās summas noapaļot līdz veseliem vieniem</w:t>
            </w:r>
            <w:r w:rsidR="00E15714" w:rsidRPr="00531392">
              <w:rPr>
                <w:sz w:val="26"/>
                <w:szCs w:val="26"/>
              </w:rPr>
              <w:t xml:space="preserve"> </w:t>
            </w:r>
            <w:r w:rsidRPr="00531392">
              <w:rPr>
                <w:sz w:val="26"/>
                <w:szCs w:val="26"/>
              </w:rPr>
              <w:t xml:space="preserve">un tūkstošiem </w:t>
            </w:r>
            <w:r w:rsidRPr="00531392">
              <w:rPr>
                <w:i/>
                <w:sz w:val="26"/>
                <w:szCs w:val="26"/>
              </w:rPr>
              <w:t>euro</w:t>
            </w:r>
            <w:r w:rsidR="003C2CB7" w:rsidRPr="00531392">
              <w:rPr>
                <w:sz w:val="26"/>
                <w:szCs w:val="26"/>
              </w:rPr>
              <w:t>.</w:t>
            </w:r>
          </w:p>
        </w:tc>
      </w:tr>
      <w:tr w:rsidR="0070526D" w:rsidRPr="00531392" w14:paraId="2351EF0D" w14:textId="77777777" w:rsidTr="0024678C">
        <w:trPr>
          <w:trHeight w:val="476"/>
          <w:tblCellSpacing w:w="0" w:type="dxa"/>
        </w:trPr>
        <w:tc>
          <w:tcPr>
            <w:tcW w:w="528" w:type="dxa"/>
            <w:tcBorders>
              <w:top w:val="outset" w:sz="6" w:space="0" w:color="auto"/>
              <w:left w:val="outset" w:sz="6" w:space="0" w:color="auto"/>
              <w:bottom w:val="outset" w:sz="6" w:space="0" w:color="auto"/>
              <w:right w:val="outset" w:sz="6" w:space="0" w:color="auto"/>
            </w:tcBorders>
            <w:hideMark/>
          </w:tcPr>
          <w:p w14:paraId="68FB2567" w14:textId="60A8C30E" w:rsidR="0070526D" w:rsidRPr="00531392" w:rsidRDefault="0070526D" w:rsidP="0070526D">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5.</w:t>
            </w:r>
          </w:p>
        </w:tc>
        <w:tc>
          <w:tcPr>
            <w:tcW w:w="2464" w:type="dxa"/>
            <w:tcBorders>
              <w:top w:val="outset" w:sz="6" w:space="0" w:color="auto"/>
              <w:left w:val="outset" w:sz="6" w:space="0" w:color="auto"/>
              <w:bottom w:val="outset" w:sz="6" w:space="0" w:color="auto"/>
              <w:right w:val="outset" w:sz="6" w:space="0" w:color="auto"/>
            </w:tcBorders>
            <w:hideMark/>
          </w:tcPr>
          <w:p w14:paraId="05D6DC6E" w14:textId="77777777" w:rsidR="0070526D" w:rsidRPr="00531392" w:rsidRDefault="0070526D" w:rsidP="0070526D">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Projekta izstrādē iesaistītās institūcijas</w:t>
            </w:r>
          </w:p>
        </w:tc>
        <w:tc>
          <w:tcPr>
            <w:tcW w:w="6109" w:type="dxa"/>
            <w:tcBorders>
              <w:top w:val="outset" w:sz="6" w:space="0" w:color="auto"/>
              <w:left w:val="outset" w:sz="6" w:space="0" w:color="auto"/>
              <w:bottom w:val="outset" w:sz="6" w:space="0" w:color="auto"/>
              <w:right w:val="outset" w:sz="6" w:space="0" w:color="auto"/>
            </w:tcBorders>
            <w:hideMark/>
          </w:tcPr>
          <w:p w14:paraId="1ED31824" w14:textId="00718897" w:rsidR="0070526D" w:rsidRPr="00531392" w:rsidRDefault="0070526D" w:rsidP="00206CA1">
            <w:pPr>
              <w:spacing w:before="100" w:beforeAutospacing="1" w:after="100" w:afterAutospacing="1"/>
              <w:jc w:val="both"/>
              <w:rPr>
                <w:rFonts w:eastAsia="Times New Roman" w:cs="Times New Roman"/>
                <w:sz w:val="26"/>
                <w:szCs w:val="26"/>
                <w:lang w:eastAsia="lv-LV"/>
              </w:rPr>
            </w:pPr>
            <w:r w:rsidRPr="00531392">
              <w:rPr>
                <w:rFonts w:eastAsia="Times New Roman" w:cs="Times New Roman"/>
                <w:sz w:val="26"/>
                <w:szCs w:val="26"/>
                <w:lang w:eastAsia="lv-LV"/>
              </w:rPr>
              <w:t> </w:t>
            </w:r>
            <w:r w:rsidR="005F5C6F" w:rsidRPr="00531392">
              <w:rPr>
                <w:rFonts w:cs="Times New Roman"/>
                <w:sz w:val="26"/>
                <w:szCs w:val="26"/>
              </w:rPr>
              <w:t xml:space="preserve">Projekts </w:t>
            </w:r>
            <w:r w:rsidR="00DD0AEF" w:rsidRPr="00531392">
              <w:rPr>
                <w:rFonts w:cs="Times New Roman"/>
                <w:sz w:val="26"/>
                <w:szCs w:val="26"/>
              </w:rPr>
              <w:t>izstrādāts sadarbībā ar Nacionālajiem bruņotajiem spēkiem</w:t>
            </w:r>
            <w:r w:rsidR="00B91ED1" w:rsidRPr="00531392">
              <w:rPr>
                <w:rFonts w:cs="Times New Roman"/>
                <w:sz w:val="26"/>
                <w:szCs w:val="26"/>
              </w:rPr>
              <w:t>.</w:t>
            </w:r>
          </w:p>
        </w:tc>
      </w:tr>
      <w:tr w:rsidR="0070526D" w:rsidRPr="00531392" w14:paraId="137F1BD0" w14:textId="77777777" w:rsidTr="0024678C">
        <w:trPr>
          <w:trHeight w:val="901"/>
          <w:tblCellSpacing w:w="0" w:type="dxa"/>
        </w:trPr>
        <w:tc>
          <w:tcPr>
            <w:tcW w:w="528" w:type="dxa"/>
            <w:tcBorders>
              <w:top w:val="outset" w:sz="6" w:space="0" w:color="auto"/>
              <w:left w:val="outset" w:sz="6" w:space="0" w:color="auto"/>
              <w:bottom w:val="outset" w:sz="6" w:space="0" w:color="auto"/>
              <w:right w:val="outset" w:sz="6" w:space="0" w:color="auto"/>
            </w:tcBorders>
            <w:hideMark/>
          </w:tcPr>
          <w:p w14:paraId="194C94A0" w14:textId="77777777" w:rsidR="0070526D" w:rsidRPr="00531392" w:rsidRDefault="0070526D" w:rsidP="0070526D">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lastRenderedPageBreak/>
              <w:t> 6.</w:t>
            </w:r>
          </w:p>
        </w:tc>
        <w:tc>
          <w:tcPr>
            <w:tcW w:w="2464" w:type="dxa"/>
            <w:tcBorders>
              <w:top w:val="outset" w:sz="6" w:space="0" w:color="auto"/>
              <w:left w:val="outset" w:sz="6" w:space="0" w:color="auto"/>
              <w:bottom w:val="outset" w:sz="6" w:space="0" w:color="auto"/>
              <w:right w:val="outset" w:sz="6" w:space="0" w:color="auto"/>
            </w:tcBorders>
            <w:hideMark/>
          </w:tcPr>
          <w:p w14:paraId="29EE7BDE" w14:textId="77777777" w:rsidR="0070526D" w:rsidRPr="00531392" w:rsidRDefault="0070526D" w:rsidP="00CB589D">
            <w:pPr>
              <w:rPr>
                <w:rFonts w:eastAsia="Times New Roman" w:cs="Times New Roman"/>
                <w:sz w:val="26"/>
                <w:szCs w:val="26"/>
                <w:lang w:eastAsia="lv-LV"/>
              </w:rPr>
            </w:pPr>
            <w:r w:rsidRPr="00531392">
              <w:rPr>
                <w:rFonts w:eastAsia="Times New Roman" w:cs="Times New Roman"/>
                <w:sz w:val="26"/>
                <w:szCs w:val="26"/>
                <w:lang w:eastAsia="lv-LV"/>
              </w:rPr>
              <w:t> Iemesli, kādēļ netika nodrošināta sabiedrības līdzdalība</w:t>
            </w:r>
          </w:p>
        </w:tc>
        <w:tc>
          <w:tcPr>
            <w:tcW w:w="6109" w:type="dxa"/>
            <w:tcBorders>
              <w:top w:val="outset" w:sz="6" w:space="0" w:color="auto"/>
              <w:left w:val="outset" w:sz="6" w:space="0" w:color="auto"/>
              <w:bottom w:val="outset" w:sz="6" w:space="0" w:color="auto"/>
              <w:right w:val="outset" w:sz="6" w:space="0" w:color="auto"/>
            </w:tcBorders>
            <w:hideMark/>
          </w:tcPr>
          <w:p w14:paraId="3D12C0E6" w14:textId="055BE4E9" w:rsidR="0070526D" w:rsidRPr="00531392" w:rsidRDefault="00B91ED1" w:rsidP="00B71B92">
            <w:pPr>
              <w:jc w:val="both"/>
              <w:rPr>
                <w:rFonts w:eastAsia="Times New Roman" w:cs="Times New Roman"/>
                <w:i/>
                <w:sz w:val="26"/>
                <w:szCs w:val="26"/>
                <w:lang w:eastAsia="lv-LV"/>
              </w:rPr>
            </w:pPr>
            <w:r w:rsidRPr="00531392">
              <w:rPr>
                <w:rFonts w:eastAsia="Times New Roman" w:cs="Times New Roman"/>
                <w:sz w:val="26"/>
                <w:szCs w:val="26"/>
                <w:lang w:eastAsia="lv-LV"/>
              </w:rPr>
              <w:t>Sabiedrības līdzdalība projekta izstrādē netika nodrošināta, jo projekts nemaina pastāvošo tiesisko regulējumu pēc būtības.</w:t>
            </w:r>
          </w:p>
        </w:tc>
      </w:tr>
      <w:tr w:rsidR="0070526D" w:rsidRPr="00531392" w14:paraId="1B861573" w14:textId="77777777" w:rsidTr="0024678C">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14:paraId="0E5AAF64" w14:textId="77777777" w:rsidR="0070526D" w:rsidRPr="00531392" w:rsidRDefault="0070526D" w:rsidP="0070526D">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7.</w:t>
            </w:r>
          </w:p>
        </w:tc>
        <w:tc>
          <w:tcPr>
            <w:tcW w:w="2464" w:type="dxa"/>
            <w:tcBorders>
              <w:top w:val="outset" w:sz="6" w:space="0" w:color="auto"/>
              <w:left w:val="outset" w:sz="6" w:space="0" w:color="auto"/>
              <w:bottom w:val="outset" w:sz="6" w:space="0" w:color="auto"/>
              <w:right w:val="outset" w:sz="6" w:space="0" w:color="auto"/>
            </w:tcBorders>
            <w:hideMark/>
          </w:tcPr>
          <w:p w14:paraId="480744FA" w14:textId="77777777" w:rsidR="0070526D" w:rsidRPr="00531392" w:rsidRDefault="0070526D" w:rsidP="0070526D">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Cita informācija</w:t>
            </w:r>
          </w:p>
        </w:tc>
        <w:tc>
          <w:tcPr>
            <w:tcW w:w="6109" w:type="dxa"/>
            <w:tcBorders>
              <w:top w:val="outset" w:sz="6" w:space="0" w:color="auto"/>
              <w:left w:val="outset" w:sz="6" w:space="0" w:color="auto"/>
              <w:bottom w:val="outset" w:sz="6" w:space="0" w:color="auto"/>
              <w:right w:val="outset" w:sz="6" w:space="0" w:color="auto"/>
            </w:tcBorders>
            <w:hideMark/>
          </w:tcPr>
          <w:p w14:paraId="59EE06C2" w14:textId="6246DB21" w:rsidR="0070526D" w:rsidRPr="00531392" w:rsidRDefault="00B91ED1" w:rsidP="00B91ED1">
            <w:pPr>
              <w:spacing w:before="75" w:after="75"/>
              <w:jc w:val="both"/>
              <w:rPr>
                <w:rFonts w:eastAsia="Times New Roman" w:cs="Times New Roman"/>
                <w:sz w:val="26"/>
                <w:szCs w:val="26"/>
                <w:lang w:eastAsia="lv-LV"/>
              </w:rPr>
            </w:pPr>
            <w:r w:rsidRPr="00531392">
              <w:rPr>
                <w:rFonts w:eastAsia="Times New Roman" w:cs="Times New Roman"/>
                <w:sz w:val="26"/>
                <w:szCs w:val="26"/>
                <w:lang w:eastAsia="lv-LV"/>
              </w:rPr>
              <w:t xml:space="preserve">Projektam ir jābūt apstiprinātam un publicētam oficiālajā izdevumā „Latvijas Vēstnesis” līdz </w:t>
            </w:r>
            <w:r w:rsidRPr="00531392">
              <w:rPr>
                <w:rFonts w:eastAsia="Times New Roman" w:cs="Times New Roman"/>
                <w:i/>
                <w:sz w:val="26"/>
                <w:szCs w:val="26"/>
                <w:lang w:eastAsia="lv-LV"/>
              </w:rPr>
              <w:t>euro</w:t>
            </w:r>
            <w:r w:rsidRPr="00531392">
              <w:rPr>
                <w:rFonts w:eastAsia="Times New Roman" w:cs="Times New Roman"/>
                <w:sz w:val="26"/>
                <w:szCs w:val="26"/>
                <w:lang w:eastAsia="lv-LV"/>
              </w:rPr>
              <w:t xml:space="preserve"> ieviešanas dienai.</w:t>
            </w:r>
          </w:p>
        </w:tc>
      </w:tr>
    </w:tbl>
    <w:p w14:paraId="24A53CE8" w14:textId="77777777" w:rsidR="00580447" w:rsidRPr="00531392" w:rsidRDefault="00580447">
      <w:pPr>
        <w:rPr>
          <w:rFonts w:cs="Times New Roman"/>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2755"/>
        <w:gridCol w:w="5825"/>
      </w:tblGrid>
      <w:tr w:rsidR="0070526D" w:rsidRPr="00531392" w14:paraId="4ABDAA01" w14:textId="77777777" w:rsidTr="00453F7A">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14:paraId="2B1B2094" w14:textId="412E2C8C" w:rsidR="00062334" w:rsidRPr="00531392" w:rsidRDefault="0070526D" w:rsidP="0070526D">
            <w:pPr>
              <w:spacing w:before="100" w:beforeAutospacing="1" w:after="100" w:afterAutospacing="1"/>
              <w:rPr>
                <w:rFonts w:eastAsia="Times New Roman" w:cs="Times New Roman"/>
                <w:b/>
                <w:sz w:val="26"/>
                <w:szCs w:val="26"/>
                <w:lang w:eastAsia="lv-LV"/>
              </w:rPr>
            </w:pPr>
            <w:r w:rsidRPr="00531392">
              <w:rPr>
                <w:rFonts w:eastAsia="Times New Roman" w:cs="Times New Roman"/>
                <w:sz w:val="26"/>
                <w:szCs w:val="26"/>
                <w:lang w:eastAsia="lv-LV"/>
              </w:rPr>
              <w:t> </w:t>
            </w:r>
            <w:r w:rsidRPr="00531392">
              <w:rPr>
                <w:rFonts w:eastAsia="Times New Roman" w:cs="Times New Roman"/>
                <w:b/>
                <w:sz w:val="26"/>
                <w:szCs w:val="26"/>
                <w:lang w:eastAsia="lv-LV"/>
              </w:rPr>
              <w:t> II. Tiesību akta projekta ietekme uz sabiedrību</w:t>
            </w:r>
          </w:p>
        </w:tc>
      </w:tr>
      <w:tr w:rsidR="0070526D" w:rsidRPr="00531392" w14:paraId="05189B4D" w14:textId="77777777" w:rsidTr="00453F7A">
        <w:trPr>
          <w:trHeight w:val="467"/>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692FC9D8" w14:textId="77777777" w:rsidR="0070526D" w:rsidRPr="00531392" w:rsidRDefault="0070526D" w:rsidP="0070526D">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1.</w:t>
            </w:r>
          </w:p>
        </w:tc>
        <w:tc>
          <w:tcPr>
            <w:tcW w:w="2755" w:type="dxa"/>
            <w:tcBorders>
              <w:top w:val="outset" w:sz="6" w:space="0" w:color="auto"/>
              <w:left w:val="outset" w:sz="6" w:space="0" w:color="auto"/>
              <w:bottom w:val="outset" w:sz="6" w:space="0" w:color="auto"/>
              <w:right w:val="outset" w:sz="6" w:space="0" w:color="auto"/>
            </w:tcBorders>
            <w:hideMark/>
          </w:tcPr>
          <w:p w14:paraId="695F495E" w14:textId="77777777" w:rsidR="0070526D" w:rsidRPr="00531392" w:rsidRDefault="0070526D" w:rsidP="0070526D">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Sabiedrības mērķgrupa</w:t>
            </w:r>
          </w:p>
        </w:tc>
        <w:tc>
          <w:tcPr>
            <w:tcW w:w="5825" w:type="dxa"/>
            <w:tcBorders>
              <w:top w:val="outset" w:sz="6" w:space="0" w:color="auto"/>
              <w:left w:val="outset" w:sz="6" w:space="0" w:color="auto"/>
              <w:bottom w:val="outset" w:sz="6" w:space="0" w:color="auto"/>
              <w:right w:val="outset" w:sz="6" w:space="0" w:color="auto"/>
            </w:tcBorders>
            <w:hideMark/>
          </w:tcPr>
          <w:p w14:paraId="078E9C8E" w14:textId="1ADA4548" w:rsidR="0070526D" w:rsidRPr="00531392" w:rsidRDefault="0070526D" w:rsidP="00CA4B08">
            <w:pPr>
              <w:jc w:val="both"/>
              <w:rPr>
                <w:rFonts w:eastAsia="Times New Roman" w:cs="Times New Roman"/>
                <w:sz w:val="26"/>
                <w:szCs w:val="26"/>
                <w:lang w:eastAsia="lv-LV"/>
              </w:rPr>
            </w:pPr>
            <w:r w:rsidRPr="00531392">
              <w:rPr>
                <w:rFonts w:eastAsia="Times New Roman" w:cs="Times New Roman"/>
                <w:sz w:val="26"/>
                <w:szCs w:val="26"/>
                <w:lang w:eastAsia="lv-LV"/>
              </w:rPr>
              <w:t> </w:t>
            </w:r>
            <w:r w:rsidR="002D7C11" w:rsidRPr="00531392">
              <w:rPr>
                <w:rFonts w:cs="Times New Roman"/>
                <w:sz w:val="26"/>
                <w:szCs w:val="26"/>
              </w:rPr>
              <w:t>Nacionālo bruņoto spēku</w:t>
            </w:r>
            <w:r w:rsidR="00CA4B08" w:rsidRPr="00531392">
              <w:rPr>
                <w:rFonts w:cs="Times New Roman"/>
                <w:sz w:val="26"/>
                <w:szCs w:val="26"/>
              </w:rPr>
              <w:t xml:space="preserve"> profesionālā dienesta karavīri un zemessargi, kuri Nacionālo bruņoto vienību sastāvā piedalās starptautiskajās operācijās un ātrās reaģēšanas spēkos.</w:t>
            </w:r>
          </w:p>
        </w:tc>
      </w:tr>
      <w:tr w:rsidR="0070526D" w:rsidRPr="00531392" w14:paraId="0E080DD5" w14:textId="77777777" w:rsidTr="00453F7A">
        <w:trPr>
          <w:trHeight w:val="523"/>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1C0A96CB" w14:textId="77777777" w:rsidR="0070526D" w:rsidRPr="00531392" w:rsidRDefault="0070526D" w:rsidP="0070526D">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2.</w:t>
            </w:r>
          </w:p>
        </w:tc>
        <w:tc>
          <w:tcPr>
            <w:tcW w:w="2755" w:type="dxa"/>
            <w:tcBorders>
              <w:top w:val="outset" w:sz="6" w:space="0" w:color="auto"/>
              <w:left w:val="outset" w:sz="6" w:space="0" w:color="auto"/>
              <w:bottom w:val="outset" w:sz="6" w:space="0" w:color="auto"/>
              <w:right w:val="outset" w:sz="6" w:space="0" w:color="auto"/>
            </w:tcBorders>
            <w:hideMark/>
          </w:tcPr>
          <w:p w14:paraId="5D47979A" w14:textId="77777777" w:rsidR="0070526D" w:rsidRPr="00531392" w:rsidRDefault="0070526D" w:rsidP="0070526D">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Citas sabiedrības grupas (bez mērķgrupas), kuras tiesiskais regulējums arī ietekmē vai varētu ietekmēt</w:t>
            </w:r>
          </w:p>
        </w:tc>
        <w:tc>
          <w:tcPr>
            <w:tcW w:w="5825" w:type="dxa"/>
            <w:tcBorders>
              <w:top w:val="outset" w:sz="6" w:space="0" w:color="auto"/>
              <w:left w:val="outset" w:sz="6" w:space="0" w:color="auto"/>
              <w:bottom w:val="outset" w:sz="6" w:space="0" w:color="auto"/>
              <w:right w:val="outset" w:sz="6" w:space="0" w:color="auto"/>
            </w:tcBorders>
            <w:hideMark/>
          </w:tcPr>
          <w:p w14:paraId="1E8FCF15" w14:textId="77777777" w:rsidR="0070526D" w:rsidRPr="00531392" w:rsidRDefault="0070526D" w:rsidP="007E6B54">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w:t>
            </w:r>
            <w:r w:rsidR="00E77C7F" w:rsidRPr="00531392">
              <w:rPr>
                <w:rFonts w:eastAsia="Times New Roman" w:cs="Times New Roman"/>
                <w:sz w:val="26"/>
                <w:szCs w:val="26"/>
                <w:lang w:eastAsia="lv-LV"/>
              </w:rPr>
              <w:t>Projekts šo jomu neskar.</w:t>
            </w:r>
          </w:p>
        </w:tc>
      </w:tr>
      <w:tr w:rsidR="0070526D" w:rsidRPr="00531392" w14:paraId="0318673B" w14:textId="77777777" w:rsidTr="00453F7A">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66075681" w14:textId="77777777" w:rsidR="0070526D" w:rsidRPr="00531392" w:rsidRDefault="0070526D" w:rsidP="0070526D">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3.</w:t>
            </w:r>
          </w:p>
        </w:tc>
        <w:tc>
          <w:tcPr>
            <w:tcW w:w="2755" w:type="dxa"/>
            <w:tcBorders>
              <w:top w:val="outset" w:sz="6" w:space="0" w:color="auto"/>
              <w:left w:val="outset" w:sz="6" w:space="0" w:color="auto"/>
              <w:bottom w:val="outset" w:sz="6" w:space="0" w:color="auto"/>
              <w:right w:val="outset" w:sz="6" w:space="0" w:color="auto"/>
            </w:tcBorders>
            <w:hideMark/>
          </w:tcPr>
          <w:p w14:paraId="428E808F" w14:textId="77777777" w:rsidR="0070526D" w:rsidRPr="00531392" w:rsidRDefault="0070526D" w:rsidP="0070526D">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Tiesiskā regulējuma finansiālā ietekme</w:t>
            </w:r>
          </w:p>
        </w:tc>
        <w:tc>
          <w:tcPr>
            <w:tcW w:w="5825" w:type="dxa"/>
            <w:tcBorders>
              <w:top w:val="outset" w:sz="6" w:space="0" w:color="auto"/>
              <w:left w:val="outset" w:sz="6" w:space="0" w:color="auto"/>
              <w:bottom w:val="outset" w:sz="6" w:space="0" w:color="auto"/>
              <w:right w:val="outset" w:sz="6" w:space="0" w:color="auto"/>
            </w:tcBorders>
            <w:hideMark/>
          </w:tcPr>
          <w:p w14:paraId="6FE6C4CA" w14:textId="6FA6CB24" w:rsidR="0070526D" w:rsidRPr="00531392" w:rsidRDefault="009933D8" w:rsidP="00A44E13">
            <w:pPr>
              <w:spacing w:before="100" w:beforeAutospacing="1" w:after="100" w:afterAutospacing="1"/>
              <w:jc w:val="both"/>
              <w:rPr>
                <w:rFonts w:eastAsia="Times New Roman" w:cs="Times New Roman"/>
                <w:sz w:val="26"/>
                <w:szCs w:val="26"/>
                <w:lang w:eastAsia="lv-LV"/>
              </w:rPr>
            </w:pPr>
            <w:r w:rsidRPr="00531392">
              <w:rPr>
                <w:rFonts w:eastAsia="Times New Roman" w:cs="Times New Roman"/>
                <w:sz w:val="26"/>
                <w:szCs w:val="26"/>
                <w:lang w:eastAsia="lv-LV"/>
              </w:rPr>
              <w:t xml:space="preserve"> </w:t>
            </w:r>
            <w:r w:rsidR="00D03CC9" w:rsidRPr="00531392">
              <w:rPr>
                <w:rFonts w:eastAsia="Times New Roman" w:cs="Times New Roman"/>
                <w:sz w:val="26"/>
                <w:szCs w:val="26"/>
                <w:lang w:eastAsia="lv-LV"/>
              </w:rPr>
              <w:t>Projekt</w:t>
            </w:r>
            <w:r w:rsidR="00CA4B08" w:rsidRPr="00531392">
              <w:rPr>
                <w:rFonts w:eastAsia="Times New Roman" w:cs="Times New Roman"/>
                <w:sz w:val="26"/>
                <w:szCs w:val="26"/>
                <w:lang w:eastAsia="lv-LV"/>
              </w:rPr>
              <w:t>ā paredzētais regulējums nav ietekmētajai grupai nelabvēlīgāks par sākotnējo tiesību normu, Projekta izstrādē izmantots</w:t>
            </w:r>
            <w:r w:rsidR="00CA4B08" w:rsidRPr="00531392">
              <w:rPr>
                <w:rFonts w:eastAsia="Times New Roman" w:cs="Times New Roman"/>
                <w:i/>
                <w:sz w:val="26"/>
                <w:szCs w:val="26"/>
                <w:lang w:eastAsia="lv-LV"/>
              </w:rPr>
              <w:t xml:space="preserve"> Euro</w:t>
            </w:r>
            <w:r w:rsidR="00CA4B08" w:rsidRPr="00531392">
              <w:rPr>
                <w:rFonts w:eastAsia="Times New Roman" w:cs="Times New Roman"/>
                <w:sz w:val="26"/>
                <w:szCs w:val="26"/>
                <w:lang w:eastAsia="lv-LV"/>
              </w:rPr>
              <w:t xml:space="preserve"> ieviešanas kārtības likuma 32.panta otrās daļas 2.punkts, veicot</w:t>
            </w:r>
            <w:r w:rsidR="00A44E13" w:rsidRPr="00531392">
              <w:rPr>
                <w:rFonts w:eastAsia="Times New Roman" w:cs="Times New Roman"/>
                <w:sz w:val="26"/>
                <w:szCs w:val="26"/>
                <w:lang w:eastAsia="lv-LV"/>
              </w:rPr>
              <w:t xml:space="preserve"> starptautiskās operācijas rajonā reprezentācijas pasākumiem paredzētā līdzekļu apmēra noapaļošanu uz augšu līdz veseliem</w:t>
            </w:r>
            <w:r w:rsidR="00E15714" w:rsidRPr="00531392">
              <w:rPr>
                <w:rFonts w:eastAsia="Times New Roman" w:cs="Times New Roman"/>
                <w:sz w:val="26"/>
                <w:szCs w:val="26"/>
                <w:lang w:eastAsia="lv-LV"/>
              </w:rPr>
              <w:t xml:space="preserve"> vieniem un tūkstošiem</w:t>
            </w:r>
            <w:r w:rsidR="00A44E13" w:rsidRPr="00531392">
              <w:rPr>
                <w:rFonts w:eastAsia="Times New Roman" w:cs="Times New Roman"/>
                <w:i/>
                <w:sz w:val="26"/>
                <w:szCs w:val="26"/>
                <w:lang w:eastAsia="lv-LV"/>
              </w:rPr>
              <w:t xml:space="preserve"> euro</w:t>
            </w:r>
            <w:r w:rsidR="00D03CC9" w:rsidRPr="00531392">
              <w:rPr>
                <w:rFonts w:eastAsia="Times New Roman" w:cs="Times New Roman"/>
                <w:sz w:val="26"/>
                <w:szCs w:val="26"/>
                <w:lang w:eastAsia="lv-LV"/>
              </w:rPr>
              <w:t>.</w:t>
            </w:r>
          </w:p>
        </w:tc>
      </w:tr>
      <w:tr w:rsidR="0070526D" w:rsidRPr="00531392" w14:paraId="4017E775" w14:textId="77777777" w:rsidTr="00453F7A">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5A3D00FF" w14:textId="77777777" w:rsidR="0070526D" w:rsidRPr="00531392" w:rsidRDefault="0070526D" w:rsidP="0070526D">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4.</w:t>
            </w:r>
          </w:p>
        </w:tc>
        <w:tc>
          <w:tcPr>
            <w:tcW w:w="2755" w:type="dxa"/>
            <w:tcBorders>
              <w:top w:val="outset" w:sz="6" w:space="0" w:color="auto"/>
              <w:left w:val="outset" w:sz="6" w:space="0" w:color="auto"/>
              <w:bottom w:val="outset" w:sz="6" w:space="0" w:color="auto"/>
              <w:right w:val="outset" w:sz="6" w:space="0" w:color="auto"/>
            </w:tcBorders>
            <w:hideMark/>
          </w:tcPr>
          <w:p w14:paraId="715C2A2D" w14:textId="77777777" w:rsidR="0070526D" w:rsidRPr="00531392" w:rsidRDefault="0070526D" w:rsidP="0070526D">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Tiesiskā regulējuma nefinansiālā ietekme</w:t>
            </w:r>
          </w:p>
        </w:tc>
        <w:tc>
          <w:tcPr>
            <w:tcW w:w="5825" w:type="dxa"/>
            <w:tcBorders>
              <w:top w:val="outset" w:sz="6" w:space="0" w:color="auto"/>
              <w:left w:val="outset" w:sz="6" w:space="0" w:color="auto"/>
              <w:bottom w:val="outset" w:sz="6" w:space="0" w:color="auto"/>
              <w:right w:val="outset" w:sz="6" w:space="0" w:color="auto"/>
            </w:tcBorders>
            <w:hideMark/>
          </w:tcPr>
          <w:p w14:paraId="77CAF4A2" w14:textId="77777777" w:rsidR="0070526D" w:rsidRPr="00531392" w:rsidRDefault="0070526D" w:rsidP="00D90AC4">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w:t>
            </w:r>
            <w:r w:rsidR="00E77C7F" w:rsidRPr="00531392">
              <w:rPr>
                <w:rFonts w:eastAsia="Times New Roman" w:cs="Times New Roman"/>
                <w:sz w:val="26"/>
                <w:szCs w:val="26"/>
                <w:lang w:eastAsia="lv-LV"/>
              </w:rPr>
              <w:t>Projekts šo jomu neskar.</w:t>
            </w:r>
          </w:p>
        </w:tc>
      </w:tr>
      <w:tr w:rsidR="0070526D" w:rsidRPr="00531392" w14:paraId="1157855D" w14:textId="77777777" w:rsidTr="00453F7A">
        <w:trPr>
          <w:trHeight w:val="531"/>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7017500A" w14:textId="77777777" w:rsidR="0070526D" w:rsidRPr="00531392" w:rsidRDefault="0070526D" w:rsidP="0070526D">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5.</w:t>
            </w:r>
          </w:p>
        </w:tc>
        <w:tc>
          <w:tcPr>
            <w:tcW w:w="2755" w:type="dxa"/>
            <w:tcBorders>
              <w:top w:val="outset" w:sz="6" w:space="0" w:color="auto"/>
              <w:left w:val="outset" w:sz="6" w:space="0" w:color="auto"/>
              <w:bottom w:val="outset" w:sz="6" w:space="0" w:color="auto"/>
              <w:right w:val="outset" w:sz="6" w:space="0" w:color="auto"/>
            </w:tcBorders>
            <w:hideMark/>
          </w:tcPr>
          <w:p w14:paraId="496675FC" w14:textId="77777777" w:rsidR="0070526D" w:rsidRPr="00531392" w:rsidRDefault="0070526D" w:rsidP="0070526D">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Administratīvās procedūras raksturojums</w:t>
            </w:r>
          </w:p>
        </w:tc>
        <w:tc>
          <w:tcPr>
            <w:tcW w:w="5825" w:type="dxa"/>
            <w:tcBorders>
              <w:top w:val="outset" w:sz="6" w:space="0" w:color="auto"/>
              <w:left w:val="outset" w:sz="6" w:space="0" w:color="auto"/>
              <w:bottom w:val="outset" w:sz="6" w:space="0" w:color="auto"/>
              <w:right w:val="outset" w:sz="6" w:space="0" w:color="auto"/>
            </w:tcBorders>
            <w:hideMark/>
          </w:tcPr>
          <w:p w14:paraId="7AC9232E" w14:textId="77777777" w:rsidR="0070526D" w:rsidRPr="00531392" w:rsidRDefault="0070526D" w:rsidP="00D90AC4">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w:t>
            </w:r>
            <w:r w:rsidR="00E77C7F" w:rsidRPr="00531392">
              <w:rPr>
                <w:rFonts w:eastAsia="Times New Roman" w:cs="Times New Roman"/>
                <w:sz w:val="26"/>
                <w:szCs w:val="26"/>
                <w:lang w:eastAsia="lv-LV"/>
              </w:rPr>
              <w:t>Projekts šo jomu neskar.</w:t>
            </w:r>
          </w:p>
        </w:tc>
      </w:tr>
      <w:tr w:rsidR="0070526D" w:rsidRPr="00531392" w14:paraId="26512514" w14:textId="77777777" w:rsidTr="00453F7A">
        <w:trPr>
          <w:trHeight w:val="357"/>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65A3F8C1" w14:textId="77777777" w:rsidR="0070526D" w:rsidRPr="00531392" w:rsidRDefault="0070526D" w:rsidP="0070526D">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6.</w:t>
            </w:r>
          </w:p>
        </w:tc>
        <w:tc>
          <w:tcPr>
            <w:tcW w:w="2755" w:type="dxa"/>
            <w:tcBorders>
              <w:top w:val="outset" w:sz="6" w:space="0" w:color="auto"/>
              <w:left w:val="outset" w:sz="6" w:space="0" w:color="auto"/>
              <w:bottom w:val="outset" w:sz="6" w:space="0" w:color="auto"/>
              <w:right w:val="outset" w:sz="6" w:space="0" w:color="auto"/>
            </w:tcBorders>
            <w:hideMark/>
          </w:tcPr>
          <w:p w14:paraId="5E8AF840" w14:textId="77777777" w:rsidR="0070526D" w:rsidRPr="00531392" w:rsidRDefault="0070526D" w:rsidP="0070526D">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Administratīvo izmaksu monetārs novērtējums</w:t>
            </w:r>
          </w:p>
        </w:tc>
        <w:tc>
          <w:tcPr>
            <w:tcW w:w="5825" w:type="dxa"/>
            <w:tcBorders>
              <w:top w:val="outset" w:sz="6" w:space="0" w:color="auto"/>
              <w:left w:val="outset" w:sz="6" w:space="0" w:color="auto"/>
              <w:bottom w:val="outset" w:sz="6" w:space="0" w:color="auto"/>
              <w:right w:val="outset" w:sz="6" w:space="0" w:color="auto"/>
            </w:tcBorders>
            <w:hideMark/>
          </w:tcPr>
          <w:p w14:paraId="14629DEC" w14:textId="77777777" w:rsidR="0070526D" w:rsidRPr="00531392" w:rsidRDefault="0070526D" w:rsidP="006D3764">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w:t>
            </w:r>
            <w:r w:rsidR="00E77C7F" w:rsidRPr="00531392">
              <w:rPr>
                <w:rFonts w:eastAsia="Times New Roman" w:cs="Times New Roman"/>
                <w:sz w:val="26"/>
                <w:szCs w:val="26"/>
                <w:lang w:eastAsia="lv-LV"/>
              </w:rPr>
              <w:t>Projekts šo jomu neskar.</w:t>
            </w:r>
          </w:p>
        </w:tc>
      </w:tr>
      <w:tr w:rsidR="0070526D" w:rsidRPr="00531392" w14:paraId="3CF06B4A" w14:textId="77777777" w:rsidTr="00453F7A">
        <w:trPr>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1208288A" w14:textId="77777777" w:rsidR="0070526D" w:rsidRPr="00531392" w:rsidRDefault="0070526D" w:rsidP="00115E82">
            <w:pPr>
              <w:rPr>
                <w:rFonts w:eastAsia="Times New Roman" w:cs="Times New Roman"/>
                <w:sz w:val="26"/>
                <w:szCs w:val="26"/>
                <w:lang w:eastAsia="lv-LV"/>
              </w:rPr>
            </w:pPr>
            <w:r w:rsidRPr="00531392">
              <w:rPr>
                <w:rFonts w:eastAsia="Times New Roman" w:cs="Times New Roman"/>
                <w:sz w:val="26"/>
                <w:szCs w:val="26"/>
                <w:lang w:eastAsia="lv-LV"/>
              </w:rPr>
              <w:t> 7.</w:t>
            </w:r>
          </w:p>
        </w:tc>
        <w:tc>
          <w:tcPr>
            <w:tcW w:w="2755" w:type="dxa"/>
            <w:tcBorders>
              <w:top w:val="outset" w:sz="6" w:space="0" w:color="auto"/>
              <w:left w:val="outset" w:sz="6" w:space="0" w:color="auto"/>
              <w:bottom w:val="outset" w:sz="6" w:space="0" w:color="auto"/>
              <w:right w:val="outset" w:sz="6" w:space="0" w:color="auto"/>
            </w:tcBorders>
            <w:hideMark/>
          </w:tcPr>
          <w:p w14:paraId="5E07F96B" w14:textId="77777777" w:rsidR="0070526D" w:rsidRPr="00531392" w:rsidRDefault="0070526D" w:rsidP="00115E82">
            <w:pPr>
              <w:rPr>
                <w:rFonts w:eastAsia="Times New Roman" w:cs="Times New Roman"/>
                <w:sz w:val="26"/>
                <w:szCs w:val="26"/>
                <w:lang w:eastAsia="lv-LV"/>
              </w:rPr>
            </w:pPr>
            <w:r w:rsidRPr="00531392">
              <w:rPr>
                <w:rFonts w:eastAsia="Times New Roman" w:cs="Times New Roman"/>
                <w:sz w:val="26"/>
                <w:szCs w:val="26"/>
                <w:lang w:eastAsia="lv-LV"/>
              </w:rPr>
              <w:t> Cita informācija</w:t>
            </w:r>
          </w:p>
        </w:tc>
        <w:tc>
          <w:tcPr>
            <w:tcW w:w="5825" w:type="dxa"/>
            <w:tcBorders>
              <w:top w:val="outset" w:sz="6" w:space="0" w:color="auto"/>
              <w:left w:val="outset" w:sz="6" w:space="0" w:color="auto"/>
              <w:bottom w:val="outset" w:sz="6" w:space="0" w:color="auto"/>
              <w:right w:val="outset" w:sz="6" w:space="0" w:color="auto"/>
            </w:tcBorders>
            <w:hideMark/>
          </w:tcPr>
          <w:p w14:paraId="72F85C0E" w14:textId="77777777" w:rsidR="0070526D" w:rsidRPr="00531392" w:rsidRDefault="0070526D" w:rsidP="005E039A">
            <w:pPr>
              <w:rPr>
                <w:rFonts w:eastAsia="Times New Roman" w:cs="Times New Roman"/>
                <w:sz w:val="26"/>
                <w:szCs w:val="26"/>
                <w:lang w:eastAsia="lv-LV"/>
              </w:rPr>
            </w:pPr>
            <w:r w:rsidRPr="00531392">
              <w:rPr>
                <w:rFonts w:eastAsia="Times New Roman" w:cs="Times New Roman"/>
                <w:sz w:val="26"/>
                <w:szCs w:val="26"/>
                <w:lang w:eastAsia="lv-LV"/>
              </w:rPr>
              <w:t> Nav</w:t>
            </w:r>
          </w:p>
        </w:tc>
      </w:tr>
    </w:tbl>
    <w:p w14:paraId="6E50C66E" w14:textId="77777777" w:rsidR="00E4178A" w:rsidRPr="00531392" w:rsidRDefault="00E4178A" w:rsidP="00115E82">
      <w:pPr>
        <w:rPr>
          <w:rFonts w:eastAsia="Times New Roman" w:cs="Times New Roman"/>
          <w:i/>
          <w:iCs/>
          <w:sz w:val="26"/>
          <w:szCs w:val="26"/>
          <w:lang w:eastAsia="lv-LV"/>
        </w:rPr>
      </w:pPr>
    </w:p>
    <w:tbl>
      <w:tblPr>
        <w:tblW w:w="91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
        <w:gridCol w:w="453"/>
        <w:gridCol w:w="2025"/>
        <w:gridCol w:w="27"/>
        <w:gridCol w:w="1383"/>
        <w:gridCol w:w="1329"/>
        <w:gridCol w:w="1329"/>
        <w:gridCol w:w="1330"/>
        <w:gridCol w:w="1177"/>
        <w:gridCol w:w="53"/>
      </w:tblGrid>
      <w:tr w:rsidR="009C2967" w:rsidRPr="00531392" w14:paraId="36176B2A" w14:textId="77777777" w:rsidTr="006179CF">
        <w:trPr>
          <w:gridAfter w:val="1"/>
          <w:wAfter w:w="53" w:type="dxa"/>
          <w:tblCellSpacing w:w="0" w:type="dxa"/>
        </w:trPr>
        <w:tc>
          <w:tcPr>
            <w:tcW w:w="9101" w:type="dxa"/>
            <w:gridSpan w:val="9"/>
            <w:tcBorders>
              <w:top w:val="single" w:sz="4" w:space="0" w:color="auto"/>
              <w:left w:val="single" w:sz="4" w:space="0" w:color="auto"/>
              <w:bottom w:val="single" w:sz="4" w:space="0" w:color="auto"/>
              <w:right w:val="single" w:sz="4" w:space="0" w:color="auto"/>
            </w:tcBorders>
            <w:vAlign w:val="center"/>
            <w:hideMark/>
          </w:tcPr>
          <w:p w14:paraId="1CA66257" w14:textId="0DF0D3F9" w:rsidR="009C2967" w:rsidRPr="00531392" w:rsidRDefault="009C2967" w:rsidP="00580447">
            <w:pPr>
              <w:spacing w:before="100" w:beforeAutospacing="1" w:after="100" w:afterAutospacing="1"/>
              <w:rPr>
                <w:rFonts w:eastAsia="Times New Roman" w:cs="Times New Roman"/>
                <w:b/>
                <w:sz w:val="26"/>
                <w:szCs w:val="26"/>
                <w:lang w:eastAsia="lv-LV"/>
              </w:rPr>
            </w:pPr>
            <w:r w:rsidRPr="00531392">
              <w:rPr>
                <w:rFonts w:eastAsia="Times New Roman" w:cs="Times New Roman"/>
                <w:b/>
                <w:sz w:val="26"/>
                <w:szCs w:val="26"/>
                <w:lang w:eastAsia="lv-LV"/>
              </w:rPr>
              <w:t xml:space="preserve"> III. </w:t>
            </w:r>
            <w:r w:rsidRPr="00531392">
              <w:rPr>
                <w:rFonts w:eastAsia="Times New Roman" w:cs="Times New Roman"/>
                <w:b/>
                <w:color w:val="000000"/>
                <w:sz w:val="26"/>
                <w:szCs w:val="26"/>
                <w:lang w:eastAsia="lv-LV"/>
              </w:rPr>
              <w:t>Tiesību akta projekta ietekme uz valsts budžetu un pašvaldību budžetiem</w:t>
            </w:r>
          </w:p>
        </w:tc>
      </w:tr>
      <w:tr w:rsidR="006179CF" w:rsidRPr="00531392" w14:paraId="39B42255" w14:textId="77777777" w:rsidTr="00122C16">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8" w:type="dxa"/>
          <w:jc w:val="center"/>
        </w:trPr>
        <w:tc>
          <w:tcPr>
            <w:tcW w:w="250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CF25E75" w14:textId="77777777" w:rsidR="00257B70" w:rsidRPr="00531392" w:rsidRDefault="00257B70" w:rsidP="00580447">
            <w:pPr>
              <w:rPr>
                <w:rFonts w:eastAsia="Times New Roman" w:cs="Times New Roman"/>
                <w:sz w:val="26"/>
                <w:szCs w:val="26"/>
                <w:lang w:eastAsia="lv-LV"/>
              </w:rPr>
            </w:pPr>
            <w:r w:rsidRPr="00531392">
              <w:rPr>
                <w:rFonts w:eastAsia="Times New Roman" w:cs="Times New Roman"/>
                <w:sz w:val="26"/>
                <w:szCs w:val="26"/>
                <w:lang w:eastAsia="lv-LV"/>
              </w:rPr>
              <w:t>Rādītāji</w:t>
            </w:r>
          </w:p>
        </w:tc>
        <w:tc>
          <w:tcPr>
            <w:tcW w:w="271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91E722A" w14:textId="5DD463E6" w:rsidR="00257B70" w:rsidRPr="00531392" w:rsidRDefault="00257B70" w:rsidP="00580447">
            <w:pPr>
              <w:jc w:val="center"/>
              <w:rPr>
                <w:rFonts w:eastAsia="Times New Roman" w:cs="Times New Roman"/>
                <w:sz w:val="26"/>
                <w:szCs w:val="26"/>
                <w:lang w:eastAsia="lv-LV"/>
              </w:rPr>
            </w:pPr>
            <w:r w:rsidRPr="00531392">
              <w:rPr>
                <w:rFonts w:eastAsia="Times New Roman" w:cs="Times New Roman"/>
                <w:sz w:val="26"/>
                <w:szCs w:val="26"/>
                <w:lang w:eastAsia="lv-LV"/>
              </w:rPr>
              <w:t>2013. gads</w:t>
            </w:r>
            <w:r w:rsidR="00122C16" w:rsidRPr="00531392">
              <w:rPr>
                <w:rFonts w:eastAsia="Times New Roman" w:cs="Times New Roman"/>
                <w:sz w:val="26"/>
                <w:szCs w:val="26"/>
                <w:lang w:eastAsia="lv-LV"/>
              </w:rPr>
              <w:t xml:space="preserve"> (tūkst. latu)</w:t>
            </w:r>
          </w:p>
        </w:tc>
        <w:tc>
          <w:tcPr>
            <w:tcW w:w="3889" w:type="dxa"/>
            <w:gridSpan w:val="4"/>
            <w:tcBorders>
              <w:top w:val="single" w:sz="4" w:space="0" w:color="auto"/>
              <w:left w:val="single" w:sz="4" w:space="0" w:color="auto"/>
              <w:bottom w:val="single" w:sz="4" w:space="0" w:color="auto"/>
              <w:right w:val="single" w:sz="4" w:space="0" w:color="auto"/>
            </w:tcBorders>
            <w:vAlign w:val="center"/>
            <w:hideMark/>
          </w:tcPr>
          <w:p w14:paraId="300E8FEC" w14:textId="77777777" w:rsidR="00257B70" w:rsidRPr="00531392" w:rsidRDefault="00257B70" w:rsidP="00580447">
            <w:pPr>
              <w:rPr>
                <w:rFonts w:eastAsia="Times New Roman" w:cs="Times New Roman"/>
                <w:sz w:val="26"/>
                <w:szCs w:val="26"/>
                <w:lang w:eastAsia="lv-LV"/>
              </w:rPr>
            </w:pPr>
            <w:r w:rsidRPr="00531392">
              <w:rPr>
                <w:rFonts w:eastAsia="Times New Roman" w:cs="Times New Roman"/>
                <w:sz w:val="26"/>
                <w:szCs w:val="26"/>
                <w:lang w:eastAsia="lv-LV"/>
              </w:rPr>
              <w:t>Turpmākie trīs gadi (tūkst. euro)</w:t>
            </w:r>
          </w:p>
        </w:tc>
      </w:tr>
      <w:tr w:rsidR="00257B70" w:rsidRPr="00531392" w14:paraId="10770F9D" w14:textId="77777777" w:rsidTr="00122C16">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8" w:type="dxa"/>
          <w:jc w:val="center"/>
        </w:trPr>
        <w:tc>
          <w:tcPr>
            <w:tcW w:w="2505" w:type="dxa"/>
            <w:gridSpan w:val="3"/>
            <w:vMerge/>
            <w:tcBorders>
              <w:top w:val="single" w:sz="4" w:space="0" w:color="auto"/>
              <w:left w:val="single" w:sz="4" w:space="0" w:color="auto"/>
              <w:bottom w:val="single" w:sz="4" w:space="0" w:color="auto"/>
              <w:right w:val="single" w:sz="4" w:space="0" w:color="auto"/>
            </w:tcBorders>
            <w:vAlign w:val="center"/>
            <w:hideMark/>
          </w:tcPr>
          <w:p w14:paraId="4E95E94D" w14:textId="77777777" w:rsidR="00257B70" w:rsidRPr="00531392" w:rsidRDefault="00257B70" w:rsidP="00580447">
            <w:pPr>
              <w:rPr>
                <w:rFonts w:eastAsia="Times New Roman" w:cs="Times New Roman"/>
                <w:b/>
                <w:sz w:val="26"/>
                <w:szCs w:val="26"/>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hideMark/>
          </w:tcPr>
          <w:p w14:paraId="68240151" w14:textId="77777777" w:rsidR="00257B70" w:rsidRPr="00531392" w:rsidRDefault="00257B70" w:rsidP="00580447">
            <w:pPr>
              <w:rPr>
                <w:rFonts w:eastAsia="Times New Roman" w:cs="Times New Roman"/>
                <w:b/>
                <w:sz w:val="26"/>
                <w:szCs w:val="26"/>
              </w:rPr>
            </w:pPr>
          </w:p>
        </w:tc>
        <w:tc>
          <w:tcPr>
            <w:tcW w:w="1329" w:type="dxa"/>
            <w:tcBorders>
              <w:top w:val="single" w:sz="4" w:space="0" w:color="auto"/>
              <w:left w:val="single" w:sz="4" w:space="0" w:color="auto"/>
              <w:bottom w:val="single" w:sz="4" w:space="0" w:color="auto"/>
              <w:right w:val="single" w:sz="4" w:space="0" w:color="auto"/>
            </w:tcBorders>
            <w:vAlign w:val="center"/>
            <w:hideMark/>
          </w:tcPr>
          <w:p w14:paraId="4853722B" w14:textId="77777777" w:rsidR="00257B70" w:rsidRPr="00531392" w:rsidRDefault="00257B70" w:rsidP="00580447">
            <w:pPr>
              <w:pStyle w:val="naisf"/>
              <w:spacing w:before="0" w:after="0"/>
              <w:jc w:val="center"/>
              <w:rPr>
                <w:i/>
                <w:sz w:val="26"/>
                <w:szCs w:val="26"/>
                <w:lang w:eastAsia="en-US"/>
              </w:rPr>
            </w:pPr>
            <w:r w:rsidRPr="00531392">
              <w:rPr>
                <w:sz w:val="26"/>
                <w:szCs w:val="26"/>
                <w:lang w:eastAsia="en-US"/>
              </w:rPr>
              <w:t>2014. gads</w:t>
            </w:r>
          </w:p>
        </w:tc>
        <w:tc>
          <w:tcPr>
            <w:tcW w:w="1330" w:type="dxa"/>
            <w:tcBorders>
              <w:top w:val="single" w:sz="4" w:space="0" w:color="auto"/>
              <w:left w:val="single" w:sz="4" w:space="0" w:color="auto"/>
              <w:bottom w:val="single" w:sz="4" w:space="0" w:color="auto"/>
              <w:right w:val="single" w:sz="4" w:space="0" w:color="auto"/>
            </w:tcBorders>
            <w:vAlign w:val="center"/>
            <w:hideMark/>
          </w:tcPr>
          <w:p w14:paraId="444FAB1F" w14:textId="77777777" w:rsidR="00257B70" w:rsidRPr="00531392" w:rsidRDefault="00257B70" w:rsidP="00580447">
            <w:pPr>
              <w:pStyle w:val="naisf"/>
              <w:spacing w:before="0" w:after="0"/>
              <w:jc w:val="center"/>
              <w:rPr>
                <w:i/>
                <w:sz w:val="26"/>
                <w:szCs w:val="26"/>
                <w:lang w:eastAsia="en-US"/>
              </w:rPr>
            </w:pPr>
            <w:r w:rsidRPr="00531392">
              <w:rPr>
                <w:sz w:val="26"/>
                <w:szCs w:val="26"/>
                <w:lang w:eastAsia="en-US"/>
              </w:rPr>
              <w:t>2015. gads</w:t>
            </w:r>
          </w:p>
        </w:tc>
        <w:tc>
          <w:tcPr>
            <w:tcW w:w="1230" w:type="dxa"/>
            <w:gridSpan w:val="2"/>
            <w:tcBorders>
              <w:top w:val="single" w:sz="4" w:space="0" w:color="auto"/>
              <w:left w:val="single" w:sz="4" w:space="0" w:color="auto"/>
              <w:bottom w:val="single" w:sz="4" w:space="0" w:color="auto"/>
              <w:right w:val="single" w:sz="4" w:space="0" w:color="auto"/>
            </w:tcBorders>
            <w:vAlign w:val="center"/>
            <w:hideMark/>
          </w:tcPr>
          <w:p w14:paraId="3F649363" w14:textId="77777777" w:rsidR="00257B70" w:rsidRPr="00531392" w:rsidRDefault="00257B70" w:rsidP="00580447">
            <w:pPr>
              <w:pStyle w:val="naisf"/>
              <w:spacing w:before="0" w:after="0"/>
              <w:jc w:val="center"/>
              <w:rPr>
                <w:i/>
                <w:sz w:val="26"/>
                <w:szCs w:val="26"/>
                <w:lang w:eastAsia="en-US"/>
              </w:rPr>
            </w:pPr>
            <w:r w:rsidRPr="00531392">
              <w:rPr>
                <w:sz w:val="26"/>
                <w:szCs w:val="26"/>
                <w:lang w:eastAsia="en-US"/>
              </w:rPr>
              <w:t>2016. gads</w:t>
            </w:r>
          </w:p>
        </w:tc>
      </w:tr>
      <w:tr w:rsidR="00257B70" w:rsidRPr="00531392" w14:paraId="32DDC5B0" w14:textId="77777777" w:rsidTr="00122C16">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8" w:type="dxa"/>
          <w:jc w:val="center"/>
        </w:trPr>
        <w:tc>
          <w:tcPr>
            <w:tcW w:w="2505" w:type="dxa"/>
            <w:gridSpan w:val="3"/>
            <w:vMerge/>
            <w:tcBorders>
              <w:top w:val="single" w:sz="4" w:space="0" w:color="auto"/>
              <w:left w:val="single" w:sz="4" w:space="0" w:color="auto"/>
              <w:bottom w:val="single" w:sz="4" w:space="0" w:color="auto"/>
              <w:right w:val="single" w:sz="4" w:space="0" w:color="auto"/>
            </w:tcBorders>
            <w:vAlign w:val="center"/>
            <w:hideMark/>
          </w:tcPr>
          <w:p w14:paraId="429EBAEC" w14:textId="77777777" w:rsidR="00257B70" w:rsidRPr="00531392" w:rsidRDefault="00257B70" w:rsidP="00580447">
            <w:pPr>
              <w:rPr>
                <w:rFonts w:eastAsia="Times New Roman" w:cs="Times New Roman"/>
                <w:b/>
                <w:sz w:val="26"/>
                <w:szCs w:val="26"/>
              </w:rPr>
            </w:pPr>
          </w:p>
        </w:tc>
        <w:tc>
          <w:tcPr>
            <w:tcW w:w="1383" w:type="dxa"/>
            <w:tcBorders>
              <w:top w:val="single" w:sz="4" w:space="0" w:color="auto"/>
              <w:left w:val="single" w:sz="4" w:space="0" w:color="auto"/>
              <w:bottom w:val="single" w:sz="4" w:space="0" w:color="auto"/>
              <w:right w:val="single" w:sz="4" w:space="0" w:color="auto"/>
            </w:tcBorders>
            <w:vAlign w:val="center"/>
            <w:hideMark/>
          </w:tcPr>
          <w:p w14:paraId="5E75D51C" w14:textId="77777777" w:rsidR="00257B70" w:rsidRPr="00531392" w:rsidRDefault="00257B70" w:rsidP="00580447">
            <w:pPr>
              <w:pStyle w:val="naisf"/>
              <w:spacing w:before="0" w:after="0"/>
              <w:jc w:val="center"/>
              <w:rPr>
                <w:b/>
                <w:i/>
                <w:sz w:val="26"/>
                <w:szCs w:val="26"/>
                <w:lang w:eastAsia="en-US"/>
              </w:rPr>
            </w:pPr>
            <w:r w:rsidRPr="00531392">
              <w:rPr>
                <w:sz w:val="26"/>
                <w:szCs w:val="26"/>
                <w:lang w:eastAsia="en-US"/>
              </w:rPr>
              <w:t>Saskaņā ar valsts budžetu kārtējam gadam</w:t>
            </w:r>
          </w:p>
        </w:tc>
        <w:tc>
          <w:tcPr>
            <w:tcW w:w="1329" w:type="dxa"/>
            <w:tcBorders>
              <w:top w:val="single" w:sz="4" w:space="0" w:color="auto"/>
              <w:left w:val="single" w:sz="4" w:space="0" w:color="auto"/>
              <w:bottom w:val="single" w:sz="4" w:space="0" w:color="auto"/>
              <w:right w:val="single" w:sz="4" w:space="0" w:color="auto"/>
            </w:tcBorders>
            <w:vAlign w:val="center"/>
            <w:hideMark/>
          </w:tcPr>
          <w:p w14:paraId="697D8A28" w14:textId="77777777" w:rsidR="00257B70" w:rsidRPr="00531392" w:rsidRDefault="00257B70" w:rsidP="00580447">
            <w:pPr>
              <w:pStyle w:val="naisf"/>
              <w:spacing w:before="0" w:after="0"/>
              <w:jc w:val="center"/>
              <w:rPr>
                <w:b/>
                <w:i/>
                <w:sz w:val="26"/>
                <w:szCs w:val="26"/>
                <w:lang w:eastAsia="en-US"/>
              </w:rPr>
            </w:pPr>
            <w:r w:rsidRPr="00531392">
              <w:rPr>
                <w:sz w:val="26"/>
                <w:szCs w:val="26"/>
                <w:lang w:eastAsia="en-US"/>
              </w:rPr>
              <w:t>Izmaiņas kārtējā gadā, salīdzinot ar budžetu kārtējam gadam</w:t>
            </w:r>
          </w:p>
        </w:tc>
        <w:tc>
          <w:tcPr>
            <w:tcW w:w="1329" w:type="dxa"/>
            <w:tcBorders>
              <w:top w:val="single" w:sz="4" w:space="0" w:color="auto"/>
              <w:left w:val="single" w:sz="4" w:space="0" w:color="auto"/>
              <w:bottom w:val="single" w:sz="4" w:space="0" w:color="auto"/>
              <w:right w:val="single" w:sz="4" w:space="0" w:color="auto"/>
            </w:tcBorders>
            <w:vAlign w:val="center"/>
            <w:hideMark/>
          </w:tcPr>
          <w:p w14:paraId="102A0B75" w14:textId="77777777" w:rsidR="00257B70" w:rsidRPr="00531392" w:rsidRDefault="00257B70" w:rsidP="00580447">
            <w:pPr>
              <w:pStyle w:val="naisf"/>
              <w:spacing w:before="0" w:after="0"/>
              <w:jc w:val="center"/>
              <w:rPr>
                <w:b/>
                <w:i/>
                <w:sz w:val="26"/>
                <w:szCs w:val="26"/>
                <w:lang w:eastAsia="en-US"/>
              </w:rPr>
            </w:pPr>
            <w:r w:rsidRPr="00531392">
              <w:rPr>
                <w:sz w:val="26"/>
                <w:szCs w:val="26"/>
                <w:lang w:eastAsia="en-US"/>
              </w:rPr>
              <w:t>Izmaiņas, salīdzinot ar kārtējo 2013. gadu</w:t>
            </w:r>
          </w:p>
        </w:tc>
        <w:tc>
          <w:tcPr>
            <w:tcW w:w="1330" w:type="dxa"/>
            <w:tcBorders>
              <w:top w:val="single" w:sz="4" w:space="0" w:color="auto"/>
              <w:left w:val="single" w:sz="4" w:space="0" w:color="auto"/>
              <w:bottom w:val="single" w:sz="4" w:space="0" w:color="auto"/>
              <w:right w:val="single" w:sz="4" w:space="0" w:color="auto"/>
            </w:tcBorders>
            <w:vAlign w:val="center"/>
            <w:hideMark/>
          </w:tcPr>
          <w:p w14:paraId="380642B3" w14:textId="77777777" w:rsidR="00257B70" w:rsidRPr="00531392" w:rsidRDefault="00257B70" w:rsidP="00580447">
            <w:pPr>
              <w:pStyle w:val="naisf"/>
              <w:spacing w:before="0" w:after="0"/>
              <w:jc w:val="center"/>
              <w:rPr>
                <w:b/>
                <w:i/>
                <w:sz w:val="26"/>
                <w:szCs w:val="26"/>
                <w:lang w:eastAsia="en-US"/>
              </w:rPr>
            </w:pPr>
            <w:r w:rsidRPr="00531392">
              <w:rPr>
                <w:sz w:val="26"/>
                <w:szCs w:val="26"/>
                <w:lang w:eastAsia="en-US"/>
              </w:rPr>
              <w:t>Izmaiņas, salīdzinot ar kārtējo 2013. gadu</w:t>
            </w:r>
          </w:p>
        </w:tc>
        <w:tc>
          <w:tcPr>
            <w:tcW w:w="1230" w:type="dxa"/>
            <w:gridSpan w:val="2"/>
            <w:tcBorders>
              <w:top w:val="single" w:sz="4" w:space="0" w:color="auto"/>
              <w:left w:val="single" w:sz="4" w:space="0" w:color="auto"/>
              <w:bottom w:val="single" w:sz="4" w:space="0" w:color="auto"/>
              <w:right w:val="single" w:sz="4" w:space="0" w:color="auto"/>
            </w:tcBorders>
            <w:vAlign w:val="center"/>
            <w:hideMark/>
          </w:tcPr>
          <w:p w14:paraId="63399388" w14:textId="77777777" w:rsidR="00257B70" w:rsidRPr="00531392" w:rsidRDefault="00257B70" w:rsidP="00580447">
            <w:pPr>
              <w:pStyle w:val="naisf"/>
              <w:spacing w:before="0" w:after="0"/>
              <w:jc w:val="center"/>
              <w:rPr>
                <w:b/>
                <w:i/>
                <w:sz w:val="26"/>
                <w:szCs w:val="26"/>
                <w:lang w:eastAsia="en-US"/>
              </w:rPr>
            </w:pPr>
            <w:r w:rsidRPr="00531392">
              <w:rPr>
                <w:sz w:val="26"/>
                <w:szCs w:val="26"/>
                <w:lang w:eastAsia="en-US"/>
              </w:rPr>
              <w:t>Izmaiņas, salīdzinot ar kārtējo 2013. gadu</w:t>
            </w:r>
          </w:p>
        </w:tc>
      </w:tr>
      <w:tr w:rsidR="00257B70" w:rsidRPr="00531392" w14:paraId="50DAFDA1" w14:textId="77777777" w:rsidTr="00122C16">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8" w:type="dxa"/>
          <w:jc w:val="center"/>
        </w:trPr>
        <w:tc>
          <w:tcPr>
            <w:tcW w:w="2505" w:type="dxa"/>
            <w:gridSpan w:val="3"/>
            <w:tcBorders>
              <w:top w:val="single" w:sz="4" w:space="0" w:color="auto"/>
              <w:left w:val="single" w:sz="4" w:space="0" w:color="auto"/>
              <w:bottom w:val="single" w:sz="4" w:space="0" w:color="auto"/>
              <w:right w:val="single" w:sz="4" w:space="0" w:color="auto"/>
            </w:tcBorders>
            <w:vAlign w:val="center"/>
            <w:hideMark/>
          </w:tcPr>
          <w:p w14:paraId="00F5BF64" w14:textId="77777777" w:rsidR="00257B70" w:rsidRPr="00531392" w:rsidRDefault="00257B70" w:rsidP="00580447">
            <w:pPr>
              <w:pStyle w:val="naisf"/>
              <w:spacing w:before="0" w:after="0"/>
              <w:jc w:val="center"/>
              <w:rPr>
                <w:bCs/>
                <w:sz w:val="26"/>
                <w:szCs w:val="26"/>
                <w:lang w:eastAsia="en-US"/>
              </w:rPr>
            </w:pPr>
            <w:r w:rsidRPr="00531392">
              <w:rPr>
                <w:bCs/>
                <w:sz w:val="26"/>
                <w:szCs w:val="26"/>
                <w:lang w:eastAsia="en-US"/>
              </w:rPr>
              <w:t>1</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EBC199F" w14:textId="77777777" w:rsidR="00257B70" w:rsidRPr="00531392" w:rsidRDefault="00257B70" w:rsidP="00580447">
            <w:pPr>
              <w:pStyle w:val="naisf"/>
              <w:spacing w:before="0" w:after="0"/>
              <w:jc w:val="center"/>
              <w:rPr>
                <w:bCs/>
                <w:sz w:val="26"/>
                <w:szCs w:val="26"/>
                <w:lang w:eastAsia="en-US"/>
              </w:rPr>
            </w:pPr>
            <w:r w:rsidRPr="00531392">
              <w:rPr>
                <w:bCs/>
                <w:sz w:val="26"/>
                <w:szCs w:val="26"/>
                <w:lang w:eastAsia="en-US"/>
              </w:rPr>
              <w:t>2</w:t>
            </w:r>
          </w:p>
        </w:tc>
        <w:tc>
          <w:tcPr>
            <w:tcW w:w="1329" w:type="dxa"/>
            <w:tcBorders>
              <w:top w:val="single" w:sz="4" w:space="0" w:color="auto"/>
              <w:left w:val="single" w:sz="4" w:space="0" w:color="auto"/>
              <w:bottom w:val="single" w:sz="4" w:space="0" w:color="auto"/>
              <w:right w:val="single" w:sz="4" w:space="0" w:color="auto"/>
            </w:tcBorders>
            <w:vAlign w:val="center"/>
            <w:hideMark/>
          </w:tcPr>
          <w:p w14:paraId="412FCEBE" w14:textId="77777777" w:rsidR="00257B70" w:rsidRPr="00531392" w:rsidRDefault="00257B70" w:rsidP="00580447">
            <w:pPr>
              <w:pStyle w:val="naisf"/>
              <w:spacing w:before="0" w:after="0"/>
              <w:jc w:val="center"/>
              <w:rPr>
                <w:bCs/>
                <w:sz w:val="26"/>
                <w:szCs w:val="26"/>
                <w:lang w:eastAsia="en-US"/>
              </w:rPr>
            </w:pPr>
            <w:r w:rsidRPr="00531392">
              <w:rPr>
                <w:bCs/>
                <w:sz w:val="26"/>
                <w:szCs w:val="26"/>
                <w:lang w:eastAsia="en-US"/>
              </w:rPr>
              <w:t>3</w:t>
            </w:r>
          </w:p>
        </w:tc>
        <w:tc>
          <w:tcPr>
            <w:tcW w:w="1329" w:type="dxa"/>
            <w:tcBorders>
              <w:top w:val="single" w:sz="4" w:space="0" w:color="auto"/>
              <w:left w:val="single" w:sz="4" w:space="0" w:color="auto"/>
              <w:bottom w:val="single" w:sz="4" w:space="0" w:color="auto"/>
              <w:right w:val="single" w:sz="4" w:space="0" w:color="auto"/>
            </w:tcBorders>
            <w:vAlign w:val="center"/>
            <w:hideMark/>
          </w:tcPr>
          <w:p w14:paraId="621B1647" w14:textId="77777777" w:rsidR="00257B70" w:rsidRPr="00531392" w:rsidRDefault="00257B70" w:rsidP="00580447">
            <w:pPr>
              <w:pStyle w:val="naisf"/>
              <w:spacing w:before="0" w:after="0"/>
              <w:jc w:val="center"/>
              <w:rPr>
                <w:bCs/>
                <w:sz w:val="26"/>
                <w:szCs w:val="26"/>
                <w:lang w:eastAsia="en-US"/>
              </w:rPr>
            </w:pPr>
            <w:r w:rsidRPr="00531392">
              <w:rPr>
                <w:bCs/>
                <w:sz w:val="26"/>
                <w:szCs w:val="26"/>
                <w:lang w:eastAsia="en-US"/>
              </w:rPr>
              <w:t>4</w:t>
            </w:r>
          </w:p>
        </w:tc>
        <w:tc>
          <w:tcPr>
            <w:tcW w:w="1330" w:type="dxa"/>
            <w:tcBorders>
              <w:top w:val="single" w:sz="4" w:space="0" w:color="auto"/>
              <w:left w:val="single" w:sz="4" w:space="0" w:color="auto"/>
              <w:bottom w:val="single" w:sz="4" w:space="0" w:color="auto"/>
              <w:right w:val="single" w:sz="4" w:space="0" w:color="auto"/>
            </w:tcBorders>
            <w:vAlign w:val="center"/>
            <w:hideMark/>
          </w:tcPr>
          <w:p w14:paraId="44329808" w14:textId="77777777" w:rsidR="00257B70" w:rsidRPr="00531392" w:rsidRDefault="00257B70" w:rsidP="00580447">
            <w:pPr>
              <w:pStyle w:val="naisf"/>
              <w:spacing w:before="0" w:after="0"/>
              <w:jc w:val="center"/>
              <w:rPr>
                <w:bCs/>
                <w:sz w:val="26"/>
                <w:szCs w:val="26"/>
                <w:lang w:eastAsia="en-US"/>
              </w:rPr>
            </w:pPr>
            <w:r w:rsidRPr="00531392">
              <w:rPr>
                <w:bCs/>
                <w:sz w:val="26"/>
                <w:szCs w:val="26"/>
                <w:lang w:eastAsia="en-US"/>
              </w:rPr>
              <w:t>5</w:t>
            </w:r>
          </w:p>
        </w:tc>
        <w:tc>
          <w:tcPr>
            <w:tcW w:w="1230" w:type="dxa"/>
            <w:gridSpan w:val="2"/>
            <w:tcBorders>
              <w:top w:val="single" w:sz="4" w:space="0" w:color="auto"/>
              <w:left w:val="single" w:sz="4" w:space="0" w:color="auto"/>
              <w:bottom w:val="single" w:sz="4" w:space="0" w:color="auto"/>
              <w:right w:val="single" w:sz="4" w:space="0" w:color="auto"/>
            </w:tcBorders>
            <w:vAlign w:val="center"/>
            <w:hideMark/>
          </w:tcPr>
          <w:p w14:paraId="63FF3682" w14:textId="77777777" w:rsidR="00257B70" w:rsidRPr="00531392" w:rsidRDefault="00257B70" w:rsidP="00580447">
            <w:pPr>
              <w:pStyle w:val="naisf"/>
              <w:spacing w:before="0" w:after="0"/>
              <w:jc w:val="center"/>
              <w:rPr>
                <w:bCs/>
                <w:sz w:val="26"/>
                <w:szCs w:val="26"/>
                <w:lang w:eastAsia="en-US"/>
              </w:rPr>
            </w:pPr>
            <w:r w:rsidRPr="00531392">
              <w:rPr>
                <w:bCs/>
                <w:sz w:val="26"/>
                <w:szCs w:val="26"/>
                <w:lang w:eastAsia="en-US"/>
              </w:rPr>
              <w:t>6</w:t>
            </w:r>
          </w:p>
        </w:tc>
      </w:tr>
      <w:tr w:rsidR="00257B70" w:rsidRPr="00531392" w14:paraId="0FD91D7B" w14:textId="77777777" w:rsidTr="00122C16">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8" w:type="dxa"/>
          <w:jc w:val="center"/>
        </w:trPr>
        <w:tc>
          <w:tcPr>
            <w:tcW w:w="2505" w:type="dxa"/>
            <w:gridSpan w:val="3"/>
            <w:tcBorders>
              <w:top w:val="single" w:sz="4" w:space="0" w:color="auto"/>
              <w:left w:val="single" w:sz="4" w:space="0" w:color="auto"/>
              <w:bottom w:val="single" w:sz="4" w:space="0" w:color="auto"/>
              <w:right w:val="single" w:sz="4" w:space="0" w:color="auto"/>
            </w:tcBorders>
            <w:hideMark/>
          </w:tcPr>
          <w:p w14:paraId="7C40F29C" w14:textId="77777777" w:rsidR="00257B70" w:rsidRPr="00531392" w:rsidRDefault="00257B70" w:rsidP="00580447">
            <w:pPr>
              <w:pStyle w:val="naisf"/>
              <w:spacing w:before="0" w:after="0"/>
              <w:rPr>
                <w:i/>
                <w:sz w:val="26"/>
                <w:szCs w:val="26"/>
                <w:lang w:eastAsia="en-US"/>
              </w:rPr>
            </w:pPr>
            <w:r w:rsidRPr="00531392">
              <w:rPr>
                <w:sz w:val="26"/>
                <w:szCs w:val="26"/>
                <w:lang w:eastAsia="en-US"/>
              </w:rPr>
              <w:lastRenderedPageBreak/>
              <w:t>1. Budžeta ieņēmumi:</w:t>
            </w:r>
          </w:p>
        </w:tc>
        <w:tc>
          <w:tcPr>
            <w:tcW w:w="1383" w:type="dxa"/>
            <w:tcBorders>
              <w:top w:val="single" w:sz="4" w:space="0" w:color="auto"/>
              <w:left w:val="single" w:sz="4" w:space="0" w:color="auto"/>
              <w:bottom w:val="single" w:sz="4" w:space="0" w:color="auto"/>
              <w:right w:val="single" w:sz="4" w:space="0" w:color="auto"/>
            </w:tcBorders>
          </w:tcPr>
          <w:p w14:paraId="62A844CE" w14:textId="4915F7BC" w:rsidR="00257B70" w:rsidRPr="00531392" w:rsidRDefault="00122C16" w:rsidP="00580447">
            <w:pPr>
              <w:pStyle w:val="naisf"/>
              <w:spacing w:before="0" w:after="0"/>
              <w:jc w:val="center"/>
              <w:rPr>
                <w:b/>
                <w:i/>
                <w:sz w:val="26"/>
                <w:szCs w:val="26"/>
                <w:lang w:eastAsia="en-US"/>
              </w:rPr>
            </w:pPr>
            <w:r w:rsidRPr="00531392">
              <w:rPr>
                <w:b/>
                <w:i/>
                <w:sz w:val="26"/>
                <w:szCs w:val="26"/>
                <w:lang w:eastAsia="en-US"/>
              </w:rPr>
              <w:t>25,0</w:t>
            </w:r>
          </w:p>
        </w:tc>
        <w:tc>
          <w:tcPr>
            <w:tcW w:w="1329" w:type="dxa"/>
            <w:tcBorders>
              <w:top w:val="single" w:sz="4" w:space="0" w:color="auto"/>
              <w:left w:val="single" w:sz="4" w:space="0" w:color="auto"/>
              <w:bottom w:val="single" w:sz="4" w:space="0" w:color="auto"/>
              <w:right w:val="single" w:sz="4" w:space="0" w:color="auto"/>
            </w:tcBorders>
          </w:tcPr>
          <w:p w14:paraId="6C646FAB" w14:textId="62B49C22" w:rsidR="00257B70" w:rsidRPr="00531392" w:rsidRDefault="00122C16" w:rsidP="00580447">
            <w:pPr>
              <w:pStyle w:val="naisf"/>
              <w:spacing w:before="0" w:after="0"/>
              <w:jc w:val="center"/>
              <w:rPr>
                <w:b/>
                <w:i/>
                <w:sz w:val="26"/>
                <w:szCs w:val="26"/>
                <w:lang w:eastAsia="en-US"/>
              </w:rPr>
            </w:pPr>
            <w:r w:rsidRPr="00531392">
              <w:rPr>
                <w:b/>
                <w:i/>
                <w:sz w:val="26"/>
                <w:szCs w:val="26"/>
                <w:lang w:eastAsia="en-US"/>
              </w:rPr>
              <w:t>0</w:t>
            </w:r>
          </w:p>
        </w:tc>
        <w:tc>
          <w:tcPr>
            <w:tcW w:w="1329" w:type="dxa"/>
            <w:tcBorders>
              <w:top w:val="single" w:sz="4" w:space="0" w:color="auto"/>
              <w:left w:val="single" w:sz="4" w:space="0" w:color="auto"/>
              <w:bottom w:val="single" w:sz="4" w:space="0" w:color="auto"/>
              <w:right w:val="single" w:sz="4" w:space="0" w:color="auto"/>
            </w:tcBorders>
          </w:tcPr>
          <w:p w14:paraId="641CF558" w14:textId="45D6AB61" w:rsidR="00257B70" w:rsidRPr="00531392" w:rsidRDefault="00122C16" w:rsidP="00580447">
            <w:pPr>
              <w:pStyle w:val="naisf"/>
              <w:spacing w:before="0" w:after="0"/>
              <w:jc w:val="center"/>
              <w:rPr>
                <w:b/>
                <w:i/>
                <w:sz w:val="26"/>
                <w:szCs w:val="26"/>
                <w:lang w:eastAsia="en-US"/>
              </w:rPr>
            </w:pPr>
            <w:r w:rsidRPr="00531392">
              <w:rPr>
                <w:b/>
                <w:i/>
                <w:sz w:val="26"/>
                <w:szCs w:val="26"/>
                <w:lang w:eastAsia="en-US"/>
              </w:rPr>
              <w:t>0</w:t>
            </w:r>
          </w:p>
        </w:tc>
        <w:tc>
          <w:tcPr>
            <w:tcW w:w="1330" w:type="dxa"/>
            <w:tcBorders>
              <w:top w:val="single" w:sz="4" w:space="0" w:color="auto"/>
              <w:left w:val="single" w:sz="4" w:space="0" w:color="auto"/>
              <w:bottom w:val="single" w:sz="4" w:space="0" w:color="auto"/>
              <w:right w:val="single" w:sz="4" w:space="0" w:color="auto"/>
            </w:tcBorders>
          </w:tcPr>
          <w:p w14:paraId="45FD257B" w14:textId="577978B6" w:rsidR="00257B70" w:rsidRPr="00531392" w:rsidRDefault="00122C16" w:rsidP="00580447">
            <w:pPr>
              <w:pStyle w:val="naisf"/>
              <w:spacing w:before="0" w:after="0"/>
              <w:jc w:val="center"/>
              <w:rPr>
                <w:b/>
                <w:i/>
                <w:sz w:val="26"/>
                <w:szCs w:val="26"/>
                <w:lang w:eastAsia="en-US"/>
              </w:rPr>
            </w:pPr>
            <w:r w:rsidRPr="00531392">
              <w:rPr>
                <w:b/>
                <w:i/>
                <w:sz w:val="26"/>
                <w:szCs w:val="26"/>
                <w:lang w:eastAsia="en-US"/>
              </w:rPr>
              <w:t>0</w:t>
            </w:r>
          </w:p>
        </w:tc>
        <w:tc>
          <w:tcPr>
            <w:tcW w:w="1230" w:type="dxa"/>
            <w:gridSpan w:val="2"/>
            <w:tcBorders>
              <w:top w:val="single" w:sz="4" w:space="0" w:color="auto"/>
              <w:left w:val="single" w:sz="4" w:space="0" w:color="auto"/>
              <w:bottom w:val="single" w:sz="4" w:space="0" w:color="auto"/>
              <w:right w:val="single" w:sz="4" w:space="0" w:color="auto"/>
            </w:tcBorders>
          </w:tcPr>
          <w:p w14:paraId="1B93CAD5" w14:textId="6A18BB1A" w:rsidR="00257B70" w:rsidRPr="00531392" w:rsidRDefault="00122C16" w:rsidP="00580447">
            <w:pPr>
              <w:pStyle w:val="naisf"/>
              <w:spacing w:before="0" w:after="0"/>
              <w:jc w:val="center"/>
              <w:rPr>
                <w:b/>
                <w:i/>
                <w:sz w:val="26"/>
                <w:szCs w:val="26"/>
                <w:lang w:eastAsia="en-US"/>
              </w:rPr>
            </w:pPr>
            <w:r w:rsidRPr="00531392">
              <w:rPr>
                <w:b/>
                <w:i/>
                <w:sz w:val="26"/>
                <w:szCs w:val="26"/>
                <w:lang w:eastAsia="en-US"/>
              </w:rPr>
              <w:t>0</w:t>
            </w:r>
          </w:p>
        </w:tc>
      </w:tr>
      <w:tr w:rsidR="00122C16" w:rsidRPr="00531392" w14:paraId="267D7D67" w14:textId="77777777" w:rsidTr="00122C16">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8" w:type="dxa"/>
          <w:jc w:val="center"/>
        </w:trPr>
        <w:tc>
          <w:tcPr>
            <w:tcW w:w="2505" w:type="dxa"/>
            <w:gridSpan w:val="3"/>
            <w:tcBorders>
              <w:top w:val="single" w:sz="4" w:space="0" w:color="auto"/>
              <w:left w:val="single" w:sz="4" w:space="0" w:color="auto"/>
              <w:bottom w:val="single" w:sz="4" w:space="0" w:color="auto"/>
              <w:right w:val="single" w:sz="4" w:space="0" w:color="auto"/>
            </w:tcBorders>
            <w:hideMark/>
          </w:tcPr>
          <w:p w14:paraId="174CB1D5" w14:textId="77777777" w:rsidR="00122C16" w:rsidRPr="00531392" w:rsidRDefault="00122C16" w:rsidP="00580447">
            <w:pPr>
              <w:pStyle w:val="naisf"/>
              <w:spacing w:before="0" w:after="0"/>
              <w:rPr>
                <w:i/>
                <w:sz w:val="26"/>
                <w:szCs w:val="26"/>
                <w:lang w:eastAsia="en-US"/>
              </w:rPr>
            </w:pPr>
            <w:r w:rsidRPr="00531392">
              <w:rPr>
                <w:sz w:val="26"/>
                <w:szCs w:val="26"/>
                <w:lang w:eastAsia="en-US"/>
              </w:rPr>
              <w:t>1.1. valsts pamatbudžets, tai skaitā ieņēmumi no maksas pakalpojumiem un citi pašu ieņēmumi</w:t>
            </w:r>
          </w:p>
        </w:tc>
        <w:tc>
          <w:tcPr>
            <w:tcW w:w="1383" w:type="dxa"/>
            <w:tcBorders>
              <w:top w:val="single" w:sz="4" w:space="0" w:color="auto"/>
              <w:left w:val="single" w:sz="4" w:space="0" w:color="auto"/>
              <w:bottom w:val="single" w:sz="4" w:space="0" w:color="auto"/>
              <w:right w:val="single" w:sz="4" w:space="0" w:color="auto"/>
            </w:tcBorders>
          </w:tcPr>
          <w:p w14:paraId="744EEA0E" w14:textId="6ACDB73E" w:rsidR="00122C16" w:rsidRPr="00531392" w:rsidRDefault="00122C16" w:rsidP="00580447">
            <w:pPr>
              <w:pStyle w:val="naisf"/>
              <w:spacing w:before="0" w:after="0"/>
              <w:jc w:val="center"/>
              <w:rPr>
                <w:sz w:val="26"/>
                <w:szCs w:val="26"/>
                <w:lang w:eastAsia="en-US"/>
              </w:rPr>
            </w:pPr>
            <w:r w:rsidRPr="00531392">
              <w:rPr>
                <w:sz w:val="26"/>
                <w:szCs w:val="26"/>
                <w:lang w:eastAsia="en-US"/>
              </w:rPr>
              <w:t>25,0</w:t>
            </w:r>
          </w:p>
        </w:tc>
        <w:tc>
          <w:tcPr>
            <w:tcW w:w="1329" w:type="dxa"/>
            <w:tcBorders>
              <w:top w:val="single" w:sz="4" w:space="0" w:color="auto"/>
              <w:left w:val="single" w:sz="4" w:space="0" w:color="auto"/>
              <w:bottom w:val="single" w:sz="4" w:space="0" w:color="auto"/>
              <w:right w:val="single" w:sz="4" w:space="0" w:color="auto"/>
            </w:tcBorders>
          </w:tcPr>
          <w:p w14:paraId="12760556" w14:textId="18F24656"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29" w:type="dxa"/>
            <w:tcBorders>
              <w:top w:val="single" w:sz="4" w:space="0" w:color="auto"/>
              <w:left w:val="single" w:sz="4" w:space="0" w:color="auto"/>
              <w:bottom w:val="single" w:sz="4" w:space="0" w:color="auto"/>
              <w:right w:val="single" w:sz="4" w:space="0" w:color="auto"/>
            </w:tcBorders>
          </w:tcPr>
          <w:p w14:paraId="54B77D99" w14:textId="21810DF0"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30" w:type="dxa"/>
            <w:tcBorders>
              <w:top w:val="single" w:sz="4" w:space="0" w:color="auto"/>
              <w:left w:val="single" w:sz="4" w:space="0" w:color="auto"/>
              <w:bottom w:val="single" w:sz="4" w:space="0" w:color="auto"/>
              <w:right w:val="single" w:sz="4" w:space="0" w:color="auto"/>
            </w:tcBorders>
          </w:tcPr>
          <w:p w14:paraId="1E5A29C1" w14:textId="6F00689B"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230" w:type="dxa"/>
            <w:gridSpan w:val="2"/>
            <w:tcBorders>
              <w:top w:val="single" w:sz="4" w:space="0" w:color="auto"/>
              <w:left w:val="single" w:sz="4" w:space="0" w:color="auto"/>
              <w:bottom w:val="single" w:sz="4" w:space="0" w:color="auto"/>
              <w:right w:val="single" w:sz="4" w:space="0" w:color="auto"/>
            </w:tcBorders>
          </w:tcPr>
          <w:p w14:paraId="04009C6C" w14:textId="7DB9F9E4"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r>
      <w:tr w:rsidR="00122C16" w:rsidRPr="00531392" w14:paraId="0722031A" w14:textId="77777777" w:rsidTr="00122C16">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8" w:type="dxa"/>
          <w:jc w:val="center"/>
        </w:trPr>
        <w:tc>
          <w:tcPr>
            <w:tcW w:w="2505" w:type="dxa"/>
            <w:gridSpan w:val="3"/>
            <w:tcBorders>
              <w:top w:val="single" w:sz="4" w:space="0" w:color="auto"/>
              <w:left w:val="single" w:sz="4" w:space="0" w:color="auto"/>
              <w:bottom w:val="single" w:sz="4" w:space="0" w:color="auto"/>
              <w:right w:val="single" w:sz="4" w:space="0" w:color="auto"/>
            </w:tcBorders>
            <w:hideMark/>
          </w:tcPr>
          <w:p w14:paraId="3740ABAA" w14:textId="77777777" w:rsidR="00122C16" w:rsidRPr="00531392" w:rsidRDefault="00122C16" w:rsidP="00580447">
            <w:pPr>
              <w:pStyle w:val="naisf"/>
              <w:spacing w:before="0" w:after="0"/>
              <w:rPr>
                <w:i/>
                <w:sz w:val="26"/>
                <w:szCs w:val="26"/>
                <w:lang w:eastAsia="en-US"/>
              </w:rPr>
            </w:pPr>
            <w:r w:rsidRPr="00531392">
              <w:rPr>
                <w:sz w:val="26"/>
                <w:szCs w:val="26"/>
                <w:lang w:eastAsia="en-US"/>
              </w:rPr>
              <w:t>1.2. valsts speciālais budžets</w:t>
            </w:r>
          </w:p>
        </w:tc>
        <w:tc>
          <w:tcPr>
            <w:tcW w:w="1383" w:type="dxa"/>
            <w:tcBorders>
              <w:top w:val="single" w:sz="4" w:space="0" w:color="auto"/>
              <w:left w:val="single" w:sz="4" w:space="0" w:color="auto"/>
              <w:bottom w:val="single" w:sz="4" w:space="0" w:color="auto"/>
              <w:right w:val="single" w:sz="4" w:space="0" w:color="auto"/>
            </w:tcBorders>
          </w:tcPr>
          <w:p w14:paraId="47066B07" w14:textId="4B9ABE56"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29" w:type="dxa"/>
            <w:tcBorders>
              <w:top w:val="single" w:sz="4" w:space="0" w:color="auto"/>
              <w:left w:val="single" w:sz="4" w:space="0" w:color="auto"/>
              <w:bottom w:val="single" w:sz="4" w:space="0" w:color="auto"/>
              <w:right w:val="single" w:sz="4" w:space="0" w:color="auto"/>
            </w:tcBorders>
          </w:tcPr>
          <w:p w14:paraId="5C44D650" w14:textId="5A9ED722"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29" w:type="dxa"/>
            <w:tcBorders>
              <w:top w:val="single" w:sz="4" w:space="0" w:color="auto"/>
              <w:left w:val="single" w:sz="4" w:space="0" w:color="auto"/>
              <w:bottom w:val="single" w:sz="4" w:space="0" w:color="auto"/>
              <w:right w:val="single" w:sz="4" w:space="0" w:color="auto"/>
            </w:tcBorders>
          </w:tcPr>
          <w:p w14:paraId="57DEB50B" w14:textId="1AB00DA5"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30" w:type="dxa"/>
            <w:tcBorders>
              <w:top w:val="single" w:sz="4" w:space="0" w:color="auto"/>
              <w:left w:val="single" w:sz="4" w:space="0" w:color="auto"/>
              <w:bottom w:val="single" w:sz="4" w:space="0" w:color="auto"/>
              <w:right w:val="single" w:sz="4" w:space="0" w:color="auto"/>
            </w:tcBorders>
          </w:tcPr>
          <w:p w14:paraId="15D45C1D" w14:textId="6F0821B2"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230" w:type="dxa"/>
            <w:gridSpan w:val="2"/>
            <w:tcBorders>
              <w:top w:val="single" w:sz="4" w:space="0" w:color="auto"/>
              <w:left w:val="single" w:sz="4" w:space="0" w:color="auto"/>
              <w:bottom w:val="single" w:sz="4" w:space="0" w:color="auto"/>
              <w:right w:val="single" w:sz="4" w:space="0" w:color="auto"/>
            </w:tcBorders>
          </w:tcPr>
          <w:p w14:paraId="0EDE7458" w14:textId="260190B1"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r>
      <w:tr w:rsidR="00122C16" w:rsidRPr="00531392" w14:paraId="6979CA37" w14:textId="77777777" w:rsidTr="00122C16">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8" w:type="dxa"/>
          <w:jc w:val="center"/>
        </w:trPr>
        <w:tc>
          <w:tcPr>
            <w:tcW w:w="2505" w:type="dxa"/>
            <w:gridSpan w:val="3"/>
            <w:tcBorders>
              <w:top w:val="single" w:sz="4" w:space="0" w:color="auto"/>
              <w:left w:val="single" w:sz="4" w:space="0" w:color="auto"/>
              <w:bottom w:val="single" w:sz="4" w:space="0" w:color="auto"/>
              <w:right w:val="single" w:sz="4" w:space="0" w:color="auto"/>
            </w:tcBorders>
            <w:hideMark/>
          </w:tcPr>
          <w:p w14:paraId="3EDDB996" w14:textId="77777777" w:rsidR="00122C16" w:rsidRPr="00531392" w:rsidRDefault="00122C16" w:rsidP="00580447">
            <w:pPr>
              <w:pStyle w:val="naisf"/>
              <w:spacing w:before="0" w:after="0"/>
              <w:rPr>
                <w:i/>
                <w:sz w:val="26"/>
                <w:szCs w:val="26"/>
                <w:lang w:eastAsia="en-US"/>
              </w:rPr>
            </w:pPr>
            <w:r w:rsidRPr="00531392">
              <w:rPr>
                <w:sz w:val="26"/>
                <w:szCs w:val="26"/>
                <w:lang w:eastAsia="en-US"/>
              </w:rPr>
              <w:t>1.3. pašvaldību budžets</w:t>
            </w:r>
          </w:p>
        </w:tc>
        <w:tc>
          <w:tcPr>
            <w:tcW w:w="1383" w:type="dxa"/>
            <w:tcBorders>
              <w:top w:val="single" w:sz="4" w:space="0" w:color="auto"/>
              <w:left w:val="single" w:sz="4" w:space="0" w:color="auto"/>
              <w:bottom w:val="single" w:sz="4" w:space="0" w:color="auto"/>
              <w:right w:val="single" w:sz="4" w:space="0" w:color="auto"/>
            </w:tcBorders>
          </w:tcPr>
          <w:p w14:paraId="5B2591B9" w14:textId="0A84B838"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29" w:type="dxa"/>
            <w:tcBorders>
              <w:top w:val="single" w:sz="4" w:space="0" w:color="auto"/>
              <w:left w:val="single" w:sz="4" w:space="0" w:color="auto"/>
              <w:bottom w:val="single" w:sz="4" w:space="0" w:color="auto"/>
              <w:right w:val="single" w:sz="4" w:space="0" w:color="auto"/>
            </w:tcBorders>
          </w:tcPr>
          <w:p w14:paraId="4B544511" w14:textId="1B8BA013"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29" w:type="dxa"/>
            <w:tcBorders>
              <w:top w:val="single" w:sz="4" w:space="0" w:color="auto"/>
              <w:left w:val="single" w:sz="4" w:space="0" w:color="auto"/>
              <w:bottom w:val="single" w:sz="4" w:space="0" w:color="auto"/>
              <w:right w:val="single" w:sz="4" w:space="0" w:color="auto"/>
            </w:tcBorders>
          </w:tcPr>
          <w:p w14:paraId="7AEA755D" w14:textId="5688AE8D"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30" w:type="dxa"/>
            <w:tcBorders>
              <w:top w:val="single" w:sz="4" w:space="0" w:color="auto"/>
              <w:left w:val="single" w:sz="4" w:space="0" w:color="auto"/>
              <w:bottom w:val="single" w:sz="4" w:space="0" w:color="auto"/>
              <w:right w:val="single" w:sz="4" w:space="0" w:color="auto"/>
            </w:tcBorders>
          </w:tcPr>
          <w:p w14:paraId="0FA568F9" w14:textId="549D3329"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230" w:type="dxa"/>
            <w:gridSpan w:val="2"/>
            <w:tcBorders>
              <w:top w:val="single" w:sz="4" w:space="0" w:color="auto"/>
              <w:left w:val="single" w:sz="4" w:space="0" w:color="auto"/>
              <w:bottom w:val="single" w:sz="4" w:space="0" w:color="auto"/>
              <w:right w:val="single" w:sz="4" w:space="0" w:color="auto"/>
            </w:tcBorders>
          </w:tcPr>
          <w:p w14:paraId="57B8D96B" w14:textId="2DC080DD"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r>
      <w:tr w:rsidR="00122C16" w:rsidRPr="00531392" w14:paraId="345A1B6C" w14:textId="77777777" w:rsidTr="00122C16">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8" w:type="dxa"/>
          <w:jc w:val="center"/>
        </w:trPr>
        <w:tc>
          <w:tcPr>
            <w:tcW w:w="2505" w:type="dxa"/>
            <w:gridSpan w:val="3"/>
            <w:tcBorders>
              <w:top w:val="single" w:sz="4" w:space="0" w:color="auto"/>
              <w:left w:val="single" w:sz="4" w:space="0" w:color="auto"/>
              <w:bottom w:val="single" w:sz="4" w:space="0" w:color="auto"/>
              <w:right w:val="single" w:sz="4" w:space="0" w:color="auto"/>
            </w:tcBorders>
            <w:hideMark/>
          </w:tcPr>
          <w:p w14:paraId="004F92DA" w14:textId="77777777" w:rsidR="00122C16" w:rsidRPr="00531392" w:rsidRDefault="00122C16" w:rsidP="00580447">
            <w:pPr>
              <w:rPr>
                <w:rFonts w:cs="Times New Roman"/>
                <w:sz w:val="26"/>
                <w:szCs w:val="26"/>
              </w:rPr>
            </w:pPr>
            <w:r w:rsidRPr="00531392">
              <w:rPr>
                <w:rFonts w:cs="Times New Roman"/>
                <w:sz w:val="26"/>
                <w:szCs w:val="26"/>
              </w:rPr>
              <w:t>2. Budžeta izdevumi:</w:t>
            </w:r>
          </w:p>
        </w:tc>
        <w:tc>
          <w:tcPr>
            <w:tcW w:w="1383" w:type="dxa"/>
            <w:tcBorders>
              <w:top w:val="single" w:sz="4" w:space="0" w:color="auto"/>
              <w:left w:val="single" w:sz="4" w:space="0" w:color="auto"/>
              <w:bottom w:val="single" w:sz="4" w:space="0" w:color="auto"/>
              <w:right w:val="single" w:sz="4" w:space="0" w:color="auto"/>
            </w:tcBorders>
          </w:tcPr>
          <w:p w14:paraId="07C153C5" w14:textId="70FBBE74" w:rsidR="00122C16" w:rsidRPr="00531392" w:rsidRDefault="00122C16" w:rsidP="00580447">
            <w:pPr>
              <w:pStyle w:val="naisf"/>
              <w:spacing w:before="0" w:after="0"/>
              <w:jc w:val="center"/>
              <w:rPr>
                <w:b/>
                <w:i/>
                <w:sz w:val="26"/>
                <w:szCs w:val="26"/>
                <w:lang w:eastAsia="en-US"/>
              </w:rPr>
            </w:pPr>
            <w:r w:rsidRPr="00531392">
              <w:rPr>
                <w:b/>
                <w:i/>
                <w:sz w:val="26"/>
                <w:szCs w:val="26"/>
                <w:lang w:eastAsia="en-US"/>
              </w:rPr>
              <w:t>25,0</w:t>
            </w:r>
          </w:p>
        </w:tc>
        <w:tc>
          <w:tcPr>
            <w:tcW w:w="1329" w:type="dxa"/>
            <w:tcBorders>
              <w:top w:val="single" w:sz="4" w:space="0" w:color="auto"/>
              <w:left w:val="single" w:sz="4" w:space="0" w:color="auto"/>
              <w:bottom w:val="single" w:sz="4" w:space="0" w:color="auto"/>
              <w:right w:val="single" w:sz="4" w:space="0" w:color="auto"/>
            </w:tcBorders>
          </w:tcPr>
          <w:p w14:paraId="1EB7643E" w14:textId="3B1EB89E" w:rsidR="00122C16" w:rsidRPr="00531392" w:rsidRDefault="00122C16" w:rsidP="00580447">
            <w:pPr>
              <w:pStyle w:val="naisf"/>
              <w:spacing w:before="0" w:after="0"/>
              <w:jc w:val="center"/>
              <w:rPr>
                <w:b/>
                <w:i/>
                <w:sz w:val="26"/>
                <w:szCs w:val="26"/>
                <w:lang w:eastAsia="en-US"/>
              </w:rPr>
            </w:pPr>
            <w:r w:rsidRPr="00531392">
              <w:rPr>
                <w:b/>
                <w:i/>
                <w:sz w:val="26"/>
                <w:szCs w:val="26"/>
                <w:lang w:eastAsia="en-US"/>
              </w:rPr>
              <w:t>0</w:t>
            </w:r>
          </w:p>
        </w:tc>
        <w:tc>
          <w:tcPr>
            <w:tcW w:w="1329" w:type="dxa"/>
            <w:tcBorders>
              <w:top w:val="single" w:sz="4" w:space="0" w:color="auto"/>
              <w:left w:val="single" w:sz="4" w:space="0" w:color="auto"/>
              <w:bottom w:val="single" w:sz="4" w:space="0" w:color="auto"/>
              <w:right w:val="single" w:sz="4" w:space="0" w:color="auto"/>
            </w:tcBorders>
          </w:tcPr>
          <w:p w14:paraId="7C8D5ECD" w14:textId="249D5AF8" w:rsidR="00122C16" w:rsidRPr="00531392" w:rsidRDefault="00122C16" w:rsidP="00580447">
            <w:pPr>
              <w:pStyle w:val="naisf"/>
              <w:spacing w:before="0" w:after="0"/>
              <w:jc w:val="center"/>
              <w:rPr>
                <w:b/>
                <w:i/>
                <w:sz w:val="26"/>
                <w:szCs w:val="26"/>
                <w:lang w:eastAsia="en-US"/>
              </w:rPr>
            </w:pPr>
            <w:r w:rsidRPr="00531392">
              <w:rPr>
                <w:b/>
                <w:i/>
                <w:sz w:val="26"/>
                <w:szCs w:val="26"/>
                <w:lang w:eastAsia="en-US"/>
              </w:rPr>
              <w:t>0</w:t>
            </w:r>
          </w:p>
        </w:tc>
        <w:tc>
          <w:tcPr>
            <w:tcW w:w="1330" w:type="dxa"/>
            <w:tcBorders>
              <w:top w:val="single" w:sz="4" w:space="0" w:color="auto"/>
              <w:left w:val="single" w:sz="4" w:space="0" w:color="auto"/>
              <w:bottom w:val="single" w:sz="4" w:space="0" w:color="auto"/>
              <w:right w:val="single" w:sz="4" w:space="0" w:color="auto"/>
            </w:tcBorders>
          </w:tcPr>
          <w:p w14:paraId="567AC995" w14:textId="43B7A034" w:rsidR="00122C16" w:rsidRPr="00531392" w:rsidRDefault="00122C16" w:rsidP="00580447">
            <w:pPr>
              <w:pStyle w:val="naisf"/>
              <w:spacing w:before="0" w:after="0"/>
              <w:jc w:val="center"/>
              <w:rPr>
                <w:b/>
                <w:i/>
                <w:sz w:val="26"/>
                <w:szCs w:val="26"/>
                <w:lang w:eastAsia="en-US"/>
              </w:rPr>
            </w:pPr>
            <w:r w:rsidRPr="00531392">
              <w:rPr>
                <w:b/>
                <w:i/>
                <w:sz w:val="26"/>
                <w:szCs w:val="26"/>
                <w:lang w:eastAsia="en-US"/>
              </w:rPr>
              <w:t>0</w:t>
            </w:r>
          </w:p>
        </w:tc>
        <w:tc>
          <w:tcPr>
            <w:tcW w:w="1230" w:type="dxa"/>
            <w:gridSpan w:val="2"/>
            <w:tcBorders>
              <w:top w:val="single" w:sz="4" w:space="0" w:color="auto"/>
              <w:left w:val="single" w:sz="4" w:space="0" w:color="auto"/>
              <w:bottom w:val="single" w:sz="4" w:space="0" w:color="auto"/>
              <w:right w:val="single" w:sz="4" w:space="0" w:color="auto"/>
            </w:tcBorders>
          </w:tcPr>
          <w:p w14:paraId="3F9438F6" w14:textId="7689C8FF" w:rsidR="00122C16" w:rsidRPr="00531392" w:rsidRDefault="00122C16" w:rsidP="00580447">
            <w:pPr>
              <w:pStyle w:val="naisf"/>
              <w:spacing w:before="0" w:after="0"/>
              <w:jc w:val="center"/>
              <w:rPr>
                <w:b/>
                <w:i/>
                <w:sz w:val="26"/>
                <w:szCs w:val="26"/>
                <w:lang w:eastAsia="en-US"/>
              </w:rPr>
            </w:pPr>
            <w:r w:rsidRPr="00531392">
              <w:rPr>
                <w:b/>
                <w:i/>
                <w:sz w:val="26"/>
                <w:szCs w:val="26"/>
                <w:lang w:eastAsia="en-US"/>
              </w:rPr>
              <w:t>0</w:t>
            </w:r>
          </w:p>
        </w:tc>
      </w:tr>
      <w:tr w:rsidR="00122C16" w:rsidRPr="00531392" w14:paraId="527FE238" w14:textId="77777777" w:rsidTr="00122C16">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8" w:type="dxa"/>
          <w:jc w:val="center"/>
        </w:trPr>
        <w:tc>
          <w:tcPr>
            <w:tcW w:w="2505" w:type="dxa"/>
            <w:gridSpan w:val="3"/>
            <w:tcBorders>
              <w:top w:val="single" w:sz="4" w:space="0" w:color="auto"/>
              <w:left w:val="single" w:sz="4" w:space="0" w:color="auto"/>
              <w:bottom w:val="single" w:sz="4" w:space="0" w:color="auto"/>
              <w:right w:val="single" w:sz="4" w:space="0" w:color="auto"/>
            </w:tcBorders>
            <w:hideMark/>
          </w:tcPr>
          <w:p w14:paraId="7FDAC0D8" w14:textId="77777777" w:rsidR="00122C16" w:rsidRPr="00531392" w:rsidRDefault="00122C16" w:rsidP="00580447">
            <w:pPr>
              <w:rPr>
                <w:rFonts w:cs="Times New Roman"/>
                <w:sz w:val="26"/>
                <w:szCs w:val="26"/>
              </w:rPr>
            </w:pPr>
            <w:r w:rsidRPr="00531392">
              <w:rPr>
                <w:rFonts w:cs="Times New Roman"/>
                <w:sz w:val="26"/>
                <w:szCs w:val="26"/>
              </w:rPr>
              <w:t>2.1. valsts pamatbudžets</w:t>
            </w:r>
          </w:p>
        </w:tc>
        <w:tc>
          <w:tcPr>
            <w:tcW w:w="1383" w:type="dxa"/>
            <w:tcBorders>
              <w:top w:val="single" w:sz="4" w:space="0" w:color="auto"/>
              <w:left w:val="single" w:sz="4" w:space="0" w:color="auto"/>
              <w:bottom w:val="single" w:sz="4" w:space="0" w:color="auto"/>
              <w:right w:val="single" w:sz="4" w:space="0" w:color="auto"/>
            </w:tcBorders>
          </w:tcPr>
          <w:p w14:paraId="06250AAB" w14:textId="04C66EF1" w:rsidR="00122C16" w:rsidRPr="00531392" w:rsidRDefault="00122C16" w:rsidP="00580447">
            <w:pPr>
              <w:pStyle w:val="naisf"/>
              <w:spacing w:before="0" w:after="0"/>
              <w:jc w:val="center"/>
              <w:rPr>
                <w:sz w:val="26"/>
                <w:szCs w:val="26"/>
                <w:lang w:eastAsia="en-US"/>
              </w:rPr>
            </w:pPr>
            <w:r w:rsidRPr="00531392">
              <w:rPr>
                <w:sz w:val="26"/>
                <w:szCs w:val="26"/>
                <w:lang w:eastAsia="en-US"/>
              </w:rPr>
              <w:t>25,0</w:t>
            </w:r>
          </w:p>
        </w:tc>
        <w:tc>
          <w:tcPr>
            <w:tcW w:w="1329" w:type="dxa"/>
            <w:tcBorders>
              <w:top w:val="single" w:sz="4" w:space="0" w:color="auto"/>
              <w:left w:val="single" w:sz="4" w:space="0" w:color="auto"/>
              <w:bottom w:val="single" w:sz="4" w:space="0" w:color="auto"/>
              <w:right w:val="single" w:sz="4" w:space="0" w:color="auto"/>
            </w:tcBorders>
          </w:tcPr>
          <w:p w14:paraId="561700AF" w14:textId="19673383"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29" w:type="dxa"/>
            <w:tcBorders>
              <w:top w:val="single" w:sz="4" w:space="0" w:color="auto"/>
              <w:left w:val="single" w:sz="4" w:space="0" w:color="auto"/>
              <w:bottom w:val="single" w:sz="4" w:space="0" w:color="auto"/>
              <w:right w:val="single" w:sz="4" w:space="0" w:color="auto"/>
            </w:tcBorders>
          </w:tcPr>
          <w:p w14:paraId="4B822D1D" w14:textId="272FE522"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30" w:type="dxa"/>
            <w:tcBorders>
              <w:top w:val="single" w:sz="4" w:space="0" w:color="auto"/>
              <w:left w:val="single" w:sz="4" w:space="0" w:color="auto"/>
              <w:bottom w:val="single" w:sz="4" w:space="0" w:color="auto"/>
              <w:right w:val="single" w:sz="4" w:space="0" w:color="auto"/>
            </w:tcBorders>
          </w:tcPr>
          <w:p w14:paraId="5C098ED2" w14:textId="73761A32"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230" w:type="dxa"/>
            <w:gridSpan w:val="2"/>
            <w:tcBorders>
              <w:top w:val="single" w:sz="4" w:space="0" w:color="auto"/>
              <w:left w:val="single" w:sz="4" w:space="0" w:color="auto"/>
              <w:bottom w:val="single" w:sz="4" w:space="0" w:color="auto"/>
              <w:right w:val="single" w:sz="4" w:space="0" w:color="auto"/>
            </w:tcBorders>
          </w:tcPr>
          <w:p w14:paraId="75B8ED98" w14:textId="14D7EFFF"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r>
      <w:tr w:rsidR="00122C16" w:rsidRPr="00531392" w14:paraId="1B3EC086" w14:textId="77777777" w:rsidTr="00122C16">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8" w:type="dxa"/>
          <w:jc w:val="center"/>
        </w:trPr>
        <w:tc>
          <w:tcPr>
            <w:tcW w:w="2505" w:type="dxa"/>
            <w:gridSpan w:val="3"/>
            <w:tcBorders>
              <w:top w:val="single" w:sz="4" w:space="0" w:color="auto"/>
              <w:left w:val="single" w:sz="4" w:space="0" w:color="auto"/>
              <w:bottom w:val="single" w:sz="4" w:space="0" w:color="auto"/>
              <w:right w:val="single" w:sz="4" w:space="0" w:color="auto"/>
            </w:tcBorders>
            <w:hideMark/>
          </w:tcPr>
          <w:p w14:paraId="0F165DE1" w14:textId="77777777" w:rsidR="00122C16" w:rsidRPr="00531392" w:rsidRDefault="00122C16" w:rsidP="00580447">
            <w:pPr>
              <w:rPr>
                <w:rFonts w:cs="Times New Roman"/>
                <w:sz w:val="26"/>
                <w:szCs w:val="26"/>
              </w:rPr>
            </w:pPr>
            <w:r w:rsidRPr="00531392">
              <w:rPr>
                <w:rFonts w:cs="Times New Roman"/>
                <w:sz w:val="26"/>
                <w:szCs w:val="26"/>
              </w:rPr>
              <w:t>2.2. valsts speciālais budžets</w:t>
            </w:r>
          </w:p>
        </w:tc>
        <w:tc>
          <w:tcPr>
            <w:tcW w:w="1383" w:type="dxa"/>
            <w:tcBorders>
              <w:top w:val="single" w:sz="4" w:space="0" w:color="auto"/>
              <w:left w:val="single" w:sz="4" w:space="0" w:color="auto"/>
              <w:bottom w:val="single" w:sz="4" w:space="0" w:color="auto"/>
              <w:right w:val="single" w:sz="4" w:space="0" w:color="auto"/>
            </w:tcBorders>
          </w:tcPr>
          <w:p w14:paraId="681C4AEA" w14:textId="209C010E"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29" w:type="dxa"/>
            <w:tcBorders>
              <w:top w:val="single" w:sz="4" w:space="0" w:color="auto"/>
              <w:left w:val="single" w:sz="4" w:space="0" w:color="auto"/>
              <w:bottom w:val="single" w:sz="4" w:space="0" w:color="auto"/>
              <w:right w:val="single" w:sz="4" w:space="0" w:color="auto"/>
            </w:tcBorders>
          </w:tcPr>
          <w:p w14:paraId="2072EC78" w14:textId="78ECEE16"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29" w:type="dxa"/>
            <w:tcBorders>
              <w:top w:val="single" w:sz="4" w:space="0" w:color="auto"/>
              <w:left w:val="single" w:sz="4" w:space="0" w:color="auto"/>
              <w:bottom w:val="single" w:sz="4" w:space="0" w:color="auto"/>
              <w:right w:val="single" w:sz="4" w:space="0" w:color="auto"/>
            </w:tcBorders>
          </w:tcPr>
          <w:p w14:paraId="73E67BED" w14:textId="3476C44B"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30" w:type="dxa"/>
            <w:tcBorders>
              <w:top w:val="single" w:sz="4" w:space="0" w:color="auto"/>
              <w:left w:val="single" w:sz="4" w:space="0" w:color="auto"/>
              <w:bottom w:val="single" w:sz="4" w:space="0" w:color="auto"/>
              <w:right w:val="single" w:sz="4" w:space="0" w:color="auto"/>
            </w:tcBorders>
          </w:tcPr>
          <w:p w14:paraId="6C2D261C" w14:textId="4B55464A"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230" w:type="dxa"/>
            <w:gridSpan w:val="2"/>
            <w:tcBorders>
              <w:top w:val="single" w:sz="4" w:space="0" w:color="auto"/>
              <w:left w:val="single" w:sz="4" w:space="0" w:color="auto"/>
              <w:bottom w:val="single" w:sz="4" w:space="0" w:color="auto"/>
              <w:right w:val="single" w:sz="4" w:space="0" w:color="auto"/>
            </w:tcBorders>
          </w:tcPr>
          <w:p w14:paraId="1B1BF97C" w14:textId="217664F1"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r>
      <w:tr w:rsidR="00122C16" w:rsidRPr="00531392" w14:paraId="66051852" w14:textId="77777777" w:rsidTr="00122C16">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8" w:type="dxa"/>
          <w:jc w:val="center"/>
        </w:trPr>
        <w:tc>
          <w:tcPr>
            <w:tcW w:w="2505" w:type="dxa"/>
            <w:gridSpan w:val="3"/>
            <w:tcBorders>
              <w:top w:val="single" w:sz="4" w:space="0" w:color="auto"/>
              <w:left w:val="single" w:sz="4" w:space="0" w:color="auto"/>
              <w:bottom w:val="single" w:sz="4" w:space="0" w:color="auto"/>
              <w:right w:val="single" w:sz="4" w:space="0" w:color="auto"/>
            </w:tcBorders>
            <w:hideMark/>
          </w:tcPr>
          <w:p w14:paraId="516C8A2E" w14:textId="77777777" w:rsidR="00122C16" w:rsidRPr="00531392" w:rsidRDefault="00122C16" w:rsidP="00580447">
            <w:pPr>
              <w:rPr>
                <w:rFonts w:cs="Times New Roman"/>
                <w:sz w:val="26"/>
                <w:szCs w:val="26"/>
              </w:rPr>
            </w:pPr>
            <w:r w:rsidRPr="00531392">
              <w:rPr>
                <w:rFonts w:cs="Times New Roman"/>
                <w:sz w:val="26"/>
                <w:szCs w:val="26"/>
              </w:rPr>
              <w:t xml:space="preserve">2.3. pašvaldību budžets </w:t>
            </w:r>
          </w:p>
        </w:tc>
        <w:tc>
          <w:tcPr>
            <w:tcW w:w="1383" w:type="dxa"/>
            <w:tcBorders>
              <w:top w:val="single" w:sz="4" w:space="0" w:color="auto"/>
              <w:left w:val="single" w:sz="4" w:space="0" w:color="auto"/>
              <w:bottom w:val="single" w:sz="4" w:space="0" w:color="auto"/>
              <w:right w:val="single" w:sz="4" w:space="0" w:color="auto"/>
            </w:tcBorders>
          </w:tcPr>
          <w:p w14:paraId="4BFDD4B6" w14:textId="1BE13F38" w:rsidR="00122C16" w:rsidRPr="00531392" w:rsidRDefault="00122C16" w:rsidP="00580447">
            <w:pPr>
              <w:pStyle w:val="naisf"/>
              <w:spacing w:before="0" w:after="0"/>
              <w:jc w:val="center"/>
              <w:rPr>
                <w:sz w:val="26"/>
                <w:szCs w:val="26"/>
                <w:lang w:eastAsia="en-US"/>
              </w:rPr>
            </w:pPr>
            <w:bookmarkStart w:id="0" w:name="_GoBack"/>
            <w:bookmarkEnd w:id="0"/>
            <w:r w:rsidRPr="00531392">
              <w:rPr>
                <w:sz w:val="26"/>
                <w:szCs w:val="26"/>
                <w:lang w:eastAsia="en-US"/>
              </w:rPr>
              <w:t>0</w:t>
            </w:r>
          </w:p>
        </w:tc>
        <w:tc>
          <w:tcPr>
            <w:tcW w:w="1329" w:type="dxa"/>
            <w:tcBorders>
              <w:top w:val="single" w:sz="4" w:space="0" w:color="auto"/>
              <w:left w:val="single" w:sz="4" w:space="0" w:color="auto"/>
              <w:bottom w:val="single" w:sz="4" w:space="0" w:color="auto"/>
              <w:right w:val="single" w:sz="4" w:space="0" w:color="auto"/>
            </w:tcBorders>
          </w:tcPr>
          <w:p w14:paraId="63D62753" w14:textId="1C2D2C19"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29" w:type="dxa"/>
            <w:tcBorders>
              <w:top w:val="single" w:sz="4" w:space="0" w:color="auto"/>
              <w:left w:val="single" w:sz="4" w:space="0" w:color="auto"/>
              <w:bottom w:val="single" w:sz="4" w:space="0" w:color="auto"/>
              <w:right w:val="single" w:sz="4" w:space="0" w:color="auto"/>
            </w:tcBorders>
          </w:tcPr>
          <w:p w14:paraId="29AF99DC" w14:textId="0C018A49"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30" w:type="dxa"/>
            <w:tcBorders>
              <w:top w:val="single" w:sz="4" w:space="0" w:color="auto"/>
              <w:left w:val="single" w:sz="4" w:space="0" w:color="auto"/>
              <w:bottom w:val="single" w:sz="4" w:space="0" w:color="auto"/>
              <w:right w:val="single" w:sz="4" w:space="0" w:color="auto"/>
            </w:tcBorders>
          </w:tcPr>
          <w:p w14:paraId="50AE4651" w14:textId="3222C5C6"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230" w:type="dxa"/>
            <w:gridSpan w:val="2"/>
            <w:tcBorders>
              <w:top w:val="single" w:sz="4" w:space="0" w:color="auto"/>
              <w:left w:val="single" w:sz="4" w:space="0" w:color="auto"/>
              <w:bottom w:val="single" w:sz="4" w:space="0" w:color="auto"/>
              <w:right w:val="single" w:sz="4" w:space="0" w:color="auto"/>
            </w:tcBorders>
          </w:tcPr>
          <w:p w14:paraId="48CC7082" w14:textId="7B09F9B1"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r>
      <w:tr w:rsidR="00122C16" w:rsidRPr="00531392" w14:paraId="71B46EFA" w14:textId="77777777" w:rsidTr="00122C16">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8" w:type="dxa"/>
          <w:jc w:val="center"/>
        </w:trPr>
        <w:tc>
          <w:tcPr>
            <w:tcW w:w="2505" w:type="dxa"/>
            <w:gridSpan w:val="3"/>
            <w:tcBorders>
              <w:top w:val="single" w:sz="4" w:space="0" w:color="auto"/>
              <w:left w:val="single" w:sz="4" w:space="0" w:color="auto"/>
              <w:bottom w:val="single" w:sz="4" w:space="0" w:color="auto"/>
              <w:right w:val="single" w:sz="4" w:space="0" w:color="auto"/>
            </w:tcBorders>
            <w:hideMark/>
          </w:tcPr>
          <w:p w14:paraId="6C82ED9C" w14:textId="77777777" w:rsidR="00122C16" w:rsidRPr="00531392" w:rsidRDefault="00122C16" w:rsidP="00580447">
            <w:pPr>
              <w:rPr>
                <w:rFonts w:cs="Times New Roman"/>
                <w:sz w:val="26"/>
                <w:szCs w:val="26"/>
              </w:rPr>
            </w:pPr>
            <w:r w:rsidRPr="00531392">
              <w:rPr>
                <w:rFonts w:cs="Times New Roman"/>
                <w:sz w:val="26"/>
                <w:szCs w:val="26"/>
              </w:rPr>
              <w:t>3. Finansiālā ietekme:</w:t>
            </w:r>
          </w:p>
        </w:tc>
        <w:tc>
          <w:tcPr>
            <w:tcW w:w="1383" w:type="dxa"/>
            <w:tcBorders>
              <w:top w:val="single" w:sz="4" w:space="0" w:color="auto"/>
              <w:left w:val="single" w:sz="4" w:space="0" w:color="auto"/>
              <w:bottom w:val="single" w:sz="4" w:space="0" w:color="auto"/>
              <w:right w:val="single" w:sz="4" w:space="0" w:color="auto"/>
            </w:tcBorders>
          </w:tcPr>
          <w:p w14:paraId="75E2621E" w14:textId="2B43059C" w:rsidR="00122C16" w:rsidRPr="00531392" w:rsidRDefault="00122C16" w:rsidP="00580447">
            <w:pPr>
              <w:pStyle w:val="naisf"/>
              <w:spacing w:before="0" w:after="0"/>
              <w:jc w:val="center"/>
              <w:rPr>
                <w:b/>
                <w:i/>
                <w:sz w:val="26"/>
                <w:szCs w:val="26"/>
                <w:lang w:eastAsia="en-US"/>
              </w:rPr>
            </w:pPr>
            <w:r w:rsidRPr="00531392">
              <w:rPr>
                <w:b/>
                <w:i/>
                <w:sz w:val="26"/>
                <w:szCs w:val="26"/>
                <w:lang w:eastAsia="en-US"/>
              </w:rPr>
              <w:t>0</w:t>
            </w:r>
          </w:p>
        </w:tc>
        <w:tc>
          <w:tcPr>
            <w:tcW w:w="1329" w:type="dxa"/>
            <w:tcBorders>
              <w:top w:val="single" w:sz="4" w:space="0" w:color="auto"/>
              <w:left w:val="single" w:sz="4" w:space="0" w:color="auto"/>
              <w:bottom w:val="single" w:sz="4" w:space="0" w:color="auto"/>
              <w:right w:val="single" w:sz="4" w:space="0" w:color="auto"/>
            </w:tcBorders>
          </w:tcPr>
          <w:p w14:paraId="08DB2132" w14:textId="68C1D4EE" w:rsidR="00122C16" w:rsidRPr="00531392" w:rsidRDefault="00122C16" w:rsidP="00580447">
            <w:pPr>
              <w:pStyle w:val="naisf"/>
              <w:spacing w:before="0" w:after="0"/>
              <w:jc w:val="center"/>
              <w:rPr>
                <w:b/>
                <w:i/>
                <w:sz w:val="26"/>
                <w:szCs w:val="26"/>
                <w:lang w:eastAsia="en-US"/>
              </w:rPr>
            </w:pPr>
            <w:r w:rsidRPr="00531392">
              <w:rPr>
                <w:b/>
                <w:i/>
                <w:sz w:val="26"/>
                <w:szCs w:val="26"/>
                <w:lang w:eastAsia="en-US"/>
              </w:rPr>
              <w:t>0</w:t>
            </w:r>
          </w:p>
        </w:tc>
        <w:tc>
          <w:tcPr>
            <w:tcW w:w="1329" w:type="dxa"/>
            <w:tcBorders>
              <w:top w:val="single" w:sz="4" w:space="0" w:color="auto"/>
              <w:left w:val="single" w:sz="4" w:space="0" w:color="auto"/>
              <w:bottom w:val="single" w:sz="4" w:space="0" w:color="auto"/>
              <w:right w:val="single" w:sz="4" w:space="0" w:color="auto"/>
            </w:tcBorders>
          </w:tcPr>
          <w:p w14:paraId="59953E39" w14:textId="6F129A5B" w:rsidR="00122C16" w:rsidRPr="00531392" w:rsidRDefault="00122C16" w:rsidP="00580447">
            <w:pPr>
              <w:pStyle w:val="naisf"/>
              <w:spacing w:before="0" w:after="0"/>
              <w:jc w:val="center"/>
              <w:rPr>
                <w:b/>
                <w:i/>
                <w:sz w:val="26"/>
                <w:szCs w:val="26"/>
                <w:lang w:eastAsia="en-US"/>
              </w:rPr>
            </w:pPr>
            <w:r w:rsidRPr="00531392">
              <w:rPr>
                <w:b/>
                <w:i/>
                <w:sz w:val="26"/>
                <w:szCs w:val="26"/>
                <w:lang w:eastAsia="en-US"/>
              </w:rPr>
              <w:t>0</w:t>
            </w:r>
          </w:p>
        </w:tc>
        <w:tc>
          <w:tcPr>
            <w:tcW w:w="1330" w:type="dxa"/>
            <w:tcBorders>
              <w:top w:val="single" w:sz="4" w:space="0" w:color="auto"/>
              <w:left w:val="single" w:sz="4" w:space="0" w:color="auto"/>
              <w:bottom w:val="single" w:sz="4" w:space="0" w:color="auto"/>
              <w:right w:val="single" w:sz="4" w:space="0" w:color="auto"/>
            </w:tcBorders>
          </w:tcPr>
          <w:p w14:paraId="4D81005A" w14:textId="37B8847A" w:rsidR="00122C16" w:rsidRPr="00531392" w:rsidRDefault="00122C16" w:rsidP="00580447">
            <w:pPr>
              <w:pStyle w:val="naisf"/>
              <w:spacing w:before="0" w:after="0"/>
              <w:jc w:val="center"/>
              <w:rPr>
                <w:b/>
                <w:i/>
                <w:sz w:val="26"/>
                <w:szCs w:val="26"/>
                <w:lang w:eastAsia="en-US"/>
              </w:rPr>
            </w:pPr>
            <w:r w:rsidRPr="00531392">
              <w:rPr>
                <w:b/>
                <w:i/>
                <w:sz w:val="26"/>
                <w:szCs w:val="26"/>
                <w:lang w:eastAsia="en-US"/>
              </w:rPr>
              <w:t>0</w:t>
            </w:r>
          </w:p>
        </w:tc>
        <w:tc>
          <w:tcPr>
            <w:tcW w:w="1230" w:type="dxa"/>
            <w:gridSpan w:val="2"/>
            <w:tcBorders>
              <w:top w:val="single" w:sz="4" w:space="0" w:color="auto"/>
              <w:left w:val="single" w:sz="4" w:space="0" w:color="auto"/>
              <w:bottom w:val="single" w:sz="4" w:space="0" w:color="auto"/>
              <w:right w:val="single" w:sz="4" w:space="0" w:color="auto"/>
            </w:tcBorders>
          </w:tcPr>
          <w:p w14:paraId="68F748E5" w14:textId="3CBF1A0E" w:rsidR="00122C16" w:rsidRPr="00531392" w:rsidRDefault="00122C16" w:rsidP="00580447">
            <w:pPr>
              <w:pStyle w:val="naisf"/>
              <w:spacing w:before="0" w:after="0"/>
              <w:jc w:val="center"/>
              <w:rPr>
                <w:b/>
                <w:i/>
                <w:sz w:val="26"/>
                <w:szCs w:val="26"/>
                <w:lang w:eastAsia="en-US"/>
              </w:rPr>
            </w:pPr>
            <w:r w:rsidRPr="00531392">
              <w:rPr>
                <w:b/>
                <w:i/>
                <w:sz w:val="26"/>
                <w:szCs w:val="26"/>
                <w:lang w:eastAsia="en-US"/>
              </w:rPr>
              <w:t>0</w:t>
            </w:r>
          </w:p>
        </w:tc>
      </w:tr>
      <w:tr w:rsidR="00122C16" w:rsidRPr="00531392" w14:paraId="4597AC49" w14:textId="77777777" w:rsidTr="00122C16">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8" w:type="dxa"/>
          <w:jc w:val="center"/>
        </w:trPr>
        <w:tc>
          <w:tcPr>
            <w:tcW w:w="2505" w:type="dxa"/>
            <w:gridSpan w:val="3"/>
            <w:tcBorders>
              <w:top w:val="single" w:sz="4" w:space="0" w:color="auto"/>
              <w:left w:val="single" w:sz="4" w:space="0" w:color="auto"/>
              <w:bottom w:val="single" w:sz="4" w:space="0" w:color="auto"/>
              <w:right w:val="single" w:sz="4" w:space="0" w:color="auto"/>
            </w:tcBorders>
            <w:hideMark/>
          </w:tcPr>
          <w:p w14:paraId="32125B57" w14:textId="77777777" w:rsidR="00122C16" w:rsidRPr="00531392" w:rsidRDefault="00122C16" w:rsidP="00580447">
            <w:pPr>
              <w:rPr>
                <w:rFonts w:cs="Times New Roman"/>
                <w:sz w:val="26"/>
                <w:szCs w:val="26"/>
              </w:rPr>
            </w:pPr>
            <w:r w:rsidRPr="00531392">
              <w:rPr>
                <w:rFonts w:cs="Times New Roman"/>
                <w:sz w:val="26"/>
                <w:szCs w:val="26"/>
              </w:rPr>
              <w:t>3.1. valsts pamatbudžets</w:t>
            </w:r>
          </w:p>
        </w:tc>
        <w:tc>
          <w:tcPr>
            <w:tcW w:w="1383" w:type="dxa"/>
            <w:tcBorders>
              <w:top w:val="single" w:sz="4" w:space="0" w:color="auto"/>
              <w:left w:val="single" w:sz="4" w:space="0" w:color="auto"/>
              <w:bottom w:val="single" w:sz="4" w:space="0" w:color="auto"/>
              <w:right w:val="single" w:sz="4" w:space="0" w:color="auto"/>
            </w:tcBorders>
          </w:tcPr>
          <w:p w14:paraId="0546EF74" w14:textId="453B0957"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29" w:type="dxa"/>
            <w:tcBorders>
              <w:top w:val="single" w:sz="4" w:space="0" w:color="auto"/>
              <w:left w:val="single" w:sz="4" w:space="0" w:color="auto"/>
              <w:bottom w:val="single" w:sz="4" w:space="0" w:color="auto"/>
              <w:right w:val="single" w:sz="4" w:space="0" w:color="auto"/>
            </w:tcBorders>
          </w:tcPr>
          <w:p w14:paraId="0D5CD643" w14:textId="5FF81ED8"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29" w:type="dxa"/>
            <w:tcBorders>
              <w:top w:val="single" w:sz="4" w:space="0" w:color="auto"/>
              <w:left w:val="single" w:sz="4" w:space="0" w:color="auto"/>
              <w:bottom w:val="single" w:sz="4" w:space="0" w:color="auto"/>
              <w:right w:val="single" w:sz="4" w:space="0" w:color="auto"/>
            </w:tcBorders>
          </w:tcPr>
          <w:p w14:paraId="3D9486C1" w14:textId="4CC433A9"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30" w:type="dxa"/>
            <w:tcBorders>
              <w:top w:val="single" w:sz="4" w:space="0" w:color="auto"/>
              <w:left w:val="single" w:sz="4" w:space="0" w:color="auto"/>
              <w:bottom w:val="single" w:sz="4" w:space="0" w:color="auto"/>
              <w:right w:val="single" w:sz="4" w:space="0" w:color="auto"/>
            </w:tcBorders>
          </w:tcPr>
          <w:p w14:paraId="06027FB8" w14:textId="1DFEC984"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230" w:type="dxa"/>
            <w:gridSpan w:val="2"/>
            <w:tcBorders>
              <w:top w:val="single" w:sz="4" w:space="0" w:color="auto"/>
              <w:left w:val="single" w:sz="4" w:space="0" w:color="auto"/>
              <w:bottom w:val="single" w:sz="4" w:space="0" w:color="auto"/>
              <w:right w:val="single" w:sz="4" w:space="0" w:color="auto"/>
            </w:tcBorders>
          </w:tcPr>
          <w:p w14:paraId="28EA7503" w14:textId="52858EBD"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r>
      <w:tr w:rsidR="00122C16" w:rsidRPr="00531392" w14:paraId="59BE89A8" w14:textId="77777777" w:rsidTr="00122C16">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8" w:type="dxa"/>
          <w:jc w:val="center"/>
        </w:trPr>
        <w:tc>
          <w:tcPr>
            <w:tcW w:w="2505" w:type="dxa"/>
            <w:gridSpan w:val="3"/>
            <w:tcBorders>
              <w:top w:val="single" w:sz="4" w:space="0" w:color="auto"/>
              <w:left w:val="single" w:sz="4" w:space="0" w:color="auto"/>
              <w:bottom w:val="single" w:sz="4" w:space="0" w:color="auto"/>
              <w:right w:val="single" w:sz="4" w:space="0" w:color="auto"/>
            </w:tcBorders>
            <w:hideMark/>
          </w:tcPr>
          <w:p w14:paraId="66B94F33" w14:textId="77777777" w:rsidR="00122C16" w:rsidRPr="00531392" w:rsidRDefault="00122C16" w:rsidP="00580447">
            <w:pPr>
              <w:rPr>
                <w:rFonts w:cs="Times New Roman"/>
                <w:sz w:val="26"/>
                <w:szCs w:val="26"/>
              </w:rPr>
            </w:pPr>
            <w:r w:rsidRPr="00531392">
              <w:rPr>
                <w:rFonts w:cs="Times New Roman"/>
                <w:sz w:val="26"/>
                <w:szCs w:val="26"/>
              </w:rPr>
              <w:t>3.2. speciālais budžets</w:t>
            </w:r>
          </w:p>
        </w:tc>
        <w:tc>
          <w:tcPr>
            <w:tcW w:w="1383" w:type="dxa"/>
            <w:tcBorders>
              <w:top w:val="single" w:sz="4" w:space="0" w:color="auto"/>
              <w:left w:val="single" w:sz="4" w:space="0" w:color="auto"/>
              <w:bottom w:val="single" w:sz="4" w:space="0" w:color="auto"/>
              <w:right w:val="single" w:sz="4" w:space="0" w:color="auto"/>
            </w:tcBorders>
          </w:tcPr>
          <w:p w14:paraId="6E2039D5" w14:textId="04E21604"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29" w:type="dxa"/>
            <w:tcBorders>
              <w:top w:val="single" w:sz="4" w:space="0" w:color="auto"/>
              <w:left w:val="single" w:sz="4" w:space="0" w:color="auto"/>
              <w:bottom w:val="single" w:sz="4" w:space="0" w:color="auto"/>
              <w:right w:val="single" w:sz="4" w:space="0" w:color="auto"/>
            </w:tcBorders>
          </w:tcPr>
          <w:p w14:paraId="65578634" w14:textId="41923F3A"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29" w:type="dxa"/>
            <w:tcBorders>
              <w:top w:val="single" w:sz="4" w:space="0" w:color="auto"/>
              <w:left w:val="single" w:sz="4" w:space="0" w:color="auto"/>
              <w:bottom w:val="single" w:sz="4" w:space="0" w:color="auto"/>
              <w:right w:val="single" w:sz="4" w:space="0" w:color="auto"/>
            </w:tcBorders>
          </w:tcPr>
          <w:p w14:paraId="69C47365" w14:textId="22905C3A"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30" w:type="dxa"/>
            <w:tcBorders>
              <w:top w:val="single" w:sz="4" w:space="0" w:color="auto"/>
              <w:left w:val="single" w:sz="4" w:space="0" w:color="auto"/>
              <w:bottom w:val="single" w:sz="4" w:space="0" w:color="auto"/>
              <w:right w:val="single" w:sz="4" w:space="0" w:color="auto"/>
            </w:tcBorders>
          </w:tcPr>
          <w:p w14:paraId="308BE938" w14:textId="172EF3D7"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230" w:type="dxa"/>
            <w:gridSpan w:val="2"/>
            <w:tcBorders>
              <w:top w:val="single" w:sz="4" w:space="0" w:color="auto"/>
              <w:left w:val="single" w:sz="4" w:space="0" w:color="auto"/>
              <w:bottom w:val="single" w:sz="4" w:space="0" w:color="auto"/>
              <w:right w:val="single" w:sz="4" w:space="0" w:color="auto"/>
            </w:tcBorders>
          </w:tcPr>
          <w:p w14:paraId="027EE908" w14:textId="7F4D3F9D"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r>
      <w:tr w:rsidR="00122C16" w:rsidRPr="00531392" w14:paraId="04BBCC12" w14:textId="77777777" w:rsidTr="00122C16">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8" w:type="dxa"/>
          <w:jc w:val="center"/>
        </w:trPr>
        <w:tc>
          <w:tcPr>
            <w:tcW w:w="2505" w:type="dxa"/>
            <w:gridSpan w:val="3"/>
            <w:tcBorders>
              <w:top w:val="single" w:sz="4" w:space="0" w:color="auto"/>
              <w:left w:val="single" w:sz="4" w:space="0" w:color="auto"/>
              <w:bottom w:val="single" w:sz="4" w:space="0" w:color="auto"/>
              <w:right w:val="single" w:sz="4" w:space="0" w:color="auto"/>
            </w:tcBorders>
            <w:hideMark/>
          </w:tcPr>
          <w:p w14:paraId="7DB3E33F" w14:textId="77777777" w:rsidR="00122C16" w:rsidRPr="00531392" w:rsidRDefault="00122C16" w:rsidP="00580447">
            <w:pPr>
              <w:rPr>
                <w:rFonts w:cs="Times New Roman"/>
                <w:sz w:val="26"/>
                <w:szCs w:val="26"/>
              </w:rPr>
            </w:pPr>
            <w:r w:rsidRPr="00531392">
              <w:rPr>
                <w:rFonts w:cs="Times New Roman"/>
                <w:sz w:val="26"/>
                <w:szCs w:val="26"/>
              </w:rPr>
              <w:t xml:space="preserve">3.3. pašvaldību budžets </w:t>
            </w:r>
          </w:p>
        </w:tc>
        <w:tc>
          <w:tcPr>
            <w:tcW w:w="1383" w:type="dxa"/>
            <w:tcBorders>
              <w:top w:val="single" w:sz="4" w:space="0" w:color="auto"/>
              <w:left w:val="single" w:sz="4" w:space="0" w:color="auto"/>
              <w:bottom w:val="single" w:sz="4" w:space="0" w:color="auto"/>
              <w:right w:val="single" w:sz="4" w:space="0" w:color="auto"/>
            </w:tcBorders>
          </w:tcPr>
          <w:p w14:paraId="7921EA55" w14:textId="70734EE6"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29" w:type="dxa"/>
            <w:tcBorders>
              <w:top w:val="single" w:sz="4" w:space="0" w:color="auto"/>
              <w:left w:val="single" w:sz="4" w:space="0" w:color="auto"/>
              <w:bottom w:val="single" w:sz="4" w:space="0" w:color="auto"/>
              <w:right w:val="single" w:sz="4" w:space="0" w:color="auto"/>
            </w:tcBorders>
          </w:tcPr>
          <w:p w14:paraId="2527C839" w14:textId="49113162"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29" w:type="dxa"/>
            <w:tcBorders>
              <w:top w:val="single" w:sz="4" w:space="0" w:color="auto"/>
              <w:left w:val="single" w:sz="4" w:space="0" w:color="auto"/>
              <w:bottom w:val="single" w:sz="4" w:space="0" w:color="auto"/>
              <w:right w:val="single" w:sz="4" w:space="0" w:color="auto"/>
            </w:tcBorders>
          </w:tcPr>
          <w:p w14:paraId="02390A9A" w14:textId="33A06820"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30" w:type="dxa"/>
            <w:tcBorders>
              <w:top w:val="single" w:sz="4" w:space="0" w:color="auto"/>
              <w:left w:val="single" w:sz="4" w:space="0" w:color="auto"/>
              <w:bottom w:val="single" w:sz="4" w:space="0" w:color="auto"/>
              <w:right w:val="single" w:sz="4" w:space="0" w:color="auto"/>
            </w:tcBorders>
          </w:tcPr>
          <w:p w14:paraId="61586BE4" w14:textId="2BC76034"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230" w:type="dxa"/>
            <w:gridSpan w:val="2"/>
            <w:tcBorders>
              <w:top w:val="single" w:sz="4" w:space="0" w:color="auto"/>
              <w:left w:val="single" w:sz="4" w:space="0" w:color="auto"/>
              <w:bottom w:val="single" w:sz="4" w:space="0" w:color="auto"/>
              <w:right w:val="single" w:sz="4" w:space="0" w:color="auto"/>
            </w:tcBorders>
          </w:tcPr>
          <w:p w14:paraId="183001A5" w14:textId="1AC276CC"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r>
      <w:tr w:rsidR="00122C16" w:rsidRPr="00531392" w14:paraId="7CA7A97D" w14:textId="77777777" w:rsidTr="009215F7">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8" w:type="dxa"/>
          <w:trHeight w:val="2093"/>
          <w:jc w:val="center"/>
        </w:trPr>
        <w:tc>
          <w:tcPr>
            <w:tcW w:w="2505" w:type="dxa"/>
            <w:gridSpan w:val="3"/>
            <w:tcBorders>
              <w:top w:val="single" w:sz="4" w:space="0" w:color="auto"/>
              <w:left w:val="single" w:sz="4" w:space="0" w:color="auto"/>
              <w:bottom w:val="single" w:sz="4" w:space="0" w:color="auto"/>
              <w:right w:val="single" w:sz="4" w:space="0" w:color="auto"/>
            </w:tcBorders>
            <w:hideMark/>
          </w:tcPr>
          <w:p w14:paraId="339079B3" w14:textId="77777777" w:rsidR="00122C16" w:rsidRPr="00531392" w:rsidRDefault="00122C16" w:rsidP="00580447">
            <w:pPr>
              <w:jc w:val="both"/>
              <w:rPr>
                <w:rFonts w:cs="Times New Roman"/>
                <w:sz w:val="26"/>
                <w:szCs w:val="26"/>
              </w:rPr>
            </w:pPr>
            <w:r w:rsidRPr="00531392">
              <w:rPr>
                <w:rFonts w:cs="Times New Roman"/>
                <w:sz w:val="26"/>
                <w:szCs w:val="26"/>
              </w:rPr>
              <w:t>4. Finanšu līdzekļi papildu izde</w:t>
            </w:r>
            <w:r w:rsidRPr="00531392">
              <w:rPr>
                <w:rFonts w:cs="Times New Roman"/>
                <w:sz w:val="26"/>
                <w:szCs w:val="26"/>
              </w:rPr>
              <w:softHyphen/>
              <w:t>vumu finansēšanai (kompensējošu izdevumu samazinājumu norāda ar "+" zīmi)</w:t>
            </w:r>
          </w:p>
        </w:tc>
        <w:tc>
          <w:tcPr>
            <w:tcW w:w="1383" w:type="dxa"/>
            <w:tcBorders>
              <w:top w:val="single" w:sz="4" w:space="0" w:color="auto"/>
              <w:left w:val="single" w:sz="4" w:space="0" w:color="auto"/>
              <w:bottom w:val="single" w:sz="4" w:space="0" w:color="auto"/>
              <w:right w:val="single" w:sz="4" w:space="0" w:color="auto"/>
            </w:tcBorders>
          </w:tcPr>
          <w:p w14:paraId="4899937B" w14:textId="43ED3D73" w:rsidR="00122C16" w:rsidRPr="00531392" w:rsidRDefault="00122C16" w:rsidP="00580447">
            <w:pPr>
              <w:pStyle w:val="naisf"/>
              <w:spacing w:before="0" w:after="0"/>
              <w:jc w:val="center"/>
              <w:rPr>
                <w:i/>
                <w:sz w:val="26"/>
                <w:szCs w:val="26"/>
                <w:lang w:eastAsia="en-US"/>
              </w:rPr>
            </w:pPr>
            <w:r w:rsidRPr="00531392">
              <w:rPr>
                <w:sz w:val="26"/>
                <w:szCs w:val="26"/>
                <w:lang w:eastAsia="en-US"/>
              </w:rPr>
              <w:t>X</w:t>
            </w:r>
          </w:p>
        </w:tc>
        <w:tc>
          <w:tcPr>
            <w:tcW w:w="1329" w:type="dxa"/>
            <w:tcBorders>
              <w:top w:val="single" w:sz="4" w:space="0" w:color="auto"/>
              <w:left w:val="single" w:sz="4" w:space="0" w:color="auto"/>
              <w:right w:val="single" w:sz="4" w:space="0" w:color="auto"/>
            </w:tcBorders>
          </w:tcPr>
          <w:p w14:paraId="46BBAC27" w14:textId="5642FCC1" w:rsidR="00122C16" w:rsidRPr="00531392" w:rsidRDefault="00122C16" w:rsidP="00580447">
            <w:pPr>
              <w:pStyle w:val="naisf"/>
              <w:spacing w:before="0" w:after="0"/>
              <w:jc w:val="center"/>
              <w:rPr>
                <w:b/>
                <w:i/>
                <w:sz w:val="26"/>
                <w:szCs w:val="26"/>
                <w:lang w:eastAsia="en-US"/>
              </w:rPr>
            </w:pPr>
            <w:r w:rsidRPr="00531392">
              <w:rPr>
                <w:b/>
                <w:i/>
                <w:sz w:val="26"/>
                <w:szCs w:val="26"/>
                <w:lang w:eastAsia="en-US"/>
              </w:rPr>
              <w:t>0</w:t>
            </w:r>
          </w:p>
        </w:tc>
        <w:tc>
          <w:tcPr>
            <w:tcW w:w="1329" w:type="dxa"/>
            <w:tcBorders>
              <w:top w:val="single" w:sz="4" w:space="0" w:color="auto"/>
              <w:left w:val="single" w:sz="4" w:space="0" w:color="auto"/>
              <w:right w:val="single" w:sz="4" w:space="0" w:color="auto"/>
            </w:tcBorders>
          </w:tcPr>
          <w:p w14:paraId="28C81F2C" w14:textId="62E76821" w:rsidR="00122C16" w:rsidRPr="00531392" w:rsidRDefault="00122C16" w:rsidP="00580447">
            <w:pPr>
              <w:pStyle w:val="naisf"/>
              <w:spacing w:before="0" w:after="0"/>
              <w:jc w:val="center"/>
              <w:rPr>
                <w:b/>
                <w:i/>
                <w:sz w:val="26"/>
                <w:szCs w:val="26"/>
                <w:lang w:eastAsia="en-US"/>
              </w:rPr>
            </w:pPr>
            <w:r w:rsidRPr="00531392">
              <w:rPr>
                <w:b/>
                <w:i/>
                <w:sz w:val="26"/>
                <w:szCs w:val="26"/>
                <w:lang w:eastAsia="en-US"/>
              </w:rPr>
              <w:t>0</w:t>
            </w:r>
          </w:p>
        </w:tc>
        <w:tc>
          <w:tcPr>
            <w:tcW w:w="1330" w:type="dxa"/>
            <w:tcBorders>
              <w:top w:val="single" w:sz="4" w:space="0" w:color="auto"/>
              <w:left w:val="single" w:sz="4" w:space="0" w:color="auto"/>
              <w:right w:val="single" w:sz="4" w:space="0" w:color="auto"/>
            </w:tcBorders>
          </w:tcPr>
          <w:p w14:paraId="2060AE02" w14:textId="6292A908" w:rsidR="00122C16" w:rsidRPr="00531392" w:rsidRDefault="00122C16" w:rsidP="00580447">
            <w:pPr>
              <w:pStyle w:val="naisf"/>
              <w:spacing w:before="0" w:after="0"/>
              <w:jc w:val="center"/>
              <w:rPr>
                <w:b/>
                <w:i/>
                <w:sz w:val="26"/>
                <w:szCs w:val="26"/>
                <w:lang w:eastAsia="en-US"/>
              </w:rPr>
            </w:pPr>
            <w:r w:rsidRPr="00531392">
              <w:rPr>
                <w:b/>
                <w:i/>
                <w:sz w:val="26"/>
                <w:szCs w:val="26"/>
                <w:lang w:eastAsia="en-US"/>
              </w:rPr>
              <w:t>0</w:t>
            </w:r>
          </w:p>
        </w:tc>
        <w:tc>
          <w:tcPr>
            <w:tcW w:w="1230" w:type="dxa"/>
            <w:gridSpan w:val="2"/>
            <w:tcBorders>
              <w:top w:val="single" w:sz="4" w:space="0" w:color="auto"/>
              <w:left w:val="single" w:sz="4" w:space="0" w:color="auto"/>
              <w:right w:val="single" w:sz="4" w:space="0" w:color="auto"/>
            </w:tcBorders>
          </w:tcPr>
          <w:p w14:paraId="38004018" w14:textId="2F6B7917" w:rsidR="00122C16" w:rsidRPr="00531392" w:rsidRDefault="00122C16" w:rsidP="00580447">
            <w:pPr>
              <w:pStyle w:val="naisf"/>
              <w:spacing w:before="0" w:after="0"/>
              <w:jc w:val="center"/>
              <w:rPr>
                <w:i/>
                <w:sz w:val="26"/>
                <w:szCs w:val="26"/>
                <w:lang w:eastAsia="en-US"/>
              </w:rPr>
            </w:pPr>
            <w:r w:rsidRPr="00531392">
              <w:rPr>
                <w:i/>
                <w:sz w:val="26"/>
                <w:szCs w:val="26"/>
                <w:lang w:eastAsia="en-US"/>
              </w:rPr>
              <w:t>0</w:t>
            </w:r>
          </w:p>
        </w:tc>
      </w:tr>
      <w:tr w:rsidR="00122C16" w:rsidRPr="00531392" w14:paraId="0289056F" w14:textId="77777777" w:rsidTr="00122C16">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8" w:type="dxa"/>
          <w:jc w:val="center"/>
        </w:trPr>
        <w:tc>
          <w:tcPr>
            <w:tcW w:w="2505" w:type="dxa"/>
            <w:gridSpan w:val="3"/>
            <w:tcBorders>
              <w:top w:val="single" w:sz="4" w:space="0" w:color="auto"/>
              <w:left w:val="single" w:sz="4" w:space="0" w:color="auto"/>
              <w:bottom w:val="single" w:sz="4" w:space="0" w:color="auto"/>
              <w:right w:val="single" w:sz="4" w:space="0" w:color="auto"/>
            </w:tcBorders>
            <w:hideMark/>
          </w:tcPr>
          <w:p w14:paraId="1F89FC11" w14:textId="77777777" w:rsidR="00122C16" w:rsidRPr="00531392" w:rsidRDefault="00122C16" w:rsidP="00580447">
            <w:pPr>
              <w:jc w:val="both"/>
              <w:rPr>
                <w:rFonts w:cs="Times New Roman"/>
                <w:sz w:val="26"/>
                <w:szCs w:val="26"/>
              </w:rPr>
            </w:pPr>
            <w:r w:rsidRPr="00531392">
              <w:rPr>
                <w:rFonts w:cs="Times New Roman"/>
                <w:sz w:val="26"/>
                <w:szCs w:val="26"/>
              </w:rPr>
              <w:t>5. Precizēta finansiālā ietekme:</w:t>
            </w:r>
          </w:p>
        </w:tc>
        <w:tc>
          <w:tcPr>
            <w:tcW w:w="1383" w:type="dxa"/>
            <w:vMerge w:val="restart"/>
            <w:tcBorders>
              <w:top w:val="single" w:sz="4" w:space="0" w:color="auto"/>
              <w:left w:val="single" w:sz="4" w:space="0" w:color="auto"/>
              <w:bottom w:val="single" w:sz="4" w:space="0" w:color="auto"/>
              <w:right w:val="single" w:sz="4" w:space="0" w:color="auto"/>
            </w:tcBorders>
            <w:hideMark/>
          </w:tcPr>
          <w:p w14:paraId="0B97CE34" w14:textId="77777777" w:rsidR="00122C16" w:rsidRPr="00531392" w:rsidRDefault="00122C16" w:rsidP="00580447">
            <w:pPr>
              <w:pStyle w:val="naisf"/>
              <w:spacing w:before="0" w:after="0"/>
              <w:jc w:val="center"/>
              <w:rPr>
                <w:i/>
                <w:sz w:val="26"/>
                <w:szCs w:val="26"/>
                <w:lang w:eastAsia="en-US"/>
              </w:rPr>
            </w:pPr>
            <w:r w:rsidRPr="00531392">
              <w:rPr>
                <w:sz w:val="26"/>
                <w:szCs w:val="26"/>
                <w:lang w:eastAsia="en-US"/>
              </w:rPr>
              <w:t>X</w:t>
            </w:r>
          </w:p>
        </w:tc>
        <w:tc>
          <w:tcPr>
            <w:tcW w:w="1329" w:type="dxa"/>
            <w:tcBorders>
              <w:top w:val="single" w:sz="4" w:space="0" w:color="auto"/>
              <w:left w:val="single" w:sz="4" w:space="0" w:color="auto"/>
              <w:bottom w:val="single" w:sz="4" w:space="0" w:color="auto"/>
              <w:right w:val="single" w:sz="4" w:space="0" w:color="auto"/>
            </w:tcBorders>
            <w:hideMark/>
          </w:tcPr>
          <w:p w14:paraId="59CE52F1" w14:textId="77777777" w:rsidR="00122C16" w:rsidRPr="00531392" w:rsidRDefault="00122C16" w:rsidP="00580447">
            <w:pPr>
              <w:pStyle w:val="naisf"/>
              <w:spacing w:before="0" w:after="0"/>
              <w:jc w:val="center"/>
              <w:rPr>
                <w:b/>
                <w:i/>
                <w:sz w:val="26"/>
                <w:szCs w:val="26"/>
                <w:lang w:eastAsia="en-US"/>
              </w:rPr>
            </w:pPr>
            <w:r w:rsidRPr="00531392">
              <w:rPr>
                <w:b/>
                <w:i/>
                <w:sz w:val="26"/>
                <w:szCs w:val="26"/>
                <w:lang w:eastAsia="en-US"/>
              </w:rPr>
              <w:t>0</w:t>
            </w:r>
          </w:p>
        </w:tc>
        <w:tc>
          <w:tcPr>
            <w:tcW w:w="1329" w:type="dxa"/>
            <w:tcBorders>
              <w:top w:val="single" w:sz="4" w:space="0" w:color="auto"/>
              <w:left w:val="single" w:sz="4" w:space="0" w:color="auto"/>
              <w:bottom w:val="single" w:sz="4" w:space="0" w:color="auto"/>
              <w:right w:val="single" w:sz="4" w:space="0" w:color="auto"/>
            </w:tcBorders>
            <w:hideMark/>
          </w:tcPr>
          <w:p w14:paraId="5B50CE47" w14:textId="77777777" w:rsidR="00122C16" w:rsidRPr="00531392" w:rsidRDefault="00122C16" w:rsidP="00580447">
            <w:pPr>
              <w:pStyle w:val="naisf"/>
              <w:spacing w:before="0" w:after="0"/>
              <w:jc w:val="center"/>
              <w:rPr>
                <w:b/>
                <w:i/>
                <w:sz w:val="26"/>
                <w:szCs w:val="26"/>
                <w:lang w:eastAsia="en-US"/>
              </w:rPr>
            </w:pPr>
            <w:r w:rsidRPr="00531392">
              <w:rPr>
                <w:b/>
                <w:i/>
                <w:sz w:val="26"/>
                <w:szCs w:val="26"/>
                <w:lang w:eastAsia="en-US"/>
              </w:rPr>
              <w:t>0</w:t>
            </w:r>
          </w:p>
        </w:tc>
        <w:tc>
          <w:tcPr>
            <w:tcW w:w="1330" w:type="dxa"/>
            <w:tcBorders>
              <w:top w:val="single" w:sz="4" w:space="0" w:color="auto"/>
              <w:left w:val="single" w:sz="4" w:space="0" w:color="auto"/>
              <w:bottom w:val="single" w:sz="4" w:space="0" w:color="auto"/>
              <w:right w:val="single" w:sz="4" w:space="0" w:color="auto"/>
            </w:tcBorders>
            <w:hideMark/>
          </w:tcPr>
          <w:p w14:paraId="460654C2" w14:textId="77777777" w:rsidR="00122C16" w:rsidRPr="00531392" w:rsidRDefault="00122C16" w:rsidP="00580447">
            <w:pPr>
              <w:pStyle w:val="naisf"/>
              <w:spacing w:before="0" w:after="0"/>
              <w:jc w:val="center"/>
              <w:rPr>
                <w:b/>
                <w:i/>
                <w:sz w:val="26"/>
                <w:szCs w:val="26"/>
                <w:lang w:eastAsia="en-US"/>
              </w:rPr>
            </w:pPr>
            <w:r w:rsidRPr="00531392">
              <w:rPr>
                <w:b/>
                <w:i/>
                <w:sz w:val="26"/>
                <w:szCs w:val="26"/>
                <w:lang w:eastAsia="en-US"/>
              </w:rPr>
              <w:t>0</w:t>
            </w:r>
          </w:p>
        </w:tc>
        <w:tc>
          <w:tcPr>
            <w:tcW w:w="1230" w:type="dxa"/>
            <w:gridSpan w:val="2"/>
            <w:tcBorders>
              <w:top w:val="single" w:sz="4" w:space="0" w:color="auto"/>
              <w:left w:val="single" w:sz="4" w:space="0" w:color="auto"/>
              <w:bottom w:val="single" w:sz="4" w:space="0" w:color="auto"/>
              <w:right w:val="single" w:sz="4" w:space="0" w:color="auto"/>
            </w:tcBorders>
            <w:hideMark/>
          </w:tcPr>
          <w:p w14:paraId="7BEE5D95" w14:textId="77777777" w:rsidR="00122C16" w:rsidRPr="00531392" w:rsidRDefault="00122C16" w:rsidP="00580447">
            <w:pPr>
              <w:pStyle w:val="naisf"/>
              <w:spacing w:before="0" w:after="0"/>
              <w:jc w:val="center"/>
              <w:rPr>
                <w:b/>
                <w:i/>
                <w:sz w:val="26"/>
                <w:szCs w:val="26"/>
                <w:lang w:eastAsia="en-US"/>
              </w:rPr>
            </w:pPr>
            <w:r w:rsidRPr="00531392">
              <w:rPr>
                <w:b/>
                <w:i/>
                <w:sz w:val="26"/>
                <w:szCs w:val="26"/>
                <w:lang w:eastAsia="en-US"/>
              </w:rPr>
              <w:t>0</w:t>
            </w:r>
          </w:p>
        </w:tc>
      </w:tr>
      <w:tr w:rsidR="00122C16" w:rsidRPr="00531392" w14:paraId="111C5C02" w14:textId="77777777" w:rsidTr="00122C16">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8" w:type="dxa"/>
          <w:jc w:val="center"/>
        </w:trPr>
        <w:tc>
          <w:tcPr>
            <w:tcW w:w="2505" w:type="dxa"/>
            <w:gridSpan w:val="3"/>
            <w:tcBorders>
              <w:top w:val="single" w:sz="4" w:space="0" w:color="auto"/>
              <w:left w:val="single" w:sz="4" w:space="0" w:color="auto"/>
              <w:bottom w:val="single" w:sz="4" w:space="0" w:color="auto"/>
              <w:right w:val="single" w:sz="4" w:space="0" w:color="auto"/>
            </w:tcBorders>
            <w:hideMark/>
          </w:tcPr>
          <w:p w14:paraId="5DA220CE" w14:textId="77777777" w:rsidR="00122C16" w:rsidRPr="00531392" w:rsidRDefault="00122C16" w:rsidP="00580447">
            <w:pPr>
              <w:rPr>
                <w:rFonts w:cs="Times New Roman"/>
                <w:sz w:val="26"/>
                <w:szCs w:val="26"/>
              </w:rPr>
            </w:pPr>
            <w:r w:rsidRPr="00531392">
              <w:rPr>
                <w:rFonts w:cs="Times New Roman"/>
                <w:sz w:val="26"/>
                <w:szCs w:val="26"/>
              </w:rPr>
              <w:t>5.1. valsts pamatbudžets</w:t>
            </w:r>
          </w:p>
        </w:tc>
        <w:tc>
          <w:tcPr>
            <w:tcW w:w="1383" w:type="dxa"/>
            <w:vMerge/>
            <w:tcBorders>
              <w:top w:val="single" w:sz="4" w:space="0" w:color="auto"/>
              <w:left w:val="single" w:sz="4" w:space="0" w:color="auto"/>
              <w:bottom w:val="single" w:sz="4" w:space="0" w:color="auto"/>
              <w:right w:val="single" w:sz="4" w:space="0" w:color="auto"/>
            </w:tcBorders>
            <w:vAlign w:val="center"/>
            <w:hideMark/>
          </w:tcPr>
          <w:p w14:paraId="2FD1627F" w14:textId="77777777" w:rsidR="00122C16" w:rsidRPr="00531392" w:rsidRDefault="00122C16" w:rsidP="00580447">
            <w:pPr>
              <w:rPr>
                <w:rFonts w:eastAsia="Times New Roman" w:cs="Times New Roman"/>
                <w:i/>
                <w:sz w:val="26"/>
                <w:szCs w:val="26"/>
              </w:rPr>
            </w:pPr>
          </w:p>
        </w:tc>
        <w:tc>
          <w:tcPr>
            <w:tcW w:w="1329" w:type="dxa"/>
            <w:tcBorders>
              <w:top w:val="single" w:sz="4" w:space="0" w:color="auto"/>
              <w:left w:val="single" w:sz="4" w:space="0" w:color="auto"/>
              <w:bottom w:val="single" w:sz="4" w:space="0" w:color="auto"/>
              <w:right w:val="single" w:sz="4" w:space="0" w:color="auto"/>
            </w:tcBorders>
            <w:hideMark/>
          </w:tcPr>
          <w:p w14:paraId="0EBC5C96" w14:textId="77777777"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29" w:type="dxa"/>
            <w:tcBorders>
              <w:top w:val="single" w:sz="4" w:space="0" w:color="auto"/>
              <w:left w:val="single" w:sz="4" w:space="0" w:color="auto"/>
              <w:bottom w:val="single" w:sz="4" w:space="0" w:color="auto"/>
              <w:right w:val="single" w:sz="4" w:space="0" w:color="auto"/>
            </w:tcBorders>
            <w:hideMark/>
          </w:tcPr>
          <w:p w14:paraId="6B388DAD" w14:textId="77777777"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30" w:type="dxa"/>
            <w:tcBorders>
              <w:top w:val="single" w:sz="4" w:space="0" w:color="auto"/>
              <w:left w:val="single" w:sz="4" w:space="0" w:color="auto"/>
              <w:bottom w:val="single" w:sz="4" w:space="0" w:color="auto"/>
              <w:right w:val="single" w:sz="4" w:space="0" w:color="auto"/>
            </w:tcBorders>
            <w:hideMark/>
          </w:tcPr>
          <w:p w14:paraId="73A025F9" w14:textId="77777777"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230" w:type="dxa"/>
            <w:gridSpan w:val="2"/>
            <w:tcBorders>
              <w:top w:val="single" w:sz="4" w:space="0" w:color="auto"/>
              <w:left w:val="single" w:sz="4" w:space="0" w:color="auto"/>
              <w:bottom w:val="single" w:sz="4" w:space="0" w:color="auto"/>
              <w:right w:val="single" w:sz="4" w:space="0" w:color="auto"/>
            </w:tcBorders>
            <w:hideMark/>
          </w:tcPr>
          <w:p w14:paraId="61DDB2AC" w14:textId="77777777"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r>
      <w:tr w:rsidR="00122C16" w:rsidRPr="00531392" w14:paraId="116BB6F6" w14:textId="77777777" w:rsidTr="00122C16">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8" w:type="dxa"/>
          <w:jc w:val="center"/>
        </w:trPr>
        <w:tc>
          <w:tcPr>
            <w:tcW w:w="2505" w:type="dxa"/>
            <w:gridSpan w:val="3"/>
            <w:tcBorders>
              <w:top w:val="single" w:sz="4" w:space="0" w:color="auto"/>
              <w:left w:val="single" w:sz="4" w:space="0" w:color="auto"/>
              <w:bottom w:val="single" w:sz="4" w:space="0" w:color="auto"/>
              <w:right w:val="single" w:sz="4" w:space="0" w:color="auto"/>
            </w:tcBorders>
            <w:hideMark/>
          </w:tcPr>
          <w:p w14:paraId="0802854F" w14:textId="77777777" w:rsidR="00122C16" w:rsidRPr="00531392" w:rsidRDefault="00122C16" w:rsidP="00580447">
            <w:pPr>
              <w:rPr>
                <w:rFonts w:cs="Times New Roman"/>
                <w:sz w:val="26"/>
                <w:szCs w:val="26"/>
              </w:rPr>
            </w:pPr>
            <w:r w:rsidRPr="00531392">
              <w:rPr>
                <w:rFonts w:cs="Times New Roman"/>
                <w:sz w:val="26"/>
                <w:szCs w:val="26"/>
              </w:rPr>
              <w:t>5.2. speciālais budžets</w:t>
            </w:r>
          </w:p>
        </w:tc>
        <w:tc>
          <w:tcPr>
            <w:tcW w:w="1383" w:type="dxa"/>
            <w:vMerge/>
            <w:tcBorders>
              <w:top w:val="single" w:sz="4" w:space="0" w:color="auto"/>
              <w:left w:val="single" w:sz="4" w:space="0" w:color="auto"/>
              <w:bottom w:val="single" w:sz="4" w:space="0" w:color="auto"/>
              <w:right w:val="single" w:sz="4" w:space="0" w:color="auto"/>
            </w:tcBorders>
            <w:vAlign w:val="center"/>
            <w:hideMark/>
          </w:tcPr>
          <w:p w14:paraId="63C0CD3D" w14:textId="77777777" w:rsidR="00122C16" w:rsidRPr="00531392" w:rsidRDefault="00122C16" w:rsidP="00580447">
            <w:pPr>
              <w:rPr>
                <w:rFonts w:eastAsia="Times New Roman" w:cs="Times New Roman"/>
                <w:i/>
                <w:sz w:val="26"/>
                <w:szCs w:val="26"/>
              </w:rPr>
            </w:pPr>
          </w:p>
        </w:tc>
        <w:tc>
          <w:tcPr>
            <w:tcW w:w="1329" w:type="dxa"/>
            <w:tcBorders>
              <w:top w:val="single" w:sz="4" w:space="0" w:color="auto"/>
              <w:left w:val="single" w:sz="4" w:space="0" w:color="auto"/>
              <w:bottom w:val="single" w:sz="4" w:space="0" w:color="auto"/>
              <w:right w:val="single" w:sz="4" w:space="0" w:color="auto"/>
            </w:tcBorders>
            <w:hideMark/>
          </w:tcPr>
          <w:p w14:paraId="768E7712" w14:textId="77777777"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29" w:type="dxa"/>
            <w:tcBorders>
              <w:top w:val="single" w:sz="4" w:space="0" w:color="auto"/>
              <w:left w:val="single" w:sz="4" w:space="0" w:color="auto"/>
              <w:bottom w:val="single" w:sz="4" w:space="0" w:color="auto"/>
              <w:right w:val="single" w:sz="4" w:space="0" w:color="auto"/>
            </w:tcBorders>
            <w:hideMark/>
          </w:tcPr>
          <w:p w14:paraId="527AEC8B" w14:textId="77777777"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30" w:type="dxa"/>
            <w:tcBorders>
              <w:top w:val="single" w:sz="4" w:space="0" w:color="auto"/>
              <w:left w:val="single" w:sz="4" w:space="0" w:color="auto"/>
              <w:bottom w:val="single" w:sz="4" w:space="0" w:color="auto"/>
              <w:right w:val="single" w:sz="4" w:space="0" w:color="auto"/>
            </w:tcBorders>
            <w:hideMark/>
          </w:tcPr>
          <w:p w14:paraId="50D165D7" w14:textId="77777777"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230" w:type="dxa"/>
            <w:gridSpan w:val="2"/>
            <w:tcBorders>
              <w:top w:val="single" w:sz="4" w:space="0" w:color="auto"/>
              <w:left w:val="single" w:sz="4" w:space="0" w:color="auto"/>
              <w:bottom w:val="single" w:sz="4" w:space="0" w:color="auto"/>
              <w:right w:val="single" w:sz="4" w:space="0" w:color="auto"/>
            </w:tcBorders>
            <w:hideMark/>
          </w:tcPr>
          <w:p w14:paraId="0C3CBEAD" w14:textId="77777777"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r>
      <w:tr w:rsidR="00122C16" w:rsidRPr="00531392" w14:paraId="12D13B84" w14:textId="77777777" w:rsidTr="00122C16">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8" w:type="dxa"/>
          <w:jc w:val="center"/>
        </w:trPr>
        <w:tc>
          <w:tcPr>
            <w:tcW w:w="2505" w:type="dxa"/>
            <w:gridSpan w:val="3"/>
            <w:tcBorders>
              <w:top w:val="single" w:sz="4" w:space="0" w:color="auto"/>
              <w:left w:val="single" w:sz="4" w:space="0" w:color="auto"/>
              <w:bottom w:val="single" w:sz="4" w:space="0" w:color="auto"/>
              <w:right w:val="single" w:sz="4" w:space="0" w:color="auto"/>
            </w:tcBorders>
            <w:hideMark/>
          </w:tcPr>
          <w:p w14:paraId="6C56B31D" w14:textId="77777777" w:rsidR="00122C16" w:rsidRPr="00531392" w:rsidRDefault="00122C16" w:rsidP="00580447">
            <w:pPr>
              <w:rPr>
                <w:rFonts w:cs="Times New Roman"/>
                <w:sz w:val="26"/>
                <w:szCs w:val="26"/>
              </w:rPr>
            </w:pPr>
            <w:r w:rsidRPr="00531392">
              <w:rPr>
                <w:rFonts w:cs="Times New Roman"/>
                <w:sz w:val="26"/>
                <w:szCs w:val="26"/>
              </w:rPr>
              <w:t xml:space="preserve">5.3. pašvaldību budžets </w:t>
            </w:r>
          </w:p>
        </w:tc>
        <w:tc>
          <w:tcPr>
            <w:tcW w:w="1383" w:type="dxa"/>
            <w:vMerge/>
            <w:tcBorders>
              <w:top w:val="single" w:sz="4" w:space="0" w:color="auto"/>
              <w:left w:val="single" w:sz="4" w:space="0" w:color="auto"/>
              <w:bottom w:val="single" w:sz="4" w:space="0" w:color="auto"/>
              <w:right w:val="single" w:sz="4" w:space="0" w:color="auto"/>
            </w:tcBorders>
            <w:vAlign w:val="center"/>
            <w:hideMark/>
          </w:tcPr>
          <w:p w14:paraId="55223EC5" w14:textId="77777777" w:rsidR="00122C16" w:rsidRPr="00531392" w:rsidRDefault="00122C16" w:rsidP="00580447">
            <w:pPr>
              <w:rPr>
                <w:rFonts w:eastAsia="Times New Roman" w:cs="Times New Roman"/>
                <w:i/>
                <w:sz w:val="26"/>
                <w:szCs w:val="26"/>
              </w:rPr>
            </w:pPr>
          </w:p>
        </w:tc>
        <w:tc>
          <w:tcPr>
            <w:tcW w:w="1329" w:type="dxa"/>
            <w:tcBorders>
              <w:top w:val="single" w:sz="4" w:space="0" w:color="auto"/>
              <w:left w:val="single" w:sz="4" w:space="0" w:color="auto"/>
              <w:bottom w:val="single" w:sz="4" w:space="0" w:color="auto"/>
              <w:right w:val="single" w:sz="4" w:space="0" w:color="auto"/>
            </w:tcBorders>
            <w:hideMark/>
          </w:tcPr>
          <w:p w14:paraId="1DCEE050" w14:textId="77777777"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29" w:type="dxa"/>
            <w:tcBorders>
              <w:top w:val="single" w:sz="4" w:space="0" w:color="auto"/>
              <w:left w:val="single" w:sz="4" w:space="0" w:color="auto"/>
              <w:bottom w:val="single" w:sz="4" w:space="0" w:color="auto"/>
              <w:right w:val="single" w:sz="4" w:space="0" w:color="auto"/>
            </w:tcBorders>
            <w:hideMark/>
          </w:tcPr>
          <w:p w14:paraId="24802140" w14:textId="77777777"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330" w:type="dxa"/>
            <w:tcBorders>
              <w:top w:val="single" w:sz="4" w:space="0" w:color="auto"/>
              <w:left w:val="single" w:sz="4" w:space="0" w:color="auto"/>
              <w:bottom w:val="single" w:sz="4" w:space="0" w:color="auto"/>
              <w:right w:val="single" w:sz="4" w:space="0" w:color="auto"/>
            </w:tcBorders>
            <w:hideMark/>
          </w:tcPr>
          <w:p w14:paraId="628852F7" w14:textId="77777777"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c>
          <w:tcPr>
            <w:tcW w:w="1230" w:type="dxa"/>
            <w:gridSpan w:val="2"/>
            <w:tcBorders>
              <w:top w:val="single" w:sz="4" w:space="0" w:color="auto"/>
              <w:left w:val="single" w:sz="4" w:space="0" w:color="auto"/>
              <w:bottom w:val="single" w:sz="4" w:space="0" w:color="auto"/>
              <w:right w:val="single" w:sz="4" w:space="0" w:color="auto"/>
            </w:tcBorders>
            <w:hideMark/>
          </w:tcPr>
          <w:p w14:paraId="22E3A8D8" w14:textId="77777777" w:rsidR="00122C16" w:rsidRPr="00531392" w:rsidRDefault="00122C16" w:rsidP="00580447">
            <w:pPr>
              <w:pStyle w:val="naisf"/>
              <w:spacing w:before="0" w:after="0"/>
              <w:jc w:val="center"/>
              <w:rPr>
                <w:sz w:val="26"/>
                <w:szCs w:val="26"/>
                <w:lang w:eastAsia="en-US"/>
              </w:rPr>
            </w:pPr>
            <w:r w:rsidRPr="00531392">
              <w:rPr>
                <w:sz w:val="26"/>
                <w:szCs w:val="26"/>
                <w:lang w:eastAsia="en-US"/>
              </w:rPr>
              <w:t>0</w:t>
            </w:r>
          </w:p>
        </w:tc>
      </w:tr>
      <w:tr w:rsidR="00122C16" w:rsidRPr="00531392" w14:paraId="6AD7051D" w14:textId="77777777" w:rsidTr="00122C16">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8" w:type="dxa"/>
          <w:jc w:val="center"/>
        </w:trPr>
        <w:tc>
          <w:tcPr>
            <w:tcW w:w="2505" w:type="dxa"/>
            <w:gridSpan w:val="3"/>
            <w:tcBorders>
              <w:top w:val="single" w:sz="4" w:space="0" w:color="auto"/>
              <w:left w:val="single" w:sz="4" w:space="0" w:color="auto"/>
              <w:bottom w:val="single" w:sz="4" w:space="0" w:color="auto"/>
              <w:right w:val="single" w:sz="4" w:space="0" w:color="auto"/>
            </w:tcBorders>
            <w:hideMark/>
          </w:tcPr>
          <w:p w14:paraId="7FE4F0A5" w14:textId="77777777" w:rsidR="00122C16" w:rsidRPr="00531392" w:rsidRDefault="00122C16" w:rsidP="00580447">
            <w:pPr>
              <w:jc w:val="both"/>
              <w:rPr>
                <w:rFonts w:cs="Times New Roman"/>
                <w:sz w:val="26"/>
                <w:szCs w:val="26"/>
              </w:rPr>
            </w:pPr>
            <w:r w:rsidRPr="00531392">
              <w:rPr>
                <w:rFonts w:cs="Times New Roman"/>
                <w:sz w:val="26"/>
                <w:szCs w:val="26"/>
              </w:rPr>
              <w:t>6. Detalizēts ieņēmumu un izdevu</w:t>
            </w:r>
            <w:r w:rsidRPr="00531392">
              <w:rPr>
                <w:rFonts w:cs="Times New Roman"/>
                <w:sz w:val="26"/>
                <w:szCs w:val="26"/>
              </w:rPr>
              <w:softHyphen/>
              <w:t xml:space="preserve">mu aprēķins (ja nepieciešams, detalizētu ieņēmumu </w:t>
            </w:r>
            <w:r w:rsidRPr="00531392">
              <w:rPr>
                <w:rFonts w:cs="Times New Roman"/>
                <w:sz w:val="26"/>
                <w:szCs w:val="26"/>
              </w:rPr>
              <w:lastRenderedPageBreak/>
              <w:t>un izdevumu aprēķinu var pievienot anotācijas pielikumā):</w:t>
            </w:r>
          </w:p>
        </w:tc>
        <w:tc>
          <w:tcPr>
            <w:tcW w:w="6601" w:type="dxa"/>
            <w:gridSpan w:val="6"/>
            <w:tcBorders>
              <w:top w:val="single" w:sz="4" w:space="0" w:color="auto"/>
              <w:left w:val="single" w:sz="4" w:space="0" w:color="auto"/>
              <w:bottom w:val="single" w:sz="4" w:space="0" w:color="auto"/>
              <w:right w:val="single" w:sz="4" w:space="0" w:color="auto"/>
            </w:tcBorders>
          </w:tcPr>
          <w:p w14:paraId="2E24D2AC" w14:textId="77777777" w:rsidR="00122C16" w:rsidRPr="00531392" w:rsidRDefault="00122C16" w:rsidP="00580447">
            <w:pPr>
              <w:spacing w:after="60"/>
              <w:ind w:right="57"/>
              <w:jc w:val="both"/>
              <w:outlineLvl w:val="0"/>
              <w:rPr>
                <w:rFonts w:cs="Times New Roman"/>
                <w:sz w:val="26"/>
                <w:szCs w:val="26"/>
              </w:rPr>
            </w:pPr>
            <w:r w:rsidRPr="00531392">
              <w:rPr>
                <w:rFonts w:cs="Times New Roman"/>
                <w:sz w:val="26"/>
                <w:szCs w:val="26"/>
              </w:rPr>
              <w:lastRenderedPageBreak/>
              <w:t>Noteikumu projekts neparedz kopējo izdevumu samazinājumu/palielinājumu; tas paredz nebūtisku izdevumu palielinājumu</w:t>
            </w:r>
            <w:r w:rsidRPr="00531392">
              <w:rPr>
                <w:rFonts w:eastAsia="Times New Roman" w:cs="Times New Roman"/>
                <w:sz w:val="26"/>
                <w:szCs w:val="26"/>
                <w:lang w:eastAsia="lv-LV"/>
              </w:rPr>
              <w:t xml:space="preserve"> starptautiskās operācijas rajonā reprezentācijas pasākumiem paredzēto līdzekļu apmērā</w:t>
            </w:r>
            <w:r w:rsidRPr="00531392">
              <w:rPr>
                <w:rFonts w:cs="Times New Roman"/>
                <w:sz w:val="26"/>
                <w:szCs w:val="26"/>
              </w:rPr>
              <w:t xml:space="preserve">, kas tiks kompensēts no militārā formējuma speciālajiem, </w:t>
            </w:r>
            <w:r w:rsidRPr="00531392">
              <w:rPr>
                <w:rFonts w:cs="Times New Roman"/>
                <w:sz w:val="26"/>
                <w:szCs w:val="26"/>
              </w:rPr>
              <w:lastRenderedPageBreak/>
              <w:t xml:space="preserve">drošības un kaujas atbalsta pasākumiem paredzētā finanšu līdzekļu limita samazinājuma. Ņemot vērā, ka vēsturiski starptautisko operāciju ietvaros paredzēto reprezentācijas u.c. izdevumu apmēri (limiti) ir izteikti veselos vienos, simtos un tūkstošos latu un ievērojot to, ka izpildās abi </w:t>
            </w:r>
            <w:r w:rsidRPr="00531392">
              <w:rPr>
                <w:rFonts w:cs="Times New Roman"/>
                <w:i/>
                <w:sz w:val="26"/>
                <w:szCs w:val="26"/>
              </w:rPr>
              <w:t>Euro</w:t>
            </w:r>
            <w:r w:rsidRPr="00531392">
              <w:rPr>
                <w:rFonts w:cs="Times New Roman"/>
                <w:sz w:val="26"/>
                <w:szCs w:val="26"/>
              </w:rPr>
              <w:t xml:space="preserve"> ieviešanas kārtības likuma 32.panta otrās daļas 2.punkta nosacījumi (jaunā tiesību norma nav personai nelabvēlīgāka par sākotnējo tiesību normu un tā ir fiskāli neitrāla), attiecīgi paredzēts atbilstošās summas noapaļot līdz veseliem vieniem, simtiem un tūkstošiem euro. (Iekavās norādītas summas </w:t>
            </w:r>
            <w:r w:rsidRPr="00531392">
              <w:rPr>
                <w:rFonts w:cs="Times New Roman"/>
                <w:i/>
                <w:sz w:val="26"/>
                <w:szCs w:val="26"/>
              </w:rPr>
              <w:t>euro</w:t>
            </w:r>
            <w:r w:rsidRPr="00531392">
              <w:rPr>
                <w:rFonts w:cs="Times New Roman"/>
                <w:sz w:val="26"/>
                <w:szCs w:val="26"/>
              </w:rPr>
              <w:t>, piemērojot matemātiskas darbības, t.i., summas latos dalot ar 0,702804 un noapaļojot līdz tuvākajam centam).</w:t>
            </w:r>
          </w:p>
          <w:p w14:paraId="55B2CB01" w14:textId="77777777" w:rsidR="00122C16" w:rsidRPr="00531392" w:rsidRDefault="00122C16" w:rsidP="00580447">
            <w:pPr>
              <w:jc w:val="both"/>
              <w:rPr>
                <w:rFonts w:cs="Times New Roman"/>
                <w:sz w:val="26"/>
                <w:szCs w:val="26"/>
              </w:rPr>
            </w:pPr>
            <w:r w:rsidRPr="00531392">
              <w:rPr>
                <w:rFonts w:cs="Times New Roman"/>
                <w:sz w:val="26"/>
                <w:szCs w:val="26"/>
              </w:rPr>
              <w:t>Projekts paredz:</w:t>
            </w:r>
          </w:p>
          <w:p w14:paraId="4722B9E2" w14:textId="6B672C55" w:rsidR="00122C16" w:rsidRPr="00531392" w:rsidRDefault="00122C16" w:rsidP="00580447">
            <w:pPr>
              <w:pStyle w:val="ListParagraph"/>
              <w:numPr>
                <w:ilvl w:val="0"/>
                <w:numId w:val="6"/>
              </w:numPr>
              <w:ind w:left="34" w:firstLine="326"/>
              <w:jc w:val="both"/>
              <w:rPr>
                <w:rFonts w:cs="Times New Roman"/>
                <w:sz w:val="26"/>
                <w:szCs w:val="26"/>
              </w:rPr>
            </w:pPr>
            <w:r w:rsidRPr="00531392">
              <w:rPr>
                <w:rFonts w:cs="Times New Roman"/>
                <w:sz w:val="26"/>
                <w:szCs w:val="26"/>
              </w:rPr>
              <w:t>MK noteikumu Nr.166 8.punktā tiks veikts tehnisks precizējums</w:t>
            </w:r>
            <w:r w:rsidR="00E15714" w:rsidRPr="00531392">
              <w:rPr>
                <w:rFonts w:cs="Times New Roman"/>
                <w:sz w:val="26"/>
                <w:szCs w:val="26"/>
              </w:rPr>
              <w:t xml:space="preserve">, </w:t>
            </w:r>
            <w:r w:rsidRPr="00531392">
              <w:rPr>
                <w:rFonts w:cs="Times New Roman"/>
                <w:sz w:val="26"/>
                <w:szCs w:val="26"/>
              </w:rPr>
              <w:t xml:space="preserve">reprezentācijas pasākumiem paredzēto līdzekļu apmēru (vienai starptautiskajai operācijai) - </w:t>
            </w:r>
            <w:r w:rsidRPr="00531392">
              <w:rPr>
                <w:rFonts w:cs="Times New Roman"/>
                <w:sz w:val="26"/>
                <w:szCs w:val="26"/>
                <w:u w:val="single"/>
              </w:rPr>
              <w:t>100 latus</w:t>
            </w:r>
            <w:r w:rsidRPr="00531392">
              <w:rPr>
                <w:rFonts w:cs="Times New Roman"/>
                <w:sz w:val="26"/>
                <w:szCs w:val="26"/>
              </w:rPr>
              <w:t xml:space="preserve"> aizstājot ar 143 </w:t>
            </w:r>
            <w:r w:rsidRPr="00531392">
              <w:rPr>
                <w:rFonts w:cs="Times New Roman"/>
                <w:i/>
                <w:sz w:val="26"/>
                <w:szCs w:val="26"/>
              </w:rPr>
              <w:t xml:space="preserve">euro </w:t>
            </w:r>
            <w:r w:rsidRPr="00531392">
              <w:rPr>
                <w:rFonts w:cs="Times New Roman"/>
                <w:sz w:val="26"/>
                <w:szCs w:val="26"/>
              </w:rPr>
              <w:t xml:space="preserve">(142,29 </w:t>
            </w:r>
            <w:r w:rsidRPr="00531392">
              <w:rPr>
                <w:rFonts w:cs="Times New Roman"/>
                <w:i/>
                <w:sz w:val="26"/>
                <w:szCs w:val="26"/>
              </w:rPr>
              <w:t>euro</w:t>
            </w:r>
            <w:r w:rsidRPr="00531392">
              <w:rPr>
                <w:rFonts w:cs="Times New Roman"/>
                <w:sz w:val="26"/>
                <w:szCs w:val="26"/>
              </w:rPr>
              <w:t xml:space="preserve">) un reprezentācijas pasākumiem paredzēto līdzekļu apmēra palielinājumu uz katru profesionālā dienesta karavīru vai zemessargu par </w:t>
            </w:r>
            <w:r w:rsidRPr="00531392">
              <w:rPr>
                <w:rFonts w:cs="Times New Roman"/>
                <w:sz w:val="26"/>
                <w:szCs w:val="26"/>
                <w:u w:val="single"/>
              </w:rPr>
              <w:t>trim latiem</w:t>
            </w:r>
            <w:r w:rsidRPr="00531392">
              <w:rPr>
                <w:rFonts w:cs="Times New Roman"/>
                <w:sz w:val="26"/>
                <w:szCs w:val="26"/>
              </w:rPr>
              <w:t xml:space="preserve"> aizstājot ar pieciem </w:t>
            </w:r>
            <w:r w:rsidRPr="00531392">
              <w:rPr>
                <w:rFonts w:cs="Times New Roman"/>
                <w:i/>
                <w:sz w:val="26"/>
                <w:szCs w:val="26"/>
              </w:rPr>
              <w:t>euro</w:t>
            </w:r>
            <w:r w:rsidRPr="00531392">
              <w:rPr>
                <w:rFonts w:cs="Times New Roman"/>
                <w:sz w:val="26"/>
                <w:szCs w:val="26"/>
              </w:rPr>
              <w:t xml:space="preserve"> (4,27 </w:t>
            </w:r>
            <w:r w:rsidRPr="00531392">
              <w:rPr>
                <w:rFonts w:cs="Times New Roman"/>
                <w:i/>
                <w:sz w:val="26"/>
                <w:szCs w:val="26"/>
              </w:rPr>
              <w:t>euro</w:t>
            </w:r>
            <w:r w:rsidRPr="00531392">
              <w:rPr>
                <w:rFonts w:cs="Times New Roman"/>
                <w:sz w:val="26"/>
                <w:szCs w:val="26"/>
              </w:rPr>
              <w:t>).</w:t>
            </w:r>
          </w:p>
          <w:p w14:paraId="1A41E8BF" w14:textId="18B30F47" w:rsidR="00122C16" w:rsidRPr="00531392" w:rsidRDefault="00122C16" w:rsidP="00E15714">
            <w:pPr>
              <w:ind w:left="34" w:firstLine="41"/>
              <w:jc w:val="both"/>
              <w:rPr>
                <w:rFonts w:cs="Times New Roman"/>
                <w:sz w:val="26"/>
                <w:szCs w:val="26"/>
              </w:rPr>
            </w:pPr>
            <w:r w:rsidRPr="00531392">
              <w:rPr>
                <w:rFonts w:cs="Times New Roman"/>
                <w:sz w:val="26"/>
                <w:szCs w:val="26"/>
              </w:rPr>
              <w:t>Atbilstoši likumam „Par valsts budžetu 2013.gadam” 1)</w:t>
            </w:r>
            <w:r w:rsidR="00E15714" w:rsidRPr="00531392">
              <w:rPr>
                <w:rFonts w:cs="Times New Roman"/>
                <w:sz w:val="26"/>
                <w:szCs w:val="26"/>
              </w:rPr>
              <w:t> </w:t>
            </w:r>
            <w:r w:rsidRPr="00531392">
              <w:rPr>
                <w:rFonts w:cs="Times New Roman"/>
                <w:sz w:val="26"/>
                <w:szCs w:val="26"/>
              </w:rPr>
              <w:t>punktā minētajiem reprezentācijas izdevumiem plānoti 1 028 lati.</w:t>
            </w:r>
          </w:p>
          <w:p w14:paraId="6D8AB276" w14:textId="2C27623C" w:rsidR="00122C16" w:rsidRPr="00531392" w:rsidRDefault="00122C16" w:rsidP="00E15714">
            <w:pPr>
              <w:ind w:left="34" w:firstLine="41"/>
              <w:jc w:val="both"/>
              <w:rPr>
                <w:rFonts w:cs="Times New Roman"/>
                <w:noProof/>
                <w:sz w:val="26"/>
                <w:szCs w:val="26"/>
                <w:lang w:eastAsia="lv-LV"/>
              </w:rPr>
            </w:pPr>
            <w:r w:rsidRPr="00531392">
              <w:rPr>
                <w:rFonts w:cs="Times New Roman"/>
                <w:noProof/>
                <w:sz w:val="26"/>
                <w:szCs w:val="26"/>
              </w:rPr>
              <w:t>Atbilstoši Ministru kabinetā 2013.gada 19.martā apstiprinātajai budžeta bāzei 2014., 2015. un 2016.gadam (prot. Nr.15, 58.§):</w:t>
            </w:r>
            <w:r w:rsidRPr="00531392">
              <w:rPr>
                <w:rFonts w:cs="Times New Roman"/>
                <w:noProof/>
                <w:sz w:val="26"/>
                <w:szCs w:val="26"/>
                <w:lang w:eastAsia="lv-LV"/>
              </w:rPr>
              <w:t xml:space="preserve"> </w:t>
            </w:r>
            <w:r w:rsidRPr="00531392">
              <w:rPr>
                <w:rFonts w:cs="Times New Roman"/>
                <w:noProof/>
                <w:sz w:val="26"/>
                <w:szCs w:val="26"/>
              </w:rPr>
              <w:t xml:space="preserve">2014., 2015., 2016.gadam (ik gadu) </w:t>
            </w:r>
            <w:r w:rsidRPr="00531392">
              <w:rPr>
                <w:rFonts w:cs="Times New Roman"/>
                <w:noProof/>
                <w:sz w:val="26"/>
                <w:szCs w:val="26"/>
                <w:lang w:eastAsia="lv-LV"/>
              </w:rPr>
              <w:t xml:space="preserve">šiem izdevumiem plānoti attiecīgi 1 410; 1 062; 1 062 lati/ 2 206; 1511; 1511 </w:t>
            </w:r>
            <w:r w:rsidRPr="00531392">
              <w:rPr>
                <w:rFonts w:cs="Times New Roman"/>
                <w:i/>
                <w:noProof/>
                <w:sz w:val="26"/>
                <w:szCs w:val="26"/>
                <w:lang w:eastAsia="lv-LV"/>
              </w:rPr>
              <w:t>euro</w:t>
            </w:r>
            <w:r w:rsidRPr="00531392">
              <w:rPr>
                <w:rFonts w:cs="Times New Roman"/>
                <w:noProof/>
                <w:sz w:val="26"/>
                <w:szCs w:val="26"/>
                <w:lang w:eastAsia="lv-LV"/>
              </w:rPr>
              <w:t>.</w:t>
            </w:r>
          </w:p>
          <w:p w14:paraId="7CED5937" w14:textId="33CBEC38" w:rsidR="00122C16" w:rsidRPr="00531392" w:rsidRDefault="00122C16" w:rsidP="00580447">
            <w:pPr>
              <w:pStyle w:val="ListParagraph"/>
              <w:numPr>
                <w:ilvl w:val="0"/>
                <w:numId w:val="6"/>
              </w:numPr>
              <w:ind w:left="34" w:firstLine="326"/>
              <w:jc w:val="both"/>
              <w:rPr>
                <w:rFonts w:cs="Times New Roman"/>
                <w:sz w:val="26"/>
                <w:szCs w:val="26"/>
              </w:rPr>
            </w:pPr>
            <w:r w:rsidRPr="00531392">
              <w:rPr>
                <w:rFonts w:cs="Times New Roman"/>
                <w:sz w:val="26"/>
                <w:szCs w:val="26"/>
              </w:rPr>
              <w:t>MK noteikumu Nr.166 8.</w:t>
            </w:r>
            <w:r w:rsidRPr="00531392">
              <w:rPr>
                <w:rFonts w:cs="Times New Roman"/>
                <w:sz w:val="26"/>
                <w:szCs w:val="26"/>
                <w:vertAlign w:val="superscript"/>
              </w:rPr>
              <w:t xml:space="preserve">1 </w:t>
            </w:r>
            <w:r w:rsidRPr="00531392">
              <w:rPr>
                <w:rFonts w:cs="Times New Roman"/>
                <w:sz w:val="26"/>
                <w:szCs w:val="26"/>
              </w:rPr>
              <w:t>punktā tiks veikts tehnisks precizējums</w:t>
            </w:r>
            <w:r w:rsidR="00E15714" w:rsidRPr="00531392">
              <w:rPr>
                <w:rFonts w:cs="Times New Roman"/>
                <w:sz w:val="26"/>
                <w:szCs w:val="26"/>
              </w:rPr>
              <w:t>,</w:t>
            </w:r>
            <w:r w:rsidRPr="00531392">
              <w:rPr>
                <w:rFonts w:cs="Times New Roman"/>
                <w:sz w:val="26"/>
                <w:szCs w:val="26"/>
              </w:rPr>
              <w:t xml:space="preserve"> finanšu līdzekļu limitu vienai starptautiskajai operācijai - </w:t>
            </w:r>
            <w:r w:rsidR="00145493" w:rsidRPr="00531392">
              <w:rPr>
                <w:rFonts w:cs="Times New Roman"/>
                <w:sz w:val="26"/>
                <w:szCs w:val="26"/>
                <w:u w:val="single"/>
              </w:rPr>
              <w:t>12 000 latus</w:t>
            </w:r>
            <w:r w:rsidRPr="00531392">
              <w:rPr>
                <w:rFonts w:cs="Times New Roman"/>
                <w:sz w:val="26"/>
                <w:szCs w:val="26"/>
              </w:rPr>
              <w:t xml:space="preserve">, aizstājot ar 17 000 </w:t>
            </w:r>
            <w:r w:rsidRPr="00531392">
              <w:rPr>
                <w:rFonts w:cs="Times New Roman"/>
                <w:i/>
                <w:sz w:val="26"/>
                <w:szCs w:val="26"/>
              </w:rPr>
              <w:t>euro</w:t>
            </w:r>
            <w:r w:rsidRPr="00531392">
              <w:rPr>
                <w:rFonts w:cs="Times New Roman"/>
                <w:sz w:val="26"/>
                <w:szCs w:val="26"/>
              </w:rPr>
              <w:t xml:space="preserve"> (17 074,46 </w:t>
            </w:r>
            <w:r w:rsidRPr="00531392">
              <w:rPr>
                <w:rFonts w:cs="Times New Roman"/>
                <w:i/>
                <w:sz w:val="26"/>
                <w:szCs w:val="26"/>
              </w:rPr>
              <w:t>euro</w:t>
            </w:r>
            <w:r w:rsidRPr="00531392">
              <w:rPr>
                <w:rFonts w:cs="Times New Roman"/>
                <w:sz w:val="26"/>
                <w:szCs w:val="26"/>
              </w:rPr>
              <w:t>).</w:t>
            </w:r>
          </w:p>
          <w:p w14:paraId="38849907" w14:textId="634106CD" w:rsidR="00122C16" w:rsidRPr="00531392" w:rsidRDefault="00122C16" w:rsidP="00E15714">
            <w:pPr>
              <w:ind w:left="34" w:firstLine="41"/>
              <w:jc w:val="both"/>
              <w:rPr>
                <w:sz w:val="26"/>
                <w:szCs w:val="26"/>
              </w:rPr>
            </w:pPr>
            <w:r w:rsidRPr="00531392">
              <w:rPr>
                <w:sz w:val="26"/>
                <w:szCs w:val="26"/>
              </w:rPr>
              <w:t>Atbilstoši likumam „Par valsts budžetu 2013.gadam” 2)</w:t>
            </w:r>
            <w:r w:rsidR="00E15714" w:rsidRPr="00531392">
              <w:rPr>
                <w:sz w:val="26"/>
                <w:szCs w:val="26"/>
              </w:rPr>
              <w:t> </w:t>
            </w:r>
            <w:r w:rsidRPr="00531392">
              <w:rPr>
                <w:sz w:val="26"/>
                <w:szCs w:val="26"/>
              </w:rPr>
              <w:t>punktā minētajiem izdevumiem plānoti 24 000 lati.</w:t>
            </w:r>
          </w:p>
          <w:p w14:paraId="27D9D542" w14:textId="4798B7D2" w:rsidR="00122C16" w:rsidRPr="00531392" w:rsidRDefault="00122C16" w:rsidP="00E15714">
            <w:pPr>
              <w:ind w:left="34" w:firstLine="41"/>
              <w:jc w:val="both"/>
              <w:rPr>
                <w:rFonts w:cs="Times New Roman"/>
                <w:sz w:val="26"/>
                <w:szCs w:val="26"/>
              </w:rPr>
            </w:pPr>
            <w:r w:rsidRPr="00531392">
              <w:rPr>
                <w:sz w:val="26"/>
                <w:szCs w:val="26"/>
              </w:rPr>
              <w:t xml:space="preserve">Atbilstoši Ministru kabinetā 2013.gada 19.martā apstiprinātajai budžeta bāzei 2014., 2015. un 2016.gadam (prot. Nr.15, 58.§) ik gadu šiem izdevumiem plānoti 24 000 lati/ 34 149 </w:t>
            </w:r>
            <w:r w:rsidRPr="00531392">
              <w:rPr>
                <w:i/>
                <w:sz w:val="26"/>
                <w:szCs w:val="26"/>
              </w:rPr>
              <w:t>euro</w:t>
            </w:r>
            <w:r w:rsidRPr="00531392">
              <w:rPr>
                <w:sz w:val="26"/>
                <w:szCs w:val="26"/>
              </w:rPr>
              <w:t>.</w:t>
            </w:r>
          </w:p>
        </w:tc>
      </w:tr>
      <w:tr w:rsidR="00122C16" w:rsidRPr="00531392" w14:paraId="7C2977A9" w14:textId="77777777" w:rsidTr="00122C16">
        <w:trPr>
          <w:gridAfter w:val="1"/>
          <w:wAfter w:w="53" w:type="dxa"/>
          <w:trHeight w:val="467"/>
          <w:tblCellSpacing w:w="0" w:type="dxa"/>
        </w:trPr>
        <w:tc>
          <w:tcPr>
            <w:tcW w:w="501" w:type="dxa"/>
            <w:gridSpan w:val="2"/>
            <w:tcBorders>
              <w:top w:val="single" w:sz="4" w:space="0" w:color="auto"/>
              <w:left w:val="single" w:sz="4" w:space="0" w:color="auto"/>
              <w:bottom w:val="outset" w:sz="6" w:space="0" w:color="auto"/>
              <w:right w:val="nil"/>
            </w:tcBorders>
            <w:hideMark/>
          </w:tcPr>
          <w:p w14:paraId="3B76FE07" w14:textId="6E63F2E2" w:rsidR="00122C16" w:rsidRPr="00531392" w:rsidRDefault="00122C16" w:rsidP="00580447">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lastRenderedPageBreak/>
              <w:t>7.</w:t>
            </w:r>
          </w:p>
        </w:tc>
        <w:tc>
          <w:tcPr>
            <w:tcW w:w="2025" w:type="dxa"/>
            <w:tcBorders>
              <w:top w:val="single" w:sz="4" w:space="0" w:color="auto"/>
              <w:left w:val="nil"/>
              <w:bottom w:val="outset" w:sz="6" w:space="0" w:color="auto"/>
              <w:right w:val="single" w:sz="4" w:space="0" w:color="auto"/>
            </w:tcBorders>
            <w:hideMark/>
          </w:tcPr>
          <w:p w14:paraId="5EFC2F3A" w14:textId="130E835E" w:rsidR="00122C16" w:rsidRPr="00531392" w:rsidRDefault="00122C16" w:rsidP="00580447">
            <w:pPr>
              <w:spacing w:before="100" w:beforeAutospacing="1" w:after="100" w:afterAutospacing="1"/>
              <w:rPr>
                <w:rFonts w:eastAsia="Times New Roman" w:cs="Times New Roman"/>
                <w:sz w:val="26"/>
                <w:szCs w:val="26"/>
                <w:lang w:eastAsia="lv-LV"/>
              </w:rPr>
            </w:pPr>
            <w:r w:rsidRPr="00531392">
              <w:rPr>
                <w:rFonts w:eastAsia="Times New Roman" w:cs="Times New Roman"/>
                <w:sz w:val="26"/>
                <w:szCs w:val="26"/>
                <w:lang w:eastAsia="lv-LV"/>
              </w:rPr>
              <w:t> Cita informācija</w:t>
            </w:r>
          </w:p>
        </w:tc>
        <w:tc>
          <w:tcPr>
            <w:tcW w:w="6575" w:type="dxa"/>
            <w:gridSpan w:val="6"/>
            <w:tcBorders>
              <w:top w:val="single" w:sz="4" w:space="0" w:color="auto"/>
              <w:left w:val="single" w:sz="4" w:space="0" w:color="auto"/>
              <w:bottom w:val="single" w:sz="4" w:space="0" w:color="auto"/>
              <w:right w:val="single" w:sz="4" w:space="0" w:color="auto"/>
            </w:tcBorders>
            <w:hideMark/>
          </w:tcPr>
          <w:p w14:paraId="48D0D0A6" w14:textId="034F051F" w:rsidR="00122C16" w:rsidRPr="00531392" w:rsidRDefault="00122C16" w:rsidP="00580447">
            <w:pPr>
              <w:jc w:val="both"/>
              <w:rPr>
                <w:rFonts w:cs="Times New Roman"/>
                <w:sz w:val="26"/>
                <w:szCs w:val="26"/>
              </w:rPr>
            </w:pPr>
            <w:r w:rsidRPr="00531392">
              <w:rPr>
                <w:rFonts w:cs="Times New Roman"/>
                <w:sz w:val="26"/>
                <w:szCs w:val="26"/>
              </w:rPr>
              <w:t xml:space="preserve">Projekts tiks īstenots Aizsardzības ministrijai piešķirto valsts budžeta līdzekļu ietvaros, nemainot budžeta programmā 22.00.00 „Nacionālie bruņotie spēki” apakšprogrammā 22.12.00 „Nacionālo bruņoto spēku uzturēšana” finansējuma sadalījumu pa ieņēmumu, izdevumu vai finansēšanas klasifikācijas kodiem. </w:t>
            </w:r>
          </w:p>
          <w:p w14:paraId="0BACB85D" w14:textId="0DE15696" w:rsidR="00122C16" w:rsidRPr="00531392" w:rsidRDefault="00122C16" w:rsidP="00580447">
            <w:pPr>
              <w:jc w:val="both"/>
              <w:rPr>
                <w:rFonts w:eastAsia="Times New Roman" w:cs="Times New Roman"/>
                <w:sz w:val="26"/>
                <w:szCs w:val="26"/>
                <w:lang w:eastAsia="lv-LV"/>
              </w:rPr>
            </w:pPr>
            <w:r w:rsidRPr="00531392">
              <w:rPr>
                <w:rFonts w:cs="Times New Roman"/>
                <w:sz w:val="26"/>
                <w:szCs w:val="26"/>
              </w:rPr>
              <w:lastRenderedPageBreak/>
              <w:t>Informācija par MK noteikumos Nr.166 iekļauto summu latos pārrēķinu</w:t>
            </w:r>
            <w:r w:rsidRPr="00531392">
              <w:rPr>
                <w:rFonts w:cs="Times New Roman"/>
                <w:i/>
                <w:sz w:val="26"/>
                <w:szCs w:val="26"/>
              </w:rPr>
              <w:t xml:space="preserve"> </w:t>
            </w:r>
            <w:r w:rsidRPr="00531392">
              <w:rPr>
                <w:rFonts w:cs="Times New Roman"/>
                <w:sz w:val="26"/>
                <w:szCs w:val="26"/>
              </w:rPr>
              <w:t xml:space="preserve">uz </w:t>
            </w:r>
            <w:r w:rsidRPr="00531392">
              <w:rPr>
                <w:rFonts w:cs="Times New Roman"/>
                <w:i/>
                <w:sz w:val="26"/>
                <w:szCs w:val="26"/>
              </w:rPr>
              <w:t>euro</w:t>
            </w:r>
            <w:r w:rsidRPr="00531392">
              <w:rPr>
                <w:rFonts w:cs="Times New Roman"/>
                <w:sz w:val="26"/>
                <w:szCs w:val="26"/>
              </w:rPr>
              <w:t xml:space="preserve"> apkopota anotācijas pielikumā. </w:t>
            </w:r>
          </w:p>
        </w:tc>
      </w:tr>
    </w:tbl>
    <w:p w14:paraId="4CB0BD9E" w14:textId="77777777" w:rsidR="009C2967" w:rsidRPr="00531392" w:rsidRDefault="009C2967">
      <w:pPr>
        <w:rPr>
          <w:rFonts w:cs="Times New Roman"/>
          <w:sz w:val="26"/>
          <w:szCs w:val="26"/>
        </w:rPr>
      </w:pPr>
    </w:p>
    <w:p w14:paraId="2BD94DEB" w14:textId="77777777" w:rsidR="00E4178A" w:rsidRPr="00531392" w:rsidRDefault="00E4178A" w:rsidP="00115E82">
      <w:pPr>
        <w:rPr>
          <w:rFonts w:eastAsia="Times New Roman" w:cs="Times New Roman"/>
          <w:iCs/>
          <w:sz w:val="26"/>
          <w:szCs w:val="26"/>
          <w:lang w:eastAsia="lv-LV"/>
        </w:rPr>
      </w:pPr>
    </w:p>
    <w:p w14:paraId="4A8EEFD6" w14:textId="283D0166" w:rsidR="0070526D" w:rsidRPr="00531392" w:rsidRDefault="009C7CB7" w:rsidP="00115E82">
      <w:pPr>
        <w:rPr>
          <w:rFonts w:eastAsia="Times New Roman" w:cs="Times New Roman"/>
          <w:sz w:val="26"/>
          <w:szCs w:val="26"/>
          <w:lang w:eastAsia="lv-LV"/>
        </w:rPr>
      </w:pPr>
      <w:r w:rsidRPr="00531392">
        <w:rPr>
          <w:rFonts w:eastAsia="Times New Roman" w:cs="Times New Roman"/>
          <w:i/>
          <w:iCs/>
          <w:sz w:val="26"/>
          <w:szCs w:val="26"/>
          <w:lang w:eastAsia="lv-LV"/>
        </w:rPr>
        <w:t>Anotācijas</w:t>
      </w:r>
      <w:r w:rsidR="00A16F91" w:rsidRPr="00531392">
        <w:rPr>
          <w:rFonts w:eastAsia="Times New Roman" w:cs="Times New Roman"/>
          <w:i/>
          <w:iCs/>
          <w:sz w:val="26"/>
          <w:szCs w:val="26"/>
          <w:lang w:eastAsia="lv-LV"/>
        </w:rPr>
        <w:t xml:space="preserve"> </w:t>
      </w:r>
      <w:r w:rsidR="00F16110" w:rsidRPr="00531392">
        <w:rPr>
          <w:rFonts w:eastAsia="Times New Roman" w:cs="Times New Roman"/>
          <w:i/>
          <w:iCs/>
          <w:sz w:val="26"/>
          <w:szCs w:val="26"/>
          <w:lang w:eastAsia="lv-LV"/>
        </w:rPr>
        <w:t>IV,</w:t>
      </w:r>
      <w:r w:rsidRPr="00531392">
        <w:rPr>
          <w:rFonts w:eastAsia="Times New Roman" w:cs="Times New Roman"/>
          <w:i/>
          <w:iCs/>
          <w:sz w:val="26"/>
          <w:szCs w:val="26"/>
          <w:lang w:eastAsia="lv-LV"/>
        </w:rPr>
        <w:t xml:space="preserve"> V</w:t>
      </w:r>
      <w:r w:rsidR="009267DF" w:rsidRPr="00531392">
        <w:rPr>
          <w:rFonts w:eastAsia="Times New Roman" w:cs="Times New Roman"/>
          <w:i/>
          <w:iCs/>
          <w:sz w:val="26"/>
          <w:szCs w:val="26"/>
          <w:lang w:eastAsia="lv-LV"/>
        </w:rPr>
        <w:t xml:space="preserve">, VI, VII </w:t>
      </w:r>
      <w:r w:rsidR="00E77C7F" w:rsidRPr="00531392">
        <w:rPr>
          <w:rFonts w:eastAsia="Times New Roman" w:cs="Times New Roman"/>
          <w:i/>
          <w:iCs/>
          <w:sz w:val="26"/>
          <w:szCs w:val="26"/>
          <w:lang w:eastAsia="lv-LV"/>
        </w:rPr>
        <w:t>sadaļa</w:t>
      </w:r>
      <w:r w:rsidR="009D6B6F" w:rsidRPr="00531392">
        <w:rPr>
          <w:rFonts w:eastAsia="Times New Roman" w:cs="Times New Roman"/>
          <w:i/>
          <w:iCs/>
          <w:sz w:val="26"/>
          <w:szCs w:val="26"/>
          <w:lang w:eastAsia="lv-LV"/>
        </w:rPr>
        <w:t xml:space="preserve"> - </w:t>
      </w:r>
      <w:r w:rsidR="00E77C7F" w:rsidRPr="00531392">
        <w:rPr>
          <w:rFonts w:eastAsia="Times New Roman" w:cs="Times New Roman"/>
          <w:i/>
          <w:iCs/>
          <w:sz w:val="26"/>
          <w:szCs w:val="26"/>
          <w:lang w:eastAsia="lv-LV"/>
        </w:rPr>
        <w:t xml:space="preserve"> </w:t>
      </w:r>
      <w:r w:rsidR="00E77C7F" w:rsidRPr="00531392">
        <w:rPr>
          <w:rFonts w:eastAsia="Times New Roman" w:cs="Times New Roman"/>
          <w:i/>
          <w:sz w:val="26"/>
          <w:szCs w:val="26"/>
          <w:lang w:eastAsia="lv-LV"/>
        </w:rPr>
        <w:t>projekts šo jomu neskar</w:t>
      </w:r>
      <w:r w:rsidRPr="00531392">
        <w:rPr>
          <w:rFonts w:eastAsia="Times New Roman" w:cs="Times New Roman"/>
          <w:i/>
          <w:sz w:val="26"/>
          <w:szCs w:val="26"/>
          <w:lang w:eastAsia="lv-LV"/>
        </w:rPr>
        <w:t>.</w:t>
      </w:r>
    </w:p>
    <w:p w14:paraId="6893B8CF" w14:textId="77777777" w:rsidR="009D6B6F" w:rsidRPr="00531392" w:rsidRDefault="009D6B6F" w:rsidP="009D6B6F">
      <w:pPr>
        <w:rPr>
          <w:rFonts w:eastAsia="Times New Roman" w:cs="Times New Roman"/>
          <w:sz w:val="26"/>
          <w:szCs w:val="26"/>
          <w:lang w:eastAsia="lv-LV"/>
        </w:rPr>
      </w:pPr>
    </w:p>
    <w:p w14:paraId="66C5DE43" w14:textId="77777777" w:rsidR="0032718B" w:rsidRPr="00531392" w:rsidRDefault="0032718B" w:rsidP="0032718B">
      <w:pPr>
        <w:pStyle w:val="naisc"/>
        <w:spacing w:before="0" w:beforeAutospacing="0" w:after="0" w:afterAutospacing="0"/>
        <w:ind w:left="567"/>
        <w:jc w:val="both"/>
        <w:rPr>
          <w:sz w:val="26"/>
          <w:szCs w:val="26"/>
        </w:rPr>
      </w:pPr>
    </w:p>
    <w:p w14:paraId="41A30B31" w14:textId="77777777" w:rsidR="0032718B" w:rsidRPr="00531392" w:rsidRDefault="0032718B" w:rsidP="0032718B">
      <w:pPr>
        <w:pStyle w:val="naisc"/>
        <w:spacing w:before="0" w:beforeAutospacing="0" w:after="0" w:afterAutospacing="0"/>
        <w:ind w:left="567"/>
        <w:jc w:val="both"/>
        <w:rPr>
          <w:sz w:val="26"/>
          <w:szCs w:val="26"/>
        </w:rPr>
      </w:pPr>
    </w:p>
    <w:p w14:paraId="26F131D7" w14:textId="56BFE7B5" w:rsidR="0032718B" w:rsidRPr="00531392" w:rsidRDefault="0032718B" w:rsidP="0032718B">
      <w:pPr>
        <w:pStyle w:val="naisc"/>
        <w:tabs>
          <w:tab w:val="left" w:pos="6663"/>
        </w:tabs>
        <w:spacing w:before="0" w:beforeAutospacing="0" w:after="0" w:afterAutospacing="0"/>
        <w:ind w:left="567"/>
        <w:jc w:val="both"/>
        <w:rPr>
          <w:sz w:val="26"/>
          <w:szCs w:val="26"/>
        </w:rPr>
      </w:pPr>
      <w:r w:rsidRPr="00531392">
        <w:rPr>
          <w:sz w:val="26"/>
          <w:szCs w:val="26"/>
        </w:rPr>
        <w:t>Aizsardzības ministrs</w:t>
      </w:r>
      <w:r w:rsidR="00C272FB" w:rsidRPr="00531392">
        <w:rPr>
          <w:sz w:val="26"/>
          <w:szCs w:val="26"/>
        </w:rPr>
        <w:tab/>
      </w:r>
      <w:r w:rsidRPr="00531392">
        <w:rPr>
          <w:sz w:val="26"/>
          <w:szCs w:val="26"/>
        </w:rPr>
        <w:t>A.Pabriks</w:t>
      </w:r>
    </w:p>
    <w:p w14:paraId="0E11D32F" w14:textId="77777777" w:rsidR="0032718B" w:rsidRPr="00531392" w:rsidRDefault="0032718B" w:rsidP="0032718B">
      <w:pPr>
        <w:pStyle w:val="naisc"/>
        <w:spacing w:before="0" w:beforeAutospacing="0" w:after="0" w:afterAutospacing="0"/>
        <w:ind w:left="567"/>
        <w:jc w:val="both"/>
        <w:rPr>
          <w:sz w:val="26"/>
          <w:szCs w:val="26"/>
        </w:rPr>
      </w:pPr>
    </w:p>
    <w:p w14:paraId="5A4DFD6F" w14:textId="77777777" w:rsidR="00E15714" w:rsidRPr="00531392" w:rsidRDefault="00E15714" w:rsidP="0032718B">
      <w:pPr>
        <w:pStyle w:val="naisc"/>
        <w:spacing w:before="0" w:beforeAutospacing="0" w:after="0" w:afterAutospacing="0"/>
        <w:ind w:left="567"/>
        <w:jc w:val="both"/>
        <w:rPr>
          <w:sz w:val="26"/>
          <w:szCs w:val="26"/>
        </w:rPr>
      </w:pPr>
    </w:p>
    <w:p w14:paraId="5CDF6FE3" w14:textId="40BAD402" w:rsidR="0032718B" w:rsidRPr="00531392" w:rsidRDefault="0032718B" w:rsidP="00C272FB">
      <w:pPr>
        <w:pStyle w:val="naisc"/>
        <w:tabs>
          <w:tab w:val="left" w:pos="6663"/>
        </w:tabs>
        <w:spacing w:before="0" w:beforeAutospacing="0" w:after="0" w:afterAutospacing="0"/>
        <w:ind w:left="567"/>
        <w:jc w:val="both"/>
        <w:rPr>
          <w:sz w:val="26"/>
          <w:szCs w:val="26"/>
        </w:rPr>
      </w:pPr>
      <w:r w:rsidRPr="00531392">
        <w:rPr>
          <w:sz w:val="26"/>
          <w:szCs w:val="26"/>
        </w:rPr>
        <w:t>Vīza: valsts sekretār</w:t>
      </w:r>
      <w:r w:rsidR="00C272FB" w:rsidRPr="00531392">
        <w:rPr>
          <w:sz w:val="26"/>
          <w:szCs w:val="26"/>
        </w:rPr>
        <w:t>a p.i.</w:t>
      </w:r>
      <w:r w:rsidR="00C272FB" w:rsidRPr="00531392">
        <w:rPr>
          <w:sz w:val="26"/>
          <w:szCs w:val="26"/>
        </w:rPr>
        <w:tab/>
        <w:t>E.Palma-Jansone</w:t>
      </w:r>
    </w:p>
    <w:p w14:paraId="02D4520D" w14:textId="77777777" w:rsidR="0032718B" w:rsidRPr="00531392" w:rsidRDefault="0032718B" w:rsidP="0032718B">
      <w:pPr>
        <w:pStyle w:val="naisc"/>
        <w:spacing w:before="0" w:beforeAutospacing="0" w:after="0" w:afterAutospacing="0"/>
        <w:jc w:val="both"/>
        <w:rPr>
          <w:sz w:val="26"/>
          <w:szCs w:val="26"/>
        </w:rPr>
      </w:pPr>
    </w:p>
    <w:p w14:paraId="69FF6275" w14:textId="77777777" w:rsidR="00A71129" w:rsidRPr="00531392" w:rsidRDefault="00A71129" w:rsidP="0032718B">
      <w:pPr>
        <w:pStyle w:val="naisc"/>
        <w:spacing w:before="0" w:beforeAutospacing="0" w:after="0" w:afterAutospacing="0"/>
        <w:jc w:val="both"/>
        <w:rPr>
          <w:sz w:val="26"/>
          <w:szCs w:val="26"/>
        </w:rPr>
      </w:pPr>
    </w:p>
    <w:p w14:paraId="0571002B" w14:textId="77777777" w:rsidR="00A71129" w:rsidRPr="00531392" w:rsidRDefault="00A71129" w:rsidP="0032718B">
      <w:pPr>
        <w:pStyle w:val="naisc"/>
        <w:spacing w:before="0" w:beforeAutospacing="0" w:after="0" w:afterAutospacing="0"/>
        <w:jc w:val="both"/>
        <w:rPr>
          <w:sz w:val="26"/>
          <w:szCs w:val="26"/>
        </w:rPr>
      </w:pPr>
    </w:p>
    <w:p w14:paraId="5B20270B" w14:textId="77777777" w:rsidR="00A71129" w:rsidRPr="00531392" w:rsidRDefault="00A71129" w:rsidP="0032718B">
      <w:pPr>
        <w:pStyle w:val="naisc"/>
        <w:spacing w:before="0" w:beforeAutospacing="0" w:after="0" w:afterAutospacing="0"/>
        <w:jc w:val="both"/>
        <w:rPr>
          <w:sz w:val="26"/>
          <w:szCs w:val="26"/>
        </w:rPr>
      </w:pPr>
    </w:p>
    <w:p w14:paraId="7B86BE63" w14:textId="77777777" w:rsidR="00A71129" w:rsidRPr="00531392" w:rsidRDefault="00A71129" w:rsidP="0032718B">
      <w:pPr>
        <w:pStyle w:val="naisc"/>
        <w:spacing w:before="0" w:beforeAutospacing="0" w:after="0" w:afterAutospacing="0"/>
        <w:jc w:val="both"/>
        <w:rPr>
          <w:sz w:val="26"/>
          <w:szCs w:val="26"/>
        </w:rPr>
      </w:pPr>
    </w:p>
    <w:p w14:paraId="7B42E3A8" w14:textId="77777777" w:rsidR="00A71129" w:rsidRPr="00531392" w:rsidRDefault="00A71129" w:rsidP="0032718B">
      <w:pPr>
        <w:pStyle w:val="naisc"/>
        <w:spacing w:before="0" w:beforeAutospacing="0" w:after="0" w:afterAutospacing="0"/>
        <w:jc w:val="both"/>
        <w:rPr>
          <w:sz w:val="26"/>
          <w:szCs w:val="26"/>
        </w:rPr>
      </w:pPr>
    </w:p>
    <w:p w14:paraId="5024A26F" w14:textId="77777777" w:rsidR="00A71129" w:rsidRPr="00531392" w:rsidRDefault="00A71129" w:rsidP="0032718B">
      <w:pPr>
        <w:pStyle w:val="naisc"/>
        <w:spacing w:before="0" w:beforeAutospacing="0" w:after="0" w:afterAutospacing="0"/>
        <w:jc w:val="both"/>
        <w:rPr>
          <w:sz w:val="26"/>
          <w:szCs w:val="26"/>
        </w:rPr>
      </w:pPr>
    </w:p>
    <w:p w14:paraId="287866A6" w14:textId="77777777" w:rsidR="00A71129" w:rsidRPr="00531392" w:rsidRDefault="00A71129" w:rsidP="0032718B">
      <w:pPr>
        <w:pStyle w:val="naisc"/>
        <w:spacing w:before="0" w:beforeAutospacing="0" w:after="0" w:afterAutospacing="0"/>
        <w:jc w:val="both"/>
        <w:rPr>
          <w:sz w:val="26"/>
          <w:szCs w:val="26"/>
        </w:rPr>
      </w:pPr>
    </w:p>
    <w:p w14:paraId="2E06BE7B" w14:textId="77777777" w:rsidR="00A71129" w:rsidRPr="00531392" w:rsidRDefault="00A71129" w:rsidP="0032718B">
      <w:pPr>
        <w:pStyle w:val="naisc"/>
        <w:spacing w:before="0" w:beforeAutospacing="0" w:after="0" w:afterAutospacing="0"/>
        <w:jc w:val="both"/>
        <w:rPr>
          <w:sz w:val="26"/>
          <w:szCs w:val="26"/>
        </w:rPr>
      </w:pPr>
    </w:p>
    <w:p w14:paraId="53C635CC" w14:textId="77777777" w:rsidR="00A71129" w:rsidRPr="00531392" w:rsidRDefault="00A71129" w:rsidP="0032718B">
      <w:pPr>
        <w:pStyle w:val="naisc"/>
        <w:spacing w:before="0" w:beforeAutospacing="0" w:after="0" w:afterAutospacing="0"/>
        <w:jc w:val="both"/>
        <w:rPr>
          <w:sz w:val="26"/>
          <w:szCs w:val="26"/>
        </w:rPr>
      </w:pPr>
    </w:p>
    <w:p w14:paraId="673F9432" w14:textId="77777777" w:rsidR="00A71129" w:rsidRPr="00531392" w:rsidRDefault="00A71129" w:rsidP="0032718B">
      <w:pPr>
        <w:pStyle w:val="naisc"/>
        <w:spacing w:before="0" w:beforeAutospacing="0" w:after="0" w:afterAutospacing="0"/>
        <w:jc w:val="both"/>
        <w:rPr>
          <w:sz w:val="26"/>
          <w:szCs w:val="26"/>
        </w:rPr>
      </w:pPr>
    </w:p>
    <w:p w14:paraId="0D2539D4" w14:textId="77777777" w:rsidR="00A71129" w:rsidRPr="00531392" w:rsidRDefault="00A71129" w:rsidP="0032718B">
      <w:pPr>
        <w:pStyle w:val="naisc"/>
        <w:spacing w:before="0" w:beforeAutospacing="0" w:after="0" w:afterAutospacing="0"/>
        <w:jc w:val="both"/>
        <w:rPr>
          <w:sz w:val="26"/>
          <w:szCs w:val="26"/>
        </w:rPr>
      </w:pPr>
    </w:p>
    <w:p w14:paraId="68283090" w14:textId="77777777" w:rsidR="00A71129" w:rsidRPr="00531392" w:rsidRDefault="00A71129" w:rsidP="0032718B">
      <w:pPr>
        <w:pStyle w:val="naisc"/>
        <w:spacing w:before="0" w:beforeAutospacing="0" w:after="0" w:afterAutospacing="0"/>
        <w:jc w:val="both"/>
        <w:rPr>
          <w:sz w:val="26"/>
          <w:szCs w:val="26"/>
        </w:rPr>
      </w:pPr>
    </w:p>
    <w:p w14:paraId="68DBE724" w14:textId="77777777" w:rsidR="00A71129" w:rsidRPr="00531392" w:rsidRDefault="00A71129" w:rsidP="0032718B">
      <w:pPr>
        <w:pStyle w:val="naisc"/>
        <w:spacing w:before="0" w:beforeAutospacing="0" w:after="0" w:afterAutospacing="0"/>
        <w:jc w:val="both"/>
        <w:rPr>
          <w:sz w:val="26"/>
          <w:szCs w:val="26"/>
        </w:rPr>
      </w:pPr>
    </w:p>
    <w:p w14:paraId="443A9B57" w14:textId="77777777" w:rsidR="0032718B" w:rsidRPr="00531392" w:rsidRDefault="0032718B" w:rsidP="0032718B">
      <w:pPr>
        <w:pStyle w:val="naisc"/>
        <w:spacing w:before="0" w:beforeAutospacing="0" w:after="0" w:afterAutospacing="0"/>
        <w:jc w:val="both"/>
        <w:rPr>
          <w:sz w:val="20"/>
        </w:rPr>
      </w:pPr>
    </w:p>
    <w:p w14:paraId="760814C3" w14:textId="1B4AFE80" w:rsidR="0032718B" w:rsidRPr="00531392" w:rsidRDefault="00C272FB" w:rsidP="0032718B">
      <w:pPr>
        <w:pStyle w:val="naisc"/>
        <w:spacing w:before="0" w:beforeAutospacing="0" w:after="0" w:afterAutospacing="0"/>
        <w:jc w:val="both"/>
        <w:rPr>
          <w:sz w:val="20"/>
        </w:rPr>
      </w:pPr>
      <w:r w:rsidRPr="00531392">
        <w:rPr>
          <w:sz w:val="20"/>
        </w:rPr>
        <w:t>17.09.</w:t>
      </w:r>
      <w:r w:rsidR="00122C16" w:rsidRPr="00531392">
        <w:rPr>
          <w:sz w:val="20"/>
        </w:rPr>
        <w:t xml:space="preserve">2013 </w:t>
      </w:r>
      <w:r w:rsidRPr="00531392">
        <w:rPr>
          <w:sz w:val="20"/>
        </w:rPr>
        <w:t>15:08</w:t>
      </w:r>
    </w:p>
    <w:p w14:paraId="2F116A9C" w14:textId="77777777" w:rsidR="0032718B" w:rsidRPr="00531392" w:rsidRDefault="0032718B" w:rsidP="0032718B">
      <w:pPr>
        <w:pStyle w:val="naisc"/>
        <w:spacing w:before="0" w:beforeAutospacing="0" w:after="0" w:afterAutospacing="0"/>
        <w:jc w:val="both"/>
        <w:rPr>
          <w:sz w:val="20"/>
        </w:rPr>
      </w:pPr>
      <w:r w:rsidRPr="00531392">
        <w:rPr>
          <w:sz w:val="20"/>
        </w:rPr>
        <w:fldChar w:fldCharType="begin"/>
      </w:r>
      <w:r w:rsidRPr="00531392">
        <w:rPr>
          <w:sz w:val="20"/>
        </w:rPr>
        <w:instrText xml:space="preserve"> NUMWORDS   \* MERGEFORMAT </w:instrText>
      </w:r>
      <w:r w:rsidRPr="00531392">
        <w:rPr>
          <w:sz w:val="20"/>
        </w:rPr>
        <w:fldChar w:fldCharType="separate"/>
      </w:r>
      <w:r w:rsidR="00C272FB" w:rsidRPr="00531392">
        <w:rPr>
          <w:noProof/>
          <w:sz w:val="20"/>
        </w:rPr>
        <w:t>1045</w:t>
      </w:r>
      <w:r w:rsidRPr="00531392">
        <w:rPr>
          <w:sz w:val="20"/>
        </w:rPr>
        <w:fldChar w:fldCharType="end"/>
      </w:r>
    </w:p>
    <w:p w14:paraId="4A33C08F" w14:textId="77777777" w:rsidR="0032718B" w:rsidRPr="00531392" w:rsidRDefault="0032718B" w:rsidP="0032718B">
      <w:pPr>
        <w:pStyle w:val="naisc"/>
        <w:spacing w:before="0" w:beforeAutospacing="0" w:after="0" w:afterAutospacing="0"/>
        <w:jc w:val="both"/>
        <w:rPr>
          <w:sz w:val="20"/>
        </w:rPr>
      </w:pPr>
      <w:r w:rsidRPr="00531392">
        <w:rPr>
          <w:sz w:val="20"/>
        </w:rPr>
        <w:t>I.Jursiņa-Videmane</w:t>
      </w:r>
    </w:p>
    <w:p w14:paraId="3E6EF847" w14:textId="77777777" w:rsidR="0032718B" w:rsidRPr="00531392" w:rsidRDefault="0032718B" w:rsidP="0032718B">
      <w:pPr>
        <w:pStyle w:val="naisc"/>
        <w:spacing w:before="0" w:beforeAutospacing="0" w:after="0" w:afterAutospacing="0"/>
        <w:jc w:val="both"/>
        <w:rPr>
          <w:sz w:val="20"/>
        </w:rPr>
      </w:pPr>
      <w:r w:rsidRPr="00531392">
        <w:rPr>
          <w:sz w:val="20"/>
        </w:rPr>
        <w:t>e-pasta adrese: ineta.jursina@mod.gov.lv</w:t>
      </w:r>
    </w:p>
    <w:p w14:paraId="42379CD3" w14:textId="77777777" w:rsidR="0032718B" w:rsidRPr="00531392" w:rsidRDefault="0032718B" w:rsidP="0032718B">
      <w:pPr>
        <w:pStyle w:val="naisc"/>
        <w:spacing w:before="0" w:beforeAutospacing="0" w:after="0" w:afterAutospacing="0"/>
        <w:jc w:val="both"/>
        <w:rPr>
          <w:sz w:val="20"/>
        </w:rPr>
      </w:pPr>
      <w:r w:rsidRPr="00531392">
        <w:rPr>
          <w:sz w:val="20"/>
        </w:rPr>
        <w:t>tālr.: 67335162</w:t>
      </w:r>
    </w:p>
    <w:p w14:paraId="08B1B1EC" w14:textId="326DA55C" w:rsidR="00D03CC9" w:rsidRPr="00531392" w:rsidRDefault="0032718B" w:rsidP="0032718B">
      <w:pPr>
        <w:pStyle w:val="naisc"/>
        <w:spacing w:before="0" w:beforeAutospacing="0" w:after="0" w:afterAutospacing="0"/>
        <w:jc w:val="both"/>
        <w:rPr>
          <w:sz w:val="22"/>
        </w:rPr>
      </w:pPr>
      <w:r w:rsidRPr="00531392">
        <w:rPr>
          <w:sz w:val="20"/>
        </w:rPr>
        <w:t>fakss: 67212307</w:t>
      </w:r>
    </w:p>
    <w:sectPr w:rsidR="00D03CC9" w:rsidRPr="00531392" w:rsidSect="0032718B">
      <w:headerReference w:type="default" r:id="rId9"/>
      <w:footerReference w:type="default" r:id="rId10"/>
      <w:footerReference w:type="first" r:id="rId11"/>
      <w:pgSz w:w="11906" w:h="16838"/>
      <w:pgMar w:top="1096"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720C0" w14:textId="77777777" w:rsidR="009B19CF" w:rsidRDefault="009B19CF" w:rsidP="007740F2">
      <w:r>
        <w:separator/>
      </w:r>
    </w:p>
  </w:endnote>
  <w:endnote w:type="continuationSeparator" w:id="0">
    <w:p w14:paraId="05861749" w14:textId="77777777" w:rsidR="009B19CF" w:rsidRDefault="009B19CF"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6F9D5" w14:textId="043680C9" w:rsidR="00342495" w:rsidRPr="002D7C11" w:rsidRDefault="00342495" w:rsidP="00342495">
    <w:pPr>
      <w:pStyle w:val="Footer"/>
      <w:jc w:val="both"/>
      <w:rPr>
        <w:sz w:val="20"/>
        <w:szCs w:val="20"/>
      </w:rPr>
    </w:pPr>
    <w:r w:rsidRPr="002D7C11">
      <w:rPr>
        <w:sz w:val="20"/>
        <w:szCs w:val="20"/>
      </w:rPr>
      <w:fldChar w:fldCharType="begin"/>
    </w:r>
    <w:r w:rsidRPr="002D7C11">
      <w:rPr>
        <w:sz w:val="20"/>
        <w:szCs w:val="20"/>
      </w:rPr>
      <w:instrText xml:space="preserve"> FILENAME   \* MERGEFORMAT </w:instrText>
    </w:r>
    <w:r w:rsidRPr="002D7C11">
      <w:rPr>
        <w:sz w:val="20"/>
        <w:szCs w:val="20"/>
      </w:rPr>
      <w:fldChar w:fldCharType="separate"/>
    </w:r>
    <w:r w:rsidR="00C272FB">
      <w:rPr>
        <w:noProof/>
        <w:sz w:val="20"/>
        <w:szCs w:val="20"/>
      </w:rPr>
      <w:t>AIMAnot_170913_groz.MK_166.docx</w:t>
    </w:r>
    <w:r w:rsidRPr="002D7C11">
      <w:rPr>
        <w:sz w:val="20"/>
        <w:szCs w:val="20"/>
      </w:rPr>
      <w:fldChar w:fldCharType="end"/>
    </w:r>
    <w:r w:rsidRPr="002D7C11">
      <w:rPr>
        <w:sz w:val="20"/>
        <w:szCs w:val="20"/>
      </w:rPr>
      <w:t>; Anotācija Ministru kabineta noteikumu projektam „</w:t>
    </w:r>
    <w:r w:rsidR="004861E8">
      <w:rPr>
        <w:sz w:val="20"/>
        <w:szCs w:val="20"/>
      </w:rPr>
      <w:t>Grozījumi 2009.gada 17.februāra noteikumos Nr.166 „Kārtība, kādā veidojamas, finansējamas un sagatavojamas Latvijas Nacionālo bruņoto spēku vienības, kas piedalās starptautiskajās operācijās un ātrās reaģēšanas spēkos”</w:t>
    </w:r>
    <w:r w:rsidRPr="002D7C11">
      <w:rPr>
        <w:sz w:val="20"/>
        <w:szCs w:val="20"/>
      </w:rPr>
      <w:t>”</w:t>
    </w:r>
  </w:p>
  <w:p w14:paraId="04AF7FEA" w14:textId="332132CF" w:rsidR="009A5FD3" w:rsidRPr="00342495" w:rsidRDefault="009A5FD3" w:rsidP="00342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2E267" w14:textId="04261063" w:rsidR="004861E8" w:rsidRPr="002D7C11" w:rsidRDefault="002D7C11" w:rsidP="004861E8">
    <w:pPr>
      <w:pStyle w:val="Footer"/>
      <w:jc w:val="both"/>
      <w:rPr>
        <w:sz w:val="20"/>
        <w:szCs w:val="20"/>
      </w:rPr>
    </w:pPr>
    <w:r w:rsidRPr="002D7C11">
      <w:rPr>
        <w:sz w:val="20"/>
        <w:szCs w:val="20"/>
      </w:rPr>
      <w:fldChar w:fldCharType="begin"/>
    </w:r>
    <w:r w:rsidRPr="002D7C11">
      <w:rPr>
        <w:sz w:val="20"/>
        <w:szCs w:val="20"/>
      </w:rPr>
      <w:instrText xml:space="preserve"> FILENAME   \* MERGEFORMAT </w:instrText>
    </w:r>
    <w:r w:rsidRPr="002D7C11">
      <w:rPr>
        <w:sz w:val="20"/>
        <w:szCs w:val="20"/>
      </w:rPr>
      <w:fldChar w:fldCharType="separate"/>
    </w:r>
    <w:r w:rsidR="00C272FB">
      <w:rPr>
        <w:noProof/>
        <w:sz w:val="20"/>
        <w:szCs w:val="20"/>
      </w:rPr>
      <w:t>AIMAnot_170913_groz.MK_166.docx</w:t>
    </w:r>
    <w:r w:rsidRPr="002D7C11">
      <w:rPr>
        <w:sz w:val="20"/>
        <w:szCs w:val="20"/>
      </w:rPr>
      <w:fldChar w:fldCharType="end"/>
    </w:r>
    <w:r w:rsidR="00251E6E" w:rsidRPr="002D7C11">
      <w:rPr>
        <w:sz w:val="20"/>
        <w:szCs w:val="20"/>
      </w:rPr>
      <w:t xml:space="preserve">; </w:t>
    </w:r>
    <w:r w:rsidR="004861E8" w:rsidRPr="002D7C11">
      <w:rPr>
        <w:sz w:val="20"/>
        <w:szCs w:val="20"/>
      </w:rPr>
      <w:t>Anotācija Ministru kabineta noteikumu projektam „</w:t>
    </w:r>
    <w:r w:rsidR="004861E8">
      <w:rPr>
        <w:sz w:val="20"/>
        <w:szCs w:val="20"/>
      </w:rPr>
      <w:t>Grozījumi 2009.gada 17.februāra noteikumos Nr.166 „Kārtība, kādā veidojamas, finansējamas un sagatavojamas Latvijas Nacionālo bruņoto spēku vienības, kas piedalās starptautiskajās operācijās un ātrās reaģēšanas spēkos”</w:t>
    </w:r>
    <w:r w:rsidR="004861E8" w:rsidRPr="002D7C11">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0D36F" w14:textId="77777777" w:rsidR="009B19CF" w:rsidRDefault="009B19CF" w:rsidP="007740F2">
      <w:r>
        <w:separator/>
      </w:r>
    </w:p>
  </w:footnote>
  <w:footnote w:type="continuationSeparator" w:id="0">
    <w:p w14:paraId="7921D1EA" w14:textId="77777777" w:rsidR="009B19CF" w:rsidRDefault="009B19CF"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450181"/>
      <w:docPartObj>
        <w:docPartGallery w:val="Page Numbers (Top of Page)"/>
        <w:docPartUnique/>
      </w:docPartObj>
    </w:sdtPr>
    <w:sdtEndPr>
      <w:rPr>
        <w:noProof/>
      </w:rPr>
    </w:sdtEndPr>
    <w:sdtContent>
      <w:p w14:paraId="0E4D152F" w14:textId="77777777" w:rsidR="009A5FD3" w:rsidRDefault="009A5FD3">
        <w:pPr>
          <w:pStyle w:val="Header"/>
          <w:jc w:val="center"/>
        </w:pPr>
        <w:r>
          <w:fldChar w:fldCharType="begin"/>
        </w:r>
        <w:r>
          <w:instrText xml:space="preserve"> PAGE   \* MERGEFORMAT </w:instrText>
        </w:r>
        <w:r>
          <w:fldChar w:fldCharType="separate"/>
        </w:r>
        <w:r w:rsidR="00531392">
          <w:rPr>
            <w:noProof/>
          </w:rPr>
          <w:t>3</w:t>
        </w:r>
        <w:r>
          <w:rPr>
            <w:noProof/>
          </w:rPr>
          <w:fldChar w:fldCharType="end"/>
        </w:r>
      </w:p>
    </w:sdtContent>
  </w:sdt>
  <w:p w14:paraId="3E325E9D" w14:textId="77777777" w:rsidR="009A5FD3" w:rsidRDefault="009A5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422C4"/>
    <w:multiLevelType w:val="hybridMultilevel"/>
    <w:tmpl w:val="8D3A66F2"/>
    <w:lvl w:ilvl="0" w:tplc="CFC2EFB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BB5306C"/>
    <w:multiLevelType w:val="hybridMultilevel"/>
    <w:tmpl w:val="DF38EE5A"/>
    <w:lvl w:ilvl="0" w:tplc="12B031AC">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
    <w:nsid w:val="4D2D03B0"/>
    <w:multiLevelType w:val="hybridMultilevel"/>
    <w:tmpl w:val="F38E1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FA521D1"/>
    <w:multiLevelType w:val="hybridMultilevel"/>
    <w:tmpl w:val="6EE839FC"/>
    <w:lvl w:ilvl="0" w:tplc="03984B84">
      <w:start w:val="1"/>
      <w:numFmt w:val="decimal"/>
      <w:lvlText w:val="%1)"/>
      <w:lvlJc w:val="left"/>
      <w:pPr>
        <w:ind w:left="720" w:hanging="360"/>
      </w:pPr>
      <w:rPr>
        <w:rFonts w:cstheme="minorBid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D"/>
    <w:rsid w:val="0000225E"/>
    <w:rsid w:val="00014EB6"/>
    <w:rsid w:val="00017E1C"/>
    <w:rsid w:val="00026F6C"/>
    <w:rsid w:val="00030942"/>
    <w:rsid w:val="00041BC5"/>
    <w:rsid w:val="00051A8F"/>
    <w:rsid w:val="000520FB"/>
    <w:rsid w:val="000608D1"/>
    <w:rsid w:val="0006168D"/>
    <w:rsid w:val="00062334"/>
    <w:rsid w:val="000726C0"/>
    <w:rsid w:val="00084A17"/>
    <w:rsid w:val="00095DBE"/>
    <w:rsid w:val="000A3048"/>
    <w:rsid w:val="000B1D1D"/>
    <w:rsid w:val="000B439D"/>
    <w:rsid w:val="000B54FE"/>
    <w:rsid w:val="000C0DAA"/>
    <w:rsid w:val="000C30B6"/>
    <w:rsid w:val="000C4DF9"/>
    <w:rsid w:val="000C54DC"/>
    <w:rsid w:val="000C6947"/>
    <w:rsid w:val="000E2542"/>
    <w:rsid w:val="000F2A5F"/>
    <w:rsid w:val="000F66B5"/>
    <w:rsid w:val="00107913"/>
    <w:rsid w:val="00115E82"/>
    <w:rsid w:val="0012014A"/>
    <w:rsid w:val="00120262"/>
    <w:rsid w:val="00120BB1"/>
    <w:rsid w:val="00122717"/>
    <w:rsid w:val="00122C16"/>
    <w:rsid w:val="0012536F"/>
    <w:rsid w:val="00131852"/>
    <w:rsid w:val="00133FC3"/>
    <w:rsid w:val="0013757A"/>
    <w:rsid w:val="0014131D"/>
    <w:rsid w:val="00142743"/>
    <w:rsid w:val="0014438B"/>
    <w:rsid w:val="00145493"/>
    <w:rsid w:val="00151874"/>
    <w:rsid w:val="00152376"/>
    <w:rsid w:val="001544B1"/>
    <w:rsid w:val="00161AF0"/>
    <w:rsid w:val="00161D6A"/>
    <w:rsid w:val="00171EE4"/>
    <w:rsid w:val="00182716"/>
    <w:rsid w:val="0018679A"/>
    <w:rsid w:val="00192B03"/>
    <w:rsid w:val="001952CE"/>
    <w:rsid w:val="001A0D1C"/>
    <w:rsid w:val="001A5D75"/>
    <w:rsid w:val="001A7971"/>
    <w:rsid w:val="001B1E3E"/>
    <w:rsid w:val="001B4200"/>
    <w:rsid w:val="001B4A41"/>
    <w:rsid w:val="001C2CD5"/>
    <w:rsid w:val="001C6D54"/>
    <w:rsid w:val="001D7B24"/>
    <w:rsid w:val="00200731"/>
    <w:rsid w:val="00206CA1"/>
    <w:rsid w:val="0021016B"/>
    <w:rsid w:val="00211EE2"/>
    <w:rsid w:val="00216F53"/>
    <w:rsid w:val="002176AD"/>
    <w:rsid w:val="00227194"/>
    <w:rsid w:val="00230D49"/>
    <w:rsid w:val="00242456"/>
    <w:rsid w:val="0024678C"/>
    <w:rsid w:val="00250856"/>
    <w:rsid w:val="00251E6E"/>
    <w:rsid w:val="00256ACC"/>
    <w:rsid w:val="00257B70"/>
    <w:rsid w:val="0026115F"/>
    <w:rsid w:val="002721A1"/>
    <w:rsid w:val="0027277F"/>
    <w:rsid w:val="002842DF"/>
    <w:rsid w:val="00285BE4"/>
    <w:rsid w:val="002A3DAE"/>
    <w:rsid w:val="002A429F"/>
    <w:rsid w:val="002B2361"/>
    <w:rsid w:val="002B33E3"/>
    <w:rsid w:val="002B5BA9"/>
    <w:rsid w:val="002D0201"/>
    <w:rsid w:val="002D7C11"/>
    <w:rsid w:val="002E107B"/>
    <w:rsid w:val="002E69E7"/>
    <w:rsid w:val="002F0760"/>
    <w:rsid w:val="002F14AD"/>
    <w:rsid w:val="002F3858"/>
    <w:rsid w:val="0030223A"/>
    <w:rsid w:val="00317A5C"/>
    <w:rsid w:val="00322C30"/>
    <w:rsid w:val="003243DA"/>
    <w:rsid w:val="00324680"/>
    <w:rsid w:val="00325216"/>
    <w:rsid w:val="0032718B"/>
    <w:rsid w:val="003338AE"/>
    <w:rsid w:val="00342495"/>
    <w:rsid w:val="003426A8"/>
    <w:rsid w:val="0035017E"/>
    <w:rsid w:val="003539EF"/>
    <w:rsid w:val="003543F3"/>
    <w:rsid w:val="003608AD"/>
    <w:rsid w:val="0036096D"/>
    <w:rsid w:val="003718BB"/>
    <w:rsid w:val="00377F94"/>
    <w:rsid w:val="00384F49"/>
    <w:rsid w:val="00385736"/>
    <w:rsid w:val="003A020A"/>
    <w:rsid w:val="003A6BB3"/>
    <w:rsid w:val="003A6C4D"/>
    <w:rsid w:val="003B544A"/>
    <w:rsid w:val="003B7D1C"/>
    <w:rsid w:val="003C133C"/>
    <w:rsid w:val="003C2AED"/>
    <w:rsid w:val="003C2CB7"/>
    <w:rsid w:val="003D3104"/>
    <w:rsid w:val="003D47B9"/>
    <w:rsid w:val="003D5034"/>
    <w:rsid w:val="003E312E"/>
    <w:rsid w:val="003E333B"/>
    <w:rsid w:val="003E67CA"/>
    <w:rsid w:val="0040551A"/>
    <w:rsid w:val="00406416"/>
    <w:rsid w:val="00406D73"/>
    <w:rsid w:val="004124FD"/>
    <w:rsid w:val="004125EE"/>
    <w:rsid w:val="00422671"/>
    <w:rsid w:val="00430A2B"/>
    <w:rsid w:val="00431480"/>
    <w:rsid w:val="00434867"/>
    <w:rsid w:val="00442121"/>
    <w:rsid w:val="004427A4"/>
    <w:rsid w:val="00444C23"/>
    <w:rsid w:val="00452360"/>
    <w:rsid w:val="00453F7A"/>
    <w:rsid w:val="00457159"/>
    <w:rsid w:val="004629E6"/>
    <w:rsid w:val="0046430C"/>
    <w:rsid w:val="004704D8"/>
    <w:rsid w:val="00473FED"/>
    <w:rsid w:val="00474629"/>
    <w:rsid w:val="004807EA"/>
    <w:rsid w:val="004861E8"/>
    <w:rsid w:val="0049019A"/>
    <w:rsid w:val="0049050E"/>
    <w:rsid w:val="004C0984"/>
    <w:rsid w:val="004C266E"/>
    <w:rsid w:val="004C7763"/>
    <w:rsid w:val="004D0194"/>
    <w:rsid w:val="004D38F2"/>
    <w:rsid w:val="004E2368"/>
    <w:rsid w:val="004E63DA"/>
    <w:rsid w:val="004F4590"/>
    <w:rsid w:val="004F6E25"/>
    <w:rsid w:val="00501105"/>
    <w:rsid w:val="00523728"/>
    <w:rsid w:val="00527A7F"/>
    <w:rsid w:val="00530E60"/>
    <w:rsid w:val="00531392"/>
    <w:rsid w:val="00534B24"/>
    <w:rsid w:val="005356E5"/>
    <w:rsid w:val="005366F2"/>
    <w:rsid w:val="005500B1"/>
    <w:rsid w:val="0055133A"/>
    <w:rsid w:val="00554BF5"/>
    <w:rsid w:val="00557D79"/>
    <w:rsid w:val="0056019C"/>
    <w:rsid w:val="00562AC0"/>
    <w:rsid w:val="005631DF"/>
    <w:rsid w:val="005657D6"/>
    <w:rsid w:val="00565E76"/>
    <w:rsid w:val="005668B0"/>
    <w:rsid w:val="00570E1F"/>
    <w:rsid w:val="00574AB3"/>
    <w:rsid w:val="00580447"/>
    <w:rsid w:val="00585F3A"/>
    <w:rsid w:val="005912E0"/>
    <w:rsid w:val="00595AFA"/>
    <w:rsid w:val="005A4B3E"/>
    <w:rsid w:val="005A6A6A"/>
    <w:rsid w:val="005A74FF"/>
    <w:rsid w:val="005B0E05"/>
    <w:rsid w:val="005B61EB"/>
    <w:rsid w:val="005B7B1F"/>
    <w:rsid w:val="005C37C2"/>
    <w:rsid w:val="005D0D31"/>
    <w:rsid w:val="005D466E"/>
    <w:rsid w:val="005D695A"/>
    <w:rsid w:val="005E039A"/>
    <w:rsid w:val="005E10A5"/>
    <w:rsid w:val="005F2843"/>
    <w:rsid w:val="005F5C6F"/>
    <w:rsid w:val="00605A33"/>
    <w:rsid w:val="00606A4B"/>
    <w:rsid w:val="00613BF4"/>
    <w:rsid w:val="0061541F"/>
    <w:rsid w:val="00615C74"/>
    <w:rsid w:val="006179CF"/>
    <w:rsid w:val="00635413"/>
    <w:rsid w:val="00640759"/>
    <w:rsid w:val="00640BB4"/>
    <w:rsid w:val="006436CD"/>
    <w:rsid w:val="00645E21"/>
    <w:rsid w:val="00653D0C"/>
    <w:rsid w:val="00672F87"/>
    <w:rsid w:val="00684105"/>
    <w:rsid w:val="0069205F"/>
    <w:rsid w:val="006A35E8"/>
    <w:rsid w:val="006A7F64"/>
    <w:rsid w:val="006B2952"/>
    <w:rsid w:val="006B3E2A"/>
    <w:rsid w:val="006B723F"/>
    <w:rsid w:val="006B7A79"/>
    <w:rsid w:val="006C0E9A"/>
    <w:rsid w:val="006C1B3A"/>
    <w:rsid w:val="006C60FA"/>
    <w:rsid w:val="006D00D1"/>
    <w:rsid w:val="006D3764"/>
    <w:rsid w:val="006E0584"/>
    <w:rsid w:val="006E0C4B"/>
    <w:rsid w:val="006E101C"/>
    <w:rsid w:val="006F48E7"/>
    <w:rsid w:val="006F5348"/>
    <w:rsid w:val="007022B9"/>
    <w:rsid w:val="007044CC"/>
    <w:rsid w:val="0070526D"/>
    <w:rsid w:val="00714227"/>
    <w:rsid w:val="00735475"/>
    <w:rsid w:val="0073757A"/>
    <w:rsid w:val="00752068"/>
    <w:rsid w:val="00752BA2"/>
    <w:rsid w:val="00760C6B"/>
    <w:rsid w:val="007636B7"/>
    <w:rsid w:val="00764D08"/>
    <w:rsid w:val="00765FFD"/>
    <w:rsid w:val="00772841"/>
    <w:rsid w:val="00773525"/>
    <w:rsid w:val="007740F2"/>
    <w:rsid w:val="007745A6"/>
    <w:rsid w:val="00774DC7"/>
    <w:rsid w:val="00776CCD"/>
    <w:rsid w:val="0078004D"/>
    <w:rsid w:val="0078057E"/>
    <w:rsid w:val="00781424"/>
    <w:rsid w:val="007903C2"/>
    <w:rsid w:val="00791A4B"/>
    <w:rsid w:val="00794CE5"/>
    <w:rsid w:val="007959DE"/>
    <w:rsid w:val="00795C4D"/>
    <w:rsid w:val="00796CCD"/>
    <w:rsid w:val="007A4F44"/>
    <w:rsid w:val="007A7A56"/>
    <w:rsid w:val="007B3581"/>
    <w:rsid w:val="007B5773"/>
    <w:rsid w:val="007B5ACE"/>
    <w:rsid w:val="007D4125"/>
    <w:rsid w:val="007D5B1F"/>
    <w:rsid w:val="007D791F"/>
    <w:rsid w:val="007D7971"/>
    <w:rsid w:val="007E6B54"/>
    <w:rsid w:val="007F1998"/>
    <w:rsid w:val="007F1CFD"/>
    <w:rsid w:val="00803914"/>
    <w:rsid w:val="00812BA6"/>
    <w:rsid w:val="00814D08"/>
    <w:rsid w:val="00826821"/>
    <w:rsid w:val="00835068"/>
    <w:rsid w:val="00843AF3"/>
    <w:rsid w:val="008442FB"/>
    <w:rsid w:val="00846832"/>
    <w:rsid w:val="00851D90"/>
    <w:rsid w:val="00857024"/>
    <w:rsid w:val="00861512"/>
    <w:rsid w:val="00862EB1"/>
    <w:rsid w:val="00863C1E"/>
    <w:rsid w:val="00864869"/>
    <w:rsid w:val="00870A1E"/>
    <w:rsid w:val="00880D2A"/>
    <w:rsid w:val="00894033"/>
    <w:rsid w:val="00896087"/>
    <w:rsid w:val="0089697E"/>
    <w:rsid w:val="0089703C"/>
    <w:rsid w:val="00897222"/>
    <w:rsid w:val="008A1796"/>
    <w:rsid w:val="008A59AE"/>
    <w:rsid w:val="008B2519"/>
    <w:rsid w:val="008C046F"/>
    <w:rsid w:val="008C14A5"/>
    <w:rsid w:val="008C2E53"/>
    <w:rsid w:val="008C4091"/>
    <w:rsid w:val="008C50C9"/>
    <w:rsid w:val="008C6C7D"/>
    <w:rsid w:val="008D01F8"/>
    <w:rsid w:val="008D11BA"/>
    <w:rsid w:val="008D33D9"/>
    <w:rsid w:val="008D3851"/>
    <w:rsid w:val="008D5368"/>
    <w:rsid w:val="008E6AFB"/>
    <w:rsid w:val="00902FFE"/>
    <w:rsid w:val="00921B9C"/>
    <w:rsid w:val="00923883"/>
    <w:rsid w:val="009267DF"/>
    <w:rsid w:val="0093094C"/>
    <w:rsid w:val="0093409E"/>
    <w:rsid w:val="00935378"/>
    <w:rsid w:val="0094461E"/>
    <w:rsid w:val="009451ED"/>
    <w:rsid w:val="00955248"/>
    <w:rsid w:val="00960550"/>
    <w:rsid w:val="00966DD4"/>
    <w:rsid w:val="00980821"/>
    <w:rsid w:val="009809A3"/>
    <w:rsid w:val="0099229E"/>
    <w:rsid w:val="009933D8"/>
    <w:rsid w:val="009A5FD3"/>
    <w:rsid w:val="009B19CF"/>
    <w:rsid w:val="009B236A"/>
    <w:rsid w:val="009B4C0B"/>
    <w:rsid w:val="009B6CFA"/>
    <w:rsid w:val="009C2967"/>
    <w:rsid w:val="009C6BC3"/>
    <w:rsid w:val="009C7CB7"/>
    <w:rsid w:val="009D02ED"/>
    <w:rsid w:val="009D6228"/>
    <w:rsid w:val="009D6B6F"/>
    <w:rsid w:val="009E4040"/>
    <w:rsid w:val="009E423D"/>
    <w:rsid w:val="009F1C8A"/>
    <w:rsid w:val="009F28A1"/>
    <w:rsid w:val="009F49A6"/>
    <w:rsid w:val="009F502C"/>
    <w:rsid w:val="009F71E7"/>
    <w:rsid w:val="00A1143E"/>
    <w:rsid w:val="00A16F91"/>
    <w:rsid w:val="00A2399D"/>
    <w:rsid w:val="00A25E2A"/>
    <w:rsid w:val="00A44E13"/>
    <w:rsid w:val="00A563C7"/>
    <w:rsid w:val="00A56FD2"/>
    <w:rsid w:val="00A57A47"/>
    <w:rsid w:val="00A71129"/>
    <w:rsid w:val="00A72ACE"/>
    <w:rsid w:val="00A74BC9"/>
    <w:rsid w:val="00A923DC"/>
    <w:rsid w:val="00A9576B"/>
    <w:rsid w:val="00A976A4"/>
    <w:rsid w:val="00AA2299"/>
    <w:rsid w:val="00AB20BE"/>
    <w:rsid w:val="00AB2AB2"/>
    <w:rsid w:val="00AB7A60"/>
    <w:rsid w:val="00AC702C"/>
    <w:rsid w:val="00AD1C05"/>
    <w:rsid w:val="00AD3610"/>
    <w:rsid w:val="00AD5C69"/>
    <w:rsid w:val="00AE3020"/>
    <w:rsid w:val="00AE5A6F"/>
    <w:rsid w:val="00AF079B"/>
    <w:rsid w:val="00B14926"/>
    <w:rsid w:val="00B253BC"/>
    <w:rsid w:val="00B254E1"/>
    <w:rsid w:val="00B26E00"/>
    <w:rsid w:val="00B30D51"/>
    <w:rsid w:val="00B40370"/>
    <w:rsid w:val="00B4486A"/>
    <w:rsid w:val="00B52B42"/>
    <w:rsid w:val="00B670AB"/>
    <w:rsid w:val="00B71B92"/>
    <w:rsid w:val="00B73B49"/>
    <w:rsid w:val="00B7762B"/>
    <w:rsid w:val="00B807F7"/>
    <w:rsid w:val="00B91ED1"/>
    <w:rsid w:val="00B93AD7"/>
    <w:rsid w:val="00BA0537"/>
    <w:rsid w:val="00BA1636"/>
    <w:rsid w:val="00BA1E74"/>
    <w:rsid w:val="00BA20D0"/>
    <w:rsid w:val="00BA2654"/>
    <w:rsid w:val="00BA5C0C"/>
    <w:rsid w:val="00BB2AF0"/>
    <w:rsid w:val="00BB7856"/>
    <w:rsid w:val="00BD7AF4"/>
    <w:rsid w:val="00BE1F31"/>
    <w:rsid w:val="00BE3B90"/>
    <w:rsid w:val="00C030E6"/>
    <w:rsid w:val="00C04576"/>
    <w:rsid w:val="00C11128"/>
    <w:rsid w:val="00C272FB"/>
    <w:rsid w:val="00C27314"/>
    <w:rsid w:val="00C41080"/>
    <w:rsid w:val="00C56ED0"/>
    <w:rsid w:val="00C60184"/>
    <w:rsid w:val="00C60F8C"/>
    <w:rsid w:val="00C674C2"/>
    <w:rsid w:val="00C728BB"/>
    <w:rsid w:val="00C76D46"/>
    <w:rsid w:val="00C80A73"/>
    <w:rsid w:val="00C82D4E"/>
    <w:rsid w:val="00C84F1F"/>
    <w:rsid w:val="00C92A5F"/>
    <w:rsid w:val="00CA0F71"/>
    <w:rsid w:val="00CA4B08"/>
    <w:rsid w:val="00CA529E"/>
    <w:rsid w:val="00CA651F"/>
    <w:rsid w:val="00CB589D"/>
    <w:rsid w:val="00CB67AC"/>
    <w:rsid w:val="00CC35D2"/>
    <w:rsid w:val="00CD0DDE"/>
    <w:rsid w:val="00CD76A1"/>
    <w:rsid w:val="00CE2D10"/>
    <w:rsid w:val="00CE30D1"/>
    <w:rsid w:val="00CE4104"/>
    <w:rsid w:val="00CE7A8D"/>
    <w:rsid w:val="00CF152B"/>
    <w:rsid w:val="00CF4D3B"/>
    <w:rsid w:val="00CF742B"/>
    <w:rsid w:val="00D03CC9"/>
    <w:rsid w:val="00D06DE3"/>
    <w:rsid w:val="00D07C37"/>
    <w:rsid w:val="00D22162"/>
    <w:rsid w:val="00D237F7"/>
    <w:rsid w:val="00D35312"/>
    <w:rsid w:val="00D37D0A"/>
    <w:rsid w:val="00D478F4"/>
    <w:rsid w:val="00D57E12"/>
    <w:rsid w:val="00D64500"/>
    <w:rsid w:val="00D659ED"/>
    <w:rsid w:val="00D752AF"/>
    <w:rsid w:val="00D76AD0"/>
    <w:rsid w:val="00D81CB1"/>
    <w:rsid w:val="00D82F5F"/>
    <w:rsid w:val="00D8541C"/>
    <w:rsid w:val="00D86844"/>
    <w:rsid w:val="00D90AC4"/>
    <w:rsid w:val="00D93F45"/>
    <w:rsid w:val="00D9437D"/>
    <w:rsid w:val="00D97E13"/>
    <w:rsid w:val="00DA1516"/>
    <w:rsid w:val="00DA2445"/>
    <w:rsid w:val="00DB2E0E"/>
    <w:rsid w:val="00DB7167"/>
    <w:rsid w:val="00DC0088"/>
    <w:rsid w:val="00DC29FB"/>
    <w:rsid w:val="00DD0AEF"/>
    <w:rsid w:val="00DD561C"/>
    <w:rsid w:val="00DD773D"/>
    <w:rsid w:val="00DF219A"/>
    <w:rsid w:val="00DF2257"/>
    <w:rsid w:val="00DF4B58"/>
    <w:rsid w:val="00DF56E7"/>
    <w:rsid w:val="00E02CB0"/>
    <w:rsid w:val="00E040B8"/>
    <w:rsid w:val="00E1233D"/>
    <w:rsid w:val="00E15714"/>
    <w:rsid w:val="00E16B00"/>
    <w:rsid w:val="00E17245"/>
    <w:rsid w:val="00E20D5A"/>
    <w:rsid w:val="00E222EA"/>
    <w:rsid w:val="00E24549"/>
    <w:rsid w:val="00E25652"/>
    <w:rsid w:val="00E30C8C"/>
    <w:rsid w:val="00E31AA0"/>
    <w:rsid w:val="00E34609"/>
    <w:rsid w:val="00E414CA"/>
    <w:rsid w:val="00E4178A"/>
    <w:rsid w:val="00E528B3"/>
    <w:rsid w:val="00E60AE8"/>
    <w:rsid w:val="00E77C7F"/>
    <w:rsid w:val="00E833C2"/>
    <w:rsid w:val="00EA7AB6"/>
    <w:rsid w:val="00EB0AD9"/>
    <w:rsid w:val="00EB2C1E"/>
    <w:rsid w:val="00EB39A0"/>
    <w:rsid w:val="00ED34A0"/>
    <w:rsid w:val="00EF3296"/>
    <w:rsid w:val="00F01922"/>
    <w:rsid w:val="00F020D9"/>
    <w:rsid w:val="00F025CE"/>
    <w:rsid w:val="00F0470B"/>
    <w:rsid w:val="00F152C2"/>
    <w:rsid w:val="00F16110"/>
    <w:rsid w:val="00F3457C"/>
    <w:rsid w:val="00F4097F"/>
    <w:rsid w:val="00F4712B"/>
    <w:rsid w:val="00F47558"/>
    <w:rsid w:val="00F535B4"/>
    <w:rsid w:val="00F60CA6"/>
    <w:rsid w:val="00F6632C"/>
    <w:rsid w:val="00F708BC"/>
    <w:rsid w:val="00F7330C"/>
    <w:rsid w:val="00F76776"/>
    <w:rsid w:val="00F80A4F"/>
    <w:rsid w:val="00F8684A"/>
    <w:rsid w:val="00F93423"/>
    <w:rsid w:val="00F94342"/>
    <w:rsid w:val="00F94DEB"/>
    <w:rsid w:val="00F96BD4"/>
    <w:rsid w:val="00FA241A"/>
    <w:rsid w:val="00FA2FDC"/>
    <w:rsid w:val="00FB01E2"/>
    <w:rsid w:val="00FB1F36"/>
    <w:rsid w:val="00FB5B96"/>
    <w:rsid w:val="00FC7C97"/>
    <w:rsid w:val="00FD3453"/>
    <w:rsid w:val="00FE5D02"/>
    <w:rsid w:val="00FF35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FollowedHyperlink">
    <w:name w:val="FollowedHyperlink"/>
    <w:basedOn w:val="DefaultParagraphFont"/>
    <w:uiPriority w:val="99"/>
    <w:semiHidden/>
    <w:unhideWhenUsed/>
    <w:rsid w:val="00E30C8C"/>
    <w:rPr>
      <w:color w:val="800080"/>
      <w:u w:val="single"/>
    </w:rPr>
  </w:style>
  <w:style w:type="paragraph" w:customStyle="1" w:styleId="naisvisr">
    <w:name w:val="naisvisr"/>
    <w:basedOn w:val="Normal"/>
    <w:rsid w:val="0055133A"/>
    <w:pPr>
      <w:spacing w:before="100" w:beforeAutospacing="1" w:after="100" w:afterAutospacing="1"/>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9933D8"/>
    <w:rPr>
      <w:sz w:val="16"/>
      <w:szCs w:val="16"/>
    </w:rPr>
  </w:style>
  <w:style w:type="paragraph" w:styleId="CommentText">
    <w:name w:val="annotation text"/>
    <w:basedOn w:val="Normal"/>
    <w:link w:val="CommentTextChar"/>
    <w:uiPriority w:val="99"/>
    <w:semiHidden/>
    <w:unhideWhenUsed/>
    <w:rsid w:val="009933D8"/>
    <w:rPr>
      <w:sz w:val="20"/>
      <w:szCs w:val="20"/>
    </w:rPr>
  </w:style>
  <w:style w:type="character" w:customStyle="1" w:styleId="CommentTextChar">
    <w:name w:val="Comment Text Char"/>
    <w:basedOn w:val="DefaultParagraphFont"/>
    <w:link w:val="CommentText"/>
    <w:uiPriority w:val="99"/>
    <w:semiHidden/>
    <w:rsid w:val="009933D8"/>
    <w:rPr>
      <w:sz w:val="20"/>
      <w:szCs w:val="20"/>
    </w:rPr>
  </w:style>
  <w:style w:type="paragraph" w:styleId="CommentSubject">
    <w:name w:val="annotation subject"/>
    <w:basedOn w:val="CommentText"/>
    <w:next w:val="CommentText"/>
    <w:link w:val="CommentSubjectChar"/>
    <w:uiPriority w:val="99"/>
    <w:semiHidden/>
    <w:unhideWhenUsed/>
    <w:rsid w:val="009933D8"/>
    <w:rPr>
      <w:b/>
      <w:bCs/>
    </w:rPr>
  </w:style>
  <w:style w:type="character" w:customStyle="1" w:styleId="CommentSubjectChar">
    <w:name w:val="Comment Subject Char"/>
    <w:basedOn w:val="CommentTextChar"/>
    <w:link w:val="CommentSubject"/>
    <w:uiPriority w:val="99"/>
    <w:semiHidden/>
    <w:rsid w:val="009933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FollowedHyperlink">
    <w:name w:val="FollowedHyperlink"/>
    <w:basedOn w:val="DefaultParagraphFont"/>
    <w:uiPriority w:val="99"/>
    <w:semiHidden/>
    <w:unhideWhenUsed/>
    <w:rsid w:val="00E30C8C"/>
    <w:rPr>
      <w:color w:val="800080"/>
      <w:u w:val="single"/>
    </w:rPr>
  </w:style>
  <w:style w:type="paragraph" w:customStyle="1" w:styleId="naisvisr">
    <w:name w:val="naisvisr"/>
    <w:basedOn w:val="Normal"/>
    <w:rsid w:val="0055133A"/>
    <w:pPr>
      <w:spacing w:before="100" w:beforeAutospacing="1" w:after="100" w:afterAutospacing="1"/>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9933D8"/>
    <w:rPr>
      <w:sz w:val="16"/>
      <w:szCs w:val="16"/>
    </w:rPr>
  </w:style>
  <w:style w:type="paragraph" w:styleId="CommentText">
    <w:name w:val="annotation text"/>
    <w:basedOn w:val="Normal"/>
    <w:link w:val="CommentTextChar"/>
    <w:uiPriority w:val="99"/>
    <w:semiHidden/>
    <w:unhideWhenUsed/>
    <w:rsid w:val="009933D8"/>
    <w:rPr>
      <w:sz w:val="20"/>
      <w:szCs w:val="20"/>
    </w:rPr>
  </w:style>
  <w:style w:type="character" w:customStyle="1" w:styleId="CommentTextChar">
    <w:name w:val="Comment Text Char"/>
    <w:basedOn w:val="DefaultParagraphFont"/>
    <w:link w:val="CommentText"/>
    <w:uiPriority w:val="99"/>
    <w:semiHidden/>
    <w:rsid w:val="009933D8"/>
    <w:rPr>
      <w:sz w:val="20"/>
      <w:szCs w:val="20"/>
    </w:rPr>
  </w:style>
  <w:style w:type="paragraph" w:styleId="CommentSubject">
    <w:name w:val="annotation subject"/>
    <w:basedOn w:val="CommentText"/>
    <w:next w:val="CommentText"/>
    <w:link w:val="CommentSubjectChar"/>
    <w:uiPriority w:val="99"/>
    <w:semiHidden/>
    <w:unhideWhenUsed/>
    <w:rsid w:val="009933D8"/>
    <w:rPr>
      <w:b/>
      <w:bCs/>
    </w:rPr>
  </w:style>
  <w:style w:type="character" w:customStyle="1" w:styleId="CommentSubjectChar">
    <w:name w:val="Comment Subject Char"/>
    <w:basedOn w:val="CommentTextChar"/>
    <w:link w:val="CommentSubject"/>
    <w:uiPriority w:val="99"/>
    <w:semiHidden/>
    <w:rsid w:val="009933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6198">
      <w:bodyDiv w:val="1"/>
      <w:marLeft w:val="0"/>
      <w:marRight w:val="0"/>
      <w:marTop w:val="0"/>
      <w:marBottom w:val="0"/>
      <w:divBdr>
        <w:top w:val="none" w:sz="0" w:space="0" w:color="auto"/>
        <w:left w:val="none" w:sz="0" w:space="0" w:color="auto"/>
        <w:bottom w:val="none" w:sz="0" w:space="0" w:color="auto"/>
        <w:right w:val="none" w:sz="0" w:space="0" w:color="auto"/>
      </w:divBdr>
    </w:div>
    <w:div w:id="388500579">
      <w:bodyDiv w:val="1"/>
      <w:marLeft w:val="0"/>
      <w:marRight w:val="0"/>
      <w:marTop w:val="0"/>
      <w:marBottom w:val="0"/>
      <w:divBdr>
        <w:top w:val="none" w:sz="0" w:space="0" w:color="auto"/>
        <w:left w:val="none" w:sz="0" w:space="0" w:color="auto"/>
        <w:bottom w:val="none" w:sz="0" w:space="0" w:color="auto"/>
        <w:right w:val="none" w:sz="0" w:space="0" w:color="auto"/>
      </w:divBdr>
    </w:div>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1580602865">
      <w:bodyDiv w:val="1"/>
      <w:marLeft w:val="0"/>
      <w:marRight w:val="0"/>
      <w:marTop w:val="0"/>
      <w:marBottom w:val="0"/>
      <w:divBdr>
        <w:top w:val="none" w:sz="0" w:space="0" w:color="auto"/>
        <w:left w:val="none" w:sz="0" w:space="0" w:color="auto"/>
        <w:bottom w:val="none" w:sz="0" w:space="0" w:color="auto"/>
        <w:right w:val="none" w:sz="0" w:space="0" w:color="auto"/>
      </w:divBdr>
    </w:div>
    <w:div w:id="1778064733">
      <w:bodyDiv w:val="1"/>
      <w:marLeft w:val="0"/>
      <w:marRight w:val="0"/>
      <w:marTop w:val="0"/>
      <w:marBottom w:val="0"/>
      <w:divBdr>
        <w:top w:val="none" w:sz="0" w:space="0" w:color="auto"/>
        <w:left w:val="none" w:sz="0" w:space="0" w:color="auto"/>
        <w:bottom w:val="none" w:sz="0" w:space="0" w:color="auto"/>
        <w:right w:val="none" w:sz="0" w:space="0" w:color="auto"/>
      </w:divBdr>
    </w:div>
    <w:div w:id="2132744339">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7CB0E-DA4E-412C-9F9F-A7C4B630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49ACB25A.dotm</Template>
  <TotalTime>12</TotalTime>
  <Pages>5</Pages>
  <Words>994</Words>
  <Characters>6932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MK noteikumu projekts "Grozījumi Ministru kabineta 17.02.2009. noteikumos Nr.166 "Kārtība, kādā veidojamas, finansējamas un sagatavojamas Latvijas Nacionālo bruņoto spēku vienības, kas piedalās starptautiskajās operācijās un ātrās reaģēšanas spēkos""</vt:lpstr>
    </vt:vector>
  </TitlesOfParts>
  <Manager>RPD</Manager>
  <Company>AIM</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17.02.2009. noteikumos Nr.166 "Kārtība, kādā veidojamas, finansējamas un sagatavojamas Latvijas Nacionālo bruņoto spēku vienības, kas piedalās starptautiskajās operācijās un ātrās reaģēšanas spēkos""</dc:title>
  <dc:subject>Anotācija</dc:subject>
  <dc:creator>I.Jursiņa-Videmane</dc:creator>
  <dc:description>tālr.: 67335162_x000d_
ineta.jursina@mod.gov.lv</dc:description>
  <cp:lastModifiedBy>Ineta Jursina</cp:lastModifiedBy>
  <cp:revision>4</cp:revision>
  <cp:lastPrinted>2013-03-15T14:27:00Z</cp:lastPrinted>
  <dcterms:created xsi:type="dcterms:W3CDTF">2013-09-18T06:43:00Z</dcterms:created>
  <dcterms:modified xsi:type="dcterms:W3CDTF">2013-09-18T07:15:00Z</dcterms:modified>
</cp:coreProperties>
</file>