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C0" w:rsidRPr="00FE3DC8" w:rsidRDefault="004205C0" w:rsidP="004205C0">
      <w:pPr>
        <w:pStyle w:val="Header"/>
        <w:ind w:right="360"/>
        <w:jc w:val="right"/>
        <w:rPr>
          <w:rFonts w:ascii="Times New Roman" w:hAnsi="Times New Roman"/>
          <w:szCs w:val="28"/>
        </w:rPr>
      </w:pPr>
      <w:bookmarkStart w:id="0" w:name="_GoBack"/>
      <w:bookmarkEnd w:id="0"/>
      <w:r w:rsidRPr="00FE3DC8">
        <w:rPr>
          <w:rFonts w:ascii="Times New Roman" w:hAnsi="Times New Roman"/>
          <w:szCs w:val="28"/>
        </w:rPr>
        <w:t>Projekts</w:t>
      </w:r>
    </w:p>
    <w:p w:rsidR="00676088" w:rsidRPr="00F81532" w:rsidRDefault="00676088" w:rsidP="00533FC4">
      <w:pPr>
        <w:pStyle w:val="Header"/>
        <w:ind w:right="360"/>
        <w:jc w:val="center"/>
        <w:rPr>
          <w:rFonts w:ascii="Times New Roman" w:hAnsi="Times New Roman"/>
          <w:szCs w:val="28"/>
        </w:rPr>
      </w:pPr>
    </w:p>
    <w:p w:rsidR="00533FC4" w:rsidRPr="00FE3DC8" w:rsidRDefault="00533FC4" w:rsidP="00533FC4">
      <w:pPr>
        <w:pStyle w:val="Header"/>
        <w:ind w:right="360"/>
        <w:jc w:val="center"/>
        <w:rPr>
          <w:rFonts w:ascii="Times New Roman" w:hAnsi="Times New Roman"/>
          <w:szCs w:val="28"/>
        </w:rPr>
      </w:pPr>
      <w:r w:rsidRPr="00FE3DC8">
        <w:rPr>
          <w:rFonts w:ascii="Times New Roman" w:hAnsi="Times New Roman"/>
          <w:b/>
          <w:szCs w:val="28"/>
        </w:rPr>
        <w:t>Ministru kabineta noteikumu</w:t>
      </w:r>
    </w:p>
    <w:p w:rsidR="00533FC4" w:rsidRPr="00FE3DC8" w:rsidRDefault="00533FC4" w:rsidP="00533FC4">
      <w:pPr>
        <w:jc w:val="center"/>
        <w:rPr>
          <w:b/>
          <w:sz w:val="28"/>
          <w:szCs w:val="28"/>
        </w:rPr>
      </w:pPr>
      <w:r w:rsidRPr="00FE3DC8">
        <w:rPr>
          <w:b/>
          <w:sz w:val="28"/>
          <w:szCs w:val="28"/>
        </w:rPr>
        <w:t>„</w:t>
      </w:r>
      <w:r w:rsidR="00B773A2" w:rsidRPr="00FE3DC8">
        <w:rPr>
          <w:b/>
          <w:bCs/>
          <w:sz w:val="28"/>
          <w:szCs w:val="28"/>
        </w:rPr>
        <w:t>Grozījum</w:t>
      </w:r>
      <w:r w:rsidR="00B773A2">
        <w:rPr>
          <w:b/>
          <w:bCs/>
          <w:sz w:val="28"/>
          <w:szCs w:val="28"/>
        </w:rPr>
        <w:t>s</w:t>
      </w:r>
      <w:r w:rsidR="00B773A2" w:rsidRPr="00FE3DC8">
        <w:rPr>
          <w:b/>
          <w:bCs/>
          <w:sz w:val="28"/>
          <w:szCs w:val="28"/>
        </w:rPr>
        <w:t xml:space="preserve"> </w:t>
      </w:r>
      <w:r w:rsidR="004205C0" w:rsidRPr="00FE3DC8">
        <w:rPr>
          <w:b/>
          <w:bCs/>
          <w:sz w:val="28"/>
          <w:szCs w:val="28"/>
        </w:rPr>
        <w:t>Ministru kabineta 2004.gada 6.janvāra noteikumos Nr.21 „Valsts noslēpuma, Ziemeļatlantijas līguma organizācijas, Eiropas Savienības un ārvalstu institūciju klasificētās informācijas aizsardzības noteikumi””</w:t>
      </w:r>
    </w:p>
    <w:p w:rsidR="00533FC4" w:rsidRPr="00FE3DC8" w:rsidRDefault="00533FC4" w:rsidP="00533FC4">
      <w:pPr>
        <w:pStyle w:val="Header"/>
        <w:ind w:right="360"/>
        <w:jc w:val="center"/>
        <w:rPr>
          <w:rFonts w:ascii="Times New Roman" w:hAnsi="Times New Roman"/>
          <w:b/>
          <w:szCs w:val="28"/>
        </w:rPr>
      </w:pPr>
      <w:r w:rsidRPr="00FE3DC8">
        <w:rPr>
          <w:rFonts w:ascii="Times New Roman" w:hAnsi="Times New Roman"/>
          <w:b/>
          <w:szCs w:val="28"/>
        </w:rPr>
        <w:t xml:space="preserve">projekta </w:t>
      </w:r>
    </w:p>
    <w:p w:rsidR="00533FC4" w:rsidRPr="00FE3DC8" w:rsidRDefault="00533FC4" w:rsidP="00533FC4">
      <w:pPr>
        <w:pStyle w:val="Header"/>
        <w:ind w:right="360"/>
        <w:jc w:val="center"/>
        <w:rPr>
          <w:rFonts w:ascii="Times New Roman" w:hAnsi="Times New Roman"/>
          <w:b/>
          <w:szCs w:val="28"/>
        </w:rPr>
      </w:pPr>
      <w:r w:rsidRPr="00FE3DC8">
        <w:rPr>
          <w:rFonts w:ascii="Times New Roman" w:hAnsi="Times New Roman"/>
          <w:b/>
          <w:szCs w:val="28"/>
        </w:rPr>
        <w:t>sākotnējās ietekmes izvērtējums</w:t>
      </w:r>
    </w:p>
    <w:p w:rsidR="00533FC4" w:rsidRPr="00FE3DC8" w:rsidRDefault="00533FC4" w:rsidP="00533FC4">
      <w:pPr>
        <w:pStyle w:val="Header"/>
        <w:ind w:right="360"/>
        <w:jc w:val="center"/>
        <w:rPr>
          <w:rFonts w:ascii="Times New Roman" w:hAnsi="Times New Roman"/>
          <w:szCs w:val="28"/>
        </w:rPr>
      </w:pPr>
      <w:r w:rsidRPr="00FE3DC8">
        <w:rPr>
          <w:rFonts w:ascii="Times New Roman" w:hAnsi="Times New Roman"/>
          <w:b/>
          <w:szCs w:val="28"/>
        </w:rPr>
        <w:t>(anotācija)</w:t>
      </w:r>
    </w:p>
    <w:p w:rsidR="00533FC4" w:rsidRPr="00D473EA" w:rsidRDefault="00533FC4">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5"/>
        <w:gridCol w:w="1708"/>
        <w:gridCol w:w="6403"/>
      </w:tblGrid>
      <w:tr w:rsidR="00533FC4" w:rsidRPr="00D473EA">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533FC4" w:rsidRPr="00D473EA" w:rsidRDefault="00533FC4" w:rsidP="00B35009">
            <w:pPr>
              <w:pStyle w:val="tvhtmlmktable"/>
              <w:jc w:val="center"/>
              <w:rPr>
                <w:sz w:val="28"/>
                <w:szCs w:val="28"/>
              </w:rPr>
            </w:pPr>
            <w:r w:rsidRPr="00D473EA">
              <w:rPr>
                <w:b/>
                <w:bCs/>
                <w:sz w:val="28"/>
                <w:szCs w:val="28"/>
              </w:rPr>
              <w:t>I. Tiesību akta projekta izstrādes nepieciešamība</w:t>
            </w:r>
          </w:p>
        </w:tc>
      </w:tr>
      <w:tr w:rsidR="00533FC4" w:rsidRPr="00D473E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1.</w:t>
            </w:r>
          </w:p>
        </w:tc>
        <w:tc>
          <w:tcPr>
            <w:tcW w:w="100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Pamatojums</w:t>
            </w:r>
          </w:p>
        </w:tc>
        <w:tc>
          <w:tcPr>
            <w:tcW w:w="3750" w:type="pct"/>
            <w:tcBorders>
              <w:top w:val="outset" w:sz="6" w:space="0" w:color="auto"/>
              <w:left w:val="outset" w:sz="6" w:space="0" w:color="auto"/>
              <w:bottom w:val="outset" w:sz="6" w:space="0" w:color="auto"/>
              <w:right w:val="outset" w:sz="6" w:space="0" w:color="auto"/>
            </w:tcBorders>
          </w:tcPr>
          <w:p w:rsidR="00533FC4" w:rsidRPr="00D473EA" w:rsidRDefault="00716051" w:rsidP="006B7372">
            <w:pPr>
              <w:pStyle w:val="tvhtmlmktable"/>
              <w:jc w:val="both"/>
              <w:rPr>
                <w:sz w:val="28"/>
                <w:szCs w:val="28"/>
              </w:rPr>
            </w:pPr>
            <w:r w:rsidRPr="00D473EA">
              <w:rPr>
                <w:sz w:val="28"/>
                <w:szCs w:val="28"/>
              </w:rPr>
              <w:t>N</w:t>
            </w:r>
            <w:r w:rsidR="00815DA3" w:rsidRPr="00D473EA">
              <w:rPr>
                <w:sz w:val="28"/>
                <w:szCs w:val="28"/>
              </w:rPr>
              <w:t>oteikumu projekt</w:t>
            </w:r>
            <w:r w:rsidRPr="00D473EA">
              <w:rPr>
                <w:sz w:val="28"/>
                <w:szCs w:val="28"/>
              </w:rPr>
              <w:t>s „</w:t>
            </w:r>
            <w:r w:rsidR="00B773A2" w:rsidRPr="00D473EA">
              <w:rPr>
                <w:bCs/>
                <w:sz w:val="28"/>
                <w:szCs w:val="28"/>
              </w:rPr>
              <w:t>Grozījum</w:t>
            </w:r>
            <w:r w:rsidR="00B773A2">
              <w:rPr>
                <w:bCs/>
                <w:sz w:val="28"/>
                <w:szCs w:val="28"/>
              </w:rPr>
              <w:t>s</w:t>
            </w:r>
            <w:r w:rsidR="00B773A2" w:rsidRPr="00D473EA">
              <w:rPr>
                <w:bCs/>
                <w:sz w:val="28"/>
                <w:szCs w:val="28"/>
              </w:rPr>
              <w:t xml:space="preserve"> </w:t>
            </w:r>
            <w:r w:rsidRPr="00D473EA">
              <w:rPr>
                <w:bCs/>
                <w:sz w:val="28"/>
                <w:szCs w:val="28"/>
              </w:rPr>
              <w:t>Ministru kabineta 2004.gada 6.janvāra noteikumos Nr.21 „Valsts noslēpuma, Ziemeļatlantijas līguma organizācijas, Eiropas Savienības un ārvalstu institūciju klasificētās informācijas aizsardzības noteikumi””</w:t>
            </w:r>
            <w:r w:rsidR="00FE3DC8" w:rsidRPr="00D473EA">
              <w:rPr>
                <w:bCs/>
                <w:sz w:val="28"/>
                <w:szCs w:val="28"/>
              </w:rPr>
              <w:t xml:space="preserve"> (turpmāk – projekts)</w:t>
            </w:r>
            <w:r w:rsidR="00FD6BC8">
              <w:rPr>
                <w:bCs/>
                <w:sz w:val="28"/>
                <w:szCs w:val="28"/>
              </w:rPr>
              <w:t xml:space="preserve"> nepieciešams</w:t>
            </w:r>
            <w:r w:rsidRPr="00D473EA">
              <w:rPr>
                <w:bCs/>
                <w:sz w:val="28"/>
                <w:szCs w:val="28"/>
              </w:rPr>
              <w:t xml:space="preserve">, lai </w:t>
            </w:r>
            <w:r w:rsidR="007A699A">
              <w:rPr>
                <w:bCs/>
                <w:sz w:val="28"/>
                <w:szCs w:val="28"/>
              </w:rPr>
              <w:t>noteiktu</w:t>
            </w:r>
            <w:r w:rsidR="00FD6BC8">
              <w:rPr>
                <w:bCs/>
                <w:sz w:val="28"/>
                <w:szCs w:val="28"/>
              </w:rPr>
              <w:t xml:space="preserve"> nosacījumus</w:t>
            </w:r>
            <w:r w:rsidR="00D473EA" w:rsidRPr="00D473EA">
              <w:rPr>
                <w:bCs/>
                <w:sz w:val="28"/>
                <w:szCs w:val="28"/>
              </w:rPr>
              <w:t xml:space="preserve"> </w:t>
            </w:r>
            <w:r w:rsidR="00D473EA">
              <w:rPr>
                <w:sz w:val="28"/>
                <w:szCs w:val="28"/>
              </w:rPr>
              <w:t>aizsardzības prasīb</w:t>
            </w:r>
            <w:r w:rsidR="00FD6BC8">
              <w:rPr>
                <w:sz w:val="28"/>
                <w:szCs w:val="28"/>
              </w:rPr>
              <w:t>u</w:t>
            </w:r>
            <w:r w:rsidR="00D473EA">
              <w:rPr>
                <w:sz w:val="28"/>
                <w:szCs w:val="28"/>
              </w:rPr>
              <w:t xml:space="preserve"> </w:t>
            </w:r>
            <w:r w:rsidR="00FD6BC8">
              <w:rPr>
                <w:sz w:val="28"/>
                <w:szCs w:val="28"/>
              </w:rPr>
              <w:t>noteikšan</w:t>
            </w:r>
            <w:r w:rsidR="00AC75A9">
              <w:rPr>
                <w:sz w:val="28"/>
                <w:szCs w:val="28"/>
              </w:rPr>
              <w:t>ai</w:t>
            </w:r>
            <w:r w:rsidR="00FD6BC8">
              <w:rPr>
                <w:sz w:val="28"/>
                <w:szCs w:val="28"/>
              </w:rPr>
              <w:t xml:space="preserve"> </w:t>
            </w:r>
            <w:r w:rsidR="00AB1EAD">
              <w:rPr>
                <w:sz w:val="28"/>
                <w:szCs w:val="28"/>
              </w:rPr>
              <w:t>atsevišķos, specifiskos gadījumos, kad</w:t>
            </w:r>
            <w:r w:rsidR="00D473EA" w:rsidRPr="00537A20">
              <w:rPr>
                <w:iCs/>
                <w:sz w:val="28"/>
                <w:szCs w:val="28"/>
              </w:rPr>
              <w:t xml:space="preserve"> valsts noslēpuma objekt</w:t>
            </w:r>
            <w:r w:rsidR="00AB1EAD">
              <w:rPr>
                <w:iCs/>
                <w:sz w:val="28"/>
                <w:szCs w:val="28"/>
              </w:rPr>
              <w:t>a</w:t>
            </w:r>
            <w:r w:rsidR="00D473EA">
              <w:rPr>
                <w:iCs/>
                <w:sz w:val="28"/>
                <w:szCs w:val="28"/>
              </w:rPr>
              <w:t xml:space="preserve">, </w:t>
            </w:r>
            <w:r w:rsidR="006B7372" w:rsidRPr="00D473EA">
              <w:rPr>
                <w:sz w:val="28"/>
                <w:szCs w:val="28"/>
              </w:rPr>
              <w:t xml:space="preserve">Ziemeļatlantijas līguma organizācijas (turpmāk </w:t>
            </w:r>
            <w:r w:rsidR="006B7372">
              <w:rPr>
                <w:sz w:val="28"/>
                <w:szCs w:val="28"/>
              </w:rPr>
              <w:t>–</w:t>
            </w:r>
            <w:r w:rsidR="006B7372" w:rsidRPr="00D473EA">
              <w:rPr>
                <w:sz w:val="28"/>
                <w:szCs w:val="28"/>
              </w:rPr>
              <w:t xml:space="preserve"> </w:t>
            </w:r>
            <w:r w:rsidR="00D473EA" w:rsidRPr="009E36CD">
              <w:rPr>
                <w:noProof/>
                <w:color w:val="000000"/>
                <w:sz w:val="28"/>
                <w:szCs w:val="28"/>
              </w:rPr>
              <w:t>NATO</w:t>
            </w:r>
            <w:r w:rsidR="008E37D2">
              <w:rPr>
                <w:noProof/>
                <w:color w:val="000000"/>
                <w:sz w:val="28"/>
                <w:szCs w:val="28"/>
              </w:rPr>
              <w:t>)</w:t>
            </w:r>
            <w:r w:rsidR="00D473EA" w:rsidRPr="009E36CD">
              <w:rPr>
                <w:noProof/>
                <w:color w:val="000000"/>
                <w:sz w:val="28"/>
                <w:szCs w:val="28"/>
              </w:rPr>
              <w:t xml:space="preserve"> </w:t>
            </w:r>
            <w:r w:rsidR="00D473EA" w:rsidRPr="00D473EA">
              <w:rPr>
                <w:noProof/>
                <w:color w:val="000000"/>
                <w:sz w:val="28"/>
                <w:szCs w:val="28"/>
              </w:rPr>
              <w:t>vai Eiropas Savienības klasificēt</w:t>
            </w:r>
            <w:r w:rsidR="00AB1EAD">
              <w:rPr>
                <w:noProof/>
                <w:color w:val="000000"/>
                <w:sz w:val="28"/>
                <w:szCs w:val="28"/>
              </w:rPr>
              <w:t>ā</w:t>
            </w:r>
            <w:r w:rsidR="00D5136E">
              <w:rPr>
                <w:noProof/>
                <w:color w:val="000000"/>
                <w:sz w:val="28"/>
                <w:szCs w:val="28"/>
              </w:rPr>
              <w:t>s</w:t>
            </w:r>
            <w:r w:rsidR="00D473EA" w:rsidRPr="00D473EA">
              <w:rPr>
                <w:noProof/>
                <w:color w:val="000000"/>
                <w:sz w:val="28"/>
                <w:szCs w:val="28"/>
              </w:rPr>
              <w:t xml:space="preserve"> informācija</w:t>
            </w:r>
            <w:r w:rsidR="00AB1EAD">
              <w:rPr>
                <w:noProof/>
                <w:color w:val="000000"/>
                <w:sz w:val="28"/>
                <w:szCs w:val="28"/>
              </w:rPr>
              <w:t>s</w:t>
            </w:r>
            <w:r w:rsidR="00FD6BC8">
              <w:rPr>
                <w:noProof/>
                <w:color w:val="000000"/>
                <w:sz w:val="28"/>
                <w:szCs w:val="28"/>
              </w:rPr>
              <w:t xml:space="preserve"> </w:t>
            </w:r>
            <w:r w:rsidR="00D473EA" w:rsidRPr="00D473EA">
              <w:rPr>
                <w:noProof/>
                <w:color w:val="000000"/>
                <w:sz w:val="28"/>
                <w:szCs w:val="28"/>
              </w:rPr>
              <w:t xml:space="preserve">atrašanās vieta, izmērs, </w:t>
            </w:r>
            <w:r w:rsidR="006B7372">
              <w:rPr>
                <w:noProof/>
                <w:color w:val="000000"/>
                <w:sz w:val="28"/>
                <w:szCs w:val="28"/>
              </w:rPr>
              <w:t>izman</w:t>
            </w:r>
            <w:r w:rsidR="00D473EA" w:rsidRPr="00D473EA">
              <w:rPr>
                <w:noProof/>
                <w:color w:val="000000"/>
                <w:sz w:val="28"/>
                <w:szCs w:val="28"/>
              </w:rPr>
              <w:t xml:space="preserve">tojuma </w:t>
            </w:r>
            <w:r w:rsidR="00D5136E">
              <w:rPr>
                <w:noProof/>
                <w:color w:val="000000"/>
                <w:sz w:val="28"/>
                <w:szCs w:val="28"/>
              </w:rPr>
              <w:t>veids</w:t>
            </w:r>
            <w:r w:rsidR="00F90BCF" w:rsidRPr="00D473EA">
              <w:rPr>
                <w:noProof/>
                <w:color w:val="000000"/>
                <w:sz w:val="28"/>
                <w:szCs w:val="28"/>
              </w:rPr>
              <w:t xml:space="preserve"> </w:t>
            </w:r>
            <w:r w:rsidR="00D473EA" w:rsidRPr="00D473EA">
              <w:rPr>
                <w:noProof/>
                <w:color w:val="000000"/>
                <w:sz w:val="28"/>
                <w:szCs w:val="28"/>
              </w:rPr>
              <w:t xml:space="preserve">vai citi apstākļi neļauj izpildīt </w:t>
            </w:r>
            <w:r w:rsidR="00FD6BC8" w:rsidRPr="00D473EA">
              <w:rPr>
                <w:bCs/>
                <w:sz w:val="28"/>
                <w:szCs w:val="28"/>
              </w:rPr>
              <w:t>Ministru kabineta 2004.gada 6.janvāra noteikumos Nr.21 „Valsts noslēpuma, Ziemeļatlantijas līguma organizācijas, Eiropas Savienības un ārvalstu institūciju klasificētās informācijas aizsardzības noteikumi””</w:t>
            </w:r>
            <w:r w:rsidR="00FD6BC8">
              <w:rPr>
                <w:bCs/>
                <w:sz w:val="28"/>
                <w:szCs w:val="28"/>
              </w:rPr>
              <w:t xml:space="preserve"> (turpmāk – </w:t>
            </w:r>
            <w:r w:rsidR="00D473EA" w:rsidRPr="00D473EA">
              <w:rPr>
                <w:noProof/>
                <w:color w:val="000000"/>
                <w:sz w:val="28"/>
                <w:szCs w:val="28"/>
              </w:rPr>
              <w:t>noteikum</w:t>
            </w:r>
            <w:r w:rsidR="00FD6BC8">
              <w:rPr>
                <w:noProof/>
                <w:color w:val="000000"/>
                <w:sz w:val="28"/>
                <w:szCs w:val="28"/>
              </w:rPr>
              <w:t>i Nr.21)</w:t>
            </w:r>
            <w:r w:rsidR="00D473EA" w:rsidRPr="00D473EA">
              <w:rPr>
                <w:noProof/>
                <w:color w:val="000000"/>
                <w:sz w:val="28"/>
                <w:szCs w:val="28"/>
              </w:rPr>
              <w:t xml:space="preserve"> noteiktās prasības</w:t>
            </w:r>
            <w:r w:rsidR="00FD6BC8">
              <w:rPr>
                <w:noProof/>
                <w:color w:val="000000"/>
                <w:sz w:val="28"/>
                <w:szCs w:val="28"/>
              </w:rPr>
              <w:t>.</w:t>
            </w:r>
          </w:p>
        </w:tc>
      </w:tr>
      <w:tr w:rsidR="00533FC4" w:rsidRPr="00D473E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2.</w:t>
            </w:r>
          </w:p>
        </w:tc>
        <w:tc>
          <w:tcPr>
            <w:tcW w:w="100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Pašreizējā situācija un problēmas</w:t>
            </w:r>
          </w:p>
        </w:tc>
        <w:tc>
          <w:tcPr>
            <w:tcW w:w="3750" w:type="pct"/>
            <w:tcBorders>
              <w:top w:val="outset" w:sz="6" w:space="0" w:color="auto"/>
              <w:left w:val="outset" w:sz="6" w:space="0" w:color="auto"/>
              <w:bottom w:val="outset" w:sz="6" w:space="0" w:color="auto"/>
              <w:right w:val="outset" w:sz="6" w:space="0" w:color="auto"/>
            </w:tcBorders>
          </w:tcPr>
          <w:p w:rsidR="004B4637" w:rsidRDefault="00FE3DC8" w:rsidP="00A04024">
            <w:pPr>
              <w:jc w:val="both"/>
              <w:rPr>
                <w:rFonts w:ascii="Verdana" w:hAnsi="Verdana"/>
                <w:sz w:val="18"/>
                <w:szCs w:val="18"/>
              </w:rPr>
            </w:pPr>
            <w:r w:rsidRPr="00D473EA">
              <w:rPr>
                <w:sz w:val="28"/>
                <w:szCs w:val="28"/>
              </w:rPr>
              <w:t>Likuma „Par valsts noslēpumu”</w:t>
            </w:r>
            <w:r w:rsidR="00356E0F">
              <w:rPr>
                <w:sz w:val="28"/>
                <w:szCs w:val="28"/>
              </w:rPr>
              <w:t xml:space="preserve"> (turpmāk – likums)</w:t>
            </w:r>
            <w:r w:rsidR="004B4637">
              <w:rPr>
                <w:sz w:val="28"/>
                <w:szCs w:val="28"/>
              </w:rPr>
              <w:t xml:space="preserve"> </w:t>
            </w:r>
            <w:r w:rsidRPr="00D473EA">
              <w:rPr>
                <w:sz w:val="28"/>
                <w:szCs w:val="28"/>
              </w:rPr>
              <w:t xml:space="preserve">2.panta </w:t>
            </w:r>
            <w:r w:rsidR="004B4637">
              <w:rPr>
                <w:sz w:val="28"/>
                <w:szCs w:val="28"/>
              </w:rPr>
              <w:t xml:space="preserve">pirmā daļa nosaka, ka </w:t>
            </w:r>
            <w:r w:rsidR="004B4637" w:rsidRPr="00D473EA">
              <w:rPr>
                <w:sz w:val="28"/>
                <w:szCs w:val="28"/>
              </w:rPr>
              <w:t>valsts noslēpums ir tāda militāra, politiska, ekonomiska, zinātniska, tehniska vai cita rakstura informācija, kura iekļauta Ministru kabineta apstiprinātā sarakstā un kuras nozaudēšana vai nelikumīga izpaušana var nodarīt kaitējumu valsts drošībai, ekonomiskajām vai politiskajām interesēm</w:t>
            </w:r>
            <w:r w:rsidR="004B4637">
              <w:rPr>
                <w:rFonts w:ascii="Verdana" w:hAnsi="Verdana"/>
                <w:sz w:val="18"/>
                <w:szCs w:val="18"/>
              </w:rPr>
              <w:t xml:space="preserve">. </w:t>
            </w:r>
          </w:p>
          <w:p w:rsidR="004B4637" w:rsidRDefault="004B4637" w:rsidP="00A04024">
            <w:pPr>
              <w:jc w:val="both"/>
              <w:rPr>
                <w:sz w:val="28"/>
                <w:szCs w:val="28"/>
              </w:rPr>
            </w:pPr>
          </w:p>
          <w:p w:rsidR="00FD6BC8" w:rsidRDefault="004B4637" w:rsidP="00A04024">
            <w:pPr>
              <w:jc w:val="both"/>
              <w:rPr>
                <w:sz w:val="28"/>
                <w:szCs w:val="28"/>
              </w:rPr>
            </w:pPr>
            <w:r w:rsidRPr="00D473EA">
              <w:rPr>
                <w:sz w:val="28"/>
                <w:szCs w:val="28"/>
              </w:rPr>
              <w:t>Savukārt</w:t>
            </w:r>
            <w:r w:rsidR="007A699A">
              <w:rPr>
                <w:sz w:val="28"/>
                <w:szCs w:val="28"/>
              </w:rPr>
              <w:t xml:space="preserve"> likuma</w:t>
            </w:r>
            <w:r>
              <w:rPr>
                <w:sz w:val="28"/>
                <w:szCs w:val="28"/>
              </w:rPr>
              <w:t xml:space="preserve"> </w:t>
            </w:r>
            <w:r w:rsidRPr="00D473EA">
              <w:rPr>
                <w:sz w:val="28"/>
                <w:szCs w:val="28"/>
              </w:rPr>
              <w:t>2.panta</w:t>
            </w:r>
            <w:r w:rsidRPr="002E34CF">
              <w:rPr>
                <w:sz w:val="28"/>
                <w:szCs w:val="28"/>
              </w:rPr>
              <w:t xml:space="preserve"> </w:t>
            </w:r>
            <w:r w:rsidR="00FE3DC8" w:rsidRPr="00D473EA">
              <w:rPr>
                <w:sz w:val="28"/>
                <w:szCs w:val="28"/>
              </w:rPr>
              <w:t xml:space="preserve">trešā daļa nosaka, ka valsts noslēpuma objekts ir informācija (ziņa, ziņu kopums) jebkurā tehniski iespējamā tās fiksēšanas veidā, kura saskaņā ar šo likumu ir atzīta vai var tikt atzīta par </w:t>
            </w:r>
            <w:r w:rsidR="00FE3DC8" w:rsidRPr="00D473EA">
              <w:rPr>
                <w:sz w:val="28"/>
                <w:szCs w:val="28"/>
              </w:rPr>
              <w:lastRenderedPageBreak/>
              <w:t xml:space="preserve">valsts noslēpumu, kā arī </w:t>
            </w:r>
            <w:r w:rsidR="00FE3DC8" w:rsidRPr="00AB1EAD">
              <w:rPr>
                <w:sz w:val="28"/>
                <w:szCs w:val="28"/>
              </w:rPr>
              <w:t xml:space="preserve">materiāls objekts, priekšmets, </w:t>
            </w:r>
            <w:r w:rsidR="00FE3DC8" w:rsidRPr="00FD6BC8">
              <w:rPr>
                <w:sz w:val="28"/>
                <w:szCs w:val="28"/>
              </w:rPr>
              <w:t>viela vai elektromagnētiskais lauks</w:t>
            </w:r>
            <w:r w:rsidR="00FE3DC8" w:rsidRPr="00D473EA">
              <w:rPr>
                <w:sz w:val="28"/>
                <w:szCs w:val="28"/>
              </w:rPr>
              <w:t>, kas ietver, uzglabā, uzkrāj vai atspoguļo informāciju, kura likumā noteiktajā kārtībā atzīta par valsts noslēpumu.</w:t>
            </w:r>
          </w:p>
          <w:p w:rsidR="00FE3DC8" w:rsidRPr="00D473EA" w:rsidRDefault="00FE3DC8" w:rsidP="00A04024">
            <w:pPr>
              <w:jc w:val="both"/>
              <w:rPr>
                <w:sz w:val="28"/>
                <w:szCs w:val="28"/>
              </w:rPr>
            </w:pPr>
          </w:p>
          <w:p w:rsidR="009252A4" w:rsidRDefault="004B4637" w:rsidP="00A04024">
            <w:pPr>
              <w:jc w:val="both"/>
              <w:rPr>
                <w:sz w:val="28"/>
                <w:szCs w:val="28"/>
              </w:rPr>
            </w:pPr>
            <w:r>
              <w:rPr>
                <w:sz w:val="28"/>
                <w:szCs w:val="28"/>
              </w:rPr>
              <w:t>P</w:t>
            </w:r>
            <w:r w:rsidR="00CF3F35" w:rsidRPr="00D473EA">
              <w:rPr>
                <w:sz w:val="28"/>
                <w:szCs w:val="28"/>
              </w:rPr>
              <w:t xml:space="preserve">amatojoties uz </w:t>
            </w:r>
            <w:r w:rsidR="00B35009" w:rsidRPr="00D473EA">
              <w:rPr>
                <w:sz w:val="28"/>
                <w:szCs w:val="28"/>
              </w:rPr>
              <w:t>likum</w:t>
            </w:r>
            <w:r w:rsidR="00CF3F35" w:rsidRPr="00D473EA">
              <w:rPr>
                <w:sz w:val="28"/>
                <w:szCs w:val="28"/>
              </w:rPr>
              <w:t>a</w:t>
            </w:r>
            <w:r w:rsidR="00B35009" w:rsidRPr="00D473EA">
              <w:rPr>
                <w:sz w:val="28"/>
                <w:szCs w:val="28"/>
              </w:rPr>
              <w:t xml:space="preserve"> </w:t>
            </w:r>
            <w:r w:rsidR="008A56D3" w:rsidRPr="00D473EA">
              <w:rPr>
                <w:iCs/>
                <w:sz w:val="28"/>
                <w:szCs w:val="28"/>
              </w:rPr>
              <w:t>6.panta trešo daļu,</w:t>
            </w:r>
            <w:r w:rsidR="00A04024" w:rsidRPr="00D473EA">
              <w:rPr>
                <w:iCs/>
                <w:sz w:val="28"/>
                <w:szCs w:val="28"/>
              </w:rPr>
              <w:t xml:space="preserve"> 7.panta otro, ceturto un astoto daļu, 11.panta ceturto daļu un 15.panta otro daļu</w:t>
            </w:r>
            <w:r>
              <w:rPr>
                <w:iCs/>
                <w:sz w:val="28"/>
                <w:szCs w:val="28"/>
              </w:rPr>
              <w:t xml:space="preserve">, </w:t>
            </w:r>
            <w:r w:rsidR="00CF3F35" w:rsidRPr="00D473EA">
              <w:rPr>
                <w:sz w:val="28"/>
                <w:szCs w:val="28"/>
              </w:rPr>
              <w:t xml:space="preserve">ir </w:t>
            </w:r>
            <w:r w:rsidR="00FD6BC8">
              <w:rPr>
                <w:sz w:val="28"/>
                <w:szCs w:val="28"/>
              </w:rPr>
              <w:t xml:space="preserve">izdoti </w:t>
            </w:r>
            <w:r w:rsidR="00CF3F35" w:rsidRPr="00D473EA">
              <w:rPr>
                <w:sz w:val="28"/>
                <w:szCs w:val="28"/>
              </w:rPr>
              <w:t xml:space="preserve">noteikumi Nr.21. </w:t>
            </w:r>
            <w:r w:rsidR="00B77BD4">
              <w:rPr>
                <w:sz w:val="28"/>
                <w:szCs w:val="28"/>
              </w:rPr>
              <w:t>N</w:t>
            </w:r>
            <w:r w:rsidR="00487D25" w:rsidRPr="00D473EA">
              <w:rPr>
                <w:sz w:val="28"/>
                <w:szCs w:val="28"/>
              </w:rPr>
              <w:t>oteikum</w:t>
            </w:r>
            <w:r w:rsidR="00B77BD4">
              <w:rPr>
                <w:sz w:val="28"/>
                <w:szCs w:val="28"/>
              </w:rPr>
              <w:t xml:space="preserve">u </w:t>
            </w:r>
            <w:r w:rsidR="00FD6BC8">
              <w:rPr>
                <w:sz w:val="28"/>
                <w:szCs w:val="28"/>
              </w:rPr>
              <w:t xml:space="preserve">Nr. 21 </w:t>
            </w:r>
            <w:r w:rsidR="00B77BD4">
              <w:rPr>
                <w:sz w:val="28"/>
                <w:szCs w:val="28"/>
              </w:rPr>
              <w:t>1.punktā minēts, ka tie nosaka</w:t>
            </w:r>
            <w:r w:rsidRPr="00D473EA">
              <w:rPr>
                <w:sz w:val="28"/>
                <w:szCs w:val="28"/>
              </w:rPr>
              <w:t xml:space="preserve"> vienotu valsts noslēpuma, NATO, Eiropas Savienības un ārvalstu institūciju klasificētās informācijas aizsardzības režīmu valsts un pašvaldību institūcijās un sevišķās lietvedības kārtību, speciālo apzīmējumu un kodu lietošanas kārtību, kā arī slepenības režīma uzraudzības un dienesta izmeklēšanas kārtību.</w:t>
            </w:r>
            <w:r>
              <w:rPr>
                <w:rFonts w:ascii="Verdana" w:hAnsi="Verdana"/>
                <w:sz w:val="18"/>
                <w:szCs w:val="18"/>
              </w:rPr>
              <w:t xml:space="preserve"> </w:t>
            </w:r>
          </w:p>
          <w:p w:rsidR="00247AD7" w:rsidRDefault="00247AD7" w:rsidP="00247AD7">
            <w:pPr>
              <w:jc w:val="both"/>
              <w:rPr>
                <w:sz w:val="28"/>
                <w:szCs w:val="28"/>
              </w:rPr>
            </w:pPr>
          </w:p>
          <w:p w:rsidR="00BD3ED0" w:rsidRDefault="00AB1EAD" w:rsidP="00247AD7">
            <w:pPr>
              <w:jc w:val="both"/>
              <w:rPr>
                <w:sz w:val="28"/>
                <w:szCs w:val="28"/>
              </w:rPr>
            </w:pPr>
            <w:r>
              <w:rPr>
                <w:sz w:val="28"/>
                <w:szCs w:val="28"/>
              </w:rPr>
              <w:t>Aizsardzības ministrija, plānojot</w:t>
            </w:r>
            <w:r w:rsidR="00FD6BC8">
              <w:rPr>
                <w:sz w:val="28"/>
                <w:szCs w:val="28"/>
              </w:rPr>
              <w:t xml:space="preserve"> </w:t>
            </w:r>
            <w:r>
              <w:rPr>
                <w:sz w:val="28"/>
                <w:szCs w:val="28"/>
              </w:rPr>
              <w:t xml:space="preserve">militāro apmācību un </w:t>
            </w:r>
            <w:r w:rsidRPr="00537A20">
              <w:rPr>
                <w:sz w:val="28"/>
                <w:szCs w:val="28"/>
              </w:rPr>
              <w:t>starptautisk</w:t>
            </w:r>
            <w:r>
              <w:rPr>
                <w:sz w:val="28"/>
                <w:szCs w:val="28"/>
              </w:rPr>
              <w:t>o</w:t>
            </w:r>
            <w:r w:rsidRPr="00537A20">
              <w:rPr>
                <w:sz w:val="28"/>
                <w:szCs w:val="28"/>
              </w:rPr>
              <w:t xml:space="preserve"> operācij</w:t>
            </w:r>
            <w:r>
              <w:rPr>
                <w:sz w:val="28"/>
                <w:szCs w:val="28"/>
              </w:rPr>
              <w:t>u materiāl</w:t>
            </w:r>
            <w:r w:rsidR="00BD3ED0">
              <w:rPr>
                <w:sz w:val="28"/>
                <w:szCs w:val="28"/>
              </w:rPr>
              <w:t>tehnisko  un tiesisko nodrošinājumu, secinājusi, ka noteikumu Nr.21 kontekstā līdztekus vispārīgajām valsts noslēpuma aizsardzības prasībām nepieciešams detalizēts regulējums specifisku valsts noslēpuma objektu aizsardzībai tajos atsevišķajos gadījumos, kad valsts noslēpuma objekt</w:t>
            </w:r>
            <w:r w:rsidR="005F5162">
              <w:rPr>
                <w:sz w:val="28"/>
                <w:szCs w:val="28"/>
              </w:rPr>
              <w:t>us</w:t>
            </w:r>
            <w:r w:rsidR="00BD3ED0">
              <w:rPr>
                <w:sz w:val="28"/>
                <w:szCs w:val="28"/>
              </w:rPr>
              <w:t xml:space="preserve">, piemēram, </w:t>
            </w:r>
            <w:r w:rsidR="005F5162">
              <w:rPr>
                <w:sz w:val="28"/>
                <w:szCs w:val="28"/>
              </w:rPr>
              <w:t>to</w:t>
            </w:r>
            <w:r w:rsidR="00BD3ED0">
              <w:rPr>
                <w:sz w:val="28"/>
                <w:szCs w:val="28"/>
              </w:rPr>
              <w:t xml:space="preserve"> izmēru vai to darbības nodrošināšanai nepieciešamās infrastruktūras dēļ</w:t>
            </w:r>
            <w:r w:rsidR="005F5162">
              <w:rPr>
                <w:sz w:val="28"/>
                <w:szCs w:val="28"/>
              </w:rPr>
              <w:t>,</w:t>
            </w:r>
            <w:r w:rsidR="00BD3ED0">
              <w:rPr>
                <w:sz w:val="28"/>
                <w:szCs w:val="28"/>
              </w:rPr>
              <w:t xml:space="preserve"> nevar uzglabāt vai pārvietot vispārējā kārtībā.</w:t>
            </w:r>
          </w:p>
          <w:p w:rsidR="00082ACF" w:rsidRPr="00D473EA" w:rsidRDefault="00B30BC8" w:rsidP="004464B5">
            <w:pPr>
              <w:pStyle w:val="tvhtmlmktable"/>
              <w:jc w:val="both"/>
              <w:rPr>
                <w:sz w:val="28"/>
                <w:szCs w:val="28"/>
              </w:rPr>
            </w:pPr>
            <w:r>
              <w:rPr>
                <w:sz w:val="28"/>
                <w:szCs w:val="28"/>
              </w:rPr>
              <w:t>L</w:t>
            </w:r>
            <w:r w:rsidR="00082ACF" w:rsidRPr="00D473EA">
              <w:rPr>
                <w:sz w:val="28"/>
                <w:szCs w:val="28"/>
              </w:rPr>
              <w:t>ikuma 7</w:t>
            </w:r>
            <w:r w:rsidR="00082ACF" w:rsidRPr="00D473EA">
              <w:rPr>
                <w:iCs/>
                <w:sz w:val="28"/>
                <w:szCs w:val="28"/>
              </w:rPr>
              <w:t>.panta otrā daļa</w:t>
            </w:r>
            <w:r w:rsidR="005447DB">
              <w:rPr>
                <w:iCs/>
                <w:sz w:val="28"/>
                <w:szCs w:val="28"/>
              </w:rPr>
              <w:t xml:space="preserve"> </w:t>
            </w:r>
            <w:r w:rsidR="00BD3ED0">
              <w:rPr>
                <w:iCs/>
                <w:sz w:val="28"/>
                <w:szCs w:val="28"/>
              </w:rPr>
              <w:t>sniedz pilnvarojumu</w:t>
            </w:r>
            <w:r w:rsidR="00D473EA">
              <w:rPr>
                <w:iCs/>
                <w:sz w:val="28"/>
                <w:szCs w:val="28"/>
              </w:rPr>
              <w:t xml:space="preserve"> </w:t>
            </w:r>
            <w:r w:rsidR="00D429F0" w:rsidRPr="00D473EA">
              <w:rPr>
                <w:sz w:val="28"/>
                <w:szCs w:val="28"/>
              </w:rPr>
              <w:t>Ministru kabinet</w:t>
            </w:r>
            <w:r w:rsidR="00D429F0">
              <w:rPr>
                <w:sz w:val="28"/>
                <w:szCs w:val="28"/>
              </w:rPr>
              <w:t>am</w:t>
            </w:r>
            <w:r w:rsidR="00D429F0" w:rsidRPr="00D473EA">
              <w:rPr>
                <w:sz w:val="28"/>
                <w:szCs w:val="28"/>
              </w:rPr>
              <w:t xml:space="preserve"> </w:t>
            </w:r>
            <w:r w:rsidR="00685256" w:rsidRPr="00D473EA">
              <w:rPr>
                <w:sz w:val="28"/>
                <w:szCs w:val="28"/>
              </w:rPr>
              <w:t>valsts noslēpuma aizsardzība</w:t>
            </w:r>
            <w:r w:rsidR="00685256">
              <w:rPr>
                <w:sz w:val="28"/>
                <w:szCs w:val="28"/>
              </w:rPr>
              <w:t>s organizēšanai</w:t>
            </w:r>
            <w:r w:rsidR="00685256" w:rsidRPr="00D473EA">
              <w:rPr>
                <w:sz w:val="28"/>
                <w:szCs w:val="28"/>
              </w:rPr>
              <w:t xml:space="preserve"> izdo</w:t>
            </w:r>
            <w:r w:rsidR="00BD3ED0">
              <w:rPr>
                <w:sz w:val="28"/>
                <w:szCs w:val="28"/>
              </w:rPr>
              <w:t>t</w:t>
            </w:r>
            <w:r w:rsidR="00685256" w:rsidRPr="00D473EA">
              <w:rPr>
                <w:sz w:val="28"/>
                <w:szCs w:val="28"/>
              </w:rPr>
              <w:t xml:space="preserve"> noteikumus par valsts noslēpuma objektu klasificēšanas, deklasificēšanas, saņemšanas, reģistrēšanas, glabāšanas, izsniegšanas, izmantošanas, nosūtīšanas un iznīcināšanas (sevišķās lietvedības) kārtību, šā procesa dokumentāro noformējumu, speciālu apzīmējumu</w:t>
            </w:r>
            <w:r w:rsidR="0053297D">
              <w:rPr>
                <w:sz w:val="28"/>
                <w:szCs w:val="28"/>
              </w:rPr>
              <w:t xml:space="preserve"> un</w:t>
            </w:r>
            <w:r w:rsidR="00685256" w:rsidRPr="00D473EA">
              <w:rPr>
                <w:sz w:val="28"/>
                <w:szCs w:val="28"/>
              </w:rPr>
              <w:t xml:space="preserve"> šifru (kodu) lietošanu</w:t>
            </w:r>
            <w:r w:rsidR="00685256">
              <w:rPr>
                <w:sz w:val="28"/>
                <w:szCs w:val="28"/>
              </w:rPr>
              <w:t>,</w:t>
            </w:r>
            <w:r w:rsidR="00BD3ED0">
              <w:rPr>
                <w:sz w:val="28"/>
                <w:szCs w:val="28"/>
              </w:rPr>
              <w:t xml:space="preserve"> kas ir izpildīts ar noteikumu Nr.21 izdošanu,</w:t>
            </w:r>
            <w:r w:rsidR="00685256">
              <w:rPr>
                <w:sz w:val="28"/>
                <w:szCs w:val="28"/>
              </w:rPr>
              <w:t xml:space="preserve"> </w:t>
            </w:r>
            <w:r w:rsidR="005F5162">
              <w:rPr>
                <w:sz w:val="28"/>
                <w:szCs w:val="28"/>
              </w:rPr>
              <w:t>kā arī</w:t>
            </w:r>
            <w:r w:rsidR="00685256" w:rsidRPr="00685256">
              <w:rPr>
                <w:sz w:val="28"/>
                <w:szCs w:val="28"/>
              </w:rPr>
              <w:t xml:space="preserve"> </w:t>
            </w:r>
            <w:r w:rsidR="00685256" w:rsidRPr="00D473EA">
              <w:rPr>
                <w:sz w:val="28"/>
                <w:szCs w:val="28"/>
              </w:rPr>
              <w:t>vei</w:t>
            </w:r>
            <w:r w:rsidR="00D429F0">
              <w:rPr>
                <w:sz w:val="28"/>
                <w:szCs w:val="28"/>
              </w:rPr>
              <w:t>kt</w:t>
            </w:r>
            <w:r w:rsidR="00685256">
              <w:rPr>
                <w:sz w:val="28"/>
                <w:szCs w:val="28"/>
              </w:rPr>
              <w:t xml:space="preserve"> </w:t>
            </w:r>
            <w:r w:rsidR="00685256" w:rsidRPr="00D473EA">
              <w:rPr>
                <w:sz w:val="28"/>
                <w:szCs w:val="28"/>
              </w:rPr>
              <w:t>citus tehniska un organizatoriska rakstura pasākumus.</w:t>
            </w:r>
            <w:r>
              <w:rPr>
                <w:sz w:val="28"/>
                <w:szCs w:val="28"/>
              </w:rPr>
              <w:t xml:space="preserve"> Līdz ar to </w:t>
            </w:r>
            <w:r w:rsidR="00D429F0">
              <w:rPr>
                <w:sz w:val="28"/>
                <w:szCs w:val="28"/>
              </w:rPr>
              <w:t>noteikumos Nr.21</w:t>
            </w:r>
            <w:r>
              <w:rPr>
                <w:sz w:val="28"/>
                <w:szCs w:val="28"/>
              </w:rPr>
              <w:t xml:space="preserve"> </w:t>
            </w:r>
            <w:r w:rsidR="00D429F0">
              <w:rPr>
                <w:sz w:val="28"/>
                <w:szCs w:val="28"/>
              </w:rPr>
              <w:t xml:space="preserve">var paredzēt </w:t>
            </w:r>
            <w:r>
              <w:rPr>
                <w:sz w:val="28"/>
                <w:szCs w:val="28"/>
              </w:rPr>
              <w:t>pilnvaro</w:t>
            </w:r>
            <w:r w:rsidR="00D429F0">
              <w:rPr>
                <w:sz w:val="28"/>
                <w:szCs w:val="28"/>
              </w:rPr>
              <w:t>jumu</w:t>
            </w:r>
            <w:r>
              <w:rPr>
                <w:sz w:val="28"/>
                <w:szCs w:val="28"/>
              </w:rPr>
              <w:t xml:space="preserve"> </w:t>
            </w:r>
            <w:r w:rsidR="00DD5A10">
              <w:rPr>
                <w:noProof/>
                <w:color w:val="000000"/>
                <w:sz w:val="28"/>
                <w:szCs w:val="28"/>
              </w:rPr>
              <w:t>valsts institūcij</w:t>
            </w:r>
            <w:r w:rsidR="00D429F0">
              <w:rPr>
                <w:noProof/>
                <w:color w:val="000000"/>
                <w:sz w:val="28"/>
                <w:szCs w:val="28"/>
              </w:rPr>
              <w:t>u</w:t>
            </w:r>
            <w:r>
              <w:rPr>
                <w:sz w:val="28"/>
                <w:szCs w:val="28"/>
              </w:rPr>
              <w:t xml:space="preserve"> vadītāj</w:t>
            </w:r>
            <w:r w:rsidR="00D429F0">
              <w:rPr>
                <w:sz w:val="28"/>
                <w:szCs w:val="28"/>
              </w:rPr>
              <w:t>iem</w:t>
            </w:r>
            <w:r>
              <w:rPr>
                <w:sz w:val="28"/>
                <w:szCs w:val="28"/>
              </w:rPr>
              <w:t xml:space="preserve"> izdot iekšējos normatīvos akt</w:t>
            </w:r>
            <w:r w:rsidR="00DD5A10">
              <w:rPr>
                <w:sz w:val="28"/>
                <w:szCs w:val="28"/>
              </w:rPr>
              <w:t>u</w:t>
            </w:r>
            <w:r>
              <w:rPr>
                <w:sz w:val="28"/>
                <w:szCs w:val="28"/>
              </w:rPr>
              <w:t>s,</w:t>
            </w:r>
            <w:r w:rsidR="00D429F0">
              <w:rPr>
                <w:sz w:val="28"/>
                <w:szCs w:val="28"/>
              </w:rPr>
              <w:t xml:space="preserve"> proti,</w:t>
            </w:r>
            <w:r>
              <w:rPr>
                <w:sz w:val="28"/>
                <w:szCs w:val="28"/>
              </w:rPr>
              <w:t xml:space="preserve"> </w:t>
            </w:r>
            <w:r w:rsidR="00D429F0">
              <w:rPr>
                <w:sz w:val="28"/>
                <w:szCs w:val="28"/>
              </w:rPr>
              <w:t>noteikt</w:t>
            </w:r>
            <w:r>
              <w:rPr>
                <w:sz w:val="28"/>
                <w:szCs w:val="28"/>
              </w:rPr>
              <w:t xml:space="preserve"> specifisk</w:t>
            </w:r>
            <w:r w:rsidR="00D429F0">
              <w:rPr>
                <w:sz w:val="28"/>
                <w:szCs w:val="28"/>
              </w:rPr>
              <w:t>u</w:t>
            </w:r>
            <w:r>
              <w:rPr>
                <w:sz w:val="28"/>
                <w:szCs w:val="28"/>
              </w:rPr>
              <w:t xml:space="preserve"> valsts noslēpuma objektu </w:t>
            </w:r>
            <w:r w:rsidR="00D429F0">
              <w:rPr>
                <w:sz w:val="28"/>
                <w:szCs w:val="28"/>
              </w:rPr>
              <w:t>– priekšmetu, vielu u.c. šādu objektu</w:t>
            </w:r>
            <w:r w:rsidR="00BA2BED">
              <w:rPr>
                <w:sz w:val="28"/>
                <w:szCs w:val="28"/>
              </w:rPr>
              <w:t xml:space="preserve"> –</w:t>
            </w:r>
            <w:r w:rsidR="00D429F0">
              <w:rPr>
                <w:sz w:val="28"/>
                <w:szCs w:val="28"/>
              </w:rPr>
              <w:t xml:space="preserve"> aprites kārtību </w:t>
            </w:r>
            <w:r>
              <w:rPr>
                <w:sz w:val="28"/>
                <w:szCs w:val="28"/>
              </w:rPr>
              <w:t>gadījum</w:t>
            </w:r>
            <w:r w:rsidR="00BA2BED">
              <w:rPr>
                <w:sz w:val="28"/>
                <w:szCs w:val="28"/>
              </w:rPr>
              <w:t>os</w:t>
            </w:r>
            <w:r>
              <w:rPr>
                <w:sz w:val="28"/>
                <w:szCs w:val="28"/>
              </w:rPr>
              <w:t xml:space="preserve">, </w:t>
            </w:r>
            <w:r w:rsidRPr="00537A20">
              <w:rPr>
                <w:iCs/>
                <w:sz w:val="28"/>
                <w:szCs w:val="28"/>
              </w:rPr>
              <w:t>ja valsts noslēpuma objekta</w:t>
            </w:r>
            <w:r w:rsidR="00F6563C">
              <w:rPr>
                <w:iCs/>
                <w:sz w:val="28"/>
                <w:szCs w:val="28"/>
              </w:rPr>
              <w:t>,</w:t>
            </w:r>
            <w:r>
              <w:rPr>
                <w:iCs/>
                <w:sz w:val="28"/>
                <w:szCs w:val="28"/>
              </w:rPr>
              <w:t xml:space="preserve"> </w:t>
            </w:r>
            <w:r>
              <w:rPr>
                <w:noProof/>
                <w:color w:val="000000"/>
              </w:rPr>
              <w:t xml:space="preserve">NATO </w:t>
            </w:r>
            <w:r w:rsidRPr="00D473EA">
              <w:rPr>
                <w:noProof/>
                <w:color w:val="000000"/>
                <w:sz w:val="28"/>
                <w:szCs w:val="28"/>
              </w:rPr>
              <w:t xml:space="preserve">vai Eiropas Savienības klasificētās informācijas </w:t>
            </w:r>
            <w:r w:rsidRPr="00D473EA">
              <w:rPr>
                <w:noProof/>
                <w:color w:val="000000"/>
                <w:sz w:val="28"/>
                <w:szCs w:val="28"/>
              </w:rPr>
              <w:lastRenderedPageBreak/>
              <w:t>atraš</w:t>
            </w:r>
            <w:r w:rsidR="00F6563C" w:rsidRPr="00D473EA">
              <w:rPr>
                <w:noProof/>
                <w:color w:val="000000"/>
                <w:sz w:val="28"/>
                <w:szCs w:val="28"/>
              </w:rPr>
              <w:t xml:space="preserve">anās vieta, izmērs, </w:t>
            </w:r>
            <w:r w:rsidR="00BA2BED">
              <w:rPr>
                <w:noProof/>
                <w:color w:val="000000"/>
                <w:sz w:val="28"/>
                <w:szCs w:val="28"/>
              </w:rPr>
              <w:t>izmantojuma veids</w:t>
            </w:r>
            <w:r w:rsidR="00BA2BED" w:rsidRPr="00D473EA">
              <w:rPr>
                <w:noProof/>
                <w:color w:val="000000"/>
                <w:sz w:val="28"/>
                <w:szCs w:val="28"/>
              </w:rPr>
              <w:t xml:space="preserve"> </w:t>
            </w:r>
            <w:r w:rsidRPr="00D473EA">
              <w:rPr>
                <w:noProof/>
                <w:color w:val="000000"/>
                <w:sz w:val="28"/>
                <w:szCs w:val="28"/>
              </w:rPr>
              <w:t>vai citi apstākļi neļauj izpildīt noteikumos noteiktās prasības</w:t>
            </w:r>
            <w:r w:rsidR="009427E0">
              <w:rPr>
                <w:noProof/>
                <w:color w:val="000000"/>
                <w:sz w:val="28"/>
                <w:szCs w:val="28"/>
              </w:rPr>
              <w:t xml:space="preserve"> </w:t>
            </w:r>
            <w:r w:rsidR="00B93C6C" w:rsidRPr="00CD451E">
              <w:rPr>
                <w:noProof/>
                <w:color w:val="000000"/>
                <w:sz w:val="28"/>
                <w:szCs w:val="28"/>
              </w:rPr>
              <w:t xml:space="preserve">un </w:t>
            </w:r>
            <w:r w:rsidR="00995ABF" w:rsidRPr="00CD451E">
              <w:rPr>
                <w:noProof/>
                <w:color w:val="000000"/>
                <w:sz w:val="28"/>
                <w:szCs w:val="28"/>
              </w:rPr>
              <w:t xml:space="preserve">ja </w:t>
            </w:r>
            <w:r w:rsidR="009427E0" w:rsidRPr="00CD451E">
              <w:rPr>
                <w:noProof/>
                <w:color w:val="000000"/>
                <w:sz w:val="28"/>
                <w:szCs w:val="28"/>
              </w:rPr>
              <w:t>procedūras</w:t>
            </w:r>
            <w:r w:rsidR="009F2D94" w:rsidRPr="00CD451E">
              <w:rPr>
                <w:noProof/>
                <w:color w:val="000000"/>
                <w:sz w:val="28"/>
                <w:szCs w:val="28"/>
              </w:rPr>
              <w:t>, kas detalizēti atrunātas noteikumos Nr.21</w:t>
            </w:r>
            <w:r w:rsidR="00B93C6C" w:rsidRPr="00CD451E">
              <w:rPr>
                <w:noProof/>
                <w:color w:val="000000"/>
                <w:sz w:val="28"/>
                <w:szCs w:val="28"/>
              </w:rPr>
              <w:t xml:space="preserve">, </w:t>
            </w:r>
            <w:r w:rsidR="009F2D94" w:rsidRPr="00CD451E">
              <w:rPr>
                <w:noProof/>
                <w:color w:val="000000"/>
                <w:sz w:val="28"/>
                <w:szCs w:val="28"/>
              </w:rPr>
              <w:t xml:space="preserve"> </w:t>
            </w:r>
            <w:r w:rsidR="009403DD" w:rsidRPr="00CD451E">
              <w:rPr>
                <w:noProof/>
                <w:color w:val="000000"/>
                <w:sz w:val="28"/>
                <w:szCs w:val="28"/>
              </w:rPr>
              <w:t xml:space="preserve">pilnībā </w:t>
            </w:r>
            <w:r w:rsidR="009427E0" w:rsidRPr="00CD451E">
              <w:rPr>
                <w:noProof/>
                <w:color w:val="000000"/>
                <w:sz w:val="28"/>
                <w:szCs w:val="28"/>
              </w:rPr>
              <w:t>nevar attiecināt uz materiāltehnisko nodrošinājumu</w:t>
            </w:r>
            <w:r w:rsidR="004462A4" w:rsidRPr="00CD451E">
              <w:rPr>
                <w:noProof/>
                <w:color w:val="000000"/>
                <w:sz w:val="28"/>
                <w:szCs w:val="28"/>
              </w:rPr>
              <w:t>. Tādējādi institūcijas vadītājam kā valsts noslēpuma, NATO un E</w:t>
            </w:r>
            <w:r w:rsidR="00C97235" w:rsidRPr="00CD451E">
              <w:rPr>
                <w:noProof/>
                <w:color w:val="000000"/>
                <w:sz w:val="28"/>
                <w:szCs w:val="28"/>
              </w:rPr>
              <w:t>iropas Savienības</w:t>
            </w:r>
            <w:r w:rsidR="004462A4" w:rsidRPr="00CD451E">
              <w:rPr>
                <w:noProof/>
                <w:color w:val="000000"/>
                <w:sz w:val="28"/>
                <w:szCs w:val="28"/>
              </w:rPr>
              <w:t xml:space="preserve"> klasificētās informācijas aizsardzības pasākumu nodrošinātājam</w:t>
            </w:r>
            <w:r w:rsidR="009F2D94" w:rsidRPr="00CD451E">
              <w:rPr>
                <w:noProof/>
                <w:color w:val="000000"/>
                <w:sz w:val="28"/>
                <w:szCs w:val="28"/>
              </w:rPr>
              <w:t xml:space="preserve"> </w:t>
            </w:r>
            <w:r w:rsidR="00655213" w:rsidRPr="00CD451E">
              <w:rPr>
                <w:noProof/>
                <w:color w:val="000000"/>
                <w:sz w:val="28"/>
                <w:szCs w:val="28"/>
              </w:rPr>
              <w:t>ir iespējas objektīvu iemeslu dēļ</w:t>
            </w:r>
            <w:r w:rsidR="00C97235" w:rsidRPr="00CD451E">
              <w:rPr>
                <w:noProof/>
                <w:color w:val="000000"/>
                <w:sz w:val="28"/>
                <w:szCs w:val="28"/>
              </w:rPr>
              <w:t xml:space="preserve"> </w:t>
            </w:r>
            <w:r w:rsidR="00655213" w:rsidRPr="00CD451E">
              <w:rPr>
                <w:noProof/>
                <w:color w:val="000000"/>
                <w:sz w:val="28"/>
                <w:szCs w:val="28"/>
              </w:rPr>
              <w:t xml:space="preserve">ar iekšējo normatīvo aktu piemērot </w:t>
            </w:r>
            <w:r w:rsidR="004462A4" w:rsidRPr="00CD451E">
              <w:rPr>
                <w:noProof/>
                <w:color w:val="000000"/>
                <w:sz w:val="28"/>
                <w:szCs w:val="28"/>
              </w:rPr>
              <w:t xml:space="preserve">regulējumu, kas </w:t>
            </w:r>
            <w:r w:rsidR="00655213" w:rsidRPr="00CD451E">
              <w:rPr>
                <w:noProof/>
                <w:color w:val="000000"/>
                <w:sz w:val="28"/>
                <w:szCs w:val="28"/>
              </w:rPr>
              <w:t xml:space="preserve">pieļauj, kā arī  nosaka  un </w:t>
            </w:r>
            <w:r w:rsidR="004462A4" w:rsidRPr="00CD451E">
              <w:rPr>
                <w:noProof/>
                <w:color w:val="000000"/>
                <w:sz w:val="28"/>
                <w:szCs w:val="28"/>
              </w:rPr>
              <w:t>kompensē atkāpes no ārējos normatīvajos aktos noteiktā</w:t>
            </w:r>
            <w:r w:rsidR="004462A4">
              <w:rPr>
                <w:noProof/>
                <w:color w:val="000000"/>
                <w:sz w:val="28"/>
                <w:szCs w:val="28"/>
              </w:rPr>
              <w:t xml:space="preserve">. </w:t>
            </w:r>
          </w:p>
        </w:tc>
      </w:tr>
      <w:tr w:rsidR="00533FC4" w:rsidRPr="00D473E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lastRenderedPageBreak/>
              <w:t>3.</w:t>
            </w:r>
          </w:p>
        </w:tc>
        <w:tc>
          <w:tcPr>
            <w:tcW w:w="100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Saistītie politikas ietekmes novērtējumi un pētījumi</w:t>
            </w:r>
          </w:p>
        </w:tc>
        <w:tc>
          <w:tcPr>
            <w:tcW w:w="375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Nav attiecināms</w:t>
            </w:r>
            <w:r w:rsidR="00744834" w:rsidRPr="00D473EA">
              <w:rPr>
                <w:sz w:val="28"/>
                <w:szCs w:val="28"/>
              </w:rPr>
              <w:t>.</w:t>
            </w:r>
          </w:p>
        </w:tc>
      </w:tr>
      <w:tr w:rsidR="00533FC4" w:rsidRPr="00D473E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4.</w:t>
            </w:r>
          </w:p>
        </w:tc>
        <w:tc>
          <w:tcPr>
            <w:tcW w:w="1000" w:type="pct"/>
            <w:tcBorders>
              <w:top w:val="outset" w:sz="6" w:space="0" w:color="auto"/>
              <w:left w:val="outset" w:sz="6" w:space="0" w:color="auto"/>
              <w:bottom w:val="outset" w:sz="6" w:space="0" w:color="auto"/>
              <w:right w:val="outset" w:sz="6" w:space="0" w:color="auto"/>
            </w:tcBorders>
          </w:tcPr>
          <w:p w:rsidR="00533FC4" w:rsidRPr="00D473EA" w:rsidRDefault="00533FC4" w:rsidP="005447DB">
            <w:pPr>
              <w:pStyle w:val="tvhtmlmktable"/>
              <w:spacing w:before="0" w:beforeAutospacing="0" w:after="0" w:afterAutospacing="0"/>
              <w:rPr>
                <w:sz w:val="28"/>
                <w:szCs w:val="28"/>
              </w:rPr>
            </w:pPr>
            <w:r w:rsidRPr="00D473EA">
              <w:rPr>
                <w:sz w:val="28"/>
                <w:szCs w:val="28"/>
              </w:rPr>
              <w:t>Tiesiskā regulējuma mērķis un būtība</w:t>
            </w:r>
          </w:p>
        </w:tc>
        <w:tc>
          <w:tcPr>
            <w:tcW w:w="3750" w:type="pct"/>
            <w:tcBorders>
              <w:top w:val="outset" w:sz="6" w:space="0" w:color="auto"/>
              <w:left w:val="outset" w:sz="6" w:space="0" w:color="auto"/>
              <w:bottom w:val="outset" w:sz="6" w:space="0" w:color="auto"/>
              <w:right w:val="outset" w:sz="6" w:space="0" w:color="auto"/>
            </w:tcBorders>
          </w:tcPr>
          <w:p w:rsidR="005447DB" w:rsidRDefault="00DD5A10" w:rsidP="005447DB">
            <w:pPr>
              <w:pStyle w:val="tvhtmlmktable"/>
              <w:jc w:val="both"/>
              <w:rPr>
                <w:sz w:val="28"/>
                <w:szCs w:val="28"/>
              </w:rPr>
            </w:pPr>
            <w:r>
              <w:rPr>
                <w:sz w:val="28"/>
                <w:szCs w:val="28"/>
              </w:rPr>
              <w:t>Projekta</w:t>
            </w:r>
            <w:r w:rsidR="00D83153" w:rsidRPr="00D473EA">
              <w:rPr>
                <w:sz w:val="28"/>
                <w:szCs w:val="28"/>
              </w:rPr>
              <w:t xml:space="preserve"> mērķis ir</w:t>
            </w:r>
            <w:r w:rsidR="00311A51">
              <w:rPr>
                <w:sz w:val="28"/>
                <w:szCs w:val="28"/>
              </w:rPr>
              <w:t xml:space="preserve"> nodrošināt </w:t>
            </w:r>
            <w:r w:rsidR="00D429F0">
              <w:rPr>
                <w:sz w:val="28"/>
                <w:szCs w:val="28"/>
              </w:rPr>
              <w:t>pilnīgu</w:t>
            </w:r>
            <w:r w:rsidR="00311A51">
              <w:rPr>
                <w:sz w:val="28"/>
                <w:szCs w:val="28"/>
              </w:rPr>
              <w:t xml:space="preserve"> valsts noslēpuma objektu </w:t>
            </w:r>
            <w:r w:rsidR="002453D3">
              <w:rPr>
                <w:sz w:val="28"/>
                <w:szCs w:val="28"/>
              </w:rPr>
              <w:t>saglabāšanu</w:t>
            </w:r>
            <w:r w:rsidR="00655213">
              <w:rPr>
                <w:sz w:val="28"/>
                <w:szCs w:val="28"/>
              </w:rPr>
              <w:t xml:space="preserve"> un aizsardzību, kā arī</w:t>
            </w:r>
            <w:r w:rsidR="002453D3">
              <w:rPr>
                <w:sz w:val="28"/>
                <w:szCs w:val="28"/>
              </w:rPr>
              <w:t xml:space="preserve"> nepieļaut to nelikumīgu izplatīšanu (izmantošanu).</w:t>
            </w:r>
          </w:p>
          <w:p w:rsidR="003C13BC" w:rsidRPr="00995ABF" w:rsidRDefault="00655213" w:rsidP="003C13BC">
            <w:pPr>
              <w:pStyle w:val="tvhtmlmktable"/>
              <w:jc w:val="both"/>
              <w:rPr>
                <w:noProof/>
                <w:color w:val="000000"/>
                <w:sz w:val="28"/>
                <w:szCs w:val="28"/>
                <w:u w:val="single"/>
              </w:rPr>
            </w:pPr>
            <w:r w:rsidRPr="00CD451E">
              <w:rPr>
                <w:sz w:val="28"/>
                <w:szCs w:val="28"/>
              </w:rPr>
              <w:t xml:space="preserve">Ņemot vērā likuma „Par valsts noslēpumu” 7.panta ceturtajā daļā noteikto, ka par slepenības režīma ievērošanas un valsts noslēpuma aizsardzības nodrošināšanu valsts institūcijā ir atbildīgs šīs institūcijas vadītājs (savas kompetences ietvaros), projektā ietvertā </w:t>
            </w:r>
            <w:r w:rsidR="00DD5A10" w:rsidRPr="00CD451E">
              <w:rPr>
                <w:sz w:val="28"/>
                <w:szCs w:val="28"/>
              </w:rPr>
              <w:t>norma specifiskas konfigurācijas</w:t>
            </w:r>
            <w:r w:rsidR="00DD5A10">
              <w:rPr>
                <w:sz w:val="28"/>
                <w:szCs w:val="28"/>
              </w:rPr>
              <w:t xml:space="preserve"> valsts noslēpuma objekta </w:t>
            </w:r>
            <w:r w:rsidR="00DD5A10">
              <w:rPr>
                <w:noProof/>
                <w:color w:val="000000"/>
                <w:sz w:val="28"/>
                <w:szCs w:val="28"/>
              </w:rPr>
              <w:t xml:space="preserve">aizsardzības prasību izstrādi </w:t>
            </w:r>
            <w:r>
              <w:rPr>
                <w:sz w:val="28"/>
                <w:szCs w:val="28"/>
              </w:rPr>
              <w:t xml:space="preserve">uzdod </w:t>
            </w:r>
            <w:r w:rsidR="00DD5A10">
              <w:rPr>
                <w:noProof/>
                <w:color w:val="000000"/>
                <w:sz w:val="28"/>
                <w:szCs w:val="28"/>
              </w:rPr>
              <w:t xml:space="preserve">katras konkrētas valsts institūcijas vadītājam </w:t>
            </w:r>
            <w:r w:rsidR="00DD5A10" w:rsidRPr="00DD5A10">
              <w:rPr>
                <w:noProof/>
                <w:color w:val="000000"/>
                <w:sz w:val="28"/>
                <w:szCs w:val="28"/>
              </w:rPr>
              <w:t>ikvienas valsts institūcijas darbības</w:t>
            </w:r>
            <w:r w:rsidR="00DD5A10" w:rsidRPr="00D473EA">
              <w:rPr>
                <w:noProof/>
                <w:color w:val="000000"/>
                <w:sz w:val="28"/>
                <w:szCs w:val="28"/>
              </w:rPr>
              <w:t xml:space="preserve"> jom</w:t>
            </w:r>
            <w:r w:rsidR="00DD5A10">
              <w:rPr>
                <w:noProof/>
                <w:color w:val="000000"/>
                <w:sz w:val="28"/>
                <w:szCs w:val="28"/>
              </w:rPr>
              <w:t>ā</w:t>
            </w:r>
            <w:r w:rsidR="00034E67">
              <w:rPr>
                <w:noProof/>
                <w:color w:val="000000"/>
                <w:sz w:val="28"/>
                <w:szCs w:val="28"/>
              </w:rPr>
              <w:t>,</w:t>
            </w:r>
            <w:r w:rsidR="00DD5A10">
              <w:rPr>
                <w:i/>
                <w:noProof/>
                <w:color w:val="000000"/>
                <w:sz w:val="28"/>
                <w:szCs w:val="28"/>
              </w:rPr>
              <w:t xml:space="preserve"> </w:t>
            </w:r>
            <w:r w:rsidR="00D429F0" w:rsidRPr="00D473EA">
              <w:rPr>
                <w:i/>
                <w:noProof/>
                <w:color w:val="000000"/>
                <w:sz w:val="28"/>
                <w:szCs w:val="28"/>
              </w:rPr>
              <w:t>a</w:t>
            </w:r>
            <w:r w:rsidR="00034E67">
              <w:rPr>
                <w:i/>
                <w:noProof/>
                <w:color w:val="000000"/>
                <w:sz w:val="28"/>
                <w:szCs w:val="28"/>
              </w:rPr>
              <w:t> </w:t>
            </w:r>
            <w:r w:rsidR="00D429F0" w:rsidRPr="00D473EA">
              <w:rPr>
                <w:i/>
                <w:noProof/>
                <w:color w:val="000000"/>
                <w:sz w:val="28"/>
                <w:szCs w:val="28"/>
              </w:rPr>
              <w:t>priori</w:t>
            </w:r>
            <w:r w:rsidR="00D429F0">
              <w:rPr>
                <w:i/>
                <w:noProof/>
                <w:color w:val="000000"/>
                <w:sz w:val="28"/>
                <w:szCs w:val="28"/>
              </w:rPr>
              <w:t xml:space="preserve"> </w:t>
            </w:r>
            <w:r w:rsidR="00DD5A10">
              <w:rPr>
                <w:noProof/>
                <w:color w:val="000000"/>
                <w:sz w:val="28"/>
                <w:szCs w:val="28"/>
              </w:rPr>
              <w:t xml:space="preserve">paredzot </w:t>
            </w:r>
            <w:r w:rsidR="00DD5A10" w:rsidRPr="00D473EA">
              <w:rPr>
                <w:noProof/>
                <w:color w:val="000000"/>
                <w:sz w:val="28"/>
                <w:szCs w:val="28"/>
              </w:rPr>
              <w:t>iespēju</w:t>
            </w:r>
            <w:r w:rsidR="00DD5A10">
              <w:rPr>
                <w:i/>
                <w:noProof/>
                <w:color w:val="000000"/>
                <w:sz w:val="28"/>
                <w:szCs w:val="28"/>
              </w:rPr>
              <w:t xml:space="preserve"> </w:t>
            </w:r>
            <w:r w:rsidR="00DD5A10">
              <w:rPr>
                <w:noProof/>
                <w:color w:val="000000"/>
                <w:sz w:val="28"/>
                <w:szCs w:val="28"/>
              </w:rPr>
              <w:t>nodrošināties pret iespējami plašu valsts noslēpuma apdraudējuma risku loku.</w:t>
            </w:r>
            <w:r w:rsidR="003C13BC" w:rsidRPr="003C13BC">
              <w:rPr>
                <w:noProof/>
                <w:color w:val="000000"/>
                <w:sz w:val="28"/>
                <w:szCs w:val="28"/>
                <w:u w:val="single"/>
              </w:rPr>
              <w:t xml:space="preserve"> </w:t>
            </w:r>
            <w:r w:rsidR="003C13BC" w:rsidRPr="00CD451E">
              <w:rPr>
                <w:noProof/>
                <w:color w:val="000000"/>
                <w:sz w:val="28"/>
                <w:szCs w:val="28"/>
              </w:rPr>
              <w:t>Regulējumu šiem atsevišķajiem gadījumiem</w:t>
            </w:r>
            <w:r w:rsidR="00D429F0">
              <w:rPr>
                <w:noProof/>
                <w:color w:val="000000"/>
                <w:sz w:val="28"/>
                <w:szCs w:val="28"/>
              </w:rPr>
              <w:t>, kad valsts noslēpuma objekt</w:t>
            </w:r>
            <w:r w:rsidR="007A08FE">
              <w:rPr>
                <w:noProof/>
                <w:color w:val="000000"/>
                <w:sz w:val="28"/>
                <w:szCs w:val="28"/>
              </w:rPr>
              <w:t>a</w:t>
            </w:r>
            <w:r w:rsidR="00D429F0">
              <w:rPr>
                <w:noProof/>
                <w:color w:val="000000"/>
                <w:sz w:val="28"/>
                <w:szCs w:val="28"/>
              </w:rPr>
              <w:t xml:space="preserve"> specifisko pazīmju, apkopes, apkalpes</w:t>
            </w:r>
            <w:r w:rsidR="007A08FE">
              <w:rPr>
                <w:noProof/>
                <w:color w:val="000000"/>
                <w:sz w:val="28"/>
                <w:szCs w:val="28"/>
              </w:rPr>
              <w:t xml:space="preserve"> īpatnību</w:t>
            </w:r>
            <w:r w:rsidR="00D429F0">
              <w:rPr>
                <w:noProof/>
                <w:color w:val="000000"/>
                <w:sz w:val="28"/>
                <w:szCs w:val="28"/>
              </w:rPr>
              <w:t xml:space="preserve"> utt. dēļ noteiku</w:t>
            </w:r>
            <w:r w:rsidR="007A08FE">
              <w:rPr>
                <w:noProof/>
                <w:color w:val="000000"/>
                <w:sz w:val="28"/>
                <w:szCs w:val="28"/>
              </w:rPr>
              <w:t>mu</w:t>
            </w:r>
            <w:r w:rsidR="00034E67">
              <w:rPr>
                <w:noProof/>
                <w:color w:val="000000"/>
                <w:sz w:val="28"/>
                <w:szCs w:val="28"/>
              </w:rPr>
              <w:t xml:space="preserve"> </w:t>
            </w:r>
            <w:r w:rsidR="007A08FE">
              <w:rPr>
                <w:noProof/>
                <w:color w:val="000000"/>
                <w:sz w:val="28"/>
                <w:szCs w:val="28"/>
              </w:rPr>
              <w:t xml:space="preserve">Nr.21 normas varētu būt nepietiekamas, lai nodrošinātu </w:t>
            </w:r>
            <w:r w:rsidR="003C13BC">
              <w:rPr>
                <w:noProof/>
                <w:color w:val="000000"/>
                <w:sz w:val="28"/>
                <w:szCs w:val="28"/>
              </w:rPr>
              <w:t xml:space="preserve">pilnīgu </w:t>
            </w:r>
            <w:r w:rsidR="007A08FE">
              <w:rPr>
                <w:noProof/>
                <w:color w:val="000000"/>
                <w:sz w:val="28"/>
                <w:szCs w:val="28"/>
              </w:rPr>
              <w:t>valsts noslēpuma aizsardzību</w:t>
            </w:r>
            <w:r w:rsidR="003C13BC" w:rsidRPr="00CD451E">
              <w:rPr>
                <w:noProof/>
                <w:color w:val="000000"/>
                <w:sz w:val="28"/>
                <w:szCs w:val="28"/>
              </w:rPr>
              <w:t xml:space="preserve">, tiek uzdots  noteikt konkrēta iekšējā normatīvā akta </w:t>
            </w:r>
            <w:r w:rsidR="00C97235" w:rsidRPr="00CD451E">
              <w:rPr>
                <w:noProof/>
                <w:color w:val="000000"/>
                <w:sz w:val="28"/>
                <w:szCs w:val="28"/>
              </w:rPr>
              <w:t>–</w:t>
            </w:r>
            <w:r w:rsidR="003C13BC" w:rsidRPr="00CD451E">
              <w:rPr>
                <w:noProof/>
                <w:color w:val="000000"/>
                <w:sz w:val="28"/>
                <w:szCs w:val="28"/>
              </w:rPr>
              <w:t xml:space="preserve"> instrukcijas</w:t>
            </w:r>
            <w:r w:rsidR="00C97235" w:rsidRPr="00CD451E">
              <w:rPr>
                <w:noProof/>
                <w:color w:val="000000"/>
                <w:sz w:val="28"/>
                <w:szCs w:val="28"/>
              </w:rPr>
              <w:t xml:space="preserve"> </w:t>
            </w:r>
            <w:r w:rsidR="004464B5">
              <w:rPr>
                <w:noProof/>
                <w:color w:val="000000"/>
                <w:sz w:val="28"/>
                <w:szCs w:val="28"/>
              </w:rPr>
              <w:t>–</w:t>
            </w:r>
            <w:r w:rsidR="00C97235" w:rsidRPr="00CD451E">
              <w:rPr>
                <w:noProof/>
                <w:color w:val="000000"/>
                <w:sz w:val="28"/>
                <w:szCs w:val="28"/>
              </w:rPr>
              <w:t xml:space="preserve"> </w:t>
            </w:r>
            <w:r w:rsidR="003C13BC" w:rsidRPr="00CD451E">
              <w:rPr>
                <w:noProof/>
                <w:color w:val="000000"/>
                <w:sz w:val="28"/>
                <w:szCs w:val="28"/>
              </w:rPr>
              <w:t>formā. Tādā veidā tiks nodrošināts, ka specifiskas konfigurācijas valsts noslēpuma objektu aizsardzības normas būs ārējā normatīvā akta piemērošanas detalizēts skaidrojums, kas pakļauts augstāka normatīvā akta prasībām.</w:t>
            </w:r>
          </w:p>
          <w:p w:rsidR="00311A51" w:rsidRDefault="007A08FE" w:rsidP="005447DB">
            <w:pPr>
              <w:pStyle w:val="tvhtmlmktable"/>
              <w:jc w:val="both"/>
              <w:rPr>
                <w:sz w:val="28"/>
                <w:szCs w:val="28"/>
              </w:rPr>
            </w:pPr>
            <w:r>
              <w:rPr>
                <w:sz w:val="28"/>
                <w:szCs w:val="28"/>
              </w:rPr>
              <w:t xml:space="preserve">Projekts uzliek pienākumu institūcijas vadītājam </w:t>
            </w:r>
            <w:r w:rsidR="003C13BC" w:rsidRPr="00CD451E">
              <w:rPr>
                <w:sz w:val="28"/>
                <w:szCs w:val="28"/>
              </w:rPr>
              <w:t>minēto instrukciju</w:t>
            </w:r>
            <w:r w:rsidR="003C13BC">
              <w:rPr>
                <w:sz w:val="28"/>
                <w:szCs w:val="28"/>
              </w:rPr>
              <w:t xml:space="preserve"> </w:t>
            </w:r>
            <w:r w:rsidR="00DD5A10">
              <w:rPr>
                <w:sz w:val="28"/>
                <w:szCs w:val="28"/>
              </w:rPr>
              <w:t>saskaņo</w:t>
            </w:r>
            <w:r>
              <w:rPr>
                <w:sz w:val="28"/>
                <w:szCs w:val="28"/>
              </w:rPr>
              <w:t>t</w:t>
            </w:r>
            <w:r w:rsidR="00DD5A10">
              <w:rPr>
                <w:sz w:val="28"/>
                <w:szCs w:val="28"/>
              </w:rPr>
              <w:t xml:space="preserve"> ar attiecīgo kompetento valsts drošības iestādi vai Nacionālās drošības iestādi, tā </w:t>
            </w:r>
            <w:r w:rsidR="00B25A20">
              <w:rPr>
                <w:sz w:val="28"/>
                <w:szCs w:val="28"/>
              </w:rPr>
              <w:t>līdz</w:t>
            </w:r>
            <w:r>
              <w:rPr>
                <w:sz w:val="28"/>
                <w:szCs w:val="28"/>
              </w:rPr>
              <w:t>darbojoties likumā noteikto valsts drošības iestāžu uzdevumu (vadīt, koordinēt, kontrolēt un veikt valsts noslēpuma aizsardzības pasākumus)  izpild</w:t>
            </w:r>
            <w:r w:rsidR="00B25A20">
              <w:rPr>
                <w:sz w:val="28"/>
                <w:szCs w:val="28"/>
              </w:rPr>
              <w:t>ē</w:t>
            </w:r>
            <w:r>
              <w:rPr>
                <w:sz w:val="28"/>
                <w:szCs w:val="28"/>
              </w:rPr>
              <w:t xml:space="preserve"> un novēršot </w:t>
            </w:r>
            <w:r w:rsidR="00DD5A10">
              <w:rPr>
                <w:sz w:val="28"/>
                <w:szCs w:val="28"/>
              </w:rPr>
              <w:t>iespēju, ka izstrādātās prasības nenodrošina valsts noslēpuma aizsardzību un varētu pieļaut tā nelikumīgu izplatīšanu</w:t>
            </w:r>
            <w:r w:rsidR="00B25A20">
              <w:rPr>
                <w:sz w:val="28"/>
                <w:szCs w:val="28"/>
              </w:rPr>
              <w:t>.</w:t>
            </w:r>
          </w:p>
          <w:p w:rsidR="00311A51" w:rsidRPr="00D473EA" w:rsidRDefault="00B855F8" w:rsidP="00B25A20">
            <w:pPr>
              <w:jc w:val="both"/>
              <w:rPr>
                <w:sz w:val="28"/>
                <w:szCs w:val="28"/>
              </w:rPr>
            </w:pPr>
            <w:r>
              <w:rPr>
                <w:noProof/>
                <w:color w:val="000000"/>
                <w:sz w:val="28"/>
                <w:szCs w:val="28"/>
              </w:rPr>
              <w:t xml:space="preserve"> </w:t>
            </w:r>
          </w:p>
        </w:tc>
      </w:tr>
      <w:tr w:rsidR="00533FC4" w:rsidRPr="00D473E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5.</w:t>
            </w:r>
          </w:p>
        </w:tc>
        <w:tc>
          <w:tcPr>
            <w:tcW w:w="100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Projekta izstrādē iesaistītās institūcijas</w:t>
            </w:r>
          </w:p>
        </w:tc>
        <w:tc>
          <w:tcPr>
            <w:tcW w:w="3750" w:type="pct"/>
            <w:tcBorders>
              <w:top w:val="outset" w:sz="6" w:space="0" w:color="auto"/>
              <w:left w:val="outset" w:sz="6" w:space="0" w:color="auto"/>
              <w:bottom w:val="outset" w:sz="6" w:space="0" w:color="auto"/>
              <w:right w:val="outset" w:sz="6" w:space="0" w:color="auto"/>
            </w:tcBorders>
          </w:tcPr>
          <w:p w:rsidR="00533FC4" w:rsidRPr="00D473EA" w:rsidRDefault="00533FC4" w:rsidP="00034E67">
            <w:pPr>
              <w:pStyle w:val="tvhtmlmktable"/>
              <w:rPr>
                <w:sz w:val="28"/>
                <w:szCs w:val="28"/>
              </w:rPr>
            </w:pPr>
            <w:r w:rsidRPr="00D473EA">
              <w:rPr>
                <w:sz w:val="28"/>
                <w:szCs w:val="28"/>
              </w:rPr>
              <w:t>Noteikumu projekts izstrādāts Aizsardzības ministrijā</w:t>
            </w:r>
            <w:r w:rsidR="00D11D49">
              <w:rPr>
                <w:sz w:val="28"/>
                <w:szCs w:val="28"/>
              </w:rPr>
              <w:t xml:space="preserve"> sadarbībā ar Militārās izlūkošanas un drošības dienestu.</w:t>
            </w:r>
          </w:p>
        </w:tc>
      </w:tr>
      <w:tr w:rsidR="00533FC4" w:rsidRPr="00D473E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6.</w:t>
            </w:r>
          </w:p>
        </w:tc>
        <w:tc>
          <w:tcPr>
            <w:tcW w:w="100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Iemesli, kādēļ netika nodrošināta sabiedrības līdzdalība</w:t>
            </w:r>
          </w:p>
        </w:tc>
        <w:tc>
          <w:tcPr>
            <w:tcW w:w="3750" w:type="pct"/>
            <w:tcBorders>
              <w:top w:val="outset" w:sz="6" w:space="0" w:color="auto"/>
              <w:left w:val="outset" w:sz="6" w:space="0" w:color="auto"/>
              <w:bottom w:val="outset" w:sz="6" w:space="0" w:color="auto"/>
              <w:right w:val="outset" w:sz="6" w:space="0" w:color="auto"/>
            </w:tcBorders>
          </w:tcPr>
          <w:p w:rsidR="00533FC4" w:rsidRPr="00D473EA" w:rsidRDefault="00AC75A9" w:rsidP="00AC75A9">
            <w:pPr>
              <w:pStyle w:val="tvhtmlmktable"/>
              <w:jc w:val="both"/>
              <w:rPr>
                <w:sz w:val="28"/>
                <w:szCs w:val="28"/>
              </w:rPr>
            </w:pPr>
            <w:r>
              <w:rPr>
                <w:sz w:val="28"/>
                <w:szCs w:val="28"/>
              </w:rPr>
              <w:t xml:space="preserve">Projekts skar valsts institūciju, kas rada, iegūst, uzglabā un izmanto valsts noslēpuma objektus. </w:t>
            </w:r>
            <w:r w:rsidR="00685256">
              <w:rPr>
                <w:sz w:val="28"/>
                <w:szCs w:val="28"/>
              </w:rPr>
              <w:t>Projekta izstrādei nepieciešamas specifiskas zināšanas.</w:t>
            </w:r>
            <w:r>
              <w:rPr>
                <w:sz w:val="28"/>
                <w:szCs w:val="28"/>
              </w:rPr>
              <w:t xml:space="preserve"> </w:t>
            </w:r>
            <w:r w:rsidR="00215F89" w:rsidRPr="00D473EA">
              <w:rPr>
                <w:sz w:val="28"/>
                <w:szCs w:val="28"/>
              </w:rPr>
              <w:t>Citas sabiedrības grupas projekts neietekmē</w:t>
            </w:r>
            <w:r>
              <w:rPr>
                <w:sz w:val="28"/>
                <w:szCs w:val="28"/>
              </w:rPr>
              <w:t>.</w:t>
            </w:r>
          </w:p>
        </w:tc>
      </w:tr>
      <w:tr w:rsidR="00533FC4" w:rsidRPr="00D473E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7.</w:t>
            </w:r>
          </w:p>
        </w:tc>
        <w:tc>
          <w:tcPr>
            <w:tcW w:w="1000" w:type="pct"/>
            <w:tcBorders>
              <w:top w:val="outset" w:sz="6" w:space="0" w:color="auto"/>
              <w:left w:val="outset" w:sz="6" w:space="0" w:color="auto"/>
              <w:bottom w:val="outset" w:sz="6" w:space="0" w:color="auto"/>
              <w:right w:val="outset" w:sz="6" w:space="0" w:color="auto"/>
            </w:tcBorders>
          </w:tcPr>
          <w:p w:rsidR="00533FC4" w:rsidRPr="00D473EA" w:rsidRDefault="00533FC4" w:rsidP="00B35009">
            <w:pPr>
              <w:pStyle w:val="tvhtmlmktable"/>
              <w:rPr>
                <w:sz w:val="28"/>
                <w:szCs w:val="28"/>
              </w:rPr>
            </w:pPr>
            <w:r w:rsidRPr="00D473EA">
              <w:rPr>
                <w:sz w:val="28"/>
                <w:szCs w:val="28"/>
              </w:rPr>
              <w:t>Cita informācija</w:t>
            </w:r>
          </w:p>
        </w:tc>
        <w:tc>
          <w:tcPr>
            <w:tcW w:w="3750" w:type="pct"/>
            <w:tcBorders>
              <w:top w:val="outset" w:sz="6" w:space="0" w:color="auto"/>
              <w:left w:val="outset" w:sz="6" w:space="0" w:color="auto"/>
              <w:bottom w:val="outset" w:sz="6" w:space="0" w:color="auto"/>
              <w:right w:val="outset" w:sz="6" w:space="0" w:color="auto"/>
            </w:tcBorders>
          </w:tcPr>
          <w:p w:rsidR="00533FC4" w:rsidRPr="00D473EA" w:rsidRDefault="00D83153" w:rsidP="00B35009">
            <w:pPr>
              <w:pStyle w:val="tvhtmlmktable"/>
              <w:rPr>
                <w:sz w:val="28"/>
                <w:szCs w:val="28"/>
              </w:rPr>
            </w:pPr>
            <w:r w:rsidRPr="00D473EA">
              <w:rPr>
                <w:sz w:val="28"/>
                <w:szCs w:val="28"/>
              </w:rPr>
              <w:t>Nav</w:t>
            </w:r>
            <w:r w:rsidR="006C635B">
              <w:rPr>
                <w:sz w:val="28"/>
                <w:szCs w:val="28"/>
              </w:rPr>
              <w:t>.</w:t>
            </w:r>
          </w:p>
        </w:tc>
      </w:tr>
    </w:tbl>
    <w:p w:rsidR="00D83153" w:rsidRPr="00D473EA" w:rsidRDefault="00D83153">
      <w:pPr>
        <w:rPr>
          <w:sz w:val="28"/>
          <w:szCs w:val="28"/>
        </w:rPr>
      </w:pPr>
    </w:p>
    <w:p w:rsidR="00D83153" w:rsidRPr="00D473EA" w:rsidRDefault="00215F89">
      <w:pPr>
        <w:rPr>
          <w:sz w:val="28"/>
          <w:szCs w:val="28"/>
        </w:rPr>
      </w:pPr>
      <w:r w:rsidRPr="00D473EA">
        <w:rPr>
          <w:sz w:val="28"/>
          <w:szCs w:val="28"/>
        </w:rPr>
        <w:t>Anotācijas II, III, IV, V un VI sadaļa – nav attiecināms</w:t>
      </w:r>
      <w:r w:rsidR="00034E67">
        <w:rPr>
          <w:sz w:val="28"/>
          <w:szCs w:val="28"/>
        </w:rPr>
        <w:t>.</w:t>
      </w:r>
    </w:p>
    <w:p w:rsidR="00215F89" w:rsidRPr="00D473EA" w:rsidRDefault="00215F89">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5"/>
        <w:gridCol w:w="4305"/>
        <w:gridCol w:w="3806"/>
      </w:tblGrid>
      <w:tr w:rsidR="00215F89" w:rsidRPr="00D473E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jc w:val="center"/>
              <w:rPr>
                <w:sz w:val="28"/>
                <w:szCs w:val="28"/>
              </w:rPr>
            </w:pPr>
            <w:r w:rsidRPr="00D473EA">
              <w:rPr>
                <w:b/>
                <w:bCs/>
                <w:sz w:val="28"/>
                <w:szCs w:val="28"/>
              </w:rPr>
              <w:t>VII. Tiesību akta projekta izpildes nodrošināšana un tās ietekme uz institūcijām</w:t>
            </w:r>
          </w:p>
        </w:tc>
      </w:tr>
      <w:tr w:rsidR="00215F89" w:rsidRPr="00D473E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D11D49" w:rsidP="00E82260">
            <w:pPr>
              <w:pStyle w:val="tvhtmlmktable"/>
              <w:rPr>
                <w:sz w:val="28"/>
                <w:szCs w:val="28"/>
              </w:rPr>
            </w:pPr>
            <w:r>
              <w:rPr>
                <w:sz w:val="28"/>
                <w:szCs w:val="28"/>
              </w:rPr>
              <w:t>Nacionālie bruņotie spēki</w:t>
            </w:r>
          </w:p>
        </w:tc>
      </w:tr>
      <w:tr w:rsidR="00215F89" w:rsidRPr="00D473E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Projekta izpilde notiks esošo pārvaldes funkciju ietvaros</w:t>
            </w:r>
            <w:r w:rsidR="00935FD7" w:rsidRPr="00D473EA">
              <w:rPr>
                <w:sz w:val="28"/>
                <w:szCs w:val="28"/>
              </w:rPr>
              <w:t>.</w:t>
            </w:r>
          </w:p>
        </w:tc>
      </w:tr>
      <w:tr w:rsidR="00215F89" w:rsidRPr="00D473E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Projekta izpildes ietekme uz pārvaldes institucionālo struktūru.</w:t>
            </w:r>
          </w:p>
          <w:p w:rsidR="00215F89" w:rsidRPr="00D473EA" w:rsidRDefault="00215F89" w:rsidP="00E82260">
            <w:pPr>
              <w:pStyle w:val="tvhtmlmktable"/>
              <w:rPr>
                <w:sz w:val="28"/>
                <w:szCs w:val="28"/>
              </w:rPr>
            </w:pPr>
            <w:r w:rsidRPr="00D473EA">
              <w:rPr>
                <w:sz w:val="28"/>
                <w:szCs w:val="28"/>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Projekts šo jomu neskar</w:t>
            </w:r>
            <w:r w:rsidR="00213CDC" w:rsidRPr="00D473EA">
              <w:rPr>
                <w:sz w:val="28"/>
                <w:szCs w:val="28"/>
              </w:rPr>
              <w:t>.</w:t>
            </w:r>
          </w:p>
        </w:tc>
      </w:tr>
      <w:tr w:rsidR="00215F89" w:rsidRPr="00D473E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Projekta izpildes ietekme uz pārvaldes institucionālo struktūru.</w:t>
            </w:r>
          </w:p>
          <w:p w:rsidR="00215F89" w:rsidRPr="00D473EA" w:rsidRDefault="00215F89" w:rsidP="00E82260">
            <w:pPr>
              <w:pStyle w:val="tvhtmlmktable"/>
              <w:rPr>
                <w:sz w:val="28"/>
                <w:szCs w:val="28"/>
              </w:rPr>
            </w:pPr>
            <w:r w:rsidRPr="00D473EA">
              <w:rPr>
                <w:sz w:val="28"/>
                <w:szCs w:val="28"/>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935FD7" w:rsidP="00E82260">
            <w:pPr>
              <w:pStyle w:val="tvhtmlmktable"/>
              <w:rPr>
                <w:sz w:val="28"/>
                <w:szCs w:val="28"/>
              </w:rPr>
            </w:pPr>
            <w:r w:rsidRPr="00D473EA">
              <w:rPr>
                <w:sz w:val="28"/>
                <w:szCs w:val="28"/>
              </w:rPr>
              <w:t>Projekts šo jomu neskar</w:t>
            </w:r>
            <w:r w:rsidR="00213CDC" w:rsidRPr="00D473EA">
              <w:rPr>
                <w:sz w:val="28"/>
                <w:szCs w:val="28"/>
              </w:rPr>
              <w:t>.</w:t>
            </w:r>
          </w:p>
        </w:tc>
      </w:tr>
      <w:tr w:rsidR="00215F89" w:rsidRPr="00D473E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Projekta izpildes ietekme uz pārvaldes institucionālo struktūru.</w:t>
            </w:r>
          </w:p>
          <w:p w:rsidR="00215F89" w:rsidRPr="00D473EA" w:rsidRDefault="00215F89" w:rsidP="00E82260">
            <w:pPr>
              <w:pStyle w:val="tvhtmlmktable"/>
              <w:rPr>
                <w:sz w:val="28"/>
                <w:szCs w:val="28"/>
              </w:rPr>
            </w:pPr>
            <w:r w:rsidRPr="00D473EA">
              <w:rPr>
                <w:sz w:val="28"/>
                <w:szCs w:val="28"/>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935FD7" w:rsidP="00E82260">
            <w:pPr>
              <w:pStyle w:val="tvhtmlmktable"/>
              <w:rPr>
                <w:sz w:val="28"/>
                <w:szCs w:val="28"/>
              </w:rPr>
            </w:pPr>
            <w:r w:rsidRPr="00D473EA">
              <w:rPr>
                <w:sz w:val="28"/>
                <w:szCs w:val="28"/>
              </w:rPr>
              <w:t>Projekts šo jomu neskar</w:t>
            </w:r>
            <w:r w:rsidR="00213CDC" w:rsidRPr="00D473EA">
              <w:rPr>
                <w:sz w:val="28"/>
                <w:szCs w:val="28"/>
              </w:rPr>
              <w:t>.</w:t>
            </w:r>
          </w:p>
        </w:tc>
      </w:tr>
      <w:tr w:rsidR="00215F89" w:rsidRPr="00D473E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215F89" w:rsidP="00E82260">
            <w:pPr>
              <w:pStyle w:val="tvhtmlmktable"/>
              <w:rPr>
                <w:sz w:val="28"/>
                <w:szCs w:val="28"/>
              </w:rPr>
            </w:pPr>
            <w:r w:rsidRPr="00D473EA">
              <w:rPr>
                <w:sz w:val="28"/>
                <w:szCs w:val="28"/>
              </w:rPr>
              <w:t>Cita informācija</w:t>
            </w:r>
          </w:p>
        </w:tc>
        <w:tc>
          <w:tcPr>
            <w:tcW w:w="0" w:type="auto"/>
            <w:tcBorders>
              <w:top w:val="outset" w:sz="6" w:space="0" w:color="auto"/>
              <w:left w:val="outset" w:sz="6" w:space="0" w:color="auto"/>
              <w:bottom w:val="outset" w:sz="6" w:space="0" w:color="auto"/>
              <w:right w:val="outset" w:sz="6" w:space="0" w:color="auto"/>
            </w:tcBorders>
          </w:tcPr>
          <w:p w:rsidR="00215F89" w:rsidRPr="00D473EA" w:rsidRDefault="00935FD7" w:rsidP="00E82260">
            <w:pPr>
              <w:pStyle w:val="tvhtmlmktable"/>
              <w:rPr>
                <w:sz w:val="28"/>
                <w:szCs w:val="28"/>
              </w:rPr>
            </w:pPr>
            <w:r w:rsidRPr="00D473EA">
              <w:rPr>
                <w:sz w:val="28"/>
                <w:szCs w:val="28"/>
              </w:rPr>
              <w:t>Nav.</w:t>
            </w:r>
          </w:p>
        </w:tc>
      </w:tr>
    </w:tbl>
    <w:p w:rsidR="00551387" w:rsidRDefault="00551387" w:rsidP="00551387">
      <w:pPr>
        <w:tabs>
          <w:tab w:val="left" w:pos="7020"/>
        </w:tabs>
        <w:rPr>
          <w:sz w:val="28"/>
          <w:szCs w:val="28"/>
        </w:rPr>
      </w:pPr>
    </w:p>
    <w:p w:rsidR="00CD451E" w:rsidRDefault="00CD451E" w:rsidP="00551387">
      <w:pPr>
        <w:tabs>
          <w:tab w:val="left" w:pos="7020"/>
        </w:tabs>
        <w:rPr>
          <w:sz w:val="28"/>
          <w:szCs w:val="28"/>
        </w:rPr>
      </w:pPr>
    </w:p>
    <w:p w:rsidR="00CD451E" w:rsidRDefault="00CD451E" w:rsidP="00551387">
      <w:pPr>
        <w:tabs>
          <w:tab w:val="left" w:pos="7020"/>
        </w:tabs>
        <w:rPr>
          <w:sz w:val="28"/>
          <w:szCs w:val="28"/>
        </w:rPr>
      </w:pPr>
    </w:p>
    <w:p w:rsidR="00551387" w:rsidRDefault="00551387" w:rsidP="00551387">
      <w:pPr>
        <w:tabs>
          <w:tab w:val="left" w:pos="7020"/>
        </w:tabs>
        <w:rPr>
          <w:sz w:val="28"/>
          <w:szCs w:val="28"/>
        </w:rPr>
      </w:pPr>
      <w:r>
        <w:rPr>
          <w:sz w:val="28"/>
          <w:szCs w:val="28"/>
        </w:rPr>
        <w:t>Aizsardzības ministrs</w:t>
      </w:r>
      <w:r>
        <w:rPr>
          <w:sz w:val="28"/>
          <w:szCs w:val="28"/>
        </w:rPr>
        <w:tab/>
        <w:t>A.Pabriks</w:t>
      </w:r>
    </w:p>
    <w:p w:rsidR="00551387" w:rsidRDefault="00551387" w:rsidP="00551387">
      <w:pPr>
        <w:tabs>
          <w:tab w:val="left" w:pos="7020"/>
        </w:tabs>
        <w:rPr>
          <w:sz w:val="28"/>
          <w:szCs w:val="28"/>
        </w:rPr>
      </w:pPr>
    </w:p>
    <w:p w:rsidR="00F81532" w:rsidRDefault="00F81532" w:rsidP="00551387">
      <w:pPr>
        <w:tabs>
          <w:tab w:val="left" w:pos="7020"/>
        </w:tabs>
        <w:rPr>
          <w:sz w:val="28"/>
          <w:szCs w:val="28"/>
        </w:rPr>
      </w:pPr>
    </w:p>
    <w:p w:rsidR="00CD451E" w:rsidRDefault="00CD451E" w:rsidP="00551387">
      <w:pPr>
        <w:tabs>
          <w:tab w:val="left" w:pos="7020"/>
        </w:tabs>
        <w:rPr>
          <w:sz w:val="28"/>
          <w:szCs w:val="28"/>
        </w:rPr>
      </w:pPr>
    </w:p>
    <w:p w:rsidR="00CD451E" w:rsidRDefault="00CD451E" w:rsidP="00551387">
      <w:pPr>
        <w:tabs>
          <w:tab w:val="left" w:pos="7020"/>
        </w:tabs>
        <w:rPr>
          <w:sz w:val="28"/>
          <w:szCs w:val="28"/>
        </w:rPr>
      </w:pPr>
    </w:p>
    <w:p w:rsidR="00551387" w:rsidRDefault="00551387" w:rsidP="00551387">
      <w:pPr>
        <w:tabs>
          <w:tab w:val="left" w:pos="7020"/>
        </w:tabs>
        <w:rPr>
          <w:sz w:val="28"/>
          <w:szCs w:val="28"/>
        </w:rPr>
      </w:pPr>
      <w:r>
        <w:rPr>
          <w:sz w:val="28"/>
          <w:szCs w:val="28"/>
        </w:rPr>
        <w:t>Vīza: Aizsardzības</w:t>
      </w:r>
      <w:r w:rsidR="00601CF0">
        <w:rPr>
          <w:sz w:val="28"/>
          <w:szCs w:val="28"/>
        </w:rPr>
        <w:t xml:space="preserve"> ministrijas valsts sekretārs</w:t>
      </w:r>
      <w:r w:rsidR="00601CF0">
        <w:rPr>
          <w:sz w:val="28"/>
          <w:szCs w:val="28"/>
        </w:rPr>
        <w:tab/>
        <w:t>J.</w:t>
      </w:r>
      <w:r>
        <w:rPr>
          <w:sz w:val="28"/>
          <w:szCs w:val="28"/>
        </w:rPr>
        <w:t>Sārts</w:t>
      </w:r>
    </w:p>
    <w:p w:rsidR="00E82260" w:rsidRDefault="00E82260">
      <w:pPr>
        <w:rPr>
          <w:sz w:val="28"/>
          <w:szCs w:val="28"/>
        </w:rPr>
      </w:pPr>
    </w:p>
    <w:p w:rsidR="008C18A7" w:rsidRPr="00834C6E" w:rsidRDefault="00995ABF" w:rsidP="008C18A7">
      <w:pPr>
        <w:jc w:val="both"/>
      </w:pPr>
      <w:r>
        <w:t>27</w:t>
      </w:r>
      <w:r w:rsidR="008C18A7" w:rsidRPr="00834C6E">
        <w:t>.0</w:t>
      </w:r>
      <w:r w:rsidR="008C18A7">
        <w:t>3</w:t>
      </w:r>
      <w:r w:rsidR="008C18A7" w:rsidRPr="00834C6E">
        <w:t>.2012.</w:t>
      </w:r>
    </w:p>
    <w:p w:rsidR="008C18A7" w:rsidRPr="00834C6E" w:rsidRDefault="00A51C64" w:rsidP="008C18A7">
      <w:pPr>
        <w:ind w:right="2"/>
        <w:jc w:val="both"/>
      </w:pPr>
      <w:fldSimple w:instr=" NUMWORDS   \* MERGEFORMAT ">
        <w:r w:rsidR="00995ABF">
          <w:rPr>
            <w:noProof/>
          </w:rPr>
          <w:t>88</w:t>
        </w:r>
      </w:fldSimple>
      <w:r w:rsidR="00BB49E0">
        <w:rPr>
          <w:noProof/>
        </w:rPr>
        <w:t>4</w:t>
      </w:r>
    </w:p>
    <w:p w:rsidR="008C18A7" w:rsidRPr="00834C6E" w:rsidRDefault="008C18A7" w:rsidP="008C18A7">
      <w:pPr>
        <w:jc w:val="both"/>
      </w:pPr>
      <w:r w:rsidRPr="00834C6E">
        <w:t>Elvīra Šmukste</w:t>
      </w:r>
    </w:p>
    <w:p w:rsidR="008C18A7" w:rsidRPr="00834C6E" w:rsidRDefault="008C18A7" w:rsidP="008C18A7">
      <w:pPr>
        <w:jc w:val="both"/>
      </w:pPr>
      <w:r w:rsidRPr="00834C6E">
        <w:fldChar w:fldCharType="begin"/>
      </w:r>
      <w:r w:rsidRPr="00834C6E">
        <w:instrText xml:space="preserve"> COMMENTS   \* MERGEFORMAT </w:instrText>
      </w:r>
      <w:r w:rsidRPr="00834C6E">
        <w:fldChar w:fldCharType="separate"/>
      </w:r>
      <w:r w:rsidRPr="00834C6E">
        <w:t>elvira.smukste@mod.gov.lv</w:t>
      </w:r>
    </w:p>
    <w:p w:rsidR="00F81532" w:rsidRPr="00834C6E" w:rsidRDefault="008C18A7" w:rsidP="00F81532">
      <w:pPr>
        <w:jc w:val="both"/>
      </w:pPr>
      <w:r w:rsidRPr="00834C6E">
        <w:t>tel:.</w:t>
      </w:r>
      <w:r>
        <w:t>67335298</w:t>
      </w:r>
      <w:r w:rsidRPr="00834C6E">
        <w:t xml:space="preserve">   fakss:</w:t>
      </w:r>
      <w:r>
        <w:t>67212307</w:t>
      </w:r>
      <w:r w:rsidRPr="00834C6E">
        <w:t xml:space="preserve"> </w:t>
      </w:r>
      <w:r w:rsidRPr="00834C6E">
        <w:fldChar w:fldCharType="end"/>
      </w:r>
    </w:p>
    <w:sectPr w:rsidR="00F81532" w:rsidRPr="00834C6E" w:rsidSect="003D39DE">
      <w:footerReference w:type="even"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BF" w:rsidRDefault="00995ABF">
      <w:r>
        <w:separator/>
      </w:r>
    </w:p>
  </w:endnote>
  <w:endnote w:type="continuationSeparator" w:id="0">
    <w:p w:rsidR="00995ABF" w:rsidRDefault="0099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BF" w:rsidRDefault="00995ABF" w:rsidP="00132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ABF" w:rsidRDefault="00995ABF" w:rsidP="003D39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BF" w:rsidRDefault="00995ABF" w:rsidP="00132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D75">
      <w:rPr>
        <w:rStyle w:val="PageNumber"/>
        <w:noProof/>
      </w:rPr>
      <w:t>2</w:t>
    </w:r>
    <w:r>
      <w:rPr>
        <w:rStyle w:val="PageNumber"/>
      </w:rPr>
      <w:fldChar w:fldCharType="end"/>
    </w:r>
  </w:p>
  <w:p w:rsidR="00995ABF" w:rsidRPr="004205C0" w:rsidRDefault="00995ABF" w:rsidP="00CF187B">
    <w:pPr>
      <w:jc w:val="both"/>
      <w:rPr>
        <w:sz w:val="20"/>
        <w:szCs w:val="20"/>
      </w:rPr>
    </w:pPr>
    <w:r>
      <w:rPr>
        <w:sz w:val="20"/>
        <w:szCs w:val="20"/>
      </w:rPr>
      <w:t>AIMA</w:t>
    </w:r>
    <w:r w:rsidRPr="00776510">
      <w:rPr>
        <w:sz w:val="20"/>
        <w:szCs w:val="20"/>
      </w:rPr>
      <w:t>not_</w:t>
    </w:r>
    <w:r>
      <w:rPr>
        <w:sz w:val="20"/>
        <w:szCs w:val="20"/>
      </w:rPr>
      <w:t>270312</w:t>
    </w:r>
    <w:r w:rsidRPr="00776510">
      <w:rPr>
        <w:sz w:val="20"/>
        <w:szCs w:val="20"/>
      </w:rPr>
      <w:t>_</w:t>
    </w:r>
    <w:r>
      <w:rPr>
        <w:sz w:val="20"/>
        <w:szCs w:val="20"/>
      </w:rPr>
      <w:t>grozMK21</w:t>
    </w:r>
    <w:r w:rsidRPr="00776510">
      <w:rPr>
        <w:sz w:val="20"/>
        <w:szCs w:val="20"/>
      </w:rPr>
      <w:t>;</w:t>
    </w:r>
    <w:r w:rsidRPr="004205C0">
      <w:rPr>
        <w:bCs/>
      </w:rPr>
      <w:t xml:space="preserve"> </w:t>
    </w:r>
    <w:r w:rsidRPr="004205C0">
      <w:rPr>
        <w:bCs/>
        <w:sz w:val="20"/>
        <w:szCs w:val="20"/>
      </w:rPr>
      <w:t>Grozījum</w:t>
    </w:r>
    <w:r>
      <w:rPr>
        <w:bCs/>
        <w:sz w:val="20"/>
        <w:szCs w:val="20"/>
      </w:rPr>
      <w:t>s</w:t>
    </w:r>
    <w:r w:rsidRPr="004205C0">
      <w:rPr>
        <w:bCs/>
        <w:sz w:val="20"/>
        <w:szCs w:val="20"/>
      </w:rPr>
      <w:t xml:space="preserve"> Ministru kabineta 2004.gada 6.janvāra noteikumos Nr.21 „Valsts noslēpuma, Ziemeļatlantijas līguma organizācijas, Eiropas Savienības un ārvalstu institūciju klasificētās informācijas aizsardzības noteikumi”</w:t>
    </w:r>
    <w:r w:rsidRPr="004205C0">
      <w:rPr>
        <w:sz w:val="20"/>
        <w:szCs w:val="20"/>
      </w:rPr>
      <w:t xml:space="preserve"> </w:t>
    </w:r>
    <w:r w:rsidRPr="004205C0">
      <w:rPr>
        <w:bCs/>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BF" w:rsidRPr="00FA4868" w:rsidRDefault="00995ABF" w:rsidP="006B569F">
    <w:pPr>
      <w:pStyle w:val="Footer"/>
      <w:jc w:val="both"/>
      <w:rPr>
        <w:sz w:val="20"/>
        <w:szCs w:val="20"/>
      </w:rPr>
    </w:pPr>
    <w:r w:rsidRPr="00FA4868">
      <w:rPr>
        <w:sz w:val="20"/>
        <w:szCs w:val="20"/>
      </w:rPr>
      <w:t>AIMAnot_</w:t>
    </w:r>
    <w:r w:rsidR="00C97235">
      <w:rPr>
        <w:sz w:val="20"/>
        <w:szCs w:val="20"/>
      </w:rPr>
      <w:t>27</w:t>
    </w:r>
    <w:r w:rsidRPr="00FA4868">
      <w:rPr>
        <w:sz w:val="20"/>
        <w:szCs w:val="20"/>
      </w:rPr>
      <w:t>0</w:t>
    </w:r>
    <w:r>
      <w:rPr>
        <w:sz w:val="20"/>
        <w:szCs w:val="20"/>
      </w:rPr>
      <w:t>3</w:t>
    </w:r>
    <w:r w:rsidRPr="00FA4868">
      <w:rPr>
        <w:sz w:val="20"/>
        <w:szCs w:val="20"/>
      </w:rPr>
      <w:t>12_grozMK21;</w:t>
    </w:r>
    <w:r w:rsidRPr="00FA4868">
      <w:rPr>
        <w:bCs/>
        <w:sz w:val="20"/>
        <w:szCs w:val="20"/>
      </w:rPr>
      <w:t xml:space="preserve"> Grozījums Ministru kabineta 2004.gada 6.janvāra noteikumos Nr.21 „Valsts noslēpuma, Ziemeļatlantijas līguma organizācijas, Eiropas Savienības un ārvalstu institūciju klasificētās informācijas aizsardzības noteikumi”</w:t>
    </w:r>
    <w:r w:rsidRPr="00FA4868">
      <w:rPr>
        <w:sz w:val="20"/>
        <w:szCs w:val="20"/>
      </w:rPr>
      <w:t xml:space="preserve"> </w:t>
    </w:r>
    <w:r w:rsidRPr="00FA4868">
      <w:rPr>
        <w:bCs/>
        <w:sz w:val="20"/>
        <w:szCs w:val="20"/>
      </w:rPr>
      <w:t>(anotācija)</w:t>
    </w:r>
  </w:p>
  <w:p w:rsidR="00995ABF" w:rsidRDefault="00995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BF" w:rsidRDefault="00995ABF">
      <w:r>
        <w:separator/>
      </w:r>
    </w:p>
  </w:footnote>
  <w:footnote w:type="continuationSeparator" w:id="0">
    <w:p w:rsidR="00995ABF" w:rsidRDefault="00995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C4"/>
    <w:rsid w:val="000009A5"/>
    <w:rsid w:val="00003D42"/>
    <w:rsid w:val="00034E67"/>
    <w:rsid w:val="00082ACF"/>
    <w:rsid w:val="00132493"/>
    <w:rsid w:val="001841BF"/>
    <w:rsid w:val="001B4EE1"/>
    <w:rsid w:val="001D4785"/>
    <w:rsid w:val="001F496F"/>
    <w:rsid w:val="00213CDC"/>
    <w:rsid w:val="00215F89"/>
    <w:rsid w:val="002241C5"/>
    <w:rsid w:val="00244838"/>
    <w:rsid w:val="002453D3"/>
    <w:rsid w:val="00247AD7"/>
    <w:rsid w:val="00270867"/>
    <w:rsid w:val="0028692B"/>
    <w:rsid w:val="002979FE"/>
    <w:rsid w:val="002E226D"/>
    <w:rsid w:val="002F4C33"/>
    <w:rsid w:val="00311A51"/>
    <w:rsid w:val="00315D29"/>
    <w:rsid w:val="003274EA"/>
    <w:rsid w:val="003441B4"/>
    <w:rsid w:val="00346187"/>
    <w:rsid w:val="00356E0F"/>
    <w:rsid w:val="003643CF"/>
    <w:rsid w:val="00381745"/>
    <w:rsid w:val="003C13BC"/>
    <w:rsid w:val="003C2874"/>
    <w:rsid w:val="003D39DE"/>
    <w:rsid w:val="00415AE0"/>
    <w:rsid w:val="004205C0"/>
    <w:rsid w:val="004462A4"/>
    <w:rsid w:val="004464B5"/>
    <w:rsid w:val="00487D25"/>
    <w:rsid w:val="004B4637"/>
    <w:rsid w:val="004C13A3"/>
    <w:rsid w:val="004C40DC"/>
    <w:rsid w:val="004F42A4"/>
    <w:rsid w:val="00516C3B"/>
    <w:rsid w:val="0053297D"/>
    <w:rsid w:val="00533FC4"/>
    <w:rsid w:val="00537033"/>
    <w:rsid w:val="005447DB"/>
    <w:rsid w:val="0054508B"/>
    <w:rsid w:val="00551387"/>
    <w:rsid w:val="00556A76"/>
    <w:rsid w:val="005A68EF"/>
    <w:rsid w:val="005E5858"/>
    <w:rsid w:val="005F4271"/>
    <w:rsid w:val="005F5162"/>
    <w:rsid w:val="00601CF0"/>
    <w:rsid w:val="00633EA7"/>
    <w:rsid w:val="00655213"/>
    <w:rsid w:val="00676088"/>
    <w:rsid w:val="00682437"/>
    <w:rsid w:val="00685256"/>
    <w:rsid w:val="006B569F"/>
    <w:rsid w:val="006B7372"/>
    <w:rsid w:val="006C635B"/>
    <w:rsid w:val="006D566E"/>
    <w:rsid w:val="006D6778"/>
    <w:rsid w:val="006E3BC7"/>
    <w:rsid w:val="00716051"/>
    <w:rsid w:val="00744142"/>
    <w:rsid w:val="00744834"/>
    <w:rsid w:val="00764AC3"/>
    <w:rsid w:val="00766CBE"/>
    <w:rsid w:val="00776510"/>
    <w:rsid w:val="00796D75"/>
    <w:rsid w:val="007A08FE"/>
    <w:rsid w:val="007A2FD4"/>
    <w:rsid w:val="007A487A"/>
    <w:rsid w:val="007A699A"/>
    <w:rsid w:val="007C0FB5"/>
    <w:rsid w:val="007E176E"/>
    <w:rsid w:val="007F6B79"/>
    <w:rsid w:val="00815DA3"/>
    <w:rsid w:val="00817B68"/>
    <w:rsid w:val="0082216E"/>
    <w:rsid w:val="00831C00"/>
    <w:rsid w:val="00856687"/>
    <w:rsid w:val="00880B73"/>
    <w:rsid w:val="00891545"/>
    <w:rsid w:val="008A3C53"/>
    <w:rsid w:val="008A56D3"/>
    <w:rsid w:val="008C18A7"/>
    <w:rsid w:val="008C4355"/>
    <w:rsid w:val="008E37D2"/>
    <w:rsid w:val="00910B97"/>
    <w:rsid w:val="009252A4"/>
    <w:rsid w:val="00935FD7"/>
    <w:rsid w:val="009403DD"/>
    <w:rsid w:val="009427E0"/>
    <w:rsid w:val="0097712C"/>
    <w:rsid w:val="009830C4"/>
    <w:rsid w:val="00983ACC"/>
    <w:rsid w:val="00986F6C"/>
    <w:rsid w:val="00995ABF"/>
    <w:rsid w:val="009C14FF"/>
    <w:rsid w:val="009E36CD"/>
    <w:rsid w:val="009F2D94"/>
    <w:rsid w:val="00A0299B"/>
    <w:rsid w:val="00A04024"/>
    <w:rsid w:val="00A15F82"/>
    <w:rsid w:val="00A40DE5"/>
    <w:rsid w:val="00A51C64"/>
    <w:rsid w:val="00A766D1"/>
    <w:rsid w:val="00AA45A8"/>
    <w:rsid w:val="00AB1EAD"/>
    <w:rsid w:val="00AC75A9"/>
    <w:rsid w:val="00AE5D42"/>
    <w:rsid w:val="00AF06A0"/>
    <w:rsid w:val="00AF1B81"/>
    <w:rsid w:val="00B17819"/>
    <w:rsid w:val="00B2098B"/>
    <w:rsid w:val="00B243A2"/>
    <w:rsid w:val="00B25A20"/>
    <w:rsid w:val="00B30481"/>
    <w:rsid w:val="00B30BC8"/>
    <w:rsid w:val="00B35009"/>
    <w:rsid w:val="00B41BA4"/>
    <w:rsid w:val="00B773A2"/>
    <w:rsid w:val="00B77BD4"/>
    <w:rsid w:val="00B855F8"/>
    <w:rsid w:val="00B91519"/>
    <w:rsid w:val="00B93C6C"/>
    <w:rsid w:val="00BA2BED"/>
    <w:rsid w:val="00BA7405"/>
    <w:rsid w:val="00BB49E0"/>
    <w:rsid w:val="00BD0E9E"/>
    <w:rsid w:val="00BD3ED0"/>
    <w:rsid w:val="00C00023"/>
    <w:rsid w:val="00C47B03"/>
    <w:rsid w:val="00C57670"/>
    <w:rsid w:val="00C97235"/>
    <w:rsid w:val="00CA75E0"/>
    <w:rsid w:val="00CB0F8C"/>
    <w:rsid w:val="00CD0603"/>
    <w:rsid w:val="00CD0A2C"/>
    <w:rsid w:val="00CD451E"/>
    <w:rsid w:val="00CD608C"/>
    <w:rsid w:val="00CE4244"/>
    <w:rsid w:val="00CF187B"/>
    <w:rsid w:val="00CF3D45"/>
    <w:rsid w:val="00CF3F35"/>
    <w:rsid w:val="00D11D49"/>
    <w:rsid w:val="00D424B9"/>
    <w:rsid w:val="00D429F0"/>
    <w:rsid w:val="00D473EA"/>
    <w:rsid w:val="00D5136E"/>
    <w:rsid w:val="00D61601"/>
    <w:rsid w:val="00D64E76"/>
    <w:rsid w:val="00D71770"/>
    <w:rsid w:val="00D812D3"/>
    <w:rsid w:val="00D83153"/>
    <w:rsid w:val="00DA41D7"/>
    <w:rsid w:val="00DD5A10"/>
    <w:rsid w:val="00DD61AB"/>
    <w:rsid w:val="00E24C9F"/>
    <w:rsid w:val="00E26B25"/>
    <w:rsid w:val="00E72AE4"/>
    <w:rsid w:val="00E80052"/>
    <w:rsid w:val="00E82260"/>
    <w:rsid w:val="00EC0CD6"/>
    <w:rsid w:val="00F05FF9"/>
    <w:rsid w:val="00F15625"/>
    <w:rsid w:val="00F20A4B"/>
    <w:rsid w:val="00F518D7"/>
    <w:rsid w:val="00F6563C"/>
    <w:rsid w:val="00F67199"/>
    <w:rsid w:val="00F81532"/>
    <w:rsid w:val="00F831F6"/>
    <w:rsid w:val="00F90BCF"/>
    <w:rsid w:val="00FA4868"/>
    <w:rsid w:val="00FD6BC8"/>
    <w:rsid w:val="00FE3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mktable">
    <w:name w:val="tv_html mk_table"/>
    <w:basedOn w:val="Normal"/>
    <w:rsid w:val="00533FC4"/>
    <w:pPr>
      <w:spacing w:before="100" w:beforeAutospacing="1" w:after="100" w:afterAutospacing="1"/>
    </w:pPr>
  </w:style>
  <w:style w:type="paragraph" w:styleId="Header">
    <w:name w:val="header"/>
    <w:basedOn w:val="Normal"/>
    <w:link w:val="HeaderChar"/>
    <w:rsid w:val="00533FC4"/>
    <w:pPr>
      <w:tabs>
        <w:tab w:val="center" w:pos="4153"/>
        <w:tab w:val="right" w:pos="8306"/>
      </w:tabs>
    </w:pPr>
    <w:rPr>
      <w:rFonts w:ascii="Dutch TL" w:hAnsi="Dutch TL"/>
      <w:sz w:val="28"/>
      <w:szCs w:val="20"/>
      <w:lang w:eastAsia="zh-TW"/>
    </w:rPr>
  </w:style>
  <w:style w:type="paragraph" w:styleId="Footer">
    <w:name w:val="footer"/>
    <w:basedOn w:val="Normal"/>
    <w:rsid w:val="00744834"/>
    <w:pPr>
      <w:tabs>
        <w:tab w:val="center" w:pos="4153"/>
        <w:tab w:val="right" w:pos="8306"/>
      </w:tabs>
    </w:pPr>
  </w:style>
  <w:style w:type="paragraph" w:styleId="BalloonText">
    <w:name w:val="Balloon Text"/>
    <w:basedOn w:val="Normal"/>
    <w:semiHidden/>
    <w:rsid w:val="00B2098B"/>
    <w:rPr>
      <w:rFonts w:ascii="Tahoma" w:hAnsi="Tahoma" w:cs="Tahoma"/>
      <w:sz w:val="16"/>
      <w:szCs w:val="16"/>
    </w:rPr>
  </w:style>
  <w:style w:type="character" w:styleId="CommentReference">
    <w:name w:val="annotation reference"/>
    <w:semiHidden/>
    <w:rsid w:val="00B41BA4"/>
    <w:rPr>
      <w:sz w:val="16"/>
      <w:szCs w:val="16"/>
    </w:rPr>
  </w:style>
  <w:style w:type="paragraph" w:styleId="CommentText">
    <w:name w:val="annotation text"/>
    <w:basedOn w:val="Normal"/>
    <w:semiHidden/>
    <w:rsid w:val="00B41BA4"/>
    <w:rPr>
      <w:sz w:val="20"/>
      <w:szCs w:val="20"/>
    </w:rPr>
  </w:style>
  <w:style w:type="paragraph" w:styleId="CommentSubject">
    <w:name w:val="annotation subject"/>
    <w:basedOn w:val="CommentText"/>
    <w:next w:val="CommentText"/>
    <w:semiHidden/>
    <w:rsid w:val="00B41BA4"/>
    <w:rPr>
      <w:b/>
      <w:bCs/>
    </w:rPr>
  </w:style>
  <w:style w:type="character" w:styleId="PageNumber">
    <w:name w:val="page number"/>
    <w:basedOn w:val="DefaultParagraphFont"/>
    <w:rsid w:val="003D39DE"/>
  </w:style>
  <w:style w:type="character" w:customStyle="1" w:styleId="HeaderChar">
    <w:name w:val="Header Char"/>
    <w:link w:val="Header"/>
    <w:rsid w:val="000009A5"/>
    <w:rPr>
      <w:rFonts w:ascii="Dutch TL" w:hAnsi="Dutch TL"/>
      <w:sz w:val="2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mktable">
    <w:name w:val="tv_html mk_table"/>
    <w:basedOn w:val="Normal"/>
    <w:rsid w:val="00533FC4"/>
    <w:pPr>
      <w:spacing w:before="100" w:beforeAutospacing="1" w:after="100" w:afterAutospacing="1"/>
    </w:pPr>
  </w:style>
  <w:style w:type="paragraph" w:styleId="Header">
    <w:name w:val="header"/>
    <w:basedOn w:val="Normal"/>
    <w:link w:val="HeaderChar"/>
    <w:rsid w:val="00533FC4"/>
    <w:pPr>
      <w:tabs>
        <w:tab w:val="center" w:pos="4153"/>
        <w:tab w:val="right" w:pos="8306"/>
      </w:tabs>
    </w:pPr>
    <w:rPr>
      <w:rFonts w:ascii="Dutch TL" w:hAnsi="Dutch TL"/>
      <w:sz w:val="28"/>
      <w:szCs w:val="20"/>
      <w:lang w:eastAsia="zh-TW"/>
    </w:rPr>
  </w:style>
  <w:style w:type="paragraph" w:styleId="Footer">
    <w:name w:val="footer"/>
    <w:basedOn w:val="Normal"/>
    <w:rsid w:val="00744834"/>
    <w:pPr>
      <w:tabs>
        <w:tab w:val="center" w:pos="4153"/>
        <w:tab w:val="right" w:pos="8306"/>
      </w:tabs>
    </w:pPr>
  </w:style>
  <w:style w:type="paragraph" w:styleId="BalloonText">
    <w:name w:val="Balloon Text"/>
    <w:basedOn w:val="Normal"/>
    <w:semiHidden/>
    <w:rsid w:val="00B2098B"/>
    <w:rPr>
      <w:rFonts w:ascii="Tahoma" w:hAnsi="Tahoma" w:cs="Tahoma"/>
      <w:sz w:val="16"/>
      <w:szCs w:val="16"/>
    </w:rPr>
  </w:style>
  <w:style w:type="character" w:styleId="CommentReference">
    <w:name w:val="annotation reference"/>
    <w:semiHidden/>
    <w:rsid w:val="00B41BA4"/>
    <w:rPr>
      <w:sz w:val="16"/>
      <w:szCs w:val="16"/>
    </w:rPr>
  </w:style>
  <w:style w:type="paragraph" w:styleId="CommentText">
    <w:name w:val="annotation text"/>
    <w:basedOn w:val="Normal"/>
    <w:semiHidden/>
    <w:rsid w:val="00B41BA4"/>
    <w:rPr>
      <w:sz w:val="20"/>
      <w:szCs w:val="20"/>
    </w:rPr>
  </w:style>
  <w:style w:type="paragraph" w:styleId="CommentSubject">
    <w:name w:val="annotation subject"/>
    <w:basedOn w:val="CommentText"/>
    <w:next w:val="CommentText"/>
    <w:semiHidden/>
    <w:rsid w:val="00B41BA4"/>
    <w:rPr>
      <w:b/>
      <w:bCs/>
    </w:rPr>
  </w:style>
  <w:style w:type="character" w:styleId="PageNumber">
    <w:name w:val="page number"/>
    <w:basedOn w:val="DefaultParagraphFont"/>
    <w:rsid w:val="003D39DE"/>
  </w:style>
  <w:style w:type="character" w:customStyle="1" w:styleId="HeaderChar">
    <w:name w:val="Header Char"/>
    <w:link w:val="Header"/>
    <w:rsid w:val="000009A5"/>
    <w:rPr>
      <w:rFonts w:ascii="Dutch TL" w:hAnsi="Dutch TL"/>
      <w:sz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2136">
      <w:bodyDiv w:val="1"/>
      <w:marLeft w:val="0"/>
      <w:marRight w:val="0"/>
      <w:marTop w:val="0"/>
      <w:marBottom w:val="0"/>
      <w:divBdr>
        <w:top w:val="none" w:sz="0" w:space="0" w:color="auto"/>
        <w:left w:val="none" w:sz="0" w:space="0" w:color="auto"/>
        <w:bottom w:val="none" w:sz="0" w:space="0" w:color="auto"/>
        <w:right w:val="none" w:sz="0" w:space="0" w:color="auto"/>
      </w:divBdr>
    </w:div>
    <w:div w:id="16723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2D47-E5B5-40DA-8990-599D7D40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1F2CB830.dotm</Template>
  <TotalTime>1</TotalTime>
  <Pages>3</Pages>
  <Words>4856</Words>
  <Characters>2769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AIMAnot_270312_grozMK21</vt:lpstr>
    </vt:vector>
  </TitlesOfParts>
  <Company>AIM</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AIMAnot_270312_grozMK21</dc:title>
  <dc:subject>Grozījums Ministru kabineta 2004.gada 6.janvāra noteikumos Nr.21 „Valsts noslēpuma, Ziemeļatlantijas līguma organizācijas, Eiropas Savienības un ārvalstu institūciju klasificētās informācijas aizsardzības noteikumi” (anotācija)</dc:subject>
  <dc:creator>Elvīra Šmukste</dc:creator>
  <dc:description>Elvīra Šmukste
elvira.smukste@mod.gov.lv
tel:.67335298   fakss:67212307</dc:description>
  <cp:lastModifiedBy>Elvīra Šmukste</cp:lastModifiedBy>
  <cp:revision>2</cp:revision>
  <cp:lastPrinted>2012-04-24T07:56:00Z</cp:lastPrinted>
  <dcterms:created xsi:type="dcterms:W3CDTF">2012-06-27T09:15:00Z</dcterms:created>
  <dcterms:modified xsi:type="dcterms:W3CDTF">2012-06-27T09:15:00Z</dcterms:modified>
</cp:coreProperties>
</file>