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AFF8" w14:textId="77777777" w:rsidR="0032718B" w:rsidRDefault="00CF4D3B" w:rsidP="00107913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Ministru kabineta </w:t>
      </w:r>
      <w:r w:rsidR="00014EB6" w:rsidRPr="00014EB6">
        <w:rPr>
          <w:b/>
          <w:sz w:val="26"/>
          <w:szCs w:val="26"/>
        </w:rPr>
        <w:t xml:space="preserve">noteikumu </w:t>
      </w:r>
      <w:r>
        <w:rPr>
          <w:b/>
          <w:sz w:val="26"/>
          <w:szCs w:val="26"/>
        </w:rPr>
        <w:t>projekta</w:t>
      </w:r>
      <w:r w:rsidRPr="00014EB6">
        <w:rPr>
          <w:b/>
          <w:sz w:val="26"/>
          <w:szCs w:val="26"/>
        </w:rPr>
        <w:t xml:space="preserve"> </w:t>
      </w:r>
      <w:r w:rsidR="00014EB6" w:rsidRPr="00014EB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Noteikumi par karavīra mēnešalgas un speciālo piemaksu noteikšanas kārtību un to apmēru</w:t>
      </w:r>
      <w:r w:rsidR="00014EB6" w:rsidRPr="00014EB6">
        <w:rPr>
          <w:b/>
          <w:sz w:val="26"/>
          <w:szCs w:val="26"/>
        </w:rPr>
        <w:t xml:space="preserve">” </w:t>
      </w:r>
    </w:p>
    <w:p w14:paraId="51941171" w14:textId="434DA133" w:rsidR="0055133A" w:rsidRPr="0055133A" w:rsidRDefault="0055133A" w:rsidP="00107913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55133A">
        <w:rPr>
          <w:b/>
          <w:bCs/>
          <w:sz w:val="26"/>
          <w:szCs w:val="26"/>
        </w:rPr>
        <w:t>sākotnējās ietekmes novērtējuma ziņojums (anotācija)</w:t>
      </w:r>
    </w:p>
    <w:p w14:paraId="386E07A6" w14:textId="77777777"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64"/>
        <w:gridCol w:w="6109"/>
      </w:tblGrid>
      <w:tr w:rsidR="0070526D" w:rsidRPr="00A71129" w14:paraId="40FF6942" w14:textId="77777777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3ED9" w14:textId="77777777" w:rsidR="0070526D" w:rsidRPr="00A71129" w:rsidRDefault="0070526D" w:rsidP="00F94D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14:paraId="52FFF8FA" w14:textId="77777777" w:rsidR="00062334" w:rsidRPr="00A71129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A71129" w14:paraId="6A9B7A9F" w14:textId="77777777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EC09" w14:textId="77777777" w:rsidR="0070526D" w:rsidRPr="00A71129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CDB1" w14:textId="77777777" w:rsidR="0070526D" w:rsidRPr="00A71129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4BB53" w14:textId="25FE522D" w:rsidR="00F15843" w:rsidRDefault="009D37D8" w:rsidP="00BA3DC6">
            <w:pPr>
              <w:jc w:val="both"/>
              <w:rPr>
                <w:rFonts w:cs="Times New Roman"/>
                <w:sz w:val="26"/>
                <w:szCs w:val="26"/>
              </w:rPr>
            </w:pPr>
            <w:r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amatpersonu un darbinieku</w:t>
            </w:r>
            <w:r w:rsidR="00D93309"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atlīdzības likuma 9.panta pirmā daļa un 15.panta pirmā daļa</w:t>
            </w:r>
            <w:r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, likuma „Latvijas Nacionālo bruņoto spēku piedalīšanās star</w:t>
            </w:r>
            <w:r w:rsidR="00D93309"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ptautiskajās operācijās” 6.pants</w:t>
            </w:r>
            <w:r w:rsidR="002B0490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  <w:r w:rsidR="00F15843" w:rsidRPr="00A7112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E9BD085" w14:textId="0EA1212C" w:rsidR="00F15843" w:rsidRPr="009D37D8" w:rsidRDefault="002B0490" w:rsidP="00E505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181AC7">
              <w:rPr>
                <w:sz w:val="26"/>
                <w:szCs w:val="26"/>
              </w:rPr>
              <w:t xml:space="preserve">zpildot </w:t>
            </w:r>
            <w:r w:rsidR="00FF12AF" w:rsidRPr="00FF12AF">
              <w:rPr>
                <w:rFonts w:cs="Times New Roman"/>
                <w:sz w:val="26"/>
                <w:szCs w:val="26"/>
              </w:rPr>
              <w:t>Ministru k</w:t>
            </w:r>
            <w:r w:rsidR="00181AC7">
              <w:rPr>
                <w:rFonts w:cs="Times New Roman"/>
                <w:sz w:val="26"/>
                <w:szCs w:val="26"/>
              </w:rPr>
              <w:t>abineta 2013.gada 4.jūnija sēdē</w:t>
            </w:r>
            <w:r w:rsidR="00FF12AF" w:rsidRPr="00FF12AF">
              <w:rPr>
                <w:rFonts w:cs="Times New Roman"/>
                <w:sz w:val="26"/>
                <w:szCs w:val="26"/>
              </w:rPr>
              <w:t xml:space="preserve"> </w:t>
            </w:r>
            <w:r w:rsidR="00181AC7">
              <w:rPr>
                <w:rFonts w:cs="Times New Roman"/>
                <w:sz w:val="26"/>
                <w:szCs w:val="26"/>
              </w:rPr>
              <w:t>(</w:t>
            </w:r>
            <w:r w:rsidR="00FF12AF" w:rsidRPr="00FF12AF">
              <w:rPr>
                <w:rFonts w:cs="Times New Roman"/>
                <w:sz w:val="26"/>
                <w:szCs w:val="26"/>
              </w:rPr>
              <w:t>prot</w:t>
            </w:r>
            <w:r w:rsidR="00181AC7">
              <w:rPr>
                <w:rFonts w:cs="Times New Roman"/>
                <w:sz w:val="26"/>
                <w:szCs w:val="26"/>
              </w:rPr>
              <w:t>.</w:t>
            </w:r>
            <w:r w:rsidR="00FF12AF" w:rsidRPr="00FF12AF">
              <w:rPr>
                <w:rFonts w:cs="Times New Roman"/>
                <w:sz w:val="26"/>
                <w:szCs w:val="26"/>
              </w:rPr>
              <w:t>Nr.33 28.§ 5.punkts</w:t>
            </w:r>
            <w:r w:rsidR="00181AC7">
              <w:rPr>
                <w:sz w:val="26"/>
                <w:szCs w:val="26"/>
              </w:rPr>
              <w:t>) doto uzdevumu</w:t>
            </w:r>
            <w:r w:rsidR="00AE3AF1">
              <w:rPr>
                <w:sz w:val="26"/>
                <w:szCs w:val="26"/>
              </w:rPr>
              <w:t>, kā arī</w:t>
            </w:r>
            <w:r w:rsidR="00181AC7">
              <w:rPr>
                <w:sz w:val="26"/>
                <w:szCs w:val="26"/>
              </w:rPr>
              <w:t xml:space="preserve"> atbilstoši Ministru kabineta 2013.gada </w:t>
            </w:r>
            <w:r w:rsidR="00BA3DC6">
              <w:rPr>
                <w:sz w:val="26"/>
                <w:szCs w:val="26"/>
              </w:rPr>
              <w:t>8</w:t>
            </w:r>
            <w:r w:rsidR="00181AC7">
              <w:rPr>
                <w:sz w:val="26"/>
                <w:szCs w:val="26"/>
              </w:rPr>
              <w:t>.augusta sēdē (</w:t>
            </w:r>
            <w:proofErr w:type="spellStart"/>
            <w:r w:rsidR="00181AC7">
              <w:rPr>
                <w:sz w:val="26"/>
                <w:szCs w:val="26"/>
              </w:rPr>
              <w:t>prot</w:t>
            </w:r>
            <w:proofErr w:type="spellEnd"/>
            <w:r w:rsidR="00181AC7">
              <w:rPr>
                <w:sz w:val="26"/>
                <w:szCs w:val="26"/>
              </w:rPr>
              <w:t>. Nr.</w:t>
            </w:r>
            <w:r w:rsidR="00BA3DC6">
              <w:rPr>
                <w:sz w:val="26"/>
                <w:szCs w:val="26"/>
              </w:rPr>
              <w:t>43</w:t>
            </w:r>
            <w:r w:rsidR="00181AC7">
              <w:rPr>
                <w:sz w:val="26"/>
                <w:szCs w:val="26"/>
              </w:rPr>
              <w:t xml:space="preserve"> </w:t>
            </w:r>
            <w:r w:rsidR="00BA3DC6">
              <w:rPr>
                <w:sz w:val="26"/>
                <w:szCs w:val="26"/>
              </w:rPr>
              <w:t>11</w:t>
            </w:r>
            <w:r w:rsidR="00181AC7">
              <w:rPr>
                <w:sz w:val="26"/>
                <w:szCs w:val="26"/>
              </w:rPr>
              <w:t>.</w:t>
            </w:r>
            <w:r w:rsidR="00181AC7">
              <w:rPr>
                <w:rFonts w:cs="Times New Roman"/>
                <w:sz w:val="26"/>
                <w:szCs w:val="26"/>
              </w:rPr>
              <w:t>§</w:t>
            </w:r>
            <w:r w:rsidR="00BA3DC6">
              <w:rPr>
                <w:sz w:val="26"/>
                <w:szCs w:val="26"/>
              </w:rPr>
              <w:t xml:space="preserve"> 9.punkts) pieņemtajam lēmumam par mēneša darba algas izlīdzināšanu ar 2014.gada 1.janvāri.</w:t>
            </w:r>
          </w:p>
        </w:tc>
      </w:tr>
      <w:tr w:rsidR="0070526D" w:rsidRPr="00A71129" w14:paraId="6EEEAD5E" w14:textId="77777777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0CC9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71DA" w14:textId="77777777" w:rsidR="0070526D" w:rsidRPr="00A71129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7C961" w14:textId="667C828C" w:rsidR="00D93309" w:rsidRDefault="00BA3DC6" w:rsidP="00D9330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Šobrīd Ministru kabineta 2013.gada </w:t>
            </w:r>
            <w:r w:rsidR="004D3B0E">
              <w:rPr>
                <w:sz w:val="26"/>
                <w:szCs w:val="26"/>
              </w:rPr>
              <w:t>29.oktobra</w:t>
            </w:r>
            <w:r w:rsidR="00E505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noteikumi Nr</w:t>
            </w:r>
            <w:r w:rsidR="004D3B0E">
              <w:rPr>
                <w:sz w:val="26"/>
                <w:szCs w:val="26"/>
              </w:rPr>
              <w:t>.1200</w:t>
            </w:r>
            <w:r>
              <w:rPr>
                <w:sz w:val="26"/>
                <w:szCs w:val="26"/>
              </w:rPr>
              <w:t xml:space="preserve"> „Noteikumi par karavīra mēnešalgas un speciālo piemaksu noteikšanas kārtību un to apmēru”</w:t>
            </w:r>
            <w:r w:rsidR="0088151D">
              <w:rPr>
                <w:sz w:val="26"/>
                <w:szCs w:val="26"/>
              </w:rPr>
              <w:t xml:space="preserve"> (turpmāk – MK noteikumi Nr</w:t>
            </w:r>
            <w:r w:rsidR="004D3B0E">
              <w:rPr>
                <w:sz w:val="26"/>
                <w:szCs w:val="26"/>
              </w:rPr>
              <w:t>.1200</w:t>
            </w:r>
            <w:r w:rsidR="0088151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DC53EF">
              <w:rPr>
                <w:sz w:val="26"/>
                <w:szCs w:val="26"/>
              </w:rPr>
              <w:t>no</w:t>
            </w:r>
            <w:r>
              <w:rPr>
                <w:sz w:val="26"/>
                <w:szCs w:val="26"/>
              </w:rPr>
              <w:t>saka</w:t>
            </w:r>
            <w:r w:rsidRPr="00DC53EF">
              <w:rPr>
                <w:sz w:val="26"/>
                <w:szCs w:val="26"/>
              </w:rPr>
              <w:t xml:space="preserve"> profesionālā militārā dienesta karavīra</w:t>
            </w:r>
            <w:r w:rsidRPr="00DC53EF">
              <w:rPr>
                <w:i/>
                <w:sz w:val="26"/>
                <w:szCs w:val="26"/>
              </w:rPr>
              <w:t xml:space="preserve"> </w:t>
            </w:r>
            <w:r w:rsidRPr="00DC53EF">
              <w:rPr>
                <w:sz w:val="26"/>
                <w:szCs w:val="26"/>
              </w:rPr>
              <w:t>mēnešalgu un speciālās piemaksas</w:t>
            </w:r>
            <w:r w:rsidRPr="00DC53EF">
              <w:rPr>
                <w:i/>
                <w:sz w:val="26"/>
                <w:szCs w:val="26"/>
              </w:rPr>
              <w:t xml:space="preserve"> euro </w:t>
            </w:r>
            <w:r w:rsidRPr="00DC53EF">
              <w:rPr>
                <w:sz w:val="26"/>
                <w:szCs w:val="26"/>
              </w:rPr>
              <w:t xml:space="preserve">valūtā, attiecīgi konvertējot un noapaļojot MK </w:t>
            </w:r>
            <w:r>
              <w:rPr>
                <w:sz w:val="26"/>
                <w:szCs w:val="26"/>
              </w:rPr>
              <w:t xml:space="preserve">2011.gada 15.marta </w:t>
            </w:r>
            <w:r w:rsidRPr="00DC53EF">
              <w:rPr>
                <w:sz w:val="26"/>
                <w:szCs w:val="26"/>
              </w:rPr>
              <w:t xml:space="preserve">noteikumos Nr.190 </w:t>
            </w:r>
            <w:r>
              <w:rPr>
                <w:sz w:val="26"/>
                <w:szCs w:val="26"/>
              </w:rPr>
              <w:t xml:space="preserve">„Noteikumi par karavīra mēnešalgas un speciālo piemaksu noteikšanas kārtību un to apmēru” </w:t>
            </w:r>
            <w:r w:rsidRPr="00DC53EF">
              <w:rPr>
                <w:sz w:val="26"/>
                <w:szCs w:val="26"/>
              </w:rPr>
              <w:t xml:space="preserve">noteiktos karavīru mēnešalgu un speciālo piemaksu apmērus latos atbilstoši </w:t>
            </w:r>
            <w:r w:rsidRPr="00DC53EF">
              <w:rPr>
                <w:i/>
                <w:sz w:val="26"/>
                <w:szCs w:val="26"/>
              </w:rPr>
              <w:t>Euro</w:t>
            </w:r>
            <w:r w:rsidRPr="00DC53EF">
              <w:rPr>
                <w:sz w:val="26"/>
                <w:szCs w:val="26"/>
              </w:rPr>
              <w:t xml:space="preserve"> ieviešanas kārtības likuma 6</w:t>
            </w:r>
            <w:r>
              <w:rPr>
                <w:sz w:val="26"/>
                <w:szCs w:val="26"/>
              </w:rPr>
              <w:t>.pantā paredzētajiem principiem</w:t>
            </w:r>
            <w:r w:rsidRPr="00DC53EF">
              <w:rPr>
                <w:sz w:val="26"/>
                <w:szCs w:val="26"/>
              </w:rPr>
              <w:t>.</w:t>
            </w:r>
          </w:p>
          <w:p w14:paraId="07FCF0E5" w14:textId="5FAE034A" w:rsidR="00EC5F66" w:rsidRDefault="00BA3DC6" w:rsidP="00C53084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Ministru kabinets </w:t>
            </w:r>
            <w:proofErr w:type="spellStart"/>
            <w:r>
              <w:rPr>
                <w:sz w:val="26"/>
                <w:szCs w:val="26"/>
              </w:rPr>
              <w:t>š.g</w:t>
            </w:r>
            <w:proofErr w:type="spellEnd"/>
            <w:r>
              <w:rPr>
                <w:sz w:val="26"/>
                <w:szCs w:val="26"/>
              </w:rPr>
              <w:t xml:space="preserve">. 8.augusta sēdē atbalstīja </w:t>
            </w:r>
            <w:r w:rsidRPr="00C53084">
              <w:rPr>
                <w:sz w:val="26"/>
                <w:szCs w:val="26"/>
              </w:rPr>
              <w:t>valsts budžeta līdzekļu novirzīšanu mēneša darba algas izlīdzināšanai valsts pārvaldē nodarbinātajiem</w:t>
            </w:r>
            <w:r w:rsidR="0088151D">
              <w:rPr>
                <w:sz w:val="26"/>
                <w:szCs w:val="26"/>
              </w:rPr>
              <w:t xml:space="preserve">, </w:t>
            </w:r>
            <w:proofErr w:type="spellStart"/>
            <w:r w:rsidR="0088151D">
              <w:rPr>
                <w:sz w:val="26"/>
                <w:szCs w:val="26"/>
              </w:rPr>
              <w:t>t.sk</w:t>
            </w:r>
            <w:proofErr w:type="spellEnd"/>
            <w:r w:rsidR="0088151D">
              <w:rPr>
                <w:sz w:val="26"/>
                <w:szCs w:val="26"/>
              </w:rPr>
              <w:t>. arī karavīriem</w:t>
            </w:r>
            <w:r w:rsidRPr="00C53084">
              <w:rPr>
                <w:sz w:val="26"/>
                <w:szCs w:val="26"/>
              </w:rPr>
              <w:t xml:space="preserve"> no 2014.gada 1.janvāra</w:t>
            </w:r>
            <w:r w:rsidR="0088151D">
              <w:rPr>
                <w:sz w:val="26"/>
                <w:szCs w:val="26"/>
              </w:rPr>
              <w:t>, līdz ar to nepieciešams veikt attiecīgas izmaiņas MK noteikumu Nr</w:t>
            </w:r>
            <w:r w:rsidR="004D3B0E">
              <w:rPr>
                <w:sz w:val="26"/>
                <w:szCs w:val="26"/>
              </w:rPr>
              <w:t>.1200</w:t>
            </w:r>
            <w:r w:rsidR="0088151D">
              <w:rPr>
                <w:sz w:val="26"/>
                <w:szCs w:val="26"/>
              </w:rPr>
              <w:t xml:space="preserve"> 1.pielikumā noteiktajos karavīru mēnešalgu apmēros. </w:t>
            </w:r>
          </w:p>
          <w:p w14:paraId="1A6FC898" w14:textId="77DB999F" w:rsidR="00C53084" w:rsidRDefault="00EC5F66" w:rsidP="00C53084">
            <w:pPr>
              <w:pStyle w:val="naisf"/>
              <w:spacing w:before="0" w:beforeAutospacing="0" w:after="0" w:afterAutospacing="0"/>
              <w:jc w:val="both"/>
              <w:rPr>
                <w:rFonts w:ascii="Tahoma" w:hAnsi="Tahoma" w:cs="Tahoma"/>
                <w:color w:val="2A2A2A"/>
                <w:sz w:val="17"/>
                <w:szCs w:val="17"/>
              </w:rPr>
            </w:pPr>
            <w:r>
              <w:rPr>
                <w:sz w:val="26"/>
                <w:szCs w:val="26"/>
              </w:rPr>
              <w:t>Saskaņā ar Valsts un pašvaldību institūciju amatpersonu un darbinieku atlīdzības likuma 3.panta pirmo daļu darba samaksu veido mēnešalga, piemaksas, prēmijas un naudas balvas. Tādējādi,</w:t>
            </w:r>
            <w:r w:rsidR="0088151D">
              <w:rPr>
                <w:sz w:val="26"/>
                <w:szCs w:val="26"/>
              </w:rPr>
              <w:t xml:space="preserve"> lai nodrošinātu uz vienotiem principiem balstītu darba samaks</w:t>
            </w:r>
            <w:r>
              <w:rPr>
                <w:sz w:val="26"/>
                <w:szCs w:val="26"/>
              </w:rPr>
              <w:t xml:space="preserve">ā ietilpstošo </w:t>
            </w:r>
            <w:r w:rsidR="0088151D">
              <w:rPr>
                <w:sz w:val="26"/>
                <w:szCs w:val="26"/>
              </w:rPr>
              <w:t>komponenšu apmēru noteikšanu</w:t>
            </w:r>
            <w:r>
              <w:rPr>
                <w:sz w:val="26"/>
                <w:szCs w:val="26"/>
              </w:rPr>
              <w:t>, nepieciešams veikt izmaiņas arī MK noteikumu Nr</w:t>
            </w:r>
            <w:r w:rsidR="004D3B0E">
              <w:rPr>
                <w:sz w:val="26"/>
                <w:szCs w:val="26"/>
              </w:rPr>
              <w:t>.1200</w:t>
            </w:r>
            <w:r>
              <w:rPr>
                <w:sz w:val="26"/>
                <w:szCs w:val="26"/>
              </w:rPr>
              <w:t xml:space="preserve"> 2.pielikumā noteiktajās piemaksās par dalību starptautiskā operācijā un 3.pielikumā noteiktajās speciālajās piemaksās.</w:t>
            </w:r>
          </w:p>
          <w:p w14:paraId="2C73BB8C" w14:textId="4EEFC20B" w:rsidR="0093094C" w:rsidRPr="00A71129" w:rsidRDefault="00D93309" w:rsidP="004D3B0E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3309">
              <w:rPr>
                <w:sz w:val="26"/>
                <w:szCs w:val="26"/>
              </w:rPr>
              <w:t xml:space="preserve">Lai </w:t>
            </w:r>
            <w:r w:rsidR="00EC5F66">
              <w:rPr>
                <w:sz w:val="26"/>
                <w:szCs w:val="26"/>
              </w:rPr>
              <w:t>veiktu iepriekš minētās izmaiņas MK noteikumos Nr</w:t>
            </w:r>
            <w:r w:rsidR="004D3B0E">
              <w:rPr>
                <w:sz w:val="26"/>
                <w:szCs w:val="26"/>
              </w:rPr>
              <w:t>.1200</w:t>
            </w:r>
            <w:r w:rsidRPr="00D93309">
              <w:rPr>
                <w:sz w:val="26"/>
                <w:szCs w:val="26"/>
              </w:rPr>
              <w:t xml:space="preserve">, būtu jāgroza vairāk kā puse no šī normatīvā akta. Tādējādi nepieciešams sagatavot jaunu MK noteikumu projektu, kas </w:t>
            </w:r>
            <w:r w:rsidR="00EC5F66">
              <w:rPr>
                <w:sz w:val="26"/>
                <w:szCs w:val="26"/>
              </w:rPr>
              <w:t>regulēs</w:t>
            </w:r>
            <w:r w:rsidRPr="00D93309">
              <w:rPr>
                <w:sz w:val="26"/>
                <w:szCs w:val="26"/>
              </w:rPr>
              <w:t xml:space="preserve"> </w:t>
            </w:r>
            <w:r w:rsidR="00DC53EF">
              <w:rPr>
                <w:sz w:val="26"/>
                <w:szCs w:val="26"/>
              </w:rPr>
              <w:t xml:space="preserve">profesionālā militārā dienesta </w:t>
            </w:r>
            <w:r w:rsidR="00EC5F66">
              <w:rPr>
                <w:sz w:val="26"/>
                <w:szCs w:val="26"/>
              </w:rPr>
              <w:t>karavīra mēnešalgas</w:t>
            </w:r>
            <w:r>
              <w:rPr>
                <w:sz w:val="26"/>
                <w:szCs w:val="26"/>
              </w:rPr>
              <w:t xml:space="preserve"> un speciāl</w:t>
            </w:r>
            <w:r w:rsidR="00EC5F66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piemaks</w:t>
            </w:r>
            <w:r w:rsidR="00EC5F66">
              <w:rPr>
                <w:sz w:val="26"/>
                <w:szCs w:val="26"/>
              </w:rPr>
              <w:t>u noteikšanas kārtību un to apmēru</w:t>
            </w:r>
            <w:r w:rsidRPr="00D93309">
              <w:rPr>
                <w:sz w:val="26"/>
                <w:szCs w:val="26"/>
              </w:rPr>
              <w:t xml:space="preserve"> </w:t>
            </w:r>
            <w:r w:rsidRPr="00D93309">
              <w:rPr>
                <w:i/>
                <w:sz w:val="26"/>
                <w:szCs w:val="26"/>
              </w:rPr>
              <w:t>euro</w:t>
            </w:r>
            <w:r w:rsidR="00EC5F66">
              <w:rPr>
                <w:sz w:val="26"/>
                <w:szCs w:val="26"/>
              </w:rPr>
              <w:t xml:space="preserve"> no 2014.gada </w:t>
            </w:r>
            <w:r w:rsidR="00EC5F66">
              <w:rPr>
                <w:sz w:val="26"/>
                <w:szCs w:val="26"/>
              </w:rPr>
              <w:lastRenderedPageBreak/>
              <w:t>1.janvāra</w:t>
            </w:r>
            <w:r w:rsidRPr="00D93309">
              <w:rPr>
                <w:sz w:val="26"/>
                <w:szCs w:val="26"/>
              </w:rPr>
              <w:t>.</w:t>
            </w:r>
          </w:p>
        </w:tc>
      </w:tr>
      <w:tr w:rsidR="0070526D" w:rsidRPr="00A71129" w14:paraId="22A464E0" w14:textId="77777777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E23D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17FF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89AC" w14:textId="77777777" w:rsidR="0070526D" w:rsidRPr="00A71129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A71129" w14:paraId="016A6040" w14:textId="77777777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EB39A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E6B4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B2D01" w14:textId="2D15D075" w:rsidR="009A5FD3" w:rsidRPr="00A71129" w:rsidRDefault="00BA3912" w:rsidP="004D3B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</w:t>
            </w:r>
            <w:r w:rsidR="00DC53EF" w:rsidRPr="00DC53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paredz palielināt</w:t>
            </w:r>
            <w:r w:rsidR="00386E23">
              <w:rPr>
                <w:sz w:val="26"/>
                <w:szCs w:val="26"/>
              </w:rPr>
              <w:t xml:space="preserve"> MK noteikumu Nr.</w:t>
            </w:r>
            <w:r w:rsidR="004D3B0E">
              <w:rPr>
                <w:sz w:val="26"/>
                <w:szCs w:val="26"/>
              </w:rPr>
              <w:t>1200</w:t>
            </w:r>
            <w:r w:rsidR="00386E23">
              <w:rPr>
                <w:sz w:val="26"/>
                <w:szCs w:val="26"/>
              </w:rPr>
              <w:t xml:space="preserve"> 1.pielikumā</w:t>
            </w:r>
            <w:r w:rsidR="00460C4E">
              <w:rPr>
                <w:sz w:val="26"/>
                <w:szCs w:val="26"/>
              </w:rPr>
              <w:t xml:space="preserve"> noteiktās</w:t>
            </w:r>
            <w:r>
              <w:rPr>
                <w:sz w:val="26"/>
                <w:szCs w:val="26"/>
              </w:rPr>
              <w:t xml:space="preserve"> </w:t>
            </w:r>
            <w:r w:rsidR="00386E23">
              <w:rPr>
                <w:sz w:val="26"/>
                <w:szCs w:val="26"/>
              </w:rPr>
              <w:t xml:space="preserve">karavīru </w:t>
            </w:r>
            <w:r>
              <w:rPr>
                <w:sz w:val="26"/>
                <w:szCs w:val="26"/>
              </w:rPr>
              <w:t>mēnešalgas</w:t>
            </w:r>
            <w:r w:rsidR="00460C4E">
              <w:rPr>
                <w:sz w:val="26"/>
                <w:szCs w:val="26"/>
              </w:rPr>
              <w:t xml:space="preserve"> vidēji </w:t>
            </w:r>
            <w:r>
              <w:rPr>
                <w:sz w:val="26"/>
                <w:szCs w:val="26"/>
              </w:rPr>
              <w:t>par 10</w:t>
            </w:r>
            <w:r w:rsidR="00305724">
              <w:rPr>
                <w:sz w:val="26"/>
                <w:szCs w:val="26"/>
              </w:rPr>
              <w:t> </w:t>
            </w:r>
            <w:r w:rsidRPr="00460C4E">
              <w:rPr>
                <w:i/>
                <w:sz w:val="26"/>
                <w:szCs w:val="26"/>
              </w:rPr>
              <w:t>euro</w:t>
            </w:r>
            <w:r w:rsidR="00386E23">
              <w:rPr>
                <w:sz w:val="26"/>
                <w:szCs w:val="26"/>
              </w:rPr>
              <w:t>. Vienlaikus projekts paredz palielināt MK noteikumu Nr</w:t>
            </w:r>
            <w:r w:rsidR="004D3B0E">
              <w:rPr>
                <w:sz w:val="26"/>
                <w:szCs w:val="26"/>
              </w:rPr>
              <w:t>.1200</w:t>
            </w:r>
            <w:r w:rsidR="00386E23">
              <w:rPr>
                <w:sz w:val="26"/>
                <w:szCs w:val="26"/>
              </w:rPr>
              <w:t xml:space="preserve"> 2.pielikumā noteiktās piemaksas par dalību starptautiskajā operācijā un 3.pielikumā noteiktās speciālās piemaksas, noapaļojot MK noteikumu Nr</w:t>
            </w:r>
            <w:r w:rsidR="004D3B0E">
              <w:rPr>
                <w:sz w:val="26"/>
                <w:szCs w:val="26"/>
              </w:rPr>
              <w:t>.1200</w:t>
            </w:r>
            <w:r w:rsidR="00386E23">
              <w:rPr>
                <w:sz w:val="26"/>
                <w:szCs w:val="26"/>
              </w:rPr>
              <w:t xml:space="preserve"> 2. un 3.pielikumā noteiktās piemaksas </w:t>
            </w:r>
            <w:r w:rsidR="00305724">
              <w:rPr>
                <w:sz w:val="26"/>
                <w:szCs w:val="26"/>
              </w:rPr>
              <w:t xml:space="preserve">uz augšu </w:t>
            </w:r>
            <w:r w:rsidR="00A9633C">
              <w:rPr>
                <w:sz w:val="26"/>
                <w:szCs w:val="26"/>
              </w:rPr>
              <w:t xml:space="preserve">līdz veseliem </w:t>
            </w:r>
            <w:r w:rsidR="00A9633C" w:rsidRPr="00386E23">
              <w:rPr>
                <w:i/>
                <w:sz w:val="26"/>
                <w:szCs w:val="26"/>
              </w:rPr>
              <w:t>euro</w:t>
            </w:r>
            <w:r w:rsidR="00A9633C">
              <w:rPr>
                <w:sz w:val="26"/>
                <w:szCs w:val="26"/>
              </w:rPr>
              <w:t xml:space="preserve"> vai veseliem desmitiem </w:t>
            </w:r>
            <w:r w:rsidR="00A9633C" w:rsidRPr="00386E23">
              <w:rPr>
                <w:i/>
                <w:sz w:val="26"/>
                <w:szCs w:val="26"/>
              </w:rPr>
              <w:t>euro</w:t>
            </w:r>
            <w:r w:rsidR="00A9633C">
              <w:rPr>
                <w:sz w:val="26"/>
                <w:szCs w:val="26"/>
              </w:rPr>
              <w:t xml:space="preserve"> centu atbilstoši</w:t>
            </w:r>
            <w:r w:rsidR="00305724">
              <w:rPr>
                <w:sz w:val="26"/>
                <w:szCs w:val="26"/>
              </w:rPr>
              <w:t xml:space="preserve"> periodam, par kuru paredzēta konkrētā piemaksa.</w:t>
            </w:r>
          </w:p>
        </w:tc>
      </w:tr>
      <w:tr w:rsidR="0070526D" w:rsidRPr="00A71129" w14:paraId="2351EF0D" w14:textId="77777777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2567" w14:textId="1C5C4045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DC6E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1824" w14:textId="5657264E" w:rsidR="0070526D" w:rsidRPr="00A71129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A71129">
              <w:rPr>
                <w:rFonts w:cs="Times New Roman"/>
                <w:sz w:val="26"/>
                <w:szCs w:val="26"/>
              </w:rPr>
              <w:t>Projekts šo jomu neskar</w:t>
            </w:r>
            <w:r w:rsidR="00B91ED1" w:rsidRPr="00A71129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70526D" w:rsidRPr="00A71129" w14:paraId="137F1BD0" w14:textId="77777777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94A0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7BDE" w14:textId="77777777" w:rsidR="0070526D" w:rsidRPr="00A71129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C0E6" w14:textId="055BE4E9" w:rsidR="0070526D" w:rsidRPr="00A71129" w:rsidRDefault="00B91ED1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70526D" w:rsidRPr="00A71129" w14:paraId="1B861573" w14:textId="77777777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AF64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44FA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06C2" w14:textId="7BB0993B" w:rsidR="0070526D" w:rsidRPr="00A71129" w:rsidRDefault="004C2410" w:rsidP="00130595">
            <w:pPr>
              <w:spacing w:before="75" w:after="75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3AC4DA7A" w14:textId="77777777" w:rsidR="0032718B" w:rsidRPr="00A71129" w:rsidRDefault="0032718B">
      <w:pPr>
        <w:rPr>
          <w:rFonts w:cs="Times New Roman"/>
          <w:sz w:val="26"/>
          <w:szCs w:val="26"/>
        </w:rPr>
      </w:pP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71"/>
        <w:gridCol w:w="6109"/>
      </w:tblGrid>
      <w:tr w:rsidR="00163D55" w:rsidRPr="00531392" w14:paraId="0A7BEB20" w14:textId="77777777" w:rsidTr="00163D5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C030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Pr="0053139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163D55" w:rsidRPr="00531392" w14:paraId="3394607D" w14:textId="77777777" w:rsidTr="003F10BF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DD80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5E28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D22A" w14:textId="0AF6F8D6" w:rsidR="00163D55" w:rsidRPr="00531392" w:rsidRDefault="00163D55" w:rsidP="00E05C5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Pr="00531392">
              <w:rPr>
                <w:rFonts w:cs="Times New Roman"/>
                <w:sz w:val="26"/>
                <w:szCs w:val="26"/>
              </w:rPr>
              <w:t>Nacionālo bruņoto spēku</w:t>
            </w:r>
            <w:r w:rsidR="004B07CA">
              <w:rPr>
                <w:rFonts w:cs="Times New Roman"/>
                <w:sz w:val="26"/>
                <w:szCs w:val="26"/>
              </w:rPr>
              <w:t xml:space="preserve"> profesionālā dienesta karavīri </w:t>
            </w:r>
          </w:p>
        </w:tc>
      </w:tr>
      <w:tr w:rsidR="00163D55" w:rsidRPr="00531392" w14:paraId="30520428" w14:textId="77777777" w:rsidTr="003F10BF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5CF9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93D3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8D78D" w14:textId="6946CEB9" w:rsidR="00163D55" w:rsidRPr="00531392" w:rsidRDefault="00163D55" w:rsidP="008F7D2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4B07C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Zemessargi, kuri saskaņā ar Latvijas Republikas Zemessardzes likumu veic Nacionālo bruņoto spēku komandiera noteikto objektu apsardzi un </w:t>
            </w:r>
            <w:proofErr w:type="spellStart"/>
            <w:r w:rsidR="004B07CA">
              <w:rPr>
                <w:rFonts w:eastAsia="Times New Roman" w:cs="Times New Roman"/>
                <w:sz w:val="26"/>
                <w:szCs w:val="26"/>
                <w:lang w:eastAsia="lv-LV"/>
              </w:rPr>
              <w:t>kiberdrošības</w:t>
            </w:r>
            <w:proofErr w:type="spellEnd"/>
            <w:r w:rsidR="004B07C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pasākumus.</w:t>
            </w:r>
          </w:p>
        </w:tc>
      </w:tr>
      <w:tr w:rsidR="00163D55" w:rsidRPr="00531392" w14:paraId="340FB092" w14:textId="77777777" w:rsidTr="003F10BF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3464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D392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4974" w14:textId="31060DC8" w:rsidR="00163D55" w:rsidRPr="00531392" w:rsidRDefault="00163D55" w:rsidP="0001375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13751">
              <w:rPr>
                <w:rFonts w:eastAsia="Times New Roman" w:cs="Times New Roman"/>
                <w:sz w:val="26"/>
                <w:szCs w:val="26"/>
                <w:lang w:eastAsia="lv-LV"/>
              </w:rPr>
              <w:t>Saskaņā ar projektā paredzēto</w:t>
            </w:r>
            <w:r w:rsidR="008F7D2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1375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no 2014.gada 1.janvāra </w:t>
            </w:r>
            <w:r w:rsidR="008F7D26">
              <w:rPr>
                <w:rFonts w:eastAsia="Times New Roman" w:cs="Times New Roman"/>
                <w:sz w:val="26"/>
                <w:szCs w:val="26"/>
                <w:lang w:eastAsia="lv-LV"/>
              </w:rPr>
              <w:t>karavīr</w:t>
            </w:r>
            <w:r w:rsidR="00013751">
              <w:rPr>
                <w:rFonts w:eastAsia="Times New Roman" w:cs="Times New Roman"/>
                <w:sz w:val="26"/>
                <w:szCs w:val="26"/>
                <w:lang w:eastAsia="lv-LV"/>
              </w:rPr>
              <w:t>a mēnešalga</w:t>
            </w:r>
            <w:r w:rsidR="008F7D2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13751">
              <w:rPr>
                <w:rFonts w:eastAsia="Times New Roman" w:cs="Times New Roman"/>
                <w:sz w:val="26"/>
                <w:szCs w:val="26"/>
                <w:lang w:eastAsia="lv-LV"/>
              </w:rPr>
              <w:t>tiks palielināta vidēji par</w:t>
            </w:r>
            <w:r w:rsidR="008F7D2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10 </w:t>
            </w:r>
            <w:r w:rsidR="008F7D26" w:rsidRPr="008C7CF3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013751">
              <w:rPr>
                <w:rFonts w:eastAsia="Times New Roman" w:cs="Times New Roman"/>
                <w:sz w:val="26"/>
                <w:szCs w:val="26"/>
                <w:lang w:eastAsia="lv-LV"/>
              </w:rPr>
              <w:t>. Tāpat,</w:t>
            </w:r>
            <w:r w:rsidR="007742A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l</w:t>
            </w:r>
            <w:r w:rsidR="007742A3">
              <w:rPr>
                <w:sz w:val="26"/>
                <w:szCs w:val="26"/>
              </w:rPr>
              <w:t xml:space="preserve">ai nodrošinātu uz vienotiem principiem balstītu darba samaksā ietilpstošo komponenšu apmēru noteikšanu, </w:t>
            </w:r>
            <w:r w:rsidR="00013751">
              <w:rPr>
                <w:sz w:val="26"/>
                <w:szCs w:val="26"/>
              </w:rPr>
              <w:t xml:space="preserve">projekts paredz </w:t>
            </w:r>
            <w:r w:rsidR="007742A3">
              <w:rPr>
                <w:sz w:val="26"/>
                <w:szCs w:val="26"/>
              </w:rPr>
              <w:t xml:space="preserve">MK noteikumos Nr.1200 </w:t>
            </w:r>
            <w:r w:rsidR="00013751">
              <w:rPr>
                <w:sz w:val="26"/>
                <w:szCs w:val="26"/>
              </w:rPr>
              <w:t>noteiktās</w:t>
            </w:r>
            <w:r w:rsidR="007742A3">
              <w:rPr>
                <w:sz w:val="26"/>
                <w:szCs w:val="26"/>
              </w:rPr>
              <w:t xml:space="preserve"> piemaksas par dalību starptautiskajā operācijā un speciālās piemaksas </w:t>
            </w:r>
            <w:r w:rsidR="00013751">
              <w:rPr>
                <w:sz w:val="26"/>
                <w:szCs w:val="26"/>
              </w:rPr>
              <w:t>noapaļot</w:t>
            </w:r>
            <w:r w:rsidR="007742A3">
              <w:rPr>
                <w:sz w:val="26"/>
                <w:szCs w:val="26"/>
              </w:rPr>
              <w:t xml:space="preserve"> </w:t>
            </w:r>
            <w:r w:rsidR="00E05C5D">
              <w:rPr>
                <w:sz w:val="26"/>
                <w:szCs w:val="26"/>
              </w:rPr>
              <w:t xml:space="preserve">uz augšu </w:t>
            </w:r>
            <w:r w:rsidR="007742A3">
              <w:rPr>
                <w:sz w:val="26"/>
                <w:szCs w:val="26"/>
              </w:rPr>
              <w:t xml:space="preserve">līdz veseliem </w:t>
            </w:r>
            <w:r w:rsidR="007742A3" w:rsidRPr="007742A3">
              <w:rPr>
                <w:i/>
                <w:sz w:val="26"/>
                <w:szCs w:val="26"/>
              </w:rPr>
              <w:t xml:space="preserve">euro </w:t>
            </w:r>
            <w:r w:rsidR="007742A3">
              <w:rPr>
                <w:sz w:val="26"/>
                <w:szCs w:val="26"/>
              </w:rPr>
              <w:t xml:space="preserve">vai veseliem desmitiem </w:t>
            </w:r>
            <w:r w:rsidR="007742A3" w:rsidRPr="007742A3">
              <w:rPr>
                <w:i/>
                <w:sz w:val="26"/>
                <w:szCs w:val="26"/>
              </w:rPr>
              <w:t>euro</w:t>
            </w:r>
            <w:r w:rsidR="007742A3">
              <w:rPr>
                <w:sz w:val="26"/>
                <w:szCs w:val="26"/>
              </w:rPr>
              <w:t xml:space="preserve"> centu</w:t>
            </w:r>
            <w:r w:rsidR="00E05C5D">
              <w:rPr>
                <w:sz w:val="26"/>
                <w:szCs w:val="26"/>
              </w:rPr>
              <w:t>.</w:t>
            </w:r>
          </w:p>
        </w:tc>
      </w:tr>
      <w:tr w:rsidR="00163D55" w:rsidRPr="00531392" w14:paraId="711D9ACE" w14:textId="77777777" w:rsidTr="003F10BF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AB2D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CAE4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7C19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Projekts šo jomu neskar.</w:t>
            </w:r>
          </w:p>
        </w:tc>
      </w:tr>
      <w:tr w:rsidR="00163D55" w:rsidRPr="00531392" w14:paraId="09D7BE73" w14:textId="77777777" w:rsidTr="003F10BF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B4DE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6F02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68B4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Projekts šo jomu neskar.</w:t>
            </w:r>
          </w:p>
        </w:tc>
      </w:tr>
      <w:tr w:rsidR="00163D55" w:rsidRPr="00531392" w14:paraId="24467E80" w14:textId="77777777" w:rsidTr="003F10BF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1FB66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645AF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Administratīvo izmaksu monetārs </w:t>
            </w: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novērtējums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C04F2" w14:textId="77777777" w:rsidR="00163D55" w:rsidRPr="00531392" w:rsidRDefault="00163D55" w:rsidP="00E166D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Projekts šo jomu neskar.</w:t>
            </w:r>
          </w:p>
        </w:tc>
      </w:tr>
      <w:tr w:rsidR="00163D55" w:rsidRPr="00531392" w14:paraId="2BBDBE6F" w14:textId="77777777" w:rsidTr="003F10BF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AC06" w14:textId="77777777" w:rsidR="00163D55" w:rsidRPr="00531392" w:rsidRDefault="00163D55" w:rsidP="00E166D4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7.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2C82" w14:textId="77777777" w:rsidR="00163D55" w:rsidRPr="00531392" w:rsidRDefault="00163D55" w:rsidP="00E166D4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5843" w14:textId="77777777" w:rsidR="00163D55" w:rsidRPr="00531392" w:rsidRDefault="00163D55" w:rsidP="00E166D4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14:paraId="24AA4455" w14:textId="77777777" w:rsidR="00163D55" w:rsidRDefault="00163D55"/>
    <w:p w14:paraId="38E341F9" w14:textId="77777777" w:rsidR="0046213F" w:rsidRDefault="0046213F"/>
    <w:tbl>
      <w:tblPr>
        <w:tblW w:w="9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409"/>
        <w:gridCol w:w="1968"/>
        <w:gridCol w:w="27"/>
        <w:gridCol w:w="1441"/>
        <w:gridCol w:w="1415"/>
        <w:gridCol w:w="1311"/>
        <w:gridCol w:w="1312"/>
        <w:gridCol w:w="1177"/>
        <w:gridCol w:w="53"/>
      </w:tblGrid>
      <w:tr w:rsidR="003E5830" w:rsidRPr="0046213F" w14:paraId="693E53DE" w14:textId="77777777" w:rsidTr="003E5830">
        <w:trPr>
          <w:gridAfter w:val="1"/>
          <w:wAfter w:w="53" w:type="dxa"/>
          <w:tblCellSpacing w:w="0" w:type="dxa"/>
        </w:trPr>
        <w:tc>
          <w:tcPr>
            <w:tcW w:w="9101" w:type="dxa"/>
            <w:gridSpan w:val="9"/>
            <w:vAlign w:val="center"/>
            <w:hideMark/>
          </w:tcPr>
          <w:p w14:paraId="53EA940B" w14:textId="77777777" w:rsidR="003E5830" w:rsidRPr="00531392" w:rsidRDefault="003E5830" w:rsidP="0046213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 xml:space="preserve"> III. </w:t>
            </w:r>
            <w:r w:rsidRPr="0046213F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Tiesību akta projekta ietekme uz valsts budžetu un pašvaldību budžetiem</w:t>
            </w:r>
          </w:p>
        </w:tc>
      </w:tr>
      <w:tr w:rsidR="003E5830" w:rsidRPr="00531392" w14:paraId="19A8D360" w14:textId="77777777" w:rsidTr="003E5830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vMerge w:val="restart"/>
            <w:vAlign w:val="center"/>
            <w:hideMark/>
          </w:tcPr>
          <w:p w14:paraId="17245EBE" w14:textId="77777777" w:rsidR="003E5830" w:rsidRPr="00531392" w:rsidRDefault="003E5830" w:rsidP="002C6296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2830" w:type="dxa"/>
            <w:gridSpan w:val="2"/>
            <w:vMerge w:val="restart"/>
            <w:vAlign w:val="center"/>
            <w:hideMark/>
          </w:tcPr>
          <w:p w14:paraId="6953527F" w14:textId="29EBBDBD" w:rsidR="003E5830" w:rsidRPr="00531392" w:rsidRDefault="003E5830" w:rsidP="003E5830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2013. gads </w:t>
            </w:r>
          </w:p>
        </w:tc>
        <w:tc>
          <w:tcPr>
            <w:tcW w:w="3859" w:type="dxa"/>
            <w:gridSpan w:val="4"/>
            <w:vAlign w:val="center"/>
            <w:hideMark/>
          </w:tcPr>
          <w:p w14:paraId="3C90CA2C" w14:textId="77777777" w:rsidR="003E5830" w:rsidRPr="00531392" w:rsidRDefault="003E5830" w:rsidP="002C6296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tūkst</w:t>
            </w:r>
            <w:proofErr w:type="spellEnd"/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. euro)</w:t>
            </w:r>
          </w:p>
        </w:tc>
      </w:tr>
      <w:tr w:rsidR="003E5830" w:rsidRPr="00531392" w14:paraId="2AD9F721" w14:textId="77777777" w:rsidTr="003E5830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vMerge/>
            <w:vAlign w:val="center"/>
            <w:hideMark/>
          </w:tcPr>
          <w:p w14:paraId="7CC1D819" w14:textId="77777777" w:rsidR="003E5830" w:rsidRPr="00531392" w:rsidRDefault="003E5830" w:rsidP="002C629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830" w:type="dxa"/>
            <w:gridSpan w:val="2"/>
            <w:vMerge/>
            <w:vAlign w:val="center"/>
            <w:hideMark/>
          </w:tcPr>
          <w:p w14:paraId="338C2933" w14:textId="77777777" w:rsidR="003E5830" w:rsidRPr="00531392" w:rsidRDefault="003E5830" w:rsidP="002C629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  <w:hideMark/>
          </w:tcPr>
          <w:p w14:paraId="23155595" w14:textId="2566789A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2014. gads</w:t>
            </w:r>
            <w:r w:rsidR="00F81A5E">
              <w:rPr>
                <w:sz w:val="26"/>
                <w:szCs w:val="26"/>
                <w:lang w:eastAsia="en-US"/>
              </w:rPr>
              <w:t xml:space="preserve"> *</w:t>
            </w:r>
          </w:p>
        </w:tc>
        <w:tc>
          <w:tcPr>
            <w:tcW w:w="1315" w:type="dxa"/>
            <w:vAlign w:val="center"/>
            <w:hideMark/>
          </w:tcPr>
          <w:p w14:paraId="0480F69F" w14:textId="672D81BC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2015. gads</w:t>
            </w:r>
            <w:r w:rsidR="00F81A5E">
              <w:rPr>
                <w:sz w:val="26"/>
                <w:szCs w:val="26"/>
                <w:lang w:eastAsia="en-US"/>
              </w:rPr>
              <w:t xml:space="preserve"> *</w:t>
            </w:r>
          </w:p>
        </w:tc>
        <w:tc>
          <w:tcPr>
            <w:tcW w:w="1230" w:type="dxa"/>
            <w:gridSpan w:val="2"/>
            <w:vAlign w:val="center"/>
            <w:hideMark/>
          </w:tcPr>
          <w:p w14:paraId="6281DBCB" w14:textId="57D708AD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2016. gads</w:t>
            </w:r>
            <w:r w:rsidR="00F81A5E">
              <w:rPr>
                <w:sz w:val="26"/>
                <w:szCs w:val="26"/>
                <w:lang w:eastAsia="en-US"/>
              </w:rPr>
              <w:t xml:space="preserve"> *</w:t>
            </w:r>
          </w:p>
        </w:tc>
      </w:tr>
      <w:tr w:rsidR="003E5830" w:rsidRPr="00531392" w14:paraId="15EF9D8B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vMerge/>
            <w:vAlign w:val="center"/>
            <w:hideMark/>
          </w:tcPr>
          <w:p w14:paraId="06EA748C" w14:textId="77777777" w:rsidR="003E5830" w:rsidRPr="00531392" w:rsidRDefault="003E5830" w:rsidP="002C6296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42" w:type="dxa"/>
            <w:vAlign w:val="center"/>
            <w:hideMark/>
          </w:tcPr>
          <w:p w14:paraId="6B85E43E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Saskaņā ar valsts budžetu kārtējam gadam</w:t>
            </w:r>
          </w:p>
        </w:tc>
        <w:tc>
          <w:tcPr>
            <w:tcW w:w="1388" w:type="dxa"/>
            <w:vAlign w:val="center"/>
            <w:hideMark/>
          </w:tcPr>
          <w:p w14:paraId="0A920002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Izmaiņas kārtējā gadā, salīdzinot ar budžetu kārtējam gadam</w:t>
            </w:r>
          </w:p>
        </w:tc>
        <w:tc>
          <w:tcPr>
            <w:tcW w:w="1314" w:type="dxa"/>
            <w:vAlign w:val="center"/>
            <w:hideMark/>
          </w:tcPr>
          <w:p w14:paraId="1E170C58" w14:textId="39E736D3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Izmaiņas, salīdzinot ar kārtējo 2013. gadu</w:t>
            </w:r>
          </w:p>
        </w:tc>
        <w:tc>
          <w:tcPr>
            <w:tcW w:w="1315" w:type="dxa"/>
            <w:vAlign w:val="center"/>
            <w:hideMark/>
          </w:tcPr>
          <w:p w14:paraId="7541479C" w14:textId="6195E6F4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Izmaiņas, salīdzinot ar kārtējo 2013. gadu</w:t>
            </w:r>
          </w:p>
        </w:tc>
        <w:tc>
          <w:tcPr>
            <w:tcW w:w="1230" w:type="dxa"/>
            <w:gridSpan w:val="2"/>
            <w:vAlign w:val="center"/>
            <w:hideMark/>
          </w:tcPr>
          <w:p w14:paraId="64651BFD" w14:textId="730F1A0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Izmaiņas, salīdzinot ar kārtējo 2013. gadu</w:t>
            </w:r>
          </w:p>
        </w:tc>
      </w:tr>
      <w:tr w:rsidR="003E5830" w:rsidRPr="00531392" w14:paraId="6DB1BC15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vAlign w:val="center"/>
            <w:hideMark/>
          </w:tcPr>
          <w:p w14:paraId="247B8EC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14:paraId="332215E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88" w:type="dxa"/>
            <w:vAlign w:val="center"/>
            <w:hideMark/>
          </w:tcPr>
          <w:p w14:paraId="3DAE368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14" w:type="dxa"/>
            <w:vAlign w:val="center"/>
            <w:hideMark/>
          </w:tcPr>
          <w:p w14:paraId="5F6F8295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15" w:type="dxa"/>
            <w:vAlign w:val="center"/>
            <w:hideMark/>
          </w:tcPr>
          <w:p w14:paraId="53F1734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0" w:type="dxa"/>
            <w:gridSpan w:val="2"/>
            <w:vAlign w:val="center"/>
            <w:hideMark/>
          </w:tcPr>
          <w:p w14:paraId="70E0733C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31392">
              <w:rPr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3E5830" w:rsidRPr="00531392" w14:paraId="2005D7DF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56895210" w14:textId="77777777" w:rsidR="003E5830" w:rsidRPr="00531392" w:rsidRDefault="003E5830" w:rsidP="002C6296">
            <w:pPr>
              <w:pStyle w:val="naisf"/>
              <w:spacing w:before="0" w:after="0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1. Budžeta ieņēmumi:</w:t>
            </w:r>
          </w:p>
        </w:tc>
        <w:tc>
          <w:tcPr>
            <w:tcW w:w="1442" w:type="dxa"/>
          </w:tcPr>
          <w:p w14:paraId="6D1E00F5" w14:textId="760139E2" w:rsidR="003E5830" w:rsidRPr="003E5830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88" w:type="dxa"/>
          </w:tcPr>
          <w:p w14:paraId="3317AC58" w14:textId="7EF4CD28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14" w:type="dxa"/>
          </w:tcPr>
          <w:p w14:paraId="2E3B70D4" w14:textId="515CA0BD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315" w:type="dxa"/>
          </w:tcPr>
          <w:p w14:paraId="39644C15" w14:textId="79383DA6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230" w:type="dxa"/>
            <w:gridSpan w:val="2"/>
          </w:tcPr>
          <w:p w14:paraId="57C79E04" w14:textId="714AAA3F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+ 1749,2</w:t>
            </w:r>
          </w:p>
        </w:tc>
      </w:tr>
      <w:tr w:rsidR="003E5830" w:rsidRPr="00531392" w14:paraId="5ED22FE3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1B374661" w14:textId="77777777" w:rsidR="003E5830" w:rsidRPr="00531392" w:rsidRDefault="003E5830" w:rsidP="002C6296">
            <w:pPr>
              <w:pStyle w:val="naisf"/>
              <w:spacing w:before="0" w:after="0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442" w:type="dxa"/>
          </w:tcPr>
          <w:p w14:paraId="3293ABD7" w14:textId="644D0638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88" w:type="dxa"/>
          </w:tcPr>
          <w:p w14:paraId="66341E36" w14:textId="34792F9F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14" w:type="dxa"/>
          </w:tcPr>
          <w:p w14:paraId="7877E5EA" w14:textId="3C0984FA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315" w:type="dxa"/>
          </w:tcPr>
          <w:p w14:paraId="2ABC3C38" w14:textId="4CEECAFD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230" w:type="dxa"/>
            <w:gridSpan w:val="2"/>
          </w:tcPr>
          <w:p w14:paraId="125EEDB7" w14:textId="308C0630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+1749,2</w:t>
            </w:r>
          </w:p>
        </w:tc>
      </w:tr>
      <w:tr w:rsidR="003E5830" w:rsidRPr="00531392" w14:paraId="3DD9B8CF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40841053" w14:textId="77777777" w:rsidR="003E5830" w:rsidRPr="00531392" w:rsidRDefault="003E5830" w:rsidP="002C6296">
            <w:pPr>
              <w:pStyle w:val="naisf"/>
              <w:spacing w:before="0" w:after="0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1.2. valsts speciālais budžets</w:t>
            </w:r>
          </w:p>
        </w:tc>
        <w:tc>
          <w:tcPr>
            <w:tcW w:w="1442" w:type="dxa"/>
          </w:tcPr>
          <w:p w14:paraId="2573197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4BA4D7DA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0DF99612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3AFEFC24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631BD57B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219EFB74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6493B0F8" w14:textId="77777777" w:rsidR="003E5830" w:rsidRPr="00531392" w:rsidRDefault="003E5830" w:rsidP="002C6296">
            <w:pPr>
              <w:pStyle w:val="naisf"/>
              <w:spacing w:before="0" w:after="0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1.3. pašvaldību budžets</w:t>
            </w:r>
          </w:p>
        </w:tc>
        <w:tc>
          <w:tcPr>
            <w:tcW w:w="1442" w:type="dxa"/>
          </w:tcPr>
          <w:p w14:paraId="10F8F6C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3A202495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7E283E5E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68ED9EF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7EF895F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111BC601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6B216462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2. Budžeta izdevumi:</w:t>
            </w:r>
          </w:p>
        </w:tc>
        <w:tc>
          <w:tcPr>
            <w:tcW w:w="1442" w:type="dxa"/>
          </w:tcPr>
          <w:p w14:paraId="7B14FC3C" w14:textId="24585BCF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88" w:type="dxa"/>
          </w:tcPr>
          <w:p w14:paraId="6F1D74B8" w14:textId="26000ECF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14" w:type="dxa"/>
          </w:tcPr>
          <w:p w14:paraId="58139879" w14:textId="408AD4A9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315" w:type="dxa"/>
          </w:tcPr>
          <w:p w14:paraId="02CD4DE0" w14:textId="6DB162A5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230" w:type="dxa"/>
            <w:gridSpan w:val="2"/>
          </w:tcPr>
          <w:p w14:paraId="19313DC7" w14:textId="6F6D7AE3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+ 1749,2</w:t>
            </w:r>
          </w:p>
        </w:tc>
      </w:tr>
      <w:tr w:rsidR="003E5830" w:rsidRPr="00531392" w14:paraId="4B102316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7187BC26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2.1. valsts pamatbudžets</w:t>
            </w:r>
          </w:p>
        </w:tc>
        <w:tc>
          <w:tcPr>
            <w:tcW w:w="1442" w:type="dxa"/>
          </w:tcPr>
          <w:p w14:paraId="7F49E8F3" w14:textId="4DC23D1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88" w:type="dxa"/>
          </w:tcPr>
          <w:p w14:paraId="517AA8E3" w14:textId="5584B1CC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Nav attiecināms</w:t>
            </w:r>
          </w:p>
        </w:tc>
        <w:tc>
          <w:tcPr>
            <w:tcW w:w="1314" w:type="dxa"/>
          </w:tcPr>
          <w:p w14:paraId="69ADFAFB" w14:textId="290D2E50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315" w:type="dxa"/>
          </w:tcPr>
          <w:p w14:paraId="52826C50" w14:textId="49223652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+ 887,0</w:t>
            </w:r>
          </w:p>
        </w:tc>
        <w:tc>
          <w:tcPr>
            <w:tcW w:w="1230" w:type="dxa"/>
            <w:gridSpan w:val="2"/>
          </w:tcPr>
          <w:p w14:paraId="70821FF0" w14:textId="4A27A352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+1749,2</w:t>
            </w:r>
          </w:p>
        </w:tc>
      </w:tr>
      <w:tr w:rsidR="003E5830" w:rsidRPr="00531392" w14:paraId="0A3EC087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451EE838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2.2. valsts speciālais budžets</w:t>
            </w:r>
          </w:p>
        </w:tc>
        <w:tc>
          <w:tcPr>
            <w:tcW w:w="1442" w:type="dxa"/>
          </w:tcPr>
          <w:p w14:paraId="4DBF9565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49D3107E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412C9295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66002BA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2F988BFA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44E68B35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246CB231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442" w:type="dxa"/>
          </w:tcPr>
          <w:p w14:paraId="78FCCFA6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15B708F2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29DEE64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6735451A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01A8D456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120AD01B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5B775149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3. Finansiālā ietekme:</w:t>
            </w:r>
          </w:p>
        </w:tc>
        <w:tc>
          <w:tcPr>
            <w:tcW w:w="1442" w:type="dxa"/>
          </w:tcPr>
          <w:p w14:paraId="0B764B7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5438F36F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27DFCACF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4F7426B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35FEFBB3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2310ABB1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43DE59A0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3.1. valsts pamatbudžets</w:t>
            </w:r>
          </w:p>
        </w:tc>
        <w:tc>
          <w:tcPr>
            <w:tcW w:w="1442" w:type="dxa"/>
          </w:tcPr>
          <w:p w14:paraId="4421235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4655C71A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63C40C0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730D8137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682308AC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2DC3CCEC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51976CC8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3.2. speciālais budžets</w:t>
            </w:r>
          </w:p>
        </w:tc>
        <w:tc>
          <w:tcPr>
            <w:tcW w:w="1442" w:type="dxa"/>
          </w:tcPr>
          <w:p w14:paraId="3935196F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451D9CE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1C1A15A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2FBC79B0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6C95114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748A6B61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4B993933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442" w:type="dxa"/>
          </w:tcPr>
          <w:p w14:paraId="50342D9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8" w:type="dxa"/>
          </w:tcPr>
          <w:p w14:paraId="7CC618C6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56B16E1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6FD98CD2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07FC490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1ADB97A1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2093"/>
          <w:jc w:val="center"/>
        </w:trPr>
        <w:tc>
          <w:tcPr>
            <w:tcW w:w="2422" w:type="dxa"/>
            <w:gridSpan w:val="3"/>
            <w:hideMark/>
          </w:tcPr>
          <w:p w14:paraId="7D466045" w14:textId="77777777" w:rsidR="003E5830" w:rsidRPr="00531392" w:rsidRDefault="003E5830" w:rsidP="002C6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lastRenderedPageBreak/>
              <w:t>4. Finanšu līdzekļi papildu izde</w:t>
            </w:r>
            <w:r w:rsidRPr="00531392">
              <w:rPr>
                <w:rFonts w:cs="Times New Roman"/>
                <w:sz w:val="26"/>
                <w:szCs w:val="26"/>
              </w:rPr>
              <w:softHyphen/>
              <w:t>vumu finansēšanai (kompensējošu izdevumu samazinājumu norāda ar "+" zīmi)</w:t>
            </w:r>
          </w:p>
        </w:tc>
        <w:tc>
          <w:tcPr>
            <w:tcW w:w="1442" w:type="dxa"/>
          </w:tcPr>
          <w:p w14:paraId="0FE836F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388" w:type="dxa"/>
          </w:tcPr>
          <w:p w14:paraId="5A91A454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</w:tcPr>
          <w:p w14:paraId="205A1B5C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</w:tcPr>
          <w:p w14:paraId="3BD86107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</w:tcPr>
          <w:p w14:paraId="770F23C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i/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41A3A0F0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7554C058" w14:textId="77777777" w:rsidR="003E5830" w:rsidRPr="00531392" w:rsidRDefault="003E5830" w:rsidP="00A535DA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5. Precizēta finansiālā ietekme:</w:t>
            </w:r>
          </w:p>
        </w:tc>
        <w:tc>
          <w:tcPr>
            <w:tcW w:w="1442" w:type="dxa"/>
            <w:vMerge w:val="restart"/>
            <w:hideMark/>
          </w:tcPr>
          <w:p w14:paraId="4F63ED66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388" w:type="dxa"/>
            <w:hideMark/>
          </w:tcPr>
          <w:p w14:paraId="47973E97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10490D36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  <w:hideMark/>
          </w:tcPr>
          <w:p w14:paraId="5D8C88B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  <w:hideMark/>
          </w:tcPr>
          <w:p w14:paraId="7366965F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31392">
              <w:rPr>
                <w:b/>
                <w:i/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1086E67E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3D61FCB7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5.1. valsts pamatbudžets</w:t>
            </w:r>
          </w:p>
        </w:tc>
        <w:tc>
          <w:tcPr>
            <w:tcW w:w="1442" w:type="dxa"/>
            <w:vMerge/>
            <w:vAlign w:val="center"/>
            <w:hideMark/>
          </w:tcPr>
          <w:p w14:paraId="7328D70A" w14:textId="77777777" w:rsidR="003E5830" w:rsidRPr="00531392" w:rsidRDefault="003E5830" w:rsidP="002C6296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388" w:type="dxa"/>
            <w:hideMark/>
          </w:tcPr>
          <w:p w14:paraId="00CE7D51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0CAA4872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  <w:hideMark/>
          </w:tcPr>
          <w:p w14:paraId="7BAA03D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  <w:hideMark/>
          </w:tcPr>
          <w:p w14:paraId="4462774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7C70B5A1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22452161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5.2. speciālais budžets</w:t>
            </w:r>
          </w:p>
        </w:tc>
        <w:tc>
          <w:tcPr>
            <w:tcW w:w="1442" w:type="dxa"/>
            <w:vMerge/>
            <w:vAlign w:val="center"/>
            <w:hideMark/>
          </w:tcPr>
          <w:p w14:paraId="511E4327" w14:textId="77777777" w:rsidR="003E5830" w:rsidRPr="00531392" w:rsidRDefault="003E5830" w:rsidP="002C6296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388" w:type="dxa"/>
            <w:hideMark/>
          </w:tcPr>
          <w:p w14:paraId="110322DC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405D16C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  <w:hideMark/>
          </w:tcPr>
          <w:p w14:paraId="4E3FCDB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  <w:hideMark/>
          </w:tcPr>
          <w:p w14:paraId="00C40E9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09ED7F99" w14:textId="77777777" w:rsidTr="004D3B0E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0AF4EE95" w14:textId="77777777" w:rsidR="003E5830" w:rsidRPr="00531392" w:rsidRDefault="003E5830" w:rsidP="002C6296">
            <w:pPr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442" w:type="dxa"/>
            <w:vMerge/>
            <w:vAlign w:val="center"/>
            <w:hideMark/>
          </w:tcPr>
          <w:p w14:paraId="71718A57" w14:textId="77777777" w:rsidR="003E5830" w:rsidRPr="00531392" w:rsidRDefault="003E5830" w:rsidP="002C6296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388" w:type="dxa"/>
            <w:hideMark/>
          </w:tcPr>
          <w:p w14:paraId="2BD51EFF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2A12EBFD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5" w:type="dxa"/>
            <w:hideMark/>
          </w:tcPr>
          <w:p w14:paraId="32F40A19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0" w:type="dxa"/>
            <w:gridSpan w:val="2"/>
            <w:hideMark/>
          </w:tcPr>
          <w:p w14:paraId="57343BF8" w14:textId="77777777" w:rsidR="003E5830" w:rsidRPr="00531392" w:rsidRDefault="003E5830" w:rsidP="002C6296">
            <w:pPr>
              <w:pStyle w:val="naisf"/>
              <w:spacing w:before="0" w:after="0"/>
              <w:jc w:val="center"/>
              <w:rPr>
                <w:sz w:val="26"/>
                <w:szCs w:val="26"/>
                <w:lang w:eastAsia="en-US"/>
              </w:rPr>
            </w:pPr>
            <w:r w:rsidRPr="0053139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E5830" w:rsidRPr="00531392" w14:paraId="647FE00B" w14:textId="77777777" w:rsidTr="003E5830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jc w:val="center"/>
        </w:trPr>
        <w:tc>
          <w:tcPr>
            <w:tcW w:w="2422" w:type="dxa"/>
            <w:gridSpan w:val="3"/>
            <w:hideMark/>
          </w:tcPr>
          <w:p w14:paraId="7744D6A3" w14:textId="77777777" w:rsidR="003E5830" w:rsidRPr="00531392" w:rsidRDefault="003E5830" w:rsidP="002C6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531392">
              <w:rPr>
                <w:rFonts w:cs="Times New Roman"/>
                <w:sz w:val="26"/>
                <w:szCs w:val="26"/>
              </w:rPr>
              <w:t>6. Detalizēts ieņēmumu un izdevu</w:t>
            </w:r>
            <w:r w:rsidRPr="00531392">
              <w:rPr>
                <w:rFonts w:cs="Times New Roman"/>
                <w:sz w:val="26"/>
                <w:szCs w:val="26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689" w:type="dxa"/>
            <w:gridSpan w:val="6"/>
          </w:tcPr>
          <w:p w14:paraId="51311ADF" w14:textId="4109F1F1" w:rsidR="003E5830" w:rsidRDefault="004C2410" w:rsidP="00FB45D6">
            <w:pPr>
              <w:ind w:left="34" w:firstLine="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* Atbilstoši Saeimā </w:t>
            </w:r>
            <w:proofErr w:type="spellStart"/>
            <w:r>
              <w:rPr>
                <w:rFonts w:cs="Times New Roman"/>
                <w:sz w:val="26"/>
                <w:szCs w:val="26"/>
              </w:rPr>
              <w:t>š.g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6.novembrī 2.lasījumā pieņemtajam likumprojektam „Par vidēja termiņa budžeta ietvaru 2014., 2015. un 2016.gadam” un likumprojektam „Par valsts budžetu 2014.gadam”, kā arī Finanšu ministrijas veiktajiem </w:t>
            </w:r>
            <w:r w:rsidR="00765949">
              <w:rPr>
                <w:rFonts w:cs="Times New Roman"/>
                <w:sz w:val="26"/>
                <w:szCs w:val="26"/>
              </w:rPr>
              <w:t xml:space="preserve">valsts sektorā nodarbināto mēnešalgu izlīdzināšanai nepieciešamā </w:t>
            </w:r>
            <w:r>
              <w:rPr>
                <w:rFonts w:cs="Times New Roman"/>
                <w:sz w:val="26"/>
                <w:szCs w:val="26"/>
              </w:rPr>
              <w:t>finansējuma aprēķiniem</w:t>
            </w:r>
            <w:r w:rsidR="00765949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Aizsardzības ministrijai</w:t>
            </w:r>
            <w:r w:rsidR="00765949">
              <w:rPr>
                <w:rFonts w:cs="Times New Roman"/>
                <w:sz w:val="26"/>
                <w:szCs w:val="26"/>
              </w:rPr>
              <w:t xml:space="preserve"> 2014. un 2015.gadā zemāko mēnešalgu paaugstināšanai civilpersonām un mēnešalgu izlīdzināšanai karavīriem</w:t>
            </w:r>
            <w:r w:rsidR="003751E7">
              <w:rPr>
                <w:rFonts w:cs="Times New Roman"/>
                <w:sz w:val="26"/>
                <w:szCs w:val="26"/>
              </w:rPr>
              <w:t>/ zemessargiem</w:t>
            </w:r>
            <w:r w:rsidR="00765949">
              <w:rPr>
                <w:rFonts w:cs="Times New Roman"/>
                <w:sz w:val="26"/>
                <w:szCs w:val="26"/>
              </w:rPr>
              <w:t xml:space="preserve"> piešķirti 886</w:t>
            </w:r>
            <w:r w:rsidR="00FB45D6">
              <w:rPr>
                <w:rFonts w:cs="Times New Roman"/>
                <w:sz w:val="26"/>
                <w:szCs w:val="26"/>
              </w:rPr>
              <w:t> </w:t>
            </w:r>
            <w:r w:rsidR="00765949">
              <w:rPr>
                <w:rFonts w:cs="Times New Roman"/>
                <w:sz w:val="26"/>
                <w:szCs w:val="26"/>
              </w:rPr>
              <w:t>964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FB45D6" w:rsidRPr="00765949">
              <w:rPr>
                <w:rFonts w:cs="Times New Roman"/>
                <w:i/>
                <w:sz w:val="26"/>
                <w:szCs w:val="26"/>
              </w:rPr>
              <w:t>euro</w:t>
            </w:r>
            <w:r w:rsidR="00FB45D6">
              <w:rPr>
                <w:rFonts w:cs="Times New Roman"/>
                <w:sz w:val="26"/>
                <w:szCs w:val="26"/>
              </w:rPr>
              <w:t xml:space="preserve"> ik gadu </w:t>
            </w:r>
            <w:r w:rsidR="007E49C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="007E49C2">
              <w:rPr>
                <w:rFonts w:cs="Times New Roman"/>
                <w:sz w:val="26"/>
                <w:szCs w:val="26"/>
              </w:rPr>
              <w:t>t.sk</w:t>
            </w:r>
            <w:proofErr w:type="spellEnd"/>
            <w:r w:rsidR="007E49C2">
              <w:rPr>
                <w:rFonts w:cs="Times New Roman"/>
                <w:sz w:val="26"/>
                <w:szCs w:val="26"/>
              </w:rPr>
              <w:t>.</w:t>
            </w:r>
            <w:r w:rsidR="00FB45D6">
              <w:rPr>
                <w:rFonts w:cs="Times New Roman"/>
                <w:sz w:val="26"/>
                <w:szCs w:val="26"/>
              </w:rPr>
              <w:t xml:space="preserve"> 2014.gadā</w:t>
            </w:r>
            <w:r w:rsidR="007E49C2">
              <w:rPr>
                <w:rFonts w:cs="Times New Roman"/>
                <w:sz w:val="26"/>
                <w:szCs w:val="26"/>
              </w:rPr>
              <w:t xml:space="preserve"> 49</w:t>
            </w:r>
            <w:r w:rsidR="003751E7">
              <w:rPr>
                <w:rFonts w:cs="Times New Roman"/>
                <w:sz w:val="26"/>
                <w:szCs w:val="26"/>
              </w:rPr>
              <w:t>13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3751E7">
              <w:rPr>
                <w:rFonts w:cs="Times New Roman"/>
                <w:sz w:val="26"/>
                <w:szCs w:val="26"/>
              </w:rPr>
              <w:t>karavīriem un 264 zemessargiem</w:t>
            </w:r>
            <w:r w:rsidR="007E49C2">
              <w:rPr>
                <w:rFonts w:cs="Times New Roman"/>
                <w:sz w:val="26"/>
                <w:szCs w:val="26"/>
              </w:rPr>
              <w:t xml:space="preserve"> </w:t>
            </w:r>
            <w:r w:rsidR="00CF51D4">
              <w:rPr>
                <w:rFonts w:cs="Times New Roman"/>
                <w:sz w:val="26"/>
                <w:szCs w:val="26"/>
              </w:rPr>
              <w:t>–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CF51D4">
              <w:rPr>
                <w:rFonts w:cs="Times New Roman"/>
                <w:sz w:val="26"/>
                <w:szCs w:val="26"/>
              </w:rPr>
              <w:t xml:space="preserve">provizoriski </w:t>
            </w:r>
            <w:r w:rsidR="003751E7">
              <w:rPr>
                <w:rFonts w:cs="Times New Roman"/>
                <w:sz w:val="26"/>
                <w:szCs w:val="26"/>
              </w:rPr>
              <w:t>767 790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FB45D6" w:rsidRPr="00FB45D6">
              <w:rPr>
                <w:rFonts w:cs="Times New Roman"/>
                <w:i/>
                <w:sz w:val="26"/>
                <w:szCs w:val="26"/>
              </w:rPr>
              <w:t>euro</w:t>
            </w:r>
            <w:r w:rsidR="00FB45D6">
              <w:rPr>
                <w:rFonts w:cs="Times New Roman"/>
                <w:sz w:val="26"/>
                <w:szCs w:val="26"/>
              </w:rPr>
              <w:t>, 2015.gadā 4</w:t>
            </w:r>
            <w:r w:rsidR="003751E7">
              <w:rPr>
                <w:rFonts w:cs="Times New Roman"/>
                <w:sz w:val="26"/>
                <w:szCs w:val="26"/>
              </w:rPr>
              <w:t>913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3751E7">
              <w:rPr>
                <w:rFonts w:cs="Times New Roman"/>
                <w:sz w:val="26"/>
                <w:szCs w:val="26"/>
              </w:rPr>
              <w:t>karavīriem un 274 zemessargiem</w:t>
            </w:r>
            <w:r w:rsidR="00FB45D6">
              <w:rPr>
                <w:rFonts w:cs="Times New Roman"/>
                <w:sz w:val="26"/>
                <w:szCs w:val="26"/>
              </w:rPr>
              <w:t xml:space="preserve"> – </w:t>
            </w:r>
            <w:r w:rsidR="00CF51D4">
              <w:rPr>
                <w:rFonts w:cs="Times New Roman"/>
                <w:sz w:val="26"/>
                <w:szCs w:val="26"/>
              </w:rPr>
              <w:t xml:space="preserve">provizoriski </w:t>
            </w:r>
            <w:r w:rsidR="003751E7">
              <w:rPr>
                <w:rFonts w:cs="Times New Roman"/>
                <w:sz w:val="26"/>
                <w:szCs w:val="26"/>
              </w:rPr>
              <w:t>769 274</w:t>
            </w:r>
            <w:r w:rsidR="00FB45D6">
              <w:rPr>
                <w:rFonts w:cs="Times New Roman"/>
                <w:sz w:val="26"/>
                <w:szCs w:val="26"/>
              </w:rPr>
              <w:t xml:space="preserve"> </w:t>
            </w:r>
            <w:r w:rsidR="00FB45D6" w:rsidRPr="00FB45D6">
              <w:rPr>
                <w:rFonts w:cs="Times New Roman"/>
                <w:i/>
                <w:sz w:val="26"/>
                <w:szCs w:val="26"/>
              </w:rPr>
              <w:t>euro</w:t>
            </w:r>
            <w:r w:rsidR="00FB45D6">
              <w:rPr>
                <w:rFonts w:cs="Times New Roman"/>
                <w:sz w:val="26"/>
                <w:szCs w:val="26"/>
              </w:rPr>
              <w:t>)</w:t>
            </w:r>
            <w:r w:rsidR="00765949">
              <w:rPr>
                <w:rFonts w:cs="Times New Roman"/>
                <w:sz w:val="26"/>
                <w:szCs w:val="26"/>
              </w:rPr>
              <w:t>, savukārt 2016.gadā – 1 749 183</w:t>
            </w:r>
            <w:r w:rsidR="00765949" w:rsidRPr="00765949">
              <w:rPr>
                <w:rFonts w:cs="Times New Roman"/>
                <w:i/>
                <w:sz w:val="26"/>
                <w:szCs w:val="26"/>
              </w:rPr>
              <w:t xml:space="preserve"> euro</w:t>
            </w:r>
            <w:r w:rsidR="00765949">
              <w:rPr>
                <w:rFonts w:cs="Times New Roman"/>
                <w:sz w:val="26"/>
                <w:szCs w:val="26"/>
              </w:rPr>
              <w:t>.</w:t>
            </w:r>
          </w:p>
          <w:p w14:paraId="0015EF09" w14:textId="46B25409" w:rsidR="00B65FAA" w:rsidRPr="00531392" w:rsidRDefault="00B65FAA" w:rsidP="00FB45D6">
            <w:pPr>
              <w:ind w:left="34" w:firstLine="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Savukārt informācija par projektā </w:t>
            </w:r>
            <w:r w:rsidR="00F2095D">
              <w:rPr>
                <w:rFonts w:cs="Times New Roman"/>
                <w:sz w:val="26"/>
                <w:szCs w:val="26"/>
              </w:rPr>
              <w:t>paredzēto karavīru mēnešalgu palielinājumu un izmaiņām piemaksu par dalību starptautiskajās operācijās un speciālo piemaksu apmēros ats</w:t>
            </w:r>
            <w:r w:rsidR="00680B40">
              <w:rPr>
                <w:rFonts w:cs="Times New Roman"/>
                <w:sz w:val="26"/>
                <w:szCs w:val="26"/>
              </w:rPr>
              <w:t>poguļota</w:t>
            </w:r>
            <w:r w:rsidR="008C49C6">
              <w:rPr>
                <w:rFonts w:cs="Times New Roman"/>
                <w:sz w:val="26"/>
                <w:szCs w:val="26"/>
              </w:rPr>
              <w:t xml:space="preserve"> anotācijas pielikumos</w:t>
            </w:r>
            <w:r w:rsidR="00F2095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E5830" w:rsidRPr="00531392" w14:paraId="5CBA6D5B" w14:textId="77777777" w:rsidTr="003E5830">
        <w:trPr>
          <w:gridAfter w:val="1"/>
          <w:wAfter w:w="53" w:type="dxa"/>
          <w:trHeight w:val="467"/>
          <w:tblCellSpacing w:w="0" w:type="dxa"/>
        </w:trPr>
        <w:tc>
          <w:tcPr>
            <w:tcW w:w="460" w:type="dxa"/>
            <w:gridSpan w:val="2"/>
            <w:hideMark/>
          </w:tcPr>
          <w:p w14:paraId="18C2F38C" w14:textId="77777777" w:rsidR="003E5830" w:rsidRPr="00531392" w:rsidRDefault="003E5830" w:rsidP="002C6296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978" w:type="dxa"/>
            <w:hideMark/>
          </w:tcPr>
          <w:p w14:paraId="0A05F20B" w14:textId="77777777" w:rsidR="003E5830" w:rsidRPr="00531392" w:rsidRDefault="003E5830" w:rsidP="002C6296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31392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663" w:type="dxa"/>
            <w:gridSpan w:val="6"/>
            <w:hideMark/>
          </w:tcPr>
          <w:p w14:paraId="5FB27835" w14:textId="55D594E9" w:rsidR="003E5830" w:rsidRPr="00531392" w:rsidRDefault="004C2410" w:rsidP="00FB45D6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izpildi Aizsardzības ministrija 2014. un turpmākajos gados nodrošinās atbilstoši piešķirtajiem budžeta līdzekļiem,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t.sk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atbilstoši </w:t>
            </w:r>
            <w:r w:rsidR="00FB45D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Saeimā </w:t>
            </w:r>
            <w:proofErr w:type="spellStart"/>
            <w:r w:rsidR="00FB45D6">
              <w:rPr>
                <w:rFonts w:eastAsia="Times New Roman" w:cs="Times New Roman"/>
                <w:sz w:val="26"/>
                <w:szCs w:val="26"/>
                <w:lang w:eastAsia="lv-LV"/>
              </w:rPr>
              <w:t>š.g</w:t>
            </w:r>
            <w:proofErr w:type="spellEnd"/>
            <w:r w:rsidR="00FB45D6">
              <w:rPr>
                <w:rFonts w:eastAsia="Times New Roman" w:cs="Times New Roman"/>
                <w:sz w:val="26"/>
                <w:szCs w:val="26"/>
                <w:lang w:eastAsia="lv-LV"/>
              </w:rPr>
              <w:t>. 6.novembrī 2.</w:t>
            </w:r>
            <w:r w:rsidR="00FB45D6">
              <w:rPr>
                <w:rFonts w:cs="Times New Roman"/>
                <w:sz w:val="26"/>
                <w:szCs w:val="26"/>
              </w:rPr>
              <w:t xml:space="preserve">lasījumā pieņemtajā likumprojektā „Par vidēja termiņa budžeta ietvaru 2014., 2015. un 2016.gadam” iekļautajam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papildu finansējum</w:t>
            </w:r>
            <w:r w:rsidR="00FB45D6">
              <w:rPr>
                <w:rFonts w:eastAsia="Times New Roman" w:cs="Times New Roman"/>
                <w:sz w:val="26"/>
                <w:szCs w:val="26"/>
                <w:lang w:eastAsia="lv-LV"/>
              </w:rPr>
              <w:t>am mēnešalgu izlīdzināšanai, kā arī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no </w:t>
            </w:r>
            <w:r w:rsidRPr="00130595">
              <w:rPr>
                <w:rFonts w:eastAsia="Times New Roman" w:cs="Times New Roman"/>
                <w:sz w:val="26"/>
                <w:szCs w:val="26"/>
                <w:lang w:eastAsia="lv-LV"/>
              </w:rPr>
              <w:t>sociālās apdro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šināšanas obligāto iemaksu likmes</w:t>
            </w:r>
            <w:r w:rsidRPr="00130595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darba devējam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(no 24,09% uz 23,59%) samazināšanas ietaupītajiem līdzekļiem</w:t>
            </w:r>
            <w:r w:rsidRPr="00130595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77022FAB" w14:textId="77777777" w:rsidR="003E5830" w:rsidRDefault="003E5830"/>
    <w:tbl>
      <w:tblPr>
        <w:tblW w:w="924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1793"/>
        <w:gridCol w:w="6794"/>
      </w:tblGrid>
      <w:tr w:rsidR="00721A02" w14:paraId="655D4281" w14:textId="77777777" w:rsidTr="003E5830">
        <w:trPr>
          <w:tblCellSpacing w:w="20" w:type="dxa"/>
        </w:trPr>
        <w:tc>
          <w:tcPr>
            <w:tcW w:w="9161" w:type="dxa"/>
            <w:gridSpan w:val="3"/>
            <w:hideMark/>
          </w:tcPr>
          <w:p w14:paraId="7FBF34E5" w14:textId="77777777" w:rsidR="00721A02" w:rsidRDefault="00721A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721A0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IV. Tiesību akta projekta ietekme uz spēkā esošo tiesību normu sistēmu</w:t>
            </w:r>
          </w:p>
        </w:tc>
      </w:tr>
      <w:tr w:rsidR="00721A02" w14:paraId="22AEDAD2" w14:textId="77777777" w:rsidTr="003E5830">
        <w:trPr>
          <w:tblCellSpacing w:w="20" w:type="dxa"/>
        </w:trPr>
        <w:tc>
          <w:tcPr>
            <w:tcW w:w="594" w:type="dxa"/>
            <w:hideMark/>
          </w:tcPr>
          <w:p w14:paraId="45CD3EE2" w14:textId="77777777" w:rsidR="00721A02" w:rsidRPr="00721A02" w:rsidRDefault="00721A0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53" w:type="dxa"/>
            <w:hideMark/>
          </w:tcPr>
          <w:p w14:paraId="6DF22CC8" w14:textId="77777777" w:rsidR="00721A02" w:rsidRPr="00721A02" w:rsidRDefault="00721A0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Nepieciešamie saistītie tiesību aktu projekti</w:t>
            </w:r>
          </w:p>
        </w:tc>
        <w:tc>
          <w:tcPr>
            <w:tcW w:w="6734" w:type="dxa"/>
            <w:hideMark/>
          </w:tcPr>
          <w:p w14:paraId="3FA0DDDC" w14:textId="15FF9E15" w:rsidR="00721A02" w:rsidRDefault="00721A02" w:rsidP="00E2034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Būs nepieciešams izdot Ministru kabineta rīkojumu „Par koeficienta noteikšanu piemaksas aprēķināšanai karavīriem, kuri piedalās starptautiskās miera nodrošināšanas operācijās” un atzīt par spēku zaudējušu Ministru kabineta 201</w:t>
            </w:r>
            <w:r w:rsidR="00E20341">
              <w:rPr>
                <w:rFonts w:eastAsia="Times New Roman" w:cs="Times New Roman"/>
                <w:sz w:val="26"/>
                <w:szCs w:val="26"/>
                <w:lang w:eastAsia="lv-LV"/>
              </w:rPr>
              <w:t>1</w:t>
            </w: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gada </w:t>
            </w:r>
            <w:r w:rsidR="00E20341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25.maija rīkojumu Nr.213</w:t>
            </w: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„Par koeficienta noteikšanu piemaksas aprēķināšanai karavīriem, kuri piedalās starptautiskajā miera nodrošināšanas operācijā</w:t>
            </w:r>
            <w:r w:rsidR="00E20341"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”</w:t>
            </w:r>
            <w:r w:rsidR="00DF090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(Latvijas Vēstnesis, 2011, 82.nr.)</w:t>
            </w: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  <w:r w:rsidR="000402D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Par Ministru kabineta rīkojuma</w:t>
            </w:r>
            <w:r w:rsidR="00DF090D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izstrādi atbildīgā institūcija – Aizsardzības ministrija.</w:t>
            </w:r>
          </w:p>
          <w:p w14:paraId="47946336" w14:textId="03BC5691" w:rsidR="00DF090D" w:rsidRPr="00721A02" w:rsidRDefault="00DF090D" w:rsidP="00E2034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Projekts paredz atcelt Ministru kabineta 2013.gada 29.oktobra noteikumus Nr.1200 „Noteikumi par karavīru mēnešalgas un speciālo piemaksu noteikšanas kārtību un to apmēru” (Latvijas Vēstnesis, 2013, 215.nr.).</w:t>
            </w:r>
          </w:p>
        </w:tc>
      </w:tr>
      <w:tr w:rsidR="00721A02" w14:paraId="5B6E0C0F" w14:textId="77777777" w:rsidTr="003E5830">
        <w:trPr>
          <w:tblCellSpacing w:w="20" w:type="dxa"/>
        </w:trPr>
        <w:tc>
          <w:tcPr>
            <w:tcW w:w="594" w:type="dxa"/>
            <w:hideMark/>
          </w:tcPr>
          <w:p w14:paraId="290D79B7" w14:textId="196C0E2D" w:rsidR="00721A02" w:rsidRPr="00721A02" w:rsidRDefault="00721A0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753" w:type="dxa"/>
            <w:hideMark/>
          </w:tcPr>
          <w:p w14:paraId="050329A4" w14:textId="77777777" w:rsidR="00721A02" w:rsidRPr="00721A02" w:rsidRDefault="00721A0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6734" w:type="dxa"/>
            <w:hideMark/>
          </w:tcPr>
          <w:p w14:paraId="656128FB" w14:textId="77777777" w:rsidR="00721A02" w:rsidRPr="00721A02" w:rsidRDefault="00721A0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21A02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4CB0BD9E" w14:textId="77777777" w:rsidR="009C2967" w:rsidRPr="00A71129" w:rsidRDefault="009C2967">
      <w:pPr>
        <w:rPr>
          <w:rFonts w:cs="Times New Roman"/>
          <w:sz w:val="26"/>
          <w:szCs w:val="26"/>
        </w:rPr>
      </w:pPr>
    </w:p>
    <w:p w14:paraId="2BD94DEB" w14:textId="77777777" w:rsidR="00E4178A" w:rsidRPr="00A71129" w:rsidRDefault="00E4178A" w:rsidP="00115E82">
      <w:pPr>
        <w:rPr>
          <w:rFonts w:eastAsia="Times New Roman" w:cs="Times New Roman"/>
          <w:iCs/>
          <w:sz w:val="26"/>
          <w:szCs w:val="26"/>
          <w:lang w:eastAsia="lv-LV"/>
        </w:rPr>
      </w:pPr>
    </w:p>
    <w:p w14:paraId="4A8EEFD6" w14:textId="43C0D148" w:rsidR="0070526D" w:rsidRPr="00A71129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A71129">
        <w:rPr>
          <w:rFonts w:eastAsia="Times New Roman" w:cs="Times New Roman"/>
          <w:i/>
          <w:iCs/>
          <w:sz w:val="26"/>
          <w:szCs w:val="26"/>
          <w:lang w:eastAsia="lv-LV"/>
        </w:rPr>
        <w:t>Anotācijas</w:t>
      </w:r>
      <w:r w:rsidR="00A16F91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Pr="00A71129">
        <w:rPr>
          <w:rFonts w:eastAsia="Times New Roman" w:cs="Times New Roman"/>
          <w:i/>
          <w:iCs/>
          <w:sz w:val="26"/>
          <w:szCs w:val="26"/>
          <w:lang w:eastAsia="lv-LV"/>
        </w:rPr>
        <w:t>V</w:t>
      </w:r>
      <w:r w:rsidR="009267D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A71129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DF090D">
        <w:rPr>
          <w:rFonts w:eastAsia="Times New Roman" w:cs="Times New Roman"/>
          <w:i/>
          <w:sz w:val="26"/>
          <w:szCs w:val="26"/>
          <w:lang w:eastAsia="lv-LV"/>
        </w:rPr>
        <w:t>projekts šīs jomas</w:t>
      </w:r>
      <w:r w:rsidR="00E77C7F" w:rsidRPr="00A71129">
        <w:rPr>
          <w:rFonts w:eastAsia="Times New Roman" w:cs="Times New Roman"/>
          <w:i/>
          <w:sz w:val="26"/>
          <w:szCs w:val="26"/>
          <w:lang w:eastAsia="lv-LV"/>
        </w:rPr>
        <w:t xml:space="preserve"> neskar</w:t>
      </w:r>
      <w:r w:rsidRPr="00A71129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14:paraId="6893B8CF" w14:textId="77777777" w:rsidR="009D6B6F" w:rsidRPr="00A71129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41A30B31" w14:textId="77777777" w:rsidR="0032718B" w:rsidRPr="00A71129" w:rsidRDefault="0032718B" w:rsidP="0032718B">
      <w:pPr>
        <w:pStyle w:val="naisc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26F131D7" w14:textId="2B82062C" w:rsidR="0032718B" w:rsidRPr="00A71129" w:rsidRDefault="0032718B" w:rsidP="00DF090D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A71129">
        <w:rPr>
          <w:sz w:val="26"/>
          <w:szCs w:val="26"/>
        </w:rPr>
        <w:t>Aizsardzības ministrs</w:t>
      </w:r>
      <w:r w:rsidR="00DF090D">
        <w:rPr>
          <w:sz w:val="26"/>
          <w:szCs w:val="26"/>
        </w:rPr>
        <w:tab/>
      </w:r>
      <w:proofErr w:type="spellStart"/>
      <w:r w:rsidRPr="00A71129">
        <w:rPr>
          <w:sz w:val="26"/>
          <w:szCs w:val="26"/>
        </w:rPr>
        <w:t>A.Pabriks</w:t>
      </w:r>
      <w:proofErr w:type="spellEnd"/>
    </w:p>
    <w:p w14:paraId="0E11D32F" w14:textId="77777777" w:rsidR="0032718B" w:rsidRDefault="0032718B" w:rsidP="00DF090D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50CE689C" w14:textId="77777777" w:rsidR="009C778E" w:rsidRDefault="009C778E" w:rsidP="00DF090D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199001D7" w14:textId="77777777" w:rsidR="009C778E" w:rsidRPr="00A71129" w:rsidRDefault="009C778E" w:rsidP="00DF090D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5CDF6FE3" w14:textId="363395B6" w:rsidR="0032718B" w:rsidRPr="00A71129" w:rsidRDefault="0032718B" w:rsidP="00DF090D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A71129">
        <w:rPr>
          <w:sz w:val="26"/>
          <w:szCs w:val="26"/>
        </w:rPr>
        <w:t>Vīza: valsts sekretārs</w:t>
      </w:r>
      <w:r w:rsidR="00DF090D">
        <w:rPr>
          <w:sz w:val="26"/>
          <w:szCs w:val="26"/>
        </w:rPr>
        <w:tab/>
      </w:r>
      <w:r w:rsidRPr="00A71129">
        <w:rPr>
          <w:sz w:val="26"/>
          <w:szCs w:val="26"/>
        </w:rPr>
        <w:t>J.Sārts</w:t>
      </w:r>
    </w:p>
    <w:p w14:paraId="02D4520D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69FF6275" w14:textId="77777777" w:rsidR="00A71129" w:rsidRDefault="00A71129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68DBE724" w14:textId="77777777" w:rsidR="00A71129" w:rsidRDefault="00A71129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4C8990E7" w14:textId="77777777" w:rsidR="009C778E" w:rsidRDefault="009C778E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5488D94A" w14:textId="77777777" w:rsidR="009C778E" w:rsidRDefault="009C778E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2104D0E3" w14:textId="77777777" w:rsidR="009C778E" w:rsidRPr="00A71129" w:rsidRDefault="009C778E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443A9B57" w14:textId="77777777" w:rsidR="0032718B" w:rsidRPr="000239DD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</w:p>
    <w:p w14:paraId="760814C3" w14:textId="44AC4569" w:rsidR="0032718B" w:rsidRDefault="00AA62F3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27</w:t>
      </w:r>
      <w:r w:rsidR="00E20341">
        <w:rPr>
          <w:sz w:val="20"/>
        </w:rPr>
        <w:t>.</w:t>
      </w:r>
      <w:r w:rsidR="009C778E">
        <w:rPr>
          <w:sz w:val="20"/>
        </w:rPr>
        <w:t>11</w:t>
      </w:r>
      <w:r w:rsidR="00DC53EF">
        <w:rPr>
          <w:sz w:val="20"/>
        </w:rPr>
        <w:t xml:space="preserve">.2013 </w:t>
      </w:r>
      <w:r>
        <w:rPr>
          <w:sz w:val="20"/>
        </w:rPr>
        <w:t>15:21</w:t>
      </w:r>
    </w:p>
    <w:p w14:paraId="2F116A9C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911AB6">
        <w:rPr>
          <w:noProof/>
          <w:sz w:val="20"/>
        </w:rPr>
        <w:t>1092</w:t>
      </w:r>
      <w:r>
        <w:rPr>
          <w:sz w:val="20"/>
        </w:rPr>
        <w:fldChar w:fldCharType="end"/>
      </w:r>
      <w:bookmarkStart w:id="0" w:name="_GoBack"/>
      <w:bookmarkEnd w:id="0"/>
    </w:p>
    <w:p w14:paraId="4A33C08F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proofErr w:type="spellStart"/>
      <w:r>
        <w:rPr>
          <w:sz w:val="20"/>
        </w:rPr>
        <w:t>I.Jursiņa-Videmane</w:t>
      </w:r>
      <w:proofErr w:type="spellEnd"/>
    </w:p>
    <w:p w14:paraId="3E6EF847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e-pasta adrese: ineta.jursina@mod.gov.lv</w:t>
      </w:r>
    </w:p>
    <w:p w14:paraId="42379CD3" w14:textId="77777777" w:rsidR="0032718B" w:rsidRPr="000239DD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proofErr w:type="spellStart"/>
      <w:r>
        <w:rPr>
          <w:sz w:val="20"/>
        </w:rPr>
        <w:t>tālr</w:t>
      </w:r>
      <w:proofErr w:type="spellEnd"/>
      <w:r>
        <w:rPr>
          <w:sz w:val="20"/>
        </w:rPr>
        <w:t>.: 67335162</w:t>
      </w:r>
    </w:p>
    <w:p w14:paraId="08B1B1EC" w14:textId="326DA55C" w:rsidR="00D03CC9" w:rsidRPr="00E4178A" w:rsidRDefault="0032718B" w:rsidP="0032718B">
      <w:pPr>
        <w:pStyle w:val="naisc"/>
        <w:spacing w:before="0" w:beforeAutospacing="0" w:after="0" w:afterAutospacing="0"/>
        <w:jc w:val="both"/>
        <w:rPr>
          <w:sz w:val="22"/>
        </w:rPr>
      </w:pPr>
      <w:r w:rsidRPr="000239DD">
        <w:rPr>
          <w:sz w:val="20"/>
        </w:rPr>
        <w:t>fakss: 67212307</w:t>
      </w:r>
    </w:p>
    <w:sectPr w:rsidR="00D03CC9" w:rsidRPr="00E4178A" w:rsidSect="0032718B">
      <w:headerReference w:type="default" r:id="rId9"/>
      <w:footerReference w:type="default" r:id="rId10"/>
      <w:footerReference w:type="first" r:id="rId11"/>
      <w:pgSz w:w="11906" w:h="16838"/>
      <w:pgMar w:top="109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20C0" w14:textId="77777777" w:rsidR="009B19CF" w:rsidRDefault="009B19CF" w:rsidP="007740F2">
      <w:r>
        <w:separator/>
      </w:r>
    </w:p>
  </w:endnote>
  <w:endnote w:type="continuationSeparator" w:id="0">
    <w:p w14:paraId="05861749" w14:textId="77777777" w:rsidR="009B19CF" w:rsidRDefault="009B19CF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F9D5" w14:textId="6FF8CF1B" w:rsidR="00342495" w:rsidRPr="002D7C11" w:rsidRDefault="00342495" w:rsidP="00342495">
    <w:pPr>
      <w:pStyle w:val="Footer"/>
      <w:jc w:val="both"/>
      <w:rPr>
        <w:sz w:val="20"/>
        <w:szCs w:val="20"/>
      </w:rPr>
    </w:pPr>
    <w:r w:rsidRPr="002D7C11">
      <w:rPr>
        <w:sz w:val="20"/>
        <w:szCs w:val="20"/>
      </w:rPr>
      <w:fldChar w:fldCharType="begin"/>
    </w:r>
    <w:r w:rsidRPr="002D7C11">
      <w:rPr>
        <w:sz w:val="20"/>
        <w:szCs w:val="20"/>
      </w:rPr>
      <w:instrText xml:space="preserve"> FILENAME   \* MERGEFORMAT </w:instrText>
    </w:r>
    <w:r w:rsidRPr="002D7C11">
      <w:rPr>
        <w:sz w:val="20"/>
        <w:szCs w:val="20"/>
      </w:rPr>
      <w:fldChar w:fldCharType="separate"/>
    </w:r>
    <w:r w:rsidR="00911AB6">
      <w:rPr>
        <w:noProof/>
        <w:sz w:val="20"/>
        <w:szCs w:val="20"/>
      </w:rPr>
      <w:t>AIMAnot_271113_algas.docx</w:t>
    </w:r>
    <w:r w:rsidRPr="002D7C11">
      <w:rPr>
        <w:sz w:val="20"/>
        <w:szCs w:val="20"/>
      </w:rPr>
      <w:fldChar w:fldCharType="end"/>
    </w:r>
    <w:r w:rsidRPr="002D7C11">
      <w:rPr>
        <w:sz w:val="20"/>
        <w:szCs w:val="20"/>
      </w:rPr>
      <w:t>; Anotācija Ministru kabineta noteikumu projektam „Noteikumi par karavīra mēnešalgas un speciālo piemaksu noteikšanas kārtību un to apmēru”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52C2" w14:textId="372E3A4B" w:rsidR="009A5FD3" w:rsidRPr="002D7C11" w:rsidRDefault="002D7C11" w:rsidP="006F48E7">
    <w:pPr>
      <w:pStyle w:val="Footer"/>
      <w:jc w:val="both"/>
      <w:rPr>
        <w:sz w:val="20"/>
        <w:szCs w:val="20"/>
      </w:rPr>
    </w:pPr>
    <w:r w:rsidRPr="002D7C11">
      <w:rPr>
        <w:sz w:val="20"/>
        <w:szCs w:val="20"/>
      </w:rPr>
      <w:fldChar w:fldCharType="begin"/>
    </w:r>
    <w:r w:rsidRPr="002D7C11">
      <w:rPr>
        <w:sz w:val="20"/>
        <w:szCs w:val="20"/>
      </w:rPr>
      <w:instrText xml:space="preserve"> FILENAME   \* MERGEFORMAT </w:instrText>
    </w:r>
    <w:r w:rsidRPr="002D7C11">
      <w:rPr>
        <w:sz w:val="20"/>
        <w:szCs w:val="20"/>
      </w:rPr>
      <w:fldChar w:fldCharType="separate"/>
    </w:r>
    <w:r w:rsidR="00911AB6">
      <w:rPr>
        <w:noProof/>
        <w:sz w:val="20"/>
        <w:szCs w:val="20"/>
      </w:rPr>
      <w:t>AIMAnot_271113_algas.docx</w:t>
    </w:r>
    <w:r w:rsidRPr="002D7C11">
      <w:rPr>
        <w:sz w:val="20"/>
        <w:szCs w:val="20"/>
      </w:rPr>
      <w:fldChar w:fldCharType="end"/>
    </w:r>
    <w:r w:rsidR="00251E6E" w:rsidRPr="002D7C11">
      <w:rPr>
        <w:sz w:val="20"/>
        <w:szCs w:val="20"/>
      </w:rPr>
      <w:t xml:space="preserve">; Anotācija </w:t>
    </w:r>
    <w:r w:rsidRPr="002D7C11">
      <w:rPr>
        <w:sz w:val="20"/>
        <w:szCs w:val="20"/>
      </w:rPr>
      <w:t xml:space="preserve">Ministru kabineta </w:t>
    </w:r>
    <w:r w:rsidR="00D22162" w:rsidRPr="002D7C11">
      <w:rPr>
        <w:sz w:val="20"/>
        <w:szCs w:val="20"/>
      </w:rPr>
      <w:t>noteikumu</w:t>
    </w:r>
    <w:r w:rsidRPr="002D7C11">
      <w:rPr>
        <w:sz w:val="20"/>
        <w:szCs w:val="20"/>
      </w:rPr>
      <w:t xml:space="preserve"> projektam</w:t>
    </w:r>
    <w:r w:rsidR="00D22162" w:rsidRPr="002D7C11">
      <w:rPr>
        <w:sz w:val="20"/>
        <w:szCs w:val="20"/>
      </w:rPr>
      <w:t xml:space="preserve"> „</w:t>
    </w:r>
    <w:r w:rsidRPr="002D7C11">
      <w:rPr>
        <w:sz w:val="20"/>
        <w:szCs w:val="20"/>
      </w:rPr>
      <w:t>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D36F" w14:textId="77777777" w:rsidR="009B19CF" w:rsidRDefault="009B19CF" w:rsidP="007740F2">
      <w:r>
        <w:separator/>
      </w:r>
    </w:p>
  </w:footnote>
  <w:footnote w:type="continuationSeparator" w:id="0">
    <w:p w14:paraId="7921D1EA" w14:textId="77777777" w:rsidR="009B19CF" w:rsidRDefault="009B19CF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4D152F" w14:textId="77777777"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A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325E9D" w14:textId="77777777"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FA521D1"/>
    <w:multiLevelType w:val="hybridMultilevel"/>
    <w:tmpl w:val="6EE839FC"/>
    <w:lvl w:ilvl="0" w:tplc="03984B8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0225E"/>
    <w:rsid w:val="00013751"/>
    <w:rsid w:val="00014EB6"/>
    <w:rsid w:val="00017E1C"/>
    <w:rsid w:val="00026F6C"/>
    <w:rsid w:val="00030942"/>
    <w:rsid w:val="000402D2"/>
    <w:rsid w:val="00041BC5"/>
    <w:rsid w:val="00051A8F"/>
    <w:rsid w:val="000520FB"/>
    <w:rsid w:val="000608D1"/>
    <w:rsid w:val="0006168D"/>
    <w:rsid w:val="00062334"/>
    <w:rsid w:val="000726C0"/>
    <w:rsid w:val="00084A17"/>
    <w:rsid w:val="00095DBE"/>
    <w:rsid w:val="000A3048"/>
    <w:rsid w:val="000B1D1D"/>
    <w:rsid w:val="000B439D"/>
    <w:rsid w:val="000B54FE"/>
    <w:rsid w:val="000C0DAA"/>
    <w:rsid w:val="000C30B6"/>
    <w:rsid w:val="000C4DF9"/>
    <w:rsid w:val="000C54DC"/>
    <w:rsid w:val="000C6947"/>
    <w:rsid w:val="000D363C"/>
    <w:rsid w:val="000E2542"/>
    <w:rsid w:val="000E48F7"/>
    <w:rsid w:val="000F2A5F"/>
    <w:rsid w:val="000F66B5"/>
    <w:rsid w:val="00107913"/>
    <w:rsid w:val="00115E82"/>
    <w:rsid w:val="0012014A"/>
    <w:rsid w:val="00120262"/>
    <w:rsid w:val="00120BB1"/>
    <w:rsid w:val="00122717"/>
    <w:rsid w:val="0012536F"/>
    <w:rsid w:val="00130595"/>
    <w:rsid w:val="00131852"/>
    <w:rsid w:val="00133FC3"/>
    <w:rsid w:val="0013757A"/>
    <w:rsid w:val="0014131D"/>
    <w:rsid w:val="00142743"/>
    <w:rsid w:val="0014438B"/>
    <w:rsid w:val="00151874"/>
    <w:rsid w:val="00152376"/>
    <w:rsid w:val="001544B1"/>
    <w:rsid w:val="00161AF0"/>
    <w:rsid w:val="00161D6A"/>
    <w:rsid w:val="00163D55"/>
    <w:rsid w:val="00181AC7"/>
    <w:rsid w:val="00182716"/>
    <w:rsid w:val="0018679A"/>
    <w:rsid w:val="00192B03"/>
    <w:rsid w:val="001952CE"/>
    <w:rsid w:val="001A0D1C"/>
    <w:rsid w:val="001A5D75"/>
    <w:rsid w:val="001A7971"/>
    <w:rsid w:val="001B1E3E"/>
    <w:rsid w:val="001B4200"/>
    <w:rsid w:val="001C2CD5"/>
    <w:rsid w:val="001C6D54"/>
    <w:rsid w:val="001D7B24"/>
    <w:rsid w:val="001F0620"/>
    <w:rsid w:val="00200731"/>
    <w:rsid w:val="0021016B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64829"/>
    <w:rsid w:val="002721A1"/>
    <w:rsid w:val="0027277F"/>
    <w:rsid w:val="002842DF"/>
    <w:rsid w:val="00285BE4"/>
    <w:rsid w:val="002A3DAE"/>
    <w:rsid w:val="002A429F"/>
    <w:rsid w:val="002B0490"/>
    <w:rsid w:val="002B33E3"/>
    <w:rsid w:val="002B5BA9"/>
    <w:rsid w:val="002D0201"/>
    <w:rsid w:val="002D7C11"/>
    <w:rsid w:val="002E107B"/>
    <w:rsid w:val="002E6224"/>
    <w:rsid w:val="002E69E7"/>
    <w:rsid w:val="002F0760"/>
    <w:rsid w:val="002F14AD"/>
    <w:rsid w:val="002F3858"/>
    <w:rsid w:val="0030223A"/>
    <w:rsid w:val="00305724"/>
    <w:rsid w:val="00317A5C"/>
    <w:rsid w:val="00322C30"/>
    <w:rsid w:val="003243DA"/>
    <w:rsid w:val="00324680"/>
    <w:rsid w:val="00325216"/>
    <w:rsid w:val="0032718B"/>
    <w:rsid w:val="003338AE"/>
    <w:rsid w:val="00342495"/>
    <w:rsid w:val="003426A8"/>
    <w:rsid w:val="0035017E"/>
    <w:rsid w:val="003539EF"/>
    <w:rsid w:val="003608AD"/>
    <w:rsid w:val="0036096D"/>
    <w:rsid w:val="00366B90"/>
    <w:rsid w:val="003718BB"/>
    <w:rsid w:val="003751E7"/>
    <w:rsid w:val="00377F94"/>
    <w:rsid w:val="00384F49"/>
    <w:rsid w:val="00385736"/>
    <w:rsid w:val="00386E23"/>
    <w:rsid w:val="003A020A"/>
    <w:rsid w:val="003A6BB3"/>
    <w:rsid w:val="003A6C4D"/>
    <w:rsid w:val="003B544A"/>
    <w:rsid w:val="003B7D1C"/>
    <w:rsid w:val="003C133C"/>
    <w:rsid w:val="003D3104"/>
    <w:rsid w:val="003D47B9"/>
    <w:rsid w:val="003D5034"/>
    <w:rsid w:val="003E312E"/>
    <w:rsid w:val="003E333B"/>
    <w:rsid w:val="003E5830"/>
    <w:rsid w:val="003E67CA"/>
    <w:rsid w:val="003F10BF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0C4E"/>
    <w:rsid w:val="0046213F"/>
    <w:rsid w:val="004629E6"/>
    <w:rsid w:val="0046430C"/>
    <w:rsid w:val="004704D8"/>
    <w:rsid w:val="00473FED"/>
    <w:rsid w:val="00474629"/>
    <w:rsid w:val="004807EA"/>
    <w:rsid w:val="0049019A"/>
    <w:rsid w:val="0049050E"/>
    <w:rsid w:val="004B07CA"/>
    <w:rsid w:val="004C0984"/>
    <w:rsid w:val="004C2410"/>
    <w:rsid w:val="004C266E"/>
    <w:rsid w:val="004C7763"/>
    <w:rsid w:val="004D0194"/>
    <w:rsid w:val="004D38F2"/>
    <w:rsid w:val="004D3B0E"/>
    <w:rsid w:val="004E2368"/>
    <w:rsid w:val="004E63DA"/>
    <w:rsid w:val="004F4590"/>
    <w:rsid w:val="004F6E25"/>
    <w:rsid w:val="00501105"/>
    <w:rsid w:val="00523728"/>
    <w:rsid w:val="00527A7F"/>
    <w:rsid w:val="00530E60"/>
    <w:rsid w:val="00534B24"/>
    <w:rsid w:val="005356E5"/>
    <w:rsid w:val="005366F2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0D31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2F87"/>
    <w:rsid w:val="00680B40"/>
    <w:rsid w:val="00684105"/>
    <w:rsid w:val="0069205F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21A02"/>
    <w:rsid w:val="00727473"/>
    <w:rsid w:val="00735475"/>
    <w:rsid w:val="0073757A"/>
    <w:rsid w:val="00752068"/>
    <w:rsid w:val="00752BA2"/>
    <w:rsid w:val="00760C6B"/>
    <w:rsid w:val="007636B7"/>
    <w:rsid w:val="00765949"/>
    <w:rsid w:val="00765FFD"/>
    <w:rsid w:val="00772841"/>
    <w:rsid w:val="00773525"/>
    <w:rsid w:val="007740F2"/>
    <w:rsid w:val="007742A3"/>
    <w:rsid w:val="007745A6"/>
    <w:rsid w:val="00774DC7"/>
    <w:rsid w:val="00776CCD"/>
    <w:rsid w:val="0078004D"/>
    <w:rsid w:val="0078057E"/>
    <w:rsid w:val="00781424"/>
    <w:rsid w:val="007903C2"/>
    <w:rsid w:val="007911EB"/>
    <w:rsid w:val="00791A4B"/>
    <w:rsid w:val="00794CE5"/>
    <w:rsid w:val="007959DE"/>
    <w:rsid w:val="00795C4D"/>
    <w:rsid w:val="00796CCD"/>
    <w:rsid w:val="007A4F44"/>
    <w:rsid w:val="007A7A56"/>
    <w:rsid w:val="007B5773"/>
    <w:rsid w:val="007B5ACE"/>
    <w:rsid w:val="007D5B1F"/>
    <w:rsid w:val="007D791F"/>
    <w:rsid w:val="007D7971"/>
    <w:rsid w:val="007E49C2"/>
    <w:rsid w:val="007E6B54"/>
    <w:rsid w:val="007F1998"/>
    <w:rsid w:val="007F1CFD"/>
    <w:rsid w:val="00803914"/>
    <w:rsid w:val="00812BA6"/>
    <w:rsid w:val="00814D08"/>
    <w:rsid w:val="00826821"/>
    <w:rsid w:val="00835068"/>
    <w:rsid w:val="00843AF3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8151D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49C6"/>
    <w:rsid w:val="008C6C7D"/>
    <w:rsid w:val="008C7CF3"/>
    <w:rsid w:val="008D01F8"/>
    <w:rsid w:val="008D11BA"/>
    <w:rsid w:val="008D33D9"/>
    <w:rsid w:val="008D3851"/>
    <w:rsid w:val="008D5368"/>
    <w:rsid w:val="008E6AFB"/>
    <w:rsid w:val="008F7D26"/>
    <w:rsid w:val="00902FFE"/>
    <w:rsid w:val="00911AB6"/>
    <w:rsid w:val="00921B9C"/>
    <w:rsid w:val="00923883"/>
    <w:rsid w:val="009267DF"/>
    <w:rsid w:val="0093094C"/>
    <w:rsid w:val="0093409E"/>
    <w:rsid w:val="00935378"/>
    <w:rsid w:val="009451ED"/>
    <w:rsid w:val="00955248"/>
    <w:rsid w:val="00966010"/>
    <w:rsid w:val="00966DD4"/>
    <w:rsid w:val="00980821"/>
    <w:rsid w:val="009809A3"/>
    <w:rsid w:val="0099229E"/>
    <w:rsid w:val="009933D8"/>
    <w:rsid w:val="00996495"/>
    <w:rsid w:val="009A5FD3"/>
    <w:rsid w:val="009B19CF"/>
    <w:rsid w:val="009B236A"/>
    <w:rsid w:val="009B4C0B"/>
    <w:rsid w:val="009B6CFA"/>
    <w:rsid w:val="009C2967"/>
    <w:rsid w:val="009C6BC3"/>
    <w:rsid w:val="009C778E"/>
    <w:rsid w:val="009C7CB7"/>
    <w:rsid w:val="009D02ED"/>
    <w:rsid w:val="009D37D8"/>
    <w:rsid w:val="009D6228"/>
    <w:rsid w:val="009D6B6F"/>
    <w:rsid w:val="009E4040"/>
    <w:rsid w:val="009E423D"/>
    <w:rsid w:val="009F1C8A"/>
    <w:rsid w:val="009F28A1"/>
    <w:rsid w:val="009F49A6"/>
    <w:rsid w:val="009F502C"/>
    <w:rsid w:val="009F71E7"/>
    <w:rsid w:val="00A1143E"/>
    <w:rsid w:val="00A16F91"/>
    <w:rsid w:val="00A2399D"/>
    <w:rsid w:val="00A535DA"/>
    <w:rsid w:val="00A56FD2"/>
    <w:rsid w:val="00A57A47"/>
    <w:rsid w:val="00A71129"/>
    <w:rsid w:val="00A72ACE"/>
    <w:rsid w:val="00A74BC9"/>
    <w:rsid w:val="00A923DC"/>
    <w:rsid w:val="00A9576B"/>
    <w:rsid w:val="00A9633C"/>
    <w:rsid w:val="00A976A4"/>
    <w:rsid w:val="00AA2299"/>
    <w:rsid w:val="00AA62F3"/>
    <w:rsid w:val="00AB20BE"/>
    <w:rsid w:val="00AB2AB2"/>
    <w:rsid w:val="00AB7A60"/>
    <w:rsid w:val="00AC702C"/>
    <w:rsid w:val="00AD1C05"/>
    <w:rsid w:val="00AD3610"/>
    <w:rsid w:val="00AD5C69"/>
    <w:rsid w:val="00AE3020"/>
    <w:rsid w:val="00AE3AF1"/>
    <w:rsid w:val="00AE5A6F"/>
    <w:rsid w:val="00AF079B"/>
    <w:rsid w:val="00B12DD9"/>
    <w:rsid w:val="00B14926"/>
    <w:rsid w:val="00B253BC"/>
    <w:rsid w:val="00B254E1"/>
    <w:rsid w:val="00B26E00"/>
    <w:rsid w:val="00B30D51"/>
    <w:rsid w:val="00B360CE"/>
    <w:rsid w:val="00B40370"/>
    <w:rsid w:val="00B4486A"/>
    <w:rsid w:val="00B52B42"/>
    <w:rsid w:val="00B5420C"/>
    <w:rsid w:val="00B6122D"/>
    <w:rsid w:val="00B65FAA"/>
    <w:rsid w:val="00B670AB"/>
    <w:rsid w:val="00B71B92"/>
    <w:rsid w:val="00B73B49"/>
    <w:rsid w:val="00B7762B"/>
    <w:rsid w:val="00B807F7"/>
    <w:rsid w:val="00B91ED1"/>
    <w:rsid w:val="00B91F6C"/>
    <w:rsid w:val="00B93AD7"/>
    <w:rsid w:val="00BA0537"/>
    <w:rsid w:val="00BA1E74"/>
    <w:rsid w:val="00BA20D0"/>
    <w:rsid w:val="00BA2654"/>
    <w:rsid w:val="00BA3912"/>
    <w:rsid w:val="00BA3DC6"/>
    <w:rsid w:val="00BA5C0C"/>
    <w:rsid w:val="00BB2AF0"/>
    <w:rsid w:val="00BB7856"/>
    <w:rsid w:val="00BD7AF4"/>
    <w:rsid w:val="00C030E6"/>
    <w:rsid w:val="00C04576"/>
    <w:rsid w:val="00C11128"/>
    <w:rsid w:val="00C258BC"/>
    <w:rsid w:val="00C27314"/>
    <w:rsid w:val="00C41080"/>
    <w:rsid w:val="00C53084"/>
    <w:rsid w:val="00C56ED0"/>
    <w:rsid w:val="00C60184"/>
    <w:rsid w:val="00C60F8C"/>
    <w:rsid w:val="00C674C2"/>
    <w:rsid w:val="00C728BB"/>
    <w:rsid w:val="00C76D46"/>
    <w:rsid w:val="00C80A73"/>
    <w:rsid w:val="00C82D4E"/>
    <w:rsid w:val="00C84F1F"/>
    <w:rsid w:val="00C86BC8"/>
    <w:rsid w:val="00C92A5F"/>
    <w:rsid w:val="00C9383B"/>
    <w:rsid w:val="00CA529E"/>
    <w:rsid w:val="00CA651F"/>
    <w:rsid w:val="00CB589D"/>
    <w:rsid w:val="00CB67AC"/>
    <w:rsid w:val="00CC35D2"/>
    <w:rsid w:val="00CD0DDE"/>
    <w:rsid w:val="00CD76A1"/>
    <w:rsid w:val="00CE2D10"/>
    <w:rsid w:val="00CE30D1"/>
    <w:rsid w:val="00CE4104"/>
    <w:rsid w:val="00CE7A8D"/>
    <w:rsid w:val="00CF4D3B"/>
    <w:rsid w:val="00CF51D4"/>
    <w:rsid w:val="00CF742B"/>
    <w:rsid w:val="00D03CC9"/>
    <w:rsid w:val="00D07C37"/>
    <w:rsid w:val="00D22162"/>
    <w:rsid w:val="00D237F7"/>
    <w:rsid w:val="00D35312"/>
    <w:rsid w:val="00D37D0A"/>
    <w:rsid w:val="00D478F4"/>
    <w:rsid w:val="00D528C9"/>
    <w:rsid w:val="00D57E12"/>
    <w:rsid w:val="00D64500"/>
    <w:rsid w:val="00D659ED"/>
    <w:rsid w:val="00D752AF"/>
    <w:rsid w:val="00D76AD0"/>
    <w:rsid w:val="00D81CB1"/>
    <w:rsid w:val="00D82F5F"/>
    <w:rsid w:val="00D8541C"/>
    <w:rsid w:val="00D86844"/>
    <w:rsid w:val="00D90101"/>
    <w:rsid w:val="00D90AC4"/>
    <w:rsid w:val="00D93309"/>
    <w:rsid w:val="00D93F45"/>
    <w:rsid w:val="00D9437D"/>
    <w:rsid w:val="00DA1516"/>
    <w:rsid w:val="00DA2445"/>
    <w:rsid w:val="00DB2E0E"/>
    <w:rsid w:val="00DC0088"/>
    <w:rsid w:val="00DC29FB"/>
    <w:rsid w:val="00DC526E"/>
    <w:rsid w:val="00DC53EF"/>
    <w:rsid w:val="00DD561C"/>
    <w:rsid w:val="00DD773D"/>
    <w:rsid w:val="00DF090D"/>
    <w:rsid w:val="00DF219A"/>
    <w:rsid w:val="00DF2257"/>
    <w:rsid w:val="00DF4B58"/>
    <w:rsid w:val="00DF56E7"/>
    <w:rsid w:val="00E02CB0"/>
    <w:rsid w:val="00E040B8"/>
    <w:rsid w:val="00E05C5D"/>
    <w:rsid w:val="00E1233D"/>
    <w:rsid w:val="00E16B00"/>
    <w:rsid w:val="00E17245"/>
    <w:rsid w:val="00E20341"/>
    <w:rsid w:val="00E20D5A"/>
    <w:rsid w:val="00E222EA"/>
    <w:rsid w:val="00E24549"/>
    <w:rsid w:val="00E25652"/>
    <w:rsid w:val="00E30C8C"/>
    <w:rsid w:val="00E31AA0"/>
    <w:rsid w:val="00E34609"/>
    <w:rsid w:val="00E414CA"/>
    <w:rsid w:val="00E4178A"/>
    <w:rsid w:val="00E50555"/>
    <w:rsid w:val="00E528B3"/>
    <w:rsid w:val="00E60AE8"/>
    <w:rsid w:val="00E76494"/>
    <w:rsid w:val="00E77C7F"/>
    <w:rsid w:val="00E833C2"/>
    <w:rsid w:val="00E84721"/>
    <w:rsid w:val="00EA7AB6"/>
    <w:rsid w:val="00EB0AD9"/>
    <w:rsid w:val="00EB2C1E"/>
    <w:rsid w:val="00EB39A0"/>
    <w:rsid w:val="00EC5F66"/>
    <w:rsid w:val="00ED34A0"/>
    <w:rsid w:val="00EF3296"/>
    <w:rsid w:val="00F01922"/>
    <w:rsid w:val="00F020D9"/>
    <w:rsid w:val="00F025CE"/>
    <w:rsid w:val="00F0470B"/>
    <w:rsid w:val="00F152C2"/>
    <w:rsid w:val="00F15843"/>
    <w:rsid w:val="00F16110"/>
    <w:rsid w:val="00F2095D"/>
    <w:rsid w:val="00F259C9"/>
    <w:rsid w:val="00F3457C"/>
    <w:rsid w:val="00F4097F"/>
    <w:rsid w:val="00F4712B"/>
    <w:rsid w:val="00F47558"/>
    <w:rsid w:val="00F535B4"/>
    <w:rsid w:val="00F60CA6"/>
    <w:rsid w:val="00F6632C"/>
    <w:rsid w:val="00F708BC"/>
    <w:rsid w:val="00F7330C"/>
    <w:rsid w:val="00F76776"/>
    <w:rsid w:val="00F81A5E"/>
    <w:rsid w:val="00F8684A"/>
    <w:rsid w:val="00F93423"/>
    <w:rsid w:val="00F94342"/>
    <w:rsid w:val="00F94DEB"/>
    <w:rsid w:val="00F96BD4"/>
    <w:rsid w:val="00FA241A"/>
    <w:rsid w:val="00FA2FDC"/>
    <w:rsid w:val="00FB01E2"/>
    <w:rsid w:val="00FB1F36"/>
    <w:rsid w:val="00FB45D6"/>
    <w:rsid w:val="00FB5B96"/>
    <w:rsid w:val="00FD3453"/>
    <w:rsid w:val="00FE5D02"/>
    <w:rsid w:val="00FF12AF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9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05DE-D68B-4572-AB98-7CA4A61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E572FA42.dotm</Template>
  <TotalTime>224</TotalTime>
  <Pages>5</Pages>
  <Words>1112</Words>
  <Characters>7377</Characters>
  <Application>Microsoft Office Word</Application>
  <DocSecurity>0</DocSecurity>
  <Lines>409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 noteikumu projekts "Noteikumi par karavīra mēnešalgas un speciālo piemaksu noteikšanas kārtību un to apmēru"</vt:lpstr>
    </vt:vector>
  </TitlesOfParts>
  <Manager>Resursu plānošanas departaments</Manager>
  <Company>Aizsardzības ministrija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 noteikumu projekts "Noteikumi par karavīra mēnešalgas un speciālo piemaksu noteikšanas kārtību un to apmēru"</dc:title>
  <dc:subject>Anotācija</dc:subject>
  <dc:creator>I.Jursiņa-Videmane</dc:creator>
  <dc:description>ineta.jursina@mod.gov.lv_x000d_
67335162</dc:description>
  <cp:lastModifiedBy>Ineta Jursina</cp:lastModifiedBy>
  <cp:revision>8</cp:revision>
  <cp:lastPrinted>2013-11-27T13:37:00Z</cp:lastPrinted>
  <dcterms:created xsi:type="dcterms:W3CDTF">2013-11-14T08:30:00Z</dcterms:created>
  <dcterms:modified xsi:type="dcterms:W3CDTF">2013-11-27T13:37:00Z</dcterms:modified>
</cp:coreProperties>
</file>