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AC" w:rsidRPr="00716907" w:rsidRDefault="00210CAC" w:rsidP="00210CAC">
      <w:pPr>
        <w:jc w:val="center"/>
        <w:rPr>
          <w:b/>
          <w:sz w:val="26"/>
          <w:szCs w:val="26"/>
        </w:rPr>
      </w:pPr>
      <w:r w:rsidRPr="00716907">
        <w:rPr>
          <w:b/>
          <w:sz w:val="26"/>
          <w:szCs w:val="26"/>
        </w:rPr>
        <w:t xml:space="preserve">Ministru kabineta noteikumu projekta „Grozījums Ministru kabineta 2009.gada 22.decembra noteikumos Nr.1564 „Noteikumi par valsts aizsardzības militāro objektu un iepirkumu centra sniegto publisko maksas pakalpojumu cenrādi”” </w:t>
      </w:r>
    </w:p>
    <w:p w:rsidR="00210CAC" w:rsidRPr="00F45DB7" w:rsidRDefault="00210CAC" w:rsidP="00F45DB7">
      <w:pPr>
        <w:jc w:val="center"/>
        <w:rPr>
          <w:b/>
          <w:sz w:val="26"/>
          <w:szCs w:val="26"/>
        </w:rPr>
      </w:pPr>
      <w:r w:rsidRPr="00716907">
        <w:rPr>
          <w:b/>
          <w:sz w:val="26"/>
          <w:szCs w:val="26"/>
        </w:rPr>
        <w:t>sākotnējās ietekmes novērtējuma ziņojums (anotācija)</w:t>
      </w:r>
    </w:p>
    <w:p w:rsidR="00F45DB7" w:rsidRPr="009A2715" w:rsidRDefault="00F45DB7" w:rsidP="00210CAC">
      <w:pPr>
        <w:jc w:val="center"/>
        <w:rPr>
          <w:b/>
          <w:sz w:val="28"/>
          <w:szCs w:val="28"/>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384"/>
        <w:gridCol w:w="241"/>
        <w:gridCol w:w="2374"/>
        <w:gridCol w:w="1072"/>
        <w:gridCol w:w="1072"/>
        <w:gridCol w:w="1452"/>
      </w:tblGrid>
      <w:tr w:rsidR="00210CAC" w:rsidRPr="00155FCC" w:rsidTr="00F45DB7">
        <w:trPr>
          <w:trHeight w:val="171"/>
        </w:trPr>
        <w:tc>
          <w:tcPr>
            <w:tcW w:w="5000" w:type="pct"/>
            <w:gridSpan w:val="7"/>
          </w:tcPr>
          <w:p w:rsidR="00210CAC" w:rsidRDefault="00210CAC" w:rsidP="00253E48">
            <w:pPr>
              <w:pStyle w:val="naisc"/>
              <w:spacing w:before="0" w:after="0"/>
              <w:rPr>
                <w:b/>
                <w:bCs/>
                <w:sz w:val="24"/>
                <w:szCs w:val="24"/>
              </w:rPr>
            </w:pPr>
          </w:p>
          <w:p w:rsidR="00210CAC" w:rsidRDefault="00210CAC" w:rsidP="00253E48">
            <w:pPr>
              <w:pStyle w:val="naisc"/>
              <w:spacing w:before="0" w:after="0"/>
              <w:rPr>
                <w:b/>
                <w:bCs/>
                <w:sz w:val="24"/>
                <w:szCs w:val="24"/>
              </w:rPr>
            </w:pPr>
            <w:r w:rsidRPr="00E44A25">
              <w:rPr>
                <w:b/>
                <w:bCs/>
                <w:sz w:val="24"/>
                <w:szCs w:val="24"/>
              </w:rPr>
              <w:t>I. Tiesību akta projekta izstrādes nepieciešamība</w:t>
            </w:r>
          </w:p>
          <w:p w:rsidR="00210CAC" w:rsidRPr="00E44A25" w:rsidRDefault="00210CAC" w:rsidP="00253E48">
            <w:pPr>
              <w:pStyle w:val="naisc"/>
              <w:spacing w:before="0" w:after="0"/>
              <w:rPr>
                <w:sz w:val="24"/>
                <w:szCs w:val="24"/>
              </w:rPr>
            </w:pPr>
          </w:p>
        </w:tc>
      </w:tr>
      <w:tr w:rsidR="00210CAC" w:rsidRPr="00155FCC" w:rsidTr="00F45DB7">
        <w:tc>
          <w:tcPr>
            <w:tcW w:w="1617" w:type="pct"/>
            <w:gridSpan w:val="2"/>
          </w:tcPr>
          <w:p w:rsidR="00210CAC" w:rsidRPr="00155FCC" w:rsidRDefault="00210CAC" w:rsidP="00253E48">
            <w:pPr>
              <w:pStyle w:val="naisf"/>
              <w:tabs>
                <w:tab w:val="left" w:pos="180"/>
              </w:tabs>
              <w:spacing w:before="0" w:after="0"/>
              <w:ind w:firstLine="0"/>
            </w:pPr>
            <w:r w:rsidRPr="00155FCC">
              <w:t>1.Pamatojums</w:t>
            </w:r>
          </w:p>
        </w:tc>
        <w:tc>
          <w:tcPr>
            <w:tcW w:w="3383" w:type="pct"/>
            <w:gridSpan w:val="5"/>
          </w:tcPr>
          <w:p w:rsidR="00F45DB7" w:rsidRPr="00CC0020" w:rsidRDefault="00210CAC" w:rsidP="00CC0020">
            <w:pPr>
              <w:jc w:val="both"/>
            </w:pPr>
            <w:r w:rsidRPr="00F6414C">
              <w:t>Ministru kabineta (turpmāk -</w:t>
            </w:r>
            <w:r>
              <w:t xml:space="preserve"> </w:t>
            </w:r>
            <w:r w:rsidRPr="00F6414C">
              <w:t>MK) noteikumu projekta izstrādes nepieciešamība izriet no Likuma par budžetu un finanšu vadību 5.panta devītās daļas, MK 2009.gada 15.decembra noteikumu Nr.1418 „Valsts aizsardzības militāro objektu un iepirkumu centra nolikums” 2.6.</w:t>
            </w:r>
            <w:r w:rsidR="00F73F07">
              <w:t>apakš</w:t>
            </w:r>
            <w:r w:rsidRPr="00F6414C">
              <w:t>punkta</w:t>
            </w:r>
            <w:r w:rsidR="00CC0020">
              <w:t>,</w:t>
            </w:r>
            <w:r w:rsidRPr="00F6414C">
              <w:t xml:space="preserve"> 201</w:t>
            </w:r>
            <w:r w:rsidR="00E62877">
              <w:t>2</w:t>
            </w:r>
            <w:r w:rsidRPr="00F6414C">
              <w:t xml:space="preserve">.gada </w:t>
            </w:r>
            <w:r w:rsidR="00CC0020">
              <w:t xml:space="preserve">24.maija likuma „Grozījumi likumā „Par pievienotās vērtības nodokli”” (zaudējis spēku) un </w:t>
            </w:r>
            <w:r w:rsidR="00CC0020" w:rsidRPr="00CC0020">
              <w:t>Pievienotās vērtības nodokļa likuma 41.panta pirm</w:t>
            </w:r>
            <w:r w:rsidR="00CC0020">
              <w:t>ā daļas</w:t>
            </w:r>
            <w:r w:rsidRPr="00F6414C">
              <w:t>.</w:t>
            </w:r>
          </w:p>
        </w:tc>
      </w:tr>
      <w:tr w:rsidR="00210CAC" w:rsidRPr="00155FCC" w:rsidTr="00F45DB7">
        <w:tc>
          <w:tcPr>
            <w:tcW w:w="1617" w:type="pct"/>
            <w:gridSpan w:val="2"/>
          </w:tcPr>
          <w:p w:rsidR="00210CAC" w:rsidRPr="00155FCC" w:rsidRDefault="00210CAC" w:rsidP="00253E48">
            <w:pPr>
              <w:pStyle w:val="naisf"/>
              <w:tabs>
                <w:tab w:val="left" w:pos="180"/>
              </w:tabs>
              <w:spacing w:before="0" w:after="0"/>
              <w:ind w:firstLine="0"/>
              <w:jc w:val="left"/>
            </w:pPr>
            <w:r w:rsidRPr="00155FCC">
              <w:t>2.Pašreizējā situācija un problēmas</w:t>
            </w:r>
          </w:p>
          <w:p w:rsidR="00210CAC" w:rsidRPr="00155FCC" w:rsidRDefault="00210CAC" w:rsidP="00253E48">
            <w:pPr>
              <w:pStyle w:val="naisf"/>
              <w:tabs>
                <w:tab w:val="left" w:pos="180"/>
              </w:tabs>
              <w:spacing w:before="0" w:after="0"/>
              <w:ind w:firstLine="0"/>
              <w:jc w:val="left"/>
            </w:pPr>
          </w:p>
          <w:p w:rsidR="00210CAC" w:rsidRPr="00155FCC" w:rsidRDefault="00210CAC" w:rsidP="00253E48">
            <w:pPr>
              <w:pStyle w:val="naisf"/>
              <w:tabs>
                <w:tab w:val="left" w:pos="180"/>
              </w:tabs>
              <w:spacing w:before="0" w:after="0"/>
              <w:ind w:firstLine="0"/>
              <w:jc w:val="left"/>
            </w:pPr>
          </w:p>
        </w:tc>
        <w:tc>
          <w:tcPr>
            <w:tcW w:w="3383" w:type="pct"/>
            <w:gridSpan w:val="5"/>
          </w:tcPr>
          <w:p w:rsidR="00CB5517" w:rsidRDefault="00FD0E6F" w:rsidP="00253E48">
            <w:pPr>
              <w:autoSpaceDE w:val="0"/>
              <w:autoSpaceDN w:val="0"/>
              <w:adjustRightInd w:val="0"/>
              <w:jc w:val="both"/>
            </w:pPr>
            <w:r>
              <w:t xml:space="preserve">     </w:t>
            </w:r>
            <w:r w:rsidR="00210CAC" w:rsidRPr="002712C3">
              <w:t xml:space="preserve">Ar </w:t>
            </w:r>
            <w:r w:rsidR="00210CAC">
              <w:t>MK</w:t>
            </w:r>
            <w:r w:rsidR="00210CAC" w:rsidRPr="002712C3">
              <w:t xml:space="preserve"> 2009.gada 15.decembra noteikumu Nr.1418 „Valsts aizsardzības militāro objektu un </w:t>
            </w:r>
            <w:r w:rsidR="00210CAC">
              <w:t>iepirkumu centra nolikums” 2.6.</w:t>
            </w:r>
            <w:r w:rsidR="00210CAC" w:rsidRPr="002712C3">
              <w:t>apakšpunktu Valsts aizsardzības militāro objektu un iepirkumu centram (turpmāk</w:t>
            </w:r>
            <w:r w:rsidR="00210CAC">
              <w:t xml:space="preserve"> </w:t>
            </w:r>
            <w:r w:rsidR="00210CAC" w:rsidRPr="002712C3">
              <w:t>- Centrs) ir noteikta funkcija</w:t>
            </w:r>
            <w:r w:rsidR="00210CAC">
              <w:t xml:space="preserve"> </w:t>
            </w:r>
            <w:r w:rsidR="00210CAC" w:rsidRPr="002712C3">
              <w:t xml:space="preserve">- publisko pakalpojumu sniegšana Aizsardzības ministrijai </w:t>
            </w:r>
            <w:r w:rsidR="00210CAC">
              <w:t>(turpmāk</w:t>
            </w:r>
            <w:r w:rsidR="00CB5517">
              <w:t xml:space="preserve"> </w:t>
            </w:r>
            <w:r w:rsidR="00210CAC">
              <w:t xml:space="preserve">- AM) </w:t>
            </w:r>
            <w:r w:rsidR="00210CAC" w:rsidRPr="002712C3">
              <w:t>un tās padotībā esošām iestādēm, Nacionālajiem bruņotajiem spēkiem</w:t>
            </w:r>
            <w:r w:rsidR="00210CAC">
              <w:t>, turpmāk – NBS (turpmāk kopā saukta – AM sistēma)</w:t>
            </w:r>
            <w:r w:rsidR="00210CAC" w:rsidRPr="002712C3">
              <w:t>, kā arī privātpersonām saistībā ar viesnīcas un sporta kompleksa izmantošanu.</w:t>
            </w:r>
            <w:r w:rsidR="00210CAC">
              <w:t xml:space="preserve"> Savukārt ar iepriekšminētā normatīvā akta </w:t>
            </w:r>
            <w:r w:rsidR="00210CAC" w:rsidRPr="002712C3">
              <w:t>4.2.</w:t>
            </w:r>
            <w:r w:rsidR="00CB5517">
              <w:t>apakš</w:t>
            </w:r>
            <w:r w:rsidR="00210CAC" w:rsidRPr="002712C3">
              <w:t xml:space="preserve">punktu </w:t>
            </w:r>
            <w:r w:rsidR="00210CAC">
              <w:t>C</w:t>
            </w:r>
            <w:r w:rsidR="00210CAC" w:rsidRPr="002712C3">
              <w:t xml:space="preserve">entram ir noteiktas tiesības sniegt maksas pakalpojumus un iekasēt maksu par sniegtajiem pakalpojumiem saskaņā ar tiesību aktiem. </w:t>
            </w:r>
          </w:p>
          <w:p w:rsidR="00570643" w:rsidRDefault="00CB5517" w:rsidP="00253E48">
            <w:pPr>
              <w:autoSpaceDE w:val="0"/>
              <w:autoSpaceDN w:val="0"/>
              <w:adjustRightInd w:val="0"/>
              <w:jc w:val="both"/>
            </w:pPr>
            <w:r>
              <w:t xml:space="preserve">     </w:t>
            </w:r>
            <w:r w:rsidR="00210CAC" w:rsidRPr="002712C3">
              <w:t>Centra sniegto maksas pakalpojumu veidu un izcenojumu nosaka MK 2009.gada 22.decembra noteikumi Nr.1564 „Noteikumi par Valsts aizsardzības militāro objektu un iepirkumu centra sniegto publisko maksa</w:t>
            </w:r>
            <w:r w:rsidR="00210CAC">
              <w:t xml:space="preserve">s pakalpojumu cenrādi” (turpmāk </w:t>
            </w:r>
            <w:r w:rsidR="00210CAC" w:rsidRPr="002712C3">
              <w:t>–</w:t>
            </w:r>
            <w:r w:rsidR="00210CAC">
              <w:t xml:space="preserve"> </w:t>
            </w:r>
            <w:r w:rsidR="00570643">
              <w:t>Cenrādis).</w:t>
            </w:r>
          </w:p>
          <w:p w:rsidR="000F2FC1" w:rsidRDefault="00570643" w:rsidP="00E22145">
            <w:pPr>
              <w:autoSpaceDE w:val="0"/>
              <w:autoSpaceDN w:val="0"/>
              <w:adjustRightInd w:val="0"/>
              <w:jc w:val="both"/>
            </w:pPr>
            <w:r>
              <w:t xml:space="preserve">     </w:t>
            </w:r>
            <w:r w:rsidR="007E1531">
              <w:t xml:space="preserve">Cenrāža pielikuma 1.punktā ir minēts </w:t>
            </w:r>
            <w:r w:rsidR="00340738">
              <w:t xml:space="preserve">publiskais maksas </w:t>
            </w:r>
            <w:r w:rsidR="007E1531">
              <w:t xml:space="preserve">pakalpojums – </w:t>
            </w:r>
            <w:r w:rsidR="006E1101">
              <w:t>numuru izīrēšana viesnīcā</w:t>
            </w:r>
            <w:r w:rsidR="007E1531">
              <w:t xml:space="preserve"> Rīgā, Krustabaznīcas ielā 9. </w:t>
            </w:r>
            <w:r w:rsidR="006E1101">
              <w:t xml:space="preserve">Šobrīd </w:t>
            </w:r>
            <w:r w:rsidR="00340738">
              <w:t>šis</w:t>
            </w:r>
            <w:r w:rsidR="006E1101">
              <w:t xml:space="preserve"> pakalpojums vairs netiek sniegts, jo </w:t>
            </w:r>
            <w:r w:rsidR="00CC220E">
              <w:t xml:space="preserve">saskaņā ar </w:t>
            </w:r>
            <w:r w:rsidR="00E22145">
              <w:t>AM 2012.gada 19.septembr</w:t>
            </w:r>
            <w:r w:rsidR="00CC220E">
              <w:t>a</w:t>
            </w:r>
            <w:r w:rsidR="00E22145">
              <w:t xml:space="preserve"> pavēli Nr.157 „Par viesnīcas „Oskars” statusa maiņu un kārtības noteikšanu karavīru izmitināšanai”, viesnīcas </w:t>
            </w:r>
            <w:r w:rsidR="007E1531">
              <w:t xml:space="preserve">„Oskars” </w:t>
            </w:r>
            <w:r w:rsidR="00E22145">
              <w:t xml:space="preserve">Rīgā, Krustabaznīcas ielā 9, telpas turpmāk tiks izmantotas tikai NBS vajadzību nodrošināšanai, tās 3. un 4.stāvā izveidojot dienesta viesnīcu. </w:t>
            </w:r>
            <w:r w:rsidR="00340738">
              <w:t>Līdz ar to, t</w:t>
            </w:r>
            <w:r w:rsidR="00C93245">
              <w:t xml:space="preserve">ā vietā tiks sniegts jauns </w:t>
            </w:r>
            <w:r w:rsidR="00340738">
              <w:t xml:space="preserve">maksas </w:t>
            </w:r>
            <w:r w:rsidR="00C93245">
              <w:t xml:space="preserve">pakalpojums – </w:t>
            </w:r>
            <w:r w:rsidR="00D16513" w:rsidRPr="00D16513">
              <w:t>dienesta viesnīcas īre profesionālā dienesta karavīriem AM valdījumā esošajā nekustamajā īpašumā Rīgā, Krustabaznīcas ielā 9 (3., 4.stāvs)</w:t>
            </w:r>
            <w:r w:rsidR="00C93245">
              <w:t xml:space="preserve">. </w:t>
            </w:r>
            <w:r w:rsidR="005F2C9C" w:rsidRPr="005F2C9C">
              <w:t xml:space="preserve">Saskaņā ar Militārā dienesta likuma 55.panta trešo daļu profesionālā dienesta </w:t>
            </w:r>
            <w:r w:rsidR="005F2C9C" w:rsidRPr="005F2C9C">
              <w:lastRenderedPageBreak/>
              <w:t xml:space="preserve">karavīru, ja nepieciešams, dienesta vietā aizsardzības ministra noteiktajā kārtībā apgādā ar AM valdījumā esošu dienesta dzīvojamo telpu. </w:t>
            </w:r>
            <w:r w:rsidR="00463B5D">
              <w:t xml:space="preserve">Saskaņā ar likuma „Par dzīvojamo telpu īri” 23.pantu dienesta dzīvojamās telpas ir </w:t>
            </w:r>
            <w:r w:rsidR="00463B5D" w:rsidRPr="00463B5D">
              <w:t>telpas dienesta viesnīcā vai dienesta dzīvoklī</w:t>
            </w:r>
            <w:r w:rsidR="00463B5D">
              <w:t xml:space="preserve">. </w:t>
            </w:r>
            <w:r w:rsidR="005F2C9C">
              <w:t xml:space="preserve">Saskaņā ar </w:t>
            </w:r>
            <w:r w:rsidR="005F2C9C" w:rsidRPr="005F2C9C">
              <w:t xml:space="preserve">AM 2008. gada 6.marta noteikumu Nr.7 „Noteikumi par dienesta dzīvojamām telpām” 2.2. un 15.punktu dienesta dzīvojamās telpas </w:t>
            </w:r>
            <w:r w:rsidR="00340738">
              <w:t xml:space="preserve">profesionālā dienesta </w:t>
            </w:r>
            <w:r w:rsidR="005F2C9C" w:rsidRPr="005F2C9C">
              <w:t>karavīriem izīrē tā AM padotības iestāde, kurai tās ir nod</w:t>
            </w:r>
            <w:r w:rsidR="005F2C9C">
              <w:t>otas bilancē un apsaimniekošanā</w:t>
            </w:r>
            <w:r w:rsidR="00384055">
              <w:t xml:space="preserve">. </w:t>
            </w:r>
            <w:r w:rsidR="00E80C7F">
              <w:t>Ņemot vērā iepriekš</w:t>
            </w:r>
            <w:r w:rsidR="005F2C9C">
              <w:t xml:space="preserve"> </w:t>
            </w:r>
            <w:r w:rsidR="00E80C7F">
              <w:t>minēto,</w:t>
            </w:r>
            <w:r w:rsidR="00E80C7F" w:rsidRPr="002712C3">
              <w:t xml:space="preserve"> </w:t>
            </w:r>
            <w:r w:rsidR="00C93245">
              <w:t xml:space="preserve">no Cenrāža </w:t>
            </w:r>
            <w:r w:rsidR="005F2C9C">
              <w:t xml:space="preserve">ir </w:t>
            </w:r>
            <w:r w:rsidR="00E478F7">
              <w:t xml:space="preserve">nepieciešams </w:t>
            </w:r>
            <w:r w:rsidR="005F2C9C">
              <w:t>izslē</w:t>
            </w:r>
            <w:r w:rsidR="00E478F7">
              <w:t>gt</w:t>
            </w:r>
            <w:r w:rsidR="005F2C9C">
              <w:t xml:space="preserve"> pielikuma 1.punktā minēt</w:t>
            </w:r>
            <w:r w:rsidR="00E478F7">
              <w:t>o</w:t>
            </w:r>
            <w:r w:rsidR="00C93245">
              <w:t xml:space="preserve"> </w:t>
            </w:r>
            <w:r w:rsidR="00340738">
              <w:t xml:space="preserve">publisko maksas </w:t>
            </w:r>
            <w:r w:rsidR="00C93245">
              <w:t>pakal</w:t>
            </w:r>
            <w:r w:rsidR="005F2C9C">
              <w:t>pojum</w:t>
            </w:r>
            <w:r w:rsidR="00E478F7">
              <w:t>u</w:t>
            </w:r>
            <w:r w:rsidR="00C93245">
              <w:t xml:space="preserve"> – viesnīca Rīgā, Krustabaznīcas ielā 9, </w:t>
            </w:r>
            <w:r w:rsidR="00E478F7">
              <w:t>aizstājot</w:t>
            </w:r>
            <w:r w:rsidR="00C93245">
              <w:t xml:space="preserve"> to ar </w:t>
            </w:r>
            <w:r w:rsidR="006E1101">
              <w:t xml:space="preserve">jaunu pakalpojuma veidu </w:t>
            </w:r>
            <w:r w:rsidR="00E80C7F">
              <w:t xml:space="preserve">– </w:t>
            </w:r>
            <w:r w:rsidR="00463B5D">
              <w:t>d</w:t>
            </w:r>
            <w:r w:rsidR="00463B5D" w:rsidRPr="00463B5D">
              <w:t xml:space="preserve">ienesta viesnīcas īre profesionālā dienesta karavīriem </w:t>
            </w:r>
            <w:r w:rsidR="00463B5D">
              <w:t>AM</w:t>
            </w:r>
            <w:r w:rsidR="00463B5D" w:rsidRPr="00463B5D">
              <w:t xml:space="preserve"> valdījumā esošajā nekustamajā īpašumā Rīgā, Krustabaznīcas ielā 9 (3., 4.stāvs)</w:t>
            </w:r>
            <w:r w:rsidR="00463B5D">
              <w:t xml:space="preserve"> </w:t>
            </w:r>
            <w:r w:rsidR="00E80C7F">
              <w:t>un tā izcenojumu.</w:t>
            </w:r>
          </w:p>
          <w:p w:rsidR="00CB5517" w:rsidRDefault="000F2FC1" w:rsidP="00E22145">
            <w:pPr>
              <w:autoSpaceDE w:val="0"/>
              <w:autoSpaceDN w:val="0"/>
              <w:adjustRightInd w:val="0"/>
              <w:jc w:val="both"/>
            </w:pPr>
            <w:r>
              <w:t xml:space="preserve">     </w:t>
            </w:r>
            <w:r w:rsidR="00CB5517">
              <w:t>Cenrāža pielikuma 2. un 3</w:t>
            </w:r>
            <w:r w:rsidR="00210CAC">
              <w:t xml:space="preserve">.punktā minētos </w:t>
            </w:r>
            <w:r w:rsidR="00340738">
              <w:t xml:space="preserve">publiskos maksas </w:t>
            </w:r>
            <w:r w:rsidR="00210CAC">
              <w:t>pakalpojumus</w:t>
            </w:r>
            <w:r w:rsidR="006E1101">
              <w:t xml:space="preserve"> </w:t>
            </w:r>
            <w:r w:rsidR="00210CAC">
              <w:t xml:space="preserve">Centrs </w:t>
            </w:r>
            <w:r w:rsidR="00210CAC" w:rsidRPr="001813E0">
              <w:t>sniedz ar mērķi nodrošināt NBS vajadzība</w:t>
            </w:r>
            <w:r w:rsidR="00210CAC">
              <w:t>s, t.sk.</w:t>
            </w:r>
            <w:r w:rsidR="00210CAC" w:rsidRPr="001813E0">
              <w:t xml:space="preserve"> profesionālā dienesta karavīru un NBS personālsastāva fiziskās sagatavotības uzturēšanu, pilnveidošanu un iespēju efektīvi un kvalitatīvi sagatavoties ikgadējo normatīvu izpildei. </w:t>
            </w:r>
            <w:r w:rsidR="00340738">
              <w:t>Šie</w:t>
            </w:r>
            <w:r w:rsidR="00210CAC" w:rsidRPr="001813E0">
              <w:t xml:space="preserve"> pakalpojumi tiek sniegti</w:t>
            </w:r>
            <w:r w:rsidR="00210CAC">
              <w:t>,</w:t>
            </w:r>
            <w:r w:rsidR="00210CAC" w:rsidRPr="001813E0">
              <w:t xml:space="preserve"> pirmkārt</w:t>
            </w:r>
            <w:r w:rsidR="00210CAC">
              <w:t>,</w:t>
            </w:r>
            <w:r w:rsidR="00210CAC" w:rsidRPr="001813E0">
              <w:t xml:space="preserve"> ievērojot NBS un AM sistēmas pieprasījumu pēc pakalpojuma. Publisko pakalpojumu sniegšana ārpus AM sistēmas ietvariem ir nepieciešama, lai varētu nodrošināt sporta zāles </w:t>
            </w:r>
            <w:r w:rsidR="00CB5517">
              <w:t xml:space="preserve">un </w:t>
            </w:r>
            <w:r w:rsidR="00E80C7F">
              <w:t>peld</w:t>
            </w:r>
            <w:r w:rsidR="00CB5517">
              <w:t xml:space="preserve">baseina </w:t>
            </w:r>
            <w:r w:rsidR="00210CAC" w:rsidRPr="001813E0">
              <w:t>noslodzi laikā, kad tās nav noslogotas AM sistēmas vajadzībām. Līdz ar to</w:t>
            </w:r>
            <w:r w:rsidR="00340738">
              <w:t>,</w:t>
            </w:r>
            <w:r w:rsidR="00210CAC">
              <w:t xml:space="preserve"> šādā veidā tiek nodrošināta</w:t>
            </w:r>
            <w:r w:rsidR="00210CAC" w:rsidRPr="001813E0">
              <w:t xml:space="preserve"> valsts budžeta līdzekļu efektīva izmantošana, daļu izdevumu kompensējot ar ieņēmumiem no privātā sektora. </w:t>
            </w:r>
          </w:p>
          <w:p w:rsidR="00E478F7" w:rsidRDefault="00B51536" w:rsidP="00E478F7">
            <w:pPr>
              <w:autoSpaceDE w:val="0"/>
              <w:autoSpaceDN w:val="0"/>
              <w:adjustRightInd w:val="0"/>
              <w:jc w:val="both"/>
            </w:pPr>
            <w:r>
              <w:t xml:space="preserve">     </w:t>
            </w:r>
            <w:r w:rsidR="00210CAC" w:rsidRPr="001813E0">
              <w:t>Papildus iepriekš</w:t>
            </w:r>
            <w:r w:rsidR="00340738">
              <w:t xml:space="preserve"> </w:t>
            </w:r>
            <w:r w:rsidR="00210CAC" w:rsidRPr="001813E0">
              <w:t>minētajam</w:t>
            </w:r>
            <w:r w:rsidR="00340738">
              <w:t>,</w:t>
            </w:r>
            <w:r w:rsidR="00210CAC" w:rsidRPr="001813E0">
              <w:t xml:space="preserve"> Centrs sniedz arī Cenrāža pielikuma </w:t>
            </w:r>
            <w:r w:rsidR="00C01AFF">
              <w:t>4</w:t>
            </w:r>
            <w:r w:rsidR="00340738">
              <w:t xml:space="preserve">.punktā minēto </w:t>
            </w:r>
            <w:r w:rsidR="00210CAC" w:rsidRPr="001813E0">
              <w:t>pakalpojumu - nodrošina NBS profesionālā dienesta karavīrus ar dienesta dzīvojamām telpām</w:t>
            </w:r>
            <w:r w:rsidR="00210CAC">
              <w:t xml:space="preserve"> Cenrādī norādītajos AM valdījumā un Centra bilancē un apsaimniekošanā esošajos nekustamajos īpašumos</w:t>
            </w:r>
            <w:r w:rsidR="00210CAC" w:rsidRPr="001813E0">
              <w:t>.</w:t>
            </w:r>
            <w:r w:rsidR="005F2C9C">
              <w:t xml:space="preserve"> AM valdījumā un </w:t>
            </w:r>
            <w:r w:rsidR="00210CAC" w:rsidRPr="002712C3">
              <w:t>Centra bilancē</w:t>
            </w:r>
            <w:r w:rsidR="00210CAC">
              <w:t xml:space="preserve"> un apsaimniekošanā</w:t>
            </w:r>
            <w:r w:rsidR="00210CAC" w:rsidRPr="002712C3">
              <w:t xml:space="preserve"> </w:t>
            </w:r>
            <w:r w:rsidR="005F2C9C">
              <w:t>atrodas</w:t>
            </w:r>
            <w:r w:rsidR="00210CAC" w:rsidRPr="002712C3">
              <w:t xml:space="preserve"> </w:t>
            </w:r>
            <w:r w:rsidR="005F2C9C">
              <w:t xml:space="preserve">dzīvojamā māja Cēsu ielā </w:t>
            </w:r>
            <w:r w:rsidR="00ED7B16">
              <w:t>54, Valmierā</w:t>
            </w:r>
            <w:r w:rsidR="00E478F7">
              <w:t>, kas sastāv no diviem dzīvokļiem</w:t>
            </w:r>
            <w:r w:rsidR="005F2C9C">
              <w:t>. AM Infrastruktūras padome 2012.gada 5.oktobrī nolēma</w:t>
            </w:r>
            <w:r w:rsidR="00E478F7">
              <w:t xml:space="preserve"> dzīvojamo māju Cēsu ielā 54, Valmierā, izmantot NBS profesionālā dienesta karavīru nodrošināšanai ar dienesta dzīvojamām telpām. </w:t>
            </w:r>
            <w:r w:rsidR="00210CAC" w:rsidRPr="002712C3">
              <w:t>Līdz ar to</w:t>
            </w:r>
            <w:r w:rsidR="00340738">
              <w:t>,</w:t>
            </w:r>
            <w:r w:rsidR="00210CAC" w:rsidRPr="002712C3">
              <w:t xml:space="preserve"> ir nepieciešams </w:t>
            </w:r>
            <w:r w:rsidR="00210CAC">
              <w:t>Cenrādi papildināt ar jaunu pakalpojumu</w:t>
            </w:r>
            <w:r w:rsidR="00210CAC" w:rsidRPr="002712C3">
              <w:t xml:space="preserve"> </w:t>
            </w:r>
            <w:r w:rsidR="00E478F7">
              <w:t xml:space="preserve">- </w:t>
            </w:r>
            <w:r w:rsidR="00340738">
              <w:t>d</w:t>
            </w:r>
            <w:r w:rsidR="00210CAC" w:rsidRPr="002712C3">
              <w:t xml:space="preserve">ienesta dzīvojamo telpu īre profesionālā dienesta karavīriem </w:t>
            </w:r>
            <w:r w:rsidR="00E478F7">
              <w:t>AM</w:t>
            </w:r>
            <w:r w:rsidR="00210CAC" w:rsidRPr="002712C3">
              <w:t xml:space="preserve"> valdī</w:t>
            </w:r>
            <w:r w:rsidR="00210CAC">
              <w:t xml:space="preserve">jumā esošajā nekustamajā īpašumā </w:t>
            </w:r>
            <w:r w:rsidR="00E478F7">
              <w:t>Cēsu ielā 54, Valmierā</w:t>
            </w:r>
            <w:r w:rsidR="00210CAC">
              <w:t xml:space="preserve"> un tā izcenojumu</w:t>
            </w:r>
            <w:r w:rsidR="00210CAC" w:rsidRPr="002712C3">
              <w:t>.</w:t>
            </w:r>
            <w:r w:rsidR="00ED7B16">
              <w:t xml:space="preserve"> </w:t>
            </w:r>
          </w:p>
          <w:p w:rsidR="003737C8" w:rsidRPr="00D43C43" w:rsidRDefault="00E478F7" w:rsidP="00E478F7">
            <w:pPr>
              <w:autoSpaceDE w:val="0"/>
              <w:autoSpaceDN w:val="0"/>
              <w:adjustRightInd w:val="0"/>
              <w:jc w:val="both"/>
            </w:pPr>
            <w:r w:rsidRPr="00D43C43">
              <w:t xml:space="preserve">     </w:t>
            </w:r>
            <w:r w:rsidR="00463B5D">
              <w:t>Cenrādī šobrīd</w:t>
            </w:r>
            <w:r w:rsidR="003737C8" w:rsidRPr="00D43C43">
              <w:t xml:space="preserve"> pakalpojumam - peldbaseina izmantošana</w:t>
            </w:r>
            <w:r w:rsidR="004A2153" w:rsidRPr="00D43C43">
              <w:t xml:space="preserve"> izcenojums </w:t>
            </w:r>
            <w:r w:rsidR="00665F19" w:rsidRPr="00D43C43">
              <w:t xml:space="preserve">ir </w:t>
            </w:r>
            <w:r w:rsidR="003737C8" w:rsidRPr="00D43C43">
              <w:t xml:space="preserve">noteikts </w:t>
            </w:r>
            <w:r w:rsidR="004A2153" w:rsidRPr="00D43C43">
              <w:t>1 stundai</w:t>
            </w:r>
            <w:r w:rsidR="00F66A3C" w:rsidRPr="00D43C43">
              <w:t xml:space="preserve"> (60 minūt</w:t>
            </w:r>
            <w:r w:rsidR="00665F19" w:rsidRPr="00D43C43">
              <w:t>ēm</w:t>
            </w:r>
            <w:r w:rsidR="00F66A3C" w:rsidRPr="00D43C43">
              <w:t>)</w:t>
            </w:r>
            <w:r w:rsidR="004A2153" w:rsidRPr="00D43C43">
              <w:t>, kas ietver peldbaseina</w:t>
            </w:r>
            <w:r w:rsidR="00665F19" w:rsidRPr="00D43C43">
              <w:t xml:space="preserve"> </w:t>
            </w:r>
            <w:r w:rsidR="003737C8" w:rsidRPr="00D43C43">
              <w:t xml:space="preserve">(peldējuma ilgums 45 minūtes), </w:t>
            </w:r>
            <w:r w:rsidR="004A2153" w:rsidRPr="00D43C43">
              <w:t>dušas, saunas un ģērbtuves izmantošan</w:t>
            </w:r>
            <w:r w:rsidR="002C1416" w:rsidRPr="00D43C43">
              <w:t>u</w:t>
            </w:r>
            <w:r w:rsidR="00F66A3C" w:rsidRPr="00D43C43">
              <w:t xml:space="preserve">. </w:t>
            </w:r>
            <w:r w:rsidR="00665F19" w:rsidRPr="00D43C43">
              <w:t xml:space="preserve">Lai </w:t>
            </w:r>
            <w:r w:rsidR="00E26708" w:rsidRPr="00D43C43">
              <w:t xml:space="preserve">Cenrādī </w:t>
            </w:r>
            <w:r w:rsidR="00F66A3C" w:rsidRPr="00D43C43">
              <w:t xml:space="preserve">noteiktais peldbaseina </w:t>
            </w:r>
            <w:r w:rsidR="00E26708" w:rsidRPr="00D43C43">
              <w:lastRenderedPageBreak/>
              <w:t>izmantošanas izcenojums atbilstu pašreizējām tirgus cen</w:t>
            </w:r>
            <w:r w:rsidR="00665F19" w:rsidRPr="00D43C43">
              <w:t xml:space="preserve">ām, </w:t>
            </w:r>
            <w:r w:rsidR="003737C8" w:rsidRPr="00D43C43">
              <w:t>peldbaseina izmantošanas laiku</w:t>
            </w:r>
            <w:r w:rsidR="00E26708" w:rsidRPr="00D43C43">
              <w:t xml:space="preserve"> </w:t>
            </w:r>
            <w:r w:rsidR="00665F19" w:rsidRPr="00D43C43">
              <w:t xml:space="preserve">nepieciešams </w:t>
            </w:r>
            <w:r w:rsidR="00E26708" w:rsidRPr="00D43C43">
              <w:t>pagarin</w:t>
            </w:r>
            <w:r w:rsidR="00665F19" w:rsidRPr="00D43C43">
              <w:t>āt</w:t>
            </w:r>
            <w:r w:rsidR="00E26708" w:rsidRPr="00D43C43">
              <w:t xml:space="preserve"> līdz 90 minūtēm</w:t>
            </w:r>
            <w:r w:rsidR="003737C8" w:rsidRPr="00D43C43">
              <w:t xml:space="preserve">, </w:t>
            </w:r>
            <w:r w:rsidR="00CC220E" w:rsidRPr="00D43C43">
              <w:t>nemainot</w:t>
            </w:r>
            <w:r w:rsidR="003737C8" w:rsidRPr="00D43C43">
              <w:t xml:space="preserve"> esošo izcenojumu</w:t>
            </w:r>
            <w:r w:rsidR="00CC220E" w:rsidRPr="00D43C43">
              <w:t xml:space="preserve"> un peldējuma</w:t>
            </w:r>
            <w:r w:rsidR="00340738">
              <w:t xml:space="preserve"> ilgumu</w:t>
            </w:r>
            <w:r w:rsidR="00E26708" w:rsidRPr="00D43C43">
              <w:t xml:space="preserve">. </w:t>
            </w:r>
            <w:r w:rsidR="003737C8" w:rsidRPr="00D43C43">
              <w:t xml:space="preserve">Ņemot vērā iepriekš minēto, </w:t>
            </w:r>
            <w:r w:rsidR="00463B5D">
              <w:t xml:space="preserve">pakalpojumam – peldbaseins </w:t>
            </w:r>
            <w:r w:rsidR="00CC220E" w:rsidRPr="00D43C43">
              <w:t xml:space="preserve">mērvienību „1 stunda” jāaizstāj ar mērvienību „90 minūtes”. </w:t>
            </w:r>
          </w:p>
          <w:p w:rsidR="00210CAC" w:rsidRPr="00E478F7" w:rsidRDefault="00E478F7" w:rsidP="00E478F7">
            <w:pPr>
              <w:autoSpaceDE w:val="0"/>
              <w:autoSpaceDN w:val="0"/>
              <w:adjustRightInd w:val="0"/>
              <w:jc w:val="both"/>
            </w:pPr>
            <w:r>
              <w:rPr>
                <w:color w:val="FF0000"/>
              </w:rPr>
              <w:t xml:space="preserve">     </w:t>
            </w:r>
            <w:r>
              <w:t xml:space="preserve">Atbilstoši </w:t>
            </w:r>
            <w:r w:rsidR="00232F32" w:rsidRPr="00232F32">
              <w:t>2012.gada 24.maija likuma</w:t>
            </w:r>
            <w:r w:rsidR="00232F32">
              <w:t>m</w:t>
            </w:r>
            <w:r w:rsidR="00232F32" w:rsidRPr="00232F32">
              <w:t xml:space="preserve"> „Grozījumi likumā „Par pievienotās vērtības nodokli””</w:t>
            </w:r>
            <w:r w:rsidR="00210CAC" w:rsidRPr="002712C3">
              <w:t>, kas stājās spēkā 201</w:t>
            </w:r>
            <w:r>
              <w:t>2</w:t>
            </w:r>
            <w:r w:rsidR="00210CAC" w:rsidRPr="002712C3">
              <w:t xml:space="preserve">.gada </w:t>
            </w:r>
            <w:r>
              <w:t>1.jūlijā</w:t>
            </w:r>
            <w:r w:rsidR="00210CAC">
              <w:t>,</w:t>
            </w:r>
            <w:r w:rsidR="00210CAC" w:rsidRPr="002712C3">
              <w:t xml:space="preserve"> tika mainīta likuma 5.</w:t>
            </w:r>
            <w:r w:rsidR="00210CAC">
              <w:t xml:space="preserve">panta </w:t>
            </w:r>
            <w:r w:rsidR="00210CAC" w:rsidRPr="002712C3">
              <w:t>pirmā daļa, pa</w:t>
            </w:r>
            <w:r>
              <w:t>zemin</w:t>
            </w:r>
            <w:r w:rsidR="00210CAC" w:rsidRPr="002712C3">
              <w:t xml:space="preserve">ot pievienotās vērtības </w:t>
            </w:r>
            <w:r w:rsidR="00210CAC">
              <w:t xml:space="preserve">nodokļa (turpmāk - PVN) </w:t>
            </w:r>
            <w:r w:rsidR="00210CAC" w:rsidRPr="002712C3">
              <w:t>standarta likmi</w:t>
            </w:r>
            <w:r w:rsidR="00210CAC">
              <w:t xml:space="preserve"> līdz 2</w:t>
            </w:r>
            <w:r>
              <w:t>1</w:t>
            </w:r>
            <w:r w:rsidR="00210CAC">
              <w:t xml:space="preserve"> %</w:t>
            </w:r>
            <w:r>
              <w:t xml:space="preserve">. </w:t>
            </w:r>
            <w:r w:rsidR="006D44B6">
              <w:t xml:space="preserve">Likums „Par pievienotās vērtības nodokli” zaudējis spēku ar Pievienotās vērtības nodokļa likuma spēkā stāšanos 2013.gada 1.janvārī. Pievienotās vērtības nodokļa likuma 41.panta pirmajā daļā ir noteikts, ka ar PVN apliekamiem darījumiem piemēro PVN standartlikmi 21 procenta apmērā. </w:t>
            </w:r>
            <w:r w:rsidR="00210CAC" w:rsidRPr="005530E2">
              <w:t>Saskaņā ar MK 2011.gada 3.maija noteikumiem Nr.333 „Kārtība, kādā plānojami un uzskaitāmi ieņēmumi no maksas pakalpojumiem un ar šo pakalpojumu sniegšanu saistītie izdevumi, kā arī maksas pakalpojumu izcenojumu noteikšanas metodika un izcenoju</w:t>
            </w:r>
            <w:r w:rsidR="00210CAC">
              <w:t>mu apstiprināšanas kārtība” 20.</w:t>
            </w:r>
            <w:r w:rsidR="00210CAC" w:rsidRPr="005530E2">
              <w:t>punktu, no nodokļu izmaiņām izrietoši groz</w:t>
            </w:r>
            <w:r w:rsidR="00210CAC">
              <w:t>ījumi iestāžu cenrāžos</w:t>
            </w:r>
            <w:r w:rsidR="00210CAC" w:rsidRPr="005530E2">
              <w:t xml:space="preserve"> ir veicami, ja šajā normatīvajā aktā tiek veikti grozījumi pēc būtī</w:t>
            </w:r>
            <w:r w:rsidR="00210CAC">
              <w:t>bas saskaņā ar šo noteikumu 18.</w:t>
            </w:r>
            <w:r w:rsidR="00210CAC" w:rsidRPr="005530E2">
              <w:t>punktu. Līdz ar to</w:t>
            </w:r>
            <w:r w:rsidR="00340738">
              <w:t>,</w:t>
            </w:r>
            <w:r w:rsidR="00210CAC" w:rsidRPr="005530E2">
              <w:t xml:space="preserve"> ir </w:t>
            </w:r>
            <w:r w:rsidR="00210CAC">
              <w:t>nepieciešams</w:t>
            </w:r>
            <w:r w:rsidR="00210CAC" w:rsidRPr="005530E2">
              <w:t xml:space="preserve"> veikt attiecīgus grozījumus Cenrādī, precizējot publisko maksas pakalpojumu PVN apmērus un pakalpojuma izcenojumus atbilstoši piemērojamās PVN </w:t>
            </w:r>
            <w:r w:rsidR="006D44B6">
              <w:t>standart</w:t>
            </w:r>
            <w:r w:rsidR="00210CAC" w:rsidRPr="005530E2">
              <w:t>likmes izmaiņām.</w:t>
            </w:r>
          </w:p>
          <w:p w:rsidR="00F45DB7" w:rsidRPr="006B3655" w:rsidRDefault="00B51536" w:rsidP="00B51536">
            <w:pPr>
              <w:autoSpaceDE w:val="0"/>
              <w:autoSpaceDN w:val="0"/>
              <w:adjustRightInd w:val="0"/>
              <w:jc w:val="both"/>
            </w:pPr>
            <w:r>
              <w:t xml:space="preserve">     </w:t>
            </w:r>
            <w:r w:rsidRPr="004A2153">
              <w:t>Saskaņā ar MK 2011.gada 3.maija noteikumu Nr.333 „Kārtība, kādā plānojami un uzskaitāmi ieņēmumi no maksas pakalpojumiem un ar šo pakalpojumu sniegšanu saistītie izdevumi, kā arī maksas pakalpojumu izcenojumu noteikšanas metodika un izcenojumu apstiprināšanas kārtība” 18.1.punktu grozījumus maksas pakalpojumu cenrādī iestāde izdara, ja ir izdarīti grozījumi normatīvajos aktos vai mainījušies apstākļi, kas ietekmē iestādes sniedzamo pakalpojumu klāstu, bet saskaņā ar 18.2.punktu – ja būtiski mainījušās tiešās vai netiešās izmaksas, kuras veido maksas pakalpojumu izcenojumu.</w:t>
            </w:r>
          </w:p>
        </w:tc>
      </w:tr>
      <w:tr w:rsidR="00210CAC" w:rsidRPr="00155FCC" w:rsidTr="00F45DB7">
        <w:trPr>
          <w:trHeight w:val="426"/>
        </w:trPr>
        <w:tc>
          <w:tcPr>
            <w:tcW w:w="1617" w:type="pct"/>
            <w:gridSpan w:val="2"/>
          </w:tcPr>
          <w:p w:rsidR="00210CAC" w:rsidRDefault="00210CAC" w:rsidP="00253E48">
            <w:pPr>
              <w:pStyle w:val="naisf"/>
              <w:tabs>
                <w:tab w:val="left" w:pos="180"/>
              </w:tabs>
              <w:spacing w:before="0" w:after="0"/>
              <w:ind w:firstLine="0"/>
              <w:jc w:val="left"/>
            </w:pPr>
            <w:proofErr w:type="gramStart"/>
            <w:r w:rsidRPr="00155FCC">
              <w:lastRenderedPageBreak/>
              <w:t>3.Saistītie politikas ietekmes novērtējumi un pētījumi</w:t>
            </w:r>
            <w:proofErr w:type="gramEnd"/>
          </w:p>
          <w:p w:rsidR="00F45DB7" w:rsidRPr="00155FCC" w:rsidRDefault="00F45DB7" w:rsidP="00253E48">
            <w:pPr>
              <w:pStyle w:val="naisf"/>
              <w:tabs>
                <w:tab w:val="left" w:pos="180"/>
              </w:tabs>
              <w:spacing w:before="0" w:after="0"/>
              <w:ind w:firstLine="0"/>
              <w:jc w:val="left"/>
            </w:pPr>
          </w:p>
        </w:tc>
        <w:tc>
          <w:tcPr>
            <w:tcW w:w="3383" w:type="pct"/>
            <w:gridSpan w:val="5"/>
          </w:tcPr>
          <w:p w:rsidR="00210CAC" w:rsidRPr="00155FCC" w:rsidRDefault="00210CAC" w:rsidP="00253E48">
            <w:pPr>
              <w:jc w:val="both"/>
            </w:pPr>
            <w:r w:rsidRPr="00155FCC">
              <w:t>Nav</w:t>
            </w:r>
          </w:p>
        </w:tc>
      </w:tr>
      <w:tr w:rsidR="00210CAC" w:rsidRPr="00155FCC" w:rsidTr="00F45DB7">
        <w:tc>
          <w:tcPr>
            <w:tcW w:w="1617" w:type="pct"/>
            <w:gridSpan w:val="2"/>
          </w:tcPr>
          <w:p w:rsidR="00210CAC" w:rsidRPr="00155FCC" w:rsidRDefault="00210CAC" w:rsidP="00253E48">
            <w:pPr>
              <w:pStyle w:val="NormalWeb"/>
              <w:tabs>
                <w:tab w:val="left" w:pos="180"/>
              </w:tabs>
              <w:spacing w:before="0" w:beforeAutospacing="0" w:after="0" w:afterAutospacing="0"/>
            </w:pPr>
            <w:r w:rsidRPr="00155FCC">
              <w:t>4.Tiesiskā regulējuma mērķis un būtība</w:t>
            </w:r>
          </w:p>
          <w:p w:rsidR="00210CAC" w:rsidRPr="00155FCC" w:rsidRDefault="00210CAC" w:rsidP="00253E48">
            <w:pPr>
              <w:pStyle w:val="NormalWeb"/>
              <w:tabs>
                <w:tab w:val="left" w:pos="180"/>
              </w:tabs>
              <w:spacing w:before="0" w:beforeAutospacing="0" w:after="0" w:afterAutospacing="0"/>
            </w:pPr>
          </w:p>
        </w:tc>
        <w:tc>
          <w:tcPr>
            <w:tcW w:w="3383" w:type="pct"/>
            <w:gridSpan w:val="5"/>
          </w:tcPr>
          <w:p w:rsidR="00D43C43" w:rsidRDefault="00D43C43" w:rsidP="00253E48">
            <w:pPr>
              <w:autoSpaceDE w:val="0"/>
              <w:autoSpaceDN w:val="0"/>
              <w:adjustRightInd w:val="0"/>
              <w:jc w:val="both"/>
            </w:pPr>
            <w:r>
              <w:t xml:space="preserve">     </w:t>
            </w:r>
            <w:r w:rsidR="00210CAC">
              <w:t>MK</w:t>
            </w:r>
            <w:r w:rsidR="00210CAC" w:rsidRPr="009B1F08">
              <w:t xml:space="preserve"> noteikumu projekts paredz papildināt </w:t>
            </w:r>
            <w:r>
              <w:t>Cenrāža</w:t>
            </w:r>
            <w:r w:rsidR="00210CAC">
              <w:t xml:space="preserve"> pielikumu </w:t>
            </w:r>
            <w:r>
              <w:t>ar jauniem maksas pakalpojumiem</w:t>
            </w:r>
            <w:r w:rsidR="00210CAC" w:rsidRPr="009B1F08">
              <w:t xml:space="preserve"> –</w:t>
            </w:r>
            <w:r w:rsidR="00210CAC">
              <w:t xml:space="preserve"> „</w:t>
            </w:r>
            <w:r w:rsidR="00475A38">
              <w:t>D</w:t>
            </w:r>
            <w:r w:rsidR="00463B5D" w:rsidRPr="00463B5D">
              <w:t xml:space="preserve">ienesta viesnīcas īre profesionālā dienesta karavīriem </w:t>
            </w:r>
            <w:r w:rsidR="00463B5D">
              <w:t>AM</w:t>
            </w:r>
            <w:r w:rsidR="00463B5D" w:rsidRPr="00463B5D">
              <w:t xml:space="preserve"> valdījumā esošajā nekustamajā īpašumā Rīgā, Krustabaznīcas ielā 9 (3., 4.stāvs)</w:t>
            </w:r>
            <w:r w:rsidR="00210CAC">
              <w:t>”</w:t>
            </w:r>
            <w:r w:rsidR="00210CAC" w:rsidRPr="009B1F08">
              <w:t xml:space="preserve"> </w:t>
            </w:r>
            <w:r w:rsidR="00210CAC">
              <w:t>un „</w:t>
            </w:r>
            <w:r w:rsidR="00475A38">
              <w:t>D</w:t>
            </w:r>
            <w:r w:rsidR="00210CAC">
              <w:t xml:space="preserve">ienesta dzīvojamo telpu īre profesionālā </w:t>
            </w:r>
            <w:r w:rsidR="00210CAC" w:rsidRPr="00B83C0B">
              <w:t>dienesta karavīriem AM valdījumā esošajā nekustamajā īpašumā</w:t>
            </w:r>
            <w:r>
              <w:t xml:space="preserve"> Cēsu ielā 54,</w:t>
            </w:r>
            <w:r w:rsidR="00210CAC" w:rsidRPr="00B83C0B">
              <w:t xml:space="preserve"> </w:t>
            </w:r>
            <w:r>
              <w:t>Valmierā</w:t>
            </w:r>
            <w:r w:rsidR="00210CAC" w:rsidRPr="00B83C0B">
              <w:t>”</w:t>
            </w:r>
            <w:r>
              <w:t>,</w:t>
            </w:r>
            <w:r w:rsidR="00C37C6E">
              <w:t xml:space="preserve"> vienlaikus izslēdzot no </w:t>
            </w:r>
            <w:r w:rsidR="00C37C6E">
              <w:lastRenderedPageBreak/>
              <w:t>Cenrāža</w:t>
            </w:r>
            <w:r w:rsidR="00340738">
              <w:t xml:space="preserve"> publisko</w:t>
            </w:r>
            <w:r>
              <w:t xml:space="preserve"> maksas pakalpojumu </w:t>
            </w:r>
            <w:r w:rsidR="002D4A3A">
              <w:t xml:space="preserve">- </w:t>
            </w:r>
            <w:r>
              <w:t>„viesnīca Rīgā, Krustabaznīcas ielā 9”</w:t>
            </w:r>
            <w:r w:rsidR="00D31330">
              <w:t>, kas šobrīd vairs netiek sniegts</w:t>
            </w:r>
            <w:r>
              <w:t>.</w:t>
            </w:r>
            <w:r w:rsidR="004675BD">
              <w:t xml:space="preserve"> </w:t>
            </w:r>
          </w:p>
          <w:p w:rsidR="00210CAC" w:rsidRDefault="00D43C43" w:rsidP="00253E48">
            <w:pPr>
              <w:autoSpaceDE w:val="0"/>
              <w:autoSpaceDN w:val="0"/>
              <w:adjustRightInd w:val="0"/>
              <w:jc w:val="both"/>
            </w:pPr>
            <w:r>
              <w:t xml:space="preserve">     MK noteikumu projekt</w:t>
            </w:r>
            <w:r w:rsidR="00D31330">
              <w:t xml:space="preserve">s paredz </w:t>
            </w:r>
            <w:r w:rsidR="002D4A3A">
              <w:t xml:space="preserve">arī </w:t>
            </w:r>
            <w:r>
              <w:t>pagarin</w:t>
            </w:r>
            <w:r w:rsidR="00D31330">
              <w:t>āt laiku</w:t>
            </w:r>
            <w:r>
              <w:t xml:space="preserve"> peldbaseina izmanto</w:t>
            </w:r>
            <w:r w:rsidR="00D31330">
              <w:t xml:space="preserve">šanai līdz 90 minūtēm, </w:t>
            </w:r>
            <w:r w:rsidR="00D31330" w:rsidRPr="00D31330">
              <w:t>nemainot esošo izcenojumu un peldējuma ilgumu</w:t>
            </w:r>
            <w:r w:rsidR="00D31330">
              <w:t xml:space="preserve">, </w:t>
            </w:r>
            <w:r w:rsidR="002D4A3A">
              <w:t>kā arī tiek</w:t>
            </w:r>
            <w:r w:rsidR="00210CAC" w:rsidRPr="00B83C0B">
              <w:t xml:space="preserve"> precizēt</w:t>
            </w:r>
            <w:r w:rsidR="002D4A3A">
              <w:t>i</w:t>
            </w:r>
            <w:r w:rsidR="00210CAC" w:rsidRPr="00B83C0B">
              <w:t xml:space="preserve"> pakalpojumu izcenojum</w:t>
            </w:r>
            <w:r w:rsidR="002D4A3A">
              <w:t>i</w:t>
            </w:r>
            <w:r w:rsidR="00210CAC" w:rsidRPr="00B83C0B">
              <w:t xml:space="preserve"> atbilstoš</w:t>
            </w:r>
            <w:r w:rsidR="00D31330">
              <w:t>i</w:t>
            </w:r>
            <w:r w:rsidR="00210CAC" w:rsidRPr="00B83C0B">
              <w:t xml:space="preserve"> piemērojamās PVN </w:t>
            </w:r>
            <w:r w:rsidR="006D44B6">
              <w:t>standart</w:t>
            </w:r>
            <w:r w:rsidR="00210CAC" w:rsidRPr="00B83C0B">
              <w:t>likmes izma</w:t>
            </w:r>
            <w:r w:rsidR="006D44B6">
              <w:t>i</w:t>
            </w:r>
            <w:r w:rsidR="00210CAC" w:rsidRPr="00B83C0B">
              <w:t>ņām.</w:t>
            </w:r>
          </w:p>
          <w:p w:rsidR="0054037B" w:rsidRPr="0054037B" w:rsidRDefault="00D31330" w:rsidP="003E5405">
            <w:pPr>
              <w:autoSpaceDE w:val="0"/>
              <w:autoSpaceDN w:val="0"/>
              <w:adjustRightInd w:val="0"/>
              <w:jc w:val="both"/>
            </w:pPr>
            <w:r w:rsidRPr="0054037B">
              <w:t xml:space="preserve">     </w:t>
            </w:r>
            <w:r w:rsidR="003E5405" w:rsidRPr="0054037B">
              <w:t>P</w:t>
            </w:r>
            <w:r w:rsidR="0054037B" w:rsidRPr="0054037B">
              <w:t xml:space="preserve">eldbaseina izmantošanai, papildus pensionāriem un personām, kurām noteikta invaliditāte, </w:t>
            </w:r>
            <w:r w:rsidR="00210CAC" w:rsidRPr="0054037B">
              <w:t xml:space="preserve">tiek piemērota 50 % </w:t>
            </w:r>
            <w:r w:rsidR="002B13BD" w:rsidRPr="0054037B">
              <w:t xml:space="preserve">atlaide </w:t>
            </w:r>
            <w:r w:rsidR="0054037B">
              <w:t>s</w:t>
            </w:r>
            <w:r w:rsidR="0054037B" w:rsidRPr="0054037B">
              <w:t>tarptautisko oper</w:t>
            </w:r>
            <w:r w:rsidR="005433E0">
              <w:t xml:space="preserve">āciju </w:t>
            </w:r>
            <w:r w:rsidR="0054037B" w:rsidRPr="0054037B">
              <w:t xml:space="preserve">veterāniem </w:t>
            </w:r>
            <w:r w:rsidR="002B13BD" w:rsidRPr="0054037B">
              <w:t>Cenrāža</w:t>
            </w:r>
            <w:r w:rsidR="0054037B" w:rsidRPr="0054037B">
              <w:t xml:space="preserve"> pielikuma</w:t>
            </w:r>
            <w:r w:rsidR="002B13BD" w:rsidRPr="0054037B">
              <w:t xml:space="preserve"> 3.1.1.</w:t>
            </w:r>
            <w:r w:rsidR="0054037B" w:rsidRPr="0054037B">
              <w:t>1.</w:t>
            </w:r>
            <w:r w:rsidR="002B13BD" w:rsidRPr="0054037B">
              <w:t>, 3.</w:t>
            </w:r>
            <w:r w:rsidR="0054037B" w:rsidRPr="0054037B">
              <w:t>1.</w:t>
            </w:r>
            <w:r w:rsidR="002B13BD" w:rsidRPr="0054037B">
              <w:t>1.2.</w:t>
            </w:r>
            <w:r w:rsidR="0054037B" w:rsidRPr="0054037B">
              <w:t xml:space="preserve"> </w:t>
            </w:r>
            <w:r w:rsidR="002B13BD" w:rsidRPr="0054037B">
              <w:t>un 3.</w:t>
            </w:r>
            <w:r w:rsidR="0054037B" w:rsidRPr="0054037B">
              <w:t>2</w:t>
            </w:r>
            <w:r w:rsidR="002B13BD" w:rsidRPr="0054037B">
              <w:t>.apakš</w:t>
            </w:r>
            <w:r w:rsidR="00210CAC" w:rsidRPr="0054037B">
              <w:t>punkt</w:t>
            </w:r>
            <w:r w:rsidR="002D4A3A" w:rsidRPr="0054037B">
              <w:t>ā</w:t>
            </w:r>
            <w:r w:rsidR="00210CAC" w:rsidRPr="0054037B">
              <w:t xml:space="preserve"> noteiktajām cenām.</w:t>
            </w:r>
          </w:p>
          <w:p w:rsidR="005433E0" w:rsidRDefault="0054037B" w:rsidP="003E5405">
            <w:pPr>
              <w:autoSpaceDE w:val="0"/>
              <w:autoSpaceDN w:val="0"/>
              <w:adjustRightInd w:val="0"/>
              <w:jc w:val="both"/>
            </w:pPr>
            <w:r>
              <w:t xml:space="preserve">     Saskaņā ar AM 2011.gada 27.jūlijā izdotajiem noteikumiem Nr.39 „Kārtība, kādā personai, kura piedalījusies starptautiskajā operācijā, izgatavo un izsniedz starptautisko operāciju veterāna apliecību” starptautisko operāciju veterāna apliecību ir tiesības saņemt personai, kura vismaz vienu reizi piedalījusies kādā no starptautiskajām operācijām un ieguvusi NBS piemiņas medaļu „Par piedalīšanos starptautiskajā operācijā”.</w:t>
            </w:r>
            <w:r w:rsidR="005433E0">
              <w:t xml:space="preserve"> Starptautisko operāciju veterāna apliecība ir beztermiņa, un to </w:t>
            </w:r>
            <w:r w:rsidR="00191C31">
              <w:t xml:space="preserve">starptautisko operāciju </w:t>
            </w:r>
            <w:r w:rsidR="005433E0">
              <w:t xml:space="preserve">veterāns ir tiesīgs lietot bez ierobežojumiem Latvijas Republikas teritorijā un ārvalstīs. </w:t>
            </w:r>
          </w:p>
          <w:p w:rsidR="00210CAC" w:rsidRDefault="005433E0" w:rsidP="003E5405">
            <w:pPr>
              <w:autoSpaceDE w:val="0"/>
              <w:autoSpaceDN w:val="0"/>
              <w:adjustRightInd w:val="0"/>
              <w:jc w:val="both"/>
            </w:pPr>
            <w:r>
              <w:t xml:space="preserve">     AM ierosinātajai akcijai </w:t>
            </w:r>
            <w:r w:rsidR="00DB207C">
              <w:t xml:space="preserve">- </w:t>
            </w:r>
            <w:r>
              <w:t xml:space="preserve">NBS starptautisko operāciju veterānu atbalstam, ir atsaukušās vairākas Latvijas uzņēmēju asociācijas, kas piedāvā starptautisko operāciju veterāniem īpašas atlaižu </w:t>
            </w:r>
            <w:r w:rsidR="00191C31">
              <w:t xml:space="preserve">programmas vai atbalsta veidus. </w:t>
            </w:r>
            <w:r>
              <w:t xml:space="preserve">Piešķirot atlaidi </w:t>
            </w:r>
            <w:r w:rsidR="00191C31">
              <w:t xml:space="preserve">starptautisko operāciju veterāniem </w:t>
            </w:r>
            <w:r>
              <w:t xml:space="preserve">peldbaseina izmantošanai, </w:t>
            </w:r>
            <w:r w:rsidR="00463B5D">
              <w:t xml:space="preserve">ne tikai tiek sniegts atbalsts un rehabilitācijas iespējas starptautisko operāciju veterāniem, bet arī </w:t>
            </w:r>
            <w:r>
              <w:t>tiek stiprin</w:t>
            </w:r>
            <w:r w:rsidR="00191C31">
              <w:t>āta</w:t>
            </w:r>
            <w:r>
              <w:t xml:space="preserve"> </w:t>
            </w:r>
            <w:r w:rsidR="00191C31">
              <w:t xml:space="preserve">gan </w:t>
            </w:r>
            <w:r>
              <w:t xml:space="preserve">NBS </w:t>
            </w:r>
            <w:r w:rsidR="00191C31">
              <w:t xml:space="preserve">sistēma, gan NBS </w:t>
            </w:r>
            <w:r>
              <w:t>rezerves potenciāls</w:t>
            </w:r>
            <w:r w:rsidR="00191C31">
              <w:t>.</w:t>
            </w:r>
            <w:r>
              <w:t xml:space="preserve"> </w:t>
            </w:r>
          </w:p>
          <w:p w:rsidR="00F45DB7" w:rsidRPr="00155FCC" w:rsidRDefault="00F45DB7" w:rsidP="003E5405">
            <w:pPr>
              <w:autoSpaceDE w:val="0"/>
              <w:autoSpaceDN w:val="0"/>
              <w:adjustRightInd w:val="0"/>
              <w:jc w:val="both"/>
            </w:pPr>
          </w:p>
        </w:tc>
      </w:tr>
      <w:tr w:rsidR="00210CAC" w:rsidRPr="00155FCC" w:rsidTr="00F45DB7">
        <w:tc>
          <w:tcPr>
            <w:tcW w:w="1617" w:type="pct"/>
            <w:gridSpan w:val="2"/>
          </w:tcPr>
          <w:p w:rsidR="00210CAC" w:rsidRDefault="00210CAC" w:rsidP="00253E48">
            <w:pPr>
              <w:pStyle w:val="NormalWeb"/>
              <w:tabs>
                <w:tab w:val="left" w:pos="180"/>
              </w:tabs>
              <w:spacing w:before="0" w:beforeAutospacing="0" w:after="0" w:afterAutospacing="0"/>
            </w:pPr>
            <w:r w:rsidRPr="00155FCC">
              <w:lastRenderedPageBreak/>
              <w:t>5.Projekta izstrādē iesaistītās institūcijas</w:t>
            </w:r>
          </w:p>
          <w:p w:rsidR="00F45DB7" w:rsidRPr="00155FCC" w:rsidRDefault="00F45DB7" w:rsidP="00253E48">
            <w:pPr>
              <w:pStyle w:val="NormalWeb"/>
              <w:tabs>
                <w:tab w:val="left" w:pos="180"/>
              </w:tabs>
              <w:spacing w:before="0" w:beforeAutospacing="0" w:after="0" w:afterAutospacing="0"/>
            </w:pPr>
          </w:p>
        </w:tc>
        <w:tc>
          <w:tcPr>
            <w:tcW w:w="3383" w:type="pct"/>
            <w:gridSpan w:val="5"/>
          </w:tcPr>
          <w:p w:rsidR="00210CAC" w:rsidRPr="00155FCC" w:rsidRDefault="00210CAC" w:rsidP="00253E48">
            <w:pPr>
              <w:autoSpaceDE w:val="0"/>
              <w:autoSpaceDN w:val="0"/>
              <w:adjustRightInd w:val="0"/>
              <w:jc w:val="both"/>
            </w:pPr>
            <w:r w:rsidRPr="00155FCC">
              <w:t>AM</w:t>
            </w:r>
          </w:p>
        </w:tc>
      </w:tr>
      <w:tr w:rsidR="00210CAC" w:rsidRPr="00155FCC" w:rsidTr="00F45DB7">
        <w:tc>
          <w:tcPr>
            <w:tcW w:w="1617" w:type="pct"/>
            <w:gridSpan w:val="2"/>
          </w:tcPr>
          <w:p w:rsidR="00210CAC" w:rsidRDefault="00F45DB7" w:rsidP="00253E48">
            <w:pPr>
              <w:pStyle w:val="NormalWeb"/>
              <w:tabs>
                <w:tab w:val="left" w:pos="180"/>
              </w:tabs>
              <w:spacing w:before="0" w:beforeAutospacing="0" w:after="0" w:afterAutospacing="0"/>
            </w:pPr>
            <w:r>
              <w:t>6.</w:t>
            </w:r>
            <w:r w:rsidRPr="00155FCC">
              <w:t>Iemesls</w:t>
            </w:r>
            <w:r w:rsidR="00210CAC" w:rsidRPr="00155FCC">
              <w:t>, kādēļ netika nodrošināta sabiedrības līdzdalība</w:t>
            </w:r>
          </w:p>
          <w:p w:rsidR="00F45DB7" w:rsidRPr="00155FCC" w:rsidRDefault="00F45DB7" w:rsidP="00253E48">
            <w:pPr>
              <w:pStyle w:val="NormalWeb"/>
              <w:tabs>
                <w:tab w:val="left" w:pos="180"/>
              </w:tabs>
              <w:spacing w:before="0" w:beforeAutospacing="0" w:after="0" w:afterAutospacing="0"/>
            </w:pPr>
          </w:p>
        </w:tc>
        <w:tc>
          <w:tcPr>
            <w:tcW w:w="3383" w:type="pct"/>
            <w:gridSpan w:val="5"/>
          </w:tcPr>
          <w:p w:rsidR="00210CAC" w:rsidRPr="00155FCC" w:rsidRDefault="00210CAC" w:rsidP="00253E48">
            <w:pPr>
              <w:autoSpaceDE w:val="0"/>
              <w:autoSpaceDN w:val="0"/>
              <w:adjustRightInd w:val="0"/>
              <w:jc w:val="both"/>
            </w:pPr>
            <w:r w:rsidRPr="00155FCC">
              <w:t>Tiesību akta projekta būtība nosaka, ka nav nepieciešama sabiedrības līdzdalība.</w:t>
            </w:r>
          </w:p>
        </w:tc>
      </w:tr>
      <w:tr w:rsidR="00210CAC" w:rsidRPr="00155FCC" w:rsidTr="00F45DB7">
        <w:trPr>
          <w:trHeight w:val="434"/>
        </w:trPr>
        <w:tc>
          <w:tcPr>
            <w:tcW w:w="1617" w:type="pct"/>
            <w:gridSpan w:val="2"/>
          </w:tcPr>
          <w:p w:rsidR="00210CAC" w:rsidRPr="00155FCC" w:rsidRDefault="00210CAC" w:rsidP="00253E48">
            <w:pPr>
              <w:pStyle w:val="NormalWeb"/>
              <w:tabs>
                <w:tab w:val="left" w:pos="180"/>
              </w:tabs>
              <w:spacing w:before="0" w:beforeAutospacing="0" w:after="0" w:afterAutospacing="0"/>
            </w:pPr>
            <w:r w:rsidRPr="00155FCC">
              <w:t>7.Cita informācij</w:t>
            </w:r>
            <w:r>
              <w:t>a</w:t>
            </w:r>
          </w:p>
        </w:tc>
        <w:tc>
          <w:tcPr>
            <w:tcW w:w="3383" w:type="pct"/>
            <w:gridSpan w:val="5"/>
          </w:tcPr>
          <w:p w:rsidR="00210CAC" w:rsidRPr="00155FCC" w:rsidRDefault="00210CAC" w:rsidP="00253E48">
            <w:pPr>
              <w:jc w:val="both"/>
            </w:pPr>
            <w:r w:rsidRPr="00155FCC">
              <w:t>Nav</w:t>
            </w:r>
          </w:p>
          <w:p w:rsidR="00210CAC" w:rsidRPr="00155FCC" w:rsidRDefault="00210CAC" w:rsidP="00253E48">
            <w:pPr>
              <w:ind w:right="38" w:firstLine="402"/>
              <w:jc w:val="both"/>
            </w:pPr>
          </w:p>
        </w:tc>
      </w:tr>
      <w:tr w:rsidR="003036F5" w:rsidRPr="00E44A25" w:rsidTr="00F45DB7">
        <w:trPr>
          <w:trHeight w:val="259"/>
        </w:trPr>
        <w:tc>
          <w:tcPr>
            <w:tcW w:w="5000" w:type="pct"/>
            <w:gridSpan w:val="7"/>
          </w:tcPr>
          <w:p w:rsidR="003036F5" w:rsidRDefault="003036F5" w:rsidP="002C0F08">
            <w:pPr>
              <w:pStyle w:val="naisnod"/>
              <w:spacing w:before="0" w:after="0"/>
            </w:pPr>
          </w:p>
          <w:p w:rsidR="003036F5" w:rsidRDefault="003036F5" w:rsidP="002C0F08">
            <w:pPr>
              <w:pStyle w:val="naisnod"/>
              <w:spacing w:before="0" w:after="0"/>
            </w:pPr>
            <w:r w:rsidRPr="007C0F2C">
              <w:t>III. Tiesību akta projekta ietekme uz valsts budžetu un pašvaldību budžetiem</w:t>
            </w:r>
          </w:p>
          <w:p w:rsidR="003036F5" w:rsidRPr="00E44A25" w:rsidRDefault="003036F5" w:rsidP="002C0F08">
            <w:pPr>
              <w:pStyle w:val="naisnod"/>
              <w:spacing w:before="0" w:after="0"/>
              <w:ind w:left="278" w:hanging="278"/>
              <w:rPr>
                <w:i/>
              </w:rPr>
            </w:pPr>
          </w:p>
        </w:tc>
      </w:tr>
      <w:tr w:rsidR="003036F5" w:rsidRPr="00E44A25" w:rsidTr="00F45DB7">
        <w:tc>
          <w:tcPr>
            <w:tcW w:w="863" w:type="pct"/>
            <w:vMerge w:val="restart"/>
          </w:tcPr>
          <w:p w:rsidR="003036F5" w:rsidRPr="00E44A25" w:rsidRDefault="003036F5" w:rsidP="002C0F08">
            <w:pPr>
              <w:pStyle w:val="naisf"/>
              <w:spacing w:before="0" w:after="0"/>
              <w:ind w:firstLine="0"/>
              <w:jc w:val="center"/>
              <w:rPr>
                <w:b/>
              </w:rPr>
            </w:pPr>
            <w:r w:rsidRPr="00E44A25">
              <w:rPr>
                <w:b/>
                <w:sz w:val="22"/>
                <w:szCs w:val="22"/>
              </w:rPr>
              <w:t>Rādītāji</w:t>
            </w:r>
          </w:p>
        </w:tc>
        <w:tc>
          <w:tcPr>
            <w:tcW w:w="2178" w:type="pct"/>
            <w:gridSpan w:val="3"/>
            <w:vMerge w:val="restart"/>
          </w:tcPr>
          <w:p w:rsidR="003036F5" w:rsidRPr="00E44A25" w:rsidRDefault="003036F5" w:rsidP="002C0F08">
            <w:pPr>
              <w:pStyle w:val="naisf"/>
              <w:spacing w:before="0" w:after="0"/>
              <w:ind w:firstLine="0"/>
              <w:jc w:val="center"/>
              <w:rPr>
                <w:b/>
              </w:rPr>
            </w:pPr>
            <w:r w:rsidRPr="00E44A25">
              <w:rPr>
                <w:b/>
                <w:sz w:val="22"/>
                <w:szCs w:val="22"/>
              </w:rPr>
              <w:t>201</w:t>
            </w:r>
            <w:r>
              <w:rPr>
                <w:b/>
                <w:sz w:val="22"/>
                <w:szCs w:val="22"/>
              </w:rPr>
              <w:t>3</w:t>
            </w:r>
            <w:r w:rsidRPr="00E44A25">
              <w:rPr>
                <w:b/>
                <w:sz w:val="22"/>
                <w:szCs w:val="22"/>
              </w:rPr>
              <w:t>. gads</w:t>
            </w:r>
          </w:p>
        </w:tc>
        <w:tc>
          <w:tcPr>
            <w:tcW w:w="1959" w:type="pct"/>
            <w:gridSpan w:val="3"/>
          </w:tcPr>
          <w:p w:rsidR="003036F5" w:rsidRPr="00E44A25" w:rsidRDefault="003036F5" w:rsidP="002C0F08">
            <w:pPr>
              <w:pStyle w:val="naisf"/>
              <w:spacing w:before="0" w:after="0"/>
              <w:ind w:firstLine="0"/>
              <w:jc w:val="center"/>
              <w:rPr>
                <w:b/>
                <w:i/>
              </w:rPr>
            </w:pPr>
            <w:r w:rsidRPr="00E44A25">
              <w:rPr>
                <w:sz w:val="22"/>
                <w:szCs w:val="22"/>
              </w:rPr>
              <w:t>Turpmākie trīs gadi (tūkst</w:t>
            </w:r>
            <w:smartTag w:uri="schemas-tilde-lv/tildestengine" w:element="currency2">
              <w:smartTagPr>
                <w:attr w:name="currency_text" w:val="latu"/>
                <w:attr w:name="currency_value" w:val="."/>
                <w:attr w:name="currency_key" w:val="LVL"/>
                <w:attr w:name="currency_id" w:val="48"/>
              </w:smartTagPr>
              <w:r w:rsidRPr="00E44A25">
                <w:rPr>
                  <w:sz w:val="22"/>
                  <w:szCs w:val="22"/>
                </w:rPr>
                <w:t>. latu</w:t>
              </w:r>
            </w:smartTag>
            <w:r w:rsidRPr="00E44A25">
              <w:rPr>
                <w:sz w:val="22"/>
                <w:szCs w:val="22"/>
              </w:rPr>
              <w:t>)</w:t>
            </w:r>
          </w:p>
        </w:tc>
      </w:tr>
      <w:tr w:rsidR="003036F5" w:rsidRPr="00E44A25" w:rsidTr="00F45DB7">
        <w:tc>
          <w:tcPr>
            <w:tcW w:w="863" w:type="pct"/>
            <w:vMerge/>
          </w:tcPr>
          <w:p w:rsidR="003036F5" w:rsidRPr="00E44A25" w:rsidRDefault="003036F5" w:rsidP="002C0F08">
            <w:pPr>
              <w:pStyle w:val="naisf"/>
              <w:spacing w:before="0" w:after="0"/>
              <w:ind w:firstLine="0"/>
              <w:jc w:val="center"/>
              <w:rPr>
                <w:b/>
                <w:i/>
              </w:rPr>
            </w:pPr>
          </w:p>
        </w:tc>
        <w:tc>
          <w:tcPr>
            <w:tcW w:w="2178" w:type="pct"/>
            <w:gridSpan w:val="3"/>
            <w:vMerge/>
          </w:tcPr>
          <w:p w:rsidR="003036F5" w:rsidRPr="00E44A25" w:rsidRDefault="003036F5" w:rsidP="002C0F08">
            <w:pPr>
              <w:pStyle w:val="naisf"/>
              <w:spacing w:before="0" w:after="0"/>
              <w:ind w:firstLine="0"/>
              <w:jc w:val="center"/>
              <w:rPr>
                <w:b/>
                <w:i/>
              </w:rPr>
            </w:pPr>
          </w:p>
        </w:tc>
        <w:tc>
          <w:tcPr>
            <w:tcW w:w="584" w:type="pct"/>
          </w:tcPr>
          <w:p w:rsidR="003036F5" w:rsidRPr="00E44A25" w:rsidRDefault="003036F5" w:rsidP="002C0F08">
            <w:pPr>
              <w:pStyle w:val="naisf"/>
              <w:spacing w:before="0" w:after="0"/>
              <w:ind w:firstLine="0"/>
              <w:jc w:val="center"/>
              <w:rPr>
                <w:b/>
                <w:i/>
              </w:rPr>
            </w:pPr>
            <w:r w:rsidRPr="00E44A25">
              <w:rPr>
                <w:b/>
                <w:bCs/>
                <w:sz w:val="22"/>
                <w:szCs w:val="22"/>
              </w:rPr>
              <w:t>201</w:t>
            </w:r>
            <w:r>
              <w:rPr>
                <w:b/>
                <w:bCs/>
                <w:sz w:val="22"/>
                <w:szCs w:val="22"/>
              </w:rPr>
              <w:t>4</w:t>
            </w:r>
          </w:p>
        </w:tc>
        <w:tc>
          <w:tcPr>
            <w:tcW w:w="584" w:type="pct"/>
          </w:tcPr>
          <w:p w:rsidR="003036F5" w:rsidRPr="00E44A25" w:rsidRDefault="003036F5" w:rsidP="002C0F08">
            <w:pPr>
              <w:pStyle w:val="naisf"/>
              <w:spacing w:before="0" w:after="0"/>
              <w:ind w:firstLine="0"/>
              <w:jc w:val="center"/>
              <w:rPr>
                <w:b/>
                <w:i/>
              </w:rPr>
            </w:pPr>
            <w:r w:rsidRPr="00E44A25">
              <w:rPr>
                <w:b/>
                <w:bCs/>
                <w:sz w:val="22"/>
                <w:szCs w:val="22"/>
              </w:rPr>
              <w:t>201</w:t>
            </w:r>
            <w:r>
              <w:rPr>
                <w:b/>
                <w:bCs/>
                <w:sz w:val="22"/>
                <w:szCs w:val="22"/>
              </w:rPr>
              <w:t>5</w:t>
            </w:r>
          </w:p>
        </w:tc>
        <w:tc>
          <w:tcPr>
            <w:tcW w:w="791" w:type="pct"/>
          </w:tcPr>
          <w:p w:rsidR="003036F5" w:rsidRPr="00E44A25" w:rsidRDefault="003036F5" w:rsidP="002C0F08">
            <w:pPr>
              <w:pStyle w:val="naisf"/>
              <w:spacing w:before="0" w:after="0"/>
              <w:ind w:firstLine="0"/>
              <w:jc w:val="center"/>
              <w:rPr>
                <w:b/>
                <w:i/>
              </w:rPr>
            </w:pPr>
            <w:r w:rsidRPr="00E44A25">
              <w:rPr>
                <w:b/>
                <w:bCs/>
                <w:sz w:val="22"/>
                <w:szCs w:val="22"/>
              </w:rPr>
              <w:t>201</w:t>
            </w:r>
            <w:r>
              <w:rPr>
                <w:b/>
                <w:bCs/>
                <w:sz w:val="22"/>
                <w:szCs w:val="22"/>
              </w:rPr>
              <w:t>6</w:t>
            </w:r>
          </w:p>
        </w:tc>
      </w:tr>
      <w:tr w:rsidR="00581D95" w:rsidRPr="00E44A25" w:rsidTr="00F45DB7">
        <w:tc>
          <w:tcPr>
            <w:tcW w:w="863" w:type="pct"/>
            <w:vMerge/>
          </w:tcPr>
          <w:p w:rsidR="003036F5" w:rsidRPr="00E44A25" w:rsidRDefault="003036F5" w:rsidP="002C0F08">
            <w:pPr>
              <w:pStyle w:val="naisf"/>
              <w:spacing w:before="0" w:after="0"/>
              <w:ind w:firstLine="0"/>
              <w:jc w:val="center"/>
              <w:rPr>
                <w:b/>
                <w:i/>
              </w:rPr>
            </w:pPr>
          </w:p>
        </w:tc>
        <w:tc>
          <w:tcPr>
            <w:tcW w:w="885" w:type="pct"/>
            <w:gridSpan w:val="2"/>
          </w:tcPr>
          <w:p w:rsidR="003036F5" w:rsidRPr="00E44A25" w:rsidRDefault="003036F5" w:rsidP="002C0F08">
            <w:pPr>
              <w:pStyle w:val="naisf"/>
              <w:spacing w:before="0" w:after="0"/>
              <w:ind w:firstLine="0"/>
              <w:jc w:val="center"/>
              <w:rPr>
                <w:b/>
                <w:i/>
              </w:rPr>
            </w:pPr>
            <w:r w:rsidRPr="00E44A25">
              <w:rPr>
                <w:sz w:val="22"/>
                <w:szCs w:val="22"/>
              </w:rPr>
              <w:t xml:space="preserve">Saskaņā ar valsts budžetu kārtējam </w:t>
            </w:r>
            <w:r w:rsidRPr="00E44A25">
              <w:rPr>
                <w:sz w:val="22"/>
                <w:szCs w:val="22"/>
              </w:rPr>
              <w:lastRenderedPageBreak/>
              <w:t>gadam</w:t>
            </w:r>
          </w:p>
        </w:tc>
        <w:tc>
          <w:tcPr>
            <w:tcW w:w="1292" w:type="pct"/>
          </w:tcPr>
          <w:p w:rsidR="003036F5" w:rsidRPr="00E44A25" w:rsidRDefault="003036F5" w:rsidP="002C0F08">
            <w:pPr>
              <w:pStyle w:val="naisf"/>
              <w:spacing w:before="0" w:after="0"/>
              <w:ind w:firstLine="0"/>
              <w:jc w:val="center"/>
              <w:rPr>
                <w:b/>
                <w:i/>
              </w:rPr>
            </w:pPr>
            <w:r w:rsidRPr="00E44A25">
              <w:rPr>
                <w:sz w:val="22"/>
                <w:szCs w:val="22"/>
              </w:rPr>
              <w:lastRenderedPageBreak/>
              <w:t>Izmaiņas kārtējā gadā, salīdzinot ar budžetu kārtējam gadam</w:t>
            </w:r>
          </w:p>
        </w:tc>
        <w:tc>
          <w:tcPr>
            <w:tcW w:w="584" w:type="pct"/>
          </w:tcPr>
          <w:p w:rsidR="003036F5" w:rsidRPr="00E44A25" w:rsidRDefault="003036F5" w:rsidP="002C0F08">
            <w:pPr>
              <w:pStyle w:val="naisf"/>
              <w:spacing w:before="0" w:after="0"/>
              <w:ind w:firstLine="0"/>
              <w:jc w:val="center"/>
              <w:rPr>
                <w:b/>
                <w:i/>
              </w:rPr>
            </w:pPr>
            <w:r w:rsidRPr="00E44A25">
              <w:rPr>
                <w:sz w:val="22"/>
                <w:szCs w:val="22"/>
              </w:rPr>
              <w:t xml:space="preserve">Izmaiņas, salīdzinot ar kārtējo </w:t>
            </w:r>
            <w:r w:rsidRPr="00E44A25">
              <w:rPr>
                <w:sz w:val="22"/>
                <w:szCs w:val="22"/>
              </w:rPr>
              <w:lastRenderedPageBreak/>
              <w:t>(n) gadu</w:t>
            </w:r>
          </w:p>
        </w:tc>
        <w:tc>
          <w:tcPr>
            <w:tcW w:w="584" w:type="pct"/>
          </w:tcPr>
          <w:p w:rsidR="003036F5" w:rsidRPr="00E44A25" w:rsidRDefault="003036F5" w:rsidP="002C0F08">
            <w:pPr>
              <w:pStyle w:val="naisf"/>
              <w:spacing w:before="0" w:after="0"/>
              <w:ind w:firstLine="0"/>
              <w:jc w:val="center"/>
              <w:rPr>
                <w:b/>
                <w:i/>
              </w:rPr>
            </w:pPr>
            <w:r w:rsidRPr="00E44A25">
              <w:rPr>
                <w:sz w:val="22"/>
                <w:szCs w:val="22"/>
              </w:rPr>
              <w:lastRenderedPageBreak/>
              <w:t xml:space="preserve">Izmaiņas, salīdzinot ar kārtējo </w:t>
            </w:r>
            <w:r w:rsidRPr="00E44A25">
              <w:rPr>
                <w:sz w:val="22"/>
                <w:szCs w:val="22"/>
              </w:rPr>
              <w:lastRenderedPageBreak/>
              <w:t>(n) gadu</w:t>
            </w:r>
          </w:p>
        </w:tc>
        <w:tc>
          <w:tcPr>
            <w:tcW w:w="791" w:type="pct"/>
          </w:tcPr>
          <w:p w:rsidR="003036F5" w:rsidRPr="00E44A25" w:rsidRDefault="003036F5" w:rsidP="002C0F08">
            <w:pPr>
              <w:pStyle w:val="naisf"/>
              <w:spacing w:before="0" w:after="0"/>
              <w:ind w:firstLine="0"/>
              <w:jc w:val="center"/>
              <w:rPr>
                <w:b/>
                <w:i/>
              </w:rPr>
            </w:pPr>
            <w:r w:rsidRPr="00E44A25">
              <w:rPr>
                <w:sz w:val="22"/>
                <w:szCs w:val="22"/>
              </w:rPr>
              <w:lastRenderedPageBreak/>
              <w:t xml:space="preserve">Izmaiņas, salīdzinot ar kārtējo (n) </w:t>
            </w:r>
            <w:r w:rsidRPr="00E44A25">
              <w:rPr>
                <w:sz w:val="22"/>
                <w:szCs w:val="22"/>
              </w:rPr>
              <w:lastRenderedPageBreak/>
              <w:t>gadu</w:t>
            </w:r>
          </w:p>
        </w:tc>
      </w:tr>
      <w:tr w:rsidR="00581D95" w:rsidRPr="00E44A25" w:rsidTr="00F45DB7">
        <w:tc>
          <w:tcPr>
            <w:tcW w:w="863" w:type="pct"/>
          </w:tcPr>
          <w:p w:rsidR="003036F5" w:rsidRPr="00E44A25" w:rsidRDefault="003036F5" w:rsidP="002C0F08">
            <w:pPr>
              <w:pStyle w:val="naisf"/>
              <w:spacing w:before="0" w:after="0"/>
              <w:ind w:firstLine="0"/>
              <w:jc w:val="center"/>
              <w:rPr>
                <w:bCs/>
              </w:rPr>
            </w:pPr>
            <w:r w:rsidRPr="00E44A25">
              <w:rPr>
                <w:bCs/>
                <w:sz w:val="22"/>
                <w:szCs w:val="22"/>
              </w:rPr>
              <w:lastRenderedPageBreak/>
              <w:t>1</w:t>
            </w:r>
          </w:p>
        </w:tc>
        <w:tc>
          <w:tcPr>
            <w:tcW w:w="885" w:type="pct"/>
            <w:gridSpan w:val="2"/>
          </w:tcPr>
          <w:p w:rsidR="003036F5" w:rsidRPr="00E44A25" w:rsidRDefault="003036F5" w:rsidP="002C0F08">
            <w:pPr>
              <w:pStyle w:val="naisf"/>
              <w:spacing w:before="0" w:after="0"/>
              <w:ind w:firstLine="0"/>
              <w:jc w:val="center"/>
              <w:rPr>
                <w:bCs/>
              </w:rPr>
            </w:pPr>
            <w:r w:rsidRPr="00E44A25">
              <w:rPr>
                <w:bCs/>
                <w:sz w:val="22"/>
                <w:szCs w:val="22"/>
              </w:rPr>
              <w:t>2</w:t>
            </w:r>
          </w:p>
        </w:tc>
        <w:tc>
          <w:tcPr>
            <w:tcW w:w="1292" w:type="pct"/>
          </w:tcPr>
          <w:p w:rsidR="003036F5" w:rsidRPr="00E44A25" w:rsidRDefault="003036F5" w:rsidP="002C0F08">
            <w:pPr>
              <w:pStyle w:val="naisf"/>
              <w:spacing w:before="0" w:after="0"/>
              <w:ind w:firstLine="0"/>
              <w:jc w:val="center"/>
              <w:rPr>
                <w:bCs/>
              </w:rPr>
            </w:pPr>
            <w:r w:rsidRPr="00E44A25">
              <w:rPr>
                <w:bCs/>
                <w:sz w:val="22"/>
                <w:szCs w:val="22"/>
              </w:rPr>
              <w:t>3</w:t>
            </w:r>
          </w:p>
        </w:tc>
        <w:tc>
          <w:tcPr>
            <w:tcW w:w="584" w:type="pct"/>
          </w:tcPr>
          <w:p w:rsidR="003036F5" w:rsidRPr="00E44A25" w:rsidRDefault="003036F5" w:rsidP="002C0F08">
            <w:pPr>
              <w:pStyle w:val="naisf"/>
              <w:spacing w:before="0" w:after="0"/>
              <w:ind w:firstLine="0"/>
              <w:jc w:val="center"/>
              <w:rPr>
                <w:bCs/>
              </w:rPr>
            </w:pPr>
            <w:r w:rsidRPr="00E44A25">
              <w:rPr>
                <w:bCs/>
                <w:sz w:val="22"/>
                <w:szCs w:val="22"/>
              </w:rPr>
              <w:t>4</w:t>
            </w:r>
          </w:p>
        </w:tc>
        <w:tc>
          <w:tcPr>
            <w:tcW w:w="584" w:type="pct"/>
          </w:tcPr>
          <w:p w:rsidR="003036F5" w:rsidRPr="00E44A25" w:rsidRDefault="003036F5" w:rsidP="002C0F08">
            <w:pPr>
              <w:pStyle w:val="naisf"/>
              <w:spacing w:before="0" w:after="0"/>
              <w:ind w:firstLine="0"/>
              <w:jc w:val="center"/>
              <w:rPr>
                <w:bCs/>
              </w:rPr>
            </w:pPr>
            <w:r w:rsidRPr="00E44A25">
              <w:rPr>
                <w:bCs/>
                <w:sz w:val="22"/>
                <w:szCs w:val="22"/>
              </w:rPr>
              <w:t>5</w:t>
            </w:r>
          </w:p>
        </w:tc>
        <w:tc>
          <w:tcPr>
            <w:tcW w:w="791" w:type="pct"/>
          </w:tcPr>
          <w:p w:rsidR="003036F5" w:rsidRPr="00E44A25" w:rsidRDefault="003036F5" w:rsidP="002C0F08">
            <w:pPr>
              <w:pStyle w:val="naisf"/>
              <w:spacing w:before="0" w:after="0"/>
              <w:ind w:firstLine="0"/>
              <w:jc w:val="center"/>
              <w:rPr>
                <w:bCs/>
              </w:rPr>
            </w:pPr>
            <w:r w:rsidRPr="00E44A25">
              <w:rPr>
                <w:bCs/>
                <w:sz w:val="22"/>
                <w:szCs w:val="22"/>
              </w:rPr>
              <w:t>6</w:t>
            </w:r>
          </w:p>
        </w:tc>
      </w:tr>
      <w:tr w:rsidR="00581D95" w:rsidRPr="00253E48" w:rsidTr="00F45DB7">
        <w:tc>
          <w:tcPr>
            <w:tcW w:w="863" w:type="pct"/>
          </w:tcPr>
          <w:p w:rsidR="003036F5" w:rsidRPr="00E44A25" w:rsidRDefault="003036F5" w:rsidP="002C0F08">
            <w:pPr>
              <w:pStyle w:val="naisf"/>
              <w:spacing w:before="0" w:after="0"/>
              <w:ind w:firstLine="0"/>
              <w:rPr>
                <w:i/>
              </w:rPr>
            </w:pPr>
            <w:r w:rsidRPr="00E44A25">
              <w:rPr>
                <w:sz w:val="22"/>
                <w:szCs w:val="22"/>
              </w:rPr>
              <w:t>1.Budžeta ieņēmumi:</w:t>
            </w:r>
          </w:p>
        </w:tc>
        <w:tc>
          <w:tcPr>
            <w:tcW w:w="885" w:type="pct"/>
            <w:gridSpan w:val="2"/>
          </w:tcPr>
          <w:p w:rsidR="003036F5" w:rsidRPr="00E156EA" w:rsidRDefault="00475A38" w:rsidP="00AD30AF">
            <w:pPr>
              <w:pStyle w:val="naisf"/>
              <w:spacing w:before="0" w:after="0"/>
              <w:ind w:firstLine="0"/>
              <w:jc w:val="center"/>
            </w:pPr>
            <w:r>
              <w:t>900</w:t>
            </w:r>
            <w:r w:rsidR="00AD30AF">
              <w:t>,6</w:t>
            </w:r>
          </w:p>
        </w:tc>
        <w:tc>
          <w:tcPr>
            <w:tcW w:w="1292" w:type="pct"/>
          </w:tcPr>
          <w:p w:rsidR="003036F5" w:rsidRPr="007E3CB6" w:rsidRDefault="003036F5" w:rsidP="002C0F08">
            <w:pPr>
              <w:pStyle w:val="naisf"/>
              <w:spacing w:before="0" w:after="0"/>
              <w:ind w:firstLine="0"/>
              <w:jc w:val="center"/>
            </w:pPr>
            <w:r w:rsidRPr="007E3CB6">
              <w:rPr>
                <w:sz w:val="22"/>
                <w:szCs w:val="22"/>
              </w:rPr>
              <w:t>0</w:t>
            </w:r>
          </w:p>
        </w:tc>
        <w:tc>
          <w:tcPr>
            <w:tcW w:w="584" w:type="pct"/>
          </w:tcPr>
          <w:p w:rsidR="003036F5" w:rsidRPr="006A65CD" w:rsidRDefault="003036F5" w:rsidP="002C0F08">
            <w:pPr>
              <w:pStyle w:val="naisf"/>
              <w:spacing w:before="0" w:after="0"/>
              <w:ind w:firstLine="0"/>
              <w:jc w:val="center"/>
            </w:pPr>
            <w:r>
              <w:rPr>
                <w:sz w:val="22"/>
                <w:szCs w:val="22"/>
              </w:rPr>
              <w:t>0</w:t>
            </w:r>
          </w:p>
        </w:tc>
        <w:tc>
          <w:tcPr>
            <w:tcW w:w="584" w:type="pct"/>
          </w:tcPr>
          <w:p w:rsidR="003036F5" w:rsidRPr="00253E48" w:rsidRDefault="003036F5" w:rsidP="002C0F08">
            <w:pPr>
              <w:pStyle w:val="naisf"/>
              <w:spacing w:before="0" w:after="0"/>
              <w:ind w:firstLine="0"/>
              <w:jc w:val="center"/>
            </w:pPr>
            <w:r>
              <w:rPr>
                <w:sz w:val="22"/>
                <w:szCs w:val="22"/>
              </w:rPr>
              <w:t>0</w:t>
            </w:r>
          </w:p>
        </w:tc>
        <w:tc>
          <w:tcPr>
            <w:tcW w:w="791" w:type="pct"/>
          </w:tcPr>
          <w:p w:rsidR="003036F5" w:rsidRPr="00253E48" w:rsidRDefault="003036F5" w:rsidP="002C0F08">
            <w:pPr>
              <w:pStyle w:val="naisf"/>
              <w:spacing w:before="0" w:after="0"/>
              <w:ind w:firstLine="0"/>
              <w:jc w:val="center"/>
            </w:pPr>
            <w:r>
              <w:rPr>
                <w:sz w:val="22"/>
                <w:szCs w:val="22"/>
              </w:rPr>
              <w:t>0</w:t>
            </w:r>
          </w:p>
        </w:tc>
      </w:tr>
      <w:tr w:rsidR="00581D95" w:rsidRPr="00253E48" w:rsidTr="00F45DB7">
        <w:tc>
          <w:tcPr>
            <w:tcW w:w="863" w:type="pct"/>
          </w:tcPr>
          <w:p w:rsidR="003036F5" w:rsidRPr="00E44A25" w:rsidRDefault="003036F5" w:rsidP="002C0F08">
            <w:pPr>
              <w:pStyle w:val="naisf"/>
              <w:spacing w:before="0" w:after="0"/>
              <w:ind w:firstLine="0"/>
              <w:rPr>
                <w:i/>
              </w:rPr>
            </w:pPr>
            <w:r w:rsidRPr="00E44A25">
              <w:rPr>
                <w:sz w:val="22"/>
                <w:szCs w:val="22"/>
              </w:rPr>
              <w:t>1.1.valsts pamatbudžets, tai sk</w:t>
            </w:r>
            <w:r>
              <w:rPr>
                <w:sz w:val="22"/>
                <w:szCs w:val="22"/>
              </w:rPr>
              <w:t>aitā ieņēmumi no maksas pakalpo</w:t>
            </w:r>
            <w:r w:rsidRPr="00E44A25">
              <w:rPr>
                <w:sz w:val="22"/>
                <w:szCs w:val="22"/>
              </w:rPr>
              <w:t>jumiem un citi pašu ieņēmumi</w:t>
            </w:r>
          </w:p>
        </w:tc>
        <w:tc>
          <w:tcPr>
            <w:tcW w:w="885" w:type="pct"/>
            <w:gridSpan w:val="2"/>
          </w:tcPr>
          <w:p w:rsidR="003036F5" w:rsidRPr="00E156EA" w:rsidRDefault="00475A38" w:rsidP="00AD30AF">
            <w:pPr>
              <w:pStyle w:val="naisf"/>
              <w:spacing w:before="0" w:after="0"/>
              <w:ind w:firstLine="0"/>
              <w:jc w:val="center"/>
            </w:pPr>
            <w:r>
              <w:t>900</w:t>
            </w:r>
            <w:r w:rsidR="00AD30AF">
              <w:t>,6</w:t>
            </w:r>
          </w:p>
        </w:tc>
        <w:tc>
          <w:tcPr>
            <w:tcW w:w="1292" w:type="pct"/>
          </w:tcPr>
          <w:p w:rsidR="003036F5" w:rsidRPr="007E3CB6" w:rsidRDefault="003036F5" w:rsidP="002C0F08">
            <w:pPr>
              <w:pStyle w:val="naisf"/>
              <w:spacing w:before="0" w:after="0"/>
              <w:ind w:firstLine="0"/>
              <w:jc w:val="center"/>
            </w:pPr>
            <w:r w:rsidRPr="007E3CB6">
              <w:rPr>
                <w:sz w:val="22"/>
                <w:szCs w:val="22"/>
              </w:rPr>
              <w:t>0</w:t>
            </w:r>
          </w:p>
        </w:tc>
        <w:tc>
          <w:tcPr>
            <w:tcW w:w="584" w:type="pct"/>
          </w:tcPr>
          <w:p w:rsidR="003036F5" w:rsidRPr="006A65CD" w:rsidRDefault="003036F5" w:rsidP="002C0F08">
            <w:pPr>
              <w:pStyle w:val="naisf"/>
              <w:spacing w:before="0" w:after="0"/>
              <w:ind w:firstLine="0"/>
              <w:jc w:val="center"/>
            </w:pPr>
            <w:r>
              <w:rPr>
                <w:sz w:val="22"/>
                <w:szCs w:val="22"/>
              </w:rPr>
              <w:t>0</w:t>
            </w:r>
          </w:p>
        </w:tc>
        <w:tc>
          <w:tcPr>
            <w:tcW w:w="584" w:type="pct"/>
          </w:tcPr>
          <w:p w:rsidR="003036F5" w:rsidRPr="00253E48" w:rsidRDefault="003036F5" w:rsidP="002C0F08">
            <w:pPr>
              <w:pStyle w:val="naisf"/>
              <w:spacing w:before="0" w:after="0"/>
              <w:ind w:firstLine="0"/>
              <w:jc w:val="center"/>
            </w:pPr>
            <w:r>
              <w:rPr>
                <w:sz w:val="22"/>
                <w:szCs w:val="22"/>
              </w:rPr>
              <w:t>0</w:t>
            </w:r>
          </w:p>
        </w:tc>
        <w:tc>
          <w:tcPr>
            <w:tcW w:w="791" w:type="pct"/>
          </w:tcPr>
          <w:p w:rsidR="003036F5" w:rsidRPr="00253E48" w:rsidRDefault="003036F5" w:rsidP="002C0F08">
            <w:pPr>
              <w:pStyle w:val="naisf"/>
              <w:spacing w:before="0" w:after="0"/>
              <w:ind w:firstLine="0"/>
              <w:jc w:val="center"/>
            </w:pPr>
            <w:r>
              <w:rPr>
                <w:sz w:val="22"/>
                <w:szCs w:val="22"/>
              </w:rPr>
              <w:t>0</w:t>
            </w:r>
          </w:p>
        </w:tc>
      </w:tr>
      <w:tr w:rsidR="00581D95" w:rsidRPr="007E3CB6" w:rsidTr="00F45DB7">
        <w:tc>
          <w:tcPr>
            <w:tcW w:w="863" w:type="pct"/>
          </w:tcPr>
          <w:p w:rsidR="003036F5" w:rsidRPr="00E44A25" w:rsidRDefault="003036F5" w:rsidP="002C0F08">
            <w:pPr>
              <w:pStyle w:val="naisf"/>
              <w:spacing w:before="0" w:after="0"/>
              <w:ind w:firstLine="0"/>
              <w:rPr>
                <w:i/>
              </w:rPr>
            </w:pPr>
            <w:r w:rsidRPr="00E44A25">
              <w:rPr>
                <w:sz w:val="22"/>
                <w:szCs w:val="22"/>
              </w:rPr>
              <w:t>1.2.valsts speciālais budžets</w:t>
            </w:r>
          </w:p>
        </w:tc>
        <w:tc>
          <w:tcPr>
            <w:tcW w:w="885" w:type="pct"/>
            <w:gridSpan w:val="2"/>
          </w:tcPr>
          <w:p w:rsidR="003036F5" w:rsidRPr="00E156EA" w:rsidRDefault="003036F5" w:rsidP="002C0F08">
            <w:pPr>
              <w:pStyle w:val="naisf"/>
              <w:spacing w:before="0" w:after="0"/>
              <w:ind w:firstLine="0"/>
              <w:jc w:val="center"/>
            </w:pPr>
          </w:p>
        </w:tc>
        <w:tc>
          <w:tcPr>
            <w:tcW w:w="1292" w:type="pct"/>
          </w:tcPr>
          <w:p w:rsidR="003036F5" w:rsidRPr="007E3CB6" w:rsidRDefault="003036F5" w:rsidP="002C0F08">
            <w:pPr>
              <w:pStyle w:val="naisf"/>
              <w:spacing w:before="0" w:after="0"/>
              <w:ind w:firstLine="0"/>
              <w:jc w:val="center"/>
            </w:pPr>
          </w:p>
        </w:tc>
        <w:tc>
          <w:tcPr>
            <w:tcW w:w="584" w:type="pct"/>
          </w:tcPr>
          <w:p w:rsidR="003036F5" w:rsidRPr="006A65CD" w:rsidRDefault="003036F5" w:rsidP="002C0F08">
            <w:pPr>
              <w:pStyle w:val="naisf"/>
              <w:spacing w:before="0" w:after="0"/>
              <w:ind w:firstLine="0"/>
              <w:jc w:val="center"/>
            </w:pPr>
          </w:p>
        </w:tc>
        <w:tc>
          <w:tcPr>
            <w:tcW w:w="584" w:type="pct"/>
          </w:tcPr>
          <w:p w:rsidR="003036F5" w:rsidRPr="007E3CB6" w:rsidRDefault="003036F5" w:rsidP="002C0F08">
            <w:pPr>
              <w:pStyle w:val="naisf"/>
              <w:spacing w:before="0" w:after="0"/>
              <w:ind w:firstLine="0"/>
            </w:pPr>
          </w:p>
        </w:tc>
        <w:tc>
          <w:tcPr>
            <w:tcW w:w="791" w:type="pct"/>
          </w:tcPr>
          <w:p w:rsidR="003036F5" w:rsidRPr="007E3CB6" w:rsidRDefault="003036F5" w:rsidP="002C0F08">
            <w:pPr>
              <w:pStyle w:val="naisf"/>
              <w:spacing w:before="0" w:after="0"/>
              <w:ind w:firstLine="0"/>
            </w:pPr>
          </w:p>
        </w:tc>
      </w:tr>
      <w:tr w:rsidR="00581D95" w:rsidRPr="007E3CB6" w:rsidTr="00F45DB7">
        <w:tc>
          <w:tcPr>
            <w:tcW w:w="863" w:type="pct"/>
          </w:tcPr>
          <w:p w:rsidR="003036F5" w:rsidRPr="00E44A25" w:rsidRDefault="003036F5" w:rsidP="002C0F08">
            <w:pPr>
              <w:pStyle w:val="naisf"/>
              <w:spacing w:before="0" w:after="0"/>
              <w:ind w:firstLine="0"/>
              <w:rPr>
                <w:i/>
              </w:rPr>
            </w:pPr>
            <w:r w:rsidRPr="00E44A25">
              <w:rPr>
                <w:sz w:val="22"/>
                <w:szCs w:val="22"/>
              </w:rPr>
              <w:t>1.3.pašvaldību budžets</w:t>
            </w:r>
          </w:p>
        </w:tc>
        <w:tc>
          <w:tcPr>
            <w:tcW w:w="885" w:type="pct"/>
            <w:gridSpan w:val="2"/>
          </w:tcPr>
          <w:p w:rsidR="003036F5" w:rsidRPr="00E156EA" w:rsidRDefault="003036F5" w:rsidP="002C0F08">
            <w:pPr>
              <w:pStyle w:val="naisf"/>
              <w:spacing w:before="0" w:after="0"/>
              <w:ind w:firstLine="0"/>
              <w:jc w:val="center"/>
            </w:pPr>
          </w:p>
        </w:tc>
        <w:tc>
          <w:tcPr>
            <w:tcW w:w="1292" w:type="pct"/>
          </w:tcPr>
          <w:p w:rsidR="003036F5" w:rsidRPr="007E3CB6" w:rsidRDefault="003036F5" w:rsidP="002C0F08">
            <w:pPr>
              <w:pStyle w:val="naisf"/>
              <w:spacing w:before="0" w:after="0"/>
              <w:ind w:firstLine="0"/>
              <w:jc w:val="center"/>
            </w:pPr>
          </w:p>
        </w:tc>
        <w:tc>
          <w:tcPr>
            <w:tcW w:w="584" w:type="pct"/>
          </w:tcPr>
          <w:p w:rsidR="003036F5" w:rsidRPr="006A65CD" w:rsidRDefault="003036F5" w:rsidP="002C0F08">
            <w:pPr>
              <w:pStyle w:val="naisf"/>
              <w:spacing w:before="0" w:after="0"/>
              <w:ind w:firstLine="0"/>
              <w:jc w:val="center"/>
            </w:pPr>
          </w:p>
        </w:tc>
        <w:tc>
          <w:tcPr>
            <w:tcW w:w="584" w:type="pct"/>
          </w:tcPr>
          <w:p w:rsidR="003036F5" w:rsidRPr="007E3CB6" w:rsidRDefault="003036F5" w:rsidP="002C0F08">
            <w:pPr>
              <w:pStyle w:val="naisf"/>
              <w:spacing w:before="0" w:after="0"/>
              <w:ind w:firstLine="0"/>
            </w:pPr>
          </w:p>
        </w:tc>
        <w:tc>
          <w:tcPr>
            <w:tcW w:w="791" w:type="pct"/>
          </w:tcPr>
          <w:p w:rsidR="003036F5" w:rsidRPr="007E3CB6" w:rsidRDefault="003036F5" w:rsidP="002C0F08">
            <w:pPr>
              <w:pStyle w:val="naisf"/>
              <w:spacing w:before="0" w:after="0"/>
              <w:ind w:firstLine="0"/>
            </w:pPr>
          </w:p>
        </w:tc>
      </w:tr>
      <w:tr w:rsidR="00581D95" w:rsidRPr="00253E48" w:rsidTr="00F45DB7">
        <w:tc>
          <w:tcPr>
            <w:tcW w:w="863" w:type="pct"/>
          </w:tcPr>
          <w:p w:rsidR="003036F5" w:rsidRPr="007C0F2C" w:rsidRDefault="003036F5" w:rsidP="002C0F08">
            <w:pPr>
              <w:jc w:val="both"/>
            </w:pPr>
            <w:r w:rsidRPr="00E44A25">
              <w:rPr>
                <w:sz w:val="22"/>
                <w:szCs w:val="22"/>
              </w:rPr>
              <w:t>2.Budžeta izdevumi:</w:t>
            </w:r>
          </w:p>
        </w:tc>
        <w:tc>
          <w:tcPr>
            <w:tcW w:w="885" w:type="pct"/>
            <w:gridSpan w:val="2"/>
          </w:tcPr>
          <w:p w:rsidR="003036F5" w:rsidRPr="00E156EA" w:rsidRDefault="00475A38" w:rsidP="00AD30AF">
            <w:pPr>
              <w:pStyle w:val="naisf"/>
              <w:spacing w:before="0" w:after="0"/>
              <w:ind w:firstLine="0"/>
              <w:jc w:val="center"/>
            </w:pPr>
            <w:r>
              <w:t>900</w:t>
            </w:r>
            <w:r w:rsidR="00AD30AF">
              <w:t>,6</w:t>
            </w:r>
          </w:p>
        </w:tc>
        <w:tc>
          <w:tcPr>
            <w:tcW w:w="1292" w:type="pct"/>
          </w:tcPr>
          <w:p w:rsidR="003036F5" w:rsidRPr="007E3CB6" w:rsidRDefault="003036F5" w:rsidP="002C0F08">
            <w:pPr>
              <w:pStyle w:val="naisf"/>
              <w:spacing w:before="0" w:after="0"/>
              <w:ind w:firstLine="0"/>
              <w:jc w:val="center"/>
            </w:pPr>
            <w:r w:rsidRPr="007E3CB6">
              <w:rPr>
                <w:sz w:val="22"/>
                <w:szCs w:val="22"/>
              </w:rPr>
              <w:t>0</w:t>
            </w:r>
          </w:p>
        </w:tc>
        <w:tc>
          <w:tcPr>
            <w:tcW w:w="584" w:type="pct"/>
          </w:tcPr>
          <w:p w:rsidR="003036F5" w:rsidRPr="006A65CD" w:rsidRDefault="003036F5" w:rsidP="002C0F08">
            <w:pPr>
              <w:pStyle w:val="naisf"/>
              <w:spacing w:before="0" w:after="0"/>
              <w:ind w:firstLine="0"/>
              <w:jc w:val="center"/>
            </w:pPr>
            <w:r>
              <w:rPr>
                <w:sz w:val="22"/>
                <w:szCs w:val="22"/>
              </w:rPr>
              <w:t>0</w:t>
            </w:r>
          </w:p>
        </w:tc>
        <w:tc>
          <w:tcPr>
            <w:tcW w:w="584" w:type="pct"/>
          </w:tcPr>
          <w:p w:rsidR="003036F5" w:rsidRPr="00253E48" w:rsidRDefault="003036F5" w:rsidP="002C0F08">
            <w:pPr>
              <w:pStyle w:val="naisf"/>
              <w:spacing w:before="0" w:after="0"/>
              <w:ind w:firstLine="0"/>
              <w:jc w:val="center"/>
            </w:pPr>
            <w:r>
              <w:rPr>
                <w:sz w:val="22"/>
                <w:szCs w:val="22"/>
              </w:rPr>
              <w:t>0</w:t>
            </w:r>
          </w:p>
        </w:tc>
        <w:tc>
          <w:tcPr>
            <w:tcW w:w="791" w:type="pct"/>
          </w:tcPr>
          <w:p w:rsidR="003036F5" w:rsidRPr="00253E48" w:rsidRDefault="003036F5" w:rsidP="002C0F08">
            <w:pPr>
              <w:pStyle w:val="naisf"/>
              <w:spacing w:before="0" w:after="0"/>
              <w:ind w:firstLine="0"/>
              <w:jc w:val="center"/>
            </w:pPr>
            <w:r>
              <w:rPr>
                <w:sz w:val="22"/>
                <w:szCs w:val="22"/>
              </w:rPr>
              <w:t>0</w:t>
            </w:r>
          </w:p>
        </w:tc>
      </w:tr>
      <w:tr w:rsidR="00581D95" w:rsidRPr="00253E48" w:rsidTr="00F45DB7">
        <w:tc>
          <w:tcPr>
            <w:tcW w:w="863" w:type="pct"/>
          </w:tcPr>
          <w:p w:rsidR="003036F5" w:rsidRPr="007C0F2C" w:rsidRDefault="003036F5" w:rsidP="002C0F08">
            <w:pPr>
              <w:jc w:val="both"/>
            </w:pPr>
            <w:r w:rsidRPr="00E44A25">
              <w:rPr>
                <w:sz w:val="22"/>
                <w:szCs w:val="22"/>
              </w:rPr>
              <w:t>2.1.valsts pamatbudžets</w:t>
            </w:r>
          </w:p>
        </w:tc>
        <w:tc>
          <w:tcPr>
            <w:tcW w:w="885" w:type="pct"/>
            <w:gridSpan w:val="2"/>
          </w:tcPr>
          <w:p w:rsidR="003036F5" w:rsidRPr="00E156EA" w:rsidRDefault="00475A38" w:rsidP="00AD30AF">
            <w:pPr>
              <w:pStyle w:val="naisf"/>
              <w:spacing w:before="0" w:after="0"/>
              <w:ind w:firstLine="0"/>
              <w:jc w:val="center"/>
            </w:pPr>
            <w:r>
              <w:t>900</w:t>
            </w:r>
            <w:r w:rsidR="00AD30AF">
              <w:t>,6</w:t>
            </w:r>
          </w:p>
        </w:tc>
        <w:tc>
          <w:tcPr>
            <w:tcW w:w="1292" w:type="pct"/>
          </w:tcPr>
          <w:p w:rsidR="003036F5" w:rsidRPr="007E3CB6" w:rsidRDefault="003036F5" w:rsidP="002C0F08">
            <w:pPr>
              <w:pStyle w:val="naisf"/>
              <w:spacing w:before="0" w:after="0"/>
              <w:ind w:firstLine="0"/>
              <w:jc w:val="center"/>
            </w:pPr>
            <w:r w:rsidRPr="007E3CB6">
              <w:rPr>
                <w:sz w:val="22"/>
                <w:szCs w:val="22"/>
              </w:rPr>
              <w:t>0</w:t>
            </w:r>
          </w:p>
        </w:tc>
        <w:tc>
          <w:tcPr>
            <w:tcW w:w="584" w:type="pct"/>
          </w:tcPr>
          <w:p w:rsidR="003036F5" w:rsidRPr="006A65CD" w:rsidRDefault="003036F5" w:rsidP="002C0F08">
            <w:pPr>
              <w:pStyle w:val="naisf"/>
              <w:spacing w:before="0" w:after="0"/>
              <w:ind w:firstLine="0"/>
              <w:jc w:val="center"/>
            </w:pPr>
            <w:r>
              <w:rPr>
                <w:sz w:val="22"/>
                <w:szCs w:val="22"/>
              </w:rPr>
              <w:t>0</w:t>
            </w:r>
          </w:p>
        </w:tc>
        <w:tc>
          <w:tcPr>
            <w:tcW w:w="584" w:type="pct"/>
          </w:tcPr>
          <w:p w:rsidR="003036F5" w:rsidRPr="00253E48" w:rsidRDefault="003036F5" w:rsidP="002C0F08">
            <w:pPr>
              <w:pStyle w:val="naisf"/>
              <w:spacing w:before="0" w:after="0"/>
              <w:ind w:firstLine="0"/>
              <w:jc w:val="center"/>
            </w:pPr>
            <w:r>
              <w:rPr>
                <w:sz w:val="22"/>
                <w:szCs w:val="22"/>
              </w:rPr>
              <w:t>0</w:t>
            </w:r>
          </w:p>
        </w:tc>
        <w:tc>
          <w:tcPr>
            <w:tcW w:w="791" w:type="pct"/>
          </w:tcPr>
          <w:p w:rsidR="003036F5" w:rsidRPr="00253E48" w:rsidRDefault="003036F5" w:rsidP="002C0F08">
            <w:pPr>
              <w:pStyle w:val="naisf"/>
              <w:spacing w:before="0" w:after="0"/>
              <w:ind w:firstLine="0"/>
              <w:jc w:val="center"/>
            </w:pPr>
            <w:r>
              <w:rPr>
                <w:sz w:val="22"/>
                <w:szCs w:val="22"/>
              </w:rPr>
              <w:t>0</w:t>
            </w:r>
          </w:p>
        </w:tc>
      </w:tr>
      <w:tr w:rsidR="00581D95" w:rsidRPr="007E3CB6" w:rsidTr="00F45DB7">
        <w:tc>
          <w:tcPr>
            <w:tcW w:w="863" w:type="pct"/>
          </w:tcPr>
          <w:p w:rsidR="003036F5" w:rsidRPr="007C0F2C" w:rsidRDefault="003036F5" w:rsidP="002C0F08">
            <w:pPr>
              <w:jc w:val="both"/>
            </w:pPr>
            <w:r w:rsidRPr="00E44A25">
              <w:rPr>
                <w:sz w:val="22"/>
                <w:szCs w:val="22"/>
              </w:rPr>
              <w:t>2.2.valsts speciālais budžets</w:t>
            </w:r>
          </w:p>
        </w:tc>
        <w:tc>
          <w:tcPr>
            <w:tcW w:w="885" w:type="pct"/>
            <w:gridSpan w:val="2"/>
          </w:tcPr>
          <w:p w:rsidR="003036F5" w:rsidRPr="00E156EA" w:rsidRDefault="003036F5" w:rsidP="002C0F08">
            <w:pPr>
              <w:pStyle w:val="naisf"/>
              <w:spacing w:before="0" w:after="0"/>
              <w:ind w:firstLine="0"/>
              <w:jc w:val="center"/>
            </w:pPr>
          </w:p>
        </w:tc>
        <w:tc>
          <w:tcPr>
            <w:tcW w:w="1292" w:type="pct"/>
          </w:tcPr>
          <w:p w:rsidR="003036F5" w:rsidRPr="007E3CB6" w:rsidRDefault="003036F5" w:rsidP="002C0F08">
            <w:pPr>
              <w:pStyle w:val="naisf"/>
              <w:spacing w:before="0" w:after="0"/>
              <w:ind w:firstLine="0"/>
              <w:jc w:val="center"/>
            </w:pPr>
          </w:p>
        </w:tc>
        <w:tc>
          <w:tcPr>
            <w:tcW w:w="584" w:type="pct"/>
          </w:tcPr>
          <w:p w:rsidR="003036F5" w:rsidRPr="006A65CD" w:rsidRDefault="003036F5" w:rsidP="002C0F08">
            <w:pPr>
              <w:pStyle w:val="naisf"/>
              <w:spacing w:before="0" w:after="0"/>
              <w:ind w:firstLine="0"/>
              <w:jc w:val="center"/>
            </w:pPr>
          </w:p>
        </w:tc>
        <w:tc>
          <w:tcPr>
            <w:tcW w:w="584" w:type="pct"/>
          </w:tcPr>
          <w:p w:rsidR="003036F5" w:rsidRPr="007E3CB6" w:rsidRDefault="003036F5" w:rsidP="002C0F08">
            <w:pPr>
              <w:pStyle w:val="naisf"/>
              <w:spacing w:before="0" w:after="0"/>
              <w:ind w:firstLine="0"/>
            </w:pPr>
          </w:p>
        </w:tc>
        <w:tc>
          <w:tcPr>
            <w:tcW w:w="791" w:type="pct"/>
          </w:tcPr>
          <w:p w:rsidR="003036F5" w:rsidRPr="007E3CB6" w:rsidRDefault="003036F5" w:rsidP="002C0F08">
            <w:pPr>
              <w:pStyle w:val="naisf"/>
              <w:spacing w:before="0" w:after="0"/>
              <w:ind w:firstLine="0"/>
            </w:pPr>
          </w:p>
        </w:tc>
      </w:tr>
      <w:tr w:rsidR="00581D95" w:rsidRPr="007E3CB6" w:rsidTr="00F45DB7">
        <w:tc>
          <w:tcPr>
            <w:tcW w:w="863" w:type="pct"/>
          </w:tcPr>
          <w:p w:rsidR="003036F5" w:rsidRPr="007C0F2C" w:rsidRDefault="003036F5" w:rsidP="002C0F08">
            <w:pPr>
              <w:jc w:val="both"/>
            </w:pPr>
            <w:r w:rsidRPr="00E44A25">
              <w:rPr>
                <w:sz w:val="22"/>
                <w:szCs w:val="22"/>
              </w:rPr>
              <w:t xml:space="preserve">2.3.pašvaldību budžets </w:t>
            </w:r>
          </w:p>
        </w:tc>
        <w:tc>
          <w:tcPr>
            <w:tcW w:w="885" w:type="pct"/>
            <w:gridSpan w:val="2"/>
          </w:tcPr>
          <w:p w:rsidR="003036F5" w:rsidRPr="00E156EA" w:rsidRDefault="003036F5" w:rsidP="002C0F08">
            <w:pPr>
              <w:pStyle w:val="naisf"/>
              <w:spacing w:before="0" w:after="0"/>
              <w:ind w:firstLine="0"/>
              <w:jc w:val="center"/>
            </w:pPr>
          </w:p>
        </w:tc>
        <w:tc>
          <w:tcPr>
            <w:tcW w:w="1292" w:type="pct"/>
          </w:tcPr>
          <w:p w:rsidR="003036F5" w:rsidRPr="007E3CB6" w:rsidRDefault="003036F5" w:rsidP="002C0F08">
            <w:pPr>
              <w:pStyle w:val="naisf"/>
              <w:spacing w:before="0" w:after="0"/>
              <w:ind w:firstLine="0"/>
              <w:jc w:val="center"/>
            </w:pPr>
          </w:p>
        </w:tc>
        <w:tc>
          <w:tcPr>
            <w:tcW w:w="584" w:type="pct"/>
          </w:tcPr>
          <w:p w:rsidR="003036F5" w:rsidRPr="007E3CB6" w:rsidRDefault="003036F5" w:rsidP="002C0F08">
            <w:pPr>
              <w:pStyle w:val="naisf"/>
              <w:spacing w:before="0" w:after="0"/>
              <w:ind w:firstLine="0"/>
            </w:pPr>
          </w:p>
        </w:tc>
        <w:tc>
          <w:tcPr>
            <w:tcW w:w="584" w:type="pct"/>
          </w:tcPr>
          <w:p w:rsidR="003036F5" w:rsidRPr="007E3CB6" w:rsidRDefault="003036F5" w:rsidP="002C0F08">
            <w:pPr>
              <w:pStyle w:val="naisf"/>
              <w:spacing w:before="0" w:after="0"/>
              <w:ind w:firstLine="0"/>
            </w:pPr>
          </w:p>
        </w:tc>
        <w:tc>
          <w:tcPr>
            <w:tcW w:w="791" w:type="pct"/>
          </w:tcPr>
          <w:p w:rsidR="003036F5" w:rsidRPr="007E3CB6" w:rsidRDefault="003036F5" w:rsidP="002C0F08">
            <w:pPr>
              <w:pStyle w:val="naisf"/>
              <w:spacing w:before="0" w:after="0"/>
              <w:ind w:firstLine="0"/>
            </w:pPr>
          </w:p>
        </w:tc>
      </w:tr>
      <w:tr w:rsidR="00581D95" w:rsidRPr="007E3CB6" w:rsidTr="00F45DB7">
        <w:tc>
          <w:tcPr>
            <w:tcW w:w="863" w:type="pct"/>
          </w:tcPr>
          <w:p w:rsidR="003036F5" w:rsidRPr="007C0F2C" w:rsidRDefault="003036F5" w:rsidP="002C0F08">
            <w:pPr>
              <w:jc w:val="both"/>
            </w:pPr>
            <w:r w:rsidRPr="00E44A25">
              <w:rPr>
                <w:sz w:val="22"/>
                <w:szCs w:val="22"/>
              </w:rPr>
              <w:t>3.Finansiālā ietekme:</w:t>
            </w:r>
          </w:p>
        </w:tc>
        <w:tc>
          <w:tcPr>
            <w:tcW w:w="885" w:type="pct"/>
            <w:gridSpan w:val="2"/>
          </w:tcPr>
          <w:p w:rsidR="003036F5" w:rsidRPr="00E156EA" w:rsidRDefault="003036F5" w:rsidP="002C0F08">
            <w:pPr>
              <w:pStyle w:val="naisf"/>
              <w:spacing w:before="0" w:after="0"/>
              <w:ind w:firstLine="0"/>
              <w:jc w:val="center"/>
            </w:pPr>
            <w:r w:rsidRPr="00E44A25">
              <w:rPr>
                <w:sz w:val="22"/>
                <w:szCs w:val="22"/>
              </w:rPr>
              <w:t>0</w:t>
            </w:r>
          </w:p>
        </w:tc>
        <w:tc>
          <w:tcPr>
            <w:tcW w:w="1292" w:type="pct"/>
          </w:tcPr>
          <w:p w:rsidR="003036F5" w:rsidRPr="007E3CB6" w:rsidRDefault="003036F5" w:rsidP="002C0F08">
            <w:pPr>
              <w:pStyle w:val="naisf"/>
              <w:spacing w:before="0" w:after="0"/>
              <w:ind w:firstLine="0"/>
              <w:jc w:val="center"/>
            </w:pPr>
            <w:r w:rsidRPr="007E3CB6">
              <w:rPr>
                <w:sz w:val="22"/>
                <w:szCs w:val="22"/>
              </w:rPr>
              <w:t>0</w:t>
            </w:r>
          </w:p>
        </w:tc>
        <w:tc>
          <w:tcPr>
            <w:tcW w:w="584" w:type="pct"/>
          </w:tcPr>
          <w:p w:rsidR="003036F5" w:rsidRPr="007E3CB6" w:rsidRDefault="003036F5" w:rsidP="002C0F08">
            <w:pPr>
              <w:pStyle w:val="naisf"/>
              <w:spacing w:before="0" w:after="0"/>
              <w:ind w:firstLine="0"/>
              <w:jc w:val="center"/>
            </w:pPr>
            <w:r w:rsidRPr="007E3CB6">
              <w:rPr>
                <w:sz w:val="22"/>
                <w:szCs w:val="22"/>
              </w:rPr>
              <w:t>0</w:t>
            </w:r>
          </w:p>
        </w:tc>
        <w:tc>
          <w:tcPr>
            <w:tcW w:w="584" w:type="pct"/>
          </w:tcPr>
          <w:p w:rsidR="003036F5" w:rsidRPr="007E3CB6" w:rsidRDefault="003036F5" w:rsidP="002C0F08">
            <w:pPr>
              <w:pStyle w:val="naisf"/>
              <w:spacing w:before="0" w:after="0"/>
              <w:ind w:firstLine="0"/>
              <w:jc w:val="center"/>
            </w:pPr>
            <w:r w:rsidRPr="007E3CB6">
              <w:rPr>
                <w:sz w:val="22"/>
                <w:szCs w:val="22"/>
              </w:rPr>
              <w:t>0</w:t>
            </w:r>
          </w:p>
        </w:tc>
        <w:tc>
          <w:tcPr>
            <w:tcW w:w="791" w:type="pct"/>
          </w:tcPr>
          <w:p w:rsidR="003036F5" w:rsidRPr="007E3CB6" w:rsidRDefault="003036F5" w:rsidP="002C0F08">
            <w:pPr>
              <w:pStyle w:val="naisf"/>
              <w:spacing w:before="0" w:after="0"/>
              <w:ind w:firstLine="0"/>
              <w:jc w:val="center"/>
            </w:pPr>
            <w:r w:rsidRPr="007E3CB6">
              <w:rPr>
                <w:sz w:val="22"/>
                <w:szCs w:val="22"/>
              </w:rPr>
              <w:t>0</w:t>
            </w:r>
          </w:p>
        </w:tc>
      </w:tr>
      <w:tr w:rsidR="00581D95" w:rsidRPr="00E156EA" w:rsidTr="00F45DB7">
        <w:tc>
          <w:tcPr>
            <w:tcW w:w="863" w:type="pct"/>
          </w:tcPr>
          <w:p w:rsidR="003036F5" w:rsidRPr="007C0F2C" w:rsidRDefault="003036F5" w:rsidP="002C0F08">
            <w:pPr>
              <w:jc w:val="both"/>
            </w:pPr>
            <w:r w:rsidRPr="00E44A25">
              <w:rPr>
                <w:sz w:val="22"/>
                <w:szCs w:val="22"/>
              </w:rPr>
              <w:t>3.1.valsts pamatbudžets</w:t>
            </w:r>
          </w:p>
        </w:tc>
        <w:tc>
          <w:tcPr>
            <w:tcW w:w="885" w:type="pct"/>
            <w:gridSpan w:val="2"/>
          </w:tcPr>
          <w:p w:rsidR="003036F5" w:rsidRPr="00E156EA" w:rsidRDefault="003036F5" w:rsidP="002C0F08">
            <w:pPr>
              <w:pStyle w:val="naisf"/>
              <w:spacing w:before="0" w:after="0"/>
              <w:ind w:firstLine="0"/>
              <w:jc w:val="center"/>
            </w:pPr>
            <w:r w:rsidRPr="00E44A25">
              <w:rPr>
                <w:sz w:val="22"/>
                <w:szCs w:val="22"/>
              </w:rPr>
              <w:t>0</w:t>
            </w:r>
          </w:p>
        </w:tc>
        <w:tc>
          <w:tcPr>
            <w:tcW w:w="1292" w:type="pct"/>
          </w:tcPr>
          <w:p w:rsidR="003036F5" w:rsidRPr="00E156EA" w:rsidRDefault="003036F5" w:rsidP="002C0F08">
            <w:pPr>
              <w:pStyle w:val="naisf"/>
              <w:spacing w:before="0" w:after="0"/>
              <w:ind w:firstLine="0"/>
              <w:jc w:val="center"/>
            </w:pPr>
            <w:r w:rsidRPr="00E44A25">
              <w:rPr>
                <w:sz w:val="22"/>
                <w:szCs w:val="22"/>
              </w:rPr>
              <w:t>0</w:t>
            </w:r>
          </w:p>
        </w:tc>
        <w:tc>
          <w:tcPr>
            <w:tcW w:w="584" w:type="pct"/>
          </w:tcPr>
          <w:p w:rsidR="003036F5" w:rsidRPr="00E156EA" w:rsidRDefault="003036F5" w:rsidP="002C0F08">
            <w:pPr>
              <w:pStyle w:val="naisf"/>
              <w:spacing w:before="0" w:after="0"/>
              <w:ind w:firstLine="0"/>
              <w:jc w:val="center"/>
            </w:pPr>
            <w:r w:rsidRPr="00E44A25">
              <w:rPr>
                <w:sz w:val="22"/>
                <w:szCs w:val="22"/>
              </w:rPr>
              <w:t>0</w:t>
            </w:r>
          </w:p>
        </w:tc>
        <w:tc>
          <w:tcPr>
            <w:tcW w:w="584" w:type="pct"/>
          </w:tcPr>
          <w:p w:rsidR="003036F5" w:rsidRPr="00E156EA" w:rsidRDefault="003036F5" w:rsidP="002C0F08">
            <w:pPr>
              <w:pStyle w:val="naisf"/>
              <w:spacing w:before="0" w:after="0"/>
              <w:ind w:firstLine="0"/>
              <w:jc w:val="center"/>
            </w:pPr>
            <w:r w:rsidRPr="00E44A25">
              <w:rPr>
                <w:sz w:val="22"/>
                <w:szCs w:val="22"/>
              </w:rPr>
              <w:t>0</w:t>
            </w:r>
          </w:p>
        </w:tc>
        <w:tc>
          <w:tcPr>
            <w:tcW w:w="791" w:type="pct"/>
          </w:tcPr>
          <w:p w:rsidR="003036F5" w:rsidRPr="00E156EA" w:rsidRDefault="003036F5" w:rsidP="002C0F08">
            <w:pPr>
              <w:pStyle w:val="naisf"/>
              <w:spacing w:before="0" w:after="0"/>
              <w:ind w:firstLine="0"/>
              <w:jc w:val="center"/>
            </w:pPr>
            <w:r w:rsidRPr="00E44A25">
              <w:rPr>
                <w:sz w:val="22"/>
                <w:szCs w:val="22"/>
              </w:rPr>
              <w:t>0</w:t>
            </w:r>
          </w:p>
        </w:tc>
      </w:tr>
      <w:tr w:rsidR="00581D95" w:rsidRPr="00E156EA" w:rsidTr="00F45DB7">
        <w:tc>
          <w:tcPr>
            <w:tcW w:w="863" w:type="pct"/>
          </w:tcPr>
          <w:p w:rsidR="003036F5" w:rsidRPr="007C0F2C" w:rsidRDefault="003036F5" w:rsidP="002C0F08">
            <w:pPr>
              <w:jc w:val="both"/>
            </w:pPr>
            <w:r w:rsidRPr="00E44A25">
              <w:rPr>
                <w:sz w:val="22"/>
                <w:szCs w:val="22"/>
              </w:rPr>
              <w:t>3.2.speciālais budžets</w:t>
            </w:r>
          </w:p>
        </w:tc>
        <w:tc>
          <w:tcPr>
            <w:tcW w:w="885" w:type="pct"/>
            <w:gridSpan w:val="2"/>
          </w:tcPr>
          <w:p w:rsidR="003036F5" w:rsidRPr="00E156EA" w:rsidRDefault="003036F5" w:rsidP="002C0F08">
            <w:pPr>
              <w:pStyle w:val="naisf"/>
              <w:spacing w:before="0" w:after="0"/>
              <w:ind w:firstLine="0"/>
              <w:jc w:val="center"/>
            </w:pPr>
          </w:p>
        </w:tc>
        <w:tc>
          <w:tcPr>
            <w:tcW w:w="1292" w:type="pct"/>
          </w:tcPr>
          <w:p w:rsidR="003036F5" w:rsidRPr="00E156EA" w:rsidRDefault="003036F5" w:rsidP="002C0F08">
            <w:pPr>
              <w:pStyle w:val="naisf"/>
              <w:spacing w:before="0" w:after="0"/>
              <w:ind w:firstLine="0"/>
              <w:jc w:val="center"/>
            </w:pPr>
          </w:p>
        </w:tc>
        <w:tc>
          <w:tcPr>
            <w:tcW w:w="584" w:type="pct"/>
          </w:tcPr>
          <w:p w:rsidR="003036F5" w:rsidRPr="00E156EA" w:rsidRDefault="003036F5" w:rsidP="002C0F08">
            <w:pPr>
              <w:pStyle w:val="naisf"/>
              <w:spacing w:before="0" w:after="0"/>
              <w:ind w:firstLine="0"/>
            </w:pPr>
          </w:p>
        </w:tc>
        <w:tc>
          <w:tcPr>
            <w:tcW w:w="584" w:type="pct"/>
          </w:tcPr>
          <w:p w:rsidR="003036F5" w:rsidRPr="00E156EA" w:rsidRDefault="003036F5" w:rsidP="002C0F08">
            <w:pPr>
              <w:pStyle w:val="naisf"/>
              <w:spacing w:before="0" w:after="0"/>
              <w:ind w:firstLine="0"/>
            </w:pPr>
          </w:p>
        </w:tc>
        <w:tc>
          <w:tcPr>
            <w:tcW w:w="791" w:type="pct"/>
          </w:tcPr>
          <w:p w:rsidR="003036F5" w:rsidRPr="00E156EA" w:rsidRDefault="003036F5" w:rsidP="002C0F08">
            <w:pPr>
              <w:pStyle w:val="naisf"/>
              <w:spacing w:before="0" w:after="0"/>
              <w:ind w:firstLine="0"/>
            </w:pPr>
          </w:p>
        </w:tc>
      </w:tr>
      <w:tr w:rsidR="00581D95" w:rsidRPr="00E44A25" w:rsidTr="00F45DB7">
        <w:tc>
          <w:tcPr>
            <w:tcW w:w="863" w:type="pct"/>
            <w:tcBorders>
              <w:bottom w:val="single" w:sz="4" w:space="0" w:color="auto"/>
            </w:tcBorders>
          </w:tcPr>
          <w:p w:rsidR="003036F5" w:rsidRPr="007C0F2C" w:rsidRDefault="003036F5" w:rsidP="002C0F08">
            <w:pPr>
              <w:jc w:val="both"/>
            </w:pPr>
            <w:r w:rsidRPr="00E44A25">
              <w:rPr>
                <w:sz w:val="22"/>
                <w:szCs w:val="22"/>
              </w:rPr>
              <w:t xml:space="preserve">3.3.pašvaldību budžets </w:t>
            </w:r>
          </w:p>
        </w:tc>
        <w:tc>
          <w:tcPr>
            <w:tcW w:w="885" w:type="pct"/>
            <w:gridSpan w:val="2"/>
            <w:tcBorders>
              <w:bottom w:val="single" w:sz="4" w:space="0" w:color="auto"/>
            </w:tcBorders>
          </w:tcPr>
          <w:p w:rsidR="003036F5" w:rsidRPr="00326FF1" w:rsidRDefault="003036F5" w:rsidP="002C0F08">
            <w:pPr>
              <w:pStyle w:val="naisf"/>
              <w:spacing w:before="0" w:after="0"/>
              <w:ind w:firstLine="0"/>
              <w:jc w:val="center"/>
            </w:pPr>
          </w:p>
        </w:tc>
        <w:tc>
          <w:tcPr>
            <w:tcW w:w="1292" w:type="pct"/>
            <w:tcBorders>
              <w:bottom w:val="single" w:sz="4" w:space="0" w:color="auto"/>
            </w:tcBorders>
          </w:tcPr>
          <w:p w:rsidR="003036F5" w:rsidRPr="00326FF1" w:rsidRDefault="003036F5" w:rsidP="002C0F08">
            <w:pPr>
              <w:pStyle w:val="naisf"/>
              <w:spacing w:before="0" w:after="0"/>
              <w:ind w:firstLine="0"/>
              <w:jc w:val="center"/>
            </w:pPr>
          </w:p>
        </w:tc>
        <w:tc>
          <w:tcPr>
            <w:tcW w:w="584" w:type="pct"/>
          </w:tcPr>
          <w:p w:rsidR="003036F5" w:rsidRPr="00E44A25" w:rsidRDefault="003036F5" w:rsidP="002C0F08">
            <w:pPr>
              <w:pStyle w:val="naisf"/>
              <w:spacing w:before="0" w:after="0"/>
              <w:ind w:firstLine="0"/>
              <w:rPr>
                <w:b/>
                <w:i/>
              </w:rPr>
            </w:pPr>
          </w:p>
        </w:tc>
        <w:tc>
          <w:tcPr>
            <w:tcW w:w="584" w:type="pct"/>
          </w:tcPr>
          <w:p w:rsidR="003036F5" w:rsidRPr="00E44A25" w:rsidRDefault="003036F5" w:rsidP="002C0F08">
            <w:pPr>
              <w:pStyle w:val="naisf"/>
              <w:spacing w:before="0" w:after="0"/>
              <w:ind w:firstLine="0"/>
              <w:rPr>
                <w:b/>
                <w:i/>
              </w:rPr>
            </w:pPr>
          </w:p>
        </w:tc>
        <w:tc>
          <w:tcPr>
            <w:tcW w:w="791" w:type="pct"/>
          </w:tcPr>
          <w:p w:rsidR="003036F5" w:rsidRPr="00E44A25" w:rsidRDefault="003036F5" w:rsidP="002C0F08">
            <w:pPr>
              <w:pStyle w:val="naisf"/>
              <w:spacing w:before="0" w:after="0"/>
              <w:ind w:firstLine="0"/>
              <w:rPr>
                <w:b/>
                <w:i/>
              </w:rPr>
            </w:pPr>
          </w:p>
        </w:tc>
      </w:tr>
      <w:tr w:rsidR="00581D95" w:rsidRPr="00E44A25" w:rsidTr="00F45DB7">
        <w:tc>
          <w:tcPr>
            <w:tcW w:w="863" w:type="pct"/>
            <w:vMerge w:val="restart"/>
            <w:tcBorders>
              <w:top w:val="single" w:sz="4" w:space="0" w:color="auto"/>
              <w:left w:val="single" w:sz="4" w:space="0" w:color="auto"/>
              <w:bottom w:val="single" w:sz="4" w:space="0" w:color="auto"/>
              <w:right w:val="single" w:sz="4" w:space="0" w:color="auto"/>
            </w:tcBorders>
          </w:tcPr>
          <w:p w:rsidR="003036F5" w:rsidRPr="007C0F2C" w:rsidRDefault="00475A38" w:rsidP="002C0F08">
            <w:pPr>
              <w:jc w:val="both"/>
            </w:pPr>
            <w:r>
              <w:rPr>
                <w:sz w:val="22"/>
                <w:szCs w:val="22"/>
              </w:rPr>
              <w:t xml:space="preserve">4.Finanšu līdzekļi </w:t>
            </w:r>
            <w:r w:rsidR="0071678C">
              <w:rPr>
                <w:sz w:val="22"/>
                <w:szCs w:val="22"/>
              </w:rPr>
              <w:t>papildus</w:t>
            </w:r>
            <w:r w:rsidR="003036F5">
              <w:rPr>
                <w:sz w:val="22"/>
                <w:szCs w:val="22"/>
              </w:rPr>
              <w:t xml:space="preserve"> izde</w:t>
            </w:r>
            <w:r w:rsidR="003036F5" w:rsidRPr="00E44A25">
              <w:rPr>
                <w:sz w:val="22"/>
                <w:szCs w:val="22"/>
              </w:rPr>
              <w:t>vumu finansēšanai (kompensējošu izdevumu samazinājumu norāda ar "+" zīmi)</w:t>
            </w:r>
          </w:p>
        </w:tc>
        <w:tc>
          <w:tcPr>
            <w:tcW w:w="885" w:type="pct"/>
            <w:gridSpan w:val="2"/>
            <w:vMerge w:val="restart"/>
            <w:tcBorders>
              <w:top w:val="single" w:sz="4" w:space="0" w:color="auto"/>
              <w:left w:val="single" w:sz="4" w:space="0" w:color="auto"/>
              <w:bottom w:val="single" w:sz="4" w:space="0" w:color="auto"/>
              <w:right w:val="single" w:sz="4" w:space="0" w:color="auto"/>
            </w:tcBorders>
          </w:tcPr>
          <w:p w:rsidR="003036F5" w:rsidRPr="00E44A25" w:rsidRDefault="003036F5" w:rsidP="002C0F08">
            <w:pPr>
              <w:pStyle w:val="naisf"/>
              <w:spacing w:before="0" w:after="0"/>
              <w:ind w:firstLine="0"/>
              <w:jc w:val="center"/>
              <w:rPr>
                <w:i/>
              </w:rPr>
            </w:pPr>
            <w:r w:rsidRPr="007C0F2C">
              <w:t>X</w:t>
            </w:r>
          </w:p>
        </w:tc>
        <w:tc>
          <w:tcPr>
            <w:tcW w:w="1292" w:type="pct"/>
            <w:tcBorders>
              <w:top w:val="single" w:sz="4" w:space="0" w:color="auto"/>
              <w:left w:val="single" w:sz="4" w:space="0" w:color="auto"/>
              <w:bottom w:val="single" w:sz="4" w:space="0" w:color="auto"/>
              <w:right w:val="single" w:sz="4" w:space="0" w:color="auto"/>
            </w:tcBorders>
          </w:tcPr>
          <w:p w:rsidR="003036F5" w:rsidRPr="00326FF1" w:rsidRDefault="003036F5" w:rsidP="002C0F08">
            <w:pPr>
              <w:pStyle w:val="naisf"/>
              <w:spacing w:before="0" w:after="0"/>
              <w:ind w:firstLine="0"/>
              <w:jc w:val="center"/>
            </w:pPr>
          </w:p>
        </w:tc>
        <w:tc>
          <w:tcPr>
            <w:tcW w:w="584" w:type="pct"/>
            <w:tcBorders>
              <w:left w:val="single" w:sz="4" w:space="0" w:color="auto"/>
            </w:tcBorders>
          </w:tcPr>
          <w:p w:rsidR="003036F5" w:rsidRPr="00E44A25" w:rsidRDefault="003036F5" w:rsidP="002C0F08">
            <w:pPr>
              <w:pStyle w:val="naisf"/>
              <w:spacing w:before="0" w:after="0"/>
              <w:ind w:firstLine="0"/>
              <w:jc w:val="left"/>
              <w:rPr>
                <w:b/>
                <w:i/>
              </w:rPr>
            </w:pPr>
          </w:p>
        </w:tc>
        <w:tc>
          <w:tcPr>
            <w:tcW w:w="584" w:type="pct"/>
          </w:tcPr>
          <w:p w:rsidR="003036F5" w:rsidRPr="00E44A25" w:rsidRDefault="003036F5" w:rsidP="002C0F08">
            <w:pPr>
              <w:pStyle w:val="naisf"/>
              <w:spacing w:before="0" w:after="0"/>
              <w:ind w:firstLine="0"/>
              <w:jc w:val="left"/>
              <w:rPr>
                <w:b/>
                <w:i/>
              </w:rPr>
            </w:pPr>
          </w:p>
        </w:tc>
        <w:tc>
          <w:tcPr>
            <w:tcW w:w="791" w:type="pct"/>
          </w:tcPr>
          <w:p w:rsidR="003036F5" w:rsidRPr="00E44A25" w:rsidRDefault="003036F5" w:rsidP="002C0F08">
            <w:pPr>
              <w:pStyle w:val="naisf"/>
              <w:spacing w:before="0" w:after="0"/>
              <w:ind w:firstLine="0"/>
              <w:jc w:val="left"/>
              <w:rPr>
                <w:b/>
                <w:i/>
              </w:rPr>
            </w:pPr>
          </w:p>
        </w:tc>
      </w:tr>
      <w:tr w:rsidR="00581D95" w:rsidRPr="00E44A25" w:rsidTr="00F45DB7">
        <w:tc>
          <w:tcPr>
            <w:tcW w:w="863" w:type="pct"/>
            <w:vMerge/>
            <w:tcBorders>
              <w:top w:val="single" w:sz="4" w:space="0" w:color="auto"/>
              <w:left w:val="single" w:sz="4" w:space="0" w:color="auto"/>
              <w:bottom w:val="single" w:sz="4" w:space="0" w:color="auto"/>
              <w:right w:val="single" w:sz="4" w:space="0" w:color="auto"/>
            </w:tcBorders>
          </w:tcPr>
          <w:p w:rsidR="003036F5" w:rsidRPr="007C0F2C" w:rsidRDefault="003036F5" w:rsidP="002C0F08">
            <w:pPr>
              <w:jc w:val="both"/>
            </w:pPr>
          </w:p>
        </w:tc>
        <w:tc>
          <w:tcPr>
            <w:tcW w:w="885" w:type="pct"/>
            <w:gridSpan w:val="2"/>
            <w:vMerge/>
            <w:tcBorders>
              <w:top w:val="single" w:sz="4" w:space="0" w:color="auto"/>
              <w:left w:val="single" w:sz="4" w:space="0" w:color="auto"/>
              <w:bottom w:val="single" w:sz="4" w:space="0" w:color="auto"/>
              <w:right w:val="single" w:sz="4" w:space="0" w:color="auto"/>
            </w:tcBorders>
          </w:tcPr>
          <w:p w:rsidR="003036F5" w:rsidRPr="00E44A25" w:rsidRDefault="003036F5" w:rsidP="002C0F08">
            <w:pPr>
              <w:pStyle w:val="naisf"/>
              <w:spacing w:before="0" w:after="0"/>
              <w:ind w:firstLine="0"/>
              <w:jc w:val="center"/>
              <w:rPr>
                <w:i/>
                <w:sz w:val="40"/>
                <w:szCs w:val="40"/>
              </w:rPr>
            </w:pPr>
          </w:p>
        </w:tc>
        <w:tc>
          <w:tcPr>
            <w:tcW w:w="1292" w:type="pct"/>
            <w:tcBorders>
              <w:top w:val="single" w:sz="4" w:space="0" w:color="auto"/>
              <w:left w:val="single" w:sz="4" w:space="0" w:color="auto"/>
              <w:bottom w:val="single" w:sz="4" w:space="0" w:color="auto"/>
              <w:right w:val="single" w:sz="4" w:space="0" w:color="auto"/>
            </w:tcBorders>
          </w:tcPr>
          <w:p w:rsidR="003036F5" w:rsidRPr="00326FF1" w:rsidRDefault="003036F5" w:rsidP="002C0F08">
            <w:pPr>
              <w:pStyle w:val="naisf"/>
              <w:spacing w:before="0" w:after="0"/>
              <w:ind w:firstLine="0"/>
              <w:jc w:val="center"/>
            </w:pPr>
          </w:p>
        </w:tc>
        <w:tc>
          <w:tcPr>
            <w:tcW w:w="584" w:type="pct"/>
            <w:tcBorders>
              <w:left w:val="single" w:sz="4" w:space="0" w:color="auto"/>
            </w:tcBorders>
          </w:tcPr>
          <w:p w:rsidR="003036F5" w:rsidRPr="00E44A25" w:rsidRDefault="003036F5" w:rsidP="002C0F08">
            <w:pPr>
              <w:pStyle w:val="naisf"/>
              <w:spacing w:before="0" w:after="0"/>
              <w:ind w:firstLine="0"/>
              <w:jc w:val="left"/>
              <w:rPr>
                <w:b/>
                <w:i/>
              </w:rPr>
            </w:pPr>
          </w:p>
        </w:tc>
        <w:tc>
          <w:tcPr>
            <w:tcW w:w="584" w:type="pct"/>
          </w:tcPr>
          <w:p w:rsidR="003036F5" w:rsidRPr="00E44A25" w:rsidRDefault="003036F5" w:rsidP="002C0F08">
            <w:pPr>
              <w:pStyle w:val="naisf"/>
              <w:spacing w:before="0" w:after="0"/>
              <w:ind w:firstLine="0"/>
              <w:jc w:val="left"/>
              <w:rPr>
                <w:b/>
                <w:i/>
              </w:rPr>
            </w:pPr>
          </w:p>
        </w:tc>
        <w:tc>
          <w:tcPr>
            <w:tcW w:w="791" w:type="pct"/>
          </w:tcPr>
          <w:p w:rsidR="003036F5" w:rsidRPr="00E44A25" w:rsidRDefault="003036F5" w:rsidP="002C0F08">
            <w:pPr>
              <w:pStyle w:val="naisf"/>
              <w:spacing w:before="0" w:after="0"/>
              <w:ind w:firstLine="0"/>
              <w:jc w:val="left"/>
              <w:rPr>
                <w:b/>
                <w:i/>
              </w:rPr>
            </w:pPr>
          </w:p>
        </w:tc>
      </w:tr>
      <w:tr w:rsidR="00581D95" w:rsidRPr="00E44A25" w:rsidTr="00F45DB7">
        <w:tc>
          <w:tcPr>
            <w:tcW w:w="863" w:type="pct"/>
            <w:vMerge/>
            <w:tcBorders>
              <w:top w:val="single" w:sz="4" w:space="0" w:color="auto"/>
              <w:left w:val="single" w:sz="4" w:space="0" w:color="auto"/>
              <w:bottom w:val="single" w:sz="4" w:space="0" w:color="auto"/>
              <w:right w:val="single" w:sz="4" w:space="0" w:color="auto"/>
            </w:tcBorders>
          </w:tcPr>
          <w:p w:rsidR="003036F5" w:rsidRPr="007C0F2C" w:rsidRDefault="003036F5" w:rsidP="002C0F08">
            <w:pPr>
              <w:jc w:val="both"/>
            </w:pPr>
          </w:p>
        </w:tc>
        <w:tc>
          <w:tcPr>
            <w:tcW w:w="885" w:type="pct"/>
            <w:gridSpan w:val="2"/>
            <w:vMerge/>
            <w:tcBorders>
              <w:top w:val="single" w:sz="4" w:space="0" w:color="auto"/>
              <w:left w:val="single" w:sz="4" w:space="0" w:color="auto"/>
              <w:bottom w:val="single" w:sz="4" w:space="0" w:color="auto"/>
              <w:right w:val="single" w:sz="4" w:space="0" w:color="auto"/>
            </w:tcBorders>
          </w:tcPr>
          <w:p w:rsidR="003036F5" w:rsidRPr="00E44A25" w:rsidRDefault="003036F5" w:rsidP="002C0F08">
            <w:pPr>
              <w:pStyle w:val="naisf"/>
              <w:spacing w:before="0" w:after="0"/>
              <w:ind w:firstLine="0"/>
              <w:jc w:val="center"/>
              <w:rPr>
                <w:i/>
                <w:sz w:val="40"/>
                <w:szCs w:val="40"/>
              </w:rPr>
            </w:pPr>
          </w:p>
        </w:tc>
        <w:tc>
          <w:tcPr>
            <w:tcW w:w="1292" w:type="pct"/>
            <w:tcBorders>
              <w:top w:val="single" w:sz="4" w:space="0" w:color="auto"/>
              <w:left w:val="single" w:sz="4" w:space="0" w:color="auto"/>
              <w:bottom w:val="single" w:sz="4" w:space="0" w:color="auto"/>
              <w:right w:val="single" w:sz="4" w:space="0" w:color="auto"/>
            </w:tcBorders>
          </w:tcPr>
          <w:p w:rsidR="003036F5" w:rsidRPr="00326FF1" w:rsidRDefault="003036F5" w:rsidP="002C0F08">
            <w:pPr>
              <w:pStyle w:val="naisf"/>
              <w:spacing w:before="0" w:after="0"/>
              <w:ind w:firstLine="0"/>
              <w:jc w:val="center"/>
            </w:pPr>
          </w:p>
        </w:tc>
        <w:tc>
          <w:tcPr>
            <w:tcW w:w="584" w:type="pct"/>
            <w:tcBorders>
              <w:left w:val="single" w:sz="4" w:space="0" w:color="auto"/>
            </w:tcBorders>
          </w:tcPr>
          <w:p w:rsidR="003036F5" w:rsidRPr="00E44A25" w:rsidRDefault="003036F5" w:rsidP="002C0F08">
            <w:pPr>
              <w:pStyle w:val="naisf"/>
              <w:spacing w:before="0" w:after="0"/>
              <w:ind w:firstLine="0"/>
              <w:jc w:val="left"/>
              <w:rPr>
                <w:b/>
                <w:i/>
              </w:rPr>
            </w:pPr>
          </w:p>
        </w:tc>
        <w:tc>
          <w:tcPr>
            <w:tcW w:w="584" w:type="pct"/>
          </w:tcPr>
          <w:p w:rsidR="003036F5" w:rsidRPr="00E44A25" w:rsidRDefault="003036F5" w:rsidP="002C0F08">
            <w:pPr>
              <w:pStyle w:val="naisf"/>
              <w:spacing w:before="0" w:after="0"/>
              <w:ind w:firstLine="0"/>
              <w:jc w:val="left"/>
              <w:rPr>
                <w:b/>
                <w:i/>
              </w:rPr>
            </w:pPr>
          </w:p>
        </w:tc>
        <w:tc>
          <w:tcPr>
            <w:tcW w:w="791" w:type="pct"/>
          </w:tcPr>
          <w:p w:rsidR="003036F5" w:rsidRPr="00E44A25" w:rsidRDefault="003036F5" w:rsidP="002C0F08">
            <w:pPr>
              <w:pStyle w:val="naisf"/>
              <w:spacing w:before="0" w:after="0"/>
              <w:ind w:firstLine="0"/>
              <w:jc w:val="left"/>
              <w:rPr>
                <w:b/>
                <w:i/>
              </w:rPr>
            </w:pPr>
          </w:p>
        </w:tc>
      </w:tr>
      <w:tr w:rsidR="00581D95" w:rsidRPr="00E44A25" w:rsidTr="00F45DB7">
        <w:tc>
          <w:tcPr>
            <w:tcW w:w="863" w:type="pct"/>
            <w:tcBorders>
              <w:top w:val="single" w:sz="4" w:space="0" w:color="auto"/>
              <w:left w:val="single" w:sz="4" w:space="0" w:color="auto"/>
              <w:bottom w:val="single" w:sz="4" w:space="0" w:color="auto"/>
              <w:right w:val="single" w:sz="4" w:space="0" w:color="auto"/>
            </w:tcBorders>
          </w:tcPr>
          <w:p w:rsidR="003036F5" w:rsidRPr="007C0F2C" w:rsidRDefault="003036F5" w:rsidP="002C0F08">
            <w:pPr>
              <w:jc w:val="both"/>
            </w:pPr>
            <w:r w:rsidRPr="00E44A25">
              <w:rPr>
                <w:sz w:val="22"/>
                <w:szCs w:val="22"/>
              </w:rPr>
              <w:t>5.Precizēta finansiālā ietekme:</w:t>
            </w:r>
          </w:p>
        </w:tc>
        <w:tc>
          <w:tcPr>
            <w:tcW w:w="885" w:type="pct"/>
            <w:gridSpan w:val="2"/>
            <w:vMerge w:val="restart"/>
            <w:tcBorders>
              <w:top w:val="single" w:sz="4" w:space="0" w:color="auto"/>
              <w:left w:val="single" w:sz="4" w:space="0" w:color="auto"/>
              <w:bottom w:val="single" w:sz="4" w:space="0" w:color="auto"/>
              <w:right w:val="single" w:sz="4" w:space="0" w:color="auto"/>
            </w:tcBorders>
          </w:tcPr>
          <w:p w:rsidR="003036F5" w:rsidRPr="00E44A25" w:rsidRDefault="003036F5" w:rsidP="002C0F08">
            <w:pPr>
              <w:pStyle w:val="naisf"/>
              <w:spacing w:before="0" w:after="0"/>
              <w:ind w:firstLine="0"/>
              <w:jc w:val="center"/>
              <w:rPr>
                <w:i/>
              </w:rPr>
            </w:pPr>
            <w:r w:rsidRPr="007C0F2C">
              <w:t>X</w:t>
            </w:r>
          </w:p>
        </w:tc>
        <w:tc>
          <w:tcPr>
            <w:tcW w:w="1292" w:type="pct"/>
            <w:tcBorders>
              <w:top w:val="single" w:sz="4" w:space="0" w:color="auto"/>
              <w:left w:val="single" w:sz="4" w:space="0" w:color="auto"/>
              <w:bottom w:val="single" w:sz="4" w:space="0" w:color="auto"/>
              <w:right w:val="single" w:sz="4" w:space="0" w:color="auto"/>
            </w:tcBorders>
          </w:tcPr>
          <w:p w:rsidR="003036F5" w:rsidRPr="00326FF1" w:rsidRDefault="003036F5" w:rsidP="002C0F08">
            <w:pPr>
              <w:pStyle w:val="naisf"/>
              <w:spacing w:before="0" w:after="0"/>
              <w:ind w:firstLine="0"/>
              <w:jc w:val="center"/>
            </w:pPr>
          </w:p>
        </w:tc>
        <w:tc>
          <w:tcPr>
            <w:tcW w:w="584" w:type="pct"/>
            <w:tcBorders>
              <w:left w:val="single" w:sz="4" w:space="0" w:color="auto"/>
            </w:tcBorders>
          </w:tcPr>
          <w:p w:rsidR="003036F5" w:rsidRPr="00E44A25" w:rsidRDefault="003036F5" w:rsidP="002C0F08">
            <w:pPr>
              <w:pStyle w:val="naisf"/>
              <w:spacing w:before="0" w:after="0"/>
              <w:ind w:firstLine="0"/>
              <w:rPr>
                <w:b/>
                <w:i/>
              </w:rPr>
            </w:pPr>
          </w:p>
        </w:tc>
        <w:tc>
          <w:tcPr>
            <w:tcW w:w="584" w:type="pct"/>
          </w:tcPr>
          <w:p w:rsidR="003036F5" w:rsidRPr="00E44A25" w:rsidRDefault="003036F5" w:rsidP="002C0F08">
            <w:pPr>
              <w:pStyle w:val="naisf"/>
              <w:spacing w:before="0" w:after="0"/>
              <w:ind w:firstLine="0"/>
              <w:rPr>
                <w:b/>
                <w:i/>
              </w:rPr>
            </w:pPr>
          </w:p>
        </w:tc>
        <w:tc>
          <w:tcPr>
            <w:tcW w:w="791" w:type="pct"/>
          </w:tcPr>
          <w:p w:rsidR="003036F5" w:rsidRPr="00E44A25" w:rsidRDefault="003036F5" w:rsidP="002C0F08">
            <w:pPr>
              <w:pStyle w:val="naisf"/>
              <w:spacing w:before="0" w:after="0"/>
              <w:ind w:firstLine="0"/>
              <w:rPr>
                <w:b/>
                <w:i/>
              </w:rPr>
            </w:pPr>
          </w:p>
        </w:tc>
      </w:tr>
      <w:tr w:rsidR="00581D95" w:rsidRPr="00E44A25" w:rsidTr="00F45DB7">
        <w:tc>
          <w:tcPr>
            <w:tcW w:w="863" w:type="pct"/>
            <w:tcBorders>
              <w:top w:val="single" w:sz="4" w:space="0" w:color="auto"/>
              <w:left w:val="single" w:sz="4" w:space="0" w:color="auto"/>
              <w:bottom w:val="single" w:sz="4" w:space="0" w:color="auto"/>
              <w:right w:val="single" w:sz="4" w:space="0" w:color="auto"/>
            </w:tcBorders>
          </w:tcPr>
          <w:p w:rsidR="003036F5" w:rsidRPr="007C0F2C" w:rsidRDefault="003036F5" w:rsidP="002C0F08">
            <w:pPr>
              <w:jc w:val="both"/>
            </w:pPr>
            <w:r w:rsidRPr="00E44A25">
              <w:rPr>
                <w:sz w:val="22"/>
                <w:szCs w:val="22"/>
              </w:rPr>
              <w:t>5.1.valsts pamatbudžets</w:t>
            </w:r>
          </w:p>
        </w:tc>
        <w:tc>
          <w:tcPr>
            <w:tcW w:w="885" w:type="pct"/>
            <w:gridSpan w:val="2"/>
            <w:vMerge/>
            <w:tcBorders>
              <w:top w:val="single" w:sz="4" w:space="0" w:color="auto"/>
              <w:left w:val="single" w:sz="4" w:space="0" w:color="auto"/>
              <w:bottom w:val="single" w:sz="4" w:space="0" w:color="auto"/>
              <w:right w:val="single" w:sz="4" w:space="0" w:color="auto"/>
            </w:tcBorders>
          </w:tcPr>
          <w:p w:rsidR="003036F5" w:rsidRPr="00E44A25" w:rsidRDefault="003036F5" w:rsidP="002C0F08">
            <w:pPr>
              <w:pStyle w:val="naisf"/>
              <w:spacing w:before="0" w:after="0"/>
              <w:ind w:firstLine="0"/>
              <w:jc w:val="center"/>
              <w:rPr>
                <w:i/>
                <w:sz w:val="40"/>
                <w:szCs w:val="40"/>
              </w:rPr>
            </w:pPr>
          </w:p>
        </w:tc>
        <w:tc>
          <w:tcPr>
            <w:tcW w:w="1292" w:type="pct"/>
            <w:tcBorders>
              <w:top w:val="single" w:sz="4" w:space="0" w:color="auto"/>
              <w:left w:val="single" w:sz="4" w:space="0" w:color="auto"/>
              <w:bottom w:val="single" w:sz="4" w:space="0" w:color="auto"/>
              <w:right w:val="single" w:sz="4" w:space="0" w:color="auto"/>
            </w:tcBorders>
          </w:tcPr>
          <w:p w:rsidR="003036F5" w:rsidRPr="00326FF1" w:rsidRDefault="003036F5" w:rsidP="002C0F08">
            <w:pPr>
              <w:pStyle w:val="naisf"/>
              <w:spacing w:before="0" w:after="0"/>
              <w:ind w:firstLine="0"/>
              <w:jc w:val="center"/>
            </w:pPr>
          </w:p>
        </w:tc>
        <w:tc>
          <w:tcPr>
            <w:tcW w:w="584" w:type="pct"/>
            <w:tcBorders>
              <w:left w:val="single" w:sz="4" w:space="0" w:color="auto"/>
            </w:tcBorders>
          </w:tcPr>
          <w:p w:rsidR="003036F5" w:rsidRPr="00E44A25" w:rsidRDefault="003036F5" w:rsidP="002C0F08">
            <w:pPr>
              <w:pStyle w:val="naisf"/>
              <w:spacing w:before="0" w:after="0"/>
              <w:ind w:firstLine="0"/>
              <w:rPr>
                <w:b/>
                <w:i/>
              </w:rPr>
            </w:pPr>
          </w:p>
        </w:tc>
        <w:tc>
          <w:tcPr>
            <w:tcW w:w="584" w:type="pct"/>
          </w:tcPr>
          <w:p w:rsidR="003036F5" w:rsidRPr="00E44A25" w:rsidRDefault="003036F5" w:rsidP="002C0F08">
            <w:pPr>
              <w:pStyle w:val="naisf"/>
              <w:spacing w:before="0" w:after="0"/>
              <w:ind w:firstLine="0"/>
              <w:rPr>
                <w:b/>
                <w:i/>
              </w:rPr>
            </w:pPr>
          </w:p>
        </w:tc>
        <w:tc>
          <w:tcPr>
            <w:tcW w:w="791" w:type="pct"/>
          </w:tcPr>
          <w:p w:rsidR="003036F5" w:rsidRPr="00E44A25" w:rsidRDefault="003036F5" w:rsidP="002C0F08">
            <w:pPr>
              <w:pStyle w:val="naisf"/>
              <w:spacing w:before="0" w:after="0"/>
              <w:ind w:firstLine="0"/>
              <w:rPr>
                <w:b/>
                <w:i/>
              </w:rPr>
            </w:pPr>
          </w:p>
        </w:tc>
      </w:tr>
      <w:tr w:rsidR="00581D95" w:rsidRPr="00E44A25" w:rsidTr="00F45DB7">
        <w:tc>
          <w:tcPr>
            <w:tcW w:w="863" w:type="pct"/>
            <w:tcBorders>
              <w:top w:val="single" w:sz="4" w:space="0" w:color="auto"/>
              <w:left w:val="single" w:sz="4" w:space="0" w:color="auto"/>
              <w:bottom w:val="single" w:sz="4" w:space="0" w:color="auto"/>
              <w:right w:val="single" w:sz="4" w:space="0" w:color="auto"/>
            </w:tcBorders>
          </w:tcPr>
          <w:p w:rsidR="003036F5" w:rsidRPr="007C0F2C" w:rsidRDefault="003036F5" w:rsidP="002C0F08">
            <w:pPr>
              <w:jc w:val="both"/>
            </w:pPr>
            <w:r w:rsidRPr="00E44A25">
              <w:rPr>
                <w:sz w:val="22"/>
                <w:szCs w:val="22"/>
              </w:rPr>
              <w:t>5.2.speciālais budžets</w:t>
            </w:r>
          </w:p>
        </w:tc>
        <w:tc>
          <w:tcPr>
            <w:tcW w:w="885" w:type="pct"/>
            <w:gridSpan w:val="2"/>
            <w:vMerge/>
            <w:tcBorders>
              <w:top w:val="single" w:sz="4" w:space="0" w:color="auto"/>
              <w:left w:val="single" w:sz="4" w:space="0" w:color="auto"/>
              <w:bottom w:val="single" w:sz="4" w:space="0" w:color="auto"/>
              <w:right w:val="single" w:sz="4" w:space="0" w:color="auto"/>
            </w:tcBorders>
          </w:tcPr>
          <w:p w:rsidR="003036F5" w:rsidRPr="00E44A25" w:rsidRDefault="003036F5" w:rsidP="002C0F08">
            <w:pPr>
              <w:pStyle w:val="naisf"/>
              <w:spacing w:before="0" w:after="0"/>
              <w:ind w:firstLine="0"/>
              <w:jc w:val="center"/>
              <w:rPr>
                <w:i/>
                <w:sz w:val="40"/>
                <w:szCs w:val="40"/>
              </w:rPr>
            </w:pPr>
          </w:p>
        </w:tc>
        <w:tc>
          <w:tcPr>
            <w:tcW w:w="1292" w:type="pct"/>
            <w:tcBorders>
              <w:top w:val="single" w:sz="4" w:space="0" w:color="auto"/>
              <w:left w:val="single" w:sz="4" w:space="0" w:color="auto"/>
              <w:bottom w:val="single" w:sz="4" w:space="0" w:color="auto"/>
              <w:right w:val="single" w:sz="4" w:space="0" w:color="auto"/>
            </w:tcBorders>
          </w:tcPr>
          <w:p w:rsidR="003036F5" w:rsidRPr="00326FF1" w:rsidRDefault="003036F5" w:rsidP="002C0F08">
            <w:pPr>
              <w:pStyle w:val="naisf"/>
              <w:spacing w:before="0" w:after="0"/>
              <w:ind w:firstLine="0"/>
              <w:jc w:val="center"/>
            </w:pPr>
          </w:p>
        </w:tc>
        <w:tc>
          <w:tcPr>
            <w:tcW w:w="584" w:type="pct"/>
            <w:tcBorders>
              <w:left w:val="single" w:sz="4" w:space="0" w:color="auto"/>
            </w:tcBorders>
          </w:tcPr>
          <w:p w:rsidR="003036F5" w:rsidRPr="00E44A25" w:rsidRDefault="003036F5" w:rsidP="002C0F08">
            <w:pPr>
              <w:pStyle w:val="naisf"/>
              <w:spacing w:before="0" w:after="0"/>
              <w:ind w:firstLine="0"/>
              <w:rPr>
                <w:b/>
                <w:i/>
              </w:rPr>
            </w:pPr>
          </w:p>
        </w:tc>
        <w:tc>
          <w:tcPr>
            <w:tcW w:w="584" w:type="pct"/>
          </w:tcPr>
          <w:p w:rsidR="003036F5" w:rsidRPr="00E44A25" w:rsidRDefault="003036F5" w:rsidP="002C0F08">
            <w:pPr>
              <w:pStyle w:val="naisf"/>
              <w:spacing w:before="0" w:after="0"/>
              <w:ind w:firstLine="0"/>
              <w:rPr>
                <w:b/>
                <w:i/>
              </w:rPr>
            </w:pPr>
          </w:p>
        </w:tc>
        <w:tc>
          <w:tcPr>
            <w:tcW w:w="791" w:type="pct"/>
          </w:tcPr>
          <w:p w:rsidR="003036F5" w:rsidRPr="00E44A25" w:rsidRDefault="003036F5" w:rsidP="002C0F08">
            <w:pPr>
              <w:pStyle w:val="naisf"/>
              <w:spacing w:before="0" w:after="0"/>
              <w:ind w:firstLine="0"/>
              <w:rPr>
                <w:b/>
                <w:i/>
              </w:rPr>
            </w:pPr>
          </w:p>
        </w:tc>
      </w:tr>
      <w:tr w:rsidR="00581D95" w:rsidRPr="00E44A25" w:rsidTr="00F45DB7">
        <w:tc>
          <w:tcPr>
            <w:tcW w:w="863" w:type="pct"/>
            <w:tcBorders>
              <w:top w:val="single" w:sz="4" w:space="0" w:color="auto"/>
              <w:left w:val="single" w:sz="4" w:space="0" w:color="auto"/>
              <w:bottom w:val="single" w:sz="4" w:space="0" w:color="auto"/>
              <w:right w:val="single" w:sz="4" w:space="0" w:color="auto"/>
            </w:tcBorders>
          </w:tcPr>
          <w:p w:rsidR="003036F5" w:rsidRPr="007C0F2C" w:rsidRDefault="003036F5" w:rsidP="002C0F08">
            <w:pPr>
              <w:jc w:val="both"/>
            </w:pPr>
            <w:r w:rsidRPr="00E44A25">
              <w:rPr>
                <w:sz w:val="22"/>
                <w:szCs w:val="22"/>
              </w:rPr>
              <w:lastRenderedPageBreak/>
              <w:t xml:space="preserve">5.3.pašvaldību budžets </w:t>
            </w:r>
          </w:p>
        </w:tc>
        <w:tc>
          <w:tcPr>
            <w:tcW w:w="885" w:type="pct"/>
            <w:gridSpan w:val="2"/>
            <w:vMerge/>
            <w:tcBorders>
              <w:top w:val="single" w:sz="4" w:space="0" w:color="auto"/>
              <w:left w:val="single" w:sz="4" w:space="0" w:color="auto"/>
              <w:bottom w:val="single" w:sz="4" w:space="0" w:color="auto"/>
              <w:right w:val="single" w:sz="4" w:space="0" w:color="auto"/>
            </w:tcBorders>
          </w:tcPr>
          <w:p w:rsidR="003036F5" w:rsidRPr="00E44A25" w:rsidRDefault="003036F5" w:rsidP="002C0F08">
            <w:pPr>
              <w:pStyle w:val="naisf"/>
              <w:spacing w:before="0" w:after="0"/>
              <w:ind w:firstLine="0"/>
              <w:jc w:val="center"/>
              <w:rPr>
                <w:i/>
                <w:sz w:val="40"/>
                <w:szCs w:val="40"/>
              </w:rPr>
            </w:pPr>
          </w:p>
        </w:tc>
        <w:tc>
          <w:tcPr>
            <w:tcW w:w="1292" w:type="pct"/>
            <w:tcBorders>
              <w:top w:val="single" w:sz="4" w:space="0" w:color="auto"/>
              <w:left w:val="single" w:sz="4" w:space="0" w:color="auto"/>
              <w:bottom w:val="single" w:sz="4" w:space="0" w:color="auto"/>
              <w:right w:val="single" w:sz="4" w:space="0" w:color="auto"/>
            </w:tcBorders>
          </w:tcPr>
          <w:p w:rsidR="003036F5" w:rsidRPr="00326FF1" w:rsidRDefault="003036F5" w:rsidP="002C0F08">
            <w:pPr>
              <w:pStyle w:val="naisf"/>
              <w:spacing w:before="0" w:after="0"/>
              <w:ind w:firstLine="0"/>
              <w:jc w:val="center"/>
            </w:pPr>
          </w:p>
        </w:tc>
        <w:tc>
          <w:tcPr>
            <w:tcW w:w="584" w:type="pct"/>
            <w:tcBorders>
              <w:left w:val="single" w:sz="4" w:space="0" w:color="auto"/>
            </w:tcBorders>
          </w:tcPr>
          <w:p w:rsidR="003036F5" w:rsidRPr="00E44A25" w:rsidRDefault="003036F5" w:rsidP="002C0F08">
            <w:pPr>
              <w:pStyle w:val="naisf"/>
              <w:spacing w:before="0" w:after="0"/>
              <w:ind w:firstLine="0"/>
              <w:rPr>
                <w:b/>
                <w:i/>
              </w:rPr>
            </w:pPr>
          </w:p>
        </w:tc>
        <w:tc>
          <w:tcPr>
            <w:tcW w:w="584" w:type="pct"/>
          </w:tcPr>
          <w:p w:rsidR="003036F5" w:rsidRPr="00E44A25" w:rsidRDefault="003036F5" w:rsidP="002C0F08">
            <w:pPr>
              <w:pStyle w:val="naisf"/>
              <w:spacing w:before="0" w:after="0"/>
              <w:ind w:firstLine="0"/>
              <w:rPr>
                <w:b/>
                <w:i/>
              </w:rPr>
            </w:pPr>
          </w:p>
        </w:tc>
        <w:tc>
          <w:tcPr>
            <w:tcW w:w="791" w:type="pct"/>
          </w:tcPr>
          <w:p w:rsidR="003036F5" w:rsidRPr="00E44A25" w:rsidRDefault="003036F5" w:rsidP="002C0F08">
            <w:pPr>
              <w:pStyle w:val="naisf"/>
              <w:spacing w:before="0" w:after="0"/>
              <w:ind w:firstLine="0"/>
              <w:rPr>
                <w:b/>
                <w:i/>
              </w:rPr>
            </w:pPr>
          </w:p>
        </w:tc>
      </w:tr>
      <w:tr w:rsidR="003036F5" w:rsidRPr="00E44A25" w:rsidTr="00F45DB7">
        <w:trPr>
          <w:trHeight w:val="171"/>
        </w:trPr>
        <w:tc>
          <w:tcPr>
            <w:tcW w:w="5000" w:type="pct"/>
            <w:gridSpan w:val="7"/>
          </w:tcPr>
          <w:p w:rsidR="003036F5" w:rsidRPr="00E44A25" w:rsidRDefault="003036F5" w:rsidP="002C0F08">
            <w:pPr>
              <w:pStyle w:val="naisc"/>
              <w:spacing w:before="0" w:after="0"/>
              <w:jc w:val="left"/>
              <w:rPr>
                <w:sz w:val="24"/>
                <w:szCs w:val="24"/>
              </w:rPr>
            </w:pPr>
            <w:r w:rsidRPr="00E44A25">
              <w:rPr>
                <w:sz w:val="22"/>
                <w:szCs w:val="22"/>
              </w:rPr>
              <w:t>6.Detalizēts ieņēmumu un izdevu</w:t>
            </w:r>
            <w:r w:rsidRPr="00E44A25">
              <w:rPr>
                <w:sz w:val="22"/>
                <w:szCs w:val="22"/>
              </w:rPr>
              <w:softHyphen/>
              <w:t>mu aprēķins (ja nepieciešams, detalizētu ieņēmumu un izdevumu aprēķinu var pievienot anotācijas pielikumā):</w:t>
            </w:r>
          </w:p>
        </w:tc>
      </w:tr>
      <w:tr w:rsidR="00581D95" w:rsidRPr="00E44A25" w:rsidTr="00F45DB7">
        <w:trPr>
          <w:trHeight w:val="2343"/>
        </w:trPr>
        <w:tc>
          <w:tcPr>
            <w:tcW w:w="863" w:type="pct"/>
            <w:tcBorders>
              <w:right w:val="single" w:sz="4" w:space="0" w:color="auto"/>
            </w:tcBorders>
          </w:tcPr>
          <w:p w:rsidR="00581D95" w:rsidRPr="00E44A25" w:rsidRDefault="00581D95" w:rsidP="002C0F08">
            <w:pPr>
              <w:jc w:val="both"/>
            </w:pPr>
            <w:r w:rsidRPr="00E44A25">
              <w:rPr>
                <w:sz w:val="22"/>
                <w:szCs w:val="22"/>
              </w:rPr>
              <w:t>6.1.detalizēts ieņēmumu aprēķins</w:t>
            </w:r>
          </w:p>
        </w:tc>
        <w:tc>
          <w:tcPr>
            <w:tcW w:w="4137" w:type="pct"/>
            <w:gridSpan w:val="6"/>
            <w:tcBorders>
              <w:top w:val="single" w:sz="4" w:space="0" w:color="auto"/>
              <w:left w:val="single" w:sz="4" w:space="0" w:color="auto"/>
              <w:bottom w:val="nil"/>
              <w:right w:val="single" w:sz="4" w:space="0" w:color="auto"/>
            </w:tcBorders>
          </w:tcPr>
          <w:p w:rsidR="00581D95" w:rsidRDefault="00581D95" w:rsidP="002C0F08">
            <w:pPr>
              <w:pStyle w:val="naisf"/>
              <w:spacing w:before="0" w:after="0"/>
              <w:ind w:firstLine="0"/>
              <w:rPr>
                <w:color w:val="000000"/>
              </w:rPr>
            </w:pPr>
            <w:r w:rsidRPr="00E44A25">
              <w:rPr>
                <w:sz w:val="22"/>
                <w:szCs w:val="22"/>
              </w:rPr>
              <w:t>Valsts aizsardzības militāro objektu un iepirkumu centra</w:t>
            </w:r>
            <w:r>
              <w:rPr>
                <w:sz w:val="22"/>
                <w:szCs w:val="22"/>
              </w:rPr>
              <w:t xml:space="preserve"> </w:t>
            </w:r>
            <w:r w:rsidRPr="00E44A25">
              <w:rPr>
                <w:sz w:val="22"/>
                <w:szCs w:val="22"/>
              </w:rPr>
              <w:t>budžeta programma</w:t>
            </w:r>
            <w:r>
              <w:rPr>
                <w:sz w:val="22"/>
                <w:szCs w:val="22"/>
              </w:rPr>
              <w:t>s</w:t>
            </w:r>
            <w:r w:rsidRPr="00E44A25">
              <w:rPr>
                <w:sz w:val="22"/>
                <w:szCs w:val="22"/>
              </w:rPr>
              <w:t xml:space="preserve"> 33.00.00 „Aizsardzības īpašumu pārvaldīšana”</w:t>
            </w:r>
            <w:r>
              <w:rPr>
                <w:sz w:val="22"/>
                <w:szCs w:val="22"/>
              </w:rPr>
              <w:t xml:space="preserve"> ieņēmumus un izdevumus no</w:t>
            </w:r>
            <w:r w:rsidRPr="00E44A25">
              <w:rPr>
                <w:sz w:val="22"/>
                <w:szCs w:val="22"/>
              </w:rPr>
              <w:t xml:space="preserve"> maksas pakalpojumiem</w:t>
            </w:r>
            <w:r>
              <w:rPr>
                <w:sz w:val="22"/>
                <w:szCs w:val="22"/>
              </w:rPr>
              <w:t xml:space="preserve"> 2013.gadam un turpmākajiem gadiem nav plānots palielināt</w:t>
            </w:r>
            <w:r>
              <w:rPr>
                <w:color w:val="000000"/>
                <w:sz w:val="22"/>
                <w:szCs w:val="22"/>
              </w:rPr>
              <w:t xml:space="preserve">. </w:t>
            </w:r>
          </w:p>
          <w:p w:rsidR="00581D95" w:rsidRDefault="00475A38" w:rsidP="002C0F08">
            <w:pPr>
              <w:pStyle w:val="naisf"/>
              <w:spacing w:before="0" w:after="0"/>
              <w:ind w:firstLine="0"/>
              <w:rPr>
                <w:color w:val="000000"/>
              </w:rPr>
            </w:pPr>
            <w:r w:rsidRPr="00475A38">
              <w:rPr>
                <w:color w:val="000000"/>
                <w:sz w:val="22"/>
                <w:szCs w:val="22"/>
              </w:rPr>
              <w:t>Jauno maksas pakalpojumu veidu „Dienesta viesnīcas īre profesionālā dienesta karavīriem Aizsardzības ministrijas valdījumā esošajā nekustamajā īpašumā Rīgā, Krustabaznīcas ielā 9 (3., 4.stāvs)” un „Dienesta dzīvojamo telpu īre profesionālā dienesta karavīriem AM valdījumā esošajā nekustamajā īpašumā Cēsu ielā 54, Valmierā” ieviešana neietekmēs 2013.gada valsts budžeta ieņēmumus un izdevumus, kā arī neietekmēs valsts budžeta ieņēmumus un izdevumus turpmākajos gados.</w:t>
            </w:r>
          </w:p>
          <w:p w:rsidR="00581D95" w:rsidRPr="00581D95" w:rsidRDefault="00581D95" w:rsidP="002C0F08">
            <w:pPr>
              <w:pStyle w:val="naisf"/>
              <w:spacing w:before="0" w:after="0"/>
              <w:ind w:firstLine="0"/>
              <w:rPr>
                <w:color w:val="000000"/>
              </w:rPr>
            </w:pPr>
            <w:r>
              <w:rPr>
                <w:color w:val="000000"/>
                <w:sz w:val="22"/>
                <w:szCs w:val="22"/>
              </w:rPr>
              <w:t>Detalizētu ieņēmumu un izdevumu aprēķinu skatīt 3. un 4.pielikumā.</w:t>
            </w:r>
          </w:p>
        </w:tc>
      </w:tr>
      <w:tr w:rsidR="00581D95" w:rsidRPr="007C0F2C" w:rsidTr="00F45DB7">
        <w:tc>
          <w:tcPr>
            <w:tcW w:w="863" w:type="pct"/>
            <w:tcBorders>
              <w:right w:val="single" w:sz="4" w:space="0" w:color="auto"/>
            </w:tcBorders>
          </w:tcPr>
          <w:p w:rsidR="00581D95" w:rsidRPr="00E44A25" w:rsidRDefault="00581D95" w:rsidP="002C0F08">
            <w:pPr>
              <w:jc w:val="both"/>
            </w:pPr>
            <w:r w:rsidRPr="00E44A25">
              <w:rPr>
                <w:sz w:val="22"/>
                <w:szCs w:val="22"/>
              </w:rPr>
              <w:t>6.2.detalizēts izdevumu aprēķins</w:t>
            </w:r>
          </w:p>
        </w:tc>
        <w:tc>
          <w:tcPr>
            <w:tcW w:w="4137" w:type="pct"/>
            <w:gridSpan w:val="6"/>
            <w:tcBorders>
              <w:top w:val="nil"/>
              <w:left w:val="single" w:sz="4" w:space="0" w:color="auto"/>
              <w:bottom w:val="single" w:sz="4" w:space="0" w:color="auto"/>
              <w:right w:val="single" w:sz="4" w:space="0" w:color="auto"/>
            </w:tcBorders>
          </w:tcPr>
          <w:p w:rsidR="00581D95" w:rsidRPr="00E44A25" w:rsidRDefault="00581D95" w:rsidP="002C0F08">
            <w:pPr>
              <w:pStyle w:val="naisf"/>
              <w:spacing w:before="0" w:after="0"/>
              <w:ind w:firstLine="0"/>
              <w:rPr>
                <w:b/>
                <w:i/>
              </w:rPr>
            </w:pPr>
            <w:r w:rsidRPr="00E44A25">
              <w:rPr>
                <w:sz w:val="22"/>
                <w:szCs w:val="22"/>
              </w:rPr>
              <w:t>Ieņēmumi no Valsts aizsardzības militāro objektu un iepirkumu centra sniegtajiem maksas pakalpojumiem tiks ieskaitīti Valsts</w:t>
            </w:r>
            <w:r w:rsidRPr="0091361A">
              <w:t xml:space="preserve"> </w:t>
            </w:r>
            <w:r w:rsidRPr="00E44A25">
              <w:rPr>
                <w:sz w:val="22"/>
                <w:szCs w:val="22"/>
              </w:rPr>
              <w:t>aizsardzības</w:t>
            </w:r>
            <w:r w:rsidRPr="0091361A">
              <w:t xml:space="preserve"> </w:t>
            </w:r>
            <w:r w:rsidRPr="00E44A25">
              <w:rPr>
                <w:sz w:val="22"/>
                <w:szCs w:val="22"/>
              </w:rPr>
              <w:t>militāro objektu un iepirkumu centra pamatbudžeta kontā (budžeta programma 33.00.00 „Aizsardzības īpašumu pārvaldīšana”) un tiks izlietoti izdevumu, kas saistīti ar maksas pakalpojumu sniegšanu, segšanai.</w:t>
            </w:r>
          </w:p>
        </w:tc>
      </w:tr>
      <w:tr w:rsidR="00581D95" w:rsidTr="00F45DB7">
        <w:tc>
          <w:tcPr>
            <w:tcW w:w="863" w:type="pct"/>
          </w:tcPr>
          <w:p w:rsidR="00581D95" w:rsidRDefault="00581D95" w:rsidP="00253E48">
            <w:r>
              <w:t>7.Cita informācija</w:t>
            </w:r>
          </w:p>
        </w:tc>
        <w:tc>
          <w:tcPr>
            <w:tcW w:w="4137" w:type="pct"/>
            <w:gridSpan w:val="6"/>
            <w:tcBorders>
              <w:top w:val="single" w:sz="4" w:space="0" w:color="auto"/>
            </w:tcBorders>
          </w:tcPr>
          <w:p w:rsidR="00581D95" w:rsidRDefault="00581D95" w:rsidP="00253E48">
            <w:r>
              <w:t>Nav</w:t>
            </w:r>
          </w:p>
        </w:tc>
      </w:tr>
    </w:tbl>
    <w:p w:rsidR="00210CAC" w:rsidRDefault="00210CAC" w:rsidP="00210CAC"/>
    <w:p w:rsidR="00F45DB7" w:rsidRDefault="00F45DB7" w:rsidP="00210CAC"/>
    <w:p w:rsidR="00210CAC" w:rsidRPr="00155FCC" w:rsidRDefault="00210CAC" w:rsidP="00210CAC">
      <w:r w:rsidRPr="00155FCC">
        <w:t>Anotācijas II</w:t>
      </w:r>
      <w:r>
        <w:t xml:space="preserve">, IV, V, VI, VII sadaļa </w:t>
      </w:r>
      <w:r w:rsidRPr="00155FCC">
        <w:t xml:space="preserve">– </w:t>
      </w:r>
      <w:r>
        <w:t>projekts šīs jomas neskar</w:t>
      </w:r>
      <w:r w:rsidRPr="00155FCC">
        <w:t>.</w:t>
      </w:r>
    </w:p>
    <w:p w:rsidR="00210CAC" w:rsidRPr="00155FCC" w:rsidRDefault="00210CAC" w:rsidP="00210CAC"/>
    <w:p w:rsidR="00F45DB7" w:rsidRDefault="00F45DB7" w:rsidP="00210CAC"/>
    <w:p w:rsidR="00F45DB7" w:rsidRDefault="00F45DB7" w:rsidP="00210CAC"/>
    <w:p w:rsidR="00F45DB7" w:rsidRDefault="00F45DB7" w:rsidP="00210CAC"/>
    <w:p w:rsidR="00210CAC" w:rsidRPr="00155FCC" w:rsidRDefault="00210CAC" w:rsidP="00210CAC">
      <w:pPr>
        <w:rPr>
          <w:color w:val="000000"/>
          <w:sz w:val="26"/>
          <w:szCs w:val="26"/>
        </w:rPr>
      </w:pPr>
      <w:r w:rsidRPr="00155FCC">
        <w:rPr>
          <w:sz w:val="26"/>
          <w:szCs w:val="26"/>
        </w:rPr>
        <w:t>Aizsardzības ministrs</w:t>
      </w:r>
      <w:r w:rsidRPr="00155FCC">
        <w:rPr>
          <w:sz w:val="26"/>
          <w:szCs w:val="26"/>
        </w:rPr>
        <w:tab/>
      </w:r>
      <w:r w:rsidRPr="00155FCC">
        <w:rPr>
          <w:color w:val="000000"/>
          <w:sz w:val="26"/>
          <w:szCs w:val="26"/>
        </w:rPr>
        <w:tab/>
      </w:r>
      <w:r w:rsidRPr="00155FCC">
        <w:rPr>
          <w:color w:val="000000"/>
          <w:sz w:val="26"/>
          <w:szCs w:val="26"/>
        </w:rPr>
        <w:tab/>
      </w:r>
      <w:r w:rsidRPr="00155FCC">
        <w:rPr>
          <w:color w:val="000000"/>
          <w:sz w:val="26"/>
          <w:szCs w:val="26"/>
        </w:rPr>
        <w:tab/>
      </w:r>
      <w:r w:rsidRPr="00155FCC">
        <w:rPr>
          <w:color w:val="000000"/>
          <w:sz w:val="26"/>
          <w:szCs w:val="26"/>
        </w:rPr>
        <w:tab/>
      </w:r>
      <w:r w:rsidRPr="00155FCC">
        <w:rPr>
          <w:color w:val="000000"/>
          <w:sz w:val="26"/>
          <w:szCs w:val="26"/>
        </w:rPr>
        <w:tab/>
      </w:r>
      <w:r>
        <w:rPr>
          <w:color w:val="000000"/>
          <w:sz w:val="26"/>
          <w:szCs w:val="26"/>
        </w:rPr>
        <w:tab/>
      </w:r>
      <w:r w:rsidRPr="00155FCC">
        <w:rPr>
          <w:color w:val="000000"/>
          <w:sz w:val="26"/>
          <w:szCs w:val="26"/>
        </w:rPr>
        <w:t>A.Pabriks</w:t>
      </w:r>
    </w:p>
    <w:p w:rsidR="00210CAC" w:rsidRPr="00155FCC" w:rsidRDefault="00210CAC" w:rsidP="00210CAC">
      <w:pPr>
        <w:rPr>
          <w:sz w:val="26"/>
          <w:szCs w:val="26"/>
        </w:rPr>
      </w:pPr>
    </w:p>
    <w:p w:rsidR="00F45DB7" w:rsidRPr="00155FCC" w:rsidRDefault="00F45DB7" w:rsidP="00210CAC">
      <w:pPr>
        <w:rPr>
          <w:sz w:val="26"/>
          <w:szCs w:val="26"/>
        </w:rPr>
      </w:pPr>
    </w:p>
    <w:p w:rsidR="00210CAC" w:rsidRPr="00155FCC" w:rsidRDefault="00210CAC" w:rsidP="00210CAC">
      <w:pPr>
        <w:rPr>
          <w:sz w:val="26"/>
          <w:szCs w:val="26"/>
        </w:rPr>
      </w:pPr>
      <w:r w:rsidRPr="00155FCC">
        <w:rPr>
          <w:sz w:val="26"/>
          <w:szCs w:val="26"/>
        </w:rPr>
        <w:t>Vīza: Aizsardzī</w:t>
      </w:r>
      <w:r>
        <w:rPr>
          <w:sz w:val="26"/>
          <w:szCs w:val="26"/>
        </w:rPr>
        <w:t>bas ministrijas valsts sekretārs</w:t>
      </w:r>
      <w:r>
        <w:rPr>
          <w:sz w:val="26"/>
          <w:szCs w:val="26"/>
        </w:rPr>
        <w:tab/>
      </w:r>
      <w:r>
        <w:rPr>
          <w:sz w:val="26"/>
          <w:szCs w:val="26"/>
        </w:rPr>
        <w:tab/>
      </w:r>
      <w:r>
        <w:rPr>
          <w:sz w:val="26"/>
          <w:szCs w:val="26"/>
        </w:rPr>
        <w:tab/>
      </w:r>
      <w:r>
        <w:rPr>
          <w:sz w:val="26"/>
          <w:szCs w:val="26"/>
        </w:rPr>
        <w:tab/>
        <w:t>J.Sārts</w:t>
      </w:r>
    </w:p>
    <w:p w:rsidR="00210CAC" w:rsidRDefault="00210CAC" w:rsidP="00210CAC">
      <w:pPr>
        <w:rPr>
          <w:sz w:val="20"/>
          <w:szCs w:val="20"/>
        </w:rPr>
      </w:pPr>
    </w:p>
    <w:p w:rsidR="00F45DB7" w:rsidRDefault="00F45DB7" w:rsidP="00210CAC">
      <w:pPr>
        <w:rPr>
          <w:sz w:val="20"/>
          <w:szCs w:val="20"/>
        </w:rPr>
      </w:pPr>
    </w:p>
    <w:p w:rsidR="00F45DB7" w:rsidRDefault="00F45DB7" w:rsidP="00210CAC">
      <w:pPr>
        <w:rPr>
          <w:sz w:val="20"/>
          <w:szCs w:val="20"/>
        </w:rPr>
      </w:pPr>
    </w:p>
    <w:p w:rsidR="00F45DB7" w:rsidRDefault="00F45DB7" w:rsidP="00210CAC">
      <w:pPr>
        <w:rPr>
          <w:sz w:val="20"/>
          <w:szCs w:val="20"/>
        </w:rPr>
      </w:pPr>
    </w:p>
    <w:p w:rsidR="00F45DB7" w:rsidRDefault="00F45DB7" w:rsidP="00210CAC">
      <w:pPr>
        <w:rPr>
          <w:sz w:val="20"/>
          <w:szCs w:val="20"/>
        </w:rPr>
      </w:pPr>
    </w:p>
    <w:p w:rsidR="00F45DB7" w:rsidRDefault="00F45DB7" w:rsidP="00210CAC">
      <w:pPr>
        <w:rPr>
          <w:sz w:val="20"/>
          <w:szCs w:val="20"/>
        </w:rPr>
      </w:pPr>
    </w:p>
    <w:p w:rsidR="00F45DB7" w:rsidRDefault="00F45DB7" w:rsidP="00210CAC">
      <w:pPr>
        <w:rPr>
          <w:sz w:val="20"/>
          <w:szCs w:val="20"/>
        </w:rPr>
      </w:pPr>
    </w:p>
    <w:p w:rsidR="00B24EB2" w:rsidRDefault="00B24EB2" w:rsidP="00210CAC">
      <w:pPr>
        <w:rPr>
          <w:sz w:val="20"/>
          <w:szCs w:val="20"/>
        </w:rPr>
      </w:pPr>
    </w:p>
    <w:p w:rsidR="00210CAC" w:rsidRPr="00155FCC" w:rsidRDefault="00CF4337" w:rsidP="00210CAC">
      <w:pPr>
        <w:tabs>
          <w:tab w:val="left" w:pos="7020"/>
        </w:tabs>
        <w:jc w:val="both"/>
        <w:rPr>
          <w:sz w:val="20"/>
          <w:szCs w:val="20"/>
        </w:rPr>
      </w:pPr>
      <w:r w:rsidRPr="00155FCC">
        <w:rPr>
          <w:sz w:val="20"/>
          <w:szCs w:val="20"/>
        </w:rPr>
        <w:fldChar w:fldCharType="begin"/>
      </w:r>
      <w:r w:rsidR="00210CAC" w:rsidRPr="00155FCC">
        <w:rPr>
          <w:sz w:val="20"/>
          <w:szCs w:val="20"/>
        </w:rPr>
        <w:instrText xml:space="preserve"> DATE  \@ "dd.MM.yyyy. H:mm"  \* MERGEFORMAT </w:instrText>
      </w:r>
      <w:r w:rsidRPr="00155FCC">
        <w:rPr>
          <w:sz w:val="20"/>
          <w:szCs w:val="20"/>
        </w:rPr>
        <w:fldChar w:fldCharType="separate"/>
      </w:r>
      <w:r w:rsidR="00D64C62">
        <w:rPr>
          <w:noProof/>
          <w:sz w:val="20"/>
          <w:szCs w:val="20"/>
        </w:rPr>
        <w:t>01.02.2013. 9:52</w:t>
      </w:r>
      <w:r w:rsidRPr="00155FCC">
        <w:rPr>
          <w:sz w:val="20"/>
          <w:szCs w:val="20"/>
        </w:rPr>
        <w:fldChar w:fldCharType="end"/>
      </w:r>
      <w:bookmarkStart w:id="0" w:name="_GoBack"/>
      <w:bookmarkEnd w:id="0"/>
    </w:p>
    <w:p w:rsidR="00210CAC" w:rsidRPr="00155FCC" w:rsidRDefault="00AD30AF" w:rsidP="00210CAC">
      <w:pPr>
        <w:tabs>
          <w:tab w:val="left" w:pos="7020"/>
        </w:tabs>
        <w:jc w:val="both"/>
        <w:rPr>
          <w:sz w:val="20"/>
          <w:szCs w:val="20"/>
        </w:rPr>
      </w:pPr>
      <w:fldSimple w:instr=" NUMWORDS   \* MERGEFORMAT ">
        <w:r w:rsidR="00D64C62" w:rsidRPr="00D64C62">
          <w:rPr>
            <w:noProof/>
            <w:sz w:val="20"/>
            <w:szCs w:val="20"/>
          </w:rPr>
          <w:t>1519</w:t>
        </w:r>
      </w:fldSimple>
    </w:p>
    <w:p w:rsidR="00210CAC" w:rsidRDefault="00210CAC" w:rsidP="00210CAC">
      <w:pPr>
        <w:jc w:val="both"/>
        <w:rPr>
          <w:sz w:val="20"/>
          <w:szCs w:val="20"/>
        </w:rPr>
      </w:pPr>
      <w:r>
        <w:rPr>
          <w:sz w:val="20"/>
          <w:szCs w:val="20"/>
        </w:rPr>
        <w:t>E.Kalneniece</w:t>
      </w:r>
    </w:p>
    <w:p w:rsidR="00210CAC" w:rsidRDefault="00210CAC" w:rsidP="00210CAC">
      <w:pPr>
        <w:jc w:val="both"/>
        <w:rPr>
          <w:sz w:val="20"/>
          <w:szCs w:val="20"/>
        </w:rPr>
      </w:pPr>
      <w:r w:rsidRPr="00155FCC">
        <w:rPr>
          <w:sz w:val="20"/>
          <w:szCs w:val="20"/>
        </w:rPr>
        <w:t>673002</w:t>
      </w:r>
      <w:r>
        <w:rPr>
          <w:sz w:val="20"/>
          <w:szCs w:val="20"/>
        </w:rPr>
        <w:t>5</w:t>
      </w:r>
      <w:r w:rsidRPr="00155FCC">
        <w:rPr>
          <w:sz w:val="20"/>
          <w:szCs w:val="20"/>
        </w:rPr>
        <w:t xml:space="preserve">2, </w:t>
      </w:r>
      <w:smartTag w:uri="schemas-tilde-lv/tildestengine" w:element="veidnes">
        <w:smartTagPr>
          <w:attr w:name="id" w:val="-1"/>
          <w:attr w:name="baseform" w:val="faks|s"/>
          <w:attr w:name="text" w:val="fakss"/>
        </w:smartTagPr>
        <w:r w:rsidRPr="00155FCC">
          <w:rPr>
            <w:sz w:val="20"/>
            <w:szCs w:val="20"/>
          </w:rPr>
          <w:t>fakss</w:t>
        </w:r>
      </w:smartTag>
      <w:r w:rsidRPr="00155FCC">
        <w:rPr>
          <w:sz w:val="20"/>
          <w:szCs w:val="20"/>
        </w:rPr>
        <w:t xml:space="preserve"> 67300207</w:t>
      </w:r>
    </w:p>
    <w:p w:rsidR="00210CAC" w:rsidRDefault="004D275A" w:rsidP="00210CAC">
      <w:pPr>
        <w:jc w:val="both"/>
        <w:rPr>
          <w:sz w:val="20"/>
          <w:szCs w:val="20"/>
        </w:rPr>
      </w:pPr>
      <w:hyperlink r:id="rId8" w:history="1">
        <w:r w:rsidR="00210CAC" w:rsidRPr="009B3810">
          <w:rPr>
            <w:rStyle w:val="Hyperlink"/>
            <w:sz w:val="20"/>
            <w:szCs w:val="20"/>
          </w:rPr>
          <w:t>Elita.Kalneniece@vamoic.gov.lv</w:t>
        </w:r>
      </w:hyperlink>
    </w:p>
    <w:p w:rsidR="00210CAC" w:rsidRDefault="00210CAC" w:rsidP="00210CAC">
      <w:pPr>
        <w:jc w:val="both"/>
        <w:rPr>
          <w:sz w:val="20"/>
          <w:szCs w:val="20"/>
        </w:rPr>
      </w:pPr>
      <w:r w:rsidRPr="00995CC5">
        <w:rPr>
          <w:sz w:val="20"/>
          <w:szCs w:val="20"/>
        </w:rPr>
        <w:t>I.Krutova</w:t>
      </w:r>
    </w:p>
    <w:p w:rsidR="00210CAC" w:rsidRDefault="00210CAC" w:rsidP="00210CAC">
      <w:pPr>
        <w:jc w:val="both"/>
        <w:rPr>
          <w:sz w:val="20"/>
          <w:szCs w:val="20"/>
        </w:rPr>
      </w:pPr>
      <w:r>
        <w:rPr>
          <w:sz w:val="20"/>
          <w:szCs w:val="20"/>
        </w:rPr>
        <w:t>67300216, fakss 67300207</w:t>
      </w:r>
    </w:p>
    <w:p w:rsidR="00885631" w:rsidRPr="00210CAC" w:rsidRDefault="004D275A" w:rsidP="00210CAC">
      <w:pPr>
        <w:jc w:val="both"/>
        <w:rPr>
          <w:sz w:val="20"/>
          <w:szCs w:val="20"/>
        </w:rPr>
      </w:pPr>
      <w:hyperlink r:id="rId9" w:history="1">
        <w:r w:rsidR="00210CAC" w:rsidRPr="009B3810">
          <w:rPr>
            <w:rStyle w:val="Hyperlink"/>
            <w:sz w:val="20"/>
            <w:szCs w:val="20"/>
          </w:rPr>
          <w:t>Ilona.Krutova@vamoic.gov.lv</w:t>
        </w:r>
      </w:hyperlink>
    </w:p>
    <w:sectPr w:rsidR="00885631" w:rsidRPr="00210CAC" w:rsidSect="00B24EB2">
      <w:headerReference w:type="default" r:id="rId10"/>
      <w:footerReference w:type="default" r:id="rId11"/>
      <w:footerReference w:type="first" r:id="rId12"/>
      <w:pgSz w:w="12240" w:h="15840"/>
      <w:pgMar w:top="1077" w:right="1134" w:bottom="1276" w:left="1701" w:header="720"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75A" w:rsidRDefault="004D275A" w:rsidP="00210CAC">
      <w:r>
        <w:separator/>
      </w:r>
    </w:p>
  </w:endnote>
  <w:endnote w:type="continuationSeparator" w:id="0">
    <w:p w:rsidR="004D275A" w:rsidRDefault="004D275A" w:rsidP="002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0" w:rsidRPr="000F6C78" w:rsidRDefault="00B10920" w:rsidP="00253E48">
    <w:pPr>
      <w:pStyle w:val="Footer"/>
      <w:rPr>
        <w:szCs w:val="20"/>
      </w:rPr>
    </w:pPr>
    <w:r>
      <w:rPr>
        <w:sz w:val="20"/>
        <w:szCs w:val="20"/>
      </w:rPr>
      <w:t>AIManot_</w:t>
    </w:r>
    <w:r w:rsidR="00B44ABD">
      <w:rPr>
        <w:sz w:val="20"/>
        <w:szCs w:val="20"/>
      </w:rPr>
      <w:t>0102</w:t>
    </w:r>
    <w:r w:rsidR="006B3655">
      <w:rPr>
        <w:sz w:val="20"/>
        <w:szCs w:val="20"/>
      </w:rPr>
      <w:t>13</w:t>
    </w:r>
    <w:r>
      <w:rPr>
        <w:sz w:val="20"/>
        <w:szCs w:val="20"/>
      </w:rPr>
      <w:t>; A</w:t>
    </w:r>
    <w:r w:rsidRPr="00366C06">
      <w:rPr>
        <w:sz w:val="20"/>
        <w:szCs w:val="20"/>
      </w:rPr>
      <w:t xml:space="preserve">notācija Ministru kabineta </w:t>
    </w:r>
    <w:r>
      <w:rPr>
        <w:sz w:val="20"/>
        <w:szCs w:val="20"/>
      </w:rPr>
      <w:t>noteikumu</w:t>
    </w:r>
    <w:r w:rsidRPr="00366C06">
      <w:rPr>
        <w:sz w:val="20"/>
        <w:szCs w:val="20"/>
      </w:rPr>
      <w:t xml:space="preserve"> projektam </w:t>
    </w:r>
    <w:r w:rsidRPr="00FE5BD2">
      <w:rPr>
        <w:sz w:val="20"/>
        <w:szCs w:val="20"/>
      </w:rPr>
      <w:t>„</w:t>
    </w:r>
    <w:r>
      <w:rPr>
        <w:sz w:val="20"/>
        <w:szCs w:val="20"/>
      </w:rPr>
      <w:t>Grozījums Ministru kabineta 2009.gada 22.decembra noteikumos Nr.1564 „Noteikumi par Valsts aizsardzības militāro objektu un iepirkumu centra sniegto publisko maksas pakalpojumu cenrādi”</w:t>
    </w:r>
    <w:r w:rsidRPr="00FE5BD2">
      <w:rPr>
        <w:sz w:val="20"/>
        <w:szCs w:val="20"/>
      </w:rPr>
      <w:t>”</w:t>
    </w:r>
  </w:p>
  <w:p w:rsidR="00B10920" w:rsidRDefault="00B109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20" w:rsidRPr="000F6C78" w:rsidRDefault="00B10920" w:rsidP="00253E48">
    <w:pPr>
      <w:pStyle w:val="Footer"/>
      <w:rPr>
        <w:szCs w:val="20"/>
      </w:rPr>
    </w:pPr>
    <w:r>
      <w:rPr>
        <w:sz w:val="20"/>
        <w:szCs w:val="20"/>
      </w:rPr>
      <w:t>AIManot_</w:t>
    </w:r>
    <w:r w:rsidR="005F068C">
      <w:rPr>
        <w:sz w:val="20"/>
        <w:szCs w:val="20"/>
      </w:rPr>
      <w:t>2</w:t>
    </w:r>
    <w:r w:rsidR="002B13BD">
      <w:rPr>
        <w:sz w:val="20"/>
        <w:szCs w:val="20"/>
      </w:rPr>
      <w:t>704</w:t>
    </w:r>
    <w:r>
      <w:rPr>
        <w:sz w:val="20"/>
        <w:szCs w:val="20"/>
      </w:rPr>
      <w:t>12; A</w:t>
    </w:r>
    <w:r w:rsidRPr="00366C06">
      <w:rPr>
        <w:sz w:val="20"/>
        <w:szCs w:val="20"/>
      </w:rPr>
      <w:t xml:space="preserve">notācija Ministru kabineta </w:t>
    </w:r>
    <w:r>
      <w:rPr>
        <w:sz w:val="20"/>
        <w:szCs w:val="20"/>
      </w:rPr>
      <w:t>noteikumu</w:t>
    </w:r>
    <w:r w:rsidRPr="00366C06">
      <w:rPr>
        <w:sz w:val="20"/>
        <w:szCs w:val="20"/>
      </w:rPr>
      <w:t xml:space="preserve"> projektam </w:t>
    </w:r>
    <w:r w:rsidRPr="00FE5BD2">
      <w:rPr>
        <w:sz w:val="20"/>
        <w:szCs w:val="20"/>
      </w:rPr>
      <w:t>„</w:t>
    </w:r>
    <w:r>
      <w:rPr>
        <w:sz w:val="20"/>
        <w:szCs w:val="20"/>
      </w:rPr>
      <w:t>Grozījums Ministru kabineta 2009.gada 22.decembra noteikumos Nr.1564 „Noteikumi par Valsts aizsardzības militāro objektu un iepirkumu centra sniegto publisko maksas pakalpojumu cenrādi”</w:t>
    </w:r>
    <w:r w:rsidRPr="00FE5BD2">
      <w:rPr>
        <w:sz w:val="20"/>
        <w:szCs w:val="20"/>
      </w:rPr>
      <w:t>”</w:t>
    </w:r>
  </w:p>
  <w:p w:rsidR="00B10920" w:rsidRDefault="00B10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75A" w:rsidRDefault="004D275A" w:rsidP="00210CAC">
      <w:r>
        <w:separator/>
      </w:r>
    </w:p>
  </w:footnote>
  <w:footnote w:type="continuationSeparator" w:id="0">
    <w:p w:rsidR="004D275A" w:rsidRDefault="004D275A" w:rsidP="00210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3797"/>
      <w:docPartObj>
        <w:docPartGallery w:val="Page Numbers (Top of Page)"/>
        <w:docPartUnique/>
      </w:docPartObj>
    </w:sdtPr>
    <w:sdtEndPr/>
    <w:sdtContent>
      <w:p w:rsidR="00B10920" w:rsidRDefault="00AA5A74">
        <w:pPr>
          <w:pStyle w:val="Header"/>
          <w:jc w:val="center"/>
        </w:pPr>
        <w:r>
          <w:fldChar w:fldCharType="begin"/>
        </w:r>
        <w:r>
          <w:instrText xml:space="preserve"> PAGE   \* MERGEFORMAT </w:instrText>
        </w:r>
        <w:r>
          <w:fldChar w:fldCharType="separate"/>
        </w:r>
        <w:r w:rsidR="00D64C62">
          <w:rPr>
            <w:noProof/>
          </w:rPr>
          <w:t>2</w:t>
        </w:r>
        <w:r>
          <w:rPr>
            <w:noProof/>
          </w:rPr>
          <w:fldChar w:fldCharType="end"/>
        </w:r>
      </w:p>
    </w:sdtContent>
  </w:sdt>
  <w:p w:rsidR="00B10920" w:rsidRDefault="00B10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CAC"/>
    <w:rsid w:val="00032C86"/>
    <w:rsid w:val="00033FDE"/>
    <w:rsid w:val="00082A30"/>
    <w:rsid w:val="000F2FC1"/>
    <w:rsid w:val="001617C2"/>
    <w:rsid w:val="00191C31"/>
    <w:rsid w:val="00210CAC"/>
    <w:rsid w:val="00232F32"/>
    <w:rsid w:val="00253E48"/>
    <w:rsid w:val="002B13BD"/>
    <w:rsid w:val="002C1416"/>
    <w:rsid w:val="002D4A3A"/>
    <w:rsid w:val="003036F5"/>
    <w:rsid w:val="00337A8C"/>
    <w:rsid w:val="00340738"/>
    <w:rsid w:val="00360E75"/>
    <w:rsid w:val="003737C8"/>
    <w:rsid w:val="00383FC2"/>
    <w:rsid w:val="00384055"/>
    <w:rsid w:val="003B4750"/>
    <w:rsid w:val="003E5405"/>
    <w:rsid w:val="00415A3D"/>
    <w:rsid w:val="004229A1"/>
    <w:rsid w:val="00425099"/>
    <w:rsid w:val="00463B5D"/>
    <w:rsid w:val="004675BD"/>
    <w:rsid w:val="00475A38"/>
    <w:rsid w:val="004A2153"/>
    <w:rsid w:val="004B2E9F"/>
    <w:rsid w:val="004D275A"/>
    <w:rsid w:val="004D56B7"/>
    <w:rsid w:val="004E6589"/>
    <w:rsid w:val="0054037B"/>
    <w:rsid w:val="005433E0"/>
    <w:rsid w:val="00570643"/>
    <w:rsid w:val="00581D95"/>
    <w:rsid w:val="005C71A3"/>
    <w:rsid w:val="005F068C"/>
    <w:rsid w:val="005F2C9C"/>
    <w:rsid w:val="005F638E"/>
    <w:rsid w:val="006018B8"/>
    <w:rsid w:val="0066058F"/>
    <w:rsid w:val="00665F19"/>
    <w:rsid w:val="0069125E"/>
    <w:rsid w:val="006A65CD"/>
    <w:rsid w:val="006B3655"/>
    <w:rsid w:val="006D44B6"/>
    <w:rsid w:val="006E1101"/>
    <w:rsid w:val="006F48FD"/>
    <w:rsid w:val="0071678C"/>
    <w:rsid w:val="007E1531"/>
    <w:rsid w:val="008830D5"/>
    <w:rsid w:val="00885631"/>
    <w:rsid w:val="0089621B"/>
    <w:rsid w:val="008E4757"/>
    <w:rsid w:val="00974744"/>
    <w:rsid w:val="00975D50"/>
    <w:rsid w:val="00987107"/>
    <w:rsid w:val="00A05080"/>
    <w:rsid w:val="00A124EC"/>
    <w:rsid w:val="00AA5A74"/>
    <w:rsid w:val="00AD30AF"/>
    <w:rsid w:val="00B00B7F"/>
    <w:rsid w:val="00B05F5B"/>
    <w:rsid w:val="00B10920"/>
    <w:rsid w:val="00B24EB2"/>
    <w:rsid w:val="00B44ABD"/>
    <w:rsid w:val="00B51536"/>
    <w:rsid w:val="00B85209"/>
    <w:rsid w:val="00C01AFF"/>
    <w:rsid w:val="00C02041"/>
    <w:rsid w:val="00C32FA4"/>
    <w:rsid w:val="00C37C6E"/>
    <w:rsid w:val="00C50632"/>
    <w:rsid w:val="00C8642D"/>
    <w:rsid w:val="00C93245"/>
    <w:rsid w:val="00CA2661"/>
    <w:rsid w:val="00CB5517"/>
    <w:rsid w:val="00CC0020"/>
    <w:rsid w:val="00CC220E"/>
    <w:rsid w:val="00CD685A"/>
    <w:rsid w:val="00CE3EBB"/>
    <w:rsid w:val="00CF1D33"/>
    <w:rsid w:val="00CF4337"/>
    <w:rsid w:val="00D16513"/>
    <w:rsid w:val="00D31330"/>
    <w:rsid w:val="00D33BB1"/>
    <w:rsid w:val="00D40B5A"/>
    <w:rsid w:val="00D43C43"/>
    <w:rsid w:val="00D64C62"/>
    <w:rsid w:val="00D75B94"/>
    <w:rsid w:val="00DB207C"/>
    <w:rsid w:val="00E22145"/>
    <w:rsid w:val="00E26708"/>
    <w:rsid w:val="00E37D36"/>
    <w:rsid w:val="00E478F7"/>
    <w:rsid w:val="00E62877"/>
    <w:rsid w:val="00E80C7F"/>
    <w:rsid w:val="00EC0F07"/>
    <w:rsid w:val="00ED60DD"/>
    <w:rsid w:val="00ED7B16"/>
    <w:rsid w:val="00F45DB7"/>
    <w:rsid w:val="00F5401D"/>
    <w:rsid w:val="00F66A3C"/>
    <w:rsid w:val="00F73F07"/>
    <w:rsid w:val="00FD0E6F"/>
    <w:rsid w:val="00FF3331"/>
    <w:rsid w:val="00FF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A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0CAC"/>
    <w:pPr>
      <w:spacing w:before="100" w:beforeAutospacing="1" w:after="100" w:afterAutospacing="1"/>
    </w:pPr>
  </w:style>
  <w:style w:type="paragraph" w:customStyle="1" w:styleId="naisf">
    <w:name w:val="naisf"/>
    <w:basedOn w:val="Normal"/>
    <w:rsid w:val="00210CAC"/>
    <w:pPr>
      <w:spacing w:before="75" w:after="75"/>
      <w:ind w:firstLine="375"/>
      <w:jc w:val="both"/>
    </w:pPr>
  </w:style>
  <w:style w:type="paragraph" w:customStyle="1" w:styleId="naisc">
    <w:name w:val="naisc"/>
    <w:basedOn w:val="Normal"/>
    <w:rsid w:val="00210CAC"/>
    <w:pPr>
      <w:spacing w:before="450" w:after="300"/>
      <w:jc w:val="center"/>
    </w:pPr>
    <w:rPr>
      <w:sz w:val="26"/>
      <w:szCs w:val="26"/>
    </w:rPr>
  </w:style>
  <w:style w:type="paragraph" w:customStyle="1" w:styleId="naisnod">
    <w:name w:val="naisnod"/>
    <w:basedOn w:val="Normal"/>
    <w:rsid w:val="00210CAC"/>
    <w:pPr>
      <w:spacing w:before="150" w:after="150"/>
      <w:jc w:val="center"/>
    </w:pPr>
    <w:rPr>
      <w:b/>
      <w:bCs/>
    </w:rPr>
  </w:style>
  <w:style w:type="paragraph" w:styleId="FootnoteText">
    <w:name w:val="footnote text"/>
    <w:basedOn w:val="Normal"/>
    <w:link w:val="FootnoteTextChar"/>
    <w:uiPriority w:val="99"/>
    <w:unhideWhenUsed/>
    <w:rsid w:val="00210CAC"/>
    <w:rPr>
      <w:sz w:val="20"/>
      <w:szCs w:val="20"/>
    </w:rPr>
  </w:style>
  <w:style w:type="character" w:customStyle="1" w:styleId="FootnoteTextChar">
    <w:name w:val="Footnote Text Char"/>
    <w:basedOn w:val="DefaultParagraphFont"/>
    <w:link w:val="FootnoteText"/>
    <w:uiPriority w:val="99"/>
    <w:rsid w:val="00210CA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unhideWhenUsed/>
    <w:rsid w:val="00210CAC"/>
    <w:rPr>
      <w:vertAlign w:val="superscript"/>
    </w:rPr>
  </w:style>
  <w:style w:type="paragraph" w:styleId="Header">
    <w:name w:val="header"/>
    <w:basedOn w:val="Normal"/>
    <w:link w:val="HeaderChar"/>
    <w:uiPriority w:val="99"/>
    <w:unhideWhenUsed/>
    <w:rsid w:val="00210CAC"/>
    <w:pPr>
      <w:tabs>
        <w:tab w:val="center" w:pos="4320"/>
        <w:tab w:val="right" w:pos="8640"/>
      </w:tabs>
    </w:pPr>
  </w:style>
  <w:style w:type="character" w:customStyle="1" w:styleId="HeaderChar">
    <w:name w:val="Header Char"/>
    <w:basedOn w:val="DefaultParagraphFont"/>
    <w:link w:val="Header"/>
    <w:uiPriority w:val="99"/>
    <w:rsid w:val="00210CAC"/>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210CAC"/>
    <w:pPr>
      <w:tabs>
        <w:tab w:val="center" w:pos="4320"/>
        <w:tab w:val="right" w:pos="8640"/>
      </w:tabs>
    </w:pPr>
  </w:style>
  <w:style w:type="character" w:customStyle="1" w:styleId="FooterChar">
    <w:name w:val="Footer Char"/>
    <w:basedOn w:val="DefaultParagraphFont"/>
    <w:link w:val="Footer"/>
    <w:rsid w:val="00210CAC"/>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210CAC"/>
    <w:rPr>
      <w:color w:val="0000FF" w:themeColor="hyperlink"/>
      <w:u w:val="single"/>
    </w:rPr>
  </w:style>
  <w:style w:type="paragraph" w:styleId="BalloonText">
    <w:name w:val="Balloon Text"/>
    <w:basedOn w:val="Normal"/>
    <w:link w:val="BalloonTextChar"/>
    <w:uiPriority w:val="99"/>
    <w:semiHidden/>
    <w:unhideWhenUsed/>
    <w:rsid w:val="00210CAC"/>
    <w:rPr>
      <w:rFonts w:ascii="Tahoma" w:hAnsi="Tahoma" w:cs="Tahoma"/>
      <w:sz w:val="16"/>
      <w:szCs w:val="16"/>
    </w:rPr>
  </w:style>
  <w:style w:type="character" w:customStyle="1" w:styleId="BalloonTextChar">
    <w:name w:val="Balloon Text Char"/>
    <w:basedOn w:val="DefaultParagraphFont"/>
    <w:link w:val="BalloonText"/>
    <w:uiPriority w:val="99"/>
    <w:semiHidden/>
    <w:rsid w:val="00210CAC"/>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AC"/>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0CAC"/>
    <w:pPr>
      <w:spacing w:before="100" w:beforeAutospacing="1" w:after="100" w:afterAutospacing="1"/>
    </w:pPr>
  </w:style>
  <w:style w:type="paragraph" w:customStyle="1" w:styleId="naisf">
    <w:name w:val="naisf"/>
    <w:basedOn w:val="Normal"/>
    <w:rsid w:val="00210CAC"/>
    <w:pPr>
      <w:spacing w:before="75" w:after="75"/>
      <w:ind w:firstLine="375"/>
      <w:jc w:val="both"/>
    </w:pPr>
  </w:style>
  <w:style w:type="paragraph" w:customStyle="1" w:styleId="naisc">
    <w:name w:val="naisc"/>
    <w:basedOn w:val="Normal"/>
    <w:rsid w:val="00210CAC"/>
    <w:pPr>
      <w:spacing w:before="450" w:after="300"/>
      <w:jc w:val="center"/>
    </w:pPr>
    <w:rPr>
      <w:sz w:val="26"/>
      <w:szCs w:val="26"/>
    </w:rPr>
  </w:style>
  <w:style w:type="paragraph" w:customStyle="1" w:styleId="naisnod">
    <w:name w:val="naisnod"/>
    <w:basedOn w:val="Normal"/>
    <w:rsid w:val="00210CAC"/>
    <w:pPr>
      <w:spacing w:before="150" w:after="150"/>
      <w:jc w:val="center"/>
    </w:pPr>
    <w:rPr>
      <w:b/>
      <w:bCs/>
    </w:rPr>
  </w:style>
  <w:style w:type="paragraph" w:styleId="FootnoteText">
    <w:name w:val="footnote text"/>
    <w:basedOn w:val="Normal"/>
    <w:link w:val="FootnoteTextChar"/>
    <w:uiPriority w:val="99"/>
    <w:unhideWhenUsed/>
    <w:rsid w:val="00210CAC"/>
    <w:rPr>
      <w:sz w:val="20"/>
      <w:szCs w:val="20"/>
    </w:rPr>
  </w:style>
  <w:style w:type="character" w:customStyle="1" w:styleId="FootnoteTextChar">
    <w:name w:val="Footnote Text Char"/>
    <w:basedOn w:val="DefaultParagraphFont"/>
    <w:link w:val="FootnoteText"/>
    <w:uiPriority w:val="99"/>
    <w:rsid w:val="00210CA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unhideWhenUsed/>
    <w:rsid w:val="00210CAC"/>
    <w:rPr>
      <w:vertAlign w:val="superscript"/>
    </w:rPr>
  </w:style>
  <w:style w:type="paragraph" w:styleId="Header">
    <w:name w:val="header"/>
    <w:basedOn w:val="Normal"/>
    <w:link w:val="HeaderChar"/>
    <w:uiPriority w:val="99"/>
    <w:unhideWhenUsed/>
    <w:rsid w:val="00210CAC"/>
    <w:pPr>
      <w:tabs>
        <w:tab w:val="center" w:pos="4320"/>
        <w:tab w:val="right" w:pos="8640"/>
      </w:tabs>
    </w:pPr>
  </w:style>
  <w:style w:type="character" w:customStyle="1" w:styleId="HeaderChar">
    <w:name w:val="Header Char"/>
    <w:basedOn w:val="DefaultParagraphFont"/>
    <w:link w:val="Header"/>
    <w:uiPriority w:val="99"/>
    <w:rsid w:val="00210CAC"/>
    <w:rPr>
      <w:rFonts w:ascii="Times New Roman" w:eastAsia="Times New Roman" w:hAnsi="Times New Roman" w:cs="Times New Roman"/>
      <w:sz w:val="24"/>
      <w:szCs w:val="24"/>
      <w:lang w:val="lv-LV" w:eastAsia="lv-LV"/>
    </w:rPr>
  </w:style>
  <w:style w:type="paragraph" w:styleId="Footer">
    <w:name w:val="footer"/>
    <w:basedOn w:val="Normal"/>
    <w:link w:val="FooterChar"/>
    <w:unhideWhenUsed/>
    <w:rsid w:val="00210CAC"/>
    <w:pPr>
      <w:tabs>
        <w:tab w:val="center" w:pos="4320"/>
        <w:tab w:val="right" w:pos="8640"/>
      </w:tabs>
    </w:pPr>
  </w:style>
  <w:style w:type="character" w:customStyle="1" w:styleId="FooterChar">
    <w:name w:val="Footer Char"/>
    <w:basedOn w:val="DefaultParagraphFont"/>
    <w:link w:val="Footer"/>
    <w:rsid w:val="00210CAC"/>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unhideWhenUsed/>
    <w:rsid w:val="00210CAC"/>
    <w:rPr>
      <w:color w:val="0000FF" w:themeColor="hyperlink"/>
      <w:u w:val="single"/>
    </w:rPr>
  </w:style>
  <w:style w:type="paragraph" w:styleId="BalloonText">
    <w:name w:val="Balloon Text"/>
    <w:basedOn w:val="Normal"/>
    <w:link w:val="BalloonTextChar"/>
    <w:uiPriority w:val="99"/>
    <w:semiHidden/>
    <w:unhideWhenUsed/>
    <w:rsid w:val="00210CAC"/>
    <w:rPr>
      <w:rFonts w:ascii="Tahoma" w:hAnsi="Tahoma" w:cs="Tahoma"/>
      <w:sz w:val="16"/>
      <w:szCs w:val="16"/>
    </w:rPr>
  </w:style>
  <w:style w:type="character" w:customStyle="1" w:styleId="BalloonTextChar">
    <w:name w:val="Balloon Text Char"/>
    <w:basedOn w:val="DefaultParagraphFont"/>
    <w:link w:val="BalloonText"/>
    <w:uiPriority w:val="99"/>
    <w:semiHidden/>
    <w:rsid w:val="00210CAC"/>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ta.Kalneniece@vamoic.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Krutova@vamoi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B4A6-4B86-494C-AC47-D6962BE55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11019</Characters>
  <Application>Microsoft Office Word</Application>
  <DocSecurity>0</DocSecurity>
  <Lines>459</Lines>
  <Paragraphs>135</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2009.gada 22.decembra noteikumos Nr.1564 "Noteikumi par Valsts aizsardzības militāro objektu un iepirkumu centra sniegto publisko maksas pakalpojumu cenrādi"</vt:lpstr>
    </vt:vector>
  </TitlesOfParts>
  <Company>VAMOIC</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2009.gada 22.decembra noteikumos Nr.1564 "Noteikumi par Valsts aizsardzības militāro objektu un iepirkumu centra sniegto publisko maksas pakalpojumu cenrādi"</dc:title>
  <dc:subject>Anotācija MK noteikumu projektam</dc:subject>
  <dc:creator>Elita Kalneniece</dc:creator>
  <cp:keywords/>
  <dc:description>Tālrunis 67300252, fakss 67300207 Elita.Kalneniece@vamoic.gov.lv</dc:description>
  <cp:lastModifiedBy>ElitaK</cp:lastModifiedBy>
  <cp:revision>3</cp:revision>
  <cp:lastPrinted>2012-12-13T12:46:00Z</cp:lastPrinted>
  <dcterms:created xsi:type="dcterms:W3CDTF">2013-02-01T07:51:00Z</dcterms:created>
  <dcterms:modified xsi:type="dcterms:W3CDTF">2013-02-01T07:52:00Z</dcterms:modified>
</cp:coreProperties>
</file>