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0F6" w:rsidRPr="00066ADC" w:rsidRDefault="00E900F6" w:rsidP="00641389">
      <w:pPr>
        <w:pStyle w:val="naislab"/>
        <w:spacing w:before="0" w:beforeAutospacing="0" w:after="0" w:afterAutospacing="0"/>
        <w:jc w:val="both"/>
        <w:outlineLvl w:val="0"/>
        <w:rPr>
          <w:b/>
          <w:color w:val="000000"/>
        </w:rPr>
      </w:pPr>
    </w:p>
    <w:p w:rsidR="0027216C" w:rsidRPr="00066ADC" w:rsidRDefault="00830127" w:rsidP="009A4D32">
      <w:pPr>
        <w:pStyle w:val="naislab"/>
        <w:spacing w:before="0" w:beforeAutospacing="0" w:after="0" w:afterAutospacing="0"/>
        <w:jc w:val="center"/>
        <w:outlineLvl w:val="0"/>
        <w:rPr>
          <w:b/>
          <w:color w:val="000000"/>
        </w:rPr>
      </w:pPr>
      <w:r w:rsidRPr="00066ADC">
        <w:rPr>
          <w:b/>
          <w:color w:val="000000"/>
        </w:rPr>
        <w:t xml:space="preserve"> </w:t>
      </w:r>
      <w:r w:rsidR="009A4D32" w:rsidRPr="00066ADC">
        <w:rPr>
          <w:b/>
          <w:color w:val="000000"/>
        </w:rPr>
        <w:t>Ministru kabineta</w:t>
      </w:r>
      <w:r w:rsidR="00DD40EF" w:rsidRPr="00066ADC">
        <w:rPr>
          <w:b/>
          <w:color w:val="000000"/>
        </w:rPr>
        <w:t xml:space="preserve"> </w:t>
      </w:r>
      <w:r w:rsidR="00E7463A" w:rsidRPr="00066ADC">
        <w:rPr>
          <w:b/>
          <w:color w:val="000000"/>
        </w:rPr>
        <w:t>noteikumu projekt</w:t>
      </w:r>
      <w:r w:rsidR="009A4D32" w:rsidRPr="00066ADC">
        <w:rPr>
          <w:b/>
          <w:color w:val="000000"/>
        </w:rPr>
        <w:t>a</w:t>
      </w:r>
    </w:p>
    <w:p w:rsidR="00E7463A" w:rsidRPr="00066ADC" w:rsidRDefault="00E7463A" w:rsidP="009A4D32">
      <w:pPr>
        <w:pStyle w:val="naislab"/>
        <w:spacing w:before="0" w:beforeAutospacing="0" w:after="0" w:afterAutospacing="0"/>
        <w:jc w:val="center"/>
        <w:outlineLvl w:val="0"/>
        <w:rPr>
          <w:b/>
          <w:color w:val="000000"/>
        </w:rPr>
      </w:pPr>
      <w:r w:rsidRPr="00066ADC">
        <w:rPr>
          <w:b/>
          <w:color w:val="000000"/>
        </w:rPr>
        <w:t xml:space="preserve"> </w:t>
      </w:r>
      <w:r w:rsidR="00DD40EF" w:rsidRPr="00066ADC">
        <w:rPr>
          <w:b/>
          <w:color w:val="000000"/>
        </w:rPr>
        <w:t>„</w:t>
      </w:r>
      <w:r w:rsidRPr="00066ADC">
        <w:rPr>
          <w:b/>
          <w:bCs/>
          <w:color w:val="000000"/>
        </w:rPr>
        <w:t>Grozījumi Ministru kabineta 2008.gada 10.jūnij</w:t>
      </w:r>
      <w:r w:rsidR="000911E9">
        <w:rPr>
          <w:b/>
          <w:bCs/>
          <w:color w:val="000000"/>
        </w:rPr>
        <w:t>a</w:t>
      </w:r>
      <w:r w:rsidRPr="00066ADC">
        <w:rPr>
          <w:b/>
          <w:bCs/>
          <w:color w:val="000000"/>
        </w:rPr>
        <w:t xml:space="preserve"> noteikumos Nr.424 „Kārtība, kādā atlīdzina kaitējumu trešajai personai vai tās mantai, ja to nodarījis Latvijas Republikas militārās aviācijas gaisa kuģis vai civilās aviācijas gaisa kuģis (vai no tā atdalījies priekšmets), kuru Latvijas Nacionālie bruņotie spēki izmanto militārajām vajadzībām”</w:t>
      </w:r>
      <w:r w:rsidR="0027216C" w:rsidRPr="00066ADC">
        <w:rPr>
          <w:b/>
          <w:bCs/>
          <w:color w:val="000000"/>
        </w:rPr>
        <w:t>”</w:t>
      </w:r>
      <w:r w:rsidR="009A4D32" w:rsidRPr="00066ADC">
        <w:rPr>
          <w:b/>
          <w:bCs/>
          <w:color w:val="000000"/>
        </w:rPr>
        <w:t xml:space="preserve"> sākotnēj</w:t>
      </w:r>
      <w:r w:rsidR="00727C8C">
        <w:rPr>
          <w:b/>
          <w:bCs/>
          <w:color w:val="000000"/>
        </w:rPr>
        <w:t>ā</w:t>
      </w:r>
      <w:r w:rsidR="009A4D32" w:rsidRPr="00066ADC">
        <w:rPr>
          <w:b/>
          <w:bCs/>
          <w:color w:val="000000"/>
        </w:rPr>
        <w:t>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716"/>
        <w:gridCol w:w="6459"/>
      </w:tblGrid>
      <w:tr w:rsidR="004E3B1C" w:rsidRPr="00066ADC">
        <w:tc>
          <w:tcPr>
            <w:tcW w:w="9725" w:type="dxa"/>
            <w:gridSpan w:val="3"/>
            <w:vAlign w:val="center"/>
          </w:tcPr>
          <w:p w:rsidR="004E3B1C" w:rsidRPr="00066ADC" w:rsidRDefault="004E3B1C" w:rsidP="004E3B1C">
            <w:pPr>
              <w:pStyle w:val="naisnod"/>
              <w:spacing w:before="0" w:beforeAutospacing="0" w:after="0" w:afterAutospacing="0"/>
              <w:rPr>
                <w:color w:val="000000"/>
              </w:rPr>
            </w:pPr>
            <w:r w:rsidRPr="00066ADC">
              <w:rPr>
                <w:color w:val="000000"/>
              </w:rPr>
              <w:t>I. Tiesību akta projekta izstrādes nepieciešamība</w:t>
            </w:r>
          </w:p>
        </w:tc>
      </w:tr>
      <w:tr w:rsidR="004E3B1C" w:rsidRPr="00066ADC" w:rsidTr="00787D14">
        <w:trPr>
          <w:trHeight w:val="630"/>
        </w:trPr>
        <w:tc>
          <w:tcPr>
            <w:tcW w:w="550" w:type="dxa"/>
          </w:tcPr>
          <w:p w:rsidR="004E3B1C" w:rsidRPr="00066ADC" w:rsidRDefault="004E3B1C" w:rsidP="004E3B1C">
            <w:pPr>
              <w:pStyle w:val="naiskr"/>
              <w:spacing w:before="0" w:beforeAutospacing="0" w:after="0" w:afterAutospacing="0"/>
              <w:rPr>
                <w:color w:val="000000"/>
              </w:rPr>
            </w:pPr>
            <w:r w:rsidRPr="00066ADC">
              <w:rPr>
                <w:color w:val="000000"/>
              </w:rPr>
              <w:t>1.</w:t>
            </w:r>
          </w:p>
        </w:tc>
        <w:tc>
          <w:tcPr>
            <w:tcW w:w="2716" w:type="dxa"/>
          </w:tcPr>
          <w:p w:rsidR="004E3B1C" w:rsidRPr="00066ADC" w:rsidRDefault="004E3B1C" w:rsidP="004E3B1C">
            <w:pPr>
              <w:pStyle w:val="naiskr"/>
              <w:spacing w:before="0" w:beforeAutospacing="0" w:after="0" w:afterAutospacing="0"/>
              <w:ind w:hanging="10"/>
              <w:rPr>
                <w:color w:val="000000"/>
              </w:rPr>
            </w:pPr>
            <w:r w:rsidRPr="00066ADC">
              <w:rPr>
                <w:color w:val="000000"/>
              </w:rPr>
              <w:t>Pamatojums</w:t>
            </w:r>
          </w:p>
        </w:tc>
        <w:tc>
          <w:tcPr>
            <w:tcW w:w="6459" w:type="dxa"/>
          </w:tcPr>
          <w:p w:rsidR="00325FD3" w:rsidRPr="00066ADC" w:rsidRDefault="0083444E" w:rsidP="00FD31C0">
            <w:pPr>
              <w:pStyle w:val="naiskr"/>
              <w:spacing w:before="0" w:beforeAutospacing="0" w:after="0" w:afterAutospacing="0"/>
              <w:ind w:hanging="5"/>
              <w:jc w:val="both"/>
              <w:rPr>
                <w:color w:val="000000"/>
              </w:rPr>
            </w:pPr>
            <w:r w:rsidRPr="00066ADC">
              <w:rPr>
                <w:iCs/>
                <w:color w:val="000000"/>
              </w:rPr>
              <w:t>Likums „Par vidēja termiņa budžeta ietvaru 2013., 2014. un 2015.gadam”, likums „Par valsts budžetu 2013.gadam”</w:t>
            </w:r>
            <w:r w:rsidR="0027216C" w:rsidRPr="00066ADC">
              <w:rPr>
                <w:iCs/>
                <w:color w:val="000000"/>
              </w:rPr>
              <w:t>.</w:t>
            </w:r>
          </w:p>
        </w:tc>
      </w:tr>
      <w:tr w:rsidR="004E3B1C" w:rsidRPr="00066ADC" w:rsidTr="00787D14">
        <w:trPr>
          <w:trHeight w:val="472"/>
        </w:trPr>
        <w:tc>
          <w:tcPr>
            <w:tcW w:w="550" w:type="dxa"/>
          </w:tcPr>
          <w:p w:rsidR="004E3B1C" w:rsidRPr="00066ADC" w:rsidRDefault="004E3B1C" w:rsidP="004E3B1C">
            <w:pPr>
              <w:pStyle w:val="naiskr"/>
              <w:spacing w:before="0" w:beforeAutospacing="0" w:after="0" w:afterAutospacing="0"/>
              <w:rPr>
                <w:color w:val="000000"/>
              </w:rPr>
            </w:pPr>
            <w:r w:rsidRPr="00066ADC">
              <w:rPr>
                <w:color w:val="000000"/>
              </w:rPr>
              <w:t>2.</w:t>
            </w:r>
          </w:p>
        </w:tc>
        <w:tc>
          <w:tcPr>
            <w:tcW w:w="2716" w:type="dxa"/>
          </w:tcPr>
          <w:p w:rsidR="004E3B1C" w:rsidRPr="00066ADC" w:rsidRDefault="004E3B1C" w:rsidP="004E3B1C">
            <w:pPr>
              <w:pStyle w:val="naiskr"/>
              <w:tabs>
                <w:tab w:val="left" w:pos="170"/>
              </w:tabs>
              <w:spacing w:before="0" w:beforeAutospacing="0" w:after="0" w:afterAutospacing="0"/>
              <w:rPr>
                <w:color w:val="000000"/>
              </w:rPr>
            </w:pPr>
            <w:r w:rsidRPr="00066ADC">
              <w:rPr>
                <w:color w:val="000000"/>
              </w:rPr>
              <w:t>Pašreizējā situācija un problēmas</w:t>
            </w:r>
          </w:p>
        </w:tc>
        <w:tc>
          <w:tcPr>
            <w:tcW w:w="6459" w:type="dxa"/>
          </w:tcPr>
          <w:p w:rsidR="00AB18DA" w:rsidRPr="00066ADC" w:rsidRDefault="00E7463A" w:rsidP="00A44123">
            <w:pPr>
              <w:autoSpaceDE w:val="0"/>
              <w:autoSpaceDN w:val="0"/>
              <w:adjustRightInd w:val="0"/>
              <w:jc w:val="both"/>
              <w:rPr>
                <w:bCs/>
                <w:color w:val="000000"/>
              </w:rPr>
            </w:pPr>
            <w:r w:rsidRPr="00066ADC">
              <w:rPr>
                <w:bCs/>
                <w:color w:val="000000"/>
              </w:rPr>
              <w:t>Ministru kabineta 2008.gada 10.jūnij</w:t>
            </w:r>
            <w:r w:rsidR="00830127" w:rsidRPr="00066ADC">
              <w:rPr>
                <w:bCs/>
                <w:color w:val="000000"/>
              </w:rPr>
              <w:t>a</w:t>
            </w:r>
            <w:r w:rsidRPr="00066ADC">
              <w:rPr>
                <w:bCs/>
                <w:color w:val="000000"/>
              </w:rPr>
              <w:t xml:space="preserve"> </w:t>
            </w:r>
            <w:r w:rsidR="0083444E" w:rsidRPr="00066ADC">
              <w:rPr>
                <w:bCs/>
                <w:color w:val="000000"/>
              </w:rPr>
              <w:t xml:space="preserve">noteikumu </w:t>
            </w:r>
            <w:r w:rsidRPr="00066ADC">
              <w:rPr>
                <w:bCs/>
                <w:color w:val="000000"/>
              </w:rPr>
              <w:t>Nr.424 „Kārtība, kādā atlīdzina kaitējumu trešajai personai vai tās mantai, ja to nodarījis Latvijas Republikas militārās aviācijas gaisa kuģis vai civilās aviācijas gaisa kuģis (vai no tā atdalījies priekšmets), kuru Latvijas Nacionālie bruņotie spēki izmanto militārajām vajadzībām”</w:t>
            </w:r>
            <w:r w:rsidR="00670C0C" w:rsidRPr="00066ADC">
              <w:rPr>
                <w:bCs/>
                <w:color w:val="000000"/>
              </w:rPr>
              <w:t xml:space="preserve"> </w:t>
            </w:r>
            <w:bookmarkStart w:id="0" w:name="p-205174"/>
            <w:bookmarkStart w:id="1" w:name="p8"/>
            <w:bookmarkEnd w:id="0"/>
            <w:bookmarkEnd w:id="1"/>
            <w:r w:rsidR="008B6AA2" w:rsidRPr="00066ADC">
              <w:rPr>
                <w:bCs/>
                <w:color w:val="000000"/>
              </w:rPr>
              <w:t>(turpmāk</w:t>
            </w:r>
            <w:r w:rsidR="00FA5042">
              <w:rPr>
                <w:bCs/>
                <w:color w:val="000000"/>
              </w:rPr>
              <w:t xml:space="preserve"> –</w:t>
            </w:r>
            <w:r w:rsidR="0083444E" w:rsidRPr="00066ADC">
              <w:rPr>
                <w:bCs/>
                <w:color w:val="000000"/>
              </w:rPr>
              <w:t xml:space="preserve"> MK </w:t>
            </w:r>
            <w:r w:rsidR="008B6AA2" w:rsidRPr="00066ADC">
              <w:rPr>
                <w:bCs/>
                <w:color w:val="000000"/>
              </w:rPr>
              <w:t>noteikumi</w:t>
            </w:r>
            <w:r w:rsidR="0083444E" w:rsidRPr="00066ADC">
              <w:rPr>
                <w:bCs/>
                <w:color w:val="000000"/>
              </w:rPr>
              <w:t xml:space="preserve"> Nr.424</w:t>
            </w:r>
            <w:r w:rsidR="008B6AA2" w:rsidRPr="00066ADC">
              <w:rPr>
                <w:bCs/>
                <w:color w:val="000000"/>
              </w:rPr>
              <w:t>)</w:t>
            </w:r>
            <w:r w:rsidR="0083444E" w:rsidRPr="00066ADC">
              <w:rPr>
                <w:bCs/>
                <w:color w:val="000000"/>
              </w:rPr>
              <w:t xml:space="preserve"> </w:t>
            </w:r>
            <w:r w:rsidR="00A44123" w:rsidRPr="00066ADC">
              <w:rPr>
                <w:bCs/>
                <w:color w:val="000000"/>
              </w:rPr>
              <w:t>8.punkts nosaka</w:t>
            </w:r>
            <w:r w:rsidR="00FA5042">
              <w:rPr>
                <w:bCs/>
                <w:color w:val="000000"/>
              </w:rPr>
              <w:t xml:space="preserve"> –</w:t>
            </w:r>
            <w:r w:rsidR="00A44123" w:rsidRPr="00066ADC">
              <w:rPr>
                <w:bCs/>
                <w:color w:val="000000"/>
              </w:rPr>
              <w:t xml:space="preserve">ja tiek pieņemts lēmums par kaitējuma atlīdzināšanu, </w:t>
            </w:r>
            <w:r w:rsidR="008B6AA2" w:rsidRPr="00066ADC">
              <w:rPr>
                <w:bCs/>
                <w:color w:val="000000"/>
              </w:rPr>
              <w:t>Aizsardzības ministrija</w:t>
            </w:r>
            <w:r w:rsidR="00A44123" w:rsidRPr="00066ADC">
              <w:rPr>
                <w:bCs/>
                <w:color w:val="000000"/>
              </w:rPr>
              <w:t xml:space="preserve"> no tai piešķirtajiem valsts budžeta līdzekļiem personai kaitējumu atlīdzina apmērā, kas nepārsniedz 10 000 latu. Savukārt </w:t>
            </w:r>
            <w:r w:rsidR="00AB18DA" w:rsidRPr="00066ADC">
              <w:rPr>
                <w:bCs/>
                <w:color w:val="000000"/>
              </w:rPr>
              <w:t xml:space="preserve">MK </w:t>
            </w:r>
            <w:r w:rsidR="00A44123" w:rsidRPr="00066ADC">
              <w:rPr>
                <w:bCs/>
                <w:color w:val="000000"/>
              </w:rPr>
              <w:t xml:space="preserve">noteikumu </w:t>
            </w:r>
            <w:r w:rsidR="00AB18DA" w:rsidRPr="00066ADC">
              <w:rPr>
                <w:bCs/>
                <w:color w:val="000000"/>
              </w:rPr>
              <w:t xml:space="preserve">Nr.424 </w:t>
            </w:r>
            <w:r w:rsidR="00A44123" w:rsidRPr="00066ADC">
              <w:rPr>
                <w:bCs/>
                <w:color w:val="000000"/>
              </w:rPr>
              <w:t>9.punkts paredz</w:t>
            </w:r>
            <w:r w:rsidR="00FA5042">
              <w:rPr>
                <w:bCs/>
                <w:color w:val="000000"/>
              </w:rPr>
              <w:t xml:space="preserve"> –</w:t>
            </w:r>
            <w:r w:rsidR="00A44123" w:rsidRPr="00066ADC">
              <w:rPr>
                <w:bCs/>
                <w:color w:val="000000"/>
              </w:rPr>
              <w:t xml:space="preserve"> ja kaitējuma atlīdzinājuma apmērs pārsniedz 10 000 latu, par finanšu avotu lemj Ministru kabinets. </w:t>
            </w:r>
          </w:p>
          <w:p w:rsidR="00A44123" w:rsidRPr="00066ADC" w:rsidRDefault="00A44123" w:rsidP="00A44123">
            <w:pPr>
              <w:autoSpaceDE w:val="0"/>
              <w:autoSpaceDN w:val="0"/>
              <w:adjustRightInd w:val="0"/>
              <w:jc w:val="both"/>
              <w:rPr>
                <w:bCs/>
                <w:color w:val="000000"/>
              </w:rPr>
            </w:pPr>
            <w:r w:rsidRPr="00066ADC">
              <w:rPr>
                <w:bCs/>
                <w:color w:val="000000"/>
              </w:rPr>
              <w:t>Lēmumu par kaitējuma atlīdzināšanu pieņem aizsardzības ministra izveidota komisija, kurā tiek iekļauts pa vienam pārstāvim no A</w:t>
            </w:r>
            <w:r w:rsidR="008B6AA2" w:rsidRPr="00066ADC">
              <w:rPr>
                <w:bCs/>
                <w:color w:val="000000"/>
              </w:rPr>
              <w:t>izsardzības ministrijas</w:t>
            </w:r>
            <w:r w:rsidRPr="00066ADC">
              <w:rPr>
                <w:bCs/>
                <w:color w:val="000000"/>
              </w:rPr>
              <w:t>, Nacionālo bruņoto spēku Gaisa spēkiem un valsts aģentūras „Civilās aviācijas aģentūra” (</w:t>
            </w:r>
            <w:r w:rsidR="0083444E" w:rsidRPr="00066ADC">
              <w:rPr>
                <w:bCs/>
                <w:color w:val="000000"/>
              </w:rPr>
              <w:t>MK n</w:t>
            </w:r>
            <w:r w:rsidRPr="00066ADC">
              <w:rPr>
                <w:bCs/>
                <w:color w:val="000000"/>
              </w:rPr>
              <w:t>oteikumu</w:t>
            </w:r>
            <w:r w:rsidR="0083444E" w:rsidRPr="00066ADC">
              <w:rPr>
                <w:bCs/>
                <w:color w:val="000000"/>
              </w:rPr>
              <w:t xml:space="preserve"> Nr.424</w:t>
            </w:r>
            <w:r w:rsidRPr="00066ADC">
              <w:rPr>
                <w:bCs/>
                <w:color w:val="000000"/>
              </w:rPr>
              <w:t xml:space="preserve"> 3.punkts) un kura Administratīvā procesa likumā noteiktajā termiņā izskata un pārbauda dokumentus, </w:t>
            </w:r>
            <w:r w:rsidR="00FC1C88">
              <w:rPr>
                <w:bCs/>
                <w:color w:val="000000"/>
              </w:rPr>
              <w:t>kas</w:t>
            </w:r>
            <w:r w:rsidR="00FC1C88" w:rsidRPr="00066ADC">
              <w:rPr>
                <w:bCs/>
                <w:color w:val="000000"/>
              </w:rPr>
              <w:t xml:space="preserve"> </w:t>
            </w:r>
            <w:r w:rsidRPr="00066ADC">
              <w:rPr>
                <w:bCs/>
                <w:color w:val="000000"/>
              </w:rPr>
              <w:t>apliecina kaitējuma nodarīšanas faktu, tā cēlonisko sakarību ar gaisa kuģa iedarbību, radītā kaitējuma apmēru, kā arī pieņem lēmumu par kaitējuma atlīdzinājuma piešķiršanu (un tā apmēru) vai par iesnieguma noraidīšanu (</w:t>
            </w:r>
            <w:r w:rsidR="0083444E" w:rsidRPr="00066ADC">
              <w:rPr>
                <w:bCs/>
                <w:color w:val="000000"/>
              </w:rPr>
              <w:t>MK n</w:t>
            </w:r>
            <w:r w:rsidRPr="00066ADC">
              <w:rPr>
                <w:bCs/>
                <w:color w:val="000000"/>
              </w:rPr>
              <w:t xml:space="preserve">oteikumu </w:t>
            </w:r>
            <w:r w:rsidR="0083444E" w:rsidRPr="00066ADC">
              <w:rPr>
                <w:bCs/>
                <w:color w:val="000000"/>
              </w:rPr>
              <w:t xml:space="preserve">Nr.424 </w:t>
            </w:r>
            <w:r w:rsidRPr="00066ADC">
              <w:rPr>
                <w:bCs/>
                <w:color w:val="000000"/>
              </w:rPr>
              <w:t>4.punkts).</w:t>
            </w:r>
          </w:p>
          <w:p w:rsidR="005C3573" w:rsidRDefault="00FC1C88" w:rsidP="00A44123">
            <w:pPr>
              <w:autoSpaceDE w:val="0"/>
              <w:autoSpaceDN w:val="0"/>
              <w:adjustRightInd w:val="0"/>
              <w:jc w:val="both"/>
              <w:rPr>
                <w:bCs/>
                <w:color w:val="000000"/>
              </w:rPr>
            </w:pPr>
            <w:r>
              <w:rPr>
                <w:bCs/>
                <w:color w:val="000000"/>
              </w:rPr>
              <w:t>Tā kā</w:t>
            </w:r>
            <w:r w:rsidR="007C09A1">
              <w:rPr>
                <w:bCs/>
                <w:color w:val="000000"/>
              </w:rPr>
              <w:t xml:space="preserve"> </w:t>
            </w:r>
            <w:r w:rsidR="007C09A1" w:rsidRPr="00066ADC">
              <w:rPr>
                <w:iCs/>
                <w:color w:val="000000"/>
              </w:rPr>
              <w:t>nav iespējams prognozēt gadījumus, kad Latvijas Republikas militārās aviācijas gaisa kuģis vai civilās aviācijas gaisa kuģis (vai no tā atdalījies priekšmets), kuru Latvijas Nacionālie bruņotie spēk</w:t>
            </w:r>
            <w:r w:rsidR="007C09A1">
              <w:rPr>
                <w:iCs/>
                <w:color w:val="000000"/>
              </w:rPr>
              <w:t>i</w:t>
            </w:r>
            <w:r w:rsidR="007C09A1" w:rsidRPr="00066ADC">
              <w:rPr>
                <w:iCs/>
                <w:color w:val="000000"/>
              </w:rPr>
              <w:t xml:space="preserve"> izmanto militārām vajadzībām</w:t>
            </w:r>
            <w:r w:rsidR="007C09A1">
              <w:rPr>
                <w:iCs/>
                <w:color w:val="000000"/>
              </w:rPr>
              <w:t>,</w:t>
            </w:r>
            <w:r w:rsidR="007C09A1" w:rsidRPr="00066ADC">
              <w:rPr>
                <w:iCs/>
                <w:color w:val="000000"/>
              </w:rPr>
              <w:t xml:space="preserve"> nodarīs kaitējumu trešajai personai vai tās mant</w:t>
            </w:r>
            <w:r w:rsidR="007C09A1">
              <w:rPr>
                <w:iCs/>
                <w:color w:val="000000"/>
              </w:rPr>
              <w:t>ai</w:t>
            </w:r>
            <w:r w:rsidR="007C09A1" w:rsidRPr="00066ADC">
              <w:rPr>
                <w:iCs/>
                <w:color w:val="000000"/>
              </w:rPr>
              <w:t xml:space="preserve"> un persona MK noteikumu Nr.424 2.punktā paredzētajā kārtībā vērsīsies Aizsardzības ministrijā ar iesniegumu par kaitējuma atlīdzinājumu, kā arī to, vai aizsardzības ministra izveidotā komisija pieņems lēmumu par kaitējuma atlīdzināšanu</w:t>
            </w:r>
            <w:proofErr w:type="gramStart"/>
            <w:r w:rsidR="007C09A1" w:rsidRPr="00066ADC">
              <w:rPr>
                <w:iCs/>
                <w:color w:val="000000"/>
              </w:rPr>
              <w:t xml:space="preserve"> </w:t>
            </w:r>
            <w:r w:rsidR="005C3573" w:rsidRPr="00066ADC">
              <w:rPr>
                <w:iCs/>
                <w:color w:val="000000"/>
              </w:rPr>
              <w:t>un</w:t>
            </w:r>
            <w:proofErr w:type="gramEnd"/>
            <w:r w:rsidR="007C09A1" w:rsidRPr="00066ADC">
              <w:rPr>
                <w:iCs/>
                <w:color w:val="000000"/>
              </w:rPr>
              <w:t xml:space="preserve"> kāds būs kaitējuma atlīdzinājuma apmērs</w:t>
            </w:r>
            <w:r w:rsidR="005C3573">
              <w:rPr>
                <w:iCs/>
                <w:color w:val="000000"/>
              </w:rPr>
              <w:t xml:space="preserve">, </w:t>
            </w:r>
            <w:r w:rsidR="005C3573">
              <w:rPr>
                <w:bCs/>
                <w:color w:val="000000"/>
              </w:rPr>
              <w:t xml:space="preserve">šāda </w:t>
            </w:r>
            <w:r w:rsidR="005C3573" w:rsidRPr="00066ADC">
              <w:rPr>
                <w:bCs/>
                <w:color w:val="000000"/>
              </w:rPr>
              <w:t>atlīdzinājuma izmaksai</w:t>
            </w:r>
            <w:r w:rsidR="005C3573">
              <w:rPr>
                <w:bCs/>
                <w:color w:val="000000"/>
              </w:rPr>
              <w:t xml:space="preserve"> n</w:t>
            </w:r>
            <w:r w:rsidR="005C3573" w:rsidRPr="00DD4AF6">
              <w:rPr>
                <w:bCs/>
                <w:color w:val="000000"/>
              </w:rPr>
              <w:t xml:space="preserve">epieciešamie līdzekļi </w:t>
            </w:r>
            <w:r w:rsidR="005C3573" w:rsidRPr="00066ADC">
              <w:rPr>
                <w:bCs/>
                <w:color w:val="000000"/>
              </w:rPr>
              <w:t>Aizsardzības</w:t>
            </w:r>
            <w:r w:rsidR="009359D3">
              <w:rPr>
                <w:bCs/>
                <w:color w:val="000000"/>
              </w:rPr>
              <w:t xml:space="preserve"> ministrijas budžetā nav plānoti, jo </w:t>
            </w:r>
            <w:r w:rsidR="005C3573">
              <w:rPr>
                <w:bCs/>
                <w:color w:val="000000"/>
              </w:rPr>
              <w:t>atbilstoši Likumam par valsts budžetu un finanšu vadību ministrijas un citas centrālās valsts iestādes budžeta rezerves neveido.</w:t>
            </w:r>
          </w:p>
          <w:p w:rsidR="0083444E" w:rsidRDefault="00675BE8" w:rsidP="00A44123">
            <w:pPr>
              <w:autoSpaceDE w:val="0"/>
              <w:autoSpaceDN w:val="0"/>
              <w:adjustRightInd w:val="0"/>
              <w:jc w:val="both"/>
              <w:rPr>
                <w:bCs/>
                <w:color w:val="000000"/>
              </w:rPr>
            </w:pPr>
            <w:r>
              <w:rPr>
                <w:bCs/>
                <w:color w:val="000000"/>
              </w:rPr>
              <w:t>Ņ</w:t>
            </w:r>
            <w:r w:rsidR="00A44123" w:rsidRPr="00066ADC">
              <w:rPr>
                <w:bCs/>
                <w:color w:val="000000"/>
              </w:rPr>
              <w:t>emot vērā būtisko Aizsardzības ministrijas budžeta samazinājumu pē</w:t>
            </w:r>
            <w:r w:rsidR="008B6AA2" w:rsidRPr="00066ADC">
              <w:rPr>
                <w:bCs/>
                <w:color w:val="000000"/>
              </w:rPr>
              <w:t>c 2008.gada</w:t>
            </w:r>
            <w:r w:rsidR="00414753" w:rsidRPr="00066ADC">
              <w:rPr>
                <w:bCs/>
                <w:color w:val="000000"/>
              </w:rPr>
              <w:t xml:space="preserve"> 1.pusgada</w:t>
            </w:r>
            <w:r w:rsidR="008B6AA2" w:rsidRPr="00066ADC">
              <w:rPr>
                <w:bCs/>
                <w:color w:val="000000"/>
              </w:rPr>
              <w:t xml:space="preserve"> (salīdzinājumam – </w:t>
            </w:r>
            <w:r w:rsidR="009359D3" w:rsidRPr="00066ADC">
              <w:rPr>
                <w:bCs/>
                <w:color w:val="000000"/>
              </w:rPr>
              <w:t>2008.gadā 1.pusgadā, kad tika izstrādāti MK noteikumi Nr.424, Aizsardzības ministrijas budžets saskaņā ar likumu „Par valsts budžetu 2008.gadam” bija 277,3  milj. latu</w:t>
            </w:r>
            <w:r w:rsidR="009359D3">
              <w:rPr>
                <w:bCs/>
                <w:color w:val="000000"/>
              </w:rPr>
              <w:t xml:space="preserve">, bet </w:t>
            </w:r>
            <w:r w:rsidR="00A44123" w:rsidRPr="00066ADC">
              <w:rPr>
                <w:bCs/>
                <w:color w:val="000000"/>
              </w:rPr>
              <w:t xml:space="preserve">2013.gada budžets saskaņā ar Finanšu ministrijas rīkojumos apstiprinātajām </w:t>
            </w:r>
            <w:r w:rsidR="00012497" w:rsidRPr="00066ADC">
              <w:rPr>
                <w:bCs/>
                <w:color w:val="000000"/>
              </w:rPr>
              <w:lastRenderedPageBreak/>
              <w:t xml:space="preserve">apropriācijas </w:t>
            </w:r>
            <w:r w:rsidR="00A44123" w:rsidRPr="00066ADC">
              <w:rPr>
                <w:bCs/>
                <w:color w:val="000000"/>
              </w:rPr>
              <w:t xml:space="preserve">izmaiņām ir </w:t>
            </w:r>
            <w:r w:rsidR="00414753" w:rsidRPr="00066ADC">
              <w:rPr>
                <w:bCs/>
                <w:color w:val="000000"/>
              </w:rPr>
              <w:t> </w:t>
            </w:r>
            <w:r w:rsidR="009359D3">
              <w:rPr>
                <w:bCs/>
                <w:color w:val="000000"/>
              </w:rPr>
              <w:t>160,1</w:t>
            </w:r>
            <w:r w:rsidR="00414753" w:rsidRPr="00066ADC">
              <w:rPr>
                <w:bCs/>
                <w:color w:val="000000"/>
              </w:rPr>
              <w:t xml:space="preserve"> </w:t>
            </w:r>
            <w:r w:rsidR="0083444E" w:rsidRPr="00066ADC">
              <w:rPr>
                <w:bCs/>
                <w:color w:val="000000"/>
              </w:rPr>
              <w:t xml:space="preserve">milj. </w:t>
            </w:r>
            <w:r w:rsidR="00A44123" w:rsidRPr="00066ADC">
              <w:rPr>
                <w:bCs/>
                <w:color w:val="000000"/>
              </w:rPr>
              <w:t xml:space="preserve">latu), </w:t>
            </w:r>
            <w:r w:rsidR="00057F87">
              <w:rPr>
                <w:bCs/>
                <w:color w:val="000000"/>
              </w:rPr>
              <w:t xml:space="preserve">pastāv varbūtība, ka </w:t>
            </w:r>
            <w:r w:rsidR="008B6AA2" w:rsidRPr="00066ADC">
              <w:rPr>
                <w:bCs/>
                <w:color w:val="000000"/>
              </w:rPr>
              <w:t>Aizsardzības ministrija</w:t>
            </w:r>
            <w:r w:rsidR="00A44123" w:rsidRPr="00066ADC">
              <w:rPr>
                <w:bCs/>
                <w:color w:val="000000"/>
              </w:rPr>
              <w:t xml:space="preserve"> </w:t>
            </w:r>
            <w:r w:rsidR="00057F87">
              <w:rPr>
                <w:bCs/>
                <w:color w:val="000000"/>
              </w:rPr>
              <w:t>nespēs</w:t>
            </w:r>
            <w:r w:rsidR="00A44123" w:rsidRPr="00066ADC">
              <w:rPr>
                <w:bCs/>
                <w:color w:val="000000"/>
              </w:rPr>
              <w:t xml:space="preserve"> nodrošināt noteikumos Nr.424 paredzētā </w:t>
            </w:r>
            <w:r w:rsidR="00414753" w:rsidRPr="00066ADC">
              <w:rPr>
                <w:bCs/>
                <w:color w:val="000000"/>
              </w:rPr>
              <w:t xml:space="preserve">atlīdzinājuma </w:t>
            </w:r>
            <w:r w:rsidR="00A44123" w:rsidRPr="00066ADC">
              <w:rPr>
                <w:bCs/>
                <w:color w:val="000000"/>
              </w:rPr>
              <w:t>izmaksu, neapdraudot aizsardzības resora budžetā plānoto pasākumu īstenošanu</w:t>
            </w:r>
            <w:r w:rsidR="0083444E" w:rsidRPr="00066ADC">
              <w:rPr>
                <w:bCs/>
                <w:color w:val="000000"/>
              </w:rPr>
              <w:t xml:space="preserve">, t.sk. </w:t>
            </w:r>
            <w:r w:rsidR="000F6185" w:rsidRPr="00066ADC">
              <w:rPr>
                <w:bCs/>
                <w:color w:val="000000"/>
              </w:rPr>
              <w:t xml:space="preserve">Aizsardzības ministrijas valsts budžeta ilgtermiņa saistību un </w:t>
            </w:r>
            <w:r w:rsidR="0083444E" w:rsidRPr="00066ADC">
              <w:rPr>
                <w:bCs/>
                <w:color w:val="000000"/>
              </w:rPr>
              <w:t xml:space="preserve">Nacionālo bruņoto spēku regulāro uzdevumu </w:t>
            </w:r>
            <w:r w:rsidR="000F6185" w:rsidRPr="00066ADC">
              <w:rPr>
                <w:bCs/>
                <w:color w:val="000000"/>
              </w:rPr>
              <w:t>izpildi</w:t>
            </w:r>
            <w:r w:rsidR="00A44123" w:rsidRPr="00066ADC">
              <w:rPr>
                <w:bCs/>
                <w:color w:val="000000"/>
              </w:rPr>
              <w:t xml:space="preserve">. </w:t>
            </w:r>
            <w:r>
              <w:rPr>
                <w:bCs/>
                <w:color w:val="000000"/>
              </w:rPr>
              <w:t>Turklāt</w:t>
            </w:r>
            <w:r w:rsidR="0083444E" w:rsidRPr="00066ADC">
              <w:rPr>
                <w:bCs/>
                <w:color w:val="000000"/>
              </w:rPr>
              <w:t>, lai nodrošinātu</w:t>
            </w:r>
            <w:r w:rsidR="000F6185" w:rsidRPr="00066ADC">
              <w:rPr>
                <w:bCs/>
                <w:color w:val="000000"/>
              </w:rPr>
              <w:t xml:space="preserve"> Aizsardzības ministrijas valsts budžeta ilgtermiņa saistību un Nacionālo bruņoto spēku regulāro uzdevumu izpildi, Ministru kabinets</w:t>
            </w:r>
            <w:r w:rsidR="00414753" w:rsidRPr="00066ADC">
              <w:rPr>
                <w:bCs/>
                <w:color w:val="000000"/>
              </w:rPr>
              <w:t>, apstiprinot Ministru kabineta 2011.gada 7.novembra rīkojumu Nr.580 „Par Aizsardzības ministrijai nepieciešamo līdzekļu pārdali” un 2012.gada 2.jūlija rīkojumu Nr.293 „Par Nacionālo bruņoto spēku regulāro uzdevumu izpildes nodrošinājumu”,</w:t>
            </w:r>
            <w:r w:rsidR="000F6185" w:rsidRPr="00066ADC">
              <w:rPr>
                <w:bCs/>
                <w:color w:val="000000"/>
              </w:rPr>
              <w:t xml:space="preserve"> ir atbalstījis papildu</w:t>
            </w:r>
            <w:r w:rsidR="00060D24">
              <w:rPr>
                <w:bCs/>
                <w:color w:val="000000"/>
              </w:rPr>
              <w:t>s</w:t>
            </w:r>
            <w:r w:rsidR="000F6185" w:rsidRPr="00066ADC">
              <w:rPr>
                <w:bCs/>
                <w:color w:val="000000"/>
              </w:rPr>
              <w:t xml:space="preserve"> nepieciešamā finansējuma paredzēšanu Aizsardzības ministrijas bāzes izdevumos.</w:t>
            </w:r>
          </w:p>
          <w:p w:rsidR="00017671" w:rsidRPr="00066ADC" w:rsidRDefault="00017671" w:rsidP="00A44123">
            <w:pPr>
              <w:autoSpaceDE w:val="0"/>
              <w:autoSpaceDN w:val="0"/>
              <w:adjustRightInd w:val="0"/>
              <w:jc w:val="both"/>
              <w:rPr>
                <w:bCs/>
                <w:color w:val="000000"/>
              </w:rPr>
            </w:pPr>
            <w:r w:rsidRPr="00066ADC">
              <w:rPr>
                <w:bCs/>
                <w:color w:val="000000"/>
              </w:rPr>
              <w:t xml:space="preserve">Lai MK noteikumu Nr.424 8.punktā noteiktā atlīdzinājuma izmaksas gadījumā netiktu apdraudēta aizsardzības resora budžetā plānoto neatliekamo pasākumu īstenošana, nepieciešams </w:t>
            </w:r>
            <w:r w:rsidR="000E74E4">
              <w:rPr>
                <w:bCs/>
                <w:color w:val="000000"/>
              </w:rPr>
              <w:t>izdarīt</w:t>
            </w:r>
            <w:r w:rsidRPr="00066ADC">
              <w:rPr>
                <w:bCs/>
                <w:color w:val="000000"/>
              </w:rPr>
              <w:t xml:space="preserve"> grozījumus minētajos MK noteikumos, paredzot, ka, ja tiek pieņemts lēmums par kaitējuma atlīdzināšanu, par finanšu avotu neatkarīgi no atlīdzinājuma apmēra lemj Ministru kabinets. Tādējādi par finanšu avotu var būt gan Aizsardzības ministrijas budžets (</w:t>
            </w:r>
            <w:r w:rsidR="000E74E4">
              <w:rPr>
                <w:bCs/>
                <w:color w:val="000000"/>
              </w:rPr>
              <w:t>ja</w:t>
            </w:r>
            <w:r w:rsidRPr="00066ADC">
              <w:rPr>
                <w:bCs/>
                <w:color w:val="000000"/>
              </w:rPr>
              <w:t xml:space="preserve"> Aizsardzības ministrija, pārvērtējot kārtēj</w:t>
            </w:r>
            <w:r w:rsidR="00971BB9">
              <w:rPr>
                <w:bCs/>
                <w:color w:val="000000"/>
              </w:rPr>
              <w:t>ā</w:t>
            </w:r>
            <w:r w:rsidRPr="00066ADC">
              <w:rPr>
                <w:bCs/>
                <w:color w:val="000000"/>
              </w:rPr>
              <w:t xml:space="preserve"> gada budžeta prioritātes, gadskārtējā valsts budžeta likumā tai paredzētās apropriācijas ietvaros spēs nodrošināt atlīdzinājuma izmaksu), gan, piemēram, valsts budžeta programma 02.00.00 „Līdzekļi neparedzētiem gadījumiem” atbilstoši Likuma par budžetu un finanšu vadību 12.pantam.</w:t>
            </w:r>
          </w:p>
          <w:p w:rsidR="00A729FB" w:rsidRPr="005F3BA7" w:rsidRDefault="005F3BA7" w:rsidP="00971BB9">
            <w:pPr>
              <w:pStyle w:val="naiskr"/>
              <w:spacing w:before="0" w:beforeAutospacing="0" w:after="0" w:afterAutospacing="0"/>
              <w:jc w:val="both"/>
              <w:rPr>
                <w:iCs/>
                <w:color w:val="000000"/>
              </w:rPr>
            </w:pPr>
            <w:r>
              <w:rPr>
                <w:iCs/>
                <w:color w:val="000000"/>
              </w:rPr>
              <w:t>Kopš MK noteikumu Nr.424 spēkā stāšanās brīža, t.i.</w:t>
            </w:r>
            <w:r w:rsidR="000E74E4">
              <w:rPr>
                <w:iCs/>
                <w:color w:val="000000"/>
              </w:rPr>
              <w:t>,</w:t>
            </w:r>
            <w:r>
              <w:rPr>
                <w:iCs/>
                <w:color w:val="000000"/>
              </w:rPr>
              <w:t xml:space="preserve"> no 2008.gada 18.jūnija</w:t>
            </w:r>
            <w:r w:rsidR="000E74E4">
              <w:rPr>
                <w:iCs/>
                <w:color w:val="000000"/>
              </w:rPr>
              <w:t>,</w:t>
            </w:r>
            <w:r>
              <w:rPr>
                <w:iCs/>
                <w:color w:val="000000"/>
              </w:rPr>
              <w:t xml:space="preserve"> nav bijis neviens gadījums, kad trešā persona būtu vērsusies Aizsardzības ministrijā ar iesniegumu par viņai vai viņas mantai nodarītā kaitējuma atlīdzinājumu un aizsardzības ministra izveidota komisija būtu lēmusi par kaitējuma atlīdzinājuma piešķiršanu (un tā apmēru) vai par iesnieguma noraidīšanu.</w:t>
            </w:r>
            <w:r w:rsidR="0036339F">
              <w:rPr>
                <w:iCs/>
                <w:color w:val="000000"/>
              </w:rPr>
              <w:t xml:space="preserve"> </w:t>
            </w:r>
          </w:p>
        </w:tc>
      </w:tr>
      <w:tr w:rsidR="004E3B1C" w:rsidRPr="00066ADC" w:rsidTr="00787D14">
        <w:trPr>
          <w:trHeight w:val="786"/>
        </w:trPr>
        <w:tc>
          <w:tcPr>
            <w:tcW w:w="550" w:type="dxa"/>
          </w:tcPr>
          <w:p w:rsidR="004E3B1C" w:rsidRPr="00066ADC" w:rsidRDefault="004E3B1C" w:rsidP="004E3B1C">
            <w:pPr>
              <w:pStyle w:val="naiskr"/>
              <w:spacing w:before="0" w:beforeAutospacing="0" w:after="0" w:afterAutospacing="0"/>
              <w:rPr>
                <w:color w:val="000000"/>
              </w:rPr>
            </w:pPr>
            <w:r w:rsidRPr="00066ADC">
              <w:rPr>
                <w:color w:val="000000"/>
              </w:rPr>
              <w:lastRenderedPageBreak/>
              <w:t>3.</w:t>
            </w:r>
          </w:p>
        </w:tc>
        <w:tc>
          <w:tcPr>
            <w:tcW w:w="2716" w:type="dxa"/>
          </w:tcPr>
          <w:p w:rsidR="004E3B1C" w:rsidRPr="00066ADC" w:rsidRDefault="004E3B1C" w:rsidP="004E3B1C">
            <w:pPr>
              <w:pStyle w:val="naiskr"/>
              <w:spacing w:before="0" w:beforeAutospacing="0" w:after="0" w:afterAutospacing="0"/>
              <w:rPr>
                <w:color w:val="000000"/>
              </w:rPr>
            </w:pPr>
            <w:r w:rsidRPr="00066ADC">
              <w:rPr>
                <w:color w:val="000000"/>
              </w:rPr>
              <w:t>Saistītie politikas ietekmes novērtējumi un pētījumi</w:t>
            </w:r>
          </w:p>
        </w:tc>
        <w:tc>
          <w:tcPr>
            <w:tcW w:w="6459" w:type="dxa"/>
          </w:tcPr>
          <w:p w:rsidR="004E3B1C" w:rsidRPr="00066ADC" w:rsidRDefault="009A4D32" w:rsidP="005810E3">
            <w:pPr>
              <w:pStyle w:val="FootnoteText"/>
              <w:jc w:val="both"/>
              <w:rPr>
                <w:color w:val="000000"/>
                <w:sz w:val="24"/>
                <w:szCs w:val="24"/>
              </w:rPr>
            </w:pPr>
            <w:r w:rsidRPr="00066ADC">
              <w:rPr>
                <w:iCs/>
                <w:color w:val="000000"/>
                <w:sz w:val="24"/>
                <w:szCs w:val="24"/>
              </w:rPr>
              <w:t>Projekts šo jomu neskar.</w:t>
            </w:r>
          </w:p>
        </w:tc>
      </w:tr>
      <w:tr w:rsidR="004E3B1C" w:rsidRPr="00066ADC" w:rsidTr="00787D14">
        <w:trPr>
          <w:trHeight w:val="384"/>
        </w:trPr>
        <w:tc>
          <w:tcPr>
            <w:tcW w:w="550" w:type="dxa"/>
          </w:tcPr>
          <w:p w:rsidR="002B069B" w:rsidRPr="00066ADC" w:rsidRDefault="002B069B" w:rsidP="004E3B1C">
            <w:pPr>
              <w:pStyle w:val="naiskr"/>
              <w:spacing w:before="0" w:beforeAutospacing="0" w:after="0" w:afterAutospacing="0"/>
              <w:rPr>
                <w:color w:val="000000"/>
              </w:rPr>
            </w:pPr>
          </w:p>
          <w:p w:rsidR="004E3B1C" w:rsidRPr="00066ADC" w:rsidRDefault="004E3B1C" w:rsidP="004E3B1C">
            <w:pPr>
              <w:pStyle w:val="naiskr"/>
              <w:spacing w:before="0" w:beforeAutospacing="0" w:after="0" w:afterAutospacing="0"/>
              <w:rPr>
                <w:color w:val="000000"/>
              </w:rPr>
            </w:pPr>
            <w:r w:rsidRPr="00066ADC">
              <w:rPr>
                <w:color w:val="000000"/>
              </w:rPr>
              <w:t>4.</w:t>
            </w:r>
          </w:p>
          <w:p w:rsidR="002B069B" w:rsidRPr="00066ADC" w:rsidRDefault="002B069B" w:rsidP="004E3B1C">
            <w:pPr>
              <w:pStyle w:val="naiskr"/>
              <w:spacing w:before="0" w:beforeAutospacing="0" w:after="0" w:afterAutospacing="0"/>
              <w:rPr>
                <w:color w:val="000000"/>
              </w:rPr>
            </w:pPr>
          </w:p>
        </w:tc>
        <w:tc>
          <w:tcPr>
            <w:tcW w:w="2716" w:type="dxa"/>
          </w:tcPr>
          <w:p w:rsidR="002B069B" w:rsidRPr="00066ADC" w:rsidRDefault="002B069B" w:rsidP="004E3B1C">
            <w:pPr>
              <w:pStyle w:val="naiskr"/>
              <w:spacing w:before="0" w:beforeAutospacing="0" w:after="0" w:afterAutospacing="0"/>
              <w:rPr>
                <w:color w:val="000000"/>
              </w:rPr>
            </w:pPr>
          </w:p>
          <w:p w:rsidR="004E3B1C" w:rsidRPr="00066ADC" w:rsidRDefault="004E3B1C" w:rsidP="004E3B1C">
            <w:pPr>
              <w:pStyle w:val="naiskr"/>
              <w:spacing w:before="0" w:beforeAutospacing="0" w:after="0" w:afterAutospacing="0"/>
              <w:rPr>
                <w:color w:val="000000"/>
              </w:rPr>
            </w:pPr>
            <w:r w:rsidRPr="00066ADC">
              <w:rPr>
                <w:color w:val="000000"/>
              </w:rPr>
              <w:t>Tiesiskā regulējuma mērķis un būtība</w:t>
            </w:r>
          </w:p>
        </w:tc>
        <w:tc>
          <w:tcPr>
            <w:tcW w:w="6459" w:type="dxa"/>
          </w:tcPr>
          <w:p w:rsidR="00B70537" w:rsidRPr="00066ADC" w:rsidRDefault="00B70537" w:rsidP="00971BB9">
            <w:pPr>
              <w:autoSpaceDE w:val="0"/>
              <w:autoSpaceDN w:val="0"/>
              <w:adjustRightInd w:val="0"/>
              <w:jc w:val="both"/>
              <w:rPr>
                <w:bCs/>
                <w:color w:val="000000"/>
              </w:rPr>
            </w:pPr>
            <w:r w:rsidRPr="00066ADC">
              <w:rPr>
                <w:bCs/>
                <w:color w:val="000000"/>
              </w:rPr>
              <w:t>Lai atrisinātu anotācijas I</w:t>
            </w:r>
            <w:r w:rsidR="00B837D3">
              <w:rPr>
                <w:bCs/>
                <w:color w:val="000000"/>
              </w:rPr>
              <w:t xml:space="preserve"> </w:t>
            </w:r>
            <w:r w:rsidRPr="00066ADC">
              <w:rPr>
                <w:bCs/>
                <w:color w:val="000000"/>
              </w:rPr>
              <w:t>sadaļas 2.punktā identificēto problēmu, p</w:t>
            </w:r>
            <w:r w:rsidR="00AB18DA" w:rsidRPr="00066ADC">
              <w:rPr>
                <w:bCs/>
                <w:color w:val="000000"/>
              </w:rPr>
              <w:t xml:space="preserve">rojekts paredz MK noteikumos Nr.424 </w:t>
            </w:r>
            <w:r w:rsidRPr="00066ADC">
              <w:rPr>
                <w:bCs/>
                <w:color w:val="000000"/>
              </w:rPr>
              <w:t xml:space="preserve">turpmāk </w:t>
            </w:r>
            <w:r w:rsidR="00AB18DA" w:rsidRPr="00066ADC">
              <w:rPr>
                <w:bCs/>
                <w:color w:val="000000"/>
              </w:rPr>
              <w:t>noteikt, ka</w:t>
            </w:r>
            <w:r w:rsidR="00971BB9">
              <w:rPr>
                <w:bCs/>
                <w:color w:val="000000"/>
              </w:rPr>
              <w:t xml:space="preserve"> par finanšu avotu lemj Ministru kabinets</w:t>
            </w:r>
            <w:r w:rsidR="00AB18DA" w:rsidRPr="00066ADC">
              <w:rPr>
                <w:bCs/>
                <w:color w:val="000000"/>
              </w:rPr>
              <w:t>, ja tiek pieņemts lēmums par kaitējuma atlīdzināšanu</w:t>
            </w:r>
            <w:r w:rsidR="004D5804">
              <w:rPr>
                <w:bCs/>
                <w:color w:val="000000"/>
              </w:rPr>
              <w:t xml:space="preserve">. </w:t>
            </w:r>
          </w:p>
        </w:tc>
      </w:tr>
      <w:tr w:rsidR="004E3B1C" w:rsidRPr="00066ADC" w:rsidTr="00787D14">
        <w:trPr>
          <w:trHeight w:val="476"/>
        </w:trPr>
        <w:tc>
          <w:tcPr>
            <w:tcW w:w="550" w:type="dxa"/>
          </w:tcPr>
          <w:p w:rsidR="004E3B1C" w:rsidRPr="00066ADC" w:rsidRDefault="004E3B1C" w:rsidP="004E3B1C">
            <w:pPr>
              <w:pStyle w:val="naiskr"/>
              <w:spacing w:before="0" w:beforeAutospacing="0" w:after="0" w:afterAutospacing="0"/>
              <w:rPr>
                <w:color w:val="000000"/>
              </w:rPr>
            </w:pPr>
            <w:r w:rsidRPr="00066ADC">
              <w:rPr>
                <w:color w:val="000000"/>
              </w:rPr>
              <w:t>5.</w:t>
            </w:r>
          </w:p>
        </w:tc>
        <w:tc>
          <w:tcPr>
            <w:tcW w:w="2716" w:type="dxa"/>
          </w:tcPr>
          <w:p w:rsidR="004E3B1C" w:rsidRPr="00066ADC" w:rsidRDefault="004E3B1C" w:rsidP="004E3B1C">
            <w:pPr>
              <w:pStyle w:val="naiskr"/>
              <w:spacing w:before="0" w:beforeAutospacing="0" w:after="0" w:afterAutospacing="0"/>
              <w:rPr>
                <w:color w:val="000000"/>
              </w:rPr>
            </w:pPr>
            <w:r w:rsidRPr="00066ADC">
              <w:rPr>
                <w:color w:val="000000"/>
              </w:rPr>
              <w:t>Projekta izstrādē iesaistītās institūcijas</w:t>
            </w:r>
          </w:p>
        </w:tc>
        <w:tc>
          <w:tcPr>
            <w:tcW w:w="6459" w:type="dxa"/>
          </w:tcPr>
          <w:p w:rsidR="004E3B1C" w:rsidRPr="00066ADC" w:rsidRDefault="009A4D32" w:rsidP="005810E3">
            <w:pPr>
              <w:pStyle w:val="naiskr"/>
              <w:spacing w:before="0" w:beforeAutospacing="0" w:after="0" w:afterAutospacing="0"/>
              <w:jc w:val="both"/>
              <w:rPr>
                <w:color w:val="000000"/>
              </w:rPr>
            </w:pPr>
            <w:r w:rsidRPr="00066ADC">
              <w:rPr>
                <w:color w:val="000000"/>
              </w:rPr>
              <w:t>Projekts šo jomu neskar.</w:t>
            </w:r>
          </w:p>
        </w:tc>
      </w:tr>
      <w:tr w:rsidR="004E3B1C" w:rsidRPr="00066ADC" w:rsidTr="00787D14">
        <w:trPr>
          <w:trHeight w:val="659"/>
        </w:trPr>
        <w:tc>
          <w:tcPr>
            <w:tcW w:w="550" w:type="dxa"/>
          </w:tcPr>
          <w:p w:rsidR="004E3B1C" w:rsidRPr="00066ADC" w:rsidRDefault="004E3B1C" w:rsidP="004E3B1C">
            <w:pPr>
              <w:pStyle w:val="naiskr"/>
              <w:spacing w:before="0" w:beforeAutospacing="0" w:after="0" w:afterAutospacing="0"/>
              <w:rPr>
                <w:color w:val="000000"/>
              </w:rPr>
            </w:pPr>
            <w:r w:rsidRPr="00066ADC">
              <w:rPr>
                <w:color w:val="000000"/>
              </w:rPr>
              <w:t>6.</w:t>
            </w:r>
          </w:p>
        </w:tc>
        <w:tc>
          <w:tcPr>
            <w:tcW w:w="2716" w:type="dxa"/>
          </w:tcPr>
          <w:p w:rsidR="004E3B1C" w:rsidRPr="00066ADC" w:rsidRDefault="004E3B1C" w:rsidP="004E3B1C">
            <w:pPr>
              <w:pStyle w:val="naiskr"/>
              <w:spacing w:before="0" w:beforeAutospacing="0" w:after="0" w:afterAutospacing="0"/>
              <w:rPr>
                <w:i/>
                <w:color w:val="000000"/>
                <w:highlight w:val="yellow"/>
              </w:rPr>
            </w:pPr>
            <w:r w:rsidRPr="00066ADC">
              <w:rPr>
                <w:color w:val="000000"/>
              </w:rPr>
              <w:t>Iemesli, kādēļ netika nodrošināta sabiedrības līdzdalība</w:t>
            </w:r>
          </w:p>
        </w:tc>
        <w:tc>
          <w:tcPr>
            <w:tcW w:w="6459" w:type="dxa"/>
          </w:tcPr>
          <w:p w:rsidR="004E3B1C" w:rsidRPr="00066ADC" w:rsidRDefault="009A4D32" w:rsidP="005810E3">
            <w:pPr>
              <w:pStyle w:val="FootnoteText"/>
              <w:jc w:val="both"/>
              <w:rPr>
                <w:color w:val="000000"/>
                <w:sz w:val="24"/>
                <w:szCs w:val="24"/>
              </w:rPr>
            </w:pPr>
            <w:r w:rsidRPr="00066ADC">
              <w:rPr>
                <w:iCs/>
                <w:color w:val="000000"/>
                <w:sz w:val="24"/>
                <w:szCs w:val="24"/>
              </w:rPr>
              <w:t>Projekts šo jomu neskar.</w:t>
            </w:r>
          </w:p>
        </w:tc>
      </w:tr>
      <w:tr w:rsidR="004E3B1C" w:rsidRPr="00066ADC" w:rsidTr="00787D14">
        <w:tc>
          <w:tcPr>
            <w:tcW w:w="550" w:type="dxa"/>
          </w:tcPr>
          <w:p w:rsidR="004E3B1C" w:rsidRPr="00066ADC" w:rsidRDefault="004E3B1C" w:rsidP="004E3B1C">
            <w:pPr>
              <w:pStyle w:val="naiskr"/>
              <w:spacing w:before="0" w:beforeAutospacing="0" w:after="0" w:afterAutospacing="0"/>
              <w:rPr>
                <w:color w:val="000000"/>
              </w:rPr>
            </w:pPr>
            <w:r w:rsidRPr="00066ADC">
              <w:rPr>
                <w:color w:val="000000"/>
              </w:rPr>
              <w:t>7.</w:t>
            </w:r>
          </w:p>
        </w:tc>
        <w:tc>
          <w:tcPr>
            <w:tcW w:w="2716" w:type="dxa"/>
          </w:tcPr>
          <w:p w:rsidR="004E3B1C" w:rsidRPr="00066ADC" w:rsidRDefault="004E3B1C" w:rsidP="004E3B1C">
            <w:pPr>
              <w:pStyle w:val="naiskr"/>
              <w:spacing w:before="0" w:beforeAutospacing="0" w:after="0" w:afterAutospacing="0"/>
              <w:rPr>
                <w:color w:val="000000"/>
              </w:rPr>
            </w:pPr>
            <w:r w:rsidRPr="00066ADC">
              <w:rPr>
                <w:color w:val="000000"/>
              </w:rPr>
              <w:t>Cita informācija</w:t>
            </w:r>
          </w:p>
        </w:tc>
        <w:tc>
          <w:tcPr>
            <w:tcW w:w="6459" w:type="dxa"/>
          </w:tcPr>
          <w:p w:rsidR="005575A2" w:rsidRPr="00066ADC" w:rsidRDefault="009A4D32" w:rsidP="005575A2">
            <w:pPr>
              <w:jc w:val="both"/>
              <w:rPr>
                <w:color w:val="000000"/>
              </w:rPr>
            </w:pPr>
            <w:r w:rsidRPr="00066ADC">
              <w:rPr>
                <w:iCs/>
                <w:color w:val="000000"/>
              </w:rPr>
              <w:t>Nav</w:t>
            </w:r>
          </w:p>
        </w:tc>
      </w:tr>
    </w:tbl>
    <w:p w:rsidR="009F5BD3" w:rsidRPr="00066ADC" w:rsidRDefault="009F5BD3" w:rsidP="004E3B1C">
      <w:pPr>
        <w:pStyle w:val="naisf"/>
        <w:spacing w:before="0" w:beforeAutospacing="0" w:after="0" w:afterAutospacing="0"/>
        <w:rPr>
          <w:color w:val="000000"/>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857"/>
        <w:gridCol w:w="6498"/>
      </w:tblGrid>
      <w:tr w:rsidR="004E3B1C" w:rsidRPr="00066ADC">
        <w:tc>
          <w:tcPr>
            <w:tcW w:w="9905" w:type="dxa"/>
            <w:gridSpan w:val="3"/>
            <w:vAlign w:val="center"/>
          </w:tcPr>
          <w:p w:rsidR="004E3B1C" w:rsidRPr="00066ADC" w:rsidRDefault="004E3B1C" w:rsidP="00F04465">
            <w:pPr>
              <w:pStyle w:val="naisnod"/>
              <w:spacing w:before="0" w:beforeAutospacing="0" w:after="0" w:afterAutospacing="0"/>
              <w:ind w:left="5" w:hanging="5"/>
              <w:rPr>
                <w:color w:val="000000"/>
              </w:rPr>
            </w:pPr>
            <w:r w:rsidRPr="00066ADC">
              <w:rPr>
                <w:color w:val="000000"/>
              </w:rPr>
              <w:t>II. Tiesību akta projekta ietekme uz sabiedrību</w:t>
            </w:r>
          </w:p>
        </w:tc>
      </w:tr>
      <w:tr w:rsidR="004E3B1C" w:rsidRPr="00066ADC" w:rsidTr="00787D14">
        <w:trPr>
          <w:trHeight w:val="467"/>
        </w:trPr>
        <w:tc>
          <w:tcPr>
            <w:tcW w:w="550" w:type="dxa"/>
          </w:tcPr>
          <w:p w:rsidR="004E3B1C" w:rsidRPr="00066ADC" w:rsidRDefault="004E3B1C" w:rsidP="004E3B1C">
            <w:pPr>
              <w:pStyle w:val="naiskr"/>
              <w:spacing w:before="0" w:beforeAutospacing="0" w:after="0" w:afterAutospacing="0"/>
              <w:rPr>
                <w:color w:val="000000"/>
              </w:rPr>
            </w:pPr>
            <w:r w:rsidRPr="00066ADC">
              <w:rPr>
                <w:color w:val="000000"/>
              </w:rPr>
              <w:t>1.</w:t>
            </w:r>
          </w:p>
        </w:tc>
        <w:tc>
          <w:tcPr>
            <w:tcW w:w="2857" w:type="dxa"/>
          </w:tcPr>
          <w:p w:rsidR="004E3B1C" w:rsidRPr="00066ADC" w:rsidRDefault="004E3B1C" w:rsidP="004E3B1C">
            <w:pPr>
              <w:pStyle w:val="naiskr"/>
              <w:spacing w:before="0" w:beforeAutospacing="0" w:after="0" w:afterAutospacing="0"/>
              <w:rPr>
                <w:color w:val="000000"/>
              </w:rPr>
            </w:pPr>
            <w:r w:rsidRPr="00066ADC">
              <w:rPr>
                <w:color w:val="000000"/>
              </w:rPr>
              <w:t>Sabiedrības mērķgrupa</w:t>
            </w:r>
          </w:p>
        </w:tc>
        <w:tc>
          <w:tcPr>
            <w:tcW w:w="6498" w:type="dxa"/>
          </w:tcPr>
          <w:p w:rsidR="004E3B1C" w:rsidRPr="00066ADC" w:rsidRDefault="004E3B1C" w:rsidP="007C6696">
            <w:pPr>
              <w:pStyle w:val="naiskr"/>
              <w:spacing w:before="0" w:beforeAutospacing="0" w:after="0" w:afterAutospacing="0"/>
              <w:ind w:hanging="57"/>
              <w:jc w:val="both"/>
              <w:rPr>
                <w:color w:val="000000"/>
              </w:rPr>
            </w:pPr>
            <w:r w:rsidRPr="00066ADC">
              <w:rPr>
                <w:iCs/>
                <w:color w:val="000000"/>
              </w:rPr>
              <w:t> </w:t>
            </w:r>
            <w:r w:rsidR="00FF02B3" w:rsidRPr="00066ADC">
              <w:rPr>
                <w:iCs/>
                <w:color w:val="000000"/>
              </w:rPr>
              <w:t xml:space="preserve">Personas, kurām vai kuru mantai Latvijas Republikas militārās aviācijas gaisa kuģis vai civilās aviācijas gaisa kuģis (vai no tā </w:t>
            </w:r>
            <w:r w:rsidR="00FF02B3" w:rsidRPr="00066ADC">
              <w:rPr>
                <w:iCs/>
                <w:color w:val="000000"/>
              </w:rPr>
              <w:lastRenderedPageBreak/>
              <w:t>atdalījies priekšmets), kuru Latvijas Nacionālie bruņotie spēk</w:t>
            </w:r>
            <w:r w:rsidR="007C6696">
              <w:rPr>
                <w:iCs/>
                <w:color w:val="000000"/>
              </w:rPr>
              <w:t>i</w:t>
            </w:r>
            <w:r w:rsidR="00FF02B3" w:rsidRPr="00066ADC">
              <w:rPr>
                <w:iCs/>
                <w:color w:val="000000"/>
              </w:rPr>
              <w:t xml:space="preserve"> izmanto militārām vajadzībām</w:t>
            </w:r>
            <w:r w:rsidR="007C6696">
              <w:rPr>
                <w:iCs/>
                <w:color w:val="000000"/>
              </w:rPr>
              <w:t>,</w:t>
            </w:r>
            <w:r w:rsidR="00FF02B3" w:rsidRPr="00066ADC">
              <w:rPr>
                <w:iCs/>
                <w:color w:val="000000"/>
              </w:rPr>
              <w:t xml:space="preserve"> nodarījis kaitējumu</w:t>
            </w:r>
            <w:r w:rsidR="007C6696">
              <w:rPr>
                <w:iCs/>
                <w:color w:val="000000"/>
              </w:rPr>
              <w:t>.</w:t>
            </w:r>
          </w:p>
        </w:tc>
      </w:tr>
      <w:tr w:rsidR="004E3B1C" w:rsidRPr="00066ADC" w:rsidTr="00787D14">
        <w:trPr>
          <w:trHeight w:val="523"/>
        </w:trPr>
        <w:tc>
          <w:tcPr>
            <w:tcW w:w="550" w:type="dxa"/>
          </w:tcPr>
          <w:p w:rsidR="004E3B1C" w:rsidRPr="00066ADC" w:rsidRDefault="004E3B1C" w:rsidP="004E3B1C">
            <w:pPr>
              <w:pStyle w:val="naiskr"/>
              <w:spacing w:before="0" w:beforeAutospacing="0" w:after="0" w:afterAutospacing="0"/>
              <w:rPr>
                <w:color w:val="000000"/>
              </w:rPr>
            </w:pPr>
            <w:r w:rsidRPr="00066ADC">
              <w:rPr>
                <w:color w:val="000000"/>
              </w:rPr>
              <w:lastRenderedPageBreak/>
              <w:t>2.</w:t>
            </w:r>
          </w:p>
        </w:tc>
        <w:tc>
          <w:tcPr>
            <w:tcW w:w="2857" w:type="dxa"/>
          </w:tcPr>
          <w:p w:rsidR="004E3B1C" w:rsidRPr="00066ADC" w:rsidRDefault="004E3B1C" w:rsidP="004E3B1C">
            <w:pPr>
              <w:pStyle w:val="naiskr"/>
              <w:spacing w:before="0" w:beforeAutospacing="0" w:after="0" w:afterAutospacing="0"/>
              <w:rPr>
                <w:color w:val="000000"/>
              </w:rPr>
            </w:pPr>
            <w:r w:rsidRPr="00066ADC">
              <w:rPr>
                <w:color w:val="000000"/>
              </w:rPr>
              <w:t>Citas sabiedrības grupas (bez mērķgrupas), kuras tiesiskais regulējums arī ietekmē vai varētu ietekmēt</w:t>
            </w:r>
          </w:p>
        </w:tc>
        <w:tc>
          <w:tcPr>
            <w:tcW w:w="6498" w:type="dxa"/>
          </w:tcPr>
          <w:p w:rsidR="004E3B1C" w:rsidRPr="00066ADC" w:rsidRDefault="00FF02B3" w:rsidP="005810E3">
            <w:pPr>
              <w:pStyle w:val="naiskr"/>
              <w:spacing w:before="0" w:beforeAutospacing="0" w:after="0" w:afterAutospacing="0"/>
              <w:jc w:val="both"/>
              <w:rPr>
                <w:color w:val="000000"/>
              </w:rPr>
            </w:pPr>
            <w:r w:rsidRPr="00066ADC">
              <w:rPr>
                <w:iCs/>
                <w:color w:val="000000"/>
              </w:rPr>
              <w:t>Projekts šo jomu neskar.</w:t>
            </w:r>
          </w:p>
        </w:tc>
      </w:tr>
      <w:tr w:rsidR="004E3B1C" w:rsidRPr="00066ADC" w:rsidTr="00787D14">
        <w:trPr>
          <w:trHeight w:val="517"/>
        </w:trPr>
        <w:tc>
          <w:tcPr>
            <w:tcW w:w="550" w:type="dxa"/>
          </w:tcPr>
          <w:p w:rsidR="004E3B1C" w:rsidRPr="00066ADC" w:rsidRDefault="004E3B1C" w:rsidP="004E3B1C">
            <w:pPr>
              <w:pStyle w:val="naiskr"/>
              <w:spacing w:before="0" w:beforeAutospacing="0" w:after="0" w:afterAutospacing="0"/>
              <w:rPr>
                <w:color w:val="000000"/>
              </w:rPr>
            </w:pPr>
            <w:r w:rsidRPr="00066ADC">
              <w:rPr>
                <w:color w:val="000000"/>
              </w:rPr>
              <w:t>3.</w:t>
            </w:r>
          </w:p>
        </w:tc>
        <w:tc>
          <w:tcPr>
            <w:tcW w:w="2857" w:type="dxa"/>
          </w:tcPr>
          <w:p w:rsidR="004E3B1C" w:rsidRPr="00066ADC" w:rsidRDefault="004E3B1C" w:rsidP="004E3B1C">
            <w:pPr>
              <w:pStyle w:val="naiskr"/>
              <w:spacing w:before="0" w:beforeAutospacing="0" w:after="0" w:afterAutospacing="0"/>
              <w:rPr>
                <w:color w:val="000000"/>
              </w:rPr>
            </w:pPr>
            <w:r w:rsidRPr="00066ADC">
              <w:rPr>
                <w:color w:val="000000"/>
              </w:rPr>
              <w:t>Tiesiskā regulējuma finansiālā ietekme</w:t>
            </w:r>
          </w:p>
        </w:tc>
        <w:tc>
          <w:tcPr>
            <w:tcW w:w="6498" w:type="dxa"/>
          </w:tcPr>
          <w:p w:rsidR="004E3B1C" w:rsidRPr="00066ADC" w:rsidRDefault="00FF02B3" w:rsidP="005810E3">
            <w:pPr>
              <w:pStyle w:val="naiskr"/>
              <w:spacing w:before="0" w:beforeAutospacing="0" w:after="0" w:afterAutospacing="0"/>
              <w:jc w:val="both"/>
              <w:rPr>
                <w:color w:val="000000"/>
              </w:rPr>
            </w:pPr>
            <w:r w:rsidRPr="00066ADC">
              <w:rPr>
                <w:iCs/>
                <w:color w:val="000000"/>
              </w:rPr>
              <w:t>Projekts šo jomu neskar.</w:t>
            </w:r>
          </w:p>
        </w:tc>
      </w:tr>
      <w:tr w:rsidR="004E3B1C" w:rsidRPr="00066ADC" w:rsidTr="00787D14">
        <w:trPr>
          <w:trHeight w:val="517"/>
        </w:trPr>
        <w:tc>
          <w:tcPr>
            <w:tcW w:w="550" w:type="dxa"/>
          </w:tcPr>
          <w:p w:rsidR="004E3B1C" w:rsidRPr="00066ADC" w:rsidRDefault="004E3B1C" w:rsidP="004E3B1C">
            <w:pPr>
              <w:pStyle w:val="naiskr"/>
              <w:spacing w:before="0" w:beforeAutospacing="0" w:after="0" w:afterAutospacing="0"/>
              <w:rPr>
                <w:color w:val="000000"/>
              </w:rPr>
            </w:pPr>
            <w:r w:rsidRPr="00066ADC">
              <w:rPr>
                <w:color w:val="000000"/>
              </w:rPr>
              <w:t>4.</w:t>
            </w:r>
          </w:p>
        </w:tc>
        <w:tc>
          <w:tcPr>
            <w:tcW w:w="2857" w:type="dxa"/>
          </w:tcPr>
          <w:p w:rsidR="004E3B1C" w:rsidRPr="00066ADC" w:rsidRDefault="004E3B1C" w:rsidP="004E3B1C">
            <w:pPr>
              <w:pStyle w:val="naiskr"/>
              <w:spacing w:before="0" w:beforeAutospacing="0" w:after="0" w:afterAutospacing="0"/>
              <w:rPr>
                <w:color w:val="000000"/>
              </w:rPr>
            </w:pPr>
            <w:r w:rsidRPr="00066ADC">
              <w:rPr>
                <w:color w:val="000000"/>
              </w:rPr>
              <w:t>Tiesiskā regulējuma nefinansiālā ietekme</w:t>
            </w:r>
          </w:p>
        </w:tc>
        <w:tc>
          <w:tcPr>
            <w:tcW w:w="6498" w:type="dxa"/>
          </w:tcPr>
          <w:p w:rsidR="004E3B1C" w:rsidRPr="00066ADC" w:rsidRDefault="00FF02B3" w:rsidP="004E3B1C">
            <w:pPr>
              <w:pStyle w:val="naiskr"/>
              <w:spacing w:before="0" w:beforeAutospacing="0" w:after="0" w:afterAutospacing="0"/>
              <w:rPr>
                <w:color w:val="000000"/>
              </w:rPr>
            </w:pPr>
            <w:r w:rsidRPr="00066ADC">
              <w:rPr>
                <w:iCs/>
                <w:color w:val="000000"/>
              </w:rPr>
              <w:t>Projekts šo jomu neskar.</w:t>
            </w:r>
          </w:p>
        </w:tc>
      </w:tr>
      <w:tr w:rsidR="004E3B1C" w:rsidRPr="00066ADC" w:rsidTr="00787D14">
        <w:trPr>
          <w:trHeight w:val="531"/>
        </w:trPr>
        <w:tc>
          <w:tcPr>
            <w:tcW w:w="550" w:type="dxa"/>
          </w:tcPr>
          <w:p w:rsidR="004E3B1C" w:rsidRPr="00066ADC" w:rsidRDefault="004E3B1C" w:rsidP="004E3B1C">
            <w:pPr>
              <w:pStyle w:val="naiskr"/>
              <w:spacing w:before="0" w:beforeAutospacing="0" w:after="0" w:afterAutospacing="0"/>
              <w:rPr>
                <w:color w:val="000000"/>
              </w:rPr>
            </w:pPr>
            <w:r w:rsidRPr="00066ADC">
              <w:rPr>
                <w:color w:val="000000"/>
              </w:rPr>
              <w:t>5.</w:t>
            </w:r>
          </w:p>
        </w:tc>
        <w:tc>
          <w:tcPr>
            <w:tcW w:w="2857" w:type="dxa"/>
          </w:tcPr>
          <w:p w:rsidR="004E3B1C" w:rsidRPr="00066ADC" w:rsidRDefault="004E3B1C" w:rsidP="004E3B1C">
            <w:pPr>
              <w:pStyle w:val="naiskr"/>
              <w:spacing w:before="0" w:beforeAutospacing="0" w:after="0" w:afterAutospacing="0"/>
              <w:rPr>
                <w:color w:val="000000"/>
              </w:rPr>
            </w:pPr>
            <w:r w:rsidRPr="00066ADC">
              <w:rPr>
                <w:color w:val="000000"/>
              </w:rPr>
              <w:t>Administratīvās procedūras raksturojums</w:t>
            </w:r>
          </w:p>
        </w:tc>
        <w:tc>
          <w:tcPr>
            <w:tcW w:w="6498" w:type="dxa"/>
          </w:tcPr>
          <w:p w:rsidR="004E3B1C" w:rsidRPr="00066ADC" w:rsidRDefault="009A4D32" w:rsidP="005810E3">
            <w:pPr>
              <w:pStyle w:val="naiskr"/>
              <w:spacing w:before="0" w:beforeAutospacing="0" w:after="0" w:afterAutospacing="0"/>
              <w:jc w:val="both"/>
              <w:rPr>
                <w:color w:val="000000"/>
              </w:rPr>
            </w:pPr>
            <w:r w:rsidRPr="00066ADC">
              <w:rPr>
                <w:iCs/>
                <w:color w:val="000000"/>
              </w:rPr>
              <w:t>Projekts šo jomu neskar.</w:t>
            </w:r>
          </w:p>
        </w:tc>
      </w:tr>
      <w:tr w:rsidR="004E3B1C" w:rsidRPr="00066ADC" w:rsidTr="00787D14">
        <w:trPr>
          <w:trHeight w:val="357"/>
        </w:trPr>
        <w:tc>
          <w:tcPr>
            <w:tcW w:w="550" w:type="dxa"/>
          </w:tcPr>
          <w:p w:rsidR="004E3B1C" w:rsidRPr="00066ADC" w:rsidRDefault="004E3B1C" w:rsidP="004E3B1C">
            <w:pPr>
              <w:pStyle w:val="naiskr"/>
              <w:spacing w:before="0" w:beforeAutospacing="0" w:after="0" w:afterAutospacing="0"/>
              <w:rPr>
                <w:color w:val="000000"/>
              </w:rPr>
            </w:pPr>
            <w:r w:rsidRPr="00066ADC">
              <w:rPr>
                <w:color w:val="000000"/>
              </w:rPr>
              <w:t>6.</w:t>
            </w:r>
          </w:p>
        </w:tc>
        <w:tc>
          <w:tcPr>
            <w:tcW w:w="2857" w:type="dxa"/>
          </w:tcPr>
          <w:p w:rsidR="004E3B1C" w:rsidRPr="00066ADC" w:rsidRDefault="004E3B1C" w:rsidP="004E3B1C">
            <w:pPr>
              <w:pStyle w:val="naiskr"/>
              <w:spacing w:before="0" w:beforeAutospacing="0" w:after="0" w:afterAutospacing="0"/>
              <w:rPr>
                <w:color w:val="000000"/>
              </w:rPr>
            </w:pPr>
            <w:r w:rsidRPr="00066ADC">
              <w:rPr>
                <w:color w:val="000000"/>
              </w:rPr>
              <w:t>Administratīvo izmaksu monetārs novērtējums</w:t>
            </w:r>
          </w:p>
        </w:tc>
        <w:tc>
          <w:tcPr>
            <w:tcW w:w="6498" w:type="dxa"/>
          </w:tcPr>
          <w:p w:rsidR="004E3B1C" w:rsidRPr="00066ADC" w:rsidRDefault="009A4D32" w:rsidP="005810E3">
            <w:pPr>
              <w:pStyle w:val="naiskr"/>
              <w:spacing w:before="0" w:beforeAutospacing="0" w:after="0" w:afterAutospacing="0"/>
              <w:jc w:val="both"/>
              <w:rPr>
                <w:color w:val="000000"/>
              </w:rPr>
            </w:pPr>
            <w:r w:rsidRPr="00066ADC">
              <w:rPr>
                <w:iCs/>
                <w:color w:val="000000"/>
              </w:rPr>
              <w:t>Projekts šo jomu neskar.</w:t>
            </w:r>
          </w:p>
        </w:tc>
      </w:tr>
      <w:tr w:rsidR="004E3B1C" w:rsidRPr="00066ADC" w:rsidTr="00787D14">
        <w:tc>
          <w:tcPr>
            <w:tcW w:w="550" w:type="dxa"/>
          </w:tcPr>
          <w:p w:rsidR="004E3B1C" w:rsidRPr="00066ADC" w:rsidRDefault="004E3B1C" w:rsidP="004E3B1C">
            <w:pPr>
              <w:pStyle w:val="naiskr"/>
              <w:spacing w:before="0" w:beforeAutospacing="0" w:after="0" w:afterAutospacing="0"/>
              <w:rPr>
                <w:color w:val="000000"/>
              </w:rPr>
            </w:pPr>
            <w:r w:rsidRPr="00066ADC">
              <w:rPr>
                <w:color w:val="000000"/>
              </w:rPr>
              <w:t>7.</w:t>
            </w:r>
          </w:p>
        </w:tc>
        <w:tc>
          <w:tcPr>
            <w:tcW w:w="2857" w:type="dxa"/>
          </w:tcPr>
          <w:p w:rsidR="004E3B1C" w:rsidRPr="00066ADC" w:rsidRDefault="004E3B1C" w:rsidP="004E3B1C">
            <w:pPr>
              <w:pStyle w:val="naiskr"/>
              <w:spacing w:before="0" w:beforeAutospacing="0" w:after="0" w:afterAutospacing="0"/>
              <w:rPr>
                <w:color w:val="000000"/>
              </w:rPr>
            </w:pPr>
            <w:r w:rsidRPr="00066ADC">
              <w:rPr>
                <w:color w:val="000000"/>
              </w:rPr>
              <w:t>Cita informācija</w:t>
            </w:r>
          </w:p>
        </w:tc>
        <w:tc>
          <w:tcPr>
            <w:tcW w:w="6498" w:type="dxa"/>
          </w:tcPr>
          <w:p w:rsidR="004E3B1C" w:rsidRPr="00066ADC" w:rsidRDefault="005C681F" w:rsidP="004E3B1C">
            <w:pPr>
              <w:pStyle w:val="naiskr"/>
              <w:spacing w:before="0" w:beforeAutospacing="0" w:after="0" w:afterAutospacing="0"/>
              <w:rPr>
                <w:color w:val="000000"/>
              </w:rPr>
            </w:pPr>
            <w:r w:rsidRPr="00066ADC">
              <w:rPr>
                <w:color w:val="000000"/>
              </w:rPr>
              <w:t>Nav</w:t>
            </w:r>
          </w:p>
        </w:tc>
      </w:tr>
    </w:tbl>
    <w:p w:rsidR="004E3B1C" w:rsidRPr="00066ADC" w:rsidRDefault="004E3B1C" w:rsidP="004E3B1C">
      <w:pPr>
        <w:pStyle w:val="naisf"/>
        <w:spacing w:before="0" w:beforeAutospacing="0" w:after="0" w:afterAutospacing="0"/>
        <w:rPr>
          <w:color w:val="000000"/>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290"/>
        <w:gridCol w:w="7065"/>
      </w:tblGrid>
      <w:tr w:rsidR="00FF02B3" w:rsidRPr="00066ADC" w:rsidTr="00BB6F70">
        <w:tc>
          <w:tcPr>
            <w:tcW w:w="9905" w:type="dxa"/>
            <w:gridSpan w:val="3"/>
            <w:vAlign w:val="center"/>
          </w:tcPr>
          <w:p w:rsidR="00FF02B3" w:rsidRPr="00066ADC" w:rsidRDefault="00FF02B3" w:rsidP="00FF02B3">
            <w:pPr>
              <w:pStyle w:val="naisnod"/>
              <w:spacing w:before="0" w:beforeAutospacing="0" w:after="0" w:afterAutospacing="0"/>
              <w:ind w:left="5" w:hanging="5"/>
              <w:rPr>
                <w:color w:val="000000"/>
              </w:rPr>
            </w:pPr>
            <w:r w:rsidRPr="00066ADC">
              <w:rPr>
                <w:color w:val="000000"/>
              </w:rPr>
              <w:t>III. Tiesību akta projekta ietekme uz valsts budžetu un pašvaldību budžetiem</w:t>
            </w:r>
          </w:p>
        </w:tc>
      </w:tr>
      <w:tr w:rsidR="00FF02B3" w:rsidRPr="00066ADC" w:rsidTr="00FF02B3">
        <w:tc>
          <w:tcPr>
            <w:tcW w:w="550" w:type="dxa"/>
          </w:tcPr>
          <w:p w:rsidR="00FF02B3" w:rsidRPr="00066ADC" w:rsidRDefault="00FF02B3" w:rsidP="00BB6F70">
            <w:pPr>
              <w:pStyle w:val="naiskr"/>
              <w:spacing w:before="0" w:beforeAutospacing="0" w:after="0" w:afterAutospacing="0"/>
              <w:rPr>
                <w:color w:val="000000"/>
              </w:rPr>
            </w:pPr>
            <w:r w:rsidRPr="00066ADC">
              <w:rPr>
                <w:color w:val="000000"/>
              </w:rPr>
              <w:t>7.</w:t>
            </w:r>
          </w:p>
        </w:tc>
        <w:tc>
          <w:tcPr>
            <w:tcW w:w="2290" w:type="dxa"/>
          </w:tcPr>
          <w:p w:rsidR="00FF02B3" w:rsidRPr="00066ADC" w:rsidRDefault="00FF02B3" w:rsidP="00BB6F70">
            <w:pPr>
              <w:pStyle w:val="naiskr"/>
              <w:spacing w:before="0" w:beforeAutospacing="0" w:after="0" w:afterAutospacing="0"/>
              <w:rPr>
                <w:color w:val="000000"/>
              </w:rPr>
            </w:pPr>
            <w:r w:rsidRPr="00066ADC">
              <w:rPr>
                <w:color w:val="000000"/>
              </w:rPr>
              <w:t>Cita informācija</w:t>
            </w:r>
          </w:p>
        </w:tc>
        <w:tc>
          <w:tcPr>
            <w:tcW w:w="7065" w:type="dxa"/>
          </w:tcPr>
          <w:p w:rsidR="005F3BA7" w:rsidRDefault="005F3BA7" w:rsidP="007C6696">
            <w:pPr>
              <w:pStyle w:val="naiskr"/>
              <w:spacing w:before="0" w:beforeAutospacing="0" w:after="0" w:afterAutospacing="0"/>
              <w:jc w:val="both"/>
              <w:rPr>
                <w:iCs/>
                <w:color w:val="000000"/>
              </w:rPr>
            </w:pPr>
            <w:r>
              <w:rPr>
                <w:iCs/>
                <w:color w:val="000000"/>
              </w:rPr>
              <w:t>Kopš MK noteikumu Nr.424 spēkā stāšanās brīža, t.i.</w:t>
            </w:r>
            <w:r w:rsidR="000E74E4">
              <w:rPr>
                <w:iCs/>
                <w:color w:val="000000"/>
              </w:rPr>
              <w:t>,</w:t>
            </w:r>
            <w:r>
              <w:rPr>
                <w:iCs/>
                <w:color w:val="000000"/>
              </w:rPr>
              <w:t xml:space="preserve"> no 2008.gada 18.jūnija</w:t>
            </w:r>
            <w:r w:rsidR="000E74E4">
              <w:rPr>
                <w:iCs/>
                <w:color w:val="000000"/>
              </w:rPr>
              <w:t>,</w:t>
            </w:r>
            <w:r>
              <w:rPr>
                <w:iCs/>
                <w:color w:val="000000"/>
              </w:rPr>
              <w:t xml:space="preserve"> nav bijis neviens gadījums, kad trešā persona būtu vērsusies Aizsardzības ministrijā ar iesniegumu par viņai vai viņas mantai nodarītā kaitējuma atlīdzinājumu un aizsardzības ministra izveidota komisija būtu lēmusi par kaitējuma atlīdzinājuma piešķiršanu (un tā apmēru) vai par iesnieguma noraidīšanu.</w:t>
            </w:r>
          </w:p>
          <w:p w:rsidR="005F3BA7" w:rsidRPr="004D5804" w:rsidRDefault="00FF02B3" w:rsidP="005F3BA7">
            <w:pPr>
              <w:pStyle w:val="naiskr"/>
              <w:spacing w:before="0" w:beforeAutospacing="0" w:after="0" w:afterAutospacing="0"/>
              <w:jc w:val="both"/>
              <w:rPr>
                <w:iCs/>
                <w:color w:val="000000"/>
              </w:rPr>
            </w:pPr>
            <w:r w:rsidRPr="00066ADC">
              <w:rPr>
                <w:iCs/>
                <w:color w:val="000000"/>
              </w:rPr>
              <w:t xml:space="preserve">Projekta ietekme uz valsts budžetu nav precīzi aprēķināma, jo nav iespējams prognozēt gadījumus, kad Latvijas Republikas militārās aviācijas gaisa kuģis vai civilās aviācijas gaisa kuģis (vai no tā atdalījies priekšmets), kuru Latvijas Nacionālie bruņotie </w:t>
            </w:r>
            <w:r w:rsidR="007C6696" w:rsidRPr="00066ADC">
              <w:rPr>
                <w:iCs/>
                <w:color w:val="000000"/>
              </w:rPr>
              <w:t>spēk</w:t>
            </w:r>
            <w:r w:rsidR="007C6696">
              <w:rPr>
                <w:iCs/>
                <w:color w:val="000000"/>
              </w:rPr>
              <w:t>i</w:t>
            </w:r>
            <w:r w:rsidR="007C6696" w:rsidRPr="00066ADC">
              <w:rPr>
                <w:iCs/>
                <w:color w:val="000000"/>
              </w:rPr>
              <w:t xml:space="preserve"> </w:t>
            </w:r>
            <w:r w:rsidRPr="00066ADC">
              <w:rPr>
                <w:iCs/>
                <w:color w:val="000000"/>
              </w:rPr>
              <w:t>izmanto militārām vajadzībām</w:t>
            </w:r>
            <w:r w:rsidR="007C6696">
              <w:rPr>
                <w:iCs/>
                <w:color w:val="000000"/>
              </w:rPr>
              <w:t>,</w:t>
            </w:r>
            <w:r w:rsidRPr="00066ADC">
              <w:rPr>
                <w:iCs/>
                <w:color w:val="000000"/>
              </w:rPr>
              <w:t xml:space="preserve"> nodarīs kaitējumu trešajai personai vai tās </w:t>
            </w:r>
            <w:r w:rsidR="007C6696" w:rsidRPr="00066ADC">
              <w:rPr>
                <w:iCs/>
                <w:color w:val="000000"/>
              </w:rPr>
              <w:t>mant</w:t>
            </w:r>
            <w:r w:rsidR="007C6696">
              <w:rPr>
                <w:iCs/>
                <w:color w:val="000000"/>
              </w:rPr>
              <w:t>ai</w:t>
            </w:r>
            <w:r w:rsidR="007C6696" w:rsidRPr="00066ADC">
              <w:rPr>
                <w:iCs/>
                <w:color w:val="000000"/>
              </w:rPr>
              <w:t xml:space="preserve"> </w:t>
            </w:r>
            <w:r w:rsidRPr="00066ADC">
              <w:rPr>
                <w:iCs/>
                <w:color w:val="000000"/>
              </w:rPr>
              <w:t>un šī persona MK noteikumu Nr.424 2.punktā paredzētajā kārtībā vērsīsies Aizsardzības ministrijā ar iesniegumu par kaitējuma atlīdzinājumu, kā arī to, vai aizsardzības ministra izveidotā komisija pieņems lēmumu par kaitējuma atlīdzināšanu</w:t>
            </w:r>
            <w:proofErr w:type="gramStart"/>
            <w:r w:rsidRPr="00066ADC">
              <w:rPr>
                <w:iCs/>
                <w:color w:val="000000"/>
              </w:rPr>
              <w:t xml:space="preserve"> un</w:t>
            </w:r>
            <w:proofErr w:type="gramEnd"/>
            <w:r w:rsidRPr="00066ADC">
              <w:rPr>
                <w:iCs/>
                <w:color w:val="000000"/>
              </w:rPr>
              <w:t xml:space="preserve"> kāds būs kaitējuma atlīdzinājuma apmērs</w:t>
            </w:r>
            <w:r w:rsidR="004D5804">
              <w:rPr>
                <w:iCs/>
                <w:color w:val="000000"/>
              </w:rPr>
              <w:t>.</w:t>
            </w:r>
          </w:p>
        </w:tc>
      </w:tr>
    </w:tbl>
    <w:p w:rsidR="00FF02B3" w:rsidRPr="00066ADC" w:rsidRDefault="00FF02B3" w:rsidP="004E3B1C">
      <w:pPr>
        <w:pStyle w:val="naisf"/>
        <w:spacing w:before="0" w:beforeAutospacing="0" w:after="0" w:afterAutospacing="0"/>
        <w:rPr>
          <w:color w:val="000000"/>
        </w:rPr>
      </w:pPr>
    </w:p>
    <w:p w:rsidR="004E3B1C" w:rsidRPr="00066ADC" w:rsidRDefault="00787D14" w:rsidP="004E3B1C">
      <w:pPr>
        <w:pStyle w:val="naiskr"/>
        <w:tabs>
          <w:tab w:val="left" w:pos="2628"/>
        </w:tabs>
        <w:spacing w:before="0" w:beforeAutospacing="0" w:after="0" w:afterAutospacing="0"/>
        <w:rPr>
          <w:iCs/>
          <w:color w:val="000000"/>
        </w:rPr>
      </w:pPr>
      <w:r w:rsidRPr="00066ADC">
        <w:rPr>
          <w:iCs/>
          <w:color w:val="000000"/>
        </w:rPr>
        <w:t>Anotācijas IV, V, VI</w:t>
      </w:r>
      <w:r w:rsidR="000E74E4">
        <w:rPr>
          <w:iCs/>
          <w:color w:val="000000"/>
        </w:rPr>
        <w:t xml:space="preserve"> un</w:t>
      </w:r>
      <w:r w:rsidRPr="00066ADC">
        <w:rPr>
          <w:iCs/>
          <w:color w:val="000000"/>
        </w:rPr>
        <w:t xml:space="preserve"> VII</w:t>
      </w:r>
      <w:r w:rsidR="007E5DEB">
        <w:rPr>
          <w:iCs/>
          <w:color w:val="000000"/>
        </w:rPr>
        <w:t xml:space="preserve"> </w:t>
      </w:r>
      <w:proofErr w:type="spellStart"/>
      <w:r w:rsidRPr="00066ADC">
        <w:rPr>
          <w:iCs/>
          <w:color w:val="000000"/>
        </w:rPr>
        <w:t>sadaļa</w:t>
      </w:r>
      <w:r w:rsidR="00727C8C">
        <w:rPr>
          <w:iCs/>
          <w:color w:val="000000"/>
        </w:rPr>
        <w:t>a</w:t>
      </w:r>
      <w:proofErr w:type="spellEnd"/>
      <w:r w:rsidRPr="00066ADC">
        <w:rPr>
          <w:iCs/>
          <w:color w:val="000000"/>
        </w:rPr>
        <w:t xml:space="preserve"> – projekts šīs jomas neskar.</w:t>
      </w:r>
    </w:p>
    <w:p w:rsidR="00407B79" w:rsidRPr="00066ADC" w:rsidRDefault="00407B79" w:rsidP="004E3B1C">
      <w:pPr>
        <w:rPr>
          <w:color w:val="000000"/>
        </w:rPr>
      </w:pPr>
    </w:p>
    <w:p w:rsidR="002D4124" w:rsidRDefault="002D4124" w:rsidP="007602F7">
      <w:pPr>
        <w:ind w:left="-228" w:firstLine="228"/>
        <w:jc w:val="both"/>
        <w:rPr>
          <w:color w:val="000000"/>
        </w:rPr>
      </w:pPr>
    </w:p>
    <w:p w:rsidR="00E61660" w:rsidRPr="00066ADC" w:rsidRDefault="00E61660" w:rsidP="007602F7">
      <w:pPr>
        <w:ind w:left="-228" w:firstLine="228"/>
        <w:jc w:val="both"/>
        <w:rPr>
          <w:color w:val="000000"/>
        </w:rPr>
      </w:pPr>
      <w:r w:rsidRPr="00066ADC">
        <w:rPr>
          <w:color w:val="000000"/>
        </w:rPr>
        <w:t>Iesniedzējs:</w:t>
      </w:r>
    </w:p>
    <w:p w:rsidR="00641389" w:rsidRPr="00066ADC" w:rsidRDefault="00641389" w:rsidP="007602F7">
      <w:pPr>
        <w:ind w:left="-228" w:firstLine="228"/>
        <w:jc w:val="both"/>
        <w:rPr>
          <w:color w:val="000000"/>
        </w:rPr>
      </w:pPr>
    </w:p>
    <w:p w:rsidR="007602F7" w:rsidRPr="00066ADC" w:rsidRDefault="00727C8C" w:rsidP="007602F7">
      <w:pPr>
        <w:ind w:left="-228" w:firstLine="228"/>
        <w:jc w:val="both"/>
        <w:rPr>
          <w:color w:val="000000"/>
        </w:rPr>
      </w:pPr>
      <w:r>
        <w:rPr>
          <w:color w:val="000000"/>
        </w:rPr>
        <w:t>a</w:t>
      </w:r>
      <w:bookmarkStart w:id="2" w:name="_GoBack"/>
      <w:bookmarkEnd w:id="2"/>
      <w:r w:rsidR="007602F7" w:rsidRPr="00066ADC">
        <w:rPr>
          <w:color w:val="000000"/>
        </w:rPr>
        <w:t>izsardzības ministrs</w:t>
      </w:r>
      <w:proofErr w:type="gramStart"/>
      <w:r w:rsidR="007602F7" w:rsidRPr="00066ADC">
        <w:rPr>
          <w:color w:val="000000"/>
        </w:rPr>
        <w:t xml:space="preserve">                                                                                                  </w:t>
      </w:r>
      <w:proofErr w:type="gramEnd"/>
      <w:r w:rsidR="007602F7" w:rsidRPr="00066ADC">
        <w:rPr>
          <w:color w:val="000000"/>
        </w:rPr>
        <w:t>A.Pabriks</w:t>
      </w:r>
    </w:p>
    <w:p w:rsidR="00407B79" w:rsidRPr="00066ADC" w:rsidRDefault="00407B79" w:rsidP="000F633D">
      <w:pPr>
        <w:rPr>
          <w:color w:val="000000"/>
        </w:rPr>
      </w:pPr>
    </w:p>
    <w:p w:rsidR="008B6AA2" w:rsidRPr="00066ADC" w:rsidRDefault="008B6AA2" w:rsidP="000F633D">
      <w:pPr>
        <w:rPr>
          <w:color w:val="000000"/>
        </w:rPr>
      </w:pPr>
    </w:p>
    <w:p w:rsidR="00E4354E" w:rsidRPr="00066ADC" w:rsidRDefault="007602F7" w:rsidP="003F51D1">
      <w:pPr>
        <w:tabs>
          <w:tab w:val="left" w:pos="6480"/>
        </w:tabs>
        <w:ind w:left="-171" w:firstLine="228"/>
        <w:jc w:val="both"/>
        <w:rPr>
          <w:color w:val="000000"/>
        </w:rPr>
      </w:pPr>
      <w:r w:rsidRPr="00066ADC">
        <w:rPr>
          <w:color w:val="000000"/>
        </w:rPr>
        <w:t xml:space="preserve">Vīza: </w:t>
      </w:r>
      <w:r w:rsidR="00FD4E34">
        <w:rPr>
          <w:color w:val="000000"/>
        </w:rPr>
        <w:t>v</w:t>
      </w:r>
      <w:r w:rsidRPr="00066ADC">
        <w:rPr>
          <w:color w:val="000000"/>
        </w:rPr>
        <w:t>alsts sekretārs</w:t>
      </w:r>
      <w:proofErr w:type="gramStart"/>
      <w:r w:rsidRPr="00066ADC">
        <w:rPr>
          <w:color w:val="000000"/>
        </w:rPr>
        <w:t xml:space="preserve">                                           </w:t>
      </w:r>
      <w:proofErr w:type="gramEnd"/>
      <w:r w:rsidRPr="00066ADC">
        <w:rPr>
          <w:color w:val="000000"/>
        </w:rPr>
        <w:tab/>
      </w:r>
      <w:r w:rsidRPr="00066ADC">
        <w:rPr>
          <w:color w:val="000000"/>
        </w:rPr>
        <w:tab/>
        <w:t xml:space="preserve">          J.Sārts</w:t>
      </w:r>
    </w:p>
    <w:p w:rsidR="002D4124" w:rsidRDefault="002D4124" w:rsidP="002462E2">
      <w:pPr>
        <w:tabs>
          <w:tab w:val="left" w:pos="6480"/>
        </w:tabs>
        <w:jc w:val="both"/>
        <w:rPr>
          <w:color w:val="000000"/>
        </w:rPr>
      </w:pPr>
    </w:p>
    <w:p w:rsidR="006E0B73" w:rsidRDefault="006E0B73" w:rsidP="002462E2">
      <w:pPr>
        <w:tabs>
          <w:tab w:val="left" w:pos="6480"/>
        </w:tabs>
        <w:jc w:val="both"/>
        <w:rPr>
          <w:color w:val="000000"/>
        </w:rPr>
      </w:pPr>
    </w:p>
    <w:p w:rsidR="006E0B73" w:rsidRPr="00066ADC" w:rsidRDefault="006E0B73" w:rsidP="002462E2">
      <w:pPr>
        <w:tabs>
          <w:tab w:val="left" w:pos="6480"/>
        </w:tabs>
        <w:jc w:val="both"/>
        <w:rPr>
          <w:color w:val="000000"/>
        </w:rPr>
      </w:pPr>
    </w:p>
    <w:p w:rsidR="00F07D43" w:rsidRPr="00066ADC" w:rsidRDefault="00EE415B" w:rsidP="00F07D43">
      <w:pPr>
        <w:ind w:hanging="425"/>
        <w:rPr>
          <w:color w:val="000000"/>
          <w:sz w:val="16"/>
          <w:szCs w:val="16"/>
        </w:rPr>
      </w:pPr>
      <w:r w:rsidRPr="00066ADC">
        <w:rPr>
          <w:color w:val="000000"/>
          <w:sz w:val="16"/>
          <w:szCs w:val="16"/>
        </w:rPr>
        <w:fldChar w:fldCharType="begin"/>
      </w:r>
      <w:r w:rsidRPr="00066ADC">
        <w:rPr>
          <w:color w:val="000000"/>
          <w:sz w:val="16"/>
          <w:szCs w:val="16"/>
        </w:rPr>
        <w:instrText xml:space="preserve"> CREATEDATE  \@ "dd.MM.yyyy H:mm"  \* MERGEFORMAT </w:instrText>
      </w:r>
      <w:r w:rsidRPr="00066ADC">
        <w:rPr>
          <w:color w:val="000000"/>
          <w:sz w:val="16"/>
          <w:szCs w:val="16"/>
        </w:rPr>
        <w:fldChar w:fldCharType="separate"/>
      </w:r>
      <w:r w:rsidR="0037713C">
        <w:rPr>
          <w:color w:val="000000"/>
          <w:sz w:val="16"/>
          <w:szCs w:val="16"/>
        </w:rPr>
        <w:t>03</w:t>
      </w:r>
      <w:r w:rsidRPr="00066ADC">
        <w:rPr>
          <w:color w:val="000000"/>
          <w:sz w:val="16"/>
          <w:szCs w:val="16"/>
        </w:rPr>
        <w:t>.0</w:t>
      </w:r>
      <w:r w:rsidR="0037713C">
        <w:rPr>
          <w:color w:val="000000"/>
          <w:sz w:val="16"/>
          <w:szCs w:val="16"/>
        </w:rPr>
        <w:t>9</w:t>
      </w:r>
      <w:r w:rsidRPr="00066ADC">
        <w:rPr>
          <w:noProof/>
          <w:color w:val="000000"/>
          <w:sz w:val="16"/>
          <w:szCs w:val="16"/>
        </w:rPr>
        <w:t>.2013 13:38</w:t>
      </w:r>
      <w:r w:rsidRPr="00066ADC">
        <w:rPr>
          <w:color w:val="000000"/>
          <w:sz w:val="16"/>
          <w:szCs w:val="16"/>
        </w:rPr>
        <w:fldChar w:fldCharType="end"/>
      </w:r>
    </w:p>
    <w:p w:rsidR="00F07D43" w:rsidRPr="00066ADC" w:rsidRDefault="006E0B73" w:rsidP="00F07D43">
      <w:pPr>
        <w:ind w:hanging="425"/>
        <w:rPr>
          <w:color w:val="000000"/>
          <w:sz w:val="16"/>
          <w:szCs w:val="16"/>
        </w:rPr>
      </w:pPr>
      <w:r>
        <w:rPr>
          <w:color w:val="000000"/>
          <w:sz w:val="16"/>
          <w:szCs w:val="16"/>
        </w:rPr>
        <w:t>978</w:t>
      </w:r>
    </w:p>
    <w:p w:rsidR="0083066C" w:rsidRPr="00066ADC" w:rsidRDefault="0083066C" w:rsidP="0083066C">
      <w:pPr>
        <w:ind w:hanging="425"/>
        <w:rPr>
          <w:color w:val="000000"/>
          <w:sz w:val="16"/>
          <w:szCs w:val="16"/>
        </w:rPr>
      </w:pPr>
      <w:r w:rsidRPr="00066ADC">
        <w:rPr>
          <w:color w:val="000000"/>
          <w:sz w:val="16"/>
          <w:szCs w:val="16"/>
        </w:rPr>
        <w:t>Jānis Lapiņš</w:t>
      </w:r>
    </w:p>
    <w:p w:rsidR="0083066C" w:rsidRPr="00066ADC" w:rsidRDefault="0083066C" w:rsidP="0083066C">
      <w:pPr>
        <w:ind w:hanging="425"/>
        <w:rPr>
          <w:color w:val="000000"/>
          <w:sz w:val="16"/>
          <w:szCs w:val="16"/>
        </w:rPr>
      </w:pPr>
      <w:r w:rsidRPr="00066ADC">
        <w:rPr>
          <w:color w:val="000000"/>
          <w:sz w:val="16"/>
          <w:szCs w:val="16"/>
        </w:rPr>
        <w:t xml:space="preserve">AM Krīzes vadības departamenta </w:t>
      </w:r>
    </w:p>
    <w:p w:rsidR="0083066C" w:rsidRPr="00066ADC" w:rsidRDefault="0083066C" w:rsidP="0083066C">
      <w:pPr>
        <w:ind w:hanging="425"/>
        <w:rPr>
          <w:color w:val="000000"/>
          <w:sz w:val="16"/>
          <w:szCs w:val="16"/>
        </w:rPr>
      </w:pPr>
      <w:r w:rsidRPr="00066ADC">
        <w:rPr>
          <w:color w:val="000000"/>
          <w:sz w:val="16"/>
          <w:szCs w:val="16"/>
        </w:rPr>
        <w:t xml:space="preserve">Civilmilitārās sadarbības nodaļas vecākais referents </w:t>
      </w:r>
    </w:p>
    <w:p w:rsidR="0083066C" w:rsidRPr="00066ADC" w:rsidRDefault="0083066C" w:rsidP="0083066C">
      <w:pPr>
        <w:ind w:hanging="425"/>
        <w:rPr>
          <w:color w:val="000000"/>
          <w:sz w:val="16"/>
          <w:szCs w:val="16"/>
        </w:rPr>
      </w:pPr>
      <w:r w:rsidRPr="00066ADC">
        <w:rPr>
          <w:color w:val="000000"/>
          <w:sz w:val="16"/>
          <w:szCs w:val="16"/>
        </w:rPr>
        <w:t>e-pasta adrese:</w:t>
      </w:r>
      <w:hyperlink r:id="rId9" w:history="1">
        <w:r w:rsidRPr="0083066C">
          <w:rPr>
            <w:rStyle w:val="Hyperlink"/>
            <w:rFonts w:ascii="Times New Roman" w:hAnsi="Times New Roman"/>
            <w:sz w:val="16"/>
            <w:szCs w:val="16"/>
          </w:rPr>
          <w:t>Janis.Lapins@mod.gov.lv</w:t>
        </w:r>
      </w:hyperlink>
    </w:p>
    <w:p w:rsidR="00F07D43" w:rsidRPr="006E0B73" w:rsidRDefault="0083066C" w:rsidP="006E0B73">
      <w:pPr>
        <w:ind w:hanging="425"/>
        <w:rPr>
          <w:color w:val="000000"/>
          <w:sz w:val="16"/>
          <w:szCs w:val="16"/>
        </w:rPr>
      </w:pPr>
      <w:r w:rsidRPr="00066ADC">
        <w:rPr>
          <w:color w:val="000000"/>
          <w:sz w:val="16"/>
          <w:szCs w:val="16"/>
        </w:rPr>
        <w:t>tālr. 673350</w:t>
      </w:r>
      <w:r w:rsidR="00B8330E">
        <w:rPr>
          <w:color w:val="000000"/>
          <w:sz w:val="16"/>
          <w:szCs w:val="16"/>
        </w:rPr>
        <w:t>72</w:t>
      </w:r>
      <w:r w:rsidRPr="00066ADC">
        <w:rPr>
          <w:color w:val="000000"/>
          <w:sz w:val="16"/>
          <w:szCs w:val="16"/>
        </w:rPr>
        <w:t>, fakss: 67335130</w:t>
      </w:r>
    </w:p>
    <w:sectPr w:rsidR="00F07D43" w:rsidRPr="006E0B73" w:rsidSect="006E0B73">
      <w:headerReference w:type="even" r:id="rId10"/>
      <w:headerReference w:type="default" r:id="rId11"/>
      <w:footerReference w:type="even" r:id="rId12"/>
      <w:footerReference w:type="default" r:id="rId13"/>
      <w:headerReference w:type="first" r:id="rId14"/>
      <w:footerReference w:type="first" r:id="rId15"/>
      <w:pgSz w:w="11906" w:h="16838" w:code="9"/>
      <w:pgMar w:top="-709" w:right="1134" w:bottom="1134" w:left="1701" w:header="709" w:footer="3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329" w:rsidRDefault="002A3329">
      <w:r>
        <w:separator/>
      </w:r>
    </w:p>
  </w:endnote>
  <w:endnote w:type="continuationSeparator" w:id="0">
    <w:p w:rsidR="002A3329" w:rsidRDefault="002A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69" w:rsidRDefault="003E0869" w:rsidP="009F5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0869" w:rsidRDefault="003E0869" w:rsidP="009F5B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07" w:rsidRPr="00E7463A" w:rsidRDefault="00904972" w:rsidP="00401207">
    <w:pPr>
      <w:pStyle w:val="Footer"/>
      <w:jc w:val="both"/>
      <w:rPr>
        <w:bCs/>
        <w:sz w:val="20"/>
        <w:szCs w:val="20"/>
      </w:rPr>
    </w:pPr>
    <w:r w:rsidRPr="00904972">
      <w:rPr>
        <w:sz w:val="20"/>
        <w:szCs w:val="20"/>
        <w:lang w:val="de-DE"/>
      </w:rPr>
      <w:t>AIManot_030913</w:t>
    </w:r>
    <w:r w:rsidR="0026091D">
      <w:rPr>
        <w:sz w:val="20"/>
        <w:szCs w:val="20"/>
        <w:lang w:val="de-DE"/>
      </w:rPr>
      <w:t>;</w:t>
    </w:r>
    <w:r w:rsidR="0026091D" w:rsidRPr="0026091D">
      <w:rPr>
        <w:sz w:val="20"/>
        <w:szCs w:val="20"/>
      </w:rPr>
      <w:t xml:space="preserve"> Noteikumu projekts</w:t>
    </w:r>
    <w:r w:rsidRPr="00904972">
      <w:rPr>
        <w:sz w:val="20"/>
        <w:szCs w:val="20"/>
      </w:rPr>
      <w:t xml:space="preserve"> </w:t>
    </w:r>
    <w:r w:rsidR="00401207" w:rsidRPr="00E7463A">
      <w:rPr>
        <w:sz w:val="20"/>
        <w:szCs w:val="20"/>
      </w:rPr>
      <w:t>„</w:t>
    </w:r>
    <w:r w:rsidR="00401207" w:rsidRPr="00E7463A">
      <w:rPr>
        <w:bCs/>
        <w:sz w:val="20"/>
        <w:szCs w:val="20"/>
      </w:rPr>
      <w:t>Grozījumi Ministru kabineta 2008.gada 10.jūnij</w:t>
    </w:r>
    <w:r w:rsidR="00727C8C">
      <w:rPr>
        <w:bCs/>
        <w:sz w:val="20"/>
        <w:szCs w:val="20"/>
      </w:rPr>
      <w:t>a</w:t>
    </w:r>
    <w:r w:rsidR="00401207" w:rsidRPr="00E7463A">
      <w:rPr>
        <w:bCs/>
        <w:sz w:val="20"/>
        <w:szCs w:val="20"/>
      </w:rPr>
      <w:t xml:space="preserve"> noteikumos Nr.424 „Kārtība, kādā atlīdzina kaitējumu trešajai personai vai tās mantai, ja to nodarījis Latvijas Republikas militārās aviācijas gaisa kuģis vai civilās aviācijas gaisa kuģis (vai no tā atdalījies priekšmets), kuru Latvijas Nacionālie bruņotie spēki izmanto militārajām vajadzībām”</w:t>
    </w:r>
    <w:r w:rsidR="00401207">
      <w:rPr>
        <w:sz w:val="20"/>
        <w:szCs w:val="20"/>
      </w:rPr>
      <w:t xml:space="preserve">” </w:t>
    </w:r>
    <w:r w:rsidR="00401207" w:rsidRPr="00E7463A">
      <w:rPr>
        <w:sz w:val="20"/>
        <w:szCs w:val="20"/>
      </w:rPr>
      <w:t>sākotnējās ietekmes novērtējuma ziņojums (anotācija)</w:t>
    </w:r>
  </w:p>
  <w:p w:rsidR="00351358" w:rsidRDefault="00351358">
    <w:pPr>
      <w:pStyle w:val="Footer"/>
      <w:jc w:val="right"/>
    </w:pPr>
    <w:r>
      <w:fldChar w:fldCharType="begin"/>
    </w:r>
    <w:r>
      <w:instrText xml:space="preserve"> PAGE   \* MERGEFORMAT </w:instrText>
    </w:r>
    <w:r>
      <w:fldChar w:fldCharType="separate"/>
    </w:r>
    <w:r w:rsidR="00727C8C">
      <w:rPr>
        <w:noProof/>
      </w:rPr>
      <w:t>3</w:t>
    </w:r>
    <w:r>
      <w:rPr>
        <w:noProof/>
      </w:rPr>
      <w:fldChar w:fldCharType="end"/>
    </w:r>
  </w:p>
  <w:p w:rsidR="00351358" w:rsidRPr="00351358" w:rsidRDefault="00351358" w:rsidP="00351358">
    <w:pPr>
      <w:pStyle w:val="naislab"/>
      <w:spacing w:before="0" w:beforeAutospacing="0" w:after="0" w:afterAutospacing="0"/>
      <w:rPr>
        <w:b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3A" w:rsidRPr="00E7463A" w:rsidRDefault="00DB3F1E" w:rsidP="00E7463A">
    <w:pPr>
      <w:pStyle w:val="Footer"/>
      <w:jc w:val="both"/>
      <w:rPr>
        <w:bCs/>
        <w:sz w:val="20"/>
        <w:szCs w:val="20"/>
      </w:rPr>
    </w:pPr>
    <w:r w:rsidRPr="00DB3F1E">
      <w:rPr>
        <w:sz w:val="20"/>
        <w:szCs w:val="20"/>
        <w:lang w:val="de-DE"/>
      </w:rPr>
      <w:t>A</w:t>
    </w:r>
    <w:r w:rsidR="00904972">
      <w:rPr>
        <w:sz w:val="20"/>
        <w:szCs w:val="20"/>
        <w:lang w:val="de-DE"/>
      </w:rPr>
      <w:t>IManot_0309</w:t>
    </w:r>
    <w:r w:rsidRPr="00DB3F1E">
      <w:rPr>
        <w:sz w:val="20"/>
        <w:szCs w:val="20"/>
        <w:lang w:val="de-DE"/>
      </w:rPr>
      <w:t>13</w:t>
    </w:r>
    <w:r w:rsidR="0026091D">
      <w:rPr>
        <w:sz w:val="20"/>
        <w:szCs w:val="20"/>
        <w:lang w:val="de-DE"/>
      </w:rPr>
      <w:t>;</w:t>
    </w:r>
    <w:r w:rsidR="00904972" w:rsidRPr="00904972">
      <w:rPr>
        <w:sz w:val="16"/>
        <w:szCs w:val="16"/>
      </w:rPr>
      <w:t xml:space="preserve"> </w:t>
    </w:r>
    <w:r w:rsidR="0026091D" w:rsidRPr="0026091D">
      <w:rPr>
        <w:sz w:val="20"/>
        <w:szCs w:val="20"/>
      </w:rPr>
      <w:t xml:space="preserve">Noteikumu projekts </w:t>
    </w:r>
    <w:r w:rsidR="00E7463A" w:rsidRPr="00E7463A">
      <w:rPr>
        <w:sz w:val="20"/>
        <w:szCs w:val="20"/>
      </w:rPr>
      <w:t>„</w:t>
    </w:r>
    <w:r w:rsidR="00E7463A" w:rsidRPr="00E7463A">
      <w:rPr>
        <w:bCs/>
        <w:sz w:val="20"/>
        <w:szCs w:val="20"/>
      </w:rPr>
      <w:t>Grozījumi Ministru kabineta 2008.gada 10.jūnij</w:t>
    </w:r>
    <w:r w:rsidR="00727C8C">
      <w:rPr>
        <w:bCs/>
        <w:sz w:val="20"/>
        <w:szCs w:val="20"/>
      </w:rPr>
      <w:t>a</w:t>
    </w:r>
    <w:r w:rsidR="00E7463A" w:rsidRPr="00E7463A">
      <w:rPr>
        <w:bCs/>
        <w:sz w:val="20"/>
        <w:szCs w:val="20"/>
      </w:rPr>
      <w:t xml:space="preserve"> noteikumos Nr.424 „Kārtība, kādā atlīdzina kaitējumu trešajai personai vai tās mantai, ja to nodarījis Latvijas Republikas militārās aviācijas gaisa kuģis vai civilās aviācijas gaisa kuģis (vai no tā atdalījies priekšmets), kuru Latvijas Nacionālie bruņotie spēki izmanto militārajām vajadzībām”</w:t>
    </w:r>
    <w:r w:rsidR="0027216C">
      <w:rPr>
        <w:sz w:val="20"/>
        <w:szCs w:val="20"/>
      </w:rPr>
      <w:t xml:space="preserve">” </w:t>
    </w:r>
    <w:r w:rsidR="009A4D32" w:rsidRPr="00E7463A">
      <w:rPr>
        <w:sz w:val="20"/>
        <w:szCs w:val="20"/>
      </w:rPr>
      <w:t>sākotnējās ietekmes novērtējuma ziņojums (anotācija)</w:t>
    </w:r>
  </w:p>
  <w:p w:rsidR="00351358" w:rsidRDefault="00351358" w:rsidP="0027216C">
    <w:pPr>
      <w:pStyle w:val="Footer"/>
      <w:jc w:val="right"/>
    </w:pPr>
    <w:r>
      <w:fldChar w:fldCharType="begin"/>
    </w:r>
    <w:r>
      <w:instrText xml:space="preserve"> PAGE   \* MERGEFORMAT </w:instrText>
    </w:r>
    <w:r>
      <w:fldChar w:fldCharType="separate"/>
    </w:r>
    <w:r w:rsidR="00727C8C">
      <w:rPr>
        <w:noProof/>
      </w:rPr>
      <w:t>1</w:t>
    </w:r>
    <w:r>
      <w:rPr>
        <w:noProof/>
      </w:rPr>
      <w:fldChar w:fldCharType="end"/>
    </w:r>
  </w:p>
  <w:p w:rsidR="00351358" w:rsidRPr="00FD31C0" w:rsidRDefault="00351358" w:rsidP="00641389">
    <w:pPr>
      <w:pStyle w:val="naislab"/>
      <w:spacing w:before="0" w:beforeAutospacing="0" w:after="0" w:afterAutospacing="0"/>
      <w:outlineLvl w:val="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329" w:rsidRDefault="002A3329">
      <w:r>
        <w:separator/>
      </w:r>
    </w:p>
  </w:footnote>
  <w:footnote w:type="continuationSeparator" w:id="0">
    <w:p w:rsidR="002A3329" w:rsidRDefault="002A3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69" w:rsidRDefault="003E0869" w:rsidP="003F21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0869" w:rsidRDefault="003E08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69" w:rsidRDefault="003E0869" w:rsidP="00F90D49">
    <w:pPr>
      <w:pStyle w:val="Header"/>
      <w:tabs>
        <w:tab w:val="clear" w:pos="4153"/>
        <w:tab w:val="clear" w:pos="8306"/>
        <w:tab w:val="left" w:pos="525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73" w:rsidRDefault="006E0B73">
    <w:pPr>
      <w:pStyle w:val="Header"/>
    </w:pPr>
  </w:p>
  <w:p w:rsidR="00641389" w:rsidRDefault="00641389" w:rsidP="00641389">
    <w:pPr>
      <w:pStyle w:val="Header"/>
      <w:ind w:firstLine="9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75D2"/>
    <w:multiLevelType w:val="hybridMultilevel"/>
    <w:tmpl w:val="9822CA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5BE25EF"/>
    <w:multiLevelType w:val="hybridMultilevel"/>
    <w:tmpl w:val="2ACAF3E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47C33C41"/>
    <w:multiLevelType w:val="hybridMultilevel"/>
    <w:tmpl w:val="B608D2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CE"/>
    <w:rsid w:val="00012497"/>
    <w:rsid w:val="0001391F"/>
    <w:rsid w:val="00014F2B"/>
    <w:rsid w:val="00017671"/>
    <w:rsid w:val="00026807"/>
    <w:rsid w:val="000319B8"/>
    <w:rsid w:val="00046966"/>
    <w:rsid w:val="000527BE"/>
    <w:rsid w:val="00053C28"/>
    <w:rsid w:val="00057F87"/>
    <w:rsid w:val="00060025"/>
    <w:rsid w:val="000609FA"/>
    <w:rsid w:val="00060D24"/>
    <w:rsid w:val="00066ADC"/>
    <w:rsid w:val="000911E9"/>
    <w:rsid w:val="0009424F"/>
    <w:rsid w:val="0009494D"/>
    <w:rsid w:val="000A63A6"/>
    <w:rsid w:val="000B4224"/>
    <w:rsid w:val="000E3C88"/>
    <w:rsid w:val="000E5B55"/>
    <w:rsid w:val="000E74E4"/>
    <w:rsid w:val="000F6185"/>
    <w:rsid w:val="000F633D"/>
    <w:rsid w:val="00147629"/>
    <w:rsid w:val="00152476"/>
    <w:rsid w:val="00163D23"/>
    <w:rsid w:val="001854D2"/>
    <w:rsid w:val="001973CE"/>
    <w:rsid w:val="001C65C1"/>
    <w:rsid w:val="001D102E"/>
    <w:rsid w:val="001E0901"/>
    <w:rsid w:val="001E27ED"/>
    <w:rsid w:val="001F15F3"/>
    <w:rsid w:val="001F34C5"/>
    <w:rsid w:val="002462E2"/>
    <w:rsid w:val="0025503F"/>
    <w:rsid w:val="002563D9"/>
    <w:rsid w:val="0026091D"/>
    <w:rsid w:val="0027216C"/>
    <w:rsid w:val="00280318"/>
    <w:rsid w:val="0028088F"/>
    <w:rsid w:val="00280F38"/>
    <w:rsid w:val="0028244B"/>
    <w:rsid w:val="0029503F"/>
    <w:rsid w:val="00295346"/>
    <w:rsid w:val="002A1A88"/>
    <w:rsid w:val="002A3329"/>
    <w:rsid w:val="002B069B"/>
    <w:rsid w:val="002B6899"/>
    <w:rsid w:val="002B75C0"/>
    <w:rsid w:val="002D1E8D"/>
    <w:rsid w:val="002D4124"/>
    <w:rsid w:val="002D7375"/>
    <w:rsid w:val="00316B5B"/>
    <w:rsid w:val="00325FD3"/>
    <w:rsid w:val="00330B7D"/>
    <w:rsid w:val="00340ECA"/>
    <w:rsid w:val="003458B7"/>
    <w:rsid w:val="00351358"/>
    <w:rsid w:val="0036339F"/>
    <w:rsid w:val="0037273D"/>
    <w:rsid w:val="00372E6E"/>
    <w:rsid w:val="0037713C"/>
    <w:rsid w:val="0037774F"/>
    <w:rsid w:val="00390C1B"/>
    <w:rsid w:val="00393CBE"/>
    <w:rsid w:val="003A3DE1"/>
    <w:rsid w:val="003A6DE3"/>
    <w:rsid w:val="003A73AB"/>
    <w:rsid w:val="003C0D2D"/>
    <w:rsid w:val="003D508C"/>
    <w:rsid w:val="003D54C8"/>
    <w:rsid w:val="003D6746"/>
    <w:rsid w:val="003E045F"/>
    <w:rsid w:val="003E0869"/>
    <w:rsid w:val="003E5661"/>
    <w:rsid w:val="003F07B4"/>
    <w:rsid w:val="003F21C9"/>
    <w:rsid w:val="003F51D1"/>
    <w:rsid w:val="00401207"/>
    <w:rsid w:val="0040238E"/>
    <w:rsid w:val="00407B79"/>
    <w:rsid w:val="00414753"/>
    <w:rsid w:val="004209A0"/>
    <w:rsid w:val="004454F8"/>
    <w:rsid w:val="00467DC1"/>
    <w:rsid w:val="00471D9E"/>
    <w:rsid w:val="004724E3"/>
    <w:rsid w:val="004855D0"/>
    <w:rsid w:val="004B4545"/>
    <w:rsid w:val="004D4E1B"/>
    <w:rsid w:val="004D5804"/>
    <w:rsid w:val="004E32FD"/>
    <w:rsid w:val="004E3B1C"/>
    <w:rsid w:val="004F7D89"/>
    <w:rsid w:val="00502837"/>
    <w:rsid w:val="005165E1"/>
    <w:rsid w:val="005232D8"/>
    <w:rsid w:val="00532F31"/>
    <w:rsid w:val="00534989"/>
    <w:rsid w:val="005575A2"/>
    <w:rsid w:val="005678EA"/>
    <w:rsid w:val="005810E3"/>
    <w:rsid w:val="005A065E"/>
    <w:rsid w:val="005A6CC6"/>
    <w:rsid w:val="005B1AC0"/>
    <w:rsid w:val="005B63D6"/>
    <w:rsid w:val="005C3573"/>
    <w:rsid w:val="005C681F"/>
    <w:rsid w:val="005D0D9A"/>
    <w:rsid w:val="005E08E1"/>
    <w:rsid w:val="005F3BA7"/>
    <w:rsid w:val="00631E86"/>
    <w:rsid w:val="00641389"/>
    <w:rsid w:val="00647FB3"/>
    <w:rsid w:val="006517B5"/>
    <w:rsid w:val="00656BF0"/>
    <w:rsid w:val="00656D9D"/>
    <w:rsid w:val="00670C0C"/>
    <w:rsid w:val="00675BE8"/>
    <w:rsid w:val="006858DE"/>
    <w:rsid w:val="00695E0C"/>
    <w:rsid w:val="006D2A1C"/>
    <w:rsid w:val="006E0B73"/>
    <w:rsid w:val="006F0563"/>
    <w:rsid w:val="00712510"/>
    <w:rsid w:val="0072121A"/>
    <w:rsid w:val="0072211C"/>
    <w:rsid w:val="00727C8C"/>
    <w:rsid w:val="007428C3"/>
    <w:rsid w:val="00746565"/>
    <w:rsid w:val="00753B4D"/>
    <w:rsid w:val="007602F7"/>
    <w:rsid w:val="00763EED"/>
    <w:rsid w:val="00787D14"/>
    <w:rsid w:val="007A1115"/>
    <w:rsid w:val="007B0873"/>
    <w:rsid w:val="007B4EEA"/>
    <w:rsid w:val="007C04C2"/>
    <w:rsid w:val="007C09A1"/>
    <w:rsid w:val="007C4195"/>
    <w:rsid w:val="007C6696"/>
    <w:rsid w:val="007E5DEB"/>
    <w:rsid w:val="0082505C"/>
    <w:rsid w:val="00830127"/>
    <w:rsid w:val="0083066C"/>
    <w:rsid w:val="0083444E"/>
    <w:rsid w:val="008625EA"/>
    <w:rsid w:val="008973FC"/>
    <w:rsid w:val="008A0034"/>
    <w:rsid w:val="008B6AA2"/>
    <w:rsid w:val="008D307F"/>
    <w:rsid w:val="008E4FE4"/>
    <w:rsid w:val="008E745F"/>
    <w:rsid w:val="00904972"/>
    <w:rsid w:val="00911779"/>
    <w:rsid w:val="009320E8"/>
    <w:rsid w:val="00932353"/>
    <w:rsid w:val="009330FC"/>
    <w:rsid w:val="009359D3"/>
    <w:rsid w:val="009378C9"/>
    <w:rsid w:val="00957343"/>
    <w:rsid w:val="0096245E"/>
    <w:rsid w:val="00963134"/>
    <w:rsid w:val="00963A00"/>
    <w:rsid w:val="009659CB"/>
    <w:rsid w:val="00966F4D"/>
    <w:rsid w:val="00971BB9"/>
    <w:rsid w:val="0099479E"/>
    <w:rsid w:val="009A4D32"/>
    <w:rsid w:val="009B0499"/>
    <w:rsid w:val="009B7C68"/>
    <w:rsid w:val="009F452F"/>
    <w:rsid w:val="009F4A9B"/>
    <w:rsid w:val="009F5BD3"/>
    <w:rsid w:val="00A12C92"/>
    <w:rsid w:val="00A13CD5"/>
    <w:rsid w:val="00A25CC2"/>
    <w:rsid w:val="00A26B2F"/>
    <w:rsid w:val="00A37DAB"/>
    <w:rsid w:val="00A44123"/>
    <w:rsid w:val="00A56BCC"/>
    <w:rsid w:val="00A66329"/>
    <w:rsid w:val="00A6721B"/>
    <w:rsid w:val="00A729FB"/>
    <w:rsid w:val="00A77310"/>
    <w:rsid w:val="00AA0DC7"/>
    <w:rsid w:val="00AB18DA"/>
    <w:rsid w:val="00AD19E4"/>
    <w:rsid w:val="00B028ED"/>
    <w:rsid w:val="00B04486"/>
    <w:rsid w:val="00B07C43"/>
    <w:rsid w:val="00B07C9F"/>
    <w:rsid w:val="00B33D4F"/>
    <w:rsid w:val="00B50B34"/>
    <w:rsid w:val="00B548F6"/>
    <w:rsid w:val="00B55363"/>
    <w:rsid w:val="00B65519"/>
    <w:rsid w:val="00B67174"/>
    <w:rsid w:val="00B70537"/>
    <w:rsid w:val="00B8330E"/>
    <w:rsid w:val="00B837D3"/>
    <w:rsid w:val="00B84F3C"/>
    <w:rsid w:val="00B862C9"/>
    <w:rsid w:val="00B94F8F"/>
    <w:rsid w:val="00BA3E49"/>
    <w:rsid w:val="00BA5A13"/>
    <w:rsid w:val="00BB0CB4"/>
    <w:rsid w:val="00BB178A"/>
    <w:rsid w:val="00BB6F70"/>
    <w:rsid w:val="00C06062"/>
    <w:rsid w:val="00C244C6"/>
    <w:rsid w:val="00C26208"/>
    <w:rsid w:val="00C534CE"/>
    <w:rsid w:val="00C93D26"/>
    <w:rsid w:val="00C97C8E"/>
    <w:rsid w:val="00CA09CD"/>
    <w:rsid w:val="00CA624B"/>
    <w:rsid w:val="00CA685F"/>
    <w:rsid w:val="00CB20B1"/>
    <w:rsid w:val="00CB249A"/>
    <w:rsid w:val="00CC5E54"/>
    <w:rsid w:val="00D2250F"/>
    <w:rsid w:val="00D45C40"/>
    <w:rsid w:val="00D63D2B"/>
    <w:rsid w:val="00D71681"/>
    <w:rsid w:val="00D71B99"/>
    <w:rsid w:val="00D72350"/>
    <w:rsid w:val="00D72A43"/>
    <w:rsid w:val="00D74966"/>
    <w:rsid w:val="00D81969"/>
    <w:rsid w:val="00D97330"/>
    <w:rsid w:val="00DA44A0"/>
    <w:rsid w:val="00DA48B5"/>
    <w:rsid w:val="00DB3F1E"/>
    <w:rsid w:val="00DB5987"/>
    <w:rsid w:val="00DD40EF"/>
    <w:rsid w:val="00DD4AF6"/>
    <w:rsid w:val="00DD4E73"/>
    <w:rsid w:val="00DE697E"/>
    <w:rsid w:val="00DF13F7"/>
    <w:rsid w:val="00E31C79"/>
    <w:rsid w:val="00E4354E"/>
    <w:rsid w:val="00E6002C"/>
    <w:rsid w:val="00E61660"/>
    <w:rsid w:val="00E67A60"/>
    <w:rsid w:val="00E7463A"/>
    <w:rsid w:val="00E7528F"/>
    <w:rsid w:val="00E80E9F"/>
    <w:rsid w:val="00E900F6"/>
    <w:rsid w:val="00EB574D"/>
    <w:rsid w:val="00ED4BA1"/>
    <w:rsid w:val="00EE415B"/>
    <w:rsid w:val="00EF1A2E"/>
    <w:rsid w:val="00F01A4B"/>
    <w:rsid w:val="00F04465"/>
    <w:rsid w:val="00F07D43"/>
    <w:rsid w:val="00F12D65"/>
    <w:rsid w:val="00F14291"/>
    <w:rsid w:val="00F2262F"/>
    <w:rsid w:val="00F300E5"/>
    <w:rsid w:val="00F3019F"/>
    <w:rsid w:val="00F46B4F"/>
    <w:rsid w:val="00F67CC5"/>
    <w:rsid w:val="00F90D49"/>
    <w:rsid w:val="00F964A3"/>
    <w:rsid w:val="00FA1399"/>
    <w:rsid w:val="00FA5042"/>
    <w:rsid w:val="00FA5A41"/>
    <w:rsid w:val="00FB1D22"/>
    <w:rsid w:val="00FC1C88"/>
    <w:rsid w:val="00FD31C0"/>
    <w:rsid w:val="00FD4E34"/>
    <w:rsid w:val="00FF02B3"/>
    <w:rsid w:val="00FF1A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1B99"/>
    <w:pPr>
      <w:tabs>
        <w:tab w:val="center" w:pos="4153"/>
        <w:tab w:val="right" w:pos="8306"/>
      </w:tabs>
    </w:pPr>
  </w:style>
  <w:style w:type="paragraph" w:styleId="Footer">
    <w:name w:val="footer"/>
    <w:basedOn w:val="Normal"/>
    <w:link w:val="FooterChar"/>
    <w:uiPriority w:val="99"/>
    <w:rsid w:val="00D71B99"/>
    <w:pPr>
      <w:tabs>
        <w:tab w:val="center" w:pos="4153"/>
        <w:tab w:val="right" w:pos="8306"/>
      </w:tabs>
    </w:pPr>
  </w:style>
  <w:style w:type="character" w:styleId="Hyperlink">
    <w:name w:val="Hyperlink"/>
    <w:rsid w:val="00D71B99"/>
    <w:rPr>
      <w:rFonts w:ascii="Dutch TL" w:hAnsi="Dutch TL"/>
      <w:noProof w:val="0"/>
      <w:color w:val="0000FF"/>
      <w:u w:val="single"/>
      <w:lang w:val="lv-LV"/>
    </w:rPr>
  </w:style>
  <w:style w:type="character" w:styleId="PageNumber">
    <w:name w:val="page number"/>
    <w:basedOn w:val="DefaultParagraphFont"/>
    <w:rsid w:val="0096245E"/>
  </w:style>
  <w:style w:type="paragraph" w:customStyle="1" w:styleId="naisc">
    <w:name w:val="naisc"/>
    <w:basedOn w:val="Normal"/>
    <w:rsid w:val="00F12D65"/>
    <w:pPr>
      <w:spacing w:before="100" w:beforeAutospacing="1" w:after="100" w:afterAutospacing="1"/>
    </w:pPr>
  </w:style>
  <w:style w:type="paragraph" w:customStyle="1" w:styleId="naisnod">
    <w:name w:val="naisnod"/>
    <w:basedOn w:val="Normal"/>
    <w:rsid w:val="00F12D65"/>
    <w:pPr>
      <w:spacing w:before="100" w:beforeAutospacing="1" w:after="100" w:afterAutospacing="1"/>
    </w:pPr>
  </w:style>
  <w:style w:type="paragraph" w:customStyle="1" w:styleId="naiskr">
    <w:name w:val="naiskr"/>
    <w:basedOn w:val="Normal"/>
    <w:rsid w:val="00F12D65"/>
    <w:pPr>
      <w:spacing w:before="100" w:beforeAutospacing="1" w:after="100" w:afterAutospacing="1"/>
    </w:pPr>
  </w:style>
  <w:style w:type="paragraph" w:customStyle="1" w:styleId="naisf">
    <w:name w:val="naisf"/>
    <w:basedOn w:val="Normal"/>
    <w:rsid w:val="00F12D65"/>
    <w:pPr>
      <w:spacing w:before="100" w:beforeAutospacing="1" w:after="100" w:afterAutospacing="1"/>
    </w:pPr>
  </w:style>
  <w:style w:type="paragraph" w:customStyle="1" w:styleId="naislab">
    <w:name w:val="naislab"/>
    <w:basedOn w:val="Normal"/>
    <w:rsid w:val="00F12D65"/>
    <w:pPr>
      <w:spacing w:before="100" w:beforeAutospacing="1" w:after="100" w:afterAutospacing="1"/>
    </w:pPr>
  </w:style>
  <w:style w:type="table" w:styleId="TableGrid">
    <w:name w:val="Table Grid"/>
    <w:basedOn w:val="TableNormal"/>
    <w:rsid w:val="00390C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390C1B"/>
    <w:rPr>
      <w:sz w:val="20"/>
      <w:szCs w:val="20"/>
    </w:rPr>
  </w:style>
  <w:style w:type="paragraph" w:customStyle="1" w:styleId="CharCharCharCharCharCharCharCharChar1CharChar">
    <w:name w:val="Char Char Char Char Char Char Char Char Char1 Char Char"/>
    <w:basedOn w:val="Normal"/>
    <w:rsid w:val="004E3B1C"/>
    <w:pPr>
      <w:spacing w:after="160" w:line="240" w:lineRule="exact"/>
    </w:pPr>
    <w:rPr>
      <w:rFonts w:ascii="Dutch TL" w:hAnsi="Dutch TL"/>
      <w:sz w:val="28"/>
      <w:szCs w:val="20"/>
      <w:lang w:eastAsia="zh-TW"/>
    </w:rPr>
  </w:style>
  <w:style w:type="paragraph" w:customStyle="1" w:styleId="CharCharCharCharCharCharCharCharChar">
    <w:name w:val="Char Char Char Char Char Char Char Char Char"/>
    <w:basedOn w:val="Normal"/>
    <w:rsid w:val="00026807"/>
    <w:pPr>
      <w:spacing w:before="40"/>
    </w:pPr>
    <w:rPr>
      <w:lang w:val="pl-PL" w:eastAsia="pl-PL"/>
    </w:rPr>
  </w:style>
  <w:style w:type="character" w:styleId="CommentReference">
    <w:name w:val="annotation reference"/>
    <w:semiHidden/>
    <w:rsid w:val="00F14291"/>
    <w:rPr>
      <w:sz w:val="16"/>
      <w:szCs w:val="16"/>
    </w:rPr>
  </w:style>
  <w:style w:type="paragraph" w:styleId="CommentText">
    <w:name w:val="annotation text"/>
    <w:basedOn w:val="Normal"/>
    <w:semiHidden/>
    <w:rsid w:val="00F14291"/>
    <w:rPr>
      <w:sz w:val="20"/>
      <w:szCs w:val="20"/>
    </w:rPr>
  </w:style>
  <w:style w:type="paragraph" w:styleId="CommentSubject">
    <w:name w:val="annotation subject"/>
    <w:basedOn w:val="CommentText"/>
    <w:next w:val="CommentText"/>
    <w:semiHidden/>
    <w:rsid w:val="00F14291"/>
    <w:rPr>
      <w:b/>
      <w:bCs/>
    </w:rPr>
  </w:style>
  <w:style w:type="paragraph" w:styleId="BalloonText">
    <w:name w:val="Balloon Text"/>
    <w:basedOn w:val="Normal"/>
    <w:semiHidden/>
    <w:rsid w:val="00F14291"/>
    <w:rPr>
      <w:rFonts w:ascii="Tahoma" w:hAnsi="Tahoma" w:cs="Tahoma"/>
      <w:sz w:val="16"/>
      <w:szCs w:val="16"/>
    </w:rPr>
  </w:style>
  <w:style w:type="paragraph" w:customStyle="1" w:styleId="CharChar">
    <w:name w:val="Char Char"/>
    <w:basedOn w:val="Normal"/>
    <w:rsid w:val="003E5661"/>
    <w:pPr>
      <w:spacing w:before="40"/>
    </w:pPr>
    <w:rPr>
      <w:lang w:val="pl-PL" w:eastAsia="pl-PL"/>
    </w:rPr>
  </w:style>
  <w:style w:type="paragraph" w:customStyle="1" w:styleId="naisvisr">
    <w:name w:val="naisvisr"/>
    <w:basedOn w:val="Normal"/>
    <w:rsid w:val="003E5661"/>
    <w:pPr>
      <w:spacing w:before="100" w:beforeAutospacing="1" w:after="100" w:afterAutospacing="1"/>
    </w:pPr>
  </w:style>
  <w:style w:type="paragraph" w:customStyle="1" w:styleId="tv20787921">
    <w:name w:val="tv207_87_921"/>
    <w:basedOn w:val="Normal"/>
    <w:rsid w:val="00E7528F"/>
    <w:pPr>
      <w:spacing w:after="567" w:line="360" w:lineRule="auto"/>
      <w:jc w:val="center"/>
    </w:pPr>
    <w:rPr>
      <w:rFonts w:ascii="Verdana" w:hAnsi="Verdana"/>
      <w:b/>
      <w:bCs/>
      <w:sz w:val="28"/>
      <w:szCs w:val="28"/>
    </w:rPr>
  </w:style>
  <w:style w:type="character" w:customStyle="1" w:styleId="FooterChar">
    <w:name w:val="Footer Char"/>
    <w:link w:val="Footer"/>
    <w:uiPriority w:val="99"/>
    <w:rsid w:val="00351358"/>
    <w:rPr>
      <w:sz w:val="24"/>
      <w:szCs w:val="24"/>
    </w:rPr>
  </w:style>
  <w:style w:type="character" w:customStyle="1" w:styleId="HeaderChar">
    <w:name w:val="Header Char"/>
    <w:link w:val="Header"/>
    <w:uiPriority w:val="99"/>
    <w:rsid w:val="003513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1B99"/>
    <w:pPr>
      <w:tabs>
        <w:tab w:val="center" w:pos="4153"/>
        <w:tab w:val="right" w:pos="8306"/>
      </w:tabs>
    </w:pPr>
  </w:style>
  <w:style w:type="paragraph" w:styleId="Footer">
    <w:name w:val="footer"/>
    <w:basedOn w:val="Normal"/>
    <w:link w:val="FooterChar"/>
    <w:uiPriority w:val="99"/>
    <w:rsid w:val="00D71B99"/>
    <w:pPr>
      <w:tabs>
        <w:tab w:val="center" w:pos="4153"/>
        <w:tab w:val="right" w:pos="8306"/>
      </w:tabs>
    </w:pPr>
  </w:style>
  <w:style w:type="character" w:styleId="Hyperlink">
    <w:name w:val="Hyperlink"/>
    <w:rsid w:val="00D71B99"/>
    <w:rPr>
      <w:rFonts w:ascii="Dutch TL" w:hAnsi="Dutch TL"/>
      <w:noProof w:val="0"/>
      <w:color w:val="0000FF"/>
      <w:u w:val="single"/>
      <w:lang w:val="lv-LV"/>
    </w:rPr>
  </w:style>
  <w:style w:type="character" w:styleId="PageNumber">
    <w:name w:val="page number"/>
    <w:basedOn w:val="DefaultParagraphFont"/>
    <w:rsid w:val="0096245E"/>
  </w:style>
  <w:style w:type="paragraph" w:customStyle="1" w:styleId="naisc">
    <w:name w:val="naisc"/>
    <w:basedOn w:val="Normal"/>
    <w:rsid w:val="00F12D65"/>
    <w:pPr>
      <w:spacing w:before="100" w:beforeAutospacing="1" w:after="100" w:afterAutospacing="1"/>
    </w:pPr>
  </w:style>
  <w:style w:type="paragraph" w:customStyle="1" w:styleId="naisnod">
    <w:name w:val="naisnod"/>
    <w:basedOn w:val="Normal"/>
    <w:rsid w:val="00F12D65"/>
    <w:pPr>
      <w:spacing w:before="100" w:beforeAutospacing="1" w:after="100" w:afterAutospacing="1"/>
    </w:pPr>
  </w:style>
  <w:style w:type="paragraph" w:customStyle="1" w:styleId="naiskr">
    <w:name w:val="naiskr"/>
    <w:basedOn w:val="Normal"/>
    <w:rsid w:val="00F12D65"/>
    <w:pPr>
      <w:spacing w:before="100" w:beforeAutospacing="1" w:after="100" w:afterAutospacing="1"/>
    </w:pPr>
  </w:style>
  <w:style w:type="paragraph" w:customStyle="1" w:styleId="naisf">
    <w:name w:val="naisf"/>
    <w:basedOn w:val="Normal"/>
    <w:rsid w:val="00F12D65"/>
    <w:pPr>
      <w:spacing w:before="100" w:beforeAutospacing="1" w:after="100" w:afterAutospacing="1"/>
    </w:pPr>
  </w:style>
  <w:style w:type="paragraph" w:customStyle="1" w:styleId="naislab">
    <w:name w:val="naislab"/>
    <w:basedOn w:val="Normal"/>
    <w:rsid w:val="00F12D65"/>
    <w:pPr>
      <w:spacing w:before="100" w:beforeAutospacing="1" w:after="100" w:afterAutospacing="1"/>
    </w:pPr>
  </w:style>
  <w:style w:type="table" w:styleId="TableGrid">
    <w:name w:val="Table Grid"/>
    <w:basedOn w:val="TableNormal"/>
    <w:rsid w:val="00390C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390C1B"/>
    <w:rPr>
      <w:sz w:val="20"/>
      <w:szCs w:val="20"/>
    </w:rPr>
  </w:style>
  <w:style w:type="paragraph" w:customStyle="1" w:styleId="CharCharCharCharCharCharCharCharChar1CharChar">
    <w:name w:val="Char Char Char Char Char Char Char Char Char1 Char Char"/>
    <w:basedOn w:val="Normal"/>
    <w:rsid w:val="004E3B1C"/>
    <w:pPr>
      <w:spacing w:after="160" w:line="240" w:lineRule="exact"/>
    </w:pPr>
    <w:rPr>
      <w:rFonts w:ascii="Dutch TL" w:hAnsi="Dutch TL"/>
      <w:sz w:val="28"/>
      <w:szCs w:val="20"/>
      <w:lang w:eastAsia="zh-TW"/>
    </w:rPr>
  </w:style>
  <w:style w:type="paragraph" w:customStyle="1" w:styleId="CharCharCharCharCharCharCharCharChar">
    <w:name w:val="Char Char Char Char Char Char Char Char Char"/>
    <w:basedOn w:val="Normal"/>
    <w:rsid w:val="00026807"/>
    <w:pPr>
      <w:spacing w:before="40"/>
    </w:pPr>
    <w:rPr>
      <w:lang w:val="pl-PL" w:eastAsia="pl-PL"/>
    </w:rPr>
  </w:style>
  <w:style w:type="character" w:styleId="CommentReference">
    <w:name w:val="annotation reference"/>
    <w:semiHidden/>
    <w:rsid w:val="00F14291"/>
    <w:rPr>
      <w:sz w:val="16"/>
      <w:szCs w:val="16"/>
    </w:rPr>
  </w:style>
  <w:style w:type="paragraph" w:styleId="CommentText">
    <w:name w:val="annotation text"/>
    <w:basedOn w:val="Normal"/>
    <w:semiHidden/>
    <w:rsid w:val="00F14291"/>
    <w:rPr>
      <w:sz w:val="20"/>
      <w:szCs w:val="20"/>
    </w:rPr>
  </w:style>
  <w:style w:type="paragraph" w:styleId="CommentSubject">
    <w:name w:val="annotation subject"/>
    <w:basedOn w:val="CommentText"/>
    <w:next w:val="CommentText"/>
    <w:semiHidden/>
    <w:rsid w:val="00F14291"/>
    <w:rPr>
      <w:b/>
      <w:bCs/>
    </w:rPr>
  </w:style>
  <w:style w:type="paragraph" w:styleId="BalloonText">
    <w:name w:val="Balloon Text"/>
    <w:basedOn w:val="Normal"/>
    <w:semiHidden/>
    <w:rsid w:val="00F14291"/>
    <w:rPr>
      <w:rFonts w:ascii="Tahoma" w:hAnsi="Tahoma" w:cs="Tahoma"/>
      <w:sz w:val="16"/>
      <w:szCs w:val="16"/>
    </w:rPr>
  </w:style>
  <w:style w:type="paragraph" w:customStyle="1" w:styleId="CharChar">
    <w:name w:val="Char Char"/>
    <w:basedOn w:val="Normal"/>
    <w:rsid w:val="003E5661"/>
    <w:pPr>
      <w:spacing w:before="40"/>
    </w:pPr>
    <w:rPr>
      <w:lang w:val="pl-PL" w:eastAsia="pl-PL"/>
    </w:rPr>
  </w:style>
  <w:style w:type="paragraph" w:customStyle="1" w:styleId="naisvisr">
    <w:name w:val="naisvisr"/>
    <w:basedOn w:val="Normal"/>
    <w:rsid w:val="003E5661"/>
    <w:pPr>
      <w:spacing w:before="100" w:beforeAutospacing="1" w:after="100" w:afterAutospacing="1"/>
    </w:pPr>
  </w:style>
  <w:style w:type="paragraph" w:customStyle="1" w:styleId="tv20787921">
    <w:name w:val="tv207_87_921"/>
    <w:basedOn w:val="Normal"/>
    <w:rsid w:val="00E7528F"/>
    <w:pPr>
      <w:spacing w:after="567" w:line="360" w:lineRule="auto"/>
      <w:jc w:val="center"/>
    </w:pPr>
    <w:rPr>
      <w:rFonts w:ascii="Verdana" w:hAnsi="Verdana"/>
      <w:b/>
      <w:bCs/>
      <w:sz w:val="28"/>
      <w:szCs w:val="28"/>
    </w:rPr>
  </w:style>
  <w:style w:type="character" w:customStyle="1" w:styleId="FooterChar">
    <w:name w:val="Footer Char"/>
    <w:link w:val="Footer"/>
    <w:uiPriority w:val="99"/>
    <w:rsid w:val="00351358"/>
    <w:rPr>
      <w:sz w:val="24"/>
      <w:szCs w:val="24"/>
    </w:rPr>
  </w:style>
  <w:style w:type="character" w:customStyle="1" w:styleId="HeaderChar">
    <w:name w:val="Header Char"/>
    <w:link w:val="Header"/>
    <w:uiPriority w:val="99"/>
    <w:rsid w:val="003513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2426">
      <w:bodyDiv w:val="1"/>
      <w:marLeft w:val="0"/>
      <w:marRight w:val="0"/>
      <w:marTop w:val="0"/>
      <w:marBottom w:val="0"/>
      <w:divBdr>
        <w:top w:val="none" w:sz="0" w:space="0" w:color="auto"/>
        <w:left w:val="none" w:sz="0" w:space="0" w:color="auto"/>
        <w:bottom w:val="none" w:sz="0" w:space="0" w:color="auto"/>
        <w:right w:val="none" w:sz="0" w:space="0" w:color="auto"/>
      </w:divBdr>
    </w:div>
    <w:div w:id="633490384">
      <w:bodyDiv w:val="1"/>
      <w:marLeft w:val="0"/>
      <w:marRight w:val="0"/>
      <w:marTop w:val="0"/>
      <w:marBottom w:val="0"/>
      <w:divBdr>
        <w:top w:val="none" w:sz="0" w:space="0" w:color="auto"/>
        <w:left w:val="none" w:sz="0" w:space="0" w:color="auto"/>
        <w:bottom w:val="none" w:sz="0" w:space="0" w:color="auto"/>
        <w:right w:val="none" w:sz="0" w:space="0" w:color="auto"/>
      </w:divBdr>
      <w:divsChild>
        <w:div w:id="463083763">
          <w:marLeft w:val="0"/>
          <w:marRight w:val="0"/>
          <w:marTop w:val="0"/>
          <w:marBottom w:val="0"/>
          <w:divBdr>
            <w:top w:val="none" w:sz="0" w:space="0" w:color="auto"/>
            <w:left w:val="none" w:sz="0" w:space="0" w:color="auto"/>
            <w:bottom w:val="none" w:sz="0" w:space="0" w:color="auto"/>
            <w:right w:val="none" w:sz="0" w:space="0" w:color="auto"/>
          </w:divBdr>
          <w:divsChild>
            <w:div w:id="939220015">
              <w:marLeft w:val="0"/>
              <w:marRight w:val="0"/>
              <w:marTop w:val="0"/>
              <w:marBottom w:val="0"/>
              <w:divBdr>
                <w:top w:val="none" w:sz="0" w:space="0" w:color="auto"/>
                <w:left w:val="none" w:sz="0" w:space="0" w:color="auto"/>
                <w:bottom w:val="none" w:sz="0" w:space="0" w:color="auto"/>
                <w:right w:val="none" w:sz="0" w:space="0" w:color="auto"/>
              </w:divBdr>
              <w:divsChild>
                <w:div w:id="1913348177">
                  <w:marLeft w:val="0"/>
                  <w:marRight w:val="0"/>
                  <w:marTop w:val="0"/>
                  <w:marBottom w:val="0"/>
                  <w:divBdr>
                    <w:top w:val="none" w:sz="0" w:space="0" w:color="auto"/>
                    <w:left w:val="none" w:sz="0" w:space="0" w:color="auto"/>
                    <w:bottom w:val="none" w:sz="0" w:space="0" w:color="auto"/>
                    <w:right w:val="none" w:sz="0" w:space="0" w:color="auto"/>
                  </w:divBdr>
                  <w:divsChild>
                    <w:div w:id="117576621">
                      <w:marLeft w:val="0"/>
                      <w:marRight w:val="0"/>
                      <w:marTop w:val="0"/>
                      <w:marBottom w:val="0"/>
                      <w:divBdr>
                        <w:top w:val="none" w:sz="0" w:space="0" w:color="auto"/>
                        <w:left w:val="none" w:sz="0" w:space="0" w:color="auto"/>
                        <w:bottom w:val="none" w:sz="0" w:space="0" w:color="auto"/>
                        <w:right w:val="none" w:sz="0" w:space="0" w:color="auto"/>
                      </w:divBdr>
                      <w:divsChild>
                        <w:div w:id="946160755">
                          <w:marLeft w:val="0"/>
                          <w:marRight w:val="0"/>
                          <w:marTop w:val="0"/>
                          <w:marBottom w:val="0"/>
                          <w:divBdr>
                            <w:top w:val="none" w:sz="0" w:space="0" w:color="auto"/>
                            <w:left w:val="none" w:sz="0" w:space="0" w:color="auto"/>
                            <w:bottom w:val="none" w:sz="0" w:space="0" w:color="auto"/>
                            <w:right w:val="none" w:sz="0" w:space="0" w:color="auto"/>
                          </w:divBdr>
                          <w:divsChild>
                            <w:div w:id="605426265">
                              <w:marLeft w:val="0"/>
                              <w:marRight w:val="0"/>
                              <w:marTop w:val="0"/>
                              <w:marBottom w:val="0"/>
                              <w:divBdr>
                                <w:top w:val="none" w:sz="0" w:space="0" w:color="auto"/>
                                <w:left w:val="none" w:sz="0" w:space="0" w:color="auto"/>
                                <w:bottom w:val="none" w:sz="0" w:space="0" w:color="auto"/>
                                <w:right w:val="none" w:sz="0" w:space="0" w:color="auto"/>
                              </w:divBdr>
                              <w:divsChild>
                                <w:div w:id="861358203">
                                  <w:marLeft w:val="0"/>
                                  <w:marRight w:val="0"/>
                                  <w:marTop w:val="0"/>
                                  <w:marBottom w:val="0"/>
                                  <w:divBdr>
                                    <w:top w:val="none" w:sz="0" w:space="0" w:color="auto"/>
                                    <w:left w:val="none" w:sz="0" w:space="0" w:color="auto"/>
                                    <w:bottom w:val="none" w:sz="0" w:space="0" w:color="auto"/>
                                    <w:right w:val="none" w:sz="0" w:space="0" w:color="auto"/>
                                  </w:divBdr>
                                </w:div>
                              </w:divsChild>
                            </w:div>
                            <w:div w:id="16304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541005">
      <w:bodyDiv w:val="1"/>
      <w:marLeft w:val="0"/>
      <w:marRight w:val="0"/>
      <w:marTop w:val="0"/>
      <w:marBottom w:val="0"/>
      <w:divBdr>
        <w:top w:val="none" w:sz="0" w:space="0" w:color="auto"/>
        <w:left w:val="none" w:sz="0" w:space="0" w:color="auto"/>
        <w:bottom w:val="none" w:sz="0" w:space="0" w:color="auto"/>
        <w:right w:val="none" w:sz="0" w:space="0" w:color="auto"/>
      </w:divBdr>
    </w:div>
    <w:div w:id="157994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nis.Lapins@mod.gov.l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notes0D8B7A\NA%20projekta%20ANOT&#256;CIJA%202010%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07BD5-19B9-484B-9FD0-2C43393B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projekta ANOTĀCIJA 2010 (NEW).dot</Template>
  <TotalTime>1</TotalTime>
  <Pages>3</Pages>
  <Words>978</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Anotācija likumprojektam "Par ārkārtējo situāciju un izņēmuma stāvokli"</vt:lpstr>
    </vt:vector>
  </TitlesOfParts>
  <Manager>Krīzes vadības departaments</Manager>
  <Company>Aizsardzības ministrija</Company>
  <LinksUpToDate>false</LinksUpToDate>
  <CharactersWithSpaces>8101</CharactersWithSpaces>
  <SharedDoc>false</SharedDoc>
  <HLinks>
    <vt:vector size="6" baseType="variant">
      <vt:variant>
        <vt:i4>5308515</vt:i4>
      </vt:variant>
      <vt:variant>
        <vt:i4>3</vt:i4>
      </vt:variant>
      <vt:variant>
        <vt:i4>0</vt:i4>
      </vt:variant>
      <vt:variant>
        <vt:i4>5</vt:i4>
      </vt:variant>
      <vt:variant>
        <vt:lpwstr>mailto:Janis.Lapins@mod.gov.lv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likumprojektam "Par ārkārtējo situāciju un izņēmuma stāvokli"</dc:title>
  <dc:subject>Anotācija</dc:subject>
  <dc:creator>Kaspars Galkins</dc:creator>
  <dc:description>Kaspars Galkins_x000d_
tālr. 67335101 fakss. 67335130_x000d_
Kaspars.Galkins@mod.gov.lv</dc:description>
  <cp:lastModifiedBy>Janis Lapins</cp:lastModifiedBy>
  <cp:revision>3</cp:revision>
  <cp:lastPrinted>2013-09-11T09:22:00Z</cp:lastPrinted>
  <dcterms:created xsi:type="dcterms:W3CDTF">2013-09-11T09:23:00Z</dcterms:created>
  <dcterms:modified xsi:type="dcterms:W3CDTF">2013-09-12T11:28:00Z</dcterms:modified>
</cp:coreProperties>
</file>