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AC" w:rsidRPr="00716907" w:rsidRDefault="00210CAC" w:rsidP="00210CAC">
      <w:pPr>
        <w:jc w:val="center"/>
        <w:rPr>
          <w:b/>
          <w:sz w:val="26"/>
          <w:szCs w:val="26"/>
        </w:rPr>
      </w:pPr>
      <w:r w:rsidRPr="00716907">
        <w:rPr>
          <w:b/>
          <w:sz w:val="26"/>
          <w:szCs w:val="26"/>
        </w:rPr>
        <w:t>Ministru kabineta noteikumu projekta „</w:t>
      </w:r>
      <w:r w:rsidR="000728ED">
        <w:rPr>
          <w:b/>
          <w:sz w:val="26"/>
          <w:szCs w:val="26"/>
        </w:rPr>
        <w:t>Noteikumi par Latvijas Nacionālās aizsardzības akadēmijas sniegto maksas pakalpojuma cenrādi”</w:t>
      </w:r>
      <w:r w:rsidR="00902A47">
        <w:rPr>
          <w:b/>
          <w:sz w:val="26"/>
          <w:szCs w:val="26"/>
        </w:rPr>
        <w:t>”</w:t>
      </w:r>
    </w:p>
    <w:p w:rsidR="00210CAC" w:rsidRPr="00716907" w:rsidRDefault="00210CAC" w:rsidP="00210CAC">
      <w:pPr>
        <w:jc w:val="center"/>
        <w:rPr>
          <w:b/>
          <w:sz w:val="26"/>
          <w:szCs w:val="26"/>
        </w:rPr>
      </w:pPr>
      <w:r w:rsidRPr="00716907">
        <w:rPr>
          <w:b/>
          <w:sz w:val="26"/>
          <w:szCs w:val="26"/>
        </w:rPr>
        <w:t>sākotnējās ietekmes novērtējuma ziņojums (anotācija)</w:t>
      </w:r>
    </w:p>
    <w:p w:rsidR="00210CAC" w:rsidRPr="009A2715" w:rsidRDefault="00210CAC" w:rsidP="00210CAC">
      <w:pPr>
        <w:jc w:val="center"/>
        <w:rPr>
          <w:b/>
          <w:sz w:val="28"/>
          <w:szCs w:val="28"/>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6681"/>
      </w:tblGrid>
      <w:tr w:rsidR="00210CAC" w:rsidRPr="00155FCC" w:rsidTr="00E72159">
        <w:trPr>
          <w:trHeight w:val="171"/>
        </w:trPr>
        <w:tc>
          <w:tcPr>
            <w:tcW w:w="5000" w:type="pct"/>
            <w:gridSpan w:val="2"/>
          </w:tcPr>
          <w:p w:rsidR="00210CAC" w:rsidRDefault="00210CAC" w:rsidP="00253E48">
            <w:pPr>
              <w:pStyle w:val="naisc"/>
              <w:spacing w:before="0" w:after="0"/>
              <w:rPr>
                <w:b/>
                <w:bCs/>
                <w:sz w:val="24"/>
                <w:szCs w:val="24"/>
              </w:rPr>
            </w:pPr>
          </w:p>
          <w:p w:rsidR="00210CAC" w:rsidRDefault="00210CAC" w:rsidP="00253E48">
            <w:pPr>
              <w:pStyle w:val="naisc"/>
              <w:spacing w:before="0" w:after="0"/>
              <w:rPr>
                <w:b/>
                <w:bCs/>
                <w:sz w:val="24"/>
                <w:szCs w:val="24"/>
              </w:rPr>
            </w:pPr>
            <w:r w:rsidRPr="00E44A25">
              <w:rPr>
                <w:b/>
                <w:bCs/>
                <w:sz w:val="24"/>
                <w:szCs w:val="24"/>
              </w:rPr>
              <w:t>I. Tiesību akta projekta izstrādes nepieciešamība</w:t>
            </w:r>
          </w:p>
          <w:p w:rsidR="00210CAC" w:rsidRPr="00E44A25" w:rsidRDefault="00210CAC" w:rsidP="00253E48">
            <w:pPr>
              <w:pStyle w:val="naisc"/>
              <w:spacing w:before="0" w:after="0"/>
              <w:rPr>
                <w:sz w:val="24"/>
                <w:szCs w:val="24"/>
              </w:rPr>
            </w:pPr>
          </w:p>
        </w:tc>
      </w:tr>
      <w:tr w:rsidR="00210CAC" w:rsidRPr="00155FCC" w:rsidTr="00E72159">
        <w:tc>
          <w:tcPr>
            <w:tcW w:w="1527" w:type="pct"/>
          </w:tcPr>
          <w:p w:rsidR="00210CAC" w:rsidRPr="00155FCC" w:rsidRDefault="00210CAC" w:rsidP="00253E48">
            <w:pPr>
              <w:pStyle w:val="naisf"/>
              <w:tabs>
                <w:tab w:val="left" w:pos="180"/>
              </w:tabs>
              <w:spacing w:before="0" w:after="0"/>
              <w:ind w:firstLine="0"/>
            </w:pPr>
            <w:r w:rsidRPr="00155FCC">
              <w:t>1.Pamatojums</w:t>
            </w:r>
          </w:p>
        </w:tc>
        <w:tc>
          <w:tcPr>
            <w:tcW w:w="3473" w:type="pct"/>
          </w:tcPr>
          <w:p w:rsidR="00210CAC" w:rsidRPr="00C47927" w:rsidRDefault="00C24ADC" w:rsidP="00E75FF7">
            <w:pPr>
              <w:jc w:val="both"/>
              <w:rPr>
                <w:color w:val="FF0000"/>
              </w:rPr>
            </w:pPr>
            <w:r>
              <w:rPr>
                <w:i/>
              </w:rPr>
              <w:t xml:space="preserve">      </w:t>
            </w:r>
            <w:r w:rsidR="0067767F" w:rsidRPr="0067767F">
              <w:t xml:space="preserve">Likuma par budžetu un finanšu vadību 5.panta </w:t>
            </w:r>
            <w:r w:rsidR="00E75FF7">
              <w:t xml:space="preserve">devītā </w:t>
            </w:r>
            <w:r w:rsidR="0067767F">
              <w:t>d</w:t>
            </w:r>
            <w:r w:rsidR="0067767F" w:rsidRPr="0067767F">
              <w:t>aļa</w:t>
            </w:r>
            <w:r w:rsidR="0067767F">
              <w:t>,</w:t>
            </w:r>
            <w:r>
              <w:rPr>
                <w:i/>
              </w:rPr>
              <w:t xml:space="preserve"> </w:t>
            </w:r>
            <w:r w:rsidR="003875C3" w:rsidRPr="003875C3">
              <w:rPr>
                <w:i/>
              </w:rPr>
              <w:t>Euro</w:t>
            </w:r>
            <w:r w:rsidR="003875C3">
              <w:t xml:space="preserve"> ieviešanas kārtības likuma 30.panta pirmā un ceturtā daļa, </w:t>
            </w:r>
            <w:r w:rsidR="00210CAC" w:rsidRPr="00F6414C">
              <w:t xml:space="preserve">Ministru kabineta </w:t>
            </w:r>
            <w:r w:rsidR="003875C3">
              <w:t>2012.gada 27.jūnija rīkojuma Nr.282 „Par „</w:t>
            </w:r>
            <w:r w:rsidR="003875C3" w:rsidRPr="003875C3">
              <w:t>Koncepciju par normatīvo aktu sakārtošanu sai</w:t>
            </w:r>
            <w:r w:rsidR="003875C3">
              <w:t>stībā ar eiro ieviešanu Latvijā”” 7.1.apakšpunkt</w:t>
            </w:r>
            <w:r w:rsidR="002E1F9E">
              <w:t>s</w:t>
            </w:r>
            <w:r w:rsidR="003875C3">
              <w:t xml:space="preserve"> un Latvijas Nacionālā </w:t>
            </w:r>
            <w:r w:rsidR="003875C3" w:rsidRPr="003875C3">
              <w:rPr>
                <w:i/>
              </w:rPr>
              <w:t>euro</w:t>
            </w:r>
            <w:r w:rsidR="003875C3">
              <w:t xml:space="preserve"> ieviešanas plāna (apstiprināts ar MK 2013.gada 4.aprīļa rīkojumu Nr.136) 1.pielikuma </w:t>
            </w:r>
            <w:r w:rsidR="002E1F9E">
              <w:t>J2.2.</w:t>
            </w:r>
            <w:r w:rsidR="00771F27">
              <w:t>2</w:t>
            </w:r>
            <w:r w:rsidR="002E1F9E">
              <w:t>.apakšpunkts</w:t>
            </w:r>
            <w:r w:rsidR="00E75FF7">
              <w:t>, Pievienotās vērtības nodokļa likums.</w:t>
            </w:r>
          </w:p>
        </w:tc>
      </w:tr>
      <w:tr w:rsidR="00210CAC" w:rsidRPr="00155FCC" w:rsidTr="00E72159">
        <w:tc>
          <w:tcPr>
            <w:tcW w:w="1527" w:type="pct"/>
          </w:tcPr>
          <w:p w:rsidR="00210CAC" w:rsidRPr="00155FCC" w:rsidRDefault="00210CAC" w:rsidP="00253E48">
            <w:pPr>
              <w:pStyle w:val="naisf"/>
              <w:tabs>
                <w:tab w:val="left" w:pos="180"/>
              </w:tabs>
              <w:spacing w:before="0" w:after="0"/>
              <w:ind w:firstLine="0"/>
              <w:jc w:val="left"/>
            </w:pPr>
            <w:r w:rsidRPr="00155FCC">
              <w:t>2.Pašreizējā situācija un problēmas</w:t>
            </w:r>
          </w:p>
          <w:p w:rsidR="00210CAC" w:rsidRPr="00155FCC" w:rsidRDefault="00210CAC" w:rsidP="00253E48">
            <w:pPr>
              <w:pStyle w:val="naisf"/>
              <w:tabs>
                <w:tab w:val="left" w:pos="180"/>
              </w:tabs>
              <w:spacing w:before="0" w:after="0"/>
              <w:ind w:firstLine="0"/>
              <w:jc w:val="left"/>
            </w:pPr>
          </w:p>
          <w:p w:rsidR="00210CAC" w:rsidRPr="00155FCC" w:rsidRDefault="00210CAC" w:rsidP="00253E48">
            <w:pPr>
              <w:pStyle w:val="naisf"/>
              <w:tabs>
                <w:tab w:val="left" w:pos="180"/>
              </w:tabs>
              <w:spacing w:before="0" w:after="0"/>
              <w:ind w:firstLine="0"/>
              <w:jc w:val="left"/>
            </w:pPr>
          </w:p>
        </w:tc>
        <w:tc>
          <w:tcPr>
            <w:tcW w:w="3473" w:type="pct"/>
          </w:tcPr>
          <w:p w:rsidR="00AD7E1E" w:rsidRDefault="00E75FF7" w:rsidP="00860203">
            <w:pPr>
              <w:autoSpaceDE w:val="0"/>
              <w:autoSpaceDN w:val="0"/>
              <w:adjustRightInd w:val="0"/>
              <w:ind w:firstLine="464"/>
              <w:jc w:val="both"/>
            </w:pPr>
            <w:r>
              <w:t>Tā kā 2014.gada 1.janvārī</w:t>
            </w:r>
            <w:r w:rsidR="00546C31">
              <w:t xml:space="preserve"> Latvijā </w:t>
            </w:r>
            <w:r>
              <w:t>tiks</w:t>
            </w:r>
            <w:r w:rsidR="00546C31">
              <w:t xml:space="preserve"> ieviest</w:t>
            </w:r>
            <w:r>
              <w:t>a Eiropas vienotā valūta -</w:t>
            </w:r>
            <w:r w:rsidR="00546C31">
              <w:t xml:space="preserve"> </w:t>
            </w:r>
            <w:r w:rsidR="00546C31" w:rsidRPr="00546C31">
              <w:rPr>
                <w:i/>
              </w:rPr>
              <w:t>euro</w:t>
            </w:r>
            <w:r w:rsidR="00546C31">
              <w:t xml:space="preserve">, ir nepieciešams </w:t>
            </w:r>
            <w:r w:rsidR="00860203">
              <w:t>pielāgot</w:t>
            </w:r>
            <w:r w:rsidR="00546C31">
              <w:t xml:space="preserve"> </w:t>
            </w:r>
            <w:r w:rsidR="00AD7E1E">
              <w:t>M</w:t>
            </w:r>
            <w:r w:rsidR="00860203">
              <w:t>inistru kabineta</w:t>
            </w:r>
            <w:r w:rsidR="00AD7E1E">
              <w:t xml:space="preserve"> </w:t>
            </w:r>
            <w:r w:rsidR="003D6CCC">
              <w:t xml:space="preserve">2011.gada 11.oktobra </w:t>
            </w:r>
            <w:r w:rsidR="00AD7E1E">
              <w:t>noteikum</w:t>
            </w:r>
            <w:r w:rsidR="00860203">
              <w:t>u</w:t>
            </w:r>
            <w:r w:rsidR="00AD7E1E">
              <w:t>s Nr.778</w:t>
            </w:r>
            <w:r w:rsidR="00860203">
              <w:t xml:space="preserve"> „Noteikumi par Latvijas Nacionālās aizsardzības akadēmijas sniegto maksas pakalpojumu cenrādi” (turpmāk – MK noteikumi Nr.778)</w:t>
            </w:r>
            <w:r w:rsidR="00546C31">
              <w:t xml:space="preserve">, </w:t>
            </w:r>
            <w:r w:rsidR="00860203" w:rsidRPr="00860203">
              <w:rPr>
                <w:i/>
              </w:rPr>
              <w:t>euro</w:t>
            </w:r>
            <w:r w:rsidR="00860203">
              <w:t xml:space="preserve"> ieviešanai, </w:t>
            </w:r>
            <w:r w:rsidRPr="00860203">
              <w:t>nosakot</w:t>
            </w:r>
            <w:r>
              <w:t xml:space="preserve"> </w:t>
            </w:r>
            <w:r w:rsidR="00860203">
              <w:t xml:space="preserve">Latvijas Nacionālās aizsardzības </w:t>
            </w:r>
            <w:r>
              <w:t xml:space="preserve">akadēmijas </w:t>
            </w:r>
            <w:r w:rsidR="00860203">
              <w:t xml:space="preserve">(turpmāk – akadēmija) </w:t>
            </w:r>
            <w:r>
              <w:t xml:space="preserve">sniegtajam maksas pakalpojumam – dalības maksai </w:t>
            </w:r>
            <w:r w:rsidR="00AD7E1E">
              <w:t>NATO</w:t>
            </w:r>
            <w:r>
              <w:t xml:space="preserve"> mācību kursā, cenu</w:t>
            </w:r>
            <w:r w:rsidR="00546C31">
              <w:t xml:space="preserve"> </w:t>
            </w:r>
            <w:r w:rsidR="00546C31" w:rsidRPr="00546C31">
              <w:rPr>
                <w:i/>
              </w:rPr>
              <w:t>euro</w:t>
            </w:r>
            <w:r>
              <w:t xml:space="preserve"> valūtā</w:t>
            </w:r>
            <w:r w:rsidR="00546C31">
              <w:t>.</w:t>
            </w:r>
            <w:r w:rsidR="009900A9">
              <w:t xml:space="preserve"> </w:t>
            </w:r>
          </w:p>
          <w:p w:rsidR="00546C31" w:rsidRDefault="006C1FA8" w:rsidP="00AC4027">
            <w:pPr>
              <w:autoSpaceDE w:val="0"/>
              <w:autoSpaceDN w:val="0"/>
              <w:adjustRightInd w:val="0"/>
              <w:ind w:firstLine="465"/>
              <w:jc w:val="both"/>
            </w:pPr>
            <w:r>
              <w:t>Vienlaikus nepieciešams precizēt MK noteikumu Nr.778 pielikumā norādīto atsauci uz likumu, kas regulē pievienotās vērtības nodokļa piemērošanu akadēmijas pakalpojumam, tā kā likums „Par pievienotās vērtības nodokli” zaudējis spēku ar Pievienotās vērtības nodokļa likuma spēk</w:t>
            </w:r>
            <w:r w:rsidR="00AC4027">
              <w:t>ā stāšanos 2013.gada 1.janvārī.</w:t>
            </w:r>
          </w:p>
          <w:p w:rsidR="00860203" w:rsidRDefault="0089660C" w:rsidP="00860203">
            <w:pPr>
              <w:autoSpaceDE w:val="0"/>
              <w:autoSpaceDN w:val="0"/>
              <w:adjustRightInd w:val="0"/>
              <w:ind w:firstLine="464"/>
              <w:jc w:val="both"/>
            </w:pPr>
            <w:r>
              <w:t xml:space="preserve">Ņemot vērā, ka saistībā ar </w:t>
            </w:r>
            <w:r w:rsidRPr="0089660C">
              <w:t>iepriek</w:t>
            </w:r>
            <w:r>
              <w:t xml:space="preserve">š </w:t>
            </w:r>
            <w:r w:rsidRPr="0089660C">
              <w:t>minēto</w:t>
            </w:r>
            <w:r>
              <w:t xml:space="preserve"> grozījumu veikšanu, būtu jāgroza vairāk kā puse no normatīvā akta apjoma, ir sagatavots jauna normatīvā akta projekts, kas noteiks akadēmijas sniegtā maksas pakalpojuma cenu </w:t>
            </w:r>
            <w:r>
              <w:rPr>
                <w:i/>
              </w:rPr>
              <w:t>euro</w:t>
            </w:r>
            <w:r>
              <w:t xml:space="preserve">, kas būs spēkā no 2014.gada 1.janvāra, t.i. no </w:t>
            </w:r>
            <w:r>
              <w:rPr>
                <w:i/>
              </w:rPr>
              <w:t xml:space="preserve">euro </w:t>
            </w:r>
            <w:r>
              <w:t>ieviešanas dienas.</w:t>
            </w:r>
            <w:r w:rsidR="00860203">
              <w:t xml:space="preserve"> </w:t>
            </w:r>
          </w:p>
          <w:p w:rsidR="0089660C" w:rsidRPr="00860203" w:rsidRDefault="00860203" w:rsidP="00860203">
            <w:pPr>
              <w:autoSpaceDE w:val="0"/>
              <w:autoSpaceDN w:val="0"/>
              <w:adjustRightInd w:val="0"/>
              <w:ind w:firstLine="464"/>
              <w:jc w:val="both"/>
              <w:rPr>
                <w:i/>
              </w:rPr>
            </w:pPr>
            <w:r>
              <w:t xml:space="preserve">Ievērojot, ka, norēķinoties par akadēmijas sniegto pakalpojumu, personas veic tikai bezskaidras naudas maksājumus </w:t>
            </w:r>
            <w:r w:rsidRPr="007C0C3A">
              <w:rPr>
                <w:i/>
              </w:rPr>
              <w:t>euro</w:t>
            </w:r>
            <w:r>
              <w:t xml:space="preserve">, projekts neparedz latu cenrāža (t.i. MK noteikumu Nr.778) piemērošanu vienlaicīgas apgrozības periodā. </w:t>
            </w:r>
          </w:p>
        </w:tc>
      </w:tr>
      <w:tr w:rsidR="00210CAC" w:rsidRPr="00155FCC" w:rsidTr="00E72159">
        <w:trPr>
          <w:trHeight w:val="426"/>
        </w:trPr>
        <w:tc>
          <w:tcPr>
            <w:tcW w:w="1527" w:type="pct"/>
          </w:tcPr>
          <w:p w:rsidR="00210CAC" w:rsidRPr="00155FCC" w:rsidRDefault="00210CAC" w:rsidP="00253E48">
            <w:pPr>
              <w:pStyle w:val="naisf"/>
              <w:tabs>
                <w:tab w:val="left" w:pos="180"/>
              </w:tabs>
              <w:spacing w:before="0" w:after="0"/>
              <w:ind w:firstLine="0"/>
              <w:jc w:val="left"/>
            </w:pPr>
            <w:r w:rsidRPr="00155FCC">
              <w:t>3.Saistītie politikas ietekmes novērtējumi un pētījumi</w:t>
            </w:r>
          </w:p>
        </w:tc>
        <w:tc>
          <w:tcPr>
            <w:tcW w:w="3473" w:type="pct"/>
          </w:tcPr>
          <w:p w:rsidR="00210CAC" w:rsidRPr="00155FCC" w:rsidRDefault="002926D6" w:rsidP="002926D6">
            <w:pPr>
              <w:jc w:val="both"/>
            </w:pPr>
            <w:r>
              <w:t>Projekts šo jomu neskar</w:t>
            </w:r>
            <w:r w:rsidR="00C24ADC">
              <w:t>.</w:t>
            </w:r>
          </w:p>
        </w:tc>
      </w:tr>
      <w:tr w:rsidR="00210CAC" w:rsidRPr="00155FCC" w:rsidTr="00E72159">
        <w:tc>
          <w:tcPr>
            <w:tcW w:w="1527" w:type="pct"/>
          </w:tcPr>
          <w:p w:rsidR="00210CAC" w:rsidRPr="00155FCC" w:rsidRDefault="00210CAC" w:rsidP="00253E48">
            <w:pPr>
              <w:pStyle w:val="NormalWeb"/>
              <w:tabs>
                <w:tab w:val="left" w:pos="180"/>
              </w:tabs>
              <w:spacing w:before="0" w:beforeAutospacing="0" w:after="0" w:afterAutospacing="0"/>
            </w:pPr>
            <w:r w:rsidRPr="00155FCC">
              <w:t>4.Tiesiskā regulējuma mērķis un būtība</w:t>
            </w:r>
          </w:p>
          <w:p w:rsidR="00210CAC" w:rsidRPr="00155FCC" w:rsidRDefault="00210CAC" w:rsidP="00253E48">
            <w:pPr>
              <w:pStyle w:val="NormalWeb"/>
              <w:tabs>
                <w:tab w:val="left" w:pos="180"/>
              </w:tabs>
              <w:spacing w:before="0" w:beforeAutospacing="0" w:after="0" w:afterAutospacing="0"/>
            </w:pPr>
          </w:p>
        </w:tc>
        <w:tc>
          <w:tcPr>
            <w:tcW w:w="3473" w:type="pct"/>
          </w:tcPr>
          <w:p w:rsidR="00406E0B" w:rsidRDefault="00C24ADC" w:rsidP="00253E48">
            <w:pPr>
              <w:autoSpaceDE w:val="0"/>
              <w:autoSpaceDN w:val="0"/>
              <w:adjustRightInd w:val="0"/>
              <w:jc w:val="both"/>
            </w:pPr>
            <w:r>
              <w:t xml:space="preserve">       </w:t>
            </w:r>
            <w:r w:rsidR="00E10CD2">
              <w:t>P</w:t>
            </w:r>
            <w:r>
              <w:t>rojekts paredz</w:t>
            </w:r>
            <w:r w:rsidR="00406E0B">
              <w:t>:</w:t>
            </w:r>
          </w:p>
          <w:p w:rsidR="00860203" w:rsidRDefault="00860203" w:rsidP="003D6CCC">
            <w:pPr>
              <w:pStyle w:val="ListParagraph"/>
              <w:numPr>
                <w:ilvl w:val="0"/>
                <w:numId w:val="5"/>
              </w:numPr>
              <w:tabs>
                <w:tab w:val="left" w:pos="317"/>
              </w:tabs>
              <w:autoSpaceDE w:val="0"/>
              <w:autoSpaceDN w:val="0"/>
              <w:adjustRightInd w:val="0"/>
              <w:ind w:left="323" w:hanging="323"/>
              <w:jc w:val="both"/>
            </w:pPr>
            <w:r>
              <w:t xml:space="preserve">noteikt akadēmijas sniegtā maksas pakalpojuma cenu – </w:t>
            </w:r>
            <w:r w:rsidRPr="003209CF">
              <w:t>viena dalībnieka vienas nedēļas dalības maksu akadēmijas organizētajā NATO mācību kursā</w:t>
            </w:r>
            <w:r>
              <w:t xml:space="preserve">, </w:t>
            </w:r>
            <w:r w:rsidRPr="003D6CCC">
              <w:rPr>
                <w:i/>
              </w:rPr>
              <w:t>euro</w:t>
            </w:r>
            <w:r>
              <w:t xml:space="preserve"> valūtā, pamatojoties uz Eiro ieviešanas kārtības likuma 6.pantā paredzētajiem principiem, t.i.  </w:t>
            </w:r>
            <w:r w:rsidR="003D6CCC">
              <w:t xml:space="preserve">konvertējot MK noteikumos Nr.778 noteikto </w:t>
            </w:r>
            <w:r w:rsidR="003D6CCC">
              <w:lastRenderedPageBreak/>
              <w:t xml:space="preserve">akadēmijas sniegtā maksas pakalpojuma cenu no latiem uz </w:t>
            </w:r>
            <w:r w:rsidR="003D6CCC">
              <w:rPr>
                <w:i/>
              </w:rPr>
              <w:t xml:space="preserve">euro </w:t>
            </w:r>
            <w:r w:rsidR="003D6CCC">
              <w:t>saskaņā ar Eiropas Savienības Padomes noteikto valūtu maiņas kursu (EUR 1 = LVL 0,702804) un noapaļojot līdz tuvākajam centam. Pro</w:t>
            </w:r>
            <w:r>
              <w:t>jektā iekļautās tiesību normas</w:t>
            </w:r>
            <w:r w:rsidRPr="003D6CCC">
              <w:rPr>
                <w:i/>
              </w:rPr>
              <w:t xml:space="preserve"> euro</w:t>
            </w:r>
            <w:r>
              <w:t xml:space="preserve"> valūtā nav personām nelabvēlīgākas par projektā paredzēto tiesību normu latos un nerada vērā ņemamu negatīvu ietekmi uz valsts b</w:t>
            </w:r>
            <w:r w:rsidR="003D6CCC">
              <w:t>udžetu;</w:t>
            </w:r>
          </w:p>
          <w:p w:rsidR="003209CF" w:rsidRDefault="003209CF" w:rsidP="003D6CCC">
            <w:pPr>
              <w:pStyle w:val="ListParagraph"/>
              <w:numPr>
                <w:ilvl w:val="0"/>
                <w:numId w:val="5"/>
              </w:numPr>
              <w:tabs>
                <w:tab w:val="left" w:pos="323"/>
              </w:tabs>
              <w:autoSpaceDE w:val="0"/>
              <w:autoSpaceDN w:val="0"/>
              <w:adjustRightInd w:val="0"/>
              <w:ind w:left="323" w:hanging="323"/>
              <w:jc w:val="both"/>
            </w:pPr>
            <w:r>
              <w:t xml:space="preserve">precizēt </w:t>
            </w:r>
            <w:r w:rsidR="0089660C">
              <w:t xml:space="preserve">šobrīd </w:t>
            </w:r>
            <w:r>
              <w:t xml:space="preserve">MK noteikumu Nr.778 pielikumā norādīto atsauci uz pievienotās vērtības nodokļa jomu regulējošo normatīvo aktu, norādot Pievienotās vērtības nodokļa likuma attiecīgo pantu, </w:t>
            </w:r>
            <w:r w:rsidRPr="00C967DD">
              <w:t xml:space="preserve">saskaņā ar kuru </w:t>
            </w:r>
            <w:r w:rsidR="003214FE">
              <w:t xml:space="preserve">akadēmijas sniegtajam </w:t>
            </w:r>
            <w:r w:rsidRPr="00C967DD">
              <w:t>maksas pakalpojumam nepiemēro</w:t>
            </w:r>
            <w:r w:rsidR="003D6CCC">
              <w:t xml:space="preserve"> pievienotās vērtības nodokli.</w:t>
            </w:r>
          </w:p>
          <w:p w:rsidR="009A12E9" w:rsidRPr="00155FCC" w:rsidRDefault="009A12E9" w:rsidP="001119CF">
            <w:pPr>
              <w:autoSpaceDE w:val="0"/>
              <w:autoSpaceDN w:val="0"/>
              <w:adjustRightInd w:val="0"/>
              <w:ind w:left="39" w:firstLine="321"/>
              <w:jc w:val="both"/>
            </w:pPr>
          </w:p>
        </w:tc>
      </w:tr>
      <w:tr w:rsidR="00210CAC" w:rsidRPr="00155FCC" w:rsidTr="00E72159">
        <w:tc>
          <w:tcPr>
            <w:tcW w:w="1527" w:type="pct"/>
          </w:tcPr>
          <w:p w:rsidR="00210CAC" w:rsidRPr="00155FCC" w:rsidRDefault="00210CAC" w:rsidP="00253E48">
            <w:pPr>
              <w:pStyle w:val="NormalWeb"/>
              <w:tabs>
                <w:tab w:val="left" w:pos="180"/>
              </w:tabs>
              <w:spacing w:before="0" w:beforeAutospacing="0" w:after="0" w:afterAutospacing="0"/>
            </w:pPr>
            <w:r w:rsidRPr="00155FCC">
              <w:lastRenderedPageBreak/>
              <w:t>5.Projekta izstrādē iesaistītās institūcijas</w:t>
            </w:r>
          </w:p>
        </w:tc>
        <w:tc>
          <w:tcPr>
            <w:tcW w:w="3473" w:type="pct"/>
          </w:tcPr>
          <w:p w:rsidR="00210CAC" w:rsidRPr="00155FCC" w:rsidRDefault="00247C2D" w:rsidP="00DA0ED1">
            <w:pPr>
              <w:autoSpaceDE w:val="0"/>
              <w:autoSpaceDN w:val="0"/>
              <w:adjustRightInd w:val="0"/>
              <w:jc w:val="both"/>
            </w:pPr>
            <w:r>
              <w:t>Projekts šo jomu neskar</w:t>
            </w:r>
            <w:r w:rsidR="000A207F">
              <w:t>.</w:t>
            </w:r>
          </w:p>
        </w:tc>
      </w:tr>
      <w:tr w:rsidR="00210CAC" w:rsidRPr="00155FCC" w:rsidTr="00E72159">
        <w:tc>
          <w:tcPr>
            <w:tcW w:w="1527" w:type="pct"/>
          </w:tcPr>
          <w:p w:rsidR="00210CAC" w:rsidRPr="00155FCC" w:rsidRDefault="00210CAC" w:rsidP="00253E48">
            <w:pPr>
              <w:pStyle w:val="NormalWeb"/>
              <w:tabs>
                <w:tab w:val="left" w:pos="180"/>
              </w:tabs>
              <w:spacing w:before="0" w:beforeAutospacing="0" w:after="0" w:afterAutospacing="0"/>
            </w:pPr>
            <w:r w:rsidRPr="00155FCC">
              <w:t>6.Iemesli, kādēļ netika nodrošināta sabiedrības līdzdalība</w:t>
            </w:r>
          </w:p>
        </w:tc>
        <w:tc>
          <w:tcPr>
            <w:tcW w:w="3473" w:type="pct"/>
          </w:tcPr>
          <w:p w:rsidR="00210CAC" w:rsidRPr="00155FCC" w:rsidRDefault="00DA0ED1" w:rsidP="00A265B6">
            <w:pPr>
              <w:autoSpaceDE w:val="0"/>
              <w:autoSpaceDN w:val="0"/>
              <w:adjustRightInd w:val="0"/>
              <w:ind w:firstLine="464"/>
              <w:jc w:val="both"/>
            </w:pPr>
            <w:r>
              <w:t>Sabiedrības līdzdalība projekta izstrādē netika nodrošināta, jo projekts nemaina pastāvošo tiesisko reg</w:t>
            </w:r>
            <w:r w:rsidR="00A265B6">
              <w:t>ulējumu pēc būtības.</w:t>
            </w:r>
          </w:p>
        </w:tc>
      </w:tr>
      <w:tr w:rsidR="00210CAC" w:rsidRPr="00155FCC" w:rsidTr="00C75753">
        <w:trPr>
          <w:trHeight w:val="220"/>
        </w:trPr>
        <w:tc>
          <w:tcPr>
            <w:tcW w:w="1527" w:type="pct"/>
          </w:tcPr>
          <w:p w:rsidR="00210CAC" w:rsidRPr="00155FCC" w:rsidRDefault="00210CAC" w:rsidP="00253E48">
            <w:pPr>
              <w:pStyle w:val="NormalWeb"/>
              <w:tabs>
                <w:tab w:val="left" w:pos="180"/>
              </w:tabs>
              <w:spacing w:before="0" w:beforeAutospacing="0" w:after="0" w:afterAutospacing="0"/>
            </w:pPr>
            <w:r w:rsidRPr="00155FCC">
              <w:t>7.Cita informācij</w:t>
            </w:r>
            <w:r>
              <w:t>a</w:t>
            </w:r>
          </w:p>
        </w:tc>
        <w:tc>
          <w:tcPr>
            <w:tcW w:w="3473" w:type="pct"/>
          </w:tcPr>
          <w:p w:rsidR="00C75753" w:rsidRPr="00155FCC" w:rsidRDefault="00C75753" w:rsidP="00A265B6">
            <w:pPr>
              <w:ind w:firstLine="464"/>
              <w:jc w:val="both"/>
            </w:pPr>
            <w:r w:rsidRPr="00C75753">
              <w:t xml:space="preserve">Saskaņā ar </w:t>
            </w:r>
            <w:r w:rsidRPr="00C75753">
              <w:rPr>
                <w:i/>
              </w:rPr>
              <w:t>Euro</w:t>
            </w:r>
            <w:r w:rsidRPr="00C75753">
              <w:t xml:space="preserve"> ieviešanas kārtības likuma 13.panta pirmo daļu preču un pakalpojumu cenu paralēlās atspoguļošanas periods sākas trīs mēnešus pirms </w:t>
            </w:r>
            <w:r w:rsidRPr="00C75753">
              <w:rPr>
                <w:i/>
              </w:rPr>
              <w:t>euro</w:t>
            </w:r>
            <w:r w:rsidRPr="00C75753">
              <w:t xml:space="preserve"> ieviešanas dienas, tādēļ šim projektam ir jābūt izskatītam </w:t>
            </w:r>
            <w:r>
              <w:t>M</w:t>
            </w:r>
            <w:r w:rsidR="007C0C3A">
              <w:t xml:space="preserve">inistru kabinetā </w:t>
            </w:r>
            <w:r w:rsidRPr="00C75753">
              <w:t>un publicētam oficiālajā izdevumā „Latvijas Vēstnesis” līdz 2013.gada 1.oktobrim</w:t>
            </w:r>
            <w:r>
              <w:t>.</w:t>
            </w:r>
          </w:p>
        </w:tc>
      </w:tr>
    </w:tbl>
    <w:p w:rsidR="009900A9" w:rsidRDefault="009900A9"/>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765"/>
        <w:gridCol w:w="1562"/>
        <w:gridCol w:w="1702"/>
        <w:gridCol w:w="1558"/>
        <w:gridCol w:w="1287"/>
      </w:tblGrid>
      <w:tr w:rsidR="00210CAC" w:rsidRPr="007C0F2C" w:rsidTr="00A265B6">
        <w:trPr>
          <w:trHeight w:val="259"/>
        </w:trPr>
        <w:tc>
          <w:tcPr>
            <w:tcW w:w="5000" w:type="pct"/>
            <w:gridSpan w:val="6"/>
          </w:tcPr>
          <w:p w:rsidR="00210CAC" w:rsidRDefault="00210CAC" w:rsidP="00253E48">
            <w:pPr>
              <w:pStyle w:val="naisnod"/>
              <w:spacing w:before="0" w:after="0"/>
            </w:pPr>
          </w:p>
          <w:p w:rsidR="00210CAC" w:rsidRDefault="00210CAC" w:rsidP="00253E48">
            <w:pPr>
              <w:pStyle w:val="naisnod"/>
              <w:spacing w:before="0" w:after="0"/>
            </w:pPr>
            <w:r w:rsidRPr="007C0F2C">
              <w:t>III. Tiesību akta projekta ietekme uz valsts budžetu un pašvaldību budžetiem</w:t>
            </w:r>
          </w:p>
          <w:p w:rsidR="00210CAC" w:rsidRPr="00E44A25" w:rsidRDefault="00210CAC" w:rsidP="00253E48">
            <w:pPr>
              <w:pStyle w:val="naisnod"/>
              <w:spacing w:before="0" w:after="0"/>
              <w:ind w:left="278" w:hanging="278"/>
              <w:rPr>
                <w:i/>
              </w:rPr>
            </w:pPr>
          </w:p>
        </w:tc>
      </w:tr>
      <w:tr w:rsidR="00210CAC" w:rsidRPr="007C0F2C" w:rsidTr="00A265B6">
        <w:tc>
          <w:tcPr>
            <w:tcW w:w="846" w:type="pct"/>
            <w:vMerge w:val="restart"/>
          </w:tcPr>
          <w:p w:rsidR="00210CAC" w:rsidRPr="00E44A25" w:rsidRDefault="00210CAC" w:rsidP="00253E48">
            <w:pPr>
              <w:pStyle w:val="naisf"/>
              <w:spacing w:before="0" w:after="0"/>
              <w:ind w:firstLine="0"/>
              <w:jc w:val="center"/>
              <w:rPr>
                <w:b/>
              </w:rPr>
            </w:pPr>
            <w:r w:rsidRPr="00E44A25">
              <w:rPr>
                <w:b/>
                <w:sz w:val="22"/>
                <w:szCs w:val="22"/>
              </w:rPr>
              <w:t>Rādītāji</w:t>
            </w:r>
          </w:p>
        </w:tc>
        <w:tc>
          <w:tcPr>
            <w:tcW w:w="1755" w:type="pct"/>
            <w:gridSpan w:val="2"/>
            <w:vMerge w:val="restart"/>
          </w:tcPr>
          <w:p w:rsidR="00210CAC" w:rsidRPr="00A265B6" w:rsidRDefault="00210CAC" w:rsidP="00E72159">
            <w:pPr>
              <w:pStyle w:val="naisf"/>
              <w:spacing w:before="0" w:after="0"/>
              <w:ind w:firstLine="0"/>
              <w:jc w:val="center"/>
            </w:pPr>
            <w:r w:rsidRPr="00E44A25">
              <w:rPr>
                <w:b/>
                <w:sz w:val="22"/>
                <w:szCs w:val="22"/>
              </w:rPr>
              <w:t>201</w:t>
            </w:r>
            <w:r w:rsidR="00E72159">
              <w:rPr>
                <w:b/>
                <w:sz w:val="22"/>
                <w:szCs w:val="22"/>
              </w:rPr>
              <w:t>3</w:t>
            </w:r>
            <w:r w:rsidRPr="00E44A25">
              <w:rPr>
                <w:b/>
                <w:sz w:val="22"/>
                <w:szCs w:val="22"/>
              </w:rPr>
              <w:t>. gads</w:t>
            </w:r>
            <w:r w:rsidR="00A265B6">
              <w:rPr>
                <w:sz w:val="22"/>
                <w:szCs w:val="22"/>
              </w:rPr>
              <w:t xml:space="preserve"> (tūkst. latu)</w:t>
            </w:r>
          </w:p>
        </w:tc>
        <w:tc>
          <w:tcPr>
            <w:tcW w:w="2399" w:type="pct"/>
            <w:gridSpan w:val="3"/>
          </w:tcPr>
          <w:p w:rsidR="00210CAC" w:rsidRPr="00E44A25" w:rsidRDefault="00210CAC" w:rsidP="00E72159">
            <w:pPr>
              <w:pStyle w:val="naisf"/>
              <w:spacing w:before="0" w:after="0"/>
              <w:ind w:firstLine="0"/>
              <w:jc w:val="center"/>
              <w:rPr>
                <w:b/>
                <w:i/>
              </w:rPr>
            </w:pPr>
            <w:r w:rsidRPr="00E44A25">
              <w:rPr>
                <w:sz w:val="22"/>
                <w:szCs w:val="22"/>
              </w:rPr>
              <w:t xml:space="preserve">Turpmākie trīs gadi (tūkst. </w:t>
            </w:r>
            <w:r w:rsidR="00E72159" w:rsidRPr="00E72159">
              <w:rPr>
                <w:i/>
                <w:sz w:val="22"/>
                <w:szCs w:val="22"/>
              </w:rPr>
              <w:t>euro</w:t>
            </w:r>
            <w:r w:rsidRPr="00E44A25">
              <w:rPr>
                <w:sz w:val="22"/>
                <w:szCs w:val="22"/>
              </w:rPr>
              <w:t>)</w:t>
            </w:r>
          </w:p>
        </w:tc>
      </w:tr>
      <w:tr w:rsidR="00210CAC" w:rsidRPr="007C0F2C" w:rsidTr="00A265B6">
        <w:tc>
          <w:tcPr>
            <w:tcW w:w="846" w:type="pct"/>
            <w:vMerge/>
          </w:tcPr>
          <w:p w:rsidR="00210CAC" w:rsidRPr="00E44A25" w:rsidRDefault="00210CAC" w:rsidP="00253E48">
            <w:pPr>
              <w:pStyle w:val="naisf"/>
              <w:spacing w:before="0" w:after="0"/>
              <w:ind w:firstLine="0"/>
              <w:jc w:val="center"/>
              <w:rPr>
                <w:b/>
                <w:i/>
              </w:rPr>
            </w:pPr>
          </w:p>
        </w:tc>
        <w:tc>
          <w:tcPr>
            <w:tcW w:w="1755" w:type="pct"/>
            <w:gridSpan w:val="2"/>
            <w:vMerge/>
          </w:tcPr>
          <w:p w:rsidR="00210CAC" w:rsidRPr="00E44A25" w:rsidRDefault="00210CAC" w:rsidP="00253E48">
            <w:pPr>
              <w:pStyle w:val="naisf"/>
              <w:spacing w:before="0" w:after="0"/>
              <w:ind w:firstLine="0"/>
              <w:jc w:val="center"/>
              <w:rPr>
                <w:b/>
                <w:i/>
              </w:rPr>
            </w:pPr>
          </w:p>
        </w:tc>
        <w:tc>
          <w:tcPr>
            <w:tcW w:w="898" w:type="pct"/>
          </w:tcPr>
          <w:p w:rsidR="00210CAC" w:rsidRPr="00E44A25" w:rsidRDefault="00210CAC" w:rsidP="00E72159">
            <w:pPr>
              <w:pStyle w:val="naisf"/>
              <w:spacing w:before="0" w:after="0"/>
              <w:ind w:firstLine="0"/>
              <w:jc w:val="center"/>
              <w:rPr>
                <w:b/>
                <w:i/>
              </w:rPr>
            </w:pPr>
            <w:r w:rsidRPr="00E44A25">
              <w:rPr>
                <w:b/>
                <w:bCs/>
                <w:sz w:val="22"/>
                <w:szCs w:val="22"/>
              </w:rPr>
              <w:t>201</w:t>
            </w:r>
            <w:r w:rsidR="00E72159">
              <w:rPr>
                <w:b/>
                <w:bCs/>
                <w:sz w:val="22"/>
                <w:szCs w:val="22"/>
              </w:rPr>
              <w:t>4</w:t>
            </w:r>
          </w:p>
        </w:tc>
        <w:tc>
          <w:tcPr>
            <w:tcW w:w="822" w:type="pct"/>
          </w:tcPr>
          <w:p w:rsidR="00210CAC" w:rsidRPr="00E44A25" w:rsidRDefault="00210CAC" w:rsidP="00E72159">
            <w:pPr>
              <w:pStyle w:val="naisf"/>
              <w:spacing w:before="0" w:after="0"/>
              <w:ind w:firstLine="0"/>
              <w:jc w:val="center"/>
              <w:rPr>
                <w:b/>
                <w:i/>
              </w:rPr>
            </w:pPr>
            <w:r w:rsidRPr="00E44A25">
              <w:rPr>
                <w:b/>
                <w:bCs/>
                <w:sz w:val="22"/>
                <w:szCs w:val="22"/>
              </w:rPr>
              <w:t>201</w:t>
            </w:r>
            <w:r w:rsidR="00E72159">
              <w:rPr>
                <w:b/>
                <w:bCs/>
                <w:sz w:val="22"/>
                <w:szCs w:val="22"/>
              </w:rPr>
              <w:t>5</w:t>
            </w:r>
          </w:p>
        </w:tc>
        <w:tc>
          <w:tcPr>
            <w:tcW w:w="679" w:type="pct"/>
          </w:tcPr>
          <w:p w:rsidR="00210CAC" w:rsidRPr="00E44A25" w:rsidRDefault="00210CAC" w:rsidP="00E72159">
            <w:pPr>
              <w:pStyle w:val="naisf"/>
              <w:spacing w:before="0" w:after="0"/>
              <w:ind w:firstLine="0"/>
              <w:jc w:val="center"/>
              <w:rPr>
                <w:b/>
                <w:i/>
              </w:rPr>
            </w:pPr>
            <w:r w:rsidRPr="00E44A25">
              <w:rPr>
                <w:b/>
                <w:bCs/>
                <w:sz w:val="22"/>
                <w:szCs w:val="22"/>
              </w:rPr>
              <w:t>201</w:t>
            </w:r>
            <w:r w:rsidR="00E72159">
              <w:rPr>
                <w:b/>
                <w:bCs/>
                <w:sz w:val="22"/>
                <w:szCs w:val="22"/>
              </w:rPr>
              <w:t>6</w:t>
            </w:r>
          </w:p>
        </w:tc>
      </w:tr>
      <w:tr w:rsidR="00210CAC" w:rsidRPr="007C0F2C" w:rsidTr="00A265B6">
        <w:tc>
          <w:tcPr>
            <w:tcW w:w="846" w:type="pct"/>
            <w:vMerge/>
          </w:tcPr>
          <w:p w:rsidR="00210CAC" w:rsidRPr="00E44A25" w:rsidRDefault="00210CAC" w:rsidP="00253E48">
            <w:pPr>
              <w:pStyle w:val="naisf"/>
              <w:spacing w:before="0" w:after="0"/>
              <w:ind w:firstLine="0"/>
              <w:jc w:val="center"/>
              <w:rPr>
                <w:b/>
                <w:i/>
              </w:rPr>
            </w:pPr>
          </w:p>
        </w:tc>
        <w:tc>
          <w:tcPr>
            <w:tcW w:w="931" w:type="pct"/>
          </w:tcPr>
          <w:p w:rsidR="00210CAC" w:rsidRPr="00E44A25" w:rsidRDefault="00210CAC" w:rsidP="00253E48">
            <w:pPr>
              <w:pStyle w:val="naisf"/>
              <w:spacing w:before="0" w:after="0"/>
              <w:ind w:firstLine="0"/>
              <w:jc w:val="center"/>
              <w:rPr>
                <w:b/>
                <w:i/>
              </w:rPr>
            </w:pPr>
            <w:r w:rsidRPr="00E44A25">
              <w:rPr>
                <w:sz w:val="22"/>
                <w:szCs w:val="22"/>
              </w:rPr>
              <w:t>Saskaņā ar valsts budžetu kārtējam gadam</w:t>
            </w:r>
          </w:p>
        </w:tc>
        <w:tc>
          <w:tcPr>
            <w:tcW w:w="824" w:type="pct"/>
          </w:tcPr>
          <w:p w:rsidR="00210CAC" w:rsidRPr="00E44A25" w:rsidRDefault="00210CAC" w:rsidP="00253E48">
            <w:pPr>
              <w:pStyle w:val="naisf"/>
              <w:spacing w:before="0" w:after="0"/>
              <w:ind w:firstLine="0"/>
              <w:jc w:val="center"/>
              <w:rPr>
                <w:b/>
                <w:i/>
              </w:rPr>
            </w:pPr>
            <w:r w:rsidRPr="00E44A25">
              <w:rPr>
                <w:sz w:val="22"/>
                <w:szCs w:val="22"/>
              </w:rPr>
              <w:t>Izmaiņas kārtējā gadā, salīdzinot ar budžetu kārtējam gadam</w:t>
            </w:r>
          </w:p>
        </w:tc>
        <w:tc>
          <w:tcPr>
            <w:tcW w:w="898" w:type="pct"/>
          </w:tcPr>
          <w:p w:rsidR="00210CAC" w:rsidRPr="00E44A25" w:rsidRDefault="00210CAC" w:rsidP="00253E48">
            <w:pPr>
              <w:pStyle w:val="naisf"/>
              <w:spacing w:before="0" w:after="0"/>
              <w:ind w:firstLine="0"/>
              <w:jc w:val="center"/>
              <w:rPr>
                <w:b/>
                <w:i/>
              </w:rPr>
            </w:pPr>
            <w:r w:rsidRPr="00E44A25">
              <w:rPr>
                <w:sz w:val="22"/>
                <w:szCs w:val="22"/>
              </w:rPr>
              <w:t>Izmaiņas, salīdzinot ar kārtējo (n) gadu</w:t>
            </w:r>
          </w:p>
        </w:tc>
        <w:tc>
          <w:tcPr>
            <w:tcW w:w="822" w:type="pct"/>
          </w:tcPr>
          <w:p w:rsidR="00210CAC" w:rsidRPr="00E44A25" w:rsidRDefault="00210CAC" w:rsidP="00253E48">
            <w:pPr>
              <w:pStyle w:val="naisf"/>
              <w:spacing w:before="0" w:after="0"/>
              <w:ind w:firstLine="0"/>
              <w:jc w:val="center"/>
              <w:rPr>
                <w:b/>
                <w:i/>
              </w:rPr>
            </w:pPr>
            <w:r w:rsidRPr="00E44A25">
              <w:rPr>
                <w:sz w:val="22"/>
                <w:szCs w:val="22"/>
              </w:rPr>
              <w:t>Izmaiņas, salīdzinot ar kārtējo (n) gadu</w:t>
            </w:r>
          </w:p>
        </w:tc>
        <w:tc>
          <w:tcPr>
            <w:tcW w:w="679" w:type="pct"/>
          </w:tcPr>
          <w:p w:rsidR="00210CAC" w:rsidRPr="00E44A25" w:rsidRDefault="00210CAC" w:rsidP="00253E48">
            <w:pPr>
              <w:pStyle w:val="naisf"/>
              <w:spacing w:before="0" w:after="0"/>
              <w:ind w:firstLine="0"/>
              <w:jc w:val="center"/>
              <w:rPr>
                <w:b/>
                <w:i/>
              </w:rPr>
            </w:pPr>
            <w:r w:rsidRPr="00E44A25">
              <w:rPr>
                <w:sz w:val="22"/>
                <w:szCs w:val="22"/>
              </w:rPr>
              <w:t>Izmaiņas, salīdzinot ar kārtējo (n) gadu</w:t>
            </w:r>
          </w:p>
        </w:tc>
      </w:tr>
      <w:tr w:rsidR="00210CAC" w:rsidRPr="007C0F2C" w:rsidTr="00A265B6">
        <w:tc>
          <w:tcPr>
            <w:tcW w:w="846" w:type="pct"/>
          </w:tcPr>
          <w:p w:rsidR="00210CAC" w:rsidRPr="00E44A25" w:rsidRDefault="00210CAC" w:rsidP="00253E48">
            <w:pPr>
              <w:pStyle w:val="naisf"/>
              <w:spacing w:before="0" w:after="0"/>
              <w:ind w:firstLine="0"/>
              <w:jc w:val="center"/>
              <w:rPr>
                <w:bCs/>
              </w:rPr>
            </w:pPr>
            <w:r w:rsidRPr="00E44A25">
              <w:rPr>
                <w:bCs/>
                <w:sz w:val="22"/>
                <w:szCs w:val="22"/>
              </w:rPr>
              <w:t>1</w:t>
            </w:r>
          </w:p>
        </w:tc>
        <w:tc>
          <w:tcPr>
            <w:tcW w:w="931" w:type="pct"/>
          </w:tcPr>
          <w:p w:rsidR="00210CAC" w:rsidRPr="00E44A25" w:rsidRDefault="00210CAC" w:rsidP="00253E48">
            <w:pPr>
              <w:pStyle w:val="naisf"/>
              <w:spacing w:before="0" w:after="0"/>
              <w:ind w:firstLine="0"/>
              <w:jc w:val="center"/>
              <w:rPr>
                <w:bCs/>
              </w:rPr>
            </w:pPr>
            <w:r w:rsidRPr="00E44A25">
              <w:rPr>
                <w:bCs/>
                <w:sz w:val="22"/>
                <w:szCs w:val="22"/>
              </w:rPr>
              <w:t>2</w:t>
            </w:r>
          </w:p>
        </w:tc>
        <w:tc>
          <w:tcPr>
            <w:tcW w:w="824" w:type="pct"/>
          </w:tcPr>
          <w:p w:rsidR="00210CAC" w:rsidRPr="00E44A25" w:rsidRDefault="00210CAC" w:rsidP="00253E48">
            <w:pPr>
              <w:pStyle w:val="naisf"/>
              <w:spacing w:before="0" w:after="0"/>
              <w:ind w:firstLine="0"/>
              <w:jc w:val="center"/>
              <w:rPr>
                <w:bCs/>
              </w:rPr>
            </w:pPr>
            <w:r w:rsidRPr="00E44A25">
              <w:rPr>
                <w:bCs/>
                <w:sz w:val="22"/>
                <w:szCs w:val="22"/>
              </w:rPr>
              <w:t>3</w:t>
            </w:r>
          </w:p>
        </w:tc>
        <w:tc>
          <w:tcPr>
            <w:tcW w:w="898" w:type="pct"/>
          </w:tcPr>
          <w:p w:rsidR="00210CAC" w:rsidRPr="00E44A25" w:rsidRDefault="00210CAC" w:rsidP="00253E48">
            <w:pPr>
              <w:pStyle w:val="naisf"/>
              <w:spacing w:before="0" w:after="0"/>
              <w:ind w:firstLine="0"/>
              <w:jc w:val="center"/>
              <w:rPr>
                <w:bCs/>
              </w:rPr>
            </w:pPr>
            <w:r w:rsidRPr="00E44A25">
              <w:rPr>
                <w:bCs/>
                <w:sz w:val="22"/>
                <w:szCs w:val="22"/>
              </w:rPr>
              <w:t>4</w:t>
            </w:r>
          </w:p>
        </w:tc>
        <w:tc>
          <w:tcPr>
            <w:tcW w:w="822" w:type="pct"/>
          </w:tcPr>
          <w:p w:rsidR="00210CAC" w:rsidRPr="00E44A25" w:rsidRDefault="00210CAC" w:rsidP="00253E48">
            <w:pPr>
              <w:pStyle w:val="naisf"/>
              <w:spacing w:before="0" w:after="0"/>
              <w:ind w:firstLine="0"/>
              <w:jc w:val="center"/>
              <w:rPr>
                <w:bCs/>
              </w:rPr>
            </w:pPr>
            <w:r w:rsidRPr="00E44A25">
              <w:rPr>
                <w:bCs/>
                <w:sz w:val="22"/>
                <w:szCs w:val="22"/>
              </w:rPr>
              <w:t>5</w:t>
            </w:r>
          </w:p>
        </w:tc>
        <w:tc>
          <w:tcPr>
            <w:tcW w:w="679" w:type="pct"/>
          </w:tcPr>
          <w:p w:rsidR="00210CAC" w:rsidRPr="00E44A25" w:rsidRDefault="00210CAC" w:rsidP="00253E48">
            <w:pPr>
              <w:pStyle w:val="naisf"/>
              <w:spacing w:before="0" w:after="0"/>
              <w:ind w:firstLine="0"/>
              <w:jc w:val="center"/>
              <w:rPr>
                <w:bCs/>
              </w:rPr>
            </w:pPr>
            <w:r w:rsidRPr="00E44A25">
              <w:rPr>
                <w:bCs/>
                <w:sz w:val="22"/>
                <w:szCs w:val="22"/>
              </w:rPr>
              <w:t>6</w:t>
            </w:r>
          </w:p>
        </w:tc>
      </w:tr>
      <w:tr w:rsidR="00A265B6" w:rsidRPr="007C0F2C" w:rsidTr="00A265B6">
        <w:tc>
          <w:tcPr>
            <w:tcW w:w="846" w:type="pct"/>
          </w:tcPr>
          <w:p w:rsidR="00A265B6" w:rsidRPr="00E44A25" w:rsidRDefault="00A265B6" w:rsidP="00253E48">
            <w:pPr>
              <w:pStyle w:val="naisf"/>
              <w:spacing w:before="0" w:after="0"/>
              <w:ind w:firstLine="0"/>
              <w:rPr>
                <w:i/>
              </w:rPr>
            </w:pPr>
            <w:r w:rsidRPr="00E44A25">
              <w:rPr>
                <w:sz w:val="22"/>
                <w:szCs w:val="22"/>
              </w:rPr>
              <w:t>1.Budžeta ieņēmumi:</w:t>
            </w:r>
          </w:p>
        </w:tc>
        <w:tc>
          <w:tcPr>
            <w:tcW w:w="931" w:type="pct"/>
          </w:tcPr>
          <w:p w:rsidR="00A265B6" w:rsidRPr="00A265B6" w:rsidRDefault="00A265B6" w:rsidP="00E91AC3">
            <w:pPr>
              <w:pStyle w:val="naisf"/>
              <w:spacing w:before="0" w:after="0"/>
              <w:ind w:firstLine="0"/>
              <w:jc w:val="center"/>
              <w:rPr>
                <w:b/>
              </w:rPr>
            </w:pPr>
            <w:r w:rsidRPr="00A265B6">
              <w:rPr>
                <w:b/>
              </w:rPr>
              <w:t>17,</w:t>
            </w:r>
            <w:r w:rsidR="00E91AC3">
              <w:rPr>
                <w:b/>
              </w:rPr>
              <w:t>3</w:t>
            </w:r>
          </w:p>
        </w:tc>
        <w:tc>
          <w:tcPr>
            <w:tcW w:w="824" w:type="pct"/>
          </w:tcPr>
          <w:p w:rsidR="00A265B6" w:rsidRPr="00A265B6" w:rsidRDefault="00A265B6" w:rsidP="00253E48">
            <w:pPr>
              <w:pStyle w:val="naisf"/>
              <w:spacing w:before="0" w:after="0"/>
              <w:ind w:firstLine="0"/>
              <w:jc w:val="center"/>
              <w:rPr>
                <w:b/>
              </w:rPr>
            </w:pPr>
            <w:r w:rsidRPr="00A265B6">
              <w:rPr>
                <w:b/>
              </w:rPr>
              <w:t>0</w:t>
            </w:r>
          </w:p>
        </w:tc>
        <w:tc>
          <w:tcPr>
            <w:tcW w:w="898" w:type="pct"/>
          </w:tcPr>
          <w:p w:rsidR="00A265B6" w:rsidRPr="00A265B6" w:rsidRDefault="00A265B6" w:rsidP="00F54C06">
            <w:pPr>
              <w:pStyle w:val="naisf"/>
              <w:spacing w:before="0" w:after="0"/>
              <w:ind w:firstLine="0"/>
              <w:jc w:val="center"/>
              <w:rPr>
                <w:b/>
              </w:rPr>
            </w:pPr>
            <w:r w:rsidRPr="00A265B6">
              <w:rPr>
                <w:b/>
              </w:rPr>
              <w:t>0</w:t>
            </w:r>
          </w:p>
        </w:tc>
        <w:tc>
          <w:tcPr>
            <w:tcW w:w="822" w:type="pct"/>
          </w:tcPr>
          <w:p w:rsidR="00A265B6" w:rsidRPr="00A265B6" w:rsidRDefault="00A265B6" w:rsidP="00F54C06">
            <w:pPr>
              <w:pStyle w:val="naisf"/>
              <w:spacing w:before="0" w:after="0"/>
              <w:ind w:firstLine="0"/>
              <w:jc w:val="center"/>
              <w:rPr>
                <w:b/>
              </w:rPr>
            </w:pPr>
            <w:r w:rsidRPr="00A265B6">
              <w:rPr>
                <w:b/>
              </w:rPr>
              <w:t>0</w:t>
            </w:r>
          </w:p>
        </w:tc>
        <w:tc>
          <w:tcPr>
            <w:tcW w:w="679" w:type="pct"/>
          </w:tcPr>
          <w:p w:rsidR="00A265B6" w:rsidRPr="00A265B6" w:rsidRDefault="00A265B6" w:rsidP="00F54C06">
            <w:pPr>
              <w:pStyle w:val="naisf"/>
              <w:spacing w:before="0" w:after="0"/>
              <w:ind w:firstLine="0"/>
              <w:jc w:val="center"/>
              <w:rPr>
                <w:b/>
              </w:rPr>
            </w:pPr>
            <w:r w:rsidRPr="00A265B6">
              <w:rPr>
                <w:b/>
              </w:rPr>
              <w:t>0</w:t>
            </w:r>
          </w:p>
        </w:tc>
      </w:tr>
      <w:tr w:rsidR="00A265B6" w:rsidRPr="007C0F2C" w:rsidTr="00A265B6">
        <w:tc>
          <w:tcPr>
            <w:tcW w:w="846" w:type="pct"/>
          </w:tcPr>
          <w:p w:rsidR="00A265B6" w:rsidRPr="00E44A25" w:rsidRDefault="00A265B6" w:rsidP="00253E48">
            <w:pPr>
              <w:pStyle w:val="naisf"/>
              <w:spacing w:before="0" w:after="0"/>
              <w:ind w:firstLine="0"/>
              <w:rPr>
                <w:i/>
              </w:rPr>
            </w:pPr>
            <w:r>
              <w:rPr>
                <w:sz w:val="22"/>
                <w:szCs w:val="22"/>
              </w:rPr>
              <w:t xml:space="preserve">1.1.valsts pamatbudžets, tai </w:t>
            </w:r>
            <w:r w:rsidRPr="00E44A25">
              <w:rPr>
                <w:sz w:val="22"/>
                <w:szCs w:val="22"/>
              </w:rPr>
              <w:t>sk</w:t>
            </w:r>
            <w:r>
              <w:rPr>
                <w:sz w:val="22"/>
                <w:szCs w:val="22"/>
              </w:rPr>
              <w:t>aitā ieņēmumi no maksas pakalpo</w:t>
            </w:r>
            <w:r w:rsidRPr="00E44A25">
              <w:rPr>
                <w:sz w:val="22"/>
                <w:szCs w:val="22"/>
              </w:rPr>
              <w:t>jumiem un citi pašu ieņēmumi</w:t>
            </w:r>
          </w:p>
        </w:tc>
        <w:tc>
          <w:tcPr>
            <w:tcW w:w="931" w:type="pct"/>
          </w:tcPr>
          <w:p w:rsidR="00A265B6" w:rsidRPr="00E156EA" w:rsidRDefault="00A265B6" w:rsidP="00E91AC3">
            <w:pPr>
              <w:pStyle w:val="naisf"/>
              <w:spacing w:before="0" w:after="0"/>
              <w:ind w:firstLine="0"/>
              <w:jc w:val="center"/>
            </w:pPr>
            <w:r>
              <w:t>17,</w:t>
            </w:r>
            <w:r w:rsidR="00E91AC3">
              <w:t>3</w:t>
            </w:r>
          </w:p>
        </w:tc>
        <w:tc>
          <w:tcPr>
            <w:tcW w:w="824" w:type="pct"/>
          </w:tcPr>
          <w:p w:rsidR="00A265B6" w:rsidRPr="007E3CB6" w:rsidRDefault="00A265B6" w:rsidP="00253E48">
            <w:pPr>
              <w:pStyle w:val="naisf"/>
              <w:spacing w:before="0" w:after="0"/>
              <w:ind w:firstLine="0"/>
              <w:jc w:val="center"/>
            </w:pPr>
            <w:r>
              <w:t>0</w:t>
            </w:r>
          </w:p>
        </w:tc>
        <w:tc>
          <w:tcPr>
            <w:tcW w:w="898" w:type="pct"/>
          </w:tcPr>
          <w:p w:rsidR="00A265B6" w:rsidRPr="007E3CB6" w:rsidRDefault="00A265B6" w:rsidP="00F54C06">
            <w:pPr>
              <w:pStyle w:val="naisf"/>
              <w:spacing w:before="0" w:after="0"/>
              <w:ind w:firstLine="0"/>
              <w:jc w:val="center"/>
            </w:pPr>
            <w:r>
              <w:t>0</w:t>
            </w:r>
          </w:p>
        </w:tc>
        <w:tc>
          <w:tcPr>
            <w:tcW w:w="822" w:type="pct"/>
          </w:tcPr>
          <w:p w:rsidR="00A265B6" w:rsidRPr="007E3CB6" w:rsidRDefault="00A265B6" w:rsidP="00F54C06">
            <w:pPr>
              <w:pStyle w:val="naisf"/>
              <w:spacing w:before="0" w:after="0"/>
              <w:ind w:firstLine="0"/>
              <w:jc w:val="center"/>
            </w:pPr>
            <w:r>
              <w:t>0</w:t>
            </w:r>
          </w:p>
        </w:tc>
        <w:tc>
          <w:tcPr>
            <w:tcW w:w="679" w:type="pct"/>
          </w:tcPr>
          <w:p w:rsidR="00A265B6" w:rsidRPr="007E3CB6" w:rsidRDefault="00A265B6" w:rsidP="00F54C06">
            <w:pPr>
              <w:pStyle w:val="naisf"/>
              <w:spacing w:before="0" w:after="0"/>
              <w:ind w:firstLine="0"/>
              <w:jc w:val="center"/>
            </w:pPr>
            <w:r>
              <w:t>0</w:t>
            </w:r>
          </w:p>
        </w:tc>
      </w:tr>
      <w:tr w:rsidR="00A265B6" w:rsidRPr="007C0F2C" w:rsidTr="00A265B6">
        <w:tc>
          <w:tcPr>
            <w:tcW w:w="846" w:type="pct"/>
          </w:tcPr>
          <w:p w:rsidR="00A265B6" w:rsidRPr="00E44A25" w:rsidRDefault="00A265B6" w:rsidP="00253E48">
            <w:pPr>
              <w:pStyle w:val="naisf"/>
              <w:spacing w:before="0" w:after="0"/>
              <w:ind w:firstLine="0"/>
              <w:rPr>
                <w:i/>
              </w:rPr>
            </w:pPr>
            <w:r w:rsidRPr="00E44A25">
              <w:rPr>
                <w:sz w:val="22"/>
                <w:szCs w:val="22"/>
              </w:rPr>
              <w:t xml:space="preserve">1.2.valsts speciālais </w:t>
            </w:r>
            <w:r w:rsidRPr="00E44A25">
              <w:rPr>
                <w:sz w:val="22"/>
                <w:szCs w:val="22"/>
              </w:rPr>
              <w:lastRenderedPageBreak/>
              <w:t>budžets</w:t>
            </w:r>
          </w:p>
        </w:tc>
        <w:tc>
          <w:tcPr>
            <w:tcW w:w="931" w:type="pct"/>
          </w:tcPr>
          <w:p w:rsidR="00A265B6" w:rsidRPr="00E156EA" w:rsidRDefault="00A265B6" w:rsidP="00253E48">
            <w:pPr>
              <w:pStyle w:val="naisf"/>
              <w:spacing w:before="0" w:after="0"/>
              <w:ind w:firstLine="0"/>
              <w:jc w:val="center"/>
            </w:pPr>
            <w:r>
              <w:lastRenderedPageBreak/>
              <w:t>0</w:t>
            </w:r>
          </w:p>
        </w:tc>
        <w:tc>
          <w:tcPr>
            <w:tcW w:w="824" w:type="pct"/>
          </w:tcPr>
          <w:p w:rsidR="00A265B6" w:rsidRPr="007E3CB6" w:rsidRDefault="00A265B6" w:rsidP="00253E48">
            <w:pPr>
              <w:pStyle w:val="naisf"/>
              <w:spacing w:before="0" w:after="0"/>
              <w:ind w:firstLine="0"/>
              <w:jc w:val="center"/>
            </w:pPr>
            <w:r>
              <w:t>0</w:t>
            </w:r>
          </w:p>
        </w:tc>
        <w:tc>
          <w:tcPr>
            <w:tcW w:w="898" w:type="pct"/>
          </w:tcPr>
          <w:p w:rsidR="00A265B6" w:rsidRPr="007E3CB6" w:rsidRDefault="00A265B6" w:rsidP="00F54C06">
            <w:pPr>
              <w:pStyle w:val="naisf"/>
              <w:spacing w:before="0" w:after="0"/>
              <w:ind w:firstLine="0"/>
              <w:jc w:val="center"/>
            </w:pPr>
            <w:r>
              <w:t>0</w:t>
            </w:r>
          </w:p>
        </w:tc>
        <w:tc>
          <w:tcPr>
            <w:tcW w:w="822" w:type="pct"/>
          </w:tcPr>
          <w:p w:rsidR="00A265B6" w:rsidRPr="007E3CB6" w:rsidRDefault="00A265B6" w:rsidP="00F54C06">
            <w:pPr>
              <w:pStyle w:val="naisf"/>
              <w:spacing w:before="0" w:after="0"/>
              <w:ind w:firstLine="0"/>
              <w:jc w:val="center"/>
            </w:pPr>
            <w:r>
              <w:t>0</w:t>
            </w:r>
          </w:p>
        </w:tc>
        <w:tc>
          <w:tcPr>
            <w:tcW w:w="679" w:type="pct"/>
          </w:tcPr>
          <w:p w:rsidR="00A265B6" w:rsidRPr="007E3CB6" w:rsidRDefault="00A265B6" w:rsidP="00F54C06">
            <w:pPr>
              <w:pStyle w:val="naisf"/>
              <w:spacing w:before="0" w:after="0"/>
              <w:ind w:firstLine="0"/>
              <w:jc w:val="center"/>
            </w:pPr>
            <w:r>
              <w:t>0</w:t>
            </w:r>
          </w:p>
        </w:tc>
      </w:tr>
      <w:tr w:rsidR="00A265B6" w:rsidRPr="007C0F2C" w:rsidTr="00A265B6">
        <w:tc>
          <w:tcPr>
            <w:tcW w:w="846" w:type="pct"/>
          </w:tcPr>
          <w:p w:rsidR="00A265B6" w:rsidRPr="00E44A25" w:rsidRDefault="00A265B6" w:rsidP="00253E48">
            <w:pPr>
              <w:pStyle w:val="naisf"/>
              <w:spacing w:before="0" w:after="0"/>
              <w:ind w:firstLine="0"/>
              <w:rPr>
                <w:i/>
              </w:rPr>
            </w:pPr>
            <w:r w:rsidRPr="00E44A25">
              <w:rPr>
                <w:sz w:val="22"/>
                <w:szCs w:val="22"/>
              </w:rPr>
              <w:lastRenderedPageBreak/>
              <w:t>1.3.pašvaldību budžets</w:t>
            </w:r>
          </w:p>
        </w:tc>
        <w:tc>
          <w:tcPr>
            <w:tcW w:w="931" w:type="pct"/>
          </w:tcPr>
          <w:p w:rsidR="00A265B6" w:rsidRPr="00E156EA" w:rsidRDefault="00A265B6" w:rsidP="00253E48">
            <w:pPr>
              <w:pStyle w:val="naisf"/>
              <w:spacing w:before="0" w:after="0"/>
              <w:ind w:firstLine="0"/>
              <w:jc w:val="center"/>
            </w:pPr>
            <w:r>
              <w:t>0</w:t>
            </w:r>
          </w:p>
        </w:tc>
        <w:tc>
          <w:tcPr>
            <w:tcW w:w="824" w:type="pct"/>
          </w:tcPr>
          <w:p w:rsidR="00A265B6" w:rsidRPr="007E3CB6" w:rsidRDefault="00A265B6" w:rsidP="00253E48">
            <w:pPr>
              <w:pStyle w:val="naisf"/>
              <w:spacing w:before="0" w:after="0"/>
              <w:ind w:firstLine="0"/>
              <w:jc w:val="center"/>
            </w:pPr>
            <w:r>
              <w:t>0</w:t>
            </w:r>
          </w:p>
        </w:tc>
        <w:tc>
          <w:tcPr>
            <w:tcW w:w="898" w:type="pct"/>
          </w:tcPr>
          <w:p w:rsidR="00A265B6" w:rsidRPr="007E3CB6" w:rsidRDefault="00A265B6" w:rsidP="00F54C06">
            <w:pPr>
              <w:pStyle w:val="naisf"/>
              <w:spacing w:before="0" w:after="0"/>
              <w:ind w:firstLine="0"/>
              <w:jc w:val="center"/>
            </w:pPr>
            <w:r>
              <w:t>0</w:t>
            </w:r>
          </w:p>
        </w:tc>
        <w:tc>
          <w:tcPr>
            <w:tcW w:w="822" w:type="pct"/>
          </w:tcPr>
          <w:p w:rsidR="00A265B6" w:rsidRPr="007E3CB6" w:rsidRDefault="00A265B6" w:rsidP="00F54C06">
            <w:pPr>
              <w:pStyle w:val="naisf"/>
              <w:spacing w:before="0" w:after="0"/>
              <w:ind w:firstLine="0"/>
              <w:jc w:val="center"/>
            </w:pPr>
            <w:r>
              <w:t>0</w:t>
            </w:r>
          </w:p>
        </w:tc>
        <w:tc>
          <w:tcPr>
            <w:tcW w:w="679" w:type="pct"/>
          </w:tcPr>
          <w:p w:rsidR="00A265B6" w:rsidRPr="007E3CB6" w:rsidRDefault="00A265B6" w:rsidP="00F54C06">
            <w:pPr>
              <w:pStyle w:val="naisf"/>
              <w:spacing w:before="0" w:after="0"/>
              <w:ind w:firstLine="0"/>
              <w:jc w:val="center"/>
            </w:pPr>
            <w:r>
              <w:t>0</w:t>
            </w:r>
          </w:p>
        </w:tc>
      </w:tr>
      <w:tr w:rsidR="00A265B6" w:rsidRPr="007C0F2C" w:rsidTr="00A265B6">
        <w:tc>
          <w:tcPr>
            <w:tcW w:w="846" w:type="pct"/>
          </w:tcPr>
          <w:p w:rsidR="00A265B6" w:rsidRPr="007C0F2C" w:rsidRDefault="00A265B6" w:rsidP="00253E48">
            <w:pPr>
              <w:jc w:val="both"/>
            </w:pPr>
            <w:r w:rsidRPr="00E44A25">
              <w:rPr>
                <w:sz w:val="22"/>
                <w:szCs w:val="22"/>
              </w:rPr>
              <w:t>2.Budžeta izdevumi:</w:t>
            </w:r>
          </w:p>
        </w:tc>
        <w:tc>
          <w:tcPr>
            <w:tcW w:w="931" w:type="pct"/>
          </w:tcPr>
          <w:p w:rsidR="00A265B6" w:rsidRPr="00A265B6" w:rsidRDefault="00A265B6" w:rsidP="00E91AC3">
            <w:pPr>
              <w:pStyle w:val="naisf"/>
              <w:spacing w:before="0" w:after="0"/>
              <w:ind w:firstLine="0"/>
              <w:jc w:val="center"/>
              <w:rPr>
                <w:b/>
              </w:rPr>
            </w:pPr>
            <w:r w:rsidRPr="00A265B6">
              <w:rPr>
                <w:b/>
              </w:rPr>
              <w:t>17,</w:t>
            </w:r>
            <w:r w:rsidR="00E91AC3">
              <w:rPr>
                <w:b/>
              </w:rPr>
              <w:t>3</w:t>
            </w:r>
          </w:p>
        </w:tc>
        <w:tc>
          <w:tcPr>
            <w:tcW w:w="824" w:type="pct"/>
          </w:tcPr>
          <w:p w:rsidR="00A265B6" w:rsidRPr="00A265B6" w:rsidRDefault="00A265B6" w:rsidP="00A265B6">
            <w:pPr>
              <w:pStyle w:val="naisf"/>
              <w:spacing w:before="0" w:after="0"/>
              <w:ind w:firstLine="0"/>
              <w:jc w:val="center"/>
              <w:rPr>
                <w:b/>
              </w:rPr>
            </w:pPr>
            <w:r w:rsidRPr="00A265B6">
              <w:rPr>
                <w:b/>
              </w:rPr>
              <w:t>0</w:t>
            </w:r>
          </w:p>
        </w:tc>
        <w:tc>
          <w:tcPr>
            <w:tcW w:w="898" w:type="pct"/>
          </w:tcPr>
          <w:p w:rsidR="00A265B6" w:rsidRPr="00A265B6" w:rsidRDefault="00A265B6" w:rsidP="00F54C06">
            <w:pPr>
              <w:pStyle w:val="naisf"/>
              <w:spacing w:before="0" w:after="0"/>
              <w:ind w:firstLine="0"/>
              <w:jc w:val="center"/>
              <w:rPr>
                <w:b/>
              </w:rPr>
            </w:pPr>
            <w:r w:rsidRPr="00A265B6">
              <w:rPr>
                <w:b/>
              </w:rPr>
              <w:t>0</w:t>
            </w:r>
          </w:p>
        </w:tc>
        <w:tc>
          <w:tcPr>
            <w:tcW w:w="822" w:type="pct"/>
          </w:tcPr>
          <w:p w:rsidR="00A265B6" w:rsidRPr="00A265B6" w:rsidRDefault="00A265B6" w:rsidP="00F54C06">
            <w:pPr>
              <w:pStyle w:val="naisf"/>
              <w:spacing w:before="0" w:after="0"/>
              <w:ind w:firstLine="0"/>
              <w:jc w:val="center"/>
              <w:rPr>
                <w:b/>
              </w:rPr>
            </w:pPr>
            <w:r w:rsidRPr="00A265B6">
              <w:rPr>
                <w:b/>
              </w:rPr>
              <w:t>0</w:t>
            </w:r>
          </w:p>
        </w:tc>
        <w:tc>
          <w:tcPr>
            <w:tcW w:w="679" w:type="pct"/>
          </w:tcPr>
          <w:p w:rsidR="00A265B6" w:rsidRPr="00A265B6" w:rsidRDefault="00A265B6" w:rsidP="00F54C06">
            <w:pPr>
              <w:pStyle w:val="naisf"/>
              <w:spacing w:before="0" w:after="0"/>
              <w:ind w:firstLine="0"/>
              <w:jc w:val="center"/>
              <w:rPr>
                <w:b/>
              </w:rPr>
            </w:pPr>
            <w:r w:rsidRPr="00A265B6">
              <w:rPr>
                <w:b/>
              </w:rPr>
              <w:t>0</w:t>
            </w:r>
          </w:p>
        </w:tc>
      </w:tr>
      <w:tr w:rsidR="00A265B6" w:rsidRPr="007C0F2C" w:rsidTr="00A265B6">
        <w:tc>
          <w:tcPr>
            <w:tcW w:w="846" w:type="pct"/>
          </w:tcPr>
          <w:p w:rsidR="00A265B6" w:rsidRPr="007C0F2C" w:rsidRDefault="00A265B6" w:rsidP="00253E48">
            <w:pPr>
              <w:jc w:val="both"/>
            </w:pPr>
            <w:r w:rsidRPr="00E44A25">
              <w:rPr>
                <w:sz w:val="22"/>
                <w:szCs w:val="22"/>
              </w:rPr>
              <w:t>2.1.valsts pamatbudžets</w:t>
            </w:r>
          </w:p>
        </w:tc>
        <w:tc>
          <w:tcPr>
            <w:tcW w:w="931" w:type="pct"/>
          </w:tcPr>
          <w:p w:rsidR="00A265B6" w:rsidRPr="00E156EA" w:rsidRDefault="00A265B6" w:rsidP="00E91AC3">
            <w:pPr>
              <w:pStyle w:val="naisf"/>
              <w:spacing w:before="0" w:after="0"/>
              <w:ind w:firstLine="0"/>
              <w:jc w:val="center"/>
            </w:pPr>
            <w:r>
              <w:t>17,</w:t>
            </w:r>
            <w:r w:rsidR="00E91AC3">
              <w:t>3</w:t>
            </w:r>
          </w:p>
        </w:tc>
        <w:tc>
          <w:tcPr>
            <w:tcW w:w="824" w:type="pct"/>
          </w:tcPr>
          <w:p w:rsidR="00A265B6" w:rsidRPr="007E3CB6" w:rsidRDefault="00A265B6" w:rsidP="00253E48">
            <w:pPr>
              <w:pStyle w:val="naisf"/>
              <w:spacing w:before="0" w:after="0"/>
              <w:ind w:firstLine="0"/>
              <w:jc w:val="center"/>
            </w:pPr>
            <w:r>
              <w:t>0</w:t>
            </w:r>
          </w:p>
        </w:tc>
        <w:tc>
          <w:tcPr>
            <w:tcW w:w="898" w:type="pct"/>
          </w:tcPr>
          <w:p w:rsidR="00A265B6" w:rsidRPr="007E3CB6" w:rsidRDefault="00A265B6" w:rsidP="00F54C06">
            <w:pPr>
              <w:pStyle w:val="naisf"/>
              <w:spacing w:before="0" w:after="0"/>
              <w:ind w:firstLine="0"/>
              <w:jc w:val="center"/>
            </w:pPr>
            <w:r>
              <w:t>0</w:t>
            </w:r>
          </w:p>
        </w:tc>
        <w:tc>
          <w:tcPr>
            <w:tcW w:w="822" w:type="pct"/>
          </w:tcPr>
          <w:p w:rsidR="00A265B6" w:rsidRPr="007E3CB6" w:rsidRDefault="00A265B6" w:rsidP="00F54C06">
            <w:pPr>
              <w:pStyle w:val="naisf"/>
              <w:spacing w:before="0" w:after="0"/>
              <w:ind w:firstLine="0"/>
              <w:jc w:val="center"/>
            </w:pPr>
            <w:r>
              <w:t>0</w:t>
            </w:r>
          </w:p>
        </w:tc>
        <w:tc>
          <w:tcPr>
            <w:tcW w:w="679" w:type="pct"/>
          </w:tcPr>
          <w:p w:rsidR="00A265B6" w:rsidRPr="007E3CB6" w:rsidRDefault="00A265B6" w:rsidP="00F54C06">
            <w:pPr>
              <w:pStyle w:val="naisf"/>
              <w:spacing w:before="0" w:after="0"/>
              <w:ind w:firstLine="0"/>
              <w:jc w:val="center"/>
            </w:pPr>
            <w:r>
              <w:t>0</w:t>
            </w:r>
          </w:p>
        </w:tc>
      </w:tr>
      <w:tr w:rsidR="00A265B6" w:rsidRPr="007C0F2C" w:rsidTr="00A265B6">
        <w:tc>
          <w:tcPr>
            <w:tcW w:w="846" w:type="pct"/>
          </w:tcPr>
          <w:p w:rsidR="00A265B6" w:rsidRPr="007C0F2C" w:rsidRDefault="00A265B6" w:rsidP="00253E48">
            <w:pPr>
              <w:jc w:val="both"/>
            </w:pPr>
            <w:r w:rsidRPr="00E44A25">
              <w:rPr>
                <w:sz w:val="22"/>
                <w:szCs w:val="22"/>
              </w:rPr>
              <w:t>2.2.valsts speciālais budžets</w:t>
            </w:r>
          </w:p>
        </w:tc>
        <w:tc>
          <w:tcPr>
            <w:tcW w:w="931" w:type="pct"/>
          </w:tcPr>
          <w:p w:rsidR="00A265B6" w:rsidRPr="00E156EA" w:rsidRDefault="00A265B6" w:rsidP="00253E48">
            <w:pPr>
              <w:pStyle w:val="naisf"/>
              <w:spacing w:before="0" w:after="0"/>
              <w:ind w:firstLine="0"/>
              <w:jc w:val="center"/>
            </w:pPr>
            <w:r>
              <w:t>0</w:t>
            </w:r>
          </w:p>
        </w:tc>
        <w:tc>
          <w:tcPr>
            <w:tcW w:w="824" w:type="pct"/>
          </w:tcPr>
          <w:p w:rsidR="00A265B6" w:rsidRPr="007E3CB6" w:rsidRDefault="00A265B6" w:rsidP="00253E48">
            <w:pPr>
              <w:pStyle w:val="naisf"/>
              <w:spacing w:before="0" w:after="0"/>
              <w:ind w:firstLine="0"/>
              <w:jc w:val="center"/>
            </w:pPr>
            <w:r>
              <w:t>0</w:t>
            </w:r>
          </w:p>
        </w:tc>
        <w:tc>
          <w:tcPr>
            <w:tcW w:w="898" w:type="pct"/>
          </w:tcPr>
          <w:p w:rsidR="00A265B6" w:rsidRPr="007E3CB6" w:rsidRDefault="00A265B6" w:rsidP="00F54C06">
            <w:pPr>
              <w:pStyle w:val="naisf"/>
              <w:spacing w:before="0" w:after="0"/>
              <w:ind w:firstLine="0"/>
              <w:jc w:val="center"/>
            </w:pPr>
            <w:r>
              <w:t>0</w:t>
            </w:r>
          </w:p>
        </w:tc>
        <w:tc>
          <w:tcPr>
            <w:tcW w:w="822" w:type="pct"/>
          </w:tcPr>
          <w:p w:rsidR="00A265B6" w:rsidRPr="007E3CB6" w:rsidRDefault="00A265B6" w:rsidP="00F54C06">
            <w:pPr>
              <w:pStyle w:val="naisf"/>
              <w:spacing w:before="0" w:after="0"/>
              <w:ind w:firstLine="0"/>
              <w:jc w:val="center"/>
            </w:pPr>
            <w:r>
              <w:t>0</w:t>
            </w:r>
          </w:p>
        </w:tc>
        <w:tc>
          <w:tcPr>
            <w:tcW w:w="679" w:type="pct"/>
          </w:tcPr>
          <w:p w:rsidR="00A265B6" w:rsidRPr="007E3CB6" w:rsidRDefault="00A265B6" w:rsidP="00F54C06">
            <w:pPr>
              <w:pStyle w:val="naisf"/>
              <w:spacing w:before="0" w:after="0"/>
              <w:ind w:firstLine="0"/>
              <w:jc w:val="center"/>
            </w:pPr>
            <w:r>
              <w:t>0</w:t>
            </w:r>
          </w:p>
        </w:tc>
      </w:tr>
      <w:tr w:rsidR="00A265B6" w:rsidRPr="007C0F2C" w:rsidTr="00A265B6">
        <w:tc>
          <w:tcPr>
            <w:tcW w:w="846" w:type="pct"/>
          </w:tcPr>
          <w:p w:rsidR="00A265B6" w:rsidRPr="007C0F2C" w:rsidRDefault="00A265B6" w:rsidP="00253E48">
            <w:pPr>
              <w:jc w:val="both"/>
            </w:pPr>
            <w:r w:rsidRPr="00E44A25">
              <w:rPr>
                <w:sz w:val="22"/>
                <w:szCs w:val="22"/>
              </w:rPr>
              <w:t xml:space="preserve">2.3.pašvaldību budžets </w:t>
            </w:r>
          </w:p>
        </w:tc>
        <w:tc>
          <w:tcPr>
            <w:tcW w:w="931" w:type="pct"/>
          </w:tcPr>
          <w:p w:rsidR="00A265B6" w:rsidRPr="00E156EA" w:rsidRDefault="00A265B6" w:rsidP="00253E48">
            <w:pPr>
              <w:pStyle w:val="naisf"/>
              <w:spacing w:before="0" w:after="0"/>
              <w:ind w:firstLine="0"/>
              <w:jc w:val="center"/>
            </w:pPr>
            <w:r>
              <w:t>0</w:t>
            </w:r>
          </w:p>
        </w:tc>
        <w:tc>
          <w:tcPr>
            <w:tcW w:w="824" w:type="pct"/>
          </w:tcPr>
          <w:p w:rsidR="00A265B6" w:rsidRPr="007E3CB6" w:rsidRDefault="00A265B6" w:rsidP="00253E48">
            <w:pPr>
              <w:pStyle w:val="naisf"/>
              <w:spacing w:before="0" w:after="0"/>
              <w:ind w:firstLine="0"/>
              <w:jc w:val="center"/>
            </w:pPr>
            <w:r>
              <w:t>0</w:t>
            </w:r>
          </w:p>
        </w:tc>
        <w:tc>
          <w:tcPr>
            <w:tcW w:w="898" w:type="pct"/>
          </w:tcPr>
          <w:p w:rsidR="00A265B6" w:rsidRPr="007E3CB6" w:rsidRDefault="00A265B6" w:rsidP="00F54C06">
            <w:pPr>
              <w:pStyle w:val="naisf"/>
              <w:spacing w:before="0" w:after="0"/>
              <w:ind w:firstLine="0"/>
              <w:jc w:val="center"/>
            </w:pPr>
            <w:r>
              <w:t>0</w:t>
            </w:r>
          </w:p>
        </w:tc>
        <w:tc>
          <w:tcPr>
            <w:tcW w:w="822" w:type="pct"/>
          </w:tcPr>
          <w:p w:rsidR="00A265B6" w:rsidRPr="007E3CB6" w:rsidRDefault="00A265B6" w:rsidP="00F54C06">
            <w:pPr>
              <w:pStyle w:val="naisf"/>
              <w:spacing w:before="0" w:after="0"/>
              <w:ind w:firstLine="0"/>
              <w:jc w:val="center"/>
            </w:pPr>
            <w:r>
              <w:t>0</w:t>
            </w:r>
          </w:p>
        </w:tc>
        <w:tc>
          <w:tcPr>
            <w:tcW w:w="679" w:type="pct"/>
          </w:tcPr>
          <w:p w:rsidR="00A265B6" w:rsidRPr="007E3CB6" w:rsidRDefault="00A265B6" w:rsidP="00F54C06">
            <w:pPr>
              <w:pStyle w:val="naisf"/>
              <w:spacing w:before="0" w:after="0"/>
              <w:ind w:firstLine="0"/>
              <w:jc w:val="center"/>
            </w:pPr>
            <w:r>
              <w:t>0</w:t>
            </w:r>
          </w:p>
        </w:tc>
      </w:tr>
      <w:tr w:rsidR="00A265B6" w:rsidRPr="007C0F2C" w:rsidTr="00A265B6">
        <w:tc>
          <w:tcPr>
            <w:tcW w:w="846" w:type="pct"/>
          </w:tcPr>
          <w:p w:rsidR="00A265B6" w:rsidRPr="007C0F2C" w:rsidRDefault="00A265B6" w:rsidP="00253E48">
            <w:pPr>
              <w:jc w:val="both"/>
            </w:pPr>
            <w:r w:rsidRPr="00E44A25">
              <w:rPr>
                <w:sz w:val="22"/>
                <w:szCs w:val="22"/>
              </w:rPr>
              <w:t>3.Finansiālā ietekme:</w:t>
            </w:r>
          </w:p>
        </w:tc>
        <w:tc>
          <w:tcPr>
            <w:tcW w:w="931" w:type="pct"/>
          </w:tcPr>
          <w:p w:rsidR="00A265B6" w:rsidRPr="00E156EA" w:rsidRDefault="00A265B6" w:rsidP="00253E48">
            <w:pPr>
              <w:pStyle w:val="naisf"/>
              <w:spacing w:before="0" w:after="0"/>
              <w:ind w:firstLine="0"/>
              <w:jc w:val="center"/>
            </w:pPr>
            <w:r>
              <w:t>0</w:t>
            </w:r>
          </w:p>
        </w:tc>
        <w:tc>
          <w:tcPr>
            <w:tcW w:w="824" w:type="pct"/>
          </w:tcPr>
          <w:p w:rsidR="00A265B6" w:rsidRPr="007E3CB6" w:rsidRDefault="00A265B6" w:rsidP="00253E48">
            <w:pPr>
              <w:pStyle w:val="naisf"/>
              <w:spacing w:before="0" w:after="0"/>
              <w:ind w:firstLine="0"/>
              <w:jc w:val="center"/>
            </w:pPr>
            <w:r>
              <w:t>0</w:t>
            </w:r>
          </w:p>
        </w:tc>
        <w:tc>
          <w:tcPr>
            <w:tcW w:w="898" w:type="pct"/>
          </w:tcPr>
          <w:p w:rsidR="00A265B6" w:rsidRPr="007E3CB6" w:rsidRDefault="00A265B6" w:rsidP="00F54C06">
            <w:pPr>
              <w:pStyle w:val="naisf"/>
              <w:spacing w:before="0" w:after="0"/>
              <w:ind w:firstLine="0"/>
              <w:jc w:val="center"/>
            </w:pPr>
            <w:r>
              <w:t>0</w:t>
            </w:r>
          </w:p>
        </w:tc>
        <w:tc>
          <w:tcPr>
            <w:tcW w:w="822" w:type="pct"/>
          </w:tcPr>
          <w:p w:rsidR="00A265B6" w:rsidRPr="007E3CB6" w:rsidRDefault="00A265B6" w:rsidP="00F54C06">
            <w:pPr>
              <w:pStyle w:val="naisf"/>
              <w:spacing w:before="0" w:after="0"/>
              <w:ind w:firstLine="0"/>
              <w:jc w:val="center"/>
            </w:pPr>
            <w:r>
              <w:t>0</w:t>
            </w:r>
          </w:p>
        </w:tc>
        <w:tc>
          <w:tcPr>
            <w:tcW w:w="679" w:type="pct"/>
          </w:tcPr>
          <w:p w:rsidR="00A265B6" w:rsidRPr="007E3CB6" w:rsidRDefault="00A265B6" w:rsidP="00F54C06">
            <w:pPr>
              <w:pStyle w:val="naisf"/>
              <w:spacing w:before="0" w:after="0"/>
              <w:ind w:firstLine="0"/>
              <w:jc w:val="center"/>
            </w:pPr>
            <w:r>
              <w:t>0</w:t>
            </w:r>
          </w:p>
        </w:tc>
      </w:tr>
      <w:tr w:rsidR="00A265B6" w:rsidRPr="007C0F2C" w:rsidTr="00A265B6">
        <w:tc>
          <w:tcPr>
            <w:tcW w:w="846" w:type="pct"/>
          </w:tcPr>
          <w:p w:rsidR="00A265B6" w:rsidRPr="007C0F2C" w:rsidRDefault="00A265B6" w:rsidP="00253E48">
            <w:pPr>
              <w:jc w:val="both"/>
            </w:pPr>
            <w:r w:rsidRPr="00E44A25">
              <w:rPr>
                <w:sz w:val="22"/>
                <w:szCs w:val="22"/>
              </w:rPr>
              <w:t>3.1.valsts pamatbudžets</w:t>
            </w:r>
          </w:p>
        </w:tc>
        <w:tc>
          <w:tcPr>
            <w:tcW w:w="931" w:type="pct"/>
          </w:tcPr>
          <w:p w:rsidR="00A265B6" w:rsidRPr="00E156EA" w:rsidRDefault="00A265B6" w:rsidP="00253E48">
            <w:pPr>
              <w:pStyle w:val="naisf"/>
              <w:spacing w:before="0" w:after="0"/>
              <w:ind w:firstLine="0"/>
              <w:jc w:val="center"/>
            </w:pPr>
            <w:r>
              <w:t>0</w:t>
            </w:r>
          </w:p>
        </w:tc>
        <w:tc>
          <w:tcPr>
            <w:tcW w:w="824" w:type="pct"/>
          </w:tcPr>
          <w:p w:rsidR="00A265B6" w:rsidRPr="00E156EA" w:rsidRDefault="00A265B6" w:rsidP="00253E48">
            <w:pPr>
              <w:pStyle w:val="naisf"/>
              <w:spacing w:before="0" w:after="0"/>
              <w:ind w:firstLine="0"/>
              <w:jc w:val="center"/>
            </w:pPr>
            <w:r>
              <w:t>0</w:t>
            </w:r>
          </w:p>
        </w:tc>
        <w:tc>
          <w:tcPr>
            <w:tcW w:w="898" w:type="pct"/>
          </w:tcPr>
          <w:p w:rsidR="00A265B6" w:rsidRPr="00E156EA" w:rsidRDefault="00A265B6" w:rsidP="00F54C06">
            <w:pPr>
              <w:pStyle w:val="naisf"/>
              <w:spacing w:before="0" w:after="0"/>
              <w:ind w:firstLine="0"/>
              <w:jc w:val="center"/>
            </w:pPr>
            <w:r>
              <w:t>0</w:t>
            </w:r>
          </w:p>
        </w:tc>
        <w:tc>
          <w:tcPr>
            <w:tcW w:w="822" w:type="pct"/>
          </w:tcPr>
          <w:p w:rsidR="00A265B6" w:rsidRPr="00E156EA" w:rsidRDefault="00A265B6" w:rsidP="00F54C06">
            <w:pPr>
              <w:pStyle w:val="naisf"/>
              <w:spacing w:before="0" w:after="0"/>
              <w:ind w:firstLine="0"/>
              <w:jc w:val="center"/>
            </w:pPr>
            <w:r>
              <w:t>0</w:t>
            </w:r>
          </w:p>
        </w:tc>
        <w:tc>
          <w:tcPr>
            <w:tcW w:w="679" w:type="pct"/>
          </w:tcPr>
          <w:p w:rsidR="00A265B6" w:rsidRPr="00E156EA" w:rsidRDefault="00A265B6" w:rsidP="00F54C06">
            <w:pPr>
              <w:pStyle w:val="naisf"/>
              <w:spacing w:before="0" w:after="0"/>
              <w:ind w:firstLine="0"/>
              <w:jc w:val="center"/>
            </w:pPr>
            <w:r>
              <w:t>0</w:t>
            </w:r>
          </w:p>
        </w:tc>
      </w:tr>
      <w:tr w:rsidR="00A265B6" w:rsidRPr="007C0F2C" w:rsidTr="00A265B6">
        <w:tc>
          <w:tcPr>
            <w:tcW w:w="846" w:type="pct"/>
          </w:tcPr>
          <w:p w:rsidR="00A265B6" w:rsidRPr="007C0F2C" w:rsidRDefault="00A265B6" w:rsidP="00253E48">
            <w:pPr>
              <w:jc w:val="both"/>
            </w:pPr>
            <w:r w:rsidRPr="00E44A25">
              <w:rPr>
                <w:sz w:val="22"/>
                <w:szCs w:val="22"/>
              </w:rPr>
              <w:t>3.2.speciālais budžets</w:t>
            </w:r>
          </w:p>
        </w:tc>
        <w:tc>
          <w:tcPr>
            <w:tcW w:w="931" w:type="pct"/>
          </w:tcPr>
          <w:p w:rsidR="00A265B6" w:rsidRPr="00E156EA" w:rsidRDefault="00A265B6" w:rsidP="00253E48">
            <w:pPr>
              <w:pStyle w:val="naisf"/>
              <w:spacing w:before="0" w:after="0"/>
              <w:ind w:firstLine="0"/>
              <w:jc w:val="center"/>
            </w:pPr>
            <w:r>
              <w:t>0</w:t>
            </w:r>
          </w:p>
        </w:tc>
        <w:tc>
          <w:tcPr>
            <w:tcW w:w="824" w:type="pct"/>
          </w:tcPr>
          <w:p w:rsidR="00A265B6" w:rsidRPr="00E156EA" w:rsidRDefault="00A265B6" w:rsidP="00253E48">
            <w:pPr>
              <w:pStyle w:val="naisf"/>
              <w:spacing w:before="0" w:after="0"/>
              <w:ind w:firstLine="0"/>
              <w:jc w:val="center"/>
            </w:pPr>
            <w:r>
              <w:t>0</w:t>
            </w:r>
          </w:p>
        </w:tc>
        <w:tc>
          <w:tcPr>
            <w:tcW w:w="898" w:type="pct"/>
          </w:tcPr>
          <w:p w:rsidR="00A265B6" w:rsidRPr="00E156EA" w:rsidRDefault="00A265B6" w:rsidP="00F54C06">
            <w:pPr>
              <w:pStyle w:val="naisf"/>
              <w:spacing w:before="0" w:after="0"/>
              <w:ind w:firstLine="0"/>
              <w:jc w:val="center"/>
            </w:pPr>
            <w:r>
              <w:t>0</w:t>
            </w:r>
          </w:p>
        </w:tc>
        <w:tc>
          <w:tcPr>
            <w:tcW w:w="822" w:type="pct"/>
          </w:tcPr>
          <w:p w:rsidR="00A265B6" w:rsidRPr="00E156EA" w:rsidRDefault="00A265B6" w:rsidP="00F54C06">
            <w:pPr>
              <w:pStyle w:val="naisf"/>
              <w:spacing w:before="0" w:after="0"/>
              <w:ind w:firstLine="0"/>
              <w:jc w:val="center"/>
            </w:pPr>
            <w:r>
              <w:t>0</w:t>
            </w:r>
          </w:p>
        </w:tc>
        <w:tc>
          <w:tcPr>
            <w:tcW w:w="679" w:type="pct"/>
          </w:tcPr>
          <w:p w:rsidR="00A265B6" w:rsidRPr="00E156EA" w:rsidRDefault="00A265B6" w:rsidP="00F54C06">
            <w:pPr>
              <w:pStyle w:val="naisf"/>
              <w:spacing w:before="0" w:after="0"/>
              <w:ind w:firstLine="0"/>
              <w:jc w:val="center"/>
            </w:pPr>
            <w:r>
              <w:t>0</w:t>
            </w:r>
          </w:p>
        </w:tc>
      </w:tr>
      <w:tr w:rsidR="00A265B6" w:rsidRPr="007C0F2C" w:rsidTr="00A265B6">
        <w:tc>
          <w:tcPr>
            <w:tcW w:w="846" w:type="pct"/>
            <w:tcBorders>
              <w:bottom w:val="single" w:sz="4" w:space="0" w:color="auto"/>
            </w:tcBorders>
          </w:tcPr>
          <w:p w:rsidR="00A265B6" w:rsidRPr="007C0F2C" w:rsidRDefault="00A265B6" w:rsidP="00253E48">
            <w:pPr>
              <w:jc w:val="both"/>
            </w:pPr>
            <w:r w:rsidRPr="00E44A25">
              <w:rPr>
                <w:sz w:val="22"/>
                <w:szCs w:val="22"/>
              </w:rPr>
              <w:t xml:space="preserve">3.3.pašvaldību budžets </w:t>
            </w:r>
          </w:p>
        </w:tc>
        <w:tc>
          <w:tcPr>
            <w:tcW w:w="931" w:type="pct"/>
            <w:tcBorders>
              <w:bottom w:val="single" w:sz="4" w:space="0" w:color="auto"/>
            </w:tcBorders>
          </w:tcPr>
          <w:p w:rsidR="00A265B6" w:rsidRPr="00326FF1" w:rsidRDefault="00A265B6" w:rsidP="00253E48">
            <w:pPr>
              <w:pStyle w:val="naisf"/>
              <w:spacing w:before="0" w:after="0"/>
              <w:ind w:firstLine="0"/>
              <w:jc w:val="center"/>
            </w:pPr>
            <w:r>
              <w:t>0</w:t>
            </w:r>
          </w:p>
        </w:tc>
        <w:tc>
          <w:tcPr>
            <w:tcW w:w="824" w:type="pct"/>
            <w:tcBorders>
              <w:bottom w:val="single" w:sz="4" w:space="0" w:color="auto"/>
            </w:tcBorders>
          </w:tcPr>
          <w:p w:rsidR="00A265B6" w:rsidRPr="00326FF1" w:rsidRDefault="00A265B6" w:rsidP="00253E48">
            <w:pPr>
              <w:pStyle w:val="naisf"/>
              <w:spacing w:before="0" w:after="0"/>
              <w:ind w:firstLine="0"/>
              <w:jc w:val="center"/>
            </w:pPr>
            <w:r>
              <w:t>0</w:t>
            </w:r>
          </w:p>
        </w:tc>
        <w:tc>
          <w:tcPr>
            <w:tcW w:w="898" w:type="pct"/>
          </w:tcPr>
          <w:p w:rsidR="00A265B6" w:rsidRPr="00326FF1" w:rsidRDefault="00A265B6" w:rsidP="00F54C06">
            <w:pPr>
              <w:pStyle w:val="naisf"/>
              <w:spacing w:before="0" w:after="0"/>
              <w:ind w:firstLine="0"/>
              <w:jc w:val="center"/>
            </w:pPr>
            <w:r>
              <w:t>0</w:t>
            </w:r>
          </w:p>
        </w:tc>
        <w:tc>
          <w:tcPr>
            <w:tcW w:w="822" w:type="pct"/>
          </w:tcPr>
          <w:p w:rsidR="00A265B6" w:rsidRPr="00326FF1" w:rsidRDefault="00A265B6" w:rsidP="00F54C06">
            <w:pPr>
              <w:pStyle w:val="naisf"/>
              <w:spacing w:before="0" w:after="0"/>
              <w:ind w:firstLine="0"/>
              <w:jc w:val="center"/>
            </w:pPr>
            <w:r>
              <w:t>0</w:t>
            </w:r>
          </w:p>
        </w:tc>
        <w:tc>
          <w:tcPr>
            <w:tcW w:w="679" w:type="pct"/>
          </w:tcPr>
          <w:p w:rsidR="00A265B6" w:rsidRPr="00326FF1" w:rsidRDefault="00A265B6" w:rsidP="00F54C06">
            <w:pPr>
              <w:pStyle w:val="naisf"/>
              <w:spacing w:before="0" w:after="0"/>
              <w:ind w:firstLine="0"/>
              <w:jc w:val="center"/>
            </w:pPr>
            <w:r>
              <w:t>0</w:t>
            </w:r>
          </w:p>
        </w:tc>
      </w:tr>
      <w:tr w:rsidR="00A265B6" w:rsidRPr="007C0F2C" w:rsidTr="00F54C06">
        <w:trPr>
          <w:trHeight w:val="2277"/>
        </w:trPr>
        <w:tc>
          <w:tcPr>
            <w:tcW w:w="846" w:type="pct"/>
            <w:tcBorders>
              <w:top w:val="single" w:sz="4" w:space="0" w:color="auto"/>
              <w:left w:val="single" w:sz="4" w:space="0" w:color="auto"/>
              <w:bottom w:val="single" w:sz="4" w:space="0" w:color="auto"/>
              <w:right w:val="single" w:sz="4" w:space="0" w:color="auto"/>
            </w:tcBorders>
          </w:tcPr>
          <w:p w:rsidR="00A265B6" w:rsidRPr="007C0F2C" w:rsidRDefault="00A265B6" w:rsidP="00253E48">
            <w:pPr>
              <w:jc w:val="both"/>
            </w:pPr>
            <w:r w:rsidRPr="00E44A25">
              <w:rPr>
                <w:sz w:val="22"/>
                <w:szCs w:val="22"/>
              </w:rPr>
              <w:t>4.Finanšu līdzekļi papildu izde</w:t>
            </w:r>
            <w:r w:rsidRPr="00E44A25">
              <w:rPr>
                <w:sz w:val="22"/>
                <w:szCs w:val="22"/>
              </w:rPr>
              <w:softHyphen/>
              <w:t>vumu finansēšanai (kompensējošu izdevumu samazinājumu norāda ar "+" zīmi)</w:t>
            </w:r>
          </w:p>
        </w:tc>
        <w:tc>
          <w:tcPr>
            <w:tcW w:w="931" w:type="pct"/>
            <w:tcBorders>
              <w:top w:val="single" w:sz="4" w:space="0" w:color="auto"/>
              <w:left w:val="single" w:sz="4" w:space="0" w:color="auto"/>
              <w:bottom w:val="single" w:sz="4" w:space="0" w:color="auto"/>
              <w:right w:val="single" w:sz="4" w:space="0" w:color="auto"/>
            </w:tcBorders>
          </w:tcPr>
          <w:p w:rsidR="00A265B6" w:rsidRPr="00E44A25" w:rsidRDefault="00A265B6" w:rsidP="00253E48">
            <w:pPr>
              <w:pStyle w:val="naisf"/>
              <w:spacing w:before="0" w:after="0"/>
              <w:ind w:firstLine="0"/>
              <w:jc w:val="center"/>
              <w:rPr>
                <w:i/>
              </w:rPr>
            </w:pPr>
            <w:r w:rsidRPr="007C0F2C">
              <w:t>X</w:t>
            </w:r>
          </w:p>
        </w:tc>
        <w:tc>
          <w:tcPr>
            <w:tcW w:w="824" w:type="pct"/>
            <w:tcBorders>
              <w:top w:val="single" w:sz="4" w:space="0" w:color="auto"/>
              <w:left w:val="single" w:sz="4" w:space="0" w:color="auto"/>
              <w:right w:val="single" w:sz="4" w:space="0" w:color="auto"/>
            </w:tcBorders>
          </w:tcPr>
          <w:p w:rsidR="00A265B6" w:rsidRPr="00326FF1" w:rsidRDefault="00A265B6" w:rsidP="00253E48">
            <w:pPr>
              <w:pStyle w:val="naisf"/>
              <w:spacing w:before="0" w:after="0"/>
              <w:ind w:firstLine="0"/>
              <w:jc w:val="center"/>
            </w:pPr>
            <w:r>
              <w:t>0</w:t>
            </w:r>
          </w:p>
        </w:tc>
        <w:tc>
          <w:tcPr>
            <w:tcW w:w="898" w:type="pct"/>
            <w:tcBorders>
              <w:left w:val="single" w:sz="4" w:space="0" w:color="auto"/>
            </w:tcBorders>
          </w:tcPr>
          <w:p w:rsidR="00A265B6" w:rsidRPr="00326FF1" w:rsidRDefault="00A265B6" w:rsidP="00F54C06">
            <w:pPr>
              <w:pStyle w:val="naisf"/>
              <w:spacing w:before="0" w:after="0"/>
              <w:ind w:firstLine="0"/>
              <w:jc w:val="center"/>
            </w:pPr>
            <w:r>
              <w:t>0</w:t>
            </w:r>
          </w:p>
        </w:tc>
        <w:tc>
          <w:tcPr>
            <w:tcW w:w="822" w:type="pct"/>
          </w:tcPr>
          <w:p w:rsidR="00A265B6" w:rsidRPr="00326FF1" w:rsidRDefault="00A265B6" w:rsidP="00F54C06">
            <w:pPr>
              <w:pStyle w:val="naisf"/>
              <w:spacing w:before="0" w:after="0"/>
              <w:ind w:firstLine="0"/>
              <w:jc w:val="center"/>
            </w:pPr>
            <w:r>
              <w:t>0</w:t>
            </w:r>
          </w:p>
        </w:tc>
        <w:tc>
          <w:tcPr>
            <w:tcW w:w="679" w:type="pct"/>
          </w:tcPr>
          <w:p w:rsidR="00A265B6" w:rsidRPr="00326FF1" w:rsidRDefault="00A265B6" w:rsidP="00F54C06">
            <w:pPr>
              <w:pStyle w:val="naisf"/>
              <w:spacing w:before="0" w:after="0"/>
              <w:ind w:firstLine="0"/>
              <w:jc w:val="center"/>
            </w:pPr>
            <w:r>
              <w:t>0</w:t>
            </w:r>
          </w:p>
        </w:tc>
      </w:tr>
      <w:tr w:rsidR="00A265B6" w:rsidRPr="007C0F2C" w:rsidTr="00A265B6">
        <w:tc>
          <w:tcPr>
            <w:tcW w:w="846" w:type="pct"/>
            <w:tcBorders>
              <w:top w:val="single" w:sz="4" w:space="0" w:color="auto"/>
              <w:left w:val="single" w:sz="4" w:space="0" w:color="auto"/>
              <w:bottom w:val="single" w:sz="4" w:space="0" w:color="auto"/>
              <w:right w:val="single" w:sz="4" w:space="0" w:color="auto"/>
            </w:tcBorders>
          </w:tcPr>
          <w:p w:rsidR="00A265B6" w:rsidRPr="007C0F2C" w:rsidRDefault="00A265B6" w:rsidP="00253E48">
            <w:pPr>
              <w:jc w:val="both"/>
            </w:pPr>
            <w:r w:rsidRPr="00E44A25">
              <w:rPr>
                <w:sz w:val="22"/>
                <w:szCs w:val="22"/>
              </w:rPr>
              <w:t>5.Precizēta finansiālā ietekme:</w:t>
            </w:r>
          </w:p>
        </w:tc>
        <w:tc>
          <w:tcPr>
            <w:tcW w:w="931" w:type="pct"/>
            <w:vMerge w:val="restart"/>
            <w:tcBorders>
              <w:top w:val="single" w:sz="4" w:space="0" w:color="auto"/>
              <w:left w:val="single" w:sz="4" w:space="0" w:color="auto"/>
              <w:bottom w:val="single" w:sz="4" w:space="0" w:color="auto"/>
              <w:right w:val="single" w:sz="4" w:space="0" w:color="auto"/>
            </w:tcBorders>
          </w:tcPr>
          <w:p w:rsidR="00A265B6" w:rsidRPr="00E44A25" w:rsidRDefault="00A265B6" w:rsidP="00253E48">
            <w:pPr>
              <w:pStyle w:val="naisf"/>
              <w:spacing w:before="0" w:after="0"/>
              <w:ind w:firstLine="0"/>
              <w:jc w:val="center"/>
              <w:rPr>
                <w:i/>
              </w:rPr>
            </w:pPr>
            <w:r w:rsidRPr="007C0F2C">
              <w:t>X</w:t>
            </w:r>
          </w:p>
        </w:tc>
        <w:tc>
          <w:tcPr>
            <w:tcW w:w="824" w:type="pct"/>
            <w:tcBorders>
              <w:top w:val="single" w:sz="4" w:space="0" w:color="auto"/>
              <w:left w:val="single" w:sz="4" w:space="0" w:color="auto"/>
              <w:bottom w:val="single" w:sz="4" w:space="0" w:color="auto"/>
              <w:right w:val="single" w:sz="4" w:space="0" w:color="auto"/>
            </w:tcBorders>
          </w:tcPr>
          <w:p w:rsidR="00A265B6" w:rsidRPr="00326FF1" w:rsidRDefault="00A265B6" w:rsidP="00253E48">
            <w:pPr>
              <w:pStyle w:val="naisf"/>
              <w:spacing w:before="0" w:after="0"/>
              <w:ind w:firstLine="0"/>
              <w:jc w:val="center"/>
            </w:pPr>
            <w:r>
              <w:t>0</w:t>
            </w:r>
          </w:p>
        </w:tc>
        <w:tc>
          <w:tcPr>
            <w:tcW w:w="898" w:type="pct"/>
            <w:tcBorders>
              <w:left w:val="single" w:sz="4" w:space="0" w:color="auto"/>
            </w:tcBorders>
          </w:tcPr>
          <w:p w:rsidR="00A265B6" w:rsidRPr="00326FF1" w:rsidRDefault="00A265B6" w:rsidP="00F54C06">
            <w:pPr>
              <w:pStyle w:val="naisf"/>
              <w:spacing w:before="0" w:after="0"/>
              <w:ind w:firstLine="0"/>
              <w:jc w:val="center"/>
            </w:pPr>
            <w:r>
              <w:t>0</w:t>
            </w:r>
          </w:p>
        </w:tc>
        <w:tc>
          <w:tcPr>
            <w:tcW w:w="822" w:type="pct"/>
          </w:tcPr>
          <w:p w:rsidR="00A265B6" w:rsidRPr="00326FF1" w:rsidRDefault="00A265B6" w:rsidP="00F54C06">
            <w:pPr>
              <w:pStyle w:val="naisf"/>
              <w:spacing w:before="0" w:after="0"/>
              <w:ind w:firstLine="0"/>
              <w:jc w:val="center"/>
            </w:pPr>
            <w:r>
              <w:t>0</w:t>
            </w:r>
          </w:p>
        </w:tc>
        <w:tc>
          <w:tcPr>
            <w:tcW w:w="679" w:type="pct"/>
          </w:tcPr>
          <w:p w:rsidR="00A265B6" w:rsidRPr="00326FF1" w:rsidRDefault="00A265B6" w:rsidP="00F54C06">
            <w:pPr>
              <w:pStyle w:val="naisf"/>
              <w:spacing w:before="0" w:after="0"/>
              <w:ind w:firstLine="0"/>
              <w:jc w:val="center"/>
            </w:pPr>
            <w:r>
              <w:t>0</w:t>
            </w:r>
          </w:p>
        </w:tc>
      </w:tr>
      <w:tr w:rsidR="00A265B6" w:rsidRPr="007C0F2C" w:rsidTr="00A265B6">
        <w:tc>
          <w:tcPr>
            <w:tcW w:w="846" w:type="pct"/>
            <w:tcBorders>
              <w:top w:val="single" w:sz="4" w:space="0" w:color="auto"/>
              <w:left w:val="single" w:sz="4" w:space="0" w:color="auto"/>
              <w:bottom w:val="single" w:sz="4" w:space="0" w:color="auto"/>
              <w:right w:val="single" w:sz="4" w:space="0" w:color="auto"/>
            </w:tcBorders>
          </w:tcPr>
          <w:p w:rsidR="00A265B6" w:rsidRPr="007C0F2C" w:rsidRDefault="00A265B6" w:rsidP="00253E48">
            <w:pPr>
              <w:jc w:val="both"/>
            </w:pPr>
            <w:r w:rsidRPr="00E44A25">
              <w:rPr>
                <w:sz w:val="22"/>
                <w:szCs w:val="22"/>
              </w:rPr>
              <w:t>5.1.valsts pamatbudžets</w:t>
            </w:r>
          </w:p>
        </w:tc>
        <w:tc>
          <w:tcPr>
            <w:tcW w:w="931" w:type="pct"/>
            <w:vMerge/>
            <w:tcBorders>
              <w:top w:val="single" w:sz="4" w:space="0" w:color="auto"/>
              <w:left w:val="single" w:sz="4" w:space="0" w:color="auto"/>
              <w:bottom w:val="single" w:sz="4" w:space="0" w:color="auto"/>
              <w:right w:val="single" w:sz="4" w:space="0" w:color="auto"/>
            </w:tcBorders>
          </w:tcPr>
          <w:p w:rsidR="00A265B6" w:rsidRPr="00E44A25" w:rsidRDefault="00A265B6" w:rsidP="00253E48">
            <w:pPr>
              <w:pStyle w:val="naisf"/>
              <w:spacing w:before="0" w:after="0"/>
              <w:ind w:firstLine="0"/>
              <w:jc w:val="center"/>
              <w:rPr>
                <w:i/>
                <w:sz w:val="40"/>
                <w:szCs w:val="40"/>
              </w:rPr>
            </w:pPr>
          </w:p>
        </w:tc>
        <w:tc>
          <w:tcPr>
            <w:tcW w:w="824" w:type="pct"/>
            <w:tcBorders>
              <w:top w:val="single" w:sz="4" w:space="0" w:color="auto"/>
              <w:left w:val="single" w:sz="4" w:space="0" w:color="auto"/>
              <w:bottom w:val="single" w:sz="4" w:space="0" w:color="auto"/>
              <w:right w:val="single" w:sz="4" w:space="0" w:color="auto"/>
            </w:tcBorders>
          </w:tcPr>
          <w:p w:rsidR="00A265B6" w:rsidRPr="00326FF1" w:rsidRDefault="00A265B6" w:rsidP="00253E48">
            <w:pPr>
              <w:pStyle w:val="naisf"/>
              <w:spacing w:before="0" w:after="0"/>
              <w:ind w:firstLine="0"/>
              <w:jc w:val="center"/>
            </w:pPr>
            <w:r>
              <w:t>0</w:t>
            </w:r>
          </w:p>
        </w:tc>
        <w:tc>
          <w:tcPr>
            <w:tcW w:w="898" w:type="pct"/>
            <w:tcBorders>
              <w:left w:val="single" w:sz="4" w:space="0" w:color="auto"/>
            </w:tcBorders>
          </w:tcPr>
          <w:p w:rsidR="00A265B6" w:rsidRPr="00326FF1" w:rsidRDefault="00A265B6" w:rsidP="00F54C06">
            <w:pPr>
              <w:pStyle w:val="naisf"/>
              <w:spacing w:before="0" w:after="0"/>
              <w:ind w:firstLine="0"/>
              <w:jc w:val="center"/>
            </w:pPr>
            <w:r>
              <w:t>0</w:t>
            </w:r>
          </w:p>
        </w:tc>
        <w:tc>
          <w:tcPr>
            <w:tcW w:w="822" w:type="pct"/>
          </w:tcPr>
          <w:p w:rsidR="00A265B6" w:rsidRPr="00326FF1" w:rsidRDefault="00A265B6" w:rsidP="00F54C06">
            <w:pPr>
              <w:pStyle w:val="naisf"/>
              <w:spacing w:before="0" w:after="0"/>
              <w:ind w:firstLine="0"/>
              <w:jc w:val="center"/>
            </w:pPr>
            <w:r>
              <w:t>0</w:t>
            </w:r>
          </w:p>
        </w:tc>
        <w:tc>
          <w:tcPr>
            <w:tcW w:w="679" w:type="pct"/>
          </w:tcPr>
          <w:p w:rsidR="00A265B6" w:rsidRPr="00326FF1" w:rsidRDefault="00A265B6" w:rsidP="00F54C06">
            <w:pPr>
              <w:pStyle w:val="naisf"/>
              <w:spacing w:before="0" w:after="0"/>
              <w:ind w:firstLine="0"/>
              <w:jc w:val="center"/>
            </w:pPr>
            <w:r>
              <w:t>0</w:t>
            </w:r>
          </w:p>
        </w:tc>
      </w:tr>
      <w:tr w:rsidR="00A265B6" w:rsidRPr="007C0F2C" w:rsidTr="00A265B6">
        <w:tc>
          <w:tcPr>
            <w:tcW w:w="846" w:type="pct"/>
            <w:tcBorders>
              <w:top w:val="single" w:sz="4" w:space="0" w:color="auto"/>
              <w:left w:val="single" w:sz="4" w:space="0" w:color="auto"/>
              <w:bottom w:val="single" w:sz="4" w:space="0" w:color="auto"/>
              <w:right w:val="single" w:sz="4" w:space="0" w:color="auto"/>
            </w:tcBorders>
          </w:tcPr>
          <w:p w:rsidR="00A265B6" w:rsidRPr="007C0F2C" w:rsidRDefault="00A265B6" w:rsidP="00253E48">
            <w:pPr>
              <w:jc w:val="both"/>
            </w:pPr>
            <w:r w:rsidRPr="00E44A25">
              <w:rPr>
                <w:sz w:val="22"/>
                <w:szCs w:val="22"/>
              </w:rPr>
              <w:t>5.2.speciālais budžets</w:t>
            </w:r>
          </w:p>
        </w:tc>
        <w:tc>
          <w:tcPr>
            <w:tcW w:w="931" w:type="pct"/>
            <w:vMerge/>
            <w:tcBorders>
              <w:top w:val="single" w:sz="4" w:space="0" w:color="auto"/>
              <w:left w:val="single" w:sz="4" w:space="0" w:color="auto"/>
              <w:bottom w:val="single" w:sz="4" w:space="0" w:color="auto"/>
              <w:right w:val="single" w:sz="4" w:space="0" w:color="auto"/>
            </w:tcBorders>
          </w:tcPr>
          <w:p w:rsidR="00A265B6" w:rsidRPr="00E44A25" w:rsidRDefault="00A265B6" w:rsidP="00253E48">
            <w:pPr>
              <w:pStyle w:val="naisf"/>
              <w:spacing w:before="0" w:after="0"/>
              <w:ind w:firstLine="0"/>
              <w:jc w:val="center"/>
              <w:rPr>
                <w:i/>
                <w:sz w:val="40"/>
                <w:szCs w:val="40"/>
              </w:rPr>
            </w:pPr>
          </w:p>
        </w:tc>
        <w:tc>
          <w:tcPr>
            <w:tcW w:w="824" w:type="pct"/>
            <w:tcBorders>
              <w:top w:val="single" w:sz="4" w:space="0" w:color="auto"/>
              <w:left w:val="single" w:sz="4" w:space="0" w:color="auto"/>
              <w:bottom w:val="single" w:sz="4" w:space="0" w:color="auto"/>
              <w:right w:val="single" w:sz="4" w:space="0" w:color="auto"/>
            </w:tcBorders>
          </w:tcPr>
          <w:p w:rsidR="00A265B6" w:rsidRPr="00326FF1" w:rsidRDefault="00A265B6" w:rsidP="00253E48">
            <w:pPr>
              <w:pStyle w:val="naisf"/>
              <w:spacing w:before="0" w:after="0"/>
              <w:ind w:firstLine="0"/>
              <w:jc w:val="center"/>
            </w:pPr>
            <w:r>
              <w:t>0</w:t>
            </w:r>
          </w:p>
        </w:tc>
        <w:tc>
          <w:tcPr>
            <w:tcW w:w="898" w:type="pct"/>
            <w:tcBorders>
              <w:left w:val="single" w:sz="4" w:space="0" w:color="auto"/>
            </w:tcBorders>
          </w:tcPr>
          <w:p w:rsidR="00A265B6" w:rsidRPr="00326FF1" w:rsidRDefault="00A265B6" w:rsidP="00F54C06">
            <w:pPr>
              <w:pStyle w:val="naisf"/>
              <w:spacing w:before="0" w:after="0"/>
              <w:ind w:firstLine="0"/>
              <w:jc w:val="center"/>
            </w:pPr>
            <w:r>
              <w:t>0</w:t>
            </w:r>
          </w:p>
        </w:tc>
        <w:tc>
          <w:tcPr>
            <w:tcW w:w="822" w:type="pct"/>
          </w:tcPr>
          <w:p w:rsidR="00A265B6" w:rsidRPr="00326FF1" w:rsidRDefault="00A265B6" w:rsidP="00F54C06">
            <w:pPr>
              <w:pStyle w:val="naisf"/>
              <w:spacing w:before="0" w:after="0"/>
              <w:ind w:firstLine="0"/>
              <w:jc w:val="center"/>
            </w:pPr>
            <w:r>
              <w:t>0</w:t>
            </w:r>
          </w:p>
        </w:tc>
        <w:tc>
          <w:tcPr>
            <w:tcW w:w="679" w:type="pct"/>
          </w:tcPr>
          <w:p w:rsidR="00A265B6" w:rsidRPr="00326FF1" w:rsidRDefault="00A265B6" w:rsidP="00F54C06">
            <w:pPr>
              <w:pStyle w:val="naisf"/>
              <w:spacing w:before="0" w:after="0"/>
              <w:ind w:firstLine="0"/>
              <w:jc w:val="center"/>
            </w:pPr>
            <w:r>
              <w:t>0</w:t>
            </w:r>
          </w:p>
        </w:tc>
      </w:tr>
      <w:tr w:rsidR="00A265B6" w:rsidRPr="007C0F2C" w:rsidTr="00A265B6">
        <w:tc>
          <w:tcPr>
            <w:tcW w:w="846" w:type="pct"/>
            <w:tcBorders>
              <w:top w:val="single" w:sz="4" w:space="0" w:color="auto"/>
              <w:left w:val="single" w:sz="4" w:space="0" w:color="auto"/>
              <w:bottom w:val="single" w:sz="4" w:space="0" w:color="auto"/>
              <w:right w:val="single" w:sz="4" w:space="0" w:color="auto"/>
            </w:tcBorders>
          </w:tcPr>
          <w:p w:rsidR="00A265B6" w:rsidRPr="007C0F2C" w:rsidRDefault="00A265B6" w:rsidP="00253E48">
            <w:pPr>
              <w:jc w:val="both"/>
            </w:pPr>
            <w:r w:rsidRPr="00E44A25">
              <w:rPr>
                <w:sz w:val="22"/>
                <w:szCs w:val="22"/>
              </w:rPr>
              <w:t xml:space="preserve">5.3.pašvaldību budžets </w:t>
            </w:r>
          </w:p>
        </w:tc>
        <w:tc>
          <w:tcPr>
            <w:tcW w:w="931" w:type="pct"/>
            <w:vMerge/>
            <w:tcBorders>
              <w:top w:val="single" w:sz="4" w:space="0" w:color="auto"/>
              <w:left w:val="single" w:sz="4" w:space="0" w:color="auto"/>
              <w:bottom w:val="single" w:sz="4" w:space="0" w:color="auto"/>
              <w:right w:val="single" w:sz="4" w:space="0" w:color="auto"/>
            </w:tcBorders>
          </w:tcPr>
          <w:p w:rsidR="00A265B6" w:rsidRPr="00E44A25" w:rsidRDefault="00A265B6" w:rsidP="00253E48">
            <w:pPr>
              <w:pStyle w:val="naisf"/>
              <w:spacing w:before="0" w:after="0"/>
              <w:ind w:firstLine="0"/>
              <w:jc w:val="center"/>
              <w:rPr>
                <w:i/>
                <w:sz w:val="40"/>
                <w:szCs w:val="40"/>
              </w:rPr>
            </w:pPr>
          </w:p>
        </w:tc>
        <w:tc>
          <w:tcPr>
            <w:tcW w:w="824" w:type="pct"/>
            <w:tcBorders>
              <w:top w:val="single" w:sz="4" w:space="0" w:color="auto"/>
              <w:left w:val="single" w:sz="4" w:space="0" w:color="auto"/>
              <w:bottom w:val="single" w:sz="4" w:space="0" w:color="auto"/>
              <w:right w:val="single" w:sz="4" w:space="0" w:color="auto"/>
            </w:tcBorders>
          </w:tcPr>
          <w:p w:rsidR="00A265B6" w:rsidRPr="00326FF1" w:rsidRDefault="00A265B6" w:rsidP="00253E48">
            <w:pPr>
              <w:pStyle w:val="naisf"/>
              <w:spacing w:before="0" w:after="0"/>
              <w:ind w:firstLine="0"/>
              <w:jc w:val="center"/>
            </w:pPr>
            <w:r>
              <w:t>0</w:t>
            </w:r>
          </w:p>
        </w:tc>
        <w:tc>
          <w:tcPr>
            <w:tcW w:w="898" w:type="pct"/>
            <w:tcBorders>
              <w:left w:val="single" w:sz="4" w:space="0" w:color="auto"/>
            </w:tcBorders>
          </w:tcPr>
          <w:p w:rsidR="00A265B6" w:rsidRPr="00326FF1" w:rsidRDefault="00A265B6" w:rsidP="00F54C06">
            <w:pPr>
              <w:pStyle w:val="naisf"/>
              <w:spacing w:before="0" w:after="0"/>
              <w:ind w:firstLine="0"/>
              <w:jc w:val="center"/>
            </w:pPr>
            <w:r>
              <w:t>0</w:t>
            </w:r>
          </w:p>
        </w:tc>
        <w:tc>
          <w:tcPr>
            <w:tcW w:w="822" w:type="pct"/>
          </w:tcPr>
          <w:p w:rsidR="00A265B6" w:rsidRPr="00326FF1" w:rsidRDefault="00A265B6" w:rsidP="00F54C06">
            <w:pPr>
              <w:pStyle w:val="naisf"/>
              <w:spacing w:before="0" w:after="0"/>
              <w:ind w:firstLine="0"/>
              <w:jc w:val="center"/>
            </w:pPr>
            <w:r>
              <w:t>0</w:t>
            </w:r>
          </w:p>
        </w:tc>
        <w:tc>
          <w:tcPr>
            <w:tcW w:w="679" w:type="pct"/>
          </w:tcPr>
          <w:p w:rsidR="00A265B6" w:rsidRPr="00326FF1" w:rsidRDefault="00A265B6" w:rsidP="00F54C06">
            <w:pPr>
              <w:pStyle w:val="naisf"/>
              <w:spacing w:before="0" w:after="0"/>
              <w:ind w:firstLine="0"/>
              <w:jc w:val="center"/>
            </w:pPr>
            <w:r>
              <w:t>0</w:t>
            </w:r>
          </w:p>
        </w:tc>
      </w:tr>
      <w:tr w:rsidR="00A265B6" w:rsidRPr="00155FCC" w:rsidTr="00A265B6">
        <w:trPr>
          <w:trHeight w:val="171"/>
        </w:trPr>
        <w:tc>
          <w:tcPr>
            <w:tcW w:w="5000" w:type="pct"/>
            <w:gridSpan w:val="6"/>
          </w:tcPr>
          <w:p w:rsidR="00A265B6" w:rsidRPr="00E44A25" w:rsidRDefault="00A265B6" w:rsidP="004D56B7">
            <w:pPr>
              <w:pStyle w:val="naisc"/>
              <w:spacing w:before="0" w:after="0"/>
              <w:jc w:val="left"/>
              <w:rPr>
                <w:sz w:val="24"/>
                <w:szCs w:val="24"/>
              </w:rPr>
            </w:pPr>
            <w:r w:rsidRPr="00E44A25">
              <w:rPr>
                <w:sz w:val="22"/>
                <w:szCs w:val="22"/>
              </w:rPr>
              <w:t>6.Detalizēts ieņēmumu un izdevu</w:t>
            </w:r>
            <w:r w:rsidRPr="00E44A25">
              <w:rPr>
                <w:sz w:val="22"/>
                <w:szCs w:val="22"/>
              </w:rPr>
              <w:softHyphen/>
              <w:t>mu aprēķins (ja nepieciešams, detalizētu ieņēmumu un izdevumu aprēķinu var pievienot anotācijas pielikumā):</w:t>
            </w:r>
          </w:p>
        </w:tc>
      </w:tr>
      <w:tr w:rsidR="00A265B6" w:rsidRPr="007C0F2C" w:rsidTr="00A265B6">
        <w:tc>
          <w:tcPr>
            <w:tcW w:w="846" w:type="pct"/>
          </w:tcPr>
          <w:p w:rsidR="00A265B6" w:rsidRPr="00E44A25" w:rsidRDefault="00A265B6" w:rsidP="00253E48">
            <w:pPr>
              <w:jc w:val="both"/>
            </w:pPr>
            <w:r w:rsidRPr="00E44A25">
              <w:rPr>
                <w:sz w:val="22"/>
                <w:szCs w:val="22"/>
              </w:rPr>
              <w:t>6.1.detalizēts ieņēmumu aprēķins</w:t>
            </w:r>
          </w:p>
        </w:tc>
        <w:tc>
          <w:tcPr>
            <w:tcW w:w="4154" w:type="pct"/>
            <w:gridSpan w:val="5"/>
            <w:vMerge w:val="restart"/>
          </w:tcPr>
          <w:p w:rsidR="00BF52B8" w:rsidRDefault="00BF52B8" w:rsidP="00571749">
            <w:pPr>
              <w:pStyle w:val="naisf"/>
              <w:spacing w:before="0" w:after="0"/>
              <w:ind w:firstLine="382"/>
            </w:pPr>
            <w:r>
              <w:t xml:space="preserve">Projekts </w:t>
            </w:r>
            <w:r w:rsidR="003D6CCC">
              <w:t>ne</w:t>
            </w:r>
            <w:r>
              <w:t xml:space="preserve">paredz </w:t>
            </w:r>
            <w:r w:rsidR="003D6CCC">
              <w:t xml:space="preserve">būtisku </w:t>
            </w:r>
            <w:r>
              <w:t>maksas pakalpojumu ieņēmumu, izdevumu samazinājumu/palielinājumu. Projekts tiks īstenots, nemainot attiecīgās budžeta programmās/apakšprogrammās finansējuma sadalījumu pa ieņēmumu, izdevumu vai finansēšanas klasifikācijas kodiem.</w:t>
            </w:r>
            <w:r>
              <w:rPr>
                <w:i/>
              </w:rPr>
              <w:t xml:space="preserve"> </w:t>
            </w:r>
            <w:r>
              <w:t>Tas tiks īstenots piešķirto valsts budžeta līdzekļu ietvaros.</w:t>
            </w:r>
          </w:p>
          <w:p w:rsidR="009A7A57" w:rsidRDefault="00571749" w:rsidP="009A7A57">
            <w:pPr>
              <w:autoSpaceDE w:val="0"/>
              <w:autoSpaceDN w:val="0"/>
              <w:adjustRightInd w:val="0"/>
              <w:ind w:firstLine="382"/>
              <w:jc w:val="both"/>
            </w:pPr>
            <w:r w:rsidRPr="001119CF">
              <w:t>Saskaņā ar likumu „Par valsts budžetu 2013.gadam” Aizsardzības ministrijas budžeta programmā 22.00.00 „Nacionālie bruņotie spēki” apakšprogrammā 22.12.00 „Nacionālo bruņoto spēku uzturēšana” ieņēmumi no akadēmijas organizētā NATO mācību kursa plānoti 17 25</w:t>
            </w:r>
            <w:r w:rsidR="001119CF" w:rsidRPr="001119CF">
              <w:t>9</w:t>
            </w:r>
            <w:r w:rsidRPr="001119CF">
              <w:t xml:space="preserve"> latu apmērā</w:t>
            </w:r>
            <w:r w:rsidR="00247C2D" w:rsidRPr="001119CF">
              <w:t xml:space="preserve">, kas paredzēti ar minētā kursa organizēšanu saistīto izdevumu </w:t>
            </w:r>
            <w:r w:rsidR="00717136" w:rsidRPr="001119CF">
              <w:t>(</w:t>
            </w:r>
            <w:r w:rsidR="00E5187B" w:rsidRPr="001119CF">
              <w:t xml:space="preserve">EKK 1000 </w:t>
            </w:r>
            <w:r w:rsidR="00E5187B" w:rsidRPr="001119CF">
              <w:lastRenderedPageBreak/>
              <w:t xml:space="preserve">Atlīdzība, </w:t>
            </w:r>
            <w:r w:rsidR="00717136" w:rsidRPr="001119CF">
              <w:t>EKK 2000 Preces un pakalpojumi</w:t>
            </w:r>
            <w:r w:rsidR="001119CF" w:rsidRPr="001119CF">
              <w:t>, EKK 5000 Pamatkapitāla veidošana</w:t>
            </w:r>
            <w:r w:rsidR="00717136" w:rsidRPr="001119CF">
              <w:t xml:space="preserve">) </w:t>
            </w:r>
            <w:r w:rsidR="00247C2D" w:rsidRPr="001119CF">
              <w:t>segšanai.</w:t>
            </w:r>
            <w:r w:rsidR="00E91AC3" w:rsidRPr="001119CF">
              <w:t xml:space="preserve"> </w:t>
            </w:r>
          </w:p>
          <w:p w:rsidR="00571749" w:rsidRPr="00652A37" w:rsidRDefault="00571749" w:rsidP="00571749">
            <w:pPr>
              <w:pStyle w:val="naisf"/>
              <w:spacing w:before="0" w:after="0"/>
              <w:ind w:firstLine="382"/>
            </w:pPr>
          </w:p>
          <w:p w:rsidR="00A265B6" w:rsidRPr="00C83A1C" w:rsidRDefault="00571749" w:rsidP="003D6CCC">
            <w:pPr>
              <w:pStyle w:val="naisf"/>
              <w:spacing w:before="0" w:after="0"/>
              <w:ind w:firstLine="382"/>
              <w:rPr>
                <w:noProof/>
              </w:rPr>
            </w:pPr>
            <w:r w:rsidRPr="00652A37">
              <w:rPr>
                <w:noProof/>
              </w:rPr>
              <w:t>2014., 2015. un 2016.gad</w:t>
            </w:r>
            <w:r w:rsidR="006347C8">
              <w:rPr>
                <w:noProof/>
              </w:rPr>
              <w:t xml:space="preserve">ā ik gadu </w:t>
            </w:r>
            <w:r w:rsidR="009A7A57">
              <w:rPr>
                <w:noProof/>
              </w:rPr>
              <w:t xml:space="preserve">akadēmijai (Nacionālo bruņoto spēku Mācību vadības pavēlniecībai) prognozētie </w:t>
            </w:r>
            <w:r w:rsidR="00247C2D">
              <w:rPr>
                <w:noProof/>
              </w:rPr>
              <w:t>ieņēmumi no</w:t>
            </w:r>
            <w:r w:rsidR="009A7A57">
              <w:rPr>
                <w:noProof/>
              </w:rPr>
              <w:t xml:space="preserve">  </w:t>
            </w:r>
            <w:r w:rsidR="00247C2D">
              <w:rPr>
                <w:noProof/>
              </w:rPr>
              <w:t xml:space="preserve">maksas pakalpojuma sniegšanas </w:t>
            </w:r>
            <w:r w:rsidR="009A7A57">
              <w:rPr>
                <w:noProof/>
              </w:rPr>
              <w:t xml:space="preserve">- </w:t>
            </w:r>
            <w:r w:rsidR="006347C8">
              <w:rPr>
                <w:noProof/>
              </w:rPr>
              <w:t xml:space="preserve">17 </w:t>
            </w:r>
            <w:r w:rsidR="003D6CCC">
              <w:rPr>
                <w:noProof/>
              </w:rPr>
              <w:t>259</w:t>
            </w:r>
            <w:r w:rsidR="006347C8">
              <w:rPr>
                <w:noProof/>
              </w:rPr>
              <w:t xml:space="preserve"> latu</w:t>
            </w:r>
            <w:r w:rsidRPr="009C036D">
              <w:rPr>
                <w:noProof/>
              </w:rPr>
              <w:t xml:space="preserve">/ </w:t>
            </w:r>
            <w:r w:rsidR="006347C8">
              <w:rPr>
                <w:noProof/>
              </w:rPr>
              <w:t>24 </w:t>
            </w:r>
            <w:r w:rsidR="003D6CCC">
              <w:rPr>
                <w:noProof/>
              </w:rPr>
              <w:t>557</w:t>
            </w:r>
            <w:r w:rsidR="006347C8">
              <w:rPr>
                <w:noProof/>
              </w:rPr>
              <w:t xml:space="preserve"> </w:t>
            </w:r>
            <w:r w:rsidRPr="006347C8">
              <w:rPr>
                <w:i/>
                <w:noProof/>
              </w:rPr>
              <w:t>euro</w:t>
            </w:r>
            <w:r w:rsidR="006347C8">
              <w:rPr>
                <w:noProof/>
              </w:rPr>
              <w:t xml:space="preserve"> apmērā</w:t>
            </w:r>
            <w:r w:rsidRPr="009C036D">
              <w:rPr>
                <w:noProof/>
              </w:rPr>
              <w:t>.</w:t>
            </w:r>
          </w:p>
        </w:tc>
      </w:tr>
      <w:tr w:rsidR="00A265B6" w:rsidRPr="007C0F2C" w:rsidTr="00A265B6">
        <w:tc>
          <w:tcPr>
            <w:tcW w:w="846" w:type="pct"/>
          </w:tcPr>
          <w:p w:rsidR="00A265B6" w:rsidRPr="00E44A25" w:rsidRDefault="00A265B6" w:rsidP="00253E48">
            <w:pPr>
              <w:jc w:val="both"/>
            </w:pPr>
            <w:r w:rsidRPr="00E44A25">
              <w:rPr>
                <w:sz w:val="22"/>
                <w:szCs w:val="22"/>
              </w:rPr>
              <w:t>6.2.detalizēts izdevumu aprēķins</w:t>
            </w:r>
          </w:p>
        </w:tc>
        <w:tc>
          <w:tcPr>
            <w:tcW w:w="4154" w:type="pct"/>
            <w:gridSpan w:val="5"/>
            <w:vMerge/>
          </w:tcPr>
          <w:p w:rsidR="00A265B6" w:rsidRPr="00E44A25" w:rsidRDefault="00A265B6" w:rsidP="00253E48">
            <w:pPr>
              <w:pStyle w:val="naisf"/>
              <w:spacing w:before="0" w:after="0"/>
              <w:ind w:firstLine="0"/>
              <w:rPr>
                <w:b/>
                <w:i/>
              </w:rPr>
            </w:pPr>
          </w:p>
        </w:tc>
      </w:tr>
      <w:tr w:rsidR="00A265B6" w:rsidTr="00A265B6">
        <w:tc>
          <w:tcPr>
            <w:tcW w:w="846" w:type="pct"/>
          </w:tcPr>
          <w:p w:rsidR="00A265B6" w:rsidRDefault="00A265B6" w:rsidP="00253E48">
            <w:r>
              <w:lastRenderedPageBreak/>
              <w:t>7.Cita informācija</w:t>
            </w:r>
          </w:p>
        </w:tc>
        <w:tc>
          <w:tcPr>
            <w:tcW w:w="4154" w:type="pct"/>
            <w:gridSpan w:val="5"/>
          </w:tcPr>
          <w:p w:rsidR="00A265B6" w:rsidRDefault="00E10CD2" w:rsidP="00E66F08">
            <w:pPr>
              <w:jc w:val="both"/>
            </w:pPr>
            <w:r>
              <w:t>Nav.</w:t>
            </w:r>
          </w:p>
        </w:tc>
      </w:tr>
    </w:tbl>
    <w:p w:rsidR="00210CAC" w:rsidRDefault="00210CAC" w:rsidP="00210CAC"/>
    <w:p w:rsidR="00210CAC" w:rsidRPr="00155FCC" w:rsidRDefault="00210CAC" w:rsidP="00210CAC">
      <w:r w:rsidRPr="00155FCC">
        <w:t>Anotācijas II</w:t>
      </w:r>
      <w:r>
        <w:t xml:space="preserve">, IV, V, VI, VII sadaļa </w:t>
      </w:r>
      <w:r w:rsidRPr="00155FCC">
        <w:t xml:space="preserve">– </w:t>
      </w:r>
      <w:r>
        <w:t>projekts šīs jomas neskar</w:t>
      </w:r>
      <w:r w:rsidRPr="00155FCC">
        <w:t>.</w:t>
      </w:r>
    </w:p>
    <w:p w:rsidR="00210CAC" w:rsidRPr="00155FCC" w:rsidRDefault="00210CAC" w:rsidP="00210CAC"/>
    <w:p w:rsidR="00210CAC" w:rsidRDefault="00210CAC" w:rsidP="00210CAC"/>
    <w:p w:rsidR="00E66F08" w:rsidRPr="00155FCC" w:rsidRDefault="00E66F08" w:rsidP="00210CAC"/>
    <w:p w:rsidR="00210CAC" w:rsidRPr="00155FCC" w:rsidRDefault="00210CAC" w:rsidP="00210CAC">
      <w:pPr>
        <w:rPr>
          <w:color w:val="000000"/>
          <w:sz w:val="26"/>
          <w:szCs w:val="26"/>
        </w:rPr>
      </w:pPr>
      <w:r w:rsidRPr="00155FCC">
        <w:rPr>
          <w:sz w:val="26"/>
          <w:szCs w:val="26"/>
        </w:rPr>
        <w:t>Aizsardzības ministrs</w:t>
      </w:r>
      <w:r w:rsidRPr="00155FCC">
        <w:rPr>
          <w:sz w:val="26"/>
          <w:szCs w:val="26"/>
        </w:rPr>
        <w:tab/>
      </w:r>
      <w:r w:rsidRPr="00155FCC">
        <w:rPr>
          <w:color w:val="000000"/>
          <w:sz w:val="26"/>
          <w:szCs w:val="26"/>
        </w:rPr>
        <w:tab/>
      </w:r>
      <w:r w:rsidRPr="00155FCC">
        <w:rPr>
          <w:color w:val="000000"/>
          <w:sz w:val="26"/>
          <w:szCs w:val="26"/>
        </w:rPr>
        <w:tab/>
      </w:r>
      <w:r w:rsidRPr="00155FCC">
        <w:rPr>
          <w:color w:val="000000"/>
          <w:sz w:val="26"/>
          <w:szCs w:val="26"/>
        </w:rPr>
        <w:tab/>
      </w:r>
      <w:r w:rsidRPr="00155FCC">
        <w:rPr>
          <w:color w:val="000000"/>
          <w:sz w:val="26"/>
          <w:szCs w:val="26"/>
        </w:rPr>
        <w:tab/>
      </w:r>
      <w:r w:rsidRPr="00155FCC">
        <w:rPr>
          <w:color w:val="000000"/>
          <w:sz w:val="26"/>
          <w:szCs w:val="26"/>
        </w:rPr>
        <w:tab/>
      </w:r>
      <w:r>
        <w:rPr>
          <w:color w:val="000000"/>
          <w:sz w:val="26"/>
          <w:szCs w:val="26"/>
        </w:rPr>
        <w:tab/>
      </w:r>
      <w:r w:rsidRPr="00155FCC">
        <w:rPr>
          <w:color w:val="000000"/>
          <w:sz w:val="26"/>
          <w:szCs w:val="26"/>
        </w:rPr>
        <w:t>A.Pabriks</w:t>
      </w:r>
    </w:p>
    <w:p w:rsidR="00210CAC" w:rsidRPr="00155FCC" w:rsidRDefault="00210CAC" w:rsidP="00210CAC">
      <w:pPr>
        <w:rPr>
          <w:sz w:val="26"/>
          <w:szCs w:val="26"/>
        </w:rPr>
      </w:pPr>
    </w:p>
    <w:p w:rsidR="00210CAC" w:rsidRPr="00155FCC" w:rsidRDefault="00210CAC" w:rsidP="00210CAC">
      <w:pPr>
        <w:rPr>
          <w:sz w:val="26"/>
          <w:szCs w:val="26"/>
        </w:rPr>
      </w:pPr>
    </w:p>
    <w:p w:rsidR="00210CAC" w:rsidRPr="00155FCC" w:rsidRDefault="00210CAC" w:rsidP="00210CAC">
      <w:pPr>
        <w:rPr>
          <w:sz w:val="26"/>
          <w:szCs w:val="26"/>
        </w:rPr>
      </w:pPr>
      <w:r w:rsidRPr="00155FCC">
        <w:rPr>
          <w:sz w:val="26"/>
          <w:szCs w:val="26"/>
        </w:rPr>
        <w:t xml:space="preserve">Vīza: </w:t>
      </w:r>
      <w:r w:rsidR="00B22ABC">
        <w:rPr>
          <w:sz w:val="26"/>
          <w:szCs w:val="26"/>
        </w:rPr>
        <w:t>V</w:t>
      </w:r>
      <w:r>
        <w:rPr>
          <w:sz w:val="26"/>
          <w:szCs w:val="26"/>
        </w:rPr>
        <w:t>alsts sekretār</w:t>
      </w:r>
      <w:r w:rsidR="00556CAE">
        <w:rPr>
          <w:sz w:val="26"/>
          <w:szCs w:val="26"/>
        </w:rPr>
        <w:t xml:space="preserve">a </w:t>
      </w:r>
      <w:proofErr w:type="spellStart"/>
      <w:r w:rsidR="00556CAE">
        <w:rPr>
          <w:sz w:val="26"/>
          <w:szCs w:val="26"/>
        </w:rPr>
        <w:t>p.i</w:t>
      </w:r>
      <w:proofErr w:type="spellEnd"/>
      <w:r w:rsidR="00556CAE">
        <w:rPr>
          <w:sz w:val="26"/>
          <w:szCs w:val="26"/>
        </w:rPr>
        <w:t>.</w:t>
      </w:r>
      <w:r>
        <w:rPr>
          <w:sz w:val="26"/>
          <w:szCs w:val="26"/>
        </w:rPr>
        <w:tab/>
      </w:r>
      <w:r>
        <w:rPr>
          <w:sz w:val="26"/>
          <w:szCs w:val="26"/>
        </w:rPr>
        <w:tab/>
      </w:r>
      <w:r>
        <w:rPr>
          <w:sz w:val="26"/>
          <w:szCs w:val="26"/>
        </w:rPr>
        <w:tab/>
      </w:r>
      <w:r>
        <w:rPr>
          <w:sz w:val="26"/>
          <w:szCs w:val="26"/>
        </w:rPr>
        <w:tab/>
      </w:r>
      <w:r w:rsidR="00B22ABC">
        <w:rPr>
          <w:sz w:val="26"/>
          <w:szCs w:val="26"/>
        </w:rPr>
        <w:tab/>
      </w:r>
      <w:r w:rsidR="00B22ABC">
        <w:rPr>
          <w:sz w:val="26"/>
          <w:szCs w:val="26"/>
        </w:rPr>
        <w:tab/>
      </w:r>
      <w:r w:rsidR="00B22ABC">
        <w:rPr>
          <w:sz w:val="26"/>
          <w:szCs w:val="26"/>
        </w:rPr>
        <w:tab/>
      </w:r>
      <w:proofErr w:type="spellStart"/>
      <w:r>
        <w:rPr>
          <w:sz w:val="26"/>
          <w:szCs w:val="26"/>
        </w:rPr>
        <w:t>J.</w:t>
      </w:r>
      <w:r w:rsidR="00556CAE">
        <w:rPr>
          <w:sz w:val="26"/>
          <w:szCs w:val="26"/>
        </w:rPr>
        <w:t>Karlsbergs</w:t>
      </w:r>
      <w:proofErr w:type="spellEnd"/>
    </w:p>
    <w:p w:rsidR="00210CAC" w:rsidRDefault="00210CAC" w:rsidP="00210CAC">
      <w:pPr>
        <w:rPr>
          <w:sz w:val="20"/>
          <w:szCs w:val="20"/>
        </w:rPr>
      </w:pPr>
    </w:p>
    <w:p w:rsidR="00F86CDA" w:rsidRDefault="00F86CDA" w:rsidP="00210CAC">
      <w:pPr>
        <w:rPr>
          <w:sz w:val="20"/>
          <w:szCs w:val="20"/>
        </w:rPr>
      </w:pPr>
    </w:p>
    <w:p w:rsidR="00210CAC" w:rsidRDefault="00210CAC" w:rsidP="00210CAC">
      <w:pPr>
        <w:rPr>
          <w:sz w:val="20"/>
          <w:szCs w:val="20"/>
        </w:rPr>
      </w:pPr>
    </w:p>
    <w:p w:rsidR="006B61CB" w:rsidRDefault="006B61CB" w:rsidP="00210CAC">
      <w:pPr>
        <w:rPr>
          <w:sz w:val="20"/>
          <w:szCs w:val="20"/>
        </w:rPr>
      </w:pPr>
    </w:p>
    <w:p w:rsidR="006B61CB" w:rsidRDefault="006B61CB" w:rsidP="00210CAC">
      <w:pPr>
        <w:rPr>
          <w:sz w:val="20"/>
          <w:szCs w:val="20"/>
        </w:rPr>
      </w:pPr>
    </w:p>
    <w:p w:rsidR="006B61CB" w:rsidRDefault="006B61CB" w:rsidP="00210CAC">
      <w:pPr>
        <w:rPr>
          <w:sz w:val="20"/>
          <w:szCs w:val="20"/>
        </w:rPr>
      </w:pPr>
    </w:p>
    <w:p w:rsidR="006B61CB" w:rsidRDefault="006B61CB" w:rsidP="00210CAC">
      <w:pPr>
        <w:rPr>
          <w:sz w:val="20"/>
          <w:szCs w:val="20"/>
        </w:rPr>
      </w:pPr>
    </w:p>
    <w:p w:rsidR="001D6200" w:rsidRDefault="001D6200" w:rsidP="001D6200">
      <w:pPr>
        <w:jc w:val="both"/>
        <w:rPr>
          <w:rFonts w:eastAsia="Arial Unicode MS"/>
          <w:sz w:val="20"/>
          <w:szCs w:val="20"/>
          <w:lang w:eastAsia="en-US"/>
        </w:rPr>
      </w:pPr>
    </w:p>
    <w:p w:rsidR="00717136" w:rsidRDefault="00717136" w:rsidP="001D6200">
      <w:pPr>
        <w:jc w:val="both"/>
        <w:rPr>
          <w:rFonts w:eastAsia="Arial Unicode MS"/>
          <w:sz w:val="20"/>
          <w:szCs w:val="20"/>
          <w:lang w:eastAsia="en-US"/>
        </w:rPr>
      </w:pPr>
    </w:p>
    <w:p w:rsidR="00717136" w:rsidRDefault="00717136" w:rsidP="001D6200">
      <w:pPr>
        <w:jc w:val="both"/>
        <w:rPr>
          <w:rFonts w:eastAsia="Arial Unicode MS"/>
          <w:sz w:val="20"/>
          <w:szCs w:val="20"/>
          <w:lang w:eastAsia="en-US"/>
        </w:rPr>
      </w:pPr>
    </w:p>
    <w:p w:rsidR="00717136" w:rsidRDefault="00717136" w:rsidP="001D6200">
      <w:pPr>
        <w:jc w:val="both"/>
        <w:rPr>
          <w:rFonts w:eastAsia="Arial Unicode MS"/>
          <w:sz w:val="20"/>
          <w:szCs w:val="20"/>
          <w:lang w:eastAsia="en-US"/>
        </w:rPr>
      </w:pPr>
    </w:p>
    <w:p w:rsidR="00717136" w:rsidRDefault="00717136" w:rsidP="001D6200">
      <w:pPr>
        <w:jc w:val="both"/>
        <w:rPr>
          <w:rFonts w:eastAsia="Arial Unicode MS"/>
          <w:sz w:val="20"/>
          <w:szCs w:val="20"/>
          <w:lang w:eastAsia="en-US"/>
        </w:rPr>
      </w:pPr>
    </w:p>
    <w:p w:rsidR="00EB18F5" w:rsidRDefault="00EB18F5" w:rsidP="001D6200">
      <w:pPr>
        <w:jc w:val="both"/>
        <w:rPr>
          <w:rFonts w:eastAsia="Arial Unicode MS"/>
          <w:sz w:val="20"/>
          <w:szCs w:val="20"/>
          <w:lang w:eastAsia="en-US"/>
        </w:rPr>
      </w:pPr>
    </w:p>
    <w:p w:rsidR="00EB18F5" w:rsidRDefault="00EB18F5" w:rsidP="001D6200">
      <w:pPr>
        <w:jc w:val="both"/>
        <w:rPr>
          <w:rFonts w:eastAsia="Arial Unicode MS"/>
          <w:sz w:val="20"/>
          <w:szCs w:val="20"/>
          <w:lang w:eastAsia="en-US"/>
        </w:rPr>
      </w:pPr>
    </w:p>
    <w:p w:rsidR="00EB18F5" w:rsidRDefault="00EB18F5" w:rsidP="001D6200">
      <w:pPr>
        <w:jc w:val="both"/>
        <w:rPr>
          <w:rFonts w:eastAsia="Arial Unicode MS"/>
          <w:sz w:val="20"/>
          <w:szCs w:val="20"/>
          <w:lang w:eastAsia="en-US"/>
        </w:rPr>
      </w:pPr>
    </w:p>
    <w:p w:rsidR="00EB18F5" w:rsidRPr="001D6200" w:rsidRDefault="00EB18F5" w:rsidP="001D6200">
      <w:pPr>
        <w:jc w:val="both"/>
        <w:rPr>
          <w:rFonts w:eastAsia="Arial Unicode MS"/>
          <w:sz w:val="20"/>
          <w:szCs w:val="20"/>
          <w:lang w:eastAsia="en-US"/>
        </w:rPr>
      </w:pPr>
    </w:p>
    <w:p w:rsidR="00CD283A" w:rsidRDefault="00CD283A" w:rsidP="001D6200">
      <w:pPr>
        <w:jc w:val="both"/>
        <w:rPr>
          <w:rFonts w:eastAsia="Arial Unicode MS"/>
          <w:sz w:val="20"/>
          <w:szCs w:val="20"/>
          <w:lang w:eastAsia="en-US"/>
        </w:rPr>
      </w:pPr>
    </w:p>
    <w:p w:rsidR="00CD283A" w:rsidRDefault="00CD283A" w:rsidP="001D6200">
      <w:pPr>
        <w:jc w:val="both"/>
        <w:rPr>
          <w:rFonts w:eastAsia="Arial Unicode MS"/>
          <w:sz w:val="20"/>
          <w:szCs w:val="20"/>
          <w:lang w:eastAsia="en-US"/>
        </w:rPr>
      </w:pPr>
    </w:p>
    <w:p w:rsidR="00CD283A" w:rsidRDefault="00CD283A" w:rsidP="001D6200">
      <w:pPr>
        <w:jc w:val="both"/>
        <w:rPr>
          <w:rFonts w:eastAsia="Arial Unicode MS"/>
          <w:sz w:val="20"/>
          <w:szCs w:val="20"/>
          <w:lang w:eastAsia="en-US"/>
        </w:rPr>
      </w:pPr>
    </w:p>
    <w:p w:rsidR="00CD283A" w:rsidRDefault="00CD283A" w:rsidP="001D6200">
      <w:pPr>
        <w:jc w:val="both"/>
        <w:rPr>
          <w:rFonts w:eastAsia="Arial Unicode MS"/>
          <w:sz w:val="20"/>
          <w:szCs w:val="20"/>
          <w:lang w:eastAsia="en-US"/>
        </w:rPr>
      </w:pPr>
    </w:p>
    <w:p w:rsidR="00CD283A" w:rsidRDefault="00CD283A" w:rsidP="001D6200">
      <w:pPr>
        <w:jc w:val="both"/>
        <w:rPr>
          <w:rFonts w:eastAsia="Arial Unicode MS"/>
          <w:sz w:val="20"/>
          <w:szCs w:val="20"/>
          <w:lang w:eastAsia="en-US"/>
        </w:rPr>
      </w:pPr>
    </w:p>
    <w:p w:rsidR="001D6200" w:rsidRPr="001D6200" w:rsidRDefault="003D6CCC" w:rsidP="001D6200">
      <w:pPr>
        <w:jc w:val="both"/>
        <w:rPr>
          <w:rFonts w:eastAsia="Arial Unicode MS"/>
          <w:sz w:val="20"/>
          <w:szCs w:val="20"/>
          <w:lang w:eastAsia="en-US"/>
        </w:rPr>
      </w:pPr>
      <w:bookmarkStart w:id="0" w:name="_GoBack"/>
      <w:bookmarkEnd w:id="0"/>
      <w:r>
        <w:rPr>
          <w:rFonts w:eastAsia="Arial Unicode MS"/>
          <w:sz w:val="20"/>
          <w:szCs w:val="20"/>
          <w:lang w:eastAsia="en-US"/>
        </w:rPr>
        <w:t>07.08.2013</w:t>
      </w:r>
      <w:r w:rsidR="00A40882">
        <w:rPr>
          <w:rFonts w:eastAsia="Arial Unicode MS"/>
          <w:sz w:val="20"/>
          <w:szCs w:val="20"/>
          <w:lang w:eastAsia="en-US"/>
        </w:rPr>
        <w:t xml:space="preserve">. </w:t>
      </w:r>
      <w:r>
        <w:rPr>
          <w:rFonts w:eastAsia="Arial Unicode MS"/>
          <w:sz w:val="20"/>
          <w:szCs w:val="20"/>
          <w:lang w:eastAsia="en-US"/>
        </w:rPr>
        <w:t>11:10</w:t>
      </w:r>
    </w:p>
    <w:p w:rsidR="001D6200" w:rsidRPr="001D6200" w:rsidRDefault="00CD283A" w:rsidP="001D6200">
      <w:pPr>
        <w:jc w:val="both"/>
        <w:rPr>
          <w:rFonts w:eastAsia="Arial Unicode MS"/>
          <w:sz w:val="20"/>
          <w:szCs w:val="20"/>
          <w:lang w:eastAsia="en-US"/>
        </w:rPr>
      </w:pPr>
      <w:r>
        <w:fldChar w:fldCharType="begin"/>
      </w:r>
      <w:r>
        <w:instrText xml:space="preserve"> NUMWORDS   \* MERGEFORMAT </w:instrText>
      </w:r>
      <w:r>
        <w:fldChar w:fldCharType="separate"/>
      </w:r>
      <w:r w:rsidR="007A53CD" w:rsidRPr="007A53CD">
        <w:rPr>
          <w:rFonts w:eastAsia="Arial Unicode MS"/>
          <w:noProof/>
          <w:sz w:val="20"/>
          <w:szCs w:val="20"/>
          <w:lang w:eastAsia="en-US"/>
        </w:rPr>
        <w:t>8</w:t>
      </w:r>
      <w:r w:rsidR="00200BA2">
        <w:rPr>
          <w:rFonts w:eastAsia="Arial Unicode MS"/>
          <w:noProof/>
          <w:sz w:val="20"/>
          <w:szCs w:val="20"/>
          <w:lang w:eastAsia="en-US"/>
        </w:rPr>
        <w:t>24</w:t>
      </w:r>
      <w:r>
        <w:rPr>
          <w:rFonts w:eastAsia="Arial Unicode MS"/>
          <w:noProof/>
          <w:sz w:val="20"/>
          <w:szCs w:val="20"/>
          <w:lang w:eastAsia="en-US"/>
        </w:rPr>
        <w:fldChar w:fldCharType="end"/>
      </w:r>
    </w:p>
    <w:p w:rsidR="001D6200" w:rsidRPr="001D6200" w:rsidRDefault="001D6200" w:rsidP="001D6200">
      <w:pPr>
        <w:jc w:val="both"/>
        <w:rPr>
          <w:rFonts w:eastAsia="Arial Unicode MS"/>
          <w:sz w:val="20"/>
          <w:szCs w:val="20"/>
          <w:lang w:eastAsia="en-US"/>
        </w:rPr>
      </w:pPr>
      <w:r w:rsidRPr="001D6200">
        <w:rPr>
          <w:rFonts w:eastAsia="Arial Unicode MS"/>
          <w:sz w:val="20"/>
          <w:szCs w:val="20"/>
          <w:lang w:eastAsia="en-US"/>
        </w:rPr>
        <w:t>I.Jursiņa-Videmane</w:t>
      </w:r>
    </w:p>
    <w:p w:rsidR="001D6200" w:rsidRPr="001D6200" w:rsidRDefault="001D6200" w:rsidP="001D6200">
      <w:pPr>
        <w:jc w:val="both"/>
        <w:rPr>
          <w:rFonts w:eastAsia="Arial Unicode MS"/>
          <w:sz w:val="20"/>
          <w:szCs w:val="20"/>
          <w:lang w:eastAsia="en-US"/>
        </w:rPr>
      </w:pPr>
      <w:r w:rsidRPr="001D6200">
        <w:rPr>
          <w:rFonts w:eastAsia="Arial Unicode MS"/>
          <w:sz w:val="20"/>
          <w:szCs w:val="20"/>
          <w:lang w:eastAsia="en-US"/>
        </w:rPr>
        <w:t>e-pasta adrese: ineta.jursina@mod.gov.lv</w:t>
      </w:r>
    </w:p>
    <w:p w:rsidR="001D6200" w:rsidRPr="001D6200" w:rsidRDefault="001D6200" w:rsidP="001D6200">
      <w:pPr>
        <w:jc w:val="both"/>
        <w:rPr>
          <w:rFonts w:eastAsia="Arial Unicode MS"/>
          <w:sz w:val="20"/>
          <w:szCs w:val="20"/>
          <w:lang w:eastAsia="en-US"/>
        </w:rPr>
      </w:pPr>
      <w:r w:rsidRPr="001D6200">
        <w:rPr>
          <w:rFonts w:eastAsia="Arial Unicode MS"/>
          <w:sz w:val="20"/>
          <w:szCs w:val="20"/>
          <w:lang w:eastAsia="en-US"/>
        </w:rPr>
        <w:t>tālr.: 67335162</w:t>
      </w:r>
    </w:p>
    <w:p w:rsidR="001D6200" w:rsidRPr="001D6200" w:rsidRDefault="001D6200" w:rsidP="001D6200">
      <w:pPr>
        <w:jc w:val="both"/>
        <w:rPr>
          <w:rFonts w:eastAsia="Arial Unicode MS"/>
          <w:sz w:val="20"/>
          <w:szCs w:val="20"/>
          <w:lang w:eastAsia="en-US"/>
        </w:rPr>
      </w:pPr>
      <w:r w:rsidRPr="001D6200">
        <w:rPr>
          <w:rFonts w:eastAsia="Arial Unicode MS"/>
          <w:sz w:val="20"/>
          <w:szCs w:val="20"/>
          <w:lang w:eastAsia="en-US"/>
        </w:rPr>
        <w:t>fakss: 67212307</w:t>
      </w:r>
    </w:p>
    <w:p w:rsidR="006B61CB" w:rsidRDefault="006B61CB" w:rsidP="00210CAC">
      <w:pPr>
        <w:rPr>
          <w:sz w:val="20"/>
          <w:szCs w:val="20"/>
        </w:rPr>
      </w:pPr>
    </w:p>
    <w:p w:rsidR="00885631" w:rsidRPr="00210CAC" w:rsidRDefault="00885631" w:rsidP="00210CAC">
      <w:pPr>
        <w:jc w:val="both"/>
        <w:rPr>
          <w:sz w:val="20"/>
          <w:szCs w:val="20"/>
        </w:rPr>
      </w:pPr>
    </w:p>
    <w:sectPr w:rsidR="00885631" w:rsidRPr="00210CAC" w:rsidSect="008E6575">
      <w:headerReference w:type="default" r:id="rId9"/>
      <w:footerReference w:type="default" r:id="rId10"/>
      <w:footerReference w:type="first" r:id="rId11"/>
      <w:pgSz w:w="12240" w:h="15840" w:code="1"/>
      <w:pgMar w:top="1134" w:right="1134" w:bottom="1134" w:left="1701"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B14" w:rsidRDefault="001A5B14" w:rsidP="00210CAC">
      <w:r>
        <w:separator/>
      </w:r>
    </w:p>
  </w:endnote>
  <w:endnote w:type="continuationSeparator" w:id="0">
    <w:p w:rsidR="001A5B14" w:rsidRDefault="001A5B14" w:rsidP="0021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1E" w:rsidRPr="000F6C78" w:rsidRDefault="00CD283A" w:rsidP="00AD7E1E">
    <w:pPr>
      <w:pStyle w:val="Footer"/>
      <w:jc w:val="both"/>
      <w:rPr>
        <w:szCs w:val="20"/>
      </w:rPr>
    </w:pPr>
    <w:r>
      <w:fldChar w:fldCharType="begin"/>
    </w:r>
    <w:r>
      <w:instrText xml:space="preserve"> FILENAME   \* MERGEFORMAT </w:instrText>
    </w:r>
    <w:r>
      <w:fldChar w:fldCharType="separate"/>
    </w:r>
    <w:r w:rsidRPr="00CD283A">
      <w:rPr>
        <w:noProof/>
        <w:sz w:val="20"/>
        <w:szCs w:val="20"/>
      </w:rPr>
      <w:t>AIManot_070813_NAAcenr.docx</w:t>
    </w:r>
    <w:r>
      <w:rPr>
        <w:noProof/>
        <w:sz w:val="20"/>
        <w:szCs w:val="20"/>
      </w:rPr>
      <w:fldChar w:fldCharType="end"/>
    </w:r>
    <w:r w:rsidR="00B10920">
      <w:rPr>
        <w:sz w:val="20"/>
        <w:szCs w:val="20"/>
      </w:rPr>
      <w:t xml:space="preserve">; </w:t>
    </w:r>
    <w:r w:rsidR="00AD7E1E">
      <w:rPr>
        <w:sz w:val="20"/>
        <w:szCs w:val="20"/>
      </w:rPr>
      <w:t>A</w:t>
    </w:r>
    <w:r w:rsidR="00AD7E1E" w:rsidRPr="00366C06">
      <w:rPr>
        <w:sz w:val="20"/>
        <w:szCs w:val="20"/>
      </w:rPr>
      <w:t xml:space="preserve">notācija Ministru kabineta </w:t>
    </w:r>
    <w:r w:rsidR="00AD7E1E">
      <w:rPr>
        <w:sz w:val="20"/>
        <w:szCs w:val="20"/>
      </w:rPr>
      <w:t>noteikumu</w:t>
    </w:r>
    <w:r w:rsidR="00AD7E1E" w:rsidRPr="00366C06">
      <w:rPr>
        <w:sz w:val="20"/>
        <w:szCs w:val="20"/>
      </w:rPr>
      <w:t xml:space="preserve"> projektam </w:t>
    </w:r>
    <w:r w:rsidR="00AD7E1E" w:rsidRPr="00FE5BD2">
      <w:rPr>
        <w:sz w:val="20"/>
        <w:szCs w:val="20"/>
      </w:rPr>
      <w:t>„</w:t>
    </w:r>
    <w:r w:rsidR="00AD7E1E">
      <w:rPr>
        <w:sz w:val="20"/>
        <w:szCs w:val="20"/>
      </w:rPr>
      <w:t>Noteikumi par Latvijas Nacionālās aizsardzības akadēmijas snie</w:t>
    </w:r>
    <w:r w:rsidR="00EB18F5">
      <w:rPr>
        <w:sz w:val="20"/>
        <w:szCs w:val="20"/>
      </w:rPr>
      <w:t>gto maksas pakalpojumu cenrādi”</w:t>
    </w:r>
  </w:p>
  <w:p w:rsidR="00B10920" w:rsidRDefault="00B109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0F8" w:rsidRPr="000F6C78" w:rsidRDefault="00CD283A" w:rsidP="00D920F8">
    <w:pPr>
      <w:pStyle w:val="Footer"/>
      <w:jc w:val="both"/>
      <w:rPr>
        <w:szCs w:val="20"/>
      </w:rPr>
    </w:pPr>
    <w:r>
      <w:fldChar w:fldCharType="begin"/>
    </w:r>
    <w:r>
      <w:instrText xml:space="preserve"> FILENAME   \* MERGEFORMAT </w:instrText>
    </w:r>
    <w:r>
      <w:fldChar w:fldCharType="separate"/>
    </w:r>
    <w:r w:rsidRPr="00CD283A">
      <w:rPr>
        <w:noProof/>
        <w:sz w:val="20"/>
        <w:szCs w:val="20"/>
      </w:rPr>
      <w:t>AIManot_070813_NAAcenr.docx</w:t>
    </w:r>
    <w:r>
      <w:rPr>
        <w:noProof/>
        <w:sz w:val="20"/>
        <w:szCs w:val="20"/>
      </w:rPr>
      <w:fldChar w:fldCharType="end"/>
    </w:r>
    <w:r w:rsidR="00D920F8">
      <w:rPr>
        <w:sz w:val="20"/>
        <w:szCs w:val="20"/>
      </w:rPr>
      <w:t>; A</w:t>
    </w:r>
    <w:r w:rsidR="00D920F8" w:rsidRPr="00366C06">
      <w:rPr>
        <w:sz w:val="20"/>
        <w:szCs w:val="20"/>
      </w:rPr>
      <w:t xml:space="preserve">notācija Ministru kabineta </w:t>
    </w:r>
    <w:r w:rsidR="00D920F8">
      <w:rPr>
        <w:sz w:val="20"/>
        <w:szCs w:val="20"/>
      </w:rPr>
      <w:t>noteikumu</w:t>
    </w:r>
    <w:r w:rsidR="00D920F8" w:rsidRPr="00366C06">
      <w:rPr>
        <w:sz w:val="20"/>
        <w:szCs w:val="20"/>
      </w:rPr>
      <w:t xml:space="preserve"> projektam </w:t>
    </w:r>
    <w:r w:rsidR="00D920F8" w:rsidRPr="00FE5BD2">
      <w:rPr>
        <w:sz w:val="20"/>
        <w:szCs w:val="20"/>
      </w:rPr>
      <w:t>„</w:t>
    </w:r>
    <w:r w:rsidR="00AD7E1E">
      <w:rPr>
        <w:sz w:val="20"/>
        <w:szCs w:val="20"/>
      </w:rPr>
      <w:t>Noteikumi par Latvijas Nacionālās aizsardzības akadēmijas sniegto maksas pakalpojumu cenrādi”</w:t>
    </w:r>
  </w:p>
  <w:p w:rsidR="00B10920" w:rsidRDefault="00B10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B14" w:rsidRDefault="001A5B14" w:rsidP="00210CAC">
      <w:r>
        <w:separator/>
      </w:r>
    </w:p>
  </w:footnote>
  <w:footnote w:type="continuationSeparator" w:id="0">
    <w:p w:rsidR="001A5B14" w:rsidRDefault="001A5B14" w:rsidP="00210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20" w:rsidRDefault="008B6B8F">
    <w:pPr>
      <w:pStyle w:val="Header"/>
      <w:jc w:val="center"/>
    </w:pPr>
    <w:r>
      <w:fldChar w:fldCharType="begin"/>
    </w:r>
    <w:r w:rsidR="0010624F">
      <w:instrText xml:space="preserve"> PAGE   \* MERGEFORMAT </w:instrText>
    </w:r>
    <w:r>
      <w:fldChar w:fldCharType="separate"/>
    </w:r>
    <w:r w:rsidR="00CD283A">
      <w:rPr>
        <w:noProof/>
      </w:rPr>
      <w:t>4</w:t>
    </w:r>
    <w:r>
      <w:rPr>
        <w:noProof/>
      </w:rPr>
      <w:fldChar w:fldCharType="end"/>
    </w:r>
  </w:p>
  <w:p w:rsidR="00B10920" w:rsidRDefault="00B10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501"/>
    <w:multiLevelType w:val="hybridMultilevel"/>
    <w:tmpl w:val="01AEB202"/>
    <w:lvl w:ilvl="0" w:tplc="3B16447E">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nsid w:val="1E6C4E2E"/>
    <w:multiLevelType w:val="hybridMultilevel"/>
    <w:tmpl w:val="57AA6AFC"/>
    <w:lvl w:ilvl="0" w:tplc="8E3039F8">
      <w:start w:val="7"/>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54586891"/>
    <w:multiLevelType w:val="hybridMultilevel"/>
    <w:tmpl w:val="5DB2D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58713A"/>
    <w:multiLevelType w:val="hybridMultilevel"/>
    <w:tmpl w:val="85D6EB56"/>
    <w:lvl w:ilvl="0" w:tplc="A10A818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9BF58D1"/>
    <w:multiLevelType w:val="hybridMultilevel"/>
    <w:tmpl w:val="374CB9C6"/>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AC"/>
    <w:rsid w:val="00003EF6"/>
    <w:rsid w:val="000071F3"/>
    <w:rsid w:val="00032C86"/>
    <w:rsid w:val="00033FDE"/>
    <w:rsid w:val="0004073C"/>
    <w:rsid w:val="000728ED"/>
    <w:rsid w:val="00082A30"/>
    <w:rsid w:val="0009643E"/>
    <w:rsid w:val="000A207F"/>
    <w:rsid w:val="000D1A49"/>
    <w:rsid w:val="0010624F"/>
    <w:rsid w:val="001119CF"/>
    <w:rsid w:val="001617C2"/>
    <w:rsid w:val="00167F1B"/>
    <w:rsid w:val="00197FAE"/>
    <w:rsid w:val="001A5B14"/>
    <w:rsid w:val="001D00BF"/>
    <w:rsid w:val="001D6200"/>
    <w:rsid w:val="001F18E3"/>
    <w:rsid w:val="00200BA2"/>
    <w:rsid w:val="00210CAC"/>
    <w:rsid w:val="00247C2D"/>
    <w:rsid w:val="00253DB5"/>
    <w:rsid w:val="00253E48"/>
    <w:rsid w:val="002926D6"/>
    <w:rsid w:val="002B13BD"/>
    <w:rsid w:val="002E1F9E"/>
    <w:rsid w:val="002F66B3"/>
    <w:rsid w:val="003209CF"/>
    <w:rsid w:val="003214FE"/>
    <w:rsid w:val="00360E75"/>
    <w:rsid w:val="00365E3D"/>
    <w:rsid w:val="00383FC2"/>
    <w:rsid w:val="003875C3"/>
    <w:rsid w:val="003B4750"/>
    <w:rsid w:val="003C5035"/>
    <w:rsid w:val="003D6CCC"/>
    <w:rsid w:val="003F3987"/>
    <w:rsid w:val="00406E0B"/>
    <w:rsid w:val="0042261F"/>
    <w:rsid w:val="004229A1"/>
    <w:rsid w:val="00425099"/>
    <w:rsid w:val="0049708C"/>
    <w:rsid w:val="004B2E9F"/>
    <w:rsid w:val="004C3D6B"/>
    <w:rsid w:val="004D00BD"/>
    <w:rsid w:val="004D56B7"/>
    <w:rsid w:val="004D7A10"/>
    <w:rsid w:val="004E6589"/>
    <w:rsid w:val="00510123"/>
    <w:rsid w:val="00515496"/>
    <w:rsid w:val="00531848"/>
    <w:rsid w:val="00546C31"/>
    <w:rsid w:val="00556CAE"/>
    <w:rsid w:val="00571749"/>
    <w:rsid w:val="005C13B2"/>
    <w:rsid w:val="005D4460"/>
    <w:rsid w:val="005F068C"/>
    <w:rsid w:val="005F638E"/>
    <w:rsid w:val="006347C8"/>
    <w:rsid w:val="00655865"/>
    <w:rsid w:val="0067767F"/>
    <w:rsid w:val="0068651A"/>
    <w:rsid w:val="006A65CD"/>
    <w:rsid w:val="006B61CB"/>
    <w:rsid w:val="006C1FA8"/>
    <w:rsid w:val="006C735E"/>
    <w:rsid w:val="006F48FD"/>
    <w:rsid w:val="00717136"/>
    <w:rsid w:val="00771F27"/>
    <w:rsid w:val="007A53CD"/>
    <w:rsid w:val="007C0C3A"/>
    <w:rsid w:val="007E4EF7"/>
    <w:rsid w:val="00823019"/>
    <w:rsid w:val="00836D82"/>
    <w:rsid w:val="00860203"/>
    <w:rsid w:val="00882AEB"/>
    <w:rsid w:val="008830D5"/>
    <w:rsid w:val="00885631"/>
    <w:rsid w:val="0089621B"/>
    <w:rsid w:val="0089660C"/>
    <w:rsid w:val="00896BFA"/>
    <w:rsid w:val="008B6B8F"/>
    <w:rsid w:val="008E4757"/>
    <w:rsid w:val="008E6575"/>
    <w:rsid w:val="00902A47"/>
    <w:rsid w:val="00932DC8"/>
    <w:rsid w:val="00974744"/>
    <w:rsid w:val="009900A9"/>
    <w:rsid w:val="009A12E9"/>
    <w:rsid w:val="009A7A57"/>
    <w:rsid w:val="009C2683"/>
    <w:rsid w:val="00A124EC"/>
    <w:rsid w:val="00A22A94"/>
    <w:rsid w:val="00A265B6"/>
    <w:rsid w:val="00A40882"/>
    <w:rsid w:val="00A55F97"/>
    <w:rsid w:val="00AC4027"/>
    <w:rsid w:val="00AD7E1E"/>
    <w:rsid w:val="00B00B7F"/>
    <w:rsid w:val="00B05F5B"/>
    <w:rsid w:val="00B10920"/>
    <w:rsid w:val="00B22ABC"/>
    <w:rsid w:val="00B85209"/>
    <w:rsid w:val="00BA388A"/>
    <w:rsid w:val="00BF52B8"/>
    <w:rsid w:val="00C01AFF"/>
    <w:rsid w:val="00C04FFD"/>
    <w:rsid w:val="00C24ADC"/>
    <w:rsid w:val="00C34B00"/>
    <w:rsid w:val="00C40827"/>
    <w:rsid w:val="00C75753"/>
    <w:rsid w:val="00C83A1C"/>
    <w:rsid w:val="00C8642D"/>
    <w:rsid w:val="00C86995"/>
    <w:rsid w:val="00C92640"/>
    <w:rsid w:val="00C93E46"/>
    <w:rsid w:val="00C967DD"/>
    <w:rsid w:val="00CD283A"/>
    <w:rsid w:val="00CE0486"/>
    <w:rsid w:val="00CE3F80"/>
    <w:rsid w:val="00CF1D33"/>
    <w:rsid w:val="00CF4337"/>
    <w:rsid w:val="00D313AB"/>
    <w:rsid w:val="00D40B5A"/>
    <w:rsid w:val="00D90B9D"/>
    <w:rsid w:val="00D920F8"/>
    <w:rsid w:val="00DA0ED1"/>
    <w:rsid w:val="00DC610C"/>
    <w:rsid w:val="00DF26C9"/>
    <w:rsid w:val="00E10CD2"/>
    <w:rsid w:val="00E3228B"/>
    <w:rsid w:val="00E5187B"/>
    <w:rsid w:val="00E66F08"/>
    <w:rsid w:val="00E673AB"/>
    <w:rsid w:val="00E72159"/>
    <w:rsid w:val="00E75FF7"/>
    <w:rsid w:val="00E77CB9"/>
    <w:rsid w:val="00E91AC3"/>
    <w:rsid w:val="00EB18F5"/>
    <w:rsid w:val="00EC0F07"/>
    <w:rsid w:val="00ED2583"/>
    <w:rsid w:val="00ED60DD"/>
    <w:rsid w:val="00F32DB4"/>
    <w:rsid w:val="00F5401D"/>
    <w:rsid w:val="00F54C06"/>
    <w:rsid w:val="00F605AA"/>
    <w:rsid w:val="00F86CDA"/>
    <w:rsid w:val="00FA11C9"/>
    <w:rsid w:val="00FA266C"/>
    <w:rsid w:val="00FF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CA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0CAC"/>
    <w:pPr>
      <w:spacing w:before="100" w:beforeAutospacing="1" w:after="100" w:afterAutospacing="1"/>
    </w:pPr>
  </w:style>
  <w:style w:type="paragraph" w:customStyle="1" w:styleId="naisf">
    <w:name w:val="naisf"/>
    <w:basedOn w:val="Normal"/>
    <w:rsid w:val="00210CAC"/>
    <w:pPr>
      <w:spacing w:before="75" w:after="75"/>
      <w:ind w:firstLine="375"/>
      <w:jc w:val="both"/>
    </w:pPr>
  </w:style>
  <w:style w:type="paragraph" w:customStyle="1" w:styleId="naisc">
    <w:name w:val="naisc"/>
    <w:basedOn w:val="Normal"/>
    <w:rsid w:val="00210CAC"/>
    <w:pPr>
      <w:spacing w:before="450" w:after="300"/>
      <w:jc w:val="center"/>
    </w:pPr>
    <w:rPr>
      <w:sz w:val="26"/>
      <w:szCs w:val="26"/>
    </w:rPr>
  </w:style>
  <w:style w:type="paragraph" w:customStyle="1" w:styleId="naisnod">
    <w:name w:val="naisnod"/>
    <w:basedOn w:val="Normal"/>
    <w:rsid w:val="00210CAC"/>
    <w:pPr>
      <w:spacing w:before="150" w:after="150"/>
      <w:jc w:val="center"/>
    </w:pPr>
    <w:rPr>
      <w:b/>
      <w:bCs/>
    </w:rPr>
  </w:style>
  <w:style w:type="paragraph" w:styleId="FootnoteText">
    <w:name w:val="footnote text"/>
    <w:basedOn w:val="Normal"/>
    <w:link w:val="FootnoteTextChar"/>
    <w:uiPriority w:val="99"/>
    <w:unhideWhenUsed/>
    <w:rsid w:val="00210CAC"/>
    <w:rPr>
      <w:sz w:val="20"/>
      <w:szCs w:val="20"/>
    </w:rPr>
  </w:style>
  <w:style w:type="character" w:customStyle="1" w:styleId="FootnoteTextChar">
    <w:name w:val="Footnote Text Char"/>
    <w:link w:val="FootnoteText"/>
    <w:uiPriority w:val="99"/>
    <w:rsid w:val="00210CAC"/>
    <w:rPr>
      <w:rFonts w:ascii="Times New Roman" w:eastAsia="Times New Roman" w:hAnsi="Times New Roman" w:cs="Times New Roman"/>
      <w:sz w:val="20"/>
      <w:szCs w:val="20"/>
      <w:lang w:val="lv-LV" w:eastAsia="lv-LV"/>
    </w:rPr>
  </w:style>
  <w:style w:type="character" w:styleId="FootnoteReference">
    <w:name w:val="footnote reference"/>
    <w:uiPriority w:val="99"/>
    <w:unhideWhenUsed/>
    <w:rsid w:val="00210CAC"/>
    <w:rPr>
      <w:vertAlign w:val="superscript"/>
    </w:rPr>
  </w:style>
  <w:style w:type="paragraph" w:styleId="Header">
    <w:name w:val="header"/>
    <w:basedOn w:val="Normal"/>
    <w:link w:val="HeaderChar"/>
    <w:uiPriority w:val="99"/>
    <w:unhideWhenUsed/>
    <w:rsid w:val="00210CAC"/>
    <w:pPr>
      <w:tabs>
        <w:tab w:val="center" w:pos="4320"/>
        <w:tab w:val="right" w:pos="8640"/>
      </w:tabs>
    </w:pPr>
  </w:style>
  <w:style w:type="character" w:customStyle="1" w:styleId="HeaderChar">
    <w:name w:val="Header Char"/>
    <w:link w:val="Header"/>
    <w:uiPriority w:val="99"/>
    <w:rsid w:val="00210CAC"/>
    <w:rPr>
      <w:rFonts w:ascii="Times New Roman" w:eastAsia="Times New Roman" w:hAnsi="Times New Roman" w:cs="Times New Roman"/>
      <w:sz w:val="24"/>
      <w:szCs w:val="24"/>
      <w:lang w:val="lv-LV" w:eastAsia="lv-LV"/>
    </w:rPr>
  </w:style>
  <w:style w:type="paragraph" w:styleId="Footer">
    <w:name w:val="footer"/>
    <w:basedOn w:val="Normal"/>
    <w:link w:val="FooterChar"/>
    <w:unhideWhenUsed/>
    <w:rsid w:val="00210CAC"/>
    <w:pPr>
      <w:tabs>
        <w:tab w:val="center" w:pos="4320"/>
        <w:tab w:val="right" w:pos="8640"/>
      </w:tabs>
    </w:pPr>
  </w:style>
  <w:style w:type="character" w:customStyle="1" w:styleId="FooterChar">
    <w:name w:val="Footer Char"/>
    <w:link w:val="Footer"/>
    <w:rsid w:val="00210CAC"/>
    <w:rPr>
      <w:rFonts w:ascii="Times New Roman" w:eastAsia="Times New Roman" w:hAnsi="Times New Roman" w:cs="Times New Roman"/>
      <w:sz w:val="24"/>
      <w:szCs w:val="24"/>
      <w:lang w:val="lv-LV" w:eastAsia="lv-LV"/>
    </w:rPr>
  </w:style>
  <w:style w:type="character" w:styleId="Hyperlink">
    <w:name w:val="Hyperlink"/>
    <w:uiPriority w:val="99"/>
    <w:unhideWhenUsed/>
    <w:rsid w:val="00210CAC"/>
    <w:rPr>
      <w:color w:val="0000FF"/>
      <w:u w:val="single"/>
    </w:rPr>
  </w:style>
  <w:style w:type="paragraph" w:styleId="BalloonText">
    <w:name w:val="Balloon Text"/>
    <w:basedOn w:val="Normal"/>
    <w:link w:val="BalloonTextChar"/>
    <w:uiPriority w:val="99"/>
    <w:semiHidden/>
    <w:unhideWhenUsed/>
    <w:rsid w:val="00210CAC"/>
    <w:rPr>
      <w:rFonts w:ascii="Tahoma" w:hAnsi="Tahoma"/>
      <w:sz w:val="16"/>
      <w:szCs w:val="16"/>
    </w:rPr>
  </w:style>
  <w:style w:type="character" w:customStyle="1" w:styleId="BalloonTextChar">
    <w:name w:val="Balloon Text Char"/>
    <w:link w:val="BalloonText"/>
    <w:uiPriority w:val="99"/>
    <w:semiHidden/>
    <w:rsid w:val="00210CAC"/>
    <w:rPr>
      <w:rFonts w:ascii="Tahoma" w:eastAsia="Times New Roman" w:hAnsi="Tahoma" w:cs="Tahoma"/>
      <w:sz w:val="16"/>
      <w:szCs w:val="16"/>
      <w:lang w:val="lv-LV" w:eastAsia="lv-LV"/>
    </w:rPr>
  </w:style>
  <w:style w:type="character" w:styleId="CommentReference">
    <w:name w:val="annotation reference"/>
    <w:uiPriority w:val="99"/>
    <w:semiHidden/>
    <w:unhideWhenUsed/>
    <w:rsid w:val="002926D6"/>
    <w:rPr>
      <w:sz w:val="16"/>
      <w:szCs w:val="16"/>
    </w:rPr>
  </w:style>
  <w:style w:type="paragraph" w:styleId="CommentText">
    <w:name w:val="annotation text"/>
    <w:basedOn w:val="Normal"/>
    <w:link w:val="CommentTextChar"/>
    <w:uiPriority w:val="99"/>
    <w:semiHidden/>
    <w:unhideWhenUsed/>
    <w:rsid w:val="002926D6"/>
    <w:rPr>
      <w:sz w:val="20"/>
      <w:szCs w:val="20"/>
    </w:rPr>
  </w:style>
  <w:style w:type="character" w:customStyle="1" w:styleId="CommentTextChar">
    <w:name w:val="Comment Text Char"/>
    <w:link w:val="CommentText"/>
    <w:uiPriority w:val="99"/>
    <w:semiHidden/>
    <w:rsid w:val="002926D6"/>
    <w:rPr>
      <w:rFonts w:ascii="Times New Roman" w:eastAsia="Times New Roman" w:hAnsi="Times New Roman"/>
      <w:lang w:val="lv-LV" w:eastAsia="lv-LV"/>
    </w:rPr>
  </w:style>
  <w:style w:type="paragraph" w:styleId="CommentSubject">
    <w:name w:val="annotation subject"/>
    <w:basedOn w:val="CommentText"/>
    <w:next w:val="CommentText"/>
    <w:link w:val="CommentSubjectChar"/>
    <w:uiPriority w:val="99"/>
    <w:semiHidden/>
    <w:unhideWhenUsed/>
    <w:rsid w:val="002926D6"/>
    <w:rPr>
      <w:b/>
      <w:bCs/>
    </w:rPr>
  </w:style>
  <w:style w:type="character" w:customStyle="1" w:styleId="CommentSubjectChar">
    <w:name w:val="Comment Subject Char"/>
    <w:link w:val="CommentSubject"/>
    <w:uiPriority w:val="99"/>
    <w:semiHidden/>
    <w:rsid w:val="002926D6"/>
    <w:rPr>
      <w:rFonts w:ascii="Times New Roman" w:eastAsia="Times New Roman" w:hAnsi="Times New Roman"/>
      <w:b/>
      <w:bCs/>
      <w:lang w:val="lv-LV" w:eastAsia="lv-LV"/>
    </w:rPr>
  </w:style>
  <w:style w:type="character" w:styleId="PageNumber">
    <w:name w:val="page number"/>
    <w:rsid w:val="00571749"/>
  </w:style>
  <w:style w:type="paragraph" w:styleId="ListParagraph">
    <w:name w:val="List Paragraph"/>
    <w:basedOn w:val="Normal"/>
    <w:uiPriority w:val="34"/>
    <w:qFormat/>
    <w:rsid w:val="008602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CA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0CAC"/>
    <w:pPr>
      <w:spacing w:before="100" w:beforeAutospacing="1" w:after="100" w:afterAutospacing="1"/>
    </w:pPr>
  </w:style>
  <w:style w:type="paragraph" w:customStyle="1" w:styleId="naisf">
    <w:name w:val="naisf"/>
    <w:basedOn w:val="Normal"/>
    <w:rsid w:val="00210CAC"/>
    <w:pPr>
      <w:spacing w:before="75" w:after="75"/>
      <w:ind w:firstLine="375"/>
      <w:jc w:val="both"/>
    </w:pPr>
  </w:style>
  <w:style w:type="paragraph" w:customStyle="1" w:styleId="naisc">
    <w:name w:val="naisc"/>
    <w:basedOn w:val="Normal"/>
    <w:rsid w:val="00210CAC"/>
    <w:pPr>
      <w:spacing w:before="450" w:after="300"/>
      <w:jc w:val="center"/>
    </w:pPr>
    <w:rPr>
      <w:sz w:val="26"/>
      <w:szCs w:val="26"/>
    </w:rPr>
  </w:style>
  <w:style w:type="paragraph" w:customStyle="1" w:styleId="naisnod">
    <w:name w:val="naisnod"/>
    <w:basedOn w:val="Normal"/>
    <w:rsid w:val="00210CAC"/>
    <w:pPr>
      <w:spacing w:before="150" w:after="150"/>
      <w:jc w:val="center"/>
    </w:pPr>
    <w:rPr>
      <w:b/>
      <w:bCs/>
    </w:rPr>
  </w:style>
  <w:style w:type="paragraph" w:styleId="FootnoteText">
    <w:name w:val="footnote text"/>
    <w:basedOn w:val="Normal"/>
    <w:link w:val="FootnoteTextChar"/>
    <w:uiPriority w:val="99"/>
    <w:unhideWhenUsed/>
    <w:rsid w:val="00210CAC"/>
    <w:rPr>
      <w:sz w:val="20"/>
      <w:szCs w:val="20"/>
    </w:rPr>
  </w:style>
  <w:style w:type="character" w:customStyle="1" w:styleId="FootnoteTextChar">
    <w:name w:val="Footnote Text Char"/>
    <w:link w:val="FootnoteText"/>
    <w:uiPriority w:val="99"/>
    <w:rsid w:val="00210CAC"/>
    <w:rPr>
      <w:rFonts w:ascii="Times New Roman" w:eastAsia="Times New Roman" w:hAnsi="Times New Roman" w:cs="Times New Roman"/>
      <w:sz w:val="20"/>
      <w:szCs w:val="20"/>
      <w:lang w:val="lv-LV" w:eastAsia="lv-LV"/>
    </w:rPr>
  </w:style>
  <w:style w:type="character" w:styleId="FootnoteReference">
    <w:name w:val="footnote reference"/>
    <w:uiPriority w:val="99"/>
    <w:unhideWhenUsed/>
    <w:rsid w:val="00210CAC"/>
    <w:rPr>
      <w:vertAlign w:val="superscript"/>
    </w:rPr>
  </w:style>
  <w:style w:type="paragraph" w:styleId="Header">
    <w:name w:val="header"/>
    <w:basedOn w:val="Normal"/>
    <w:link w:val="HeaderChar"/>
    <w:uiPriority w:val="99"/>
    <w:unhideWhenUsed/>
    <w:rsid w:val="00210CAC"/>
    <w:pPr>
      <w:tabs>
        <w:tab w:val="center" w:pos="4320"/>
        <w:tab w:val="right" w:pos="8640"/>
      </w:tabs>
    </w:pPr>
  </w:style>
  <w:style w:type="character" w:customStyle="1" w:styleId="HeaderChar">
    <w:name w:val="Header Char"/>
    <w:link w:val="Header"/>
    <w:uiPriority w:val="99"/>
    <w:rsid w:val="00210CAC"/>
    <w:rPr>
      <w:rFonts w:ascii="Times New Roman" w:eastAsia="Times New Roman" w:hAnsi="Times New Roman" w:cs="Times New Roman"/>
      <w:sz w:val="24"/>
      <w:szCs w:val="24"/>
      <w:lang w:val="lv-LV" w:eastAsia="lv-LV"/>
    </w:rPr>
  </w:style>
  <w:style w:type="paragraph" w:styleId="Footer">
    <w:name w:val="footer"/>
    <w:basedOn w:val="Normal"/>
    <w:link w:val="FooterChar"/>
    <w:unhideWhenUsed/>
    <w:rsid w:val="00210CAC"/>
    <w:pPr>
      <w:tabs>
        <w:tab w:val="center" w:pos="4320"/>
        <w:tab w:val="right" w:pos="8640"/>
      </w:tabs>
    </w:pPr>
  </w:style>
  <w:style w:type="character" w:customStyle="1" w:styleId="FooterChar">
    <w:name w:val="Footer Char"/>
    <w:link w:val="Footer"/>
    <w:rsid w:val="00210CAC"/>
    <w:rPr>
      <w:rFonts w:ascii="Times New Roman" w:eastAsia="Times New Roman" w:hAnsi="Times New Roman" w:cs="Times New Roman"/>
      <w:sz w:val="24"/>
      <w:szCs w:val="24"/>
      <w:lang w:val="lv-LV" w:eastAsia="lv-LV"/>
    </w:rPr>
  </w:style>
  <w:style w:type="character" w:styleId="Hyperlink">
    <w:name w:val="Hyperlink"/>
    <w:uiPriority w:val="99"/>
    <w:unhideWhenUsed/>
    <w:rsid w:val="00210CAC"/>
    <w:rPr>
      <w:color w:val="0000FF"/>
      <w:u w:val="single"/>
    </w:rPr>
  </w:style>
  <w:style w:type="paragraph" w:styleId="BalloonText">
    <w:name w:val="Balloon Text"/>
    <w:basedOn w:val="Normal"/>
    <w:link w:val="BalloonTextChar"/>
    <w:uiPriority w:val="99"/>
    <w:semiHidden/>
    <w:unhideWhenUsed/>
    <w:rsid w:val="00210CAC"/>
    <w:rPr>
      <w:rFonts w:ascii="Tahoma" w:hAnsi="Tahoma"/>
      <w:sz w:val="16"/>
      <w:szCs w:val="16"/>
    </w:rPr>
  </w:style>
  <w:style w:type="character" w:customStyle="1" w:styleId="BalloonTextChar">
    <w:name w:val="Balloon Text Char"/>
    <w:link w:val="BalloonText"/>
    <w:uiPriority w:val="99"/>
    <w:semiHidden/>
    <w:rsid w:val="00210CAC"/>
    <w:rPr>
      <w:rFonts w:ascii="Tahoma" w:eastAsia="Times New Roman" w:hAnsi="Tahoma" w:cs="Tahoma"/>
      <w:sz w:val="16"/>
      <w:szCs w:val="16"/>
      <w:lang w:val="lv-LV" w:eastAsia="lv-LV"/>
    </w:rPr>
  </w:style>
  <w:style w:type="character" w:styleId="CommentReference">
    <w:name w:val="annotation reference"/>
    <w:uiPriority w:val="99"/>
    <w:semiHidden/>
    <w:unhideWhenUsed/>
    <w:rsid w:val="002926D6"/>
    <w:rPr>
      <w:sz w:val="16"/>
      <w:szCs w:val="16"/>
    </w:rPr>
  </w:style>
  <w:style w:type="paragraph" w:styleId="CommentText">
    <w:name w:val="annotation text"/>
    <w:basedOn w:val="Normal"/>
    <w:link w:val="CommentTextChar"/>
    <w:uiPriority w:val="99"/>
    <w:semiHidden/>
    <w:unhideWhenUsed/>
    <w:rsid w:val="002926D6"/>
    <w:rPr>
      <w:sz w:val="20"/>
      <w:szCs w:val="20"/>
    </w:rPr>
  </w:style>
  <w:style w:type="character" w:customStyle="1" w:styleId="CommentTextChar">
    <w:name w:val="Comment Text Char"/>
    <w:link w:val="CommentText"/>
    <w:uiPriority w:val="99"/>
    <w:semiHidden/>
    <w:rsid w:val="002926D6"/>
    <w:rPr>
      <w:rFonts w:ascii="Times New Roman" w:eastAsia="Times New Roman" w:hAnsi="Times New Roman"/>
      <w:lang w:val="lv-LV" w:eastAsia="lv-LV"/>
    </w:rPr>
  </w:style>
  <w:style w:type="paragraph" w:styleId="CommentSubject">
    <w:name w:val="annotation subject"/>
    <w:basedOn w:val="CommentText"/>
    <w:next w:val="CommentText"/>
    <w:link w:val="CommentSubjectChar"/>
    <w:uiPriority w:val="99"/>
    <w:semiHidden/>
    <w:unhideWhenUsed/>
    <w:rsid w:val="002926D6"/>
    <w:rPr>
      <w:b/>
      <w:bCs/>
    </w:rPr>
  </w:style>
  <w:style w:type="character" w:customStyle="1" w:styleId="CommentSubjectChar">
    <w:name w:val="Comment Subject Char"/>
    <w:link w:val="CommentSubject"/>
    <w:uiPriority w:val="99"/>
    <w:semiHidden/>
    <w:rsid w:val="002926D6"/>
    <w:rPr>
      <w:rFonts w:ascii="Times New Roman" w:eastAsia="Times New Roman" w:hAnsi="Times New Roman"/>
      <w:b/>
      <w:bCs/>
      <w:lang w:val="lv-LV" w:eastAsia="lv-LV"/>
    </w:rPr>
  </w:style>
  <w:style w:type="character" w:styleId="PageNumber">
    <w:name w:val="page number"/>
    <w:rsid w:val="00571749"/>
  </w:style>
  <w:style w:type="paragraph" w:styleId="ListParagraph">
    <w:name w:val="List Paragraph"/>
    <w:basedOn w:val="Normal"/>
    <w:uiPriority w:val="34"/>
    <w:qFormat/>
    <w:rsid w:val="00860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83401">
      <w:bodyDiv w:val="1"/>
      <w:marLeft w:val="0"/>
      <w:marRight w:val="0"/>
      <w:marTop w:val="0"/>
      <w:marBottom w:val="0"/>
      <w:divBdr>
        <w:top w:val="none" w:sz="0" w:space="0" w:color="auto"/>
        <w:left w:val="none" w:sz="0" w:space="0" w:color="auto"/>
        <w:bottom w:val="none" w:sz="0" w:space="0" w:color="auto"/>
        <w:right w:val="none" w:sz="0" w:space="0" w:color="auto"/>
      </w:divBdr>
    </w:div>
    <w:div w:id="1231887367">
      <w:bodyDiv w:val="1"/>
      <w:marLeft w:val="0"/>
      <w:marRight w:val="0"/>
      <w:marTop w:val="0"/>
      <w:marBottom w:val="0"/>
      <w:divBdr>
        <w:top w:val="none" w:sz="0" w:space="0" w:color="auto"/>
        <w:left w:val="none" w:sz="0" w:space="0" w:color="auto"/>
        <w:bottom w:val="none" w:sz="0" w:space="0" w:color="auto"/>
        <w:right w:val="none" w:sz="0" w:space="0" w:color="auto"/>
      </w:divBdr>
    </w:div>
    <w:div w:id="131452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55530-75AB-4E05-B60F-512DD5BB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640AA01E.dotm</Template>
  <TotalTime>4</TotalTime>
  <Pages>4</Pages>
  <Words>4055</Words>
  <Characters>2312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Noteikumi par Latvijas Nacionālās aizsardzības akdēmijas sniegto maksas pakalpojumu cenrādi</vt:lpstr>
    </vt:vector>
  </TitlesOfParts>
  <Manager>RPD</Manager>
  <Company>AIM</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Latvijas Nacionālās aizsardzības akdēmijas sniegto maksas pakalpojumu cenrādi</dc:title>
  <dc:subject>MK noteikumu projekta anotācija</dc:subject>
  <dc:creator>I.Jursiņa-Videmane</dc:creator>
  <dc:description>ineta.jursina@mod.gov.lv;_x000d_
67335162</dc:description>
  <cp:lastModifiedBy>Marina Baltā</cp:lastModifiedBy>
  <cp:revision>4</cp:revision>
  <cp:lastPrinted>2013-08-13T13:17:00Z</cp:lastPrinted>
  <dcterms:created xsi:type="dcterms:W3CDTF">2013-08-13T12:37:00Z</dcterms:created>
  <dcterms:modified xsi:type="dcterms:W3CDTF">2013-08-13T13:17:00Z</dcterms:modified>
</cp:coreProperties>
</file>