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F3" w:rsidRPr="00837172" w:rsidRDefault="00241BBB" w:rsidP="00231E62">
      <w:pPr>
        <w:ind w:left="-284" w:right="-908" w:firstLine="284"/>
        <w:jc w:val="center"/>
        <w:rPr>
          <w:rFonts w:eastAsia="Times New Roman"/>
          <w:b/>
          <w:bCs/>
          <w:sz w:val="24"/>
          <w:szCs w:val="24"/>
          <w:lang w:eastAsia="lv-LV"/>
        </w:rPr>
      </w:pPr>
      <w:bookmarkStart w:id="0" w:name="OLE_LINK1"/>
      <w:bookmarkStart w:id="1" w:name="OLE_LINK2"/>
      <w:r w:rsidRPr="00837172">
        <w:rPr>
          <w:rFonts w:eastAsia="Times New Roman"/>
          <w:b/>
          <w:bCs/>
          <w:sz w:val="24"/>
          <w:szCs w:val="24"/>
          <w:lang w:eastAsia="lv-LV"/>
        </w:rPr>
        <w:t>Likumprojekta</w:t>
      </w:r>
    </w:p>
    <w:p w:rsidR="008700F3" w:rsidRPr="00837172" w:rsidRDefault="00241BBB" w:rsidP="00255DC3">
      <w:pPr>
        <w:pStyle w:val="Footer"/>
        <w:jc w:val="center"/>
        <w:rPr>
          <w:b/>
          <w:sz w:val="24"/>
          <w:szCs w:val="24"/>
        </w:rPr>
      </w:pPr>
      <w:r w:rsidRPr="00837172">
        <w:rPr>
          <w:rFonts w:eastAsia="Times New Roman"/>
          <w:b/>
          <w:bCs/>
          <w:sz w:val="24"/>
          <w:szCs w:val="24"/>
          <w:lang w:eastAsia="lv-LV"/>
        </w:rPr>
        <w:t>„</w:t>
      </w:r>
      <w:r w:rsidR="00255DC3" w:rsidRPr="00837172">
        <w:rPr>
          <w:b/>
          <w:bCs/>
          <w:sz w:val="24"/>
          <w:szCs w:val="24"/>
        </w:rPr>
        <w:t>Grozījums Informācijas tehnoloģiju drošības likumā”</w:t>
      </w:r>
    </w:p>
    <w:p w:rsidR="00D85624" w:rsidRPr="00837172" w:rsidRDefault="00D85624" w:rsidP="00231E62">
      <w:pPr>
        <w:ind w:left="-284" w:right="-908" w:firstLine="284"/>
        <w:jc w:val="center"/>
        <w:rPr>
          <w:rFonts w:eastAsia="Times New Roman"/>
          <w:b/>
          <w:bCs/>
          <w:sz w:val="24"/>
          <w:szCs w:val="24"/>
          <w:lang w:eastAsia="lv-LV"/>
        </w:rPr>
      </w:pPr>
      <w:r w:rsidRPr="00837172">
        <w:rPr>
          <w:rFonts w:eastAsia="Times New Roman"/>
          <w:b/>
          <w:bCs/>
          <w:sz w:val="24"/>
          <w:szCs w:val="24"/>
          <w:lang w:eastAsia="lv-LV"/>
        </w:rPr>
        <w:t>sākotnējās ietekmes novērtējuma ziņojums (anotācija)</w:t>
      </w:r>
      <w:bookmarkEnd w:id="0"/>
      <w:bookmarkEnd w:id="1"/>
    </w:p>
    <w:p w:rsidR="008700F3" w:rsidRDefault="008700F3" w:rsidP="008700F3">
      <w:pPr>
        <w:ind w:left="-284" w:right="-908" w:firstLine="284"/>
        <w:jc w:val="center"/>
        <w:rPr>
          <w:b/>
          <w:bCs/>
          <w:sz w:val="24"/>
          <w:szCs w:val="24"/>
        </w:rPr>
      </w:pPr>
    </w:p>
    <w:p w:rsidR="00DD683D" w:rsidRPr="00837172" w:rsidRDefault="00DD683D" w:rsidP="008700F3">
      <w:pPr>
        <w:ind w:left="-284" w:right="-908" w:firstLine="284"/>
        <w:jc w:val="center"/>
        <w:rPr>
          <w:b/>
          <w:bCs/>
          <w:sz w:val="24"/>
          <w:szCs w:val="24"/>
        </w:rPr>
      </w:pPr>
    </w:p>
    <w:tbl>
      <w:tblPr>
        <w:tblW w:w="535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1"/>
        <w:gridCol w:w="2280"/>
        <w:gridCol w:w="6411"/>
      </w:tblGrid>
      <w:tr w:rsidR="00D85624" w:rsidRPr="00837172" w:rsidTr="000511D2">
        <w:tc>
          <w:tcPr>
            <w:tcW w:w="5000" w:type="pct"/>
            <w:gridSpan w:val="3"/>
            <w:tcBorders>
              <w:top w:val="single" w:sz="6" w:space="0" w:color="auto"/>
              <w:left w:val="single" w:sz="6" w:space="0" w:color="auto"/>
              <w:bottom w:val="outset" w:sz="6" w:space="0" w:color="000000"/>
              <w:right w:val="single" w:sz="6" w:space="0" w:color="auto"/>
            </w:tcBorders>
            <w:vAlign w:val="center"/>
          </w:tcPr>
          <w:p w:rsidR="00D85624" w:rsidRPr="00837172" w:rsidRDefault="00D85624" w:rsidP="004063BE">
            <w:pPr>
              <w:spacing w:before="100" w:beforeAutospacing="1" w:after="100" w:afterAutospacing="1"/>
              <w:jc w:val="center"/>
              <w:rPr>
                <w:rFonts w:eastAsia="Times New Roman"/>
                <w:b/>
                <w:bCs/>
                <w:sz w:val="24"/>
                <w:szCs w:val="24"/>
                <w:lang w:eastAsia="lv-LV"/>
              </w:rPr>
            </w:pPr>
            <w:r w:rsidRPr="00837172">
              <w:rPr>
                <w:rFonts w:eastAsia="Times New Roman"/>
                <w:b/>
                <w:bCs/>
                <w:sz w:val="24"/>
                <w:szCs w:val="24"/>
                <w:lang w:eastAsia="lv-LV"/>
              </w:rPr>
              <w:t>I. Tiesību akta projekta izstrādes nepieciešamība</w:t>
            </w:r>
          </w:p>
        </w:tc>
      </w:tr>
      <w:tr w:rsidR="00D85624" w:rsidRPr="00837172" w:rsidTr="000511D2">
        <w:tc>
          <w:tcPr>
            <w:tcW w:w="151"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1.</w:t>
            </w:r>
          </w:p>
        </w:tc>
        <w:tc>
          <w:tcPr>
            <w:tcW w:w="1272"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Pamatojums</w:t>
            </w:r>
          </w:p>
        </w:tc>
        <w:tc>
          <w:tcPr>
            <w:tcW w:w="3577" w:type="pct"/>
            <w:tcBorders>
              <w:top w:val="outset" w:sz="6" w:space="0" w:color="000000"/>
              <w:left w:val="outset" w:sz="6" w:space="0" w:color="000000"/>
              <w:bottom w:val="outset" w:sz="6" w:space="0" w:color="000000"/>
              <w:right w:val="outset" w:sz="6" w:space="0" w:color="000000"/>
            </w:tcBorders>
          </w:tcPr>
          <w:p w:rsidR="00231E62" w:rsidRDefault="002B147B" w:rsidP="004A57C3">
            <w:pPr>
              <w:pStyle w:val="NormalWeb"/>
              <w:spacing w:before="0" w:beforeAutospacing="0" w:after="0" w:afterAutospacing="0"/>
              <w:jc w:val="both"/>
            </w:pPr>
            <w:r w:rsidRPr="00837172">
              <w:t xml:space="preserve">Grozījumi </w:t>
            </w:r>
            <w:r w:rsidR="00004664" w:rsidRPr="00837172">
              <w:t xml:space="preserve">Informācijas tehnoloģiju drošības </w:t>
            </w:r>
            <w:r w:rsidR="00231E62" w:rsidRPr="00837172">
              <w:rPr>
                <w:bCs/>
              </w:rPr>
              <w:t xml:space="preserve">likumā </w:t>
            </w:r>
            <w:r w:rsidRPr="00837172">
              <w:t xml:space="preserve">sagatavoti, lai </w:t>
            </w:r>
            <w:r w:rsidR="00004664" w:rsidRPr="00837172">
              <w:t>izpildītu Ministru kabineta</w:t>
            </w:r>
            <w:r w:rsidR="004A57C3" w:rsidRPr="00837172">
              <w:t xml:space="preserve"> 2013.gada 16.aprīļa protokola Nr.20 51.§ nolemto, t.i. mainīt </w:t>
            </w:r>
            <w:r w:rsidR="00004664" w:rsidRPr="00837172">
              <w:t>par Nacionālās informācijas tehnoloģiju drošības padomes darbības nodr</w:t>
            </w:r>
            <w:r w:rsidR="004A57C3" w:rsidRPr="00837172">
              <w:t>ošināšanu atbildīgo institūciju, kā</w:t>
            </w:r>
            <w:r w:rsidR="00837172">
              <w:t xml:space="preserve"> </w:t>
            </w:r>
            <w:r w:rsidR="004A57C3" w:rsidRPr="00837172">
              <w:t>arī</w:t>
            </w:r>
            <w:r w:rsidR="00004664" w:rsidRPr="00837172">
              <w:t xml:space="preserve"> </w:t>
            </w:r>
            <w:r w:rsidR="004A57C3" w:rsidRPr="00837172">
              <w:t>paplašināt</w:t>
            </w:r>
            <w:r w:rsidR="00004664" w:rsidRPr="00837172">
              <w:t xml:space="preserve"> minētās padomes kompetenci.</w:t>
            </w:r>
            <w:r w:rsidRPr="00837172">
              <w:t xml:space="preserve"> </w:t>
            </w:r>
          </w:p>
          <w:p w:rsidR="00DD683D" w:rsidRPr="00837172" w:rsidRDefault="00DD683D" w:rsidP="004A57C3">
            <w:pPr>
              <w:pStyle w:val="NormalWeb"/>
              <w:spacing w:before="0" w:beforeAutospacing="0" w:after="0" w:afterAutospacing="0"/>
              <w:jc w:val="both"/>
            </w:pPr>
          </w:p>
        </w:tc>
      </w:tr>
      <w:tr w:rsidR="00D85624" w:rsidRPr="00837172" w:rsidTr="000511D2">
        <w:tc>
          <w:tcPr>
            <w:tcW w:w="151"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2.</w:t>
            </w:r>
          </w:p>
        </w:tc>
        <w:tc>
          <w:tcPr>
            <w:tcW w:w="1272"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Pašreizējā situācija un problēmas</w:t>
            </w:r>
          </w:p>
        </w:tc>
        <w:tc>
          <w:tcPr>
            <w:tcW w:w="3577" w:type="pct"/>
            <w:tcBorders>
              <w:top w:val="outset" w:sz="6" w:space="0" w:color="000000"/>
              <w:left w:val="outset" w:sz="6" w:space="0" w:color="000000"/>
              <w:bottom w:val="outset" w:sz="6" w:space="0" w:color="000000"/>
              <w:right w:val="outset" w:sz="6" w:space="0" w:color="000000"/>
            </w:tcBorders>
          </w:tcPr>
          <w:p w:rsidR="00B122F0" w:rsidRDefault="006B6CAF" w:rsidP="00DD683D">
            <w:pPr>
              <w:pStyle w:val="NoSpacing"/>
              <w:spacing w:after="120"/>
              <w:jc w:val="both"/>
              <w:rPr>
                <w:rFonts w:ascii="Times New Roman" w:hAnsi="Times New Roman"/>
                <w:sz w:val="24"/>
                <w:szCs w:val="24"/>
              </w:rPr>
            </w:pPr>
            <w:r>
              <w:rPr>
                <w:rFonts w:ascii="Times New Roman" w:hAnsi="Times New Roman"/>
                <w:sz w:val="24"/>
                <w:szCs w:val="24"/>
              </w:rPr>
              <w:t>Nacionālā</w:t>
            </w:r>
            <w:r w:rsidR="00104507">
              <w:rPr>
                <w:rFonts w:ascii="Times New Roman" w:hAnsi="Times New Roman"/>
                <w:sz w:val="24"/>
                <w:szCs w:val="24"/>
              </w:rPr>
              <w:t xml:space="preserve"> informācijas </w:t>
            </w:r>
            <w:r w:rsidR="00104507" w:rsidRPr="00E5291C">
              <w:rPr>
                <w:rFonts w:ascii="Times New Roman" w:hAnsi="Times New Roman"/>
                <w:sz w:val="24"/>
                <w:szCs w:val="24"/>
              </w:rPr>
              <w:t>tehnoloģiju drošības</w:t>
            </w:r>
            <w:r w:rsidR="00B37C23" w:rsidRPr="00837172">
              <w:rPr>
                <w:rFonts w:ascii="Times New Roman" w:hAnsi="Times New Roman"/>
                <w:sz w:val="24"/>
                <w:szCs w:val="24"/>
              </w:rPr>
              <w:t xml:space="preserve"> padome (turpmāk-padome) tika izveidota 2011.gada, īsi pēc pieņemtā Informācijas tehnoloģiju drošības likuma, lai koordinētu ar informācijas tehnoloģiju drošību saistīto uzdevumu un pasākumu plānošanu un veikšanu. P</w:t>
            </w:r>
            <w:r w:rsidR="00EC3DC6" w:rsidRPr="00837172">
              <w:rPr>
                <w:rFonts w:ascii="Times New Roman" w:hAnsi="Times New Roman"/>
                <w:sz w:val="24"/>
                <w:szCs w:val="24"/>
              </w:rPr>
              <w:t>atlaban p</w:t>
            </w:r>
            <w:r w:rsidR="00B37C23" w:rsidRPr="00837172">
              <w:rPr>
                <w:rFonts w:ascii="Times New Roman" w:hAnsi="Times New Roman"/>
                <w:sz w:val="24"/>
                <w:szCs w:val="24"/>
              </w:rPr>
              <w:t xml:space="preserve">adomes darbību nodrošina vadošā valsts pārvaldes iestāde sakaru nozarē – Satiksmes ministrija. </w:t>
            </w:r>
          </w:p>
          <w:p w:rsidR="00837172" w:rsidRDefault="00B37C23" w:rsidP="00DD683D">
            <w:pPr>
              <w:pStyle w:val="NoSpacing"/>
              <w:spacing w:after="120"/>
              <w:jc w:val="both"/>
              <w:rPr>
                <w:rFonts w:ascii="Times New Roman" w:hAnsi="Times New Roman"/>
                <w:sz w:val="24"/>
                <w:szCs w:val="24"/>
              </w:rPr>
            </w:pPr>
            <w:r w:rsidRPr="00837172">
              <w:rPr>
                <w:rFonts w:ascii="Times New Roman" w:hAnsi="Times New Roman"/>
                <w:sz w:val="24"/>
                <w:szCs w:val="24"/>
              </w:rPr>
              <w:t xml:space="preserve">Latvijas IT drošības stratēģijas </w:t>
            </w:r>
            <w:r w:rsidR="00924F7E">
              <w:rPr>
                <w:rFonts w:ascii="Times New Roman" w:hAnsi="Times New Roman"/>
                <w:sz w:val="24"/>
                <w:szCs w:val="24"/>
              </w:rPr>
              <w:t xml:space="preserve">sākotnējā uzmetuma </w:t>
            </w:r>
            <w:r w:rsidRPr="00837172">
              <w:rPr>
                <w:rFonts w:ascii="Times New Roman" w:hAnsi="Times New Roman"/>
                <w:sz w:val="24"/>
                <w:szCs w:val="24"/>
              </w:rPr>
              <w:t>izstrāde padomes ietvaros atspoguļo</w:t>
            </w:r>
            <w:r w:rsidR="00924F7E">
              <w:rPr>
                <w:rFonts w:ascii="Times New Roman" w:hAnsi="Times New Roman"/>
                <w:sz w:val="24"/>
                <w:szCs w:val="24"/>
              </w:rPr>
              <w:t>ja</w:t>
            </w:r>
            <w:r w:rsidRPr="00837172">
              <w:rPr>
                <w:rFonts w:ascii="Times New Roman" w:hAnsi="Times New Roman"/>
                <w:sz w:val="24"/>
                <w:szCs w:val="24"/>
              </w:rPr>
              <w:t xml:space="preserve"> tehniska rakstura pieeju un ierobežoto ekspertīzi, kā rezultātā pamatnostādnes </w:t>
            </w:r>
            <w:r w:rsidR="00924F7E">
              <w:rPr>
                <w:rFonts w:ascii="Times New Roman" w:hAnsi="Times New Roman"/>
                <w:sz w:val="24"/>
                <w:szCs w:val="24"/>
              </w:rPr>
              <w:t xml:space="preserve">uzmetums </w:t>
            </w:r>
            <w:r w:rsidRPr="00837172">
              <w:rPr>
                <w:rFonts w:ascii="Times New Roman" w:hAnsi="Times New Roman"/>
                <w:sz w:val="24"/>
                <w:szCs w:val="24"/>
              </w:rPr>
              <w:t xml:space="preserve">aptver praktiska rakstura informāciju un darbību, bet </w:t>
            </w:r>
            <w:r w:rsidR="00924F7E">
              <w:rPr>
                <w:rFonts w:ascii="Times New Roman" w:hAnsi="Times New Roman"/>
                <w:sz w:val="24"/>
                <w:szCs w:val="24"/>
              </w:rPr>
              <w:t>nenosaka</w:t>
            </w:r>
            <w:r w:rsidRPr="00837172">
              <w:rPr>
                <w:rFonts w:ascii="Times New Roman" w:hAnsi="Times New Roman"/>
                <w:sz w:val="24"/>
                <w:szCs w:val="24"/>
              </w:rPr>
              <w:t xml:space="preserve"> valsts politikas vadl</w:t>
            </w:r>
            <w:r w:rsidR="00EC3DC6" w:rsidRPr="00837172">
              <w:rPr>
                <w:rFonts w:ascii="Times New Roman" w:hAnsi="Times New Roman"/>
                <w:sz w:val="24"/>
                <w:szCs w:val="24"/>
              </w:rPr>
              <w:t xml:space="preserve">īnijas un stratēģiskos mērķus. </w:t>
            </w:r>
            <w:r w:rsidRPr="00837172">
              <w:rPr>
                <w:rFonts w:ascii="Times New Roman" w:hAnsi="Times New Roman"/>
                <w:sz w:val="24"/>
                <w:szCs w:val="24"/>
              </w:rPr>
              <w:t xml:space="preserve">IT drošības nozare ir veidošanas stadijā, tā sastāv no daudziem elementiem valsts un privātā sektorā un neaprobežojas tikai ar tehniskiem risinājumiem. Lai </w:t>
            </w:r>
            <w:r w:rsidR="00924F7E">
              <w:rPr>
                <w:rFonts w:ascii="Times New Roman" w:hAnsi="Times New Roman"/>
                <w:sz w:val="24"/>
                <w:szCs w:val="24"/>
              </w:rPr>
              <w:t>veidotu</w:t>
            </w:r>
            <w:r w:rsidRPr="00837172">
              <w:rPr>
                <w:rFonts w:ascii="Times New Roman" w:hAnsi="Times New Roman"/>
                <w:sz w:val="24"/>
                <w:szCs w:val="24"/>
              </w:rPr>
              <w:t xml:space="preserve"> valsts IT drošību, ir ne</w:t>
            </w:r>
            <w:r w:rsidR="006F4C89">
              <w:rPr>
                <w:rFonts w:ascii="Times New Roman" w:hAnsi="Times New Roman"/>
                <w:sz w:val="24"/>
                <w:szCs w:val="24"/>
              </w:rPr>
              <w:t>pieciešams</w:t>
            </w:r>
            <w:r w:rsidR="00924F7E">
              <w:rPr>
                <w:rFonts w:ascii="Times New Roman" w:hAnsi="Times New Roman"/>
                <w:sz w:val="24"/>
                <w:szCs w:val="24"/>
              </w:rPr>
              <w:t xml:space="preserve"> koordinēti izstrādāt</w:t>
            </w:r>
            <w:r w:rsidRPr="00837172">
              <w:rPr>
                <w:rFonts w:ascii="Times New Roman" w:hAnsi="Times New Roman"/>
                <w:sz w:val="24"/>
                <w:szCs w:val="24"/>
              </w:rPr>
              <w:t xml:space="preserve"> valsts politiku un stratēģiskos mērķus, kas kalpotu kā pamats tālākā darba organizācijai, investīcijām un starptautiskai sadarbībai. Politika ir regulāri jāpārskata un jāpielāgo situācijas attīstībai.</w:t>
            </w:r>
            <w:r w:rsidR="00837172" w:rsidRPr="00837172">
              <w:rPr>
                <w:rFonts w:ascii="Times New Roman" w:hAnsi="Times New Roman"/>
                <w:sz w:val="24"/>
                <w:szCs w:val="24"/>
              </w:rPr>
              <w:t xml:space="preserve"> </w:t>
            </w:r>
          </w:p>
          <w:p w:rsidR="00924F7E" w:rsidRDefault="00924F7E" w:rsidP="00DD683D">
            <w:pPr>
              <w:pStyle w:val="NoSpacing"/>
              <w:spacing w:after="120"/>
              <w:jc w:val="both"/>
              <w:rPr>
                <w:rFonts w:ascii="Times New Roman" w:hAnsi="Times New Roman"/>
                <w:sz w:val="24"/>
                <w:szCs w:val="24"/>
              </w:rPr>
            </w:pPr>
            <w:r>
              <w:rPr>
                <w:rFonts w:ascii="Times New Roman" w:hAnsi="Times New Roman"/>
                <w:sz w:val="24"/>
                <w:szCs w:val="24"/>
              </w:rPr>
              <w:t xml:space="preserve">Aizsardzības ministrija </w:t>
            </w:r>
            <w:r w:rsidRPr="00924F7E">
              <w:rPr>
                <w:rFonts w:ascii="Times New Roman" w:hAnsi="Times New Roman"/>
                <w:sz w:val="24"/>
                <w:szCs w:val="24"/>
              </w:rPr>
              <w:t>jau ilgstoši veido kompetenci IT drošības un aiz</w:t>
            </w:r>
            <w:r>
              <w:rPr>
                <w:rFonts w:ascii="Times New Roman" w:hAnsi="Times New Roman"/>
                <w:sz w:val="24"/>
                <w:szCs w:val="24"/>
              </w:rPr>
              <w:t>sardzības politikas jautājumos</w:t>
            </w:r>
            <w:r w:rsidRPr="00924F7E">
              <w:rPr>
                <w:rFonts w:ascii="Times New Roman" w:hAnsi="Times New Roman"/>
                <w:sz w:val="24"/>
                <w:szCs w:val="24"/>
              </w:rPr>
              <w:t xml:space="preserve">, pārstāvot Latviju NATO </w:t>
            </w:r>
            <w:proofErr w:type="spellStart"/>
            <w:r w:rsidRPr="00924F7E">
              <w:rPr>
                <w:rFonts w:ascii="Times New Roman" w:hAnsi="Times New Roman"/>
                <w:sz w:val="24"/>
                <w:szCs w:val="24"/>
              </w:rPr>
              <w:t>kiberdrošības</w:t>
            </w:r>
            <w:proofErr w:type="spellEnd"/>
            <w:r w:rsidRPr="00924F7E">
              <w:rPr>
                <w:rFonts w:ascii="Times New Roman" w:hAnsi="Times New Roman"/>
                <w:sz w:val="24"/>
                <w:szCs w:val="24"/>
              </w:rPr>
              <w:t xml:space="preserve"> politikas struktūrās un mācībās, nodrošinot ekspertu Igaunijas NATO </w:t>
            </w:r>
            <w:proofErr w:type="spellStart"/>
            <w:r w:rsidRPr="00924F7E">
              <w:rPr>
                <w:rFonts w:ascii="Times New Roman" w:hAnsi="Times New Roman"/>
                <w:sz w:val="24"/>
                <w:szCs w:val="24"/>
              </w:rPr>
              <w:t>kiberaizsardzības</w:t>
            </w:r>
            <w:proofErr w:type="spellEnd"/>
            <w:r w:rsidRPr="00924F7E">
              <w:rPr>
                <w:rFonts w:ascii="Times New Roman" w:hAnsi="Times New Roman"/>
                <w:sz w:val="24"/>
                <w:szCs w:val="24"/>
              </w:rPr>
              <w:t xml:space="preserve"> izcilības centrā Tallinā</w:t>
            </w:r>
            <w:r>
              <w:rPr>
                <w:rFonts w:ascii="Times New Roman" w:hAnsi="Times New Roman"/>
                <w:sz w:val="24"/>
                <w:szCs w:val="24"/>
              </w:rPr>
              <w:t>,</w:t>
            </w:r>
            <w:r w:rsidRPr="00924F7E">
              <w:rPr>
                <w:rFonts w:ascii="Times New Roman" w:hAnsi="Times New Roman"/>
                <w:sz w:val="24"/>
                <w:szCs w:val="24"/>
              </w:rPr>
              <w:t xml:space="preserve"> veidojot sadarbību ar Baltijas un Ziemeļvalstu reģiona un ASV ekspertiem, veidojot IT drošības ekspertu vienību Zemessardzes sastāvā</w:t>
            </w:r>
            <w:r>
              <w:rPr>
                <w:rFonts w:ascii="Times New Roman" w:hAnsi="Times New Roman"/>
                <w:sz w:val="24"/>
                <w:szCs w:val="24"/>
              </w:rPr>
              <w:t>.</w:t>
            </w:r>
          </w:p>
          <w:p w:rsidR="00924F7E" w:rsidRDefault="00924F7E" w:rsidP="00DD683D">
            <w:pPr>
              <w:pStyle w:val="NoSpacing"/>
              <w:spacing w:after="120"/>
              <w:jc w:val="both"/>
            </w:pPr>
            <w:r>
              <w:rPr>
                <w:rFonts w:ascii="Times New Roman" w:hAnsi="Times New Roman"/>
                <w:sz w:val="24"/>
                <w:szCs w:val="24"/>
              </w:rPr>
              <w:t>Ar 2013.gada 1.janvāri</w:t>
            </w:r>
            <w:r w:rsidR="00837172" w:rsidRPr="00837172">
              <w:rPr>
                <w:rFonts w:ascii="Times New Roman" w:hAnsi="Times New Roman"/>
                <w:sz w:val="24"/>
                <w:szCs w:val="24"/>
              </w:rPr>
              <w:t xml:space="preserve"> Aizsardzības ministrija ir pārņēmusi Informācijas tehnoloģiju drošības incidentu novēršanas institūcijas </w:t>
            </w:r>
            <w:r>
              <w:rPr>
                <w:rFonts w:ascii="Times New Roman" w:hAnsi="Times New Roman"/>
                <w:sz w:val="24"/>
                <w:szCs w:val="24"/>
              </w:rPr>
              <w:t xml:space="preserve">(CERT.LV) </w:t>
            </w:r>
            <w:r w:rsidR="00837172" w:rsidRPr="00837172">
              <w:rPr>
                <w:rFonts w:ascii="Times New Roman" w:hAnsi="Times New Roman"/>
                <w:sz w:val="24"/>
                <w:szCs w:val="24"/>
              </w:rPr>
              <w:t>darbības nodrošināšan</w:t>
            </w:r>
            <w:r>
              <w:rPr>
                <w:rFonts w:ascii="Times New Roman" w:hAnsi="Times New Roman"/>
                <w:sz w:val="24"/>
                <w:szCs w:val="24"/>
              </w:rPr>
              <w:t xml:space="preserve">u un ir uzsākusi tā kapacitātes </w:t>
            </w:r>
            <w:r w:rsidRPr="00924F7E">
              <w:rPr>
                <w:rFonts w:ascii="Times New Roman" w:hAnsi="Times New Roman"/>
                <w:sz w:val="24"/>
                <w:szCs w:val="24"/>
              </w:rPr>
              <w:t>stiprināšanu</w:t>
            </w:r>
            <w:r>
              <w:rPr>
                <w:rFonts w:ascii="Times New Roman" w:hAnsi="Times New Roman"/>
                <w:sz w:val="24"/>
                <w:szCs w:val="24"/>
              </w:rPr>
              <w:t>, lai pieaugot IT izmantošanai valsts pārvaldē un sabiedrībā, CERT.LV spētu nodrošināt likumā noteiktās funkcijas.</w:t>
            </w:r>
          </w:p>
          <w:p w:rsidR="00EE3A44" w:rsidRDefault="00924F7E" w:rsidP="00DD683D">
            <w:pPr>
              <w:pStyle w:val="NoSpacing"/>
              <w:spacing w:after="120"/>
              <w:jc w:val="both"/>
              <w:rPr>
                <w:rFonts w:ascii="Times New Roman" w:hAnsi="Times New Roman"/>
                <w:sz w:val="24"/>
                <w:szCs w:val="24"/>
              </w:rPr>
            </w:pPr>
            <w:r>
              <w:rPr>
                <w:rFonts w:ascii="Times New Roman" w:hAnsi="Times New Roman"/>
                <w:sz w:val="24"/>
                <w:szCs w:val="24"/>
              </w:rPr>
              <w:t xml:space="preserve">Ņemot vērā </w:t>
            </w:r>
            <w:r w:rsidR="007B6ECA" w:rsidRPr="007B6ECA">
              <w:rPr>
                <w:rFonts w:ascii="Times New Roman" w:hAnsi="Times New Roman"/>
                <w:sz w:val="24"/>
                <w:szCs w:val="24"/>
              </w:rPr>
              <w:t>IT drošības jautājumu aktualitāti valsts aizsardzībā un drošībā</w:t>
            </w:r>
            <w:r w:rsidR="007B6ECA">
              <w:rPr>
                <w:rFonts w:ascii="Times New Roman" w:hAnsi="Times New Roman"/>
                <w:sz w:val="24"/>
                <w:szCs w:val="24"/>
              </w:rPr>
              <w:t xml:space="preserve"> (kā to atspoguļo Nacionālā drošības koncepcija), </w:t>
            </w:r>
            <w:r w:rsidR="007B6ECA">
              <w:rPr>
                <w:rFonts w:ascii="Times New Roman" w:hAnsi="Times New Roman"/>
                <w:sz w:val="24"/>
                <w:szCs w:val="24"/>
              </w:rPr>
              <w:lastRenderedPageBreak/>
              <w:t>2013.gada 16.aprīlī MK atbalstīja priekšlikumu uzdot Aizsardzības ministrijai vadīt Nacionālo informācijas tehnoloģiju drošības padomi</w:t>
            </w:r>
            <w:r w:rsidR="006F4C89">
              <w:rPr>
                <w:rFonts w:ascii="Times New Roman" w:hAnsi="Times New Roman"/>
                <w:sz w:val="24"/>
                <w:szCs w:val="24"/>
              </w:rPr>
              <w:t>, kā arī izstrādāt tās darbību un uzdevumus</w:t>
            </w:r>
            <w:r w:rsidR="007B6ECA">
              <w:rPr>
                <w:rFonts w:ascii="Times New Roman" w:hAnsi="Times New Roman"/>
                <w:sz w:val="24"/>
                <w:szCs w:val="24"/>
              </w:rPr>
              <w:t xml:space="preserve">. Balstoties uz </w:t>
            </w:r>
            <w:r w:rsidR="00372F99">
              <w:rPr>
                <w:rFonts w:ascii="Times New Roman" w:hAnsi="Times New Roman"/>
                <w:sz w:val="24"/>
                <w:szCs w:val="24"/>
              </w:rPr>
              <w:t xml:space="preserve">kompetenci IT drošības jautājumos un </w:t>
            </w:r>
            <w:r w:rsidR="007B6ECA">
              <w:rPr>
                <w:rFonts w:ascii="Times New Roman" w:hAnsi="Times New Roman"/>
                <w:sz w:val="24"/>
                <w:szCs w:val="24"/>
              </w:rPr>
              <w:t xml:space="preserve">finansiālo un </w:t>
            </w:r>
            <w:r w:rsidR="00372F99">
              <w:rPr>
                <w:rFonts w:ascii="Times New Roman" w:hAnsi="Times New Roman"/>
                <w:sz w:val="24"/>
                <w:szCs w:val="24"/>
              </w:rPr>
              <w:t>tehnisko resursu pieejamību</w:t>
            </w:r>
            <w:r w:rsidR="007B6ECA">
              <w:rPr>
                <w:rFonts w:ascii="Times New Roman" w:hAnsi="Times New Roman"/>
                <w:sz w:val="24"/>
                <w:szCs w:val="24"/>
              </w:rPr>
              <w:t>, kā arī lai nodrošinātu padomes koordinētu darbību</w:t>
            </w:r>
            <w:r w:rsidR="00B12DCD">
              <w:rPr>
                <w:rFonts w:ascii="Times New Roman" w:hAnsi="Times New Roman"/>
                <w:sz w:val="24"/>
                <w:szCs w:val="24"/>
              </w:rPr>
              <w:t>,</w:t>
            </w:r>
            <w:r w:rsidR="007B6ECA">
              <w:rPr>
                <w:rFonts w:ascii="Times New Roman" w:hAnsi="Times New Roman"/>
                <w:sz w:val="24"/>
                <w:szCs w:val="24"/>
              </w:rPr>
              <w:t xml:space="preserve"> Aizsardzības ministrija ir gatava </w:t>
            </w:r>
            <w:r w:rsidR="006F4C89">
              <w:rPr>
                <w:rFonts w:ascii="Times New Roman" w:hAnsi="Times New Roman"/>
                <w:sz w:val="24"/>
                <w:szCs w:val="24"/>
              </w:rPr>
              <w:t xml:space="preserve">vadīt padomi, lai veidotu vienotu valsts politiku informācijas tehnoloģiju drošības jomā, un </w:t>
            </w:r>
            <w:r w:rsidR="007B6ECA">
              <w:rPr>
                <w:rFonts w:ascii="Times New Roman" w:hAnsi="Times New Roman"/>
                <w:sz w:val="24"/>
                <w:szCs w:val="24"/>
              </w:rPr>
              <w:t>nodrošināt padomes darbību, izveidojot sekretariātu</w:t>
            </w:r>
            <w:r w:rsidR="006F4C89">
              <w:rPr>
                <w:rFonts w:ascii="Times New Roman" w:hAnsi="Times New Roman"/>
                <w:sz w:val="24"/>
                <w:szCs w:val="24"/>
              </w:rPr>
              <w:t xml:space="preserve"> kā</w:t>
            </w:r>
            <w:r w:rsidR="00B12DCD">
              <w:rPr>
                <w:rFonts w:ascii="Times New Roman" w:hAnsi="Times New Roman"/>
                <w:sz w:val="24"/>
                <w:szCs w:val="24"/>
              </w:rPr>
              <w:t xml:space="preserve"> kompetences </w:t>
            </w:r>
            <w:r w:rsidR="006F4C89">
              <w:rPr>
                <w:rFonts w:ascii="Times New Roman" w:hAnsi="Times New Roman"/>
                <w:sz w:val="24"/>
                <w:szCs w:val="24"/>
              </w:rPr>
              <w:t>centru</w:t>
            </w:r>
            <w:r w:rsidR="00B12DCD">
              <w:rPr>
                <w:rFonts w:ascii="Times New Roman" w:hAnsi="Times New Roman"/>
                <w:sz w:val="24"/>
                <w:szCs w:val="24"/>
              </w:rPr>
              <w:t xml:space="preserve"> IT drošības politikas </w:t>
            </w:r>
            <w:r w:rsidR="006F4C89">
              <w:rPr>
                <w:rFonts w:ascii="Times New Roman" w:hAnsi="Times New Roman"/>
                <w:sz w:val="24"/>
                <w:szCs w:val="24"/>
              </w:rPr>
              <w:t>jautājumos</w:t>
            </w:r>
            <w:r w:rsidR="007B6ECA">
              <w:rPr>
                <w:rFonts w:ascii="Times New Roman" w:hAnsi="Times New Roman"/>
                <w:sz w:val="24"/>
                <w:szCs w:val="24"/>
              </w:rPr>
              <w:t>.</w:t>
            </w:r>
          </w:p>
          <w:p w:rsidR="00DD683D" w:rsidRPr="007B6ECA" w:rsidRDefault="00DD683D" w:rsidP="008F2676">
            <w:pPr>
              <w:pStyle w:val="NoSpacing"/>
              <w:spacing w:after="120"/>
              <w:jc w:val="both"/>
              <w:rPr>
                <w:rFonts w:ascii="Times New Roman" w:hAnsi="Times New Roman"/>
                <w:sz w:val="24"/>
                <w:szCs w:val="24"/>
              </w:rPr>
            </w:pPr>
          </w:p>
        </w:tc>
      </w:tr>
      <w:tr w:rsidR="00D85624" w:rsidRPr="00837172" w:rsidTr="000511D2">
        <w:tc>
          <w:tcPr>
            <w:tcW w:w="151"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lastRenderedPageBreak/>
              <w:t>3.</w:t>
            </w:r>
          </w:p>
        </w:tc>
        <w:tc>
          <w:tcPr>
            <w:tcW w:w="1272"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Saistītie politikas ietekmes novērtējumi un pētījumi</w:t>
            </w:r>
          </w:p>
        </w:tc>
        <w:tc>
          <w:tcPr>
            <w:tcW w:w="3577" w:type="pct"/>
            <w:tcBorders>
              <w:top w:val="outset" w:sz="6" w:space="0" w:color="000000"/>
              <w:left w:val="outset" w:sz="6" w:space="0" w:color="000000"/>
              <w:bottom w:val="outset" w:sz="6" w:space="0" w:color="000000"/>
              <w:right w:val="outset" w:sz="6" w:space="0" w:color="000000"/>
            </w:tcBorders>
          </w:tcPr>
          <w:p w:rsidR="00D85624" w:rsidRPr="00837172" w:rsidRDefault="003022B3"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Projekts šo jomu neskar.</w:t>
            </w:r>
          </w:p>
        </w:tc>
      </w:tr>
      <w:tr w:rsidR="00D85624" w:rsidRPr="00837172" w:rsidTr="000511D2">
        <w:tc>
          <w:tcPr>
            <w:tcW w:w="151"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4.</w:t>
            </w:r>
          </w:p>
        </w:tc>
        <w:tc>
          <w:tcPr>
            <w:tcW w:w="1272"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Tiesiskā regulējuma mērķis un būtība</w:t>
            </w:r>
          </w:p>
        </w:tc>
        <w:tc>
          <w:tcPr>
            <w:tcW w:w="3577" w:type="pct"/>
            <w:tcBorders>
              <w:top w:val="outset" w:sz="6" w:space="0" w:color="000000"/>
              <w:left w:val="outset" w:sz="6" w:space="0" w:color="000000"/>
              <w:bottom w:val="outset" w:sz="6" w:space="0" w:color="000000"/>
              <w:right w:val="outset" w:sz="6" w:space="0" w:color="000000"/>
            </w:tcBorders>
          </w:tcPr>
          <w:p w:rsidR="00C965AB" w:rsidRPr="008F2676" w:rsidRDefault="00CE60D8" w:rsidP="006C5BDE">
            <w:pPr>
              <w:pStyle w:val="naisf"/>
              <w:ind w:firstLine="0"/>
              <w:rPr>
                <w:u w:val="single"/>
              </w:rPr>
            </w:pPr>
            <w:r w:rsidRPr="00837172">
              <w:t>Aizsardzības ministrija ir izstrādājusi likumprojektu,</w:t>
            </w:r>
            <w:r w:rsidR="00C11417" w:rsidRPr="00837172">
              <w:t xml:space="preserve"> </w:t>
            </w:r>
            <w:r w:rsidR="00EC3DC6" w:rsidRPr="00837172">
              <w:t>izpildot Ministru kabineta 2013.gada 16.aprīļa sēdē no</w:t>
            </w:r>
            <w:r w:rsidR="00090FD5" w:rsidRPr="00837172">
              <w:t xml:space="preserve">lemto. Likumprojekts nosaka, ka turpmāk Padomes darbu nodrošinās vadošā valsts pārvaldes iestāde aizsardzības nozarē. Papildus tam, likumprojekts paplašina Padomes pilnvaru </w:t>
            </w:r>
            <w:r w:rsidR="006C5BDE">
              <w:t>apjomu, piešķirot</w:t>
            </w:r>
            <w:r w:rsidR="00090FD5" w:rsidRPr="00837172">
              <w:t xml:space="preserve"> tai politikas veidošanas</w:t>
            </w:r>
            <w:r w:rsidR="006B6CAF">
              <w:t xml:space="preserve"> </w:t>
            </w:r>
            <w:r w:rsidR="006B6CAF" w:rsidRPr="00E5291C">
              <w:t>koordinēšanas</w:t>
            </w:r>
            <w:r w:rsidR="00090FD5" w:rsidRPr="00E5291C">
              <w:t xml:space="preserve"> funkciju informā</w:t>
            </w:r>
            <w:r w:rsidR="008F2676" w:rsidRPr="00E5291C">
              <w:t>cijas tehnoloģiju drošības jomā, tādējādi nodrošinot vienotu valsts politiku informācijas tehnoloģiju drošības jomā.</w:t>
            </w:r>
          </w:p>
          <w:p w:rsidR="00DD683D" w:rsidRPr="00837172" w:rsidRDefault="00DD683D" w:rsidP="006C5BDE">
            <w:pPr>
              <w:pStyle w:val="naisf"/>
              <w:ind w:firstLine="0"/>
            </w:pPr>
          </w:p>
        </w:tc>
      </w:tr>
      <w:tr w:rsidR="00D85624" w:rsidRPr="00837172" w:rsidTr="000511D2">
        <w:tc>
          <w:tcPr>
            <w:tcW w:w="151"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5.</w:t>
            </w:r>
          </w:p>
        </w:tc>
        <w:tc>
          <w:tcPr>
            <w:tcW w:w="1272"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Projekta izstrādē iesaistītās institūcijas</w:t>
            </w:r>
          </w:p>
        </w:tc>
        <w:tc>
          <w:tcPr>
            <w:tcW w:w="3577" w:type="pct"/>
            <w:tcBorders>
              <w:top w:val="outset" w:sz="6" w:space="0" w:color="000000"/>
              <w:left w:val="outset" w:sz="6" w:space="0" w:color="000000"/>
              <w:bottom w:val="outset" w:sz="6" w:space="0" w:color="000000"/>
              <w:right w:val="outset" w:sz="6" w:space="0" w:color="000000"/>
            </w:tcBorders>
          </w:tcPr>
          <w:p w:rsidR="00C76408" w:rsidRPr="00E5291C" w:rsidRDefault="008F2676" w:rsidP="00004664">
            <w:pPr>
              <w:jc w:val="both"/>
              <w:rPr>
                <w:rFonts w:eastAsia="Times New Roman"/>
                <w:sz w:val="24"/>
                <w:szCs w:val="24"/>
                <w:lang w:eastAsia="lv-LV"/>
              </w:rPr>
            </w:pPr>
            <w:r w:rsidRPr="00E5291C">
              <w:rPr>
                <w:rFonts w:eastAsia="Times New Roman"/>
                <w:sz w:val="24"/>
                <w:szCs w:val="24"/>
                <w:lang w:eastAsia="lv-LV"/>
              </w:rPr>
              <w:t>Projekts šo jomu neskar</w:t>
            </w:r>
          </w:p>
        </w:tc>
      </w:tr>
      <w:tr w:rsidR="00D85624" w:rsidRPr="00837172" w:rsidTr="000511D2">
        <w:tc>
          <w:tcPr>
            <w:tcW w:w="151"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6.</w:t>
            </w:r>
          </w:p>
        </w:tc>
        <w:tc>
          <w:tcPr>
            <w:tcW w:w="1272"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Iemesli, kādēļ netika nodrošināta sabiedrības līdzdalība</w:t>
            </w:r>
          </w:p>
        </w:tc>
        <w:tc>
          <w:tcPr>
            <w:tcW w:w="3577" w:type="pct"/>
            <w:tcBorders>
              <w:top w:val="outset" w:sz="6" w:space="0" w:color="000000"/>
              <w:left w:val="outset" w:sz="6" w:space="0" w:color="000000"/>
              <w:bottom w:val="outset" w:sz="6" w:space="0" w:color="000000"/>
              <w:right w:val="outset" w:sz="6" w:space="0" w:color="000000"/>
            </w:tcBorders>
          </w:tcPr>
          <w:p w:rsidR="00EA4CC2" w:rsidRPr="00837172" w:rsidRDefault="00EA4CC2" w:rsidP="00004664">
            <w:pPr>
              <w:spacing w:before="100" w:beforeAutospacing="1" w:after="100" w:afterAutospacing="1"/>
              <w:jc w:val="both"/>
              <w:rPr>
                <w:rFonts w:eastAsia="Times New Roman"/>
                <w:sz w:val="24"/>
                <w:szCs w:val="24"/>
                <w:lang w:eastAsia="lv-LV"/>
              </w:rPr>
            </w:pPr>
            <w:r w:rsidRPr="00837172">
              <w:rPr>
                <w:sz w:val="24"/>
                <w:szCs w:val="24"/>
              </w:rPr>
              <w:t xml:space="preserve">Sabiedrības līdzdalība netika nodrošināta, jo jautājumam nav tiešas ietekmes uz sabiedrību kopumā. </w:t>
            </w:r>
          </w:p>
        </w:tc>
      </w:tr>
      <w:tr w:rsidR="00D85624" w:rsidRPr="00837172" w:rsidTr="000511D2">
        <w:tc>
          <w:tcPr>
            <w:tcW w:w="151"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7.</w:t>
            </w:r>
          </w:p>
        </w:tc>
        <w:tc>
          <w:tcPr>
            <w:tcW w:w="1272"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Cita informācija</w:t>
            </w:r>
          </w:p>
        </w:tc>
        <w:tc>
          <w:tcPr>
            <w:tcW w:w="3577"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Nav</w:t>
            </w:r>
            <w:r w:rsidR="008E59CE" w:rsidRPr="00837172">
              <w:rPr>
                <w:rFonts w:eastAsia="Times New Roman"/>
                <w:sz w:val="24"/>
                <w:szCs w:val="24"/>
                <w:lang w:eastAsia="lv-LV"/>
              </w:rPr>
              <w:t>.</w:t>
            </w:r>
          </w:p>
        </w:tc>
      </w:tr>
    </w:tbl>
    <w:p w:rsidR="006B4235" w:rsidRDefault="006B4235" w:rsidP="006B4235">
      <w:pPr>
        <w:rPr>
          <w:rFonts w:ascii="Verdana" w:eastAsia="Times New Roman" w:hAnsi="Verdana"/>
          <w:sz w:val="24"/>
          <w:szCs w:val="24"/>
          <w:lang w:eastAsia="lv-LV"/>
        </w:rPr>
      </w:pPr>
    </w:p>
    <w:p w:rsidR="00DD683D" w:rsidRPr="00837172" w:rsidRDefault="00DD683D" w:rsidP="006B4235">
      <w:pPr>
        <w:rPr>
          <w:rFonts w:ascii="Verdana" w:eastAsia="Times New Roman" w:hAnsi="Verdana"/>
          <w:sz w:val="24"/>
          <w:szCs w:val="24"/>
          <w:lang w:eastAsia="lv-LV"/>
        </w:rPr>
      </w:pPr>
    </w:p>
    <w:tbl>
      <w:tblPr>
        <w:tblW w:w="535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962"/>
      </w:tblGrid>
      <w:tr w:rsidR="00D85624" w:rsidRPr="00837172" w:rsidTr="008700F3">
        <w:tc>
          <w:tcPr>
            <w:tcW w:w="5000" w:type="pct"/>
            <w:tcBorders>
              <w:top w:val="single" w:sz="6" w:space="0" w:color="auto"/>
              <w:left w:val="single" w:sz="6" w:space="0" w:color="auto"/>
              <w:bottom w:val="outset" w:sz="6" w:space="0" w:color="000000"/>
              <w:right w:val="single" w:sz="6" w:space="0" w:color="auto"/>
            </w:tcBorders>
            <w:vAlign w:val="center"/>
          </w:tcPr>
          <w:p w:rsidR="00D85624" w:rsidRPr="00837172" w:rsidRDefault="00D85624" w:rsidP="004063BE">
            <w:pPr>
              <w:spacing w:before="100" w:beforeAutospacing="1" w:after="100" w:afterAutospacing="1"/>
              <w:jc w:val="center"/>
              <w:rPr>
                <w:rFonts w:eastAsia="Times New Roman"/>
                <w:b/>
                <w:bCs/>
                <w:sz w:val="24"/>
                <w:szCs w:val="24"/>
                <w:lang w:eastAsia="lv-LV"/>
              </w:rPr>
            </w:pPr>
            <w:r w:rsidRPr="00837172">
              <w:rPr>
                <w:rFonts w:eastAsia="Times New Roman"/>
                <w:b/>
                <w:bCs/>
                <w:sz w:val="24"/>
                <w:szCs w:val="24"/>
                <w:lang w:eastAsia="lv-LV"/>
              </w:rPr>
              <w:t>II. Tiesību akta projekta ietekme uz sabiedrību</w:t>
            </w:r>
          </w:p>
        </w:tc>
      </w:tr>
      <w:tr w:rsidR="008F2676" w:rsidRPr="00837172" w:rsidTr="008F2676">
        <w:tc>
          <w:tcPr>
            <w:tcW w:w="5000" w:type="pct"/>
            <w:tcBorders>
              <w:top w:val="outset" w:sz="6" w:space="0" w:color="000000"/>
              <w:left w:val="outset" w:sz="6" w:space="0" w:color="000000"/>
              <w:bottom w:val="outset" w:sz="6" w:space="0" w:color="000000"/>
              <w:right w:val="outset" w:sz="6" w:space="0" w:color="000000"/>
            </w:tcBorders>
          </w:tcPr>
          <w:p w:rsidR="008F2676" w:rsidRPr="008F2676" w:rsidRDefault="008F2676" w:rsidP="008F2676">
            <w:pPr>
              <w:jc w:val="center"/>
              <w:rPr>
                <w:sz w:val="24"/>
                <w:szCs w:val="24"/>
                <w:u w:val="single"/>
              </w:rPr>
            </w:pPr>
            <w:r w:rsidRPr="008F2676">
              <w:rPr>
                <w:rFonts w:eastAsia="Times New Roman"/>
                <w:i/>
                <w:sz w:val="24"/>
                <w:szCs w:val="24"/>
                <w:u w:val="single"/>
                <w:lang w:eastAsia="lv-LV"/>
              </w:rPr>
              <w:t>Projekts šo jomu neskar.</w:t>
            </w:r>
          </w:p>
        </w:tc>
      </w:tr>
    </w:tbl>
    <w:p w:rsidR="000B5095" w:rsidRDefault="000B5095" w:rsidP="000B5095">
      <w:pPr>
        <w:rPr>
          <w:sz w:val="24"/>
          <w:szCs w:val="24"/>
        </w:rPr>
      </w:pPr>
    </w:p>
    <w:p w:rsidR="00DD683D" w:rsidRPr="00837172" w:rsidRDefault="00DD683D" w:rsidP="000B5095">
      <w:pPr>
        <w:rPr>
          <w:sz w:val="24"/>
          <w:szCs w:val="24"/>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46"/>
      </w:tblGrid>
      <w:tr w:rsidR="000B5095" w:rsidRPr="00837172" w:rsidTr="008700F3">
        <w:trPr>
          <w:tblCellSpacing w:w="0" w:type="dxa"/>
        </w:trPr>
        <w:tc>
          <w:tcPr>
            <w:tcW w:w="8946" w:type="dxa"/>
            <w:tcBorders>
              <w:top w:val="outset" w:sz="6" w:space="0" w:color="auto"/>
              <w:left w:val="outset" w:sz="6" w:space="0" w:color="auto"/>
              <w:bottom w:val="outset" w:sz="6" w:space="0" w:color="auto"/>
              <w:right w:val="outset" w:sz="6" w:space="0" w:color="auto"/>
            </w:tcBorders>
          </w:tcPr>
          <w:p w:rsidR="000B5095" w:rsidRPr="00837172" w:rsidRDefault="000B5095">
            <w:pPr>
              <w:spacing w:before="75" w:after="75"/>
              <w:jc w:val="center"/>
              <w:rPr>
                <w:b/>
                <w:bCs/>
                <w:sz w:val="24"/>
                <w:szCs w:val="24"/>
              </w:rPr>
            </w:pPr>
            <w:r w:rsidRPr="00837172">
              <w:rPr>
                <w:b/>
                <w:bCs/>
                <w:sz w:val="24"/>
                <w:szCs w:val="24"/>
              </w:rPr>
              <w:t> III. Tiesību akta projekta ietekme uz valsts budžetu un pašvaldību budžetiem</w:t>
            </w:r>
          </w:p>
        </w:tc>
      </w:tr>
      <w:tr w:rsidR="000B5095" w:rsidRPr="00837172" w:rsidTr="008700F3">
        <w:trPr>
          <w:tblCellSpacing w:w="0" w:type="dxa"/>
        </w:trPr>
        <w:tc>
          <w:tcPr>
            <w:tcW w:w="8946" w:type="dxa"/>
            <w:tcBorders>
              <w:top w:val="outset" w:sz="6" w:space="0" w:color="auto"/>
              <w:left w:val="outset" w:sz="6" w:space="0" w:color="auto"/>
              <w:bottom w:val="outset" w:sz="6" w:space="0" w:color="auto"/>
              <w:right w:val="outset" w:sz="6" w:space="0" w:color="auto"/>
            </w:tcBorders>
            <w:vAlign w:val="center"/>
          </w:tcPr>
          <w:p w:rsidR="000B5095" w:rsidRPr="00837172" w:rsidRDefault="000B5095">
            <w:pPr>
              <w:spacing w:before="75" w:after="75"/>
              <w:jc w:val="center"/>
              <w:rPr>
                <w:i/>
                <w:sz w:val="24"/>
                <w:szCs w:val="24"/>
              </w:rPr>
            </w:pPr>
            <w:r w:rsidRPr="00837172">
              <w:rPr>
                <w:sz w:val="24"/>
                <w:szCs w:val="24"/>
              </w:rPr>
              <w:t> </w:t>
            </w:r>
            <w:r w:rsidR="003022B3" w:rsidRPr="00837172">
              <w:rPr>
                <w:rFonts w:eastAsia="Times New Roman"/>
                <w:i/>
                <w:sz w:val="24"/>
                <w:szCs w:val="24"/>
                <w:lang w:eastAsia="lv-LV"/>
              </w:rPr>
              <w:t>Projekts šo jomu neskar.</w:t>
            </w:r>
          </w:p>
        </w:tc>
      </w:tr>
    </w:tbl>
    <w:p w:rsidR="00B84A7C" w:rsidRDefault="00B84A7C" w:rsidP="000B5095">
      <w:pPr>
        <w:rPr>
          <w:sz w:val="24"/>
          <w:szCs w:val="24"/>
        </w:rPr>
      </w:pPr>
    </w:p>
    <w:p w:rsidR="00DD683D" w:rsidRPr="00837172" w:rsidRDefault="00DD683D" w:rsidP="000B5095">
      <w:pPr>
        <w:rPr>
          <w:sz w:val="24"/>
          <w:szCs w:val="24"/>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2"/>
        <w:gridCol w:w="2835"/>
        <w:gridCol w:w="5529"/>
      </w:tblGrid>
      <w:tr w:rsidR="00212495" w:rsidRPr="00837172" w:rsidTr="008700F3">
        <w:trPr>
          <w:tblCellSpacing w:w="0" w:type="dxa"/>
        </w:trPr>
        <w:tc>
          <w:tcPr>
            <w:tcW w:w="8946" w:type="dxa"/>
            <w:gridSpan w:val="3"/>
            <w:tcBorders>
              <w:top w:val="outset" w:sz="6" w:space="0" w:color="auto"/>
              <w:left w:val="outset" w:sz="6" w:space="0" w:color="auto"/>
              <w:bottom w:val="outset" w:sz="6" w:space="0" w:color="auto"/>
              <w:right w:val="outset" w:sz="6" w:space="0" w:color="auto"/>
            </w:tcBorders>
          </w:tcPr>
          <w:p w:rsidR="00212495" w:rsidRPr="00837172" w:rsidRDefault="00212495" w:rsidP="00212495">
            <w:pPr>
              <w:spacing w:before="150" w:after="150"/>
              <w:jc w:val="center"/>
              <w:rPr>
                <w:b/>
                <w:bCs/>
                <w:sz w:val="24"/>
                <w:szCs w:val="24"/>
                <w:lang w:bidi="lo"/>
              </w:rPr>
            </w:pPr>
            <w:r w:rsidRPr="00837172">
              <w:rPr>
                <w:b/>
                <w:bCs/>
                <w:sz w:val="24"/>
                <w:szCs w:val="24"/>
                <w:lang w:bidi="lo"/>
              </w:rPr>
              <w:t> IV. Tiesību akta projekta ietekme uz spēkā esošo tiesību normu sistēmu</w:t>
            </w:r>
          </w:p>
        </w:tc>
      </w:tr>
      <w:tr w:rsidR="00212495" w:rsidRPr="00837172" w:rsidTr="008700F3">
        <w:trPr>
          <w:tblCellSpacing w:w="0" w:type="dxa"/>
        </w:trPr>
        <w:tc>
          <w:tcPr>
            <w:tcW w:w="582" w:type="dxa"/>
            <w:tcBorders>
              <w:top w:val="outset" w:sz="6" w:space="0" w:color="auto"/>
              <w:left w:val="outset" w:sz="6" w:space="0" w:color="auto"/>
              <w:bottom w:val="outset" w:sz="6" w:space="0" w:color="auto"/>
              <w:right w:val="outset" w:sz="6" w:space="0" w:color="auto"/>
            </w:tcBorders>
          </w:tcPr>
          <w:p w:rsidR="00212495" w:rsidRPr="00837172" w:rsidRDefault="00212495" w:rsidP="00212495">
            <w:pPr>
              <w:spacing w:before="75" w:after="75"/>
              <w:rPr>
                <w:sz w:val="24"/>
                <w:szCs w:val="24"/>
                <w:lang w:bidi="lo"/>
              </w:rPr>
            </w:pPr>
            <w:r w:rsidRPr="00837172">
              <w:rPr>
                <w:sz w:val="24"/>
                <w:szCs w:val="24"/>
                <w:lang w:bidi="lo"/>
              </w:rPr>
              <w:t> 1.</w:t>
            </w:r>
          </w:p>
        </w:tc>
        <w:tc>
          <w:tcPr>
            <w:tcW w:w="2835" w:type="dxa"/>
            <w:tcBorders>
              <w:top w:val="outset" w:sz="6" w:space="0" w:color="auto"/>
              <w:left w:val="outset" w:sz="6" w:space="0" w:color="auto"/>
              <w:bottom w:val="outset" w:sz="6" w:space="0" w:color="auto"/>
              <w:right w:val="outset" w:sz="6" w:space="0" w:color="auto"/>
            </w:tcBorders>
          </w:tcPr>
          <w:p w:rsidR="00212495" w:rsidRPr="00837172" w:rsidRDefault="00212495" w:rsidP="00212495">
            <w:pPr>
              <w:spacing w:before="75" w:after="75"/>
              <w:rPr>
                <w:sz w:val="24"/>
                <w:szCs w:val="24"/>
                <w:lang w:bidi="lo"/>
              </w:rPr>
            </w:pPr>
            <w:r w:rsidRPr="00837172">
              <w:rPr>
                <w:sz w:val="24"/>
                <w:szCs w:val="24"/>
                <w:lang w:bidi="lo"/>
              </w:rPr>
              <w:t> Nepieciešamie saistītie tiesību aktu projekti</w:t>
            </w:r>
          </w:p>
        </w:tc>
        <w:tc>
          <w:tcPr>
            <w:tcW w:w="5529" w:type="dxa"/>
            <w:tcBorders>
              <w:top w:val="outset" w:sz="6" w:space="0" w:color="auto"/>
              <w:left w:val="outset" w:sz="6" w:space="0" w:color="auto"/>
              <w:bottom w:val="outset" w:sz="6" w:space="0" w:color="auto"/>
              <w:right w:val="outset" w:sz="6" w:space="0" w:color="auto"/>
            </w:tcBorders>
          </w:tcPr>
          <w:p w:rsidR="006B6CAF" w:rsidRPr="00E5291C" w:rsidRDefault="00090FD5" w:rsidP="006B4235">
            <w:pPr>
              <w:jc w:val="both"/>
              <w:rPr>
                <w:sz w:val="24"/>
                <w:szCs w:val="24"/>
                <w:lang w:bidi="lo"/>
              </w:rPr>
            </w:pPr>
            <w:r w:rsidRPr="00E5291C">
              <w:rPr>
                <w:sz w:val="24"/>
                <w:szCs w:val="24"/>
                <w:lang w:bidi="lo"/>
              </w:rPr>
              <w:t>Ir nepieciešami grozījumi</w:t>
            </w:r>
            <w:r w:rsidR="006B6CAF" w:rsidRPr="00E5291C">
              <w:rPr>
                <w:sz w:val="24"/>
                <w:szCs w:val="24"/>
                <w:lang w:bidi="lo"/>
              </w:rPr>
              <w:t>:</w:t>
            </w:r>
          </w:p>
          <w:p w:rsidR="00212495" w:rsidRPr="00E5291C" w:rsidRDefault="006B6CAF" w:rsidP="006B4235">
            <w:pPr>
              <w:jc w:val="both"/>
              <w:rPr>
                <w:sz w:val="24"/>
                <w:szCs w:val="24"/>
                <w:lang w:bidi="lo"/>
              </w:rPr>
            </w:pPr>
            <w:r w:rsidRPr="00E5291C">
              <w:rPr>
                <w:sz w:val="24"/>
                <w:szCs w:val="24"/>
                <w:lang w:bidi="lo"/>
              </w:rPr>
              <w:t>1)</w:t>
            </w:r>
            <w:r w:rsidR="00090FD5" w:rsidRPr="00E5291C">
              <w:rPr>
                <w:sz w:val="24"/>
                <w:szCs w:val="24"/>
                <w:lang w:bidi="lo"/>
              </w:rPr>
              <w:t xml:space="preserve"> Ministru kabineta 2003.gada 29.aprīļa noteikumos Nr.242 „Satiksmes ministrijas nolikums”, svītrojot </w:t>
            </w:r>
            <w:r w:rsidR="00090FD5" w:rsidRPr="00E5291C">
              <w:rPr>
                <w:sz w:val="24"/>
                <w:szCs w:val="24"/>
                <w:lang w:bidi="lo"/>
              </w:rPr>
              <w:lastRenderedPageBreak/>
              <w:t xml:space="preserve">5.23.apakšpunktu, kas nosaka Satiksmes ministrijas </w:t>
            </w:r>
            <w:r w:rsidR="008F2676" w:rsidRPr="00E5291C">
              <w:rPr>
                <w:sz w:val="24"/>
                <w:szCs w:val="24"/>
                <w:lang w:bidi="lo"/>
              </w:rPr>
              <w:t xml:space="preserve">esošo </w:t>
            </w:r>
            <w:r w:rsidR="00090FD5" w:rsidRPr="00E5291C">
              <w:rPr>
                <w:sz w:val="24"/>
                <w:szCs w:val="24"/>
                <w:lang w:bidi="lo"/>
              </w:rPr>
              <w:t>uzdevumu nodrošināt Padome</w:t>
            </w:r>
            <w:r w:rsidR="006C5BDE" w:rsidRPr="00E5291C">
              <w:rPr>
                <w:sz w:val="24"/>
                <w:szCs w:val="24"/>
                <w:lang w:bidi="lo"/>
              </w:rPr>
              <w:t>s</w:t>
            </w:r>
            <w:r w:rsidRPr="00E5291C">
              <w:rPr>
                <w:sz w:val="24"/>
                <w:szCs w:val="24"/>
                <w:lang w:bidi="lo"/>
              </w:rPr>
              <w:t xml:space="preserve"> darbu (</w:t>
            </w:r>
            <w:r w:rsidR="008F2676" w:rsidRPr="00E5291C">
              <w:rPr>
                <w:sz w:val="24"/>
                <w:szCs w:val="24"/>
                <w:lang w:bidi="lo"/>
              </w:rPr>
              <w:t xml:space="preserve">izstrādi </w:t>
            </w:r>
            <w:r w:rsidRPr="00E5291C">
              <w:rPr>
                <w:sz w:val="24"/>
                <w:szCs w:val="24"/>
                <w:lang w:bidi="lo"/>
              </w:rPr>
              <w:t>nodrošinās Satiksmes ministrija)</w:t>
            </w:r>
            <w:r w:rsidR="008F2676" w:rsidRPr="00E5291C">
              <w:rPr>
                <w:sz w:val="24"/>
                <w:szCs w:val="24"/>
                <w:lang w:bidi="lo"/>
              </w:rPr>
              <w:t>;</w:t>
            </w:r>
          </w:p>
          <w:p w:rsidR="008F2676" w:rsidRPr="00E5291C" w:rsidRDefault="006B6CAF" w:rsidP="006B4235">
            <w:pPr>
              <w:jc w:val="both"/>
              <w:rPr>
                <w:sz w:val="24"/>
                <w:szCs w:val="24"/>
                <w:lang w:bidi="lo"/>
              </w:rPr>
            </w:pPr>
            <w:r w:rsidRPr="00E5291C">
              <w:rPr>
                <w:sz w:val="24"/>
                <w:szCs w:val="24"/>
                <w:lang w:bidi="lo"/>
              </w:rPr>
              <w:t xml:space="preserve">2) Ministru kabineta 2011.gada 6.decembra noteikumu Nr.945 „Par Latvijas Republikas valdības un Ziemeļatlantijas līguma organizācijas saprašanās memorandu par sadarbību informācijas tehnoloģiju aizsardzībā” 2. un 4.punktā, ņemot vērā atbildības pārdali starp Aizsardzības ministriju </w:t>
            </w:r>
            <w:r w:rsidR="008F2676" w:rsidRPr="00E5291C">
              <w:rPr>
                <w:sz w:val="24"/>
                <w:szCs w:val="24"/>
                <w:lang w:bidi="lo"/>
              </w:rPr>
              <w:t>un Satiksmes ministriju (izstrādi</w:t>
            </w:r>
            <w:r w:rsidRPr="00E5291C">
              <w:rPr>
                <w:sz w:val="24"/>
                <w:szCs w:val="24"/>
                <w:lang w:bidi="lo"/>
              </w:rPr>
              <w:t xml:space="preserve"> nodrošinās Aizsardzības ministrija)</w:t>
            </w:r>
            <w:r w:rsidR="008F2676" w:rsidRPr="00E5291C">
              <w:rPr>
                <w:sz w:val="24"/>
                <w:szCs w:val="24"/>
                <w:lang w:bidi="lo"/>
              </w:rPr>
              <w:t>.</w:t>
            </w:r>
          </w:p>
          <w:p w:rsidR="006B6CAF" w:rsidRPr="00E5291C" w:rsidRDefault="008F2676" w:rsidP="006B4235">
            <w:pPr>
              <w:jc w:val="both"/>
              <w:rPr>
                <w:sz w:val="24"/>
                <w:szCs w:val="24"/>
                <w:lang w:bidi="lo"/>
              </w:rPr>
            </w:pPr>
            <w:r w:rsidRPr="00E5291C">
              <w:rPr>
                <w:sz w:val="24"/>
                <w:szCs w:val="24"/>
                <w:lang w:bidi="lo"/>
              </w:rPr>
              <w:t>Minētie projekti tiks iesniegti izskatīšanai Ministru kabineta pēc šī likumprojekta spēkā stāšanās.</w:t>
            </w:r>
            <w:r w:rsidR="006B6CAF" w:rsidRPr="00E5291C">
              <w:rPr>
                <w:sz w:val="24"/>
                <w:szCs w:val="24"/>
                <w:lang w:bidi="lo"/>
              </w:rPr>
              <w:t xml:space="preserve"> </w:t>
            </w:r>
          </w:p>
        </w:tc>
      </w:tr>
      <w:tr w:rsidR="00212495" w:rsidRPr="00837172" w:rsidTr="008700F3">
        <w:trPr>
          <w:tblCellSpacing w:w="0" w:type="dxa"/>
        </w:trPr>
        <w:tc>
          <w:tcPr>
            <w:tcW w:w="582" w:type="dxa"/>
            <w:tcBorders>
              <w:top w:val="outset" w:sz="6" w:space="0" w:color="auto"/>
              <w:left w:val="outset" w:sz="6" w:space="0" w:color="auto"/>
              <w:bottom w:val="outset" w:sz="6" w:space="0" w:color="auto"/>
              <w:right w:val="outset" w:sz="6" w:space="0" w:color="auto"/>
            </w:tcBorders>
          </w:tcPr>
          <w:p w:rsidR="00212495" w:rsidRPr="00837172" w:rsidRDefault="00212495" w:rsidP="00212495">
            <w:pPr>
              <w:spacing w:before="75" w:after="75"/>
              <w:rPr>
                <w:sz w:val="24"/>
                <w:szCs w:val="24"/>
                <w:lang w:bidi="lo"/>
              </w:rPr>
            </w:pPr>
            <w:r w:rsidRPr="00837172">
              <w:rPr>
                <w:sz w:val="24"/>
                <w:szCs w:val="24"/>
                <w:lang w:bidi="lo"/>
              </w:rPr>
              <w:lastRenderedPageBreak/>
              <w:t> 2.</w:t>
            </w:r>
          </w:p>
        </w:tc>
        <w:tc>
          <w:tcPr>
            <w:tcW w:w="2835" w:type="dxa"/>
            <w:tcBorders>
              <w:top w:val="outset" w:sz="6" w:space="0" w:color="auto"/>
              <w:left w:val="outset" w:sz="6" w:space="0" w:color="auto"/>
              <w:bottom w:val="outset" w:sz="6" w:space="0" w:color="auto"/>
              <w:right w:val="outset" w:sz="6" w:space="0" w:color="auto"/>
            </w:tcBorders>
          </w:tcPr>
          <w:p w:rsidR="00212495" w:rsidRPr="00837172" w:rsidRDefault="00212495" w:rsidP="00212495">
            <w:pPr>
              <w:spacing w:before="75" w:after="75"/>
              <w:rPr>
                <w:sz w:val="24"/>
                <w:szCs w:val="24"/>
                <w:lang w:bidi="lo"/>
              </w:rPr>
            </w:pPr>
            <w:r w:rsidRPr="00837172">
              <w:rPr>
                <w:sz w:val="24"/>
                <w:szCs w:val="24"/>
                <w:lang w:bidi="lo"/>
              </w:rPr>
              <w:t> Cita informācija</w:t>
            </w:r>
          </w:p>
        </w:tc>
        <w:tc>
          <w:tcPr>
            <w:tcW w:w="5529" w:type="dxa"/>
            <w:tcBorders>
              <w:top w:val="outset" w:sz="6" w:space="0" w:color="auto"/>
              <w:left w:val="outset" w:sz="6" w:space="0" w:color="auto"/>
              <w:bottom w:val="outset" w:sz="6" w:space="0" w:color="auto"/>
              <w:right w:val="outset" w:sz="6" w:space="0" w:color="auto"/>
            </w:tcBorders>
          </w:tcPr>
          <w:p w:rsidR="00212495" w:rsidRPr="00E5291C" w:rsidRDefault="006B6CAF" w:rsidP="00E5291C">
            <w:pPr>
              <w:spacing w:before="75" w:after="75"/>
              <w:rPr>
                <w:sz w:val="24"/>
                <w:szCs w:val="24"/>
                <w:lang w:bidi="lo"/>
              </w:rPr>
            </w:pPr>
            <w:r w:rsidRPr="00E5291C">
              <w:rPr>
                <w:sz w:val="24"/>
                <w:szCs w:val="24"/>
                <w:lang w:bidi="lo"/>
              </w:rPr>
              <w:t>Grozījumi Ministru kabineta 2003.gada 29.aprīla noteikumos Nr.236 „Aizsardzības ministrijas nolikums”, kas nosaka Aizsardzības ministrijas funkcijas informācijas tehnoloģiju drošības jomā</w:t>
            </w:r>
            <w:r w:rsidR="00E5291C">
              <w:rPr>
                <w:sz w:val="24"/>
                <w:szCs w:val="24"/>
                <w:lang w:bidi="lo"/>
              </w:rPr>
              <w:t>,</w:t>
            </w:r>
            <w:r w:rsidRPr="00E5291C">
              <w:rPr>
                <w:sz w:val="24"/>
                <w:szCs w:val="24"/>
                <w:lang w:bidi="lo"/>
              </w:rPr>
              <w:t xml:space="preserve"> ir </w:t>
            </w:r>
            <w:r w:rsidR="00E5291C">
              <w:rPr>
                <w:sz w:val="24"/>
                <w:szCs w:val="24"/>
                <w:lang w:bidi="lo"/>
              </w:rPr>
              <w:t xml:space="preserve">stājušies spēkā (sk. MK 2013.gada 9.jūlija noteikumi Nr.377) </w:t>
            </w:r>
          </w:p>
        </w:tc>
      </w:tr>
    </w:tbl>
    <w:p w:rsidR="000B5095" w:rsidRDefault="000B5095" w:rsidP="000B5095">
      <w:pPr>
        <w:rPr>
          <w:sz w:val="24"/>
          <w:szCs w:val="24"/>
        </w:rPr>
      </w:pPr>
    </w:p>
    <w:p w:rsidR="00DD683D" w:rsidRPr="00837172" w:rsidRDefault="00DD683D" w:rsidP="000B5095">
      <w:pPr>
        <w:rPr>
          <w:sz w:val="24"/>
          <w:szCs w:val="24"/>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46"/>
      </w:tblGrid>
      <w:tr w:rsidR="000B5095" w:rsidRPr="00837172" w:rsidTr="008700F3">
        <w:trPr>
          <w:tblCellSpacing w:w="0" w:type="dxa"/>
        </w:trPr>
        <w:tc>
          <w:tcPr>
            <w:tcW w:w="8946" w:type="dxa"/>
            <w:tcBorders>
              <w:top w:val="outset" w:sz="6" w:space="0" w:color="auto"/>
              <w:left w:val="outset" w:sz="6" w:space="0" w:color="auto"/>
              <w:bottom w:val="outset" w:sz="6" w:space="0" w:color="auto"/>
              <w:right w:val="outset" w:sz="6" w:space="0" w:color="auto"/>
            </w:tcBorders>
          </w:tcPr>
          <w:p w:rsidR="000B5095" w:rsidRPr="00837172" w:rsidRDefault="000B5095">
            <w:pPr>
              <w:spacing w:before="75" w:after="75"/>
              <w:jc w:val="center"/>
              <w:rPr>
                <w:b/>
                <w:bCs/>
                <w:sz w:val="24"/>
                <w:szCs w:val="24"/>
              </w:rPr>
            </w:pPr>
            <w:r w:rsidRPr="00837172">
              <w:rPr>
                <w:b/>
                <w:bCs/>
                <w:sz w:val="24"/>
                <w:szCs w:val="24"/>
              </w:rPr>
              <w:t> V. Tiesību akta projekta atbilstība Latvijas Republikas starptautiskajām saistībām</w:t>
            </w:r>
          </w:p>
        </w:tc>
      </w:tr>
      <w:tr w:rsidR="000B5095" w:rsidRPr="00837172" w:rsidTr="008700F3">
        <w:trPr>
          <w:tblCellSpacing w:w="0" w:type="dxa"/>
        </w:trPr>
        <w:tc>
          <w:tcPr>
            <w:tcW w:w="8946" w:type="dxa"/>
            <w:tcBorders>
              <w:top w:val="outset" w:sz="6" w:space="0" w:color="auto"/>
              <w:left w:val="outset" w:sz="6" w:space="0" w:color="auto"/>
              <w:bottom w:val="outset" w:sz="6" w:space="0" w:color="auto"/>
              <w:right w:val="outset" w:sz="6" w:space="0" w:color="auto"/>
            </w:tcBorders>
            <w:vAlign w:val="center"/>
          </w:tcPr>
          <w:p w:rsidR="000B5095" w:rsidRPr="00837172" w:rsidRDefault="000B5095">
            <w:pPr>
              <w:spacing w:before="75" w:after="75"/>
              <w:jc w:val="center"/>
              <w:rPr>
                <w:i/>
                <w:sz w:val="24"/>
                <w:szCs w:val="24"/>
              </w:rPr>
            </w:pPr>
            <w:r w:rsidRPr="00837172">
              <w:rPr>
                <w:sz w:val="24"/>
                <w:szCs w:val="24"/>
              </w:rPr>
              <w:t> </w:t>
            </w:r>
            <w:r w:rsidR="003022B3" w:rsidRPr="00837172">
              <w:rPr>
                <w:rFonts w:eastAsia="Times New Roman"/>
                <w:i/>
                <w:sz w:val="24"/>
                <w:szCs w:val="24"/>
                <w:lang w:eastAsia="lv-LV"/>
              </w:rPr>
              <w:t>Projekts šo jomu neskar.</w:t>
            </w:r>
          </w:p>
        </w:tc>
      </w:tr>
    </w:tbl>
    <w:p w:rsidR="000B5095" w:rsidRDefault="000B5095" w:rsidP="000B5095">
      <w:pPr>
        <w:rPr>
          <w:sz w:val="24"/>
          <w:szCs w:val="24"/>
        </w:rPr>
      </w:pPr>
    </w:p>
    <w:p w:rsidR="00DD683D" w:rsidRPr="00837172" w:rsidRDefault="00DD683D" w:rsidP="000B5095">
      <w:pPr>
        <w:rPr>
          <w:sz w:val="24"/>
          <w:szCs w:val="24"/>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46"/>
      </w:tblGrid>
      <w:tr w:rsidR="000B5095" w:rsidRPr="00837172" w:rsidTr="008700F3">
        <w:trPr>
          <w:tblCellSpacing w:w="0" w:type="dxa"/>
        </w:trPr>
        <w:tc>
          <w:tcPr>
            <w:tcW w:w="8946" w:type="dxa"/>
            <w:tcBorders>
              <w:top w:val="outset" w:sz="6" w:space="0" w:color="auto"/>
              <w:left w:val="outset" w:sz="6" w:space="0" w:color="auto"/>
              <w:bottom w:val="outset" w:sz="6" w:space="0" w:color="auto"/>
              <w:right w:val="outset" w:sz="6" w:space="0" w:color="auto"/>
            </w:tcBorders>
          </w:tcPr>
          <w:p w:rsidR="000B5095" w:rsidRPr="00837172" w:rsidRDefault="000B5095">
            <w:pPr>
              <w:spacing w:before="75" w:after="75"/>
              <w:jc w:val="center"/>
              <w:rPr>
                <w:b/>
                <w:bCs/>
                <w:sz w:val="24"/>
                <w:szCs w:val="24"/>
              </w:rPr>
            </w:pPr>
            <w:r w:rsidRPr="00837172">
              <w:rPr>
                <w:b/>
                <w:bCs/>
                <w:sz w:val="24"/>
                <w:szCs w:val="24"/>
              </w:rPr>
              <w:t> VI. Sabiedrības līdzdalība un šīs līdzdalības rezultāti</w:t>
            </w:r>
          </w:p>
        </w:tc>
      </w:tr>
      <w:tr w:rsidR="000B5095" w:rsidRPr="00837172" w:rsidTr="008700F3">
        <w:trPr>
          <w:tblCellSpacing w:w="0" w:type="dxa"/>
        </w:trPr>
        <w:tc>
          <w:tcPr>
            <w:tcW w:w="8946" w:type="dxa"/>
            <w:tcBorders>
              <w:top w:val="outset" w:sz="6" w:space="0" w:color="auto"/>
              <w:left w:val="outset" w:sz="6" w:space="0" w:color="auto"/>
              <w:bottom w:val="outset" w:sz="6" w:space="0" w:color="auto"/>
              <w:right w:val="outset" w:sz="6" w:space="0" w:color="auto"/>
            </w:tcBorders>
            <w:vAlign w:val="center"/>
          </w:tcPr>
          <w:p w:rsidR="000B5095" w:rsidRPr="00837172" w:rsidRDefault="003022B3">
            <w:pPr>
              <w:spacing w:before="75" w:after="75"/>
              <w:jc w:val="center"/>
              <w:rPr>
                <w:i/>
                <w:sz w:val="24"/>
                <w:szCs w:val="24"/>
              </w:rPr>
            </w:pPr>
            <w:r w:rsidRPr="00837172">
              <w:rPr>
                <w:rFonts w:eastAsia="Times New Roman"/>
                <w:i/>
                <w:sz w:val="24"/>
                <w:szCs w:val="24"/>
                <w:lang w:eastAsia="lv-LV"/>
              </w:rPr>
              <w:t>Projekts šo jomu neskar.</w:t>
            </w:r>
          </w:p>
        </w:tc>
      </w:tr>
    </w:tbl>
    <w:p w:rsidR="000B5095" w:rsidRPr="00837172" w:rsidRDefault="000B5095" w:rsidP="000B5095">
      <w:pPr>
        <w:rPr>
          <w:rFonts w:eastAsia="Times New Roman"/>
          <w:b/>
          <w:sz w:val="24"/>
          <w:szCs w:val="24"/>
          <w:lang w:eastAsia="lv-LV"/>
        </w:rPr>
      </w:pPr>
    </w:p>
    <w:tbl>
      <w:tblPr>
        <w:tblW w:w="535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0"/>
        <w:gridCol w:w="2999"/>
        <w:gridCol w:w="5693"/>
      </w:tblGrid>
      <w:tr w:rsidR="00D85624" w:rsidRPr="00837172" w:rsidTr="008700F3">
        <w:tc>
          <w:tcPr>
            <w:tcW w:w="5000" w:type="pct"/>
            <w:gridSpan w:val="3"/>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jc w:val="center"/>
              <w:rPr>
                <w:rFonts w:eastAsia="Times New Roman"/>
                <w:b/>
                <w:bCs/>
                <w:sz w:val="24"/>
                <w:szCs w:val="24"/>
                <w:lang w:eastAsia="lv-LV"/>
              </w:rPr>
            </w:pPr>
            <w:r w:rsidRPr="00837172">
              <w:rPr>
                <w:rFonts w:eastAsia="Times New Roman"/>
                <w:b/>
                <w:bCs/>
                <w:sz w:val="24"/>
                <w:szCs w:val="24"/>
                <w:lang w:eastAsia="lv-LV"/>
              </w:rPr>
              <w:t>VII. Tiesību akta projekta izpildes nodrošināšana un tās ietekme uz institūcijām</w:t>
            </w:r>
          </w:p>
        </w:tc>
      </w:tr>
      <w:tr w:rsidR="00D85624" w:rsidRPr="00837172" w:rsidTr="008700F3">
        <w:tc>
          <w:tcPr>
            <w:tcW w:w="0" w:type="auto"/>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1.</w:t>
            </w:r>
          </w:p>
        </w:tc>
        <w:tc>
          <w:tcPr>
            <w:tcW w:w="1673"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Projekta izpildē iesaistītās institūcijas</w:t>
            </w:r>
          </w:p>
        </w:tc>
        <w:tc>
          <w:tcPr>
            <w:tcW w:w="3176" w:type="pct"/>
            <w:tcBorders>
              <w:top w:val="outset" w:sz="6" w:space="0" w:color="000000"/>
              <w:left w:val="outset" w:sz="6" w:space="0" w:color="000000"/>
              <w:bottom w:val="outset" w:sz="6" w:space="0" w:color="000000"/>
              <w:right w:val="outset" w:sz="6" w:space="0" w:color="000000"/>
            </w:tcBorders>
          </w:tcPr>
          <w:p w:rsidR="00F0280C" w:rsidRPr="00837172" w:rsidRDefault="00190106" w:rsidP="00004664">
            <w:pPr>
              <w:spacing w:before="100" w:beforeAutospacing="1" w:after="100" w:afterAutospacing="1"/>
              <w:jc w:val="both"/>
              <w:rPr>
                <w:rFonts w:eastAsia="Times New Roman"/>
                <w:sz w:val="24"/>
                <w:szCs w:val="24"/>
                <w:lang w:eastAsia="lv-LV"/>
              </w:rPr>
            </w:pPr>
            <w:r w:rsidRPr="00837172">
              <w:rPr>
                <w:rFonts w:eastAsia="Times New Roman"/>
                <w:sz w:val="24"/>
                <w:szCs w:val="24"/>
                <w:lang w:eastAsia="lv-LV"/>
              </w:rPr>
              <w:t xml:space="preserve">Projekta izpildi nodrošinās </w:t>
            </w:r>
            <w:r w:rsidR="00D85624" w:rsidRPr="00837172">
              <w:rPr>
                <w:rFonts w:eastAsia="Times New Roman"/>
                <w:sz w:val="24"/>
                <w:szCs w:val="24"/>
                <w:lang w:eastAsia="lv-LV"/>
              </w:rPr>
              <w:t>Aizsardzības ministrija</w:t>
            </w:r>
            <w:r w:rsidRPr="00837172">
              <w:rPr>
                <w:rFonts w:eastAsia="Times New Roman"/>
                <w:sz w:val="24"/>
                <w:szCs w:val="24"/>
                <w:lang w:eastAsia="lv-LV"/>
              </w:rPr>
              <w:t xml:space="preserve"> normatīvajos aktos noteiktajā kārtībā</w:t>
            </w:r>
            <w:r w:rsidR="008E7BD6" w:rsidRPr="00837172">
              <w:rPr>
                <w:rFonts w:eastAsia="Times New Roman"/>
                <w:sz w:val="24"/>
                <w:szCs w:val="24"/>
                <w:lang w:eastAsia="lv-LV"/>
              </w:rPr>
              <w:t>.</w:t>
            </w:r>
          </w:p>
        </w:tc>
      </w:tr>
      <w:tr w:rsidR="00D85624" w:rsidRPr="00837172" w:rsidTr="008700F3">
        <w:tc>
          <w:tcPr>
            <w:tcW w:w="0" w:type="auto"/>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2.</w:t>
            </w:r>
          </w:p>
        </w:tc>
        <w:tc>
          <w:tcPr>
            <w:tcW w:w="1673"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Projekta izpildes ietekme uz pārvaldes funkcijām</w:t>
            </w:r>
          </w:p>
        </w:tc>
        <w:tc>
          <w:tcPr>
            <w:tcW w:w="3176" w:type="pct"/>
            <w:tcBorders>
              <w:top w:val="outset" w:sz="6" w:space="0" w:color="000000"/>
              <w:left w:val="outset" w:sz="6" w:space="0" w:color="000000"/>
              <w:bottom w:val="outset" w:sz="6" w:space="0" w:color="000000"/>
              <w:right w:val="outset" w:sz="6" w:space="0" w:color="000000"/>
            </w:tcBorders>
          </w:tcPr>
          <w:p w:rsidR="00DD683D" w:rsidRPr="00837172" w:rsidRDefault="00163FC3" w:rsidP="003437B8">
            <w:pPr>
              <w:spacing w:before="100" w:beforeAutospacing="1" w:after="100" w:afterAutospacing="1"/>
              <w:jc w:val="both"/>
              <w:rPr>
                <w:rFonts w:eastAsia="Times New Roman"/>
                <w:sz w:val="24"/>
                <w:szCs w:val="24"/>
                <w:lang w:eastAsia="lv-LV"/>
              </w:rPr>
            </w:pPr>
            <w:r w:rsidRPr="00163FC3">
              <w:rPr>
                <w:rFonts w:eastAsia="Times New Roman"/>
                <w:sz w:val="24"/>
                <w:szCs w:val="24"/>
                <w:lang w:eastAsia="lv-LV"/>
              </w:rPr>
              <w:t xml:space="preserve">Tiek paplašināts Padomes pilnvaru apjoms, piešķirot tai politikas </w:t>
            </w:r>
            <w:r w:rsidR="003437B8" w:rsidRPr="00E5291C">
              <w:rPr>
                <w:rFonts w:eastAsia="Times New Roman"/>
                <w:sz w:val="24"/>
                <w:szCs w:val="24"/>
                <w:lang w:eastAsia="lv-LV"/>
              </w:rPr>
              <w:t xml:space="preserve">koordinēšanas </w:t>
            </w:r>
            <w:r w:rsidRPr="00E5291C">
              <w:rPr>
                <w:rFonts w:eastAsia="Times New Roman"/>
                <w:sz w:val="24"/>
                <w:szCs w:val="24"/>
                <w:lang w:eastAsia="lv-LV"/>
              </w:rPr>
              <w:t>funkciju informācijas tehnoloģiju drošības jomā</w:t>
            </w:r>
            <w:r w:rsidR="003437B8" w:rsidRPr="00E5291C">
              <w:rPr>
                <w:rFonts w:eastAsia="Times New Roman"/>
                <w:sz w:val="24"/>
                <w:szCs w:val="24"/>
                <w:lang w:eastAsia="lv-LV"/>
              </w:rPr>
              <w:t xml:space="preserve"> (patlaban Padome koordinē ar informācijas tehnoloģiju drošību saistīto uzdevumus un pasākumus, nodrošinot to plānošanu un veikšanu).</w:t>
            </w:r>
          </w:p>
        </w:tc>
      </w:tr>
      <w:tr w:rsidR="00D85624" w:rsidRPr="00837172" w:rsidTr="008700F3">
        <w:tc>
          <w:tcPr>
            <w:tcW w:w="0" w:type="auto"/>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3.</w:t>
            </w:r>
          </w:p>
        </w:tc>
        <w:tc>
          <w:tcPr>
            <w:tcW w:w="1673" w:type="pct"/>
            <w:tcBorders>
              <w:top w:val="outset" w:sz="6" w:space="0" w:color="000000"/>
              <w:left w:val="outset" w:sz="6" w:space="0" w:color="000000"/>
              <w:bottom w:val="outset" w:sz="6" w:space="0" w:color="000000"/>
              <w:right w:val="outset" w:sz="6" w:space="0" w:color="000000"/>
            </w:tcBorders>
          </w:tcPr>
          <w:p w:rsidR="00DD683D" w:rsidRDefault="00D85624" w:rsidP="00960D3E">
            <w:pPr>
              <w:spacing w:before="100" w:beforeAutospacing="1" w:after="100" w:afterAutospacing="1"/>
              <w:rPr>
                <w:rFonts w:eastAsia="Times New Roman"/>
                <w:sz w:val="24"/>
                <w:szCs w:val="24"/>
                <w:lang w:eastAsia="lv-LV"/>
              </w:rPr>
            </w:pPr>
            <w:r w:rsidRPr="00837172">
              <w:rPr>
                <w:rFonts w:eastAsia="Times New Roman"/>
                <w:sz w:val="24"/>
                <w:szCs w:val="24"/>
                <w:lang w:eastAsia="lv-LV"/>
              </w:rPr>
              <w:t>Projekta izpildes ietekme uz pārvaldes institucionālo struktūru.</w:t>
            </w:r>
            <w:r w:rsidR="00163FC3">
              <w:rPr>
                <w:rFonts w:eastAsia="Times New Roman"/>
                <w:sz w:val="24"/>
                <w:szCs w:val="24"/>
                <w:lang w:eastAsia="lv-LV"/>
              </w:rPr>
              <w:t xml:space="preserve"> </w:t>
            </w:r>
          </w:p>
          <w:p w:rsidR="00D85624" w:rsidRPr="00837172" w:rsidRDefault="00D85624" w:rsidP="00960D3E">
            <w:pPr>
              <w:spacing w:before="100" w:beforeAutospacing="1" w:after="100" w:afterAutospacing="1"/>
              <w:rPr>
                <w:rFonts w:eastAsia="Times New Roman"/>
                <w:sz w:val="24"/>
                <w:szCs w:val="24"/>
                <w:lang w:eastAsia="lv-LV"/>
              </w:rPr>
            </w:pPr>
            <w:r w:rsidRPr="00837172">
              <w:rPr>
                <w:rFonts w:eastAsia="Times New Roman"/>
                <w:sz w:val="24"/>
                <w:szCs w:val="24"/>
                <w:lang w:eastAsia="lv-LV"/>
              </w:rPr>
              <w:t>Jaunu institūciju izveide</w:t>
            </w:r>
          </w:p>
        </w:tc>
        <w:tc>
          <w:tcPr>
            <w:tcW w:w="3176" w:type="pct"/>
            <w:tcBorders>
              <w:top w:val="outset" w:sz="6" w:space="0" w:color="000000"/>
              <w:left w:val="outset" w:sz="6" w:space="0" w:color="000000"/>
              <w:bottom w:val="outset" w:sz="6" w:space="0" w:color="000000"/>
              <w:right w:val="outset" w:sz="6" w:space="0" w:color="000000"/>
            </w:tcBorders>
          </w:tcPr>
          <w:p w:rsidR="00D85624" w:rsidRPr="00837172" w:rsidRDefault="003022B3" w:rsidP="004063BE">
            <w:pPr>
              <w:spacing w:before="100" w:beforeAutospacing="1" w:after="100" w:afterAutospacing="1"/>
              <w:jc w:val="both"/>
              <w:rPr>
                <w:rFonts w:eastAsia="Times New Roman"/>
                <w:sz w:val="24"/>
                <w:szCs w:val="24"/>
                <w:lang w:eastAsia="lv-LV"/>
              </w:rPr>
            </w:pPr>
            <w:r w:rsidRPr="00837172">
              <w:rPr>
                <w:rFonts w:eastAsia="Times New Roman"/>
                <w:sz w:val="24"/>
                <w:szCs w:val="24"/>
                <w:lang w:eastAsia="lv-LV"/>
              </w:rPr>
              <w:t>Projekts šo jomu neskar.</w:t>
            </w:r>
          </w:p>
        </w:tc>
      </w:tr>
      <w:tr w:rsidR="00D85624" w:rsidRPr="00837172" w:rsidTr="008700F3">
        <w:tc>
          <w:tcPr>
            <w:tcW w:w="0" w:type="auto"/>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4.</w:t>
            </w:r>
          </w:p>
        </w:tc>
        <w:tc>
          <w:tcPr>
            <w:tcW w:w="1673" w:type="pct"/>
            <w:tcBorders>
              <w:top w:val="outset" w:sz="6" w:space="0" w:color="000000"/>
              <w:left w:val="outset" w:sz="6" w:space="0" w:color="000000"/>
              <w:bottom w:val="outset" w:sz="6" w:space="0" w:color="000000"/>
              <w:right w:val="outset" w:sz="6" w:space="0" w:color="000000"/>
            </w:tcBorders>
          </w:tcPr>
          <w:p w:rsidR="00DD683D" w:rsidRDefault="00D85624" w:rsidP="00960D3E">
            <w:pPr>
              <w:spacing w:before="100" w:beforeAutospacing="1" w:after="100" w:afterAutospacing="1"/>
              <w:rPr>
                <w:rFonts w:eastAsia="Times New Roman"/>
                <w:sz w:val="24"/>
                <w:szCs w:val="24"/>
                <w:lang w:eastAsia="lv-LV"/>
              </w:rPr>
            </w:pPr>
            <w:r w:rsidRPr="00837172">
              <w:rPr>
                <w:rFonts w:eastAsia="Times New Roman"/>
                <w:sz w:val="24"/>
                <w:szCs w:val="24"/>
                <w:lang w:eastAsia="lv-LV"/>
              </w:rPr>
              <w:t>Projekta izpildes ietekme uz pārvaldes institucionālo struktūru.</w:t>
            </w:r>
            <w:r w:rsidR="00163FC3">
              <w:rPr>
                <w:rFonts w:eastAsia="Times New Roman"/>
                <w:sz w:val="24"/>
                <w:szCs w:val="24"/>
                <w:lang w:eastAsia="lv-LV"/>
              </w:rPr>
              <w:t xml:space="preserve"> </w:t>
            </w:r>
          </w:p>
          <w:p w:rsidR="00D85624" w:rsidRPr="00837172" w:rsidRDefault="00D85624" w:rsidP="00960D3E">
            <w:pPr>
              <w:spacing w:before="100" w:beforeAutospacing="1" w:after="100" w:afterAutospacing="1"/>
              <w:rPr>
                <w:rFonts w:eastAsia="Times New Roman"/>
                <w:sz w:val="24"/>
                <w:szCs w:val="24"/>
                <w:lang w:eastAsia="lv-LV"/>
              </w:rPr>
            </w:pPr>
            <w:r w:rsidRPr="00837172">
              <w:rPr>
                <w:rFonts w:eastAsia="Times New Roman"/>
                <w:sz w:val="24"/>
                <w:szCs w:val="24"/>
                <w:lang w:eastAsia="lv-LV"/>
              </w:rPr>
              <w:t>Esošu institūciju likvidācija</w:t>
            </w:r>
          </w:p>
        </w:tc>
        <w:tc>
          <w:tcPr>
            <w:tcW w:w="3176" w:type="pct"/>
            <w:tcBorders>
              <w:top w:val="outset" w:sz="6" w:space="0" w:color="000000"/>
              <w:left w:val="outset" w:sz="6" w:space="0" w:color="000000"/>
              <w:bottom w:val="outset" w:sz="6" w:space="0" w:color="000000"/>
              <w:right w:val="outset" w:sz="6" w:space="0" w:color="000000"/>
            </w:tcBorders>
          </w:tcPr>
          <w:p w:rsidR="00D85624" w:rsidRPr="00837172" w:rsidRDefault="003022B3" w:rsidP="004063BE">
            <w:pPr>
              <w:spacing w:before="100" w:beforeAutospacing="1" w:after="100" w:afterAutospacing="1"/>
              <w:jc w:val="both"/>
              <w:rPr>
                <w:rFonts w:eastAsia="Times New Roman"/>
                <w:sz w:val="24"/>
                <w:szCs w:val="24"/>
                <w:lang w:eastAsia="lv-LV"/>
              </w:rPr>
            </w:pPr>
            <w:r w:rsidRPr="00837172">
              <w:rPr>
                <w:rFonts w:eastAsia="Times New Roman"/>
                <w:sz w:val="24"/>
                <w:szCs w:val="24"/>
                <w:lang w:eastAsia="lv-LV"/>
              </w:rPr>
              <w:t>Projekts šo jomu neskar.</w:t>
            </w:r>
          </w:p>
        </w:tc>
      </w:tr>
      <w:tr w:rsidR="00D85624" w:rsidRPr="00837172" w:rsidTr="008700F3">
        <w:tc>
          <w:tcPr>
            <w:tcW w:w="0" w:type="auto"/>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5.</w:t>
            </w:r>
          </w:p>
        </w:tc>
        <w:tc>
          <w:tcPr>
            <w:tcW w:w="1673" w:type="pct"/>
            <w:tcBorders>
              <w:top w:val="outset" w:sz="6" w:space="0" w:color="000000"/>
              <w:left w:val="outset" w:sz="6" w:space="0" w:color="000000"/>
              <w:bottom w:val="outset" w:sz="6" w:space="0" w:color="000000"/>
              <w:right w:val="outset" w:sz="6" w:space="0" w:color="000000"/>
            </w:tcBorders>
          </w:tcPr>
          <w:p w:rsidR="00DD683D" w:rsidRDefault="00D85624" w:rsidP="00960D3E">
            <w:pPr>
              <w:spacing w:before="100" w:beforeAutospacing="1" w:after="100" w:afterAutospacing="1"/>
              <w:rPr>
                <w:rFonts w:eastAsia="Times New Roman"/>
                <w:sz w:val="24"/>
                <w:szCs w:val="24"/>
                <w:lang w:eastAsia="lv-LV"/>
              </w:rPr>
            </w:pPr>
            <w:r w:rsidRPr="00837172">
              <w:rPr>
                <w:rFonts w:eastAsia="Times New Roman"/>
                <w:sz w:val="24"/>
                <w:szCs w:val="24"/>
                <w:lang w:eastAsia="lv-LV"/>
              </w:rPr>
              <w:t xml:space="preserve">Projekta izpildes ietekme uz </w:t>
            </w:r>
            <w:r w:rsidRPr="00837172">
              <w:rPr>
                <w:rFonts w:eastAsia="Times New Roman"/>
                <w:sz w:val="24"/>
                <w:szCs w:val="24"/>
                <w:lang w:eastAsia="lv-LV"/>
              </w:rPr>
              <w:lastRenderedPageBreak/>
              <w:t>pārvaldes institucionālo struktūru.</w:t>
            </w:r>
            <w:r w:rsidR="00163FC3">
              <w:rPr>
                <w:rFonts w:eastAsia="Times New Roman"/>
                <w:sz w:val="24"/>
                <w:szCs w:val="24"/>
                <w:lang w:eastAsia="lv-LV"/>
              </w:rPr>
              <w:t xml:space="preserve"> </w:t>
            </w:r>
          </w:p>
          <w:p w:rsidR="00D85624" w:rsidRPr="00837172" w:rsidRDefault="00D85624" w:rsidP="00960D3E">
            <w:pPr>
              <w:spacing w:before="100" w:beforeAutospacing="1" w:after="100" w:afterAutospacing="1"/>
              <w:rPr>
                <w:rFonts w:eastAsia="Times New Roman"/>
                <w:sz w:val="24"/>
                <w:szCs w:val="24"/>
                <w:lang w:eastAsia="lv-LV"/>
              </w:rPr>
            </w:pPr>
            <w:r w:rsidRPr="00837172">
              <w:rPr>
                <w:rFonts w:eastAsia="Times New Roman"/>
                <w:sz w:val="24"/>
                <w:szCs w:val="24"/>
                <w:lang w:eastAsia="lv-LV"/>
              </w:rPr>
              <w:t>Esošu institūciju reorganizācija</w:t>
            </w:r>
          </w:p>
        </w:tc>
        <w:tc>
          <w:tcPr>
            <w:tcW w:w="3176" w:type="pct"/>
            <w:tcBorders>
              <w:top w:val="outset" w:sz="6" w:space="0" w:color="000000"/>
              <w:left w:val="outset" w:sz="6" w:space="0" w:color="000000"/>
              <w:bottom w:val="outset" w:sz="6" w:space="0" w:color="000000"/>
              <w:right w:val="outset" w:sz="6" w:space="0" w:color="000000"/>
            </w:tcBorders>
          </w:tcPr>
          <w:p w:rsidR="00D85624" w:rsidRPr="00837172" w:rsidRDefault="003022B3" w:rsidP="004063BE">
            <w:pPr>
              <w:spacing w:before="100" w:beforeAutospacing="1" w:after="100" w:afterAutospacing="1"/>
              <w:jc w:val="both"/>
              <w:rPr>
                <w:rFonts w:eastAsia="Times New Roman"/>
                <w:sz w:val="24"/>
                <w:szCs w:val="24"/>
                <w:lang w:eastAsia="lv-LV"/>
              </w:rPr>
            </w:pPr>
            <w:r w:rsidRPr="00837172">
              <w:rPr>
                <w:rFonts w:eastAsia="Times New Roman"/>
                <w:sz w:val="24"/>
                <w:szCs w:val="24"/>
                <w:lang w:eastAsia="lv-LV"/>
              </w:rPr>
              <w:lastRenderedPageBreak/>
              <w:t>Projekts šo jomu neskar.</w:t>
            </w:r>
          </w:p>
        </w:tc>
      </w:tr>
      <w:tr w:rsidR="00D85624" w:rsidRPr="00837172" w:rsidTr="008700F3">
        <w:tc>
          <w:tcPr>
            <w:tcW w:w="0" w:type="auto"/>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lastRenderedPageBreak/>
              <w:t>6.</w:t>
            </w:r>
          </w:p>
        </w:tc>
        <w:tc>
          <w:tcPr>
            <w:tcW w:w="1673"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Cita informācija</w:t>
            </w:r>
          </w:p>
        </w:tc>
        <w:tc>
          <w:tcPr>
            <w:tcW w:w="3176" w:type="pct"/>
            <w:tcBorders>
              <w:top w:val="outset" w:sz="6" w:space="0" w:color="000000"/>
              <w:left w:val="outset" w:sz="6" w:space="0" w:color="000000"/>
              <w:bottom w:val="outset" w:sz="6" w:space="0" w:color="000000"/>
              <w:right w:val="outset" w:sz="6" w:space="0" w:color="000000"/>
            </w:tcBorders>
          </w:tcPr>
          <w:p w:rsidR="00D85624" w:rsidRPr="00837172" w:rsidRDefault="00D85624" w:rsidP="004063BE">
            <w:pPr>
              <w:spacing w:before="100" w:beforeAutospacing="1" w:after="100" w:afterAutospacing="1"/>
              <w:rPr>
                <w:rFonts w:eastAsia="Times New Roman"/>
                <w:sz w:val="24"/>
                <w:szCs w:val="24"/>
                <w:lang w:eastAsia="lv-LV"/>
              </w:rPr>
            </w:pPr>
            <w:r w:rsidRPr="00837172">
              <w:rPr>
                <w:rFonts w:eastAsia="Times New Roman"/>
                <w:sz w:val="24"/>
                <w:szCs w:val="24"/>
                <w:lang w:eastAsia="lv-LV"/>
              </w:rPr>
              <w:t>Nav</w:t>
            </w:r>
            <w:r w:rsidR="00190106" w:rsidRPr="00837172">
              <w:rPr>
                <w:rFonts w:eastAsia="Times New Roman"/>
                <w:sz w:val="24"/>
                <w:szCs w:val="24"/>
                <w:lang w:eastAsia="lv-LV"/>
              </w:rPr>
              <w:t>.</w:t>
            </w:r>
          </w:p>
        </w:tc>
      </w:tr>
    </w:tbl>
    <w:p w:rsidR="008700F3" w:rsidRDefault="008700F3" w:rsidP="009567E7">
      <w:pPr>
        <w:tabs>
          <w:tab w:val="right" w:pos="9074"/>
        </w:tabs>
        <w:rPr>
          <w:sz w:val="24"/>
          <w:szCs w:val="24"/>
        </w:rPr>
      </w:pPr>
    </w:p>
    <w:p w:rsidR="00DD683D" w:rsidRDefault="00DD683D" w:rsidP="009567E7">
      <w:pPr>
        <w:tabs>
          <w:tab w:val="right" w:pos="9074"/>
        </w:tabs>
        <w:rPr>
          <w:sz w:val="24"/>
          <w:szCs w:val="24"/>
        </w:rPr>
      </w:pPr>
    </w:p>
    <w:p w:rsidR="00DD683D" w:rsidRPr="00837172" w:rsidRDefault="00DD683D" w:rsidP="009567E7">
      <w:pPr>
        <w:tabs>
          <w:tab w:val="right" w:pos="9074"/>
        </w:tabs>
        <w:rPr>
          <w:sz w:val="24"/>
          <w:szCs w:val="24"/>
        </w:rPr>
      </w:pPr>
    </w:p>
    <w:p w:rsidR="009567E7" w:rsidRPr="00837172" w:rsidRDefault="008700F3" w:rsidP="009567E7">
      <w:pPr>
        <w:tabs>
          <w:tab w:val="right" w:pos="9074"/>
        </w:tabs>
        <w:rPr>
          <w:sz w:val="24"/>
          <w:szCs w:val="24"/>
        </w:rPr>
      </w:pPr>
      <w:r w:rsidRPr="00837172">
        <w:rPr>
          <w:sz w:val="24"/>
          <w:szCs w:val="24"/>
        </w:rPr>
        <w:t xml:space="preserve">Aizsardzības </w:t>
      </w:r>
      <w:r w:rsidR="00D3563B" w:rsidRPr="00837172">
        <w:rPr>
          <w:sz w:val="24"/>
          <w:szCs w:val="24"/>
        </w:rPr>
        <w:t>ministr</w:t>
      </w:r>
      <w:r w:rsidR="00231E62" w:rsidRPr="00837172">
        <w:rPr>
          <w:sz w:val="24"/>
          <w:szCs w:val="24"/>
        </w:rPr>
        <w:t>s</w:t>
      </w:r>
      <w:r w:rsidR="009567E7" w:rsidRPr="00837172">
        <w:rPr>
          <w:sz w:val="24"/>
          <w:szCs w:val="24"/>
        </w:rPr>
        <w:tab/>
      </w:r>
      <w:proofErr w:type="spellStart"/>
      <w:r w:rsidR="00231E62" w:rsidRPr="00837172">
        <w:rPr>
          <w:sz w:val="24"/>
          <w:szCs w:val="24"/>
        </w:rPr>
        <w:t>A.</w:t>
      </w:r>
      <w:r w:rsidR="00330199" w:rsidRPr="00837172">
        <w:rPr>
          <w:sz w:val="24"/>
          <w:szCs w:val="24"/>
        </w:rPr>
        <w:t>Pabriks</w:t>
      </w:r>
      <w:proofErr w:type="spellEnd"/>
    </w:p>
    <w:p w:rsidR="009567E7" w:rsidRDefault="009567E7" w:rsidP="009567E7">
      <w:pPr>
        <w:tabs>
          <w:tab w:val="right" w:pos="9000"/>
        </w:tabs>
        <w:jc w:val="both"/>
        <w:rPr>
          <w:sz w:val="24"/>
          <w:szCs w:val="24"/>
        </w:rPr>
      </w:pPr>
    </w:p>
    <w:p w:rsidR="00DD683D" w:rsidRDefault="00DD683D" w:rsidP="009567E7">
      <w:pPr>
        <w:tabs>
          <w:tab w:val="right" w:pos="9000"/>
        </w:tabs>
        <w:jc w:val="both"/>
        <w:rPr>
          <w:sz w:val="24"/>
          <w:szCs w:val="24"/>
        </w:rPr>
      </w:pPr>
    </w:p>
    <w:p w:rsidR="00163FC3" w:rsidRDefault="00163FC3" w:rsidP="009567E7">
      <w:pPr>
        <w:tabs>
          <w:tab w:val="right" w:pos="9000"/>
        </w:tabs>
        <w:jc w:val="both"/>
        <w:rPr>
          <w:sz w:val="24"/>
          <w:szCs w:val="24"/>
        </w:rPr>
      </w:pPr>
    </w:p>
    <w:p w:rsidR="009567E7" w:rsidRPr="00837172" w:rsidRDefault="009567E7" w:rsidP="009567E7">
      <w:pPr>
        <w:tabs>
          <w:tab w:val="right" w:pos="9000"/>
        </w:tabs>
        <w:jc w:val="both"/>
        <w:rPr>
          <w:sz w:val="24"/>
          <w:szCs w:val="24"/>
        </w:rPr>
      </w:pPr>
      <w:r w:rsidRPr="00837172">
        <w:rPr>
          <w:sz w:val="24"/>
          <w:szCs w:val="24"/>
        </w:rPr>
        <w:t>Vīza: valsts sekre</w:t>
      </w:r>
      <w:r w:rsidR="00FA6E8E" w:rsidRPr="00837172">
        <w:rPr>
          <w:sz w:val="24"/>
          <w:szCs w:val="24"/>
        </w:rPr>
        <w:t>tār</w:t>
      </w:r>
      <w:r w:rsidR="008700F3" w:rsidRPr="00837172">
        <w:rPr>
          <w:sz w:val="24"/>
          <w:szCs w:val="24"/>
        </w:rPr>
        <w:t>s</w:t>
      </w:r>
      <w:r w:rsidRPr="00837172">
        <w:rPr>
          <w:sz w:val="24"/>
          <w:szCs w:val="24"/>
        </w:rPr>
        <w:tab/>
      </w:r>
      <w:r w:rsidR="008700F3" w:rsidRPr="00837172">
        <w:rPr>
          <w:sz w:val="24"/>
          <w:szCs w:val="24"/>
        </w:rPr>
        <w:t>J.Sārts</w:t>
      </w:r>
    </w:p>
    <w:p w:rsidR="00D96A8A" w:rsidRDefault="00D96A8A" w:rsidP="00D96A8A">
      <w:pPr>
        <w:jc w:val="both"/>
        <w:rPr>
          <w:sz w:val="20"/>
          <w:szCs w:val="20"/>
        </w:rPr>
      </w:pPr>
    </w:p>
    <w:p w:rsidR="00DD683D" w:rsidRDefault="00DD683D" w:rsidP="00D96A8A">
      <w:pPr>
        <w:jc w:val="both"/>
        <w:rPr>
          <w:sz w:val="20"/>
          <w:szCs w:val="20"/>
        </w:rPr>
      </w:pPr>
    </w:p>
    <w:p w:rsidR="00DD683D" w:rsidRDefault="00DD683D" w:rsidP="00D96A8A">
      <w:pPr>
        <w:jc w:val="both"/>
        <w:rPr>
          <w:sz w:val="20"/>
          <w:szCs w:val="20"/>
        </w:rPr>
      </w:pPr>
    </w:p>
    <w:p w:rsidR="00E5291C" w:rsidRDefault="00E5291C" w:rsidP="00D96A8A">
      <w:pPr>
        <w:jc w:val="both"/>
        <w:rPr>
          <w:sz w:val="20"/>
          <w:szCs w:val="20"/>
        </w:rPr>
      </w:pPr>
    </w:p>
    <w:p w:rsidR="00E5291C" w:rsidRDefault="00E5291C" w:rsidP="00D96A8A">
      <w:pPr>
        <w:jc w:val="both"/>
        <w:rPr>
          <w:sz w:val="20"/>
          <w:szCs w:val="20"/>
        </w:rPr>
      </w:pPr>
    </w:p>
    <w:p w:rsidR="00E5291C" w:rsidRDefault="00E5291C" w:rsidP="00D96A8A">
      <w:pPr>
        <w:jc w:val="both"/>
        <w:rPr>
          <w:sz w:val="20"/>
          <w:szCs w:val="20"/>
        </w:rPr>
      </w:pPr>
    </w:p>
    <w:p w:rsidR="00E5291C" w:rsidRDefault="00E5291C" w:rsidP="00D96A8A">
      <w:pPr>
        <w:jc w:val="both"/>
        <w:rPr>
          <w:sz w:val="20"/>
          <w:szCs w:val="20"/>
        </w:rPr>
      </w:pPr>
    </w:p>
    <w:p w:rsidR="00E5291C" w:rsidRDefault="00E5291C" w:rsidP="00D96A8A">
      <w:pPr>
        <w:jc w:val="both"/>
        <w:rPr>
          <w:sz w:val="20"/>
          <w:szCs w:val="20"/>
        </w:rPr>
      </w:pPr>
    </w:p>
    <w:p w:rsidR="00E5291C" w:rsidRDefault="00E5291C" w:rsidP="00D96A8A">
      <w:pPr>
        <w:jc w:val="both"/>
        <w:rPr>
          <w:sz w:val="20"/>
          <w:szCs w:val="20"/>
        </w:rPr>
      </w:pPr>
    </w:p>
    <w:p w:rsidR="00D96A8A" w:rsidRDefault="00696D34" w:rsidP="00D96A8A">
      <w:pPr>
        <w:jc w:val="both"/>
        <w:rPr>
          <w:sz w:val="20"/>
          <w:szCs w:val="20"/>
        </w:rPr>
      </w:pPr>
      <w:r>
        <w:rPr>
          <w:sz w:val="20"/>
          <w:szCs w:val="20"/>
        </w:rPr>
        <w:t>19.07.2013. 13:04</w:t>
      </w:r>
      <w:bookmarkStart w:id="2" w:name="_GoBack"/>
      <w:bookmarkEnd w:id="2"/>
    </w:p>
    <w:p w:rsidR="00163FC3" w:rsidRDefault="00E5291C" w:rsidP="00D96A8A">
      <w:pPr>
        <w:jc w:val="both"/>
        <w:rPr>
          <w:sz w:val="20"/>
          <w:szCs w:val="20"/>
        </w:rPr>
      </w:pPr>
      <w:r>
        <w:rPr>
          <w:sz w:val="20"/>
          <w:szCs w:val="20"/>
        </w:rPr>
        <w:t>760</w:t>
      </w:r>
    </w:p>
    <w:p w:rsidR="00D96A8A" w:rsidRPr="0026433A" w:rsidRDefault="00D96A8A" w:rsidP="00D96A8A">
      <w:pPr>
        <w:jc w:val="both"/>
        <w:rPr>
          <w:sz w:val="20"/>
          <w:szCs w:val="20"/>
        </w:rPr>
      </w:pPr>
      <w:proofErr w:type="spellStart"/>
      <w:r>
        <w:rPr>
          <w:sz w:val="20"/>
          <w:szCs w:val="20"/>
        </w:rPr>
        <w:t>I.</w:t>
      </w:r>
      <w:r w:rsidRPr="0026433A">
        <w:rPr>
          <w:sz w:val="20"/>
          <w:szCs w:val="20"/>
        </w:rPr>
        <w:t>Kupce</w:t>
      </w:r>
      <w:proofErr w:type="spellEnd"/>
    </w:p>
    <w:p w:rsidR="00D96A8A" w:rsidRPr="0026433A" w:rsidRDefault="00696D34" w:rsidP="00D96A8A">
      <w:pPr>
        <w:jc w:val="both"/>
        <w:rPr>
          <w:sz w:val="20"/>
          <w:szCs w:val="20"/>
        </w:rPr>
      </w:pPr>
      <w:hyperlink r:id="rId8" w:history="1">
        <w:r w:rsidR="00D96A8A" w:rsidRPr="0026433A">
          <w:rPr>
            <w:rStyle w:val="Hyperlink"/>
            <w:rFonts w:ascii="Times New Roman" w:hAnsi="Times New Roman"/>
            <w:sz w:val="20"/>
            <w:szCs w:val="20"/>
          </w:rPr>
          <w:t>Ieva.Kupce@mod.gov.lv</w:t>
        </w:r>
      </w:hyperlink>
    </w:p>
    <w:p w:rsidR="00D96A8A" w:rsidRDefault="00D96A8A" w:rsidP="00D96A8A">
      <w:pPr>
        <w:jc w:val="both"/>
        <w:rPr>
          <w:sz w:val="20"/>
          <w:szCs w:val="20"/>
        </w:rPr>
      </w:pPr>
      <w:r>
        <w:rPr>
          <w:sz w:val="20"/>
          <w:szCs w:val="20"/>
        </w:rPr>
        <w:t>Tālr.</w:t>
      </w:r>
      <w:r w:rsidRPr="0026433A">
        <w:rPr>
          <w:sz w:val="20"/>
          <w:szCs w:val="20"/>
        </w:rPr>
        <w:t>67335105</w:t>
      </w:r>
      <w:r>
        <w:rPr>
          <w:sz w:val="20"/>
          <w:szCs w:val="20"/>
        </w:rPr>
        <w:t>; fakss 67212307</w:t>
      </w:r>
    </w:p>
    <w:p w:rsidR="00D96A8A" w:rsidRPr="0026433A" w:rsidRDefault="006F4C89" w:rsidP="00D96A8A">
      <w:pPr>
        <w:jc w:val="both"/>
        <w:rPr>
          <w:sz w:val="20"/>
          <w:szCs w:val="20"/>
        </w:rPr>
      </w:pPr>
      <w:proofErr w:type="spellStart"/>
      <w:r>
        <w:rPr>
          <w:sz w:val="20"/>
          <w:szCs w:val="20"/>
        </w:rPr>
        <w:t>S.</w:t>
      </w:r>
      <w:r w:rsidR="00D96A8A" w:rsidRPr="0026433A">
        <w:rPr>
          <w:sz w:val="20"/>
          <w:szCs w:val="20"/>
        </w:rPr>
        <w:t>Araslanova</w:t>
      </w:r>
      <w:proofErr w:type="spellEnd"/>
    </w:p>
    <w:p w:rsidR="00D96A8A" w:rsidRPr="0026433A" w:rsidRDefault="00696D34" w:rsidP="00D96A8A">
      <w:pPr>
        <w:jc w:val="both"/>
        <w:rPr>
          <w:sz w:val="20"/>
          <w:szCs w:val="20"/>
        </w:rPr>
      </w:pPr>
      <w:hyperlink r:id="rId9" w:history="1">
        <w:r w:rsidR="00D96A8A" w:rsidRPr="0026433A">
          <w:rPr>
            <w:rStyle w:val="Hyperlink"/>
            <w:rFonts w:ascii="Times New Roman" w:hAnsi="Times New Roman"/>
            <w:sz w:val="20"/>
            <w:szCs w:val="20"/>
          </w:rPr>
          <w:t>Svetlana.Araslanova@mod.gov.lv</w:t>
        </w:r>
      </w:hyperlink>
      <w:r w:rsidR="00D96A8A" w:rsidRPr="0026433A">
        <w:rPr>
          <w:sz w:val="20"/>
          <w:szCs w:val="20"/>
        </w:rPr>
        <w:t>,</w:t>
      </w:r>
    </w:p>
    <w:p w:rsidR="00D96A8A" w:rsidRPr="00D96A8A" w:rsidRDefault="00D96A8A" w:rsidP="00D96A8A">
      <w:pPr>
        <w:jc w:val="both"/>
        <w:rPr>
          <w:sz w:val="20"/>
          <w:szCs w:val="20"/>
        </w:rPr>
      </w:pPr>
      <w:r>
        <w:rPr>
          <w:sz w:val="20"/>
          <w:szCs w:val="20"/>
        </w:rPr>
        <w:t>Tālr.67335133, fakss 67212307</w:t>
      </w:r>
    </w:p>
    <w:sectPr w:rsidR="00D96A8A" w:rsidRPr="00D96A8A" w:rsidSect="00960D3E">
      <w:headerReference w:type="even" r:id="rId10"/>
      <w:footerReference w:type="default" r:id="rId11"/>
      <w:footerReference w:type="first" r:id="rId12"/>
      <w:pgSz w:w="11906" w:h="16838"/>
      <w:pgMar w:top="1440" w:right="1800" w:bottom="1440" w:left="1800" w:header="708" w:footer="3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74" w:rsidRDefault="00F45A74">
      <w:r>
        <w:separator/>
      </w:r>
    </w:p>
  </w:endnote>
  <w:endnote w:type="continuationSeparator" w:id="0">
    <w:p w:rsidR="00F45A74" w:rsidRDefault="00F4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BenguiatBook">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62" w:rsidRPr="008700F3" w:rsidRDefault="00EB702C" w:rsidP="00231E62">
    <w:pPr>
      <w:spacing w:before="100" w:beforeAutospacing="1" w:after="100" w:afterAutospacing="1"/>
      <w:jc w:val="both"/>
      <w:outlineLvl w:val="3"/>
      <w:rPr>
        <w:rFonts w:eastAsia="Times New Roman"/>
        <w:sz w:val="20"/>
        <w:szCs w:val="20"/>
        <w:lang w:eastAsia="lv-LV"/>
      </w:rPr>
    </w:pPr>
    <w:r>
      <w:rPr>
        <w:sz w:val="20"/>
        <w:szCs w:val="20"/>
      </w:rPr>
      <w:fldChar w:fldCharType="begin"/>
    </w:r>
    <w:r>
      <w:rPr>
        <w:sz w:val="20"/>
        <w:szCs w:val="20"/>
      </w:rPr>
      <w:instrText xml:space="preserve"> FILENAME   \* MERGEFORMAT </w:instrText>
    </w:r>
    <w:r>
      <w:rPr>
        <w:sz w:val="20"/>
        <w:szCs w:val="20"/>
      </w:rPr>
      <w:fldChar w:fldCharType="separate"/>
    </w:r>
    <w:r w:rsidR="00696D34">
      <w:rPr>
        <w:noProof/>
        <w:sz w:val="20"/>
        <w:szCs w:val="20"/>
      </w:rPr>
      <w:t>AIManot_</w:t>
    </w:r>
    <w:r w:rsidR="00E5291C">
      <w:rPr>
        <w:noProof/>
        <w:sz w:val="20"/>
        <w:szCs w:val="20"/>
      </w:rPr>
      <w:t>19</w:t>
    </w:r>
    <w:r w:rsidR="00205004">
      <w:rPr>
        <w:noProof/>
        <w:sz w:val="20"/>
        <w:szCs w:val="20"/>
      </w:rPr>
      <w:t>07</w:t>
    </w:r>
    <w:r w:rsidR="00665890">
      <w:rPr>
        <w:noProof/>
        <w:sz w:val="20"/>
        <w:szCs w:val="20"/>
      </w:rPr>
      <w:t>13</w:t>
    </w:r>
    <w:r w:rsidR="00696D34">
      <w:rPr>
        <w:noProof/>
        <w:sz w:val="20"/>
        <w:szCs w:val="20"/>
      </w:rPr>
      <w:t>_ITD</w:t>
    </w:r>
    <w:r w:rsidR="00665890">
      <w:rPr>
        <w:noProof/>
        <w:sz w:val="20"/>
        <w:szCs w:val="20"/>
      </w:rPr>
      <w:t>.doc</w:t>
    </w:r>
    <w:r>
      <w:rPr>
        <w:sz w:val="20"/>
        <w:szCs w:val="20"/>
      </w:rPr>
      <w:fldChar w:fldCharType="end"/>
    </w:r>
    <w:r w:rsidR="00231E62" w:rsidRPr="006B4235">
      <w:rPr>
        <w:sz w:val="20"/>
        <w:szCs w:val="20"/>
      </w:rPr>
      <w:t xml:space="preserve">; </w:t>
    </w:r>
    <w:r w:rsidR="00231E62" w:rsidRPr="006B4235">
      <w:rPr>
        <w:rFonts w:eastAsia="Times New Roman"/>
        <w:sz w:val="20"/>
        <w:szCs w:val="20"/>
        <w:lang w:eastAsia="lv-LV"/>
      </w:rPr>
      <w:t xml:space="preserve">Likumprojekta </w:t>
    </w:r>
    <w:r w:rsidR="00231E62" w:rsidRPr="006B4235">
      <w:rPr>
        <w:rFonts w:eastAsia="Times New Roman"/>
        <w:bCs/>
        <w:sz w:val="20"/>
        <w:szCs w:val="20"/>
        <w:lang w:eastAsia="lv-LV"/>
      </w:rPr>
      <w:t>„</w:t>
    </w:r>
    <w:r w:rsidR="00D96A8A">
      <w:rPr>
        <w:bCs/>
        <w:sz w:val="20"/>
        <w:szCs w:val="20"/>
      </w:rPr>
      <w:t xml:space="preserve">Grozījums Informācijas tehnoloģiju drošības likumā” </w:t>
    </w:r>
    <w:r w:rsidR="00231E62" w:rsidRPr="008700F3">
      <w:rPr>
        <w:rFonts w:eastAsia="Times New Roman"/>
        <w:sz w:val="20"/>
        <w:szCs w:val="20"/>
        <w:lang w:eastAsia="lv-LV"/>
      </w:rPr>
      <w:t>sākotnējās ietekmes novērtējuma ziņojums (anotācija)</w:t>
    </w:r>
  </w:p>
  <w:p w:rsidR="000B4CBD" w:rsidRPr="00F819DC" w:rsidRDefault="000B4CBD" w:rsidP="00F81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8A" w:rsidRDefault="00EB702C" w:rsidP="00D96A8A">
    <w:pPr>
      <w:spacing w:before="100" w:beforeAutospacing="1" w:after="100" w:afterAutospacing="1"/>
      <w:jc w:val="both"/>
      <w:outlineLvl w:val="3"/>
      <w:rPr>
        <w:rFonts w:eastAsia="Times New Roman"/>
        <w:sz w:val="20"/>
        <w:szCs w:val="20"/>
        <w:lang w:eastAsia="lv-LV"/>
      </w:rPr>
    </w:pPr>
    <w:r>
      <w:rPr>
        <w:sz w:val="20"/>
        <w:szCs w:val="20"/>
      </w:rPr>
      <w:fldChar w:fldCharType="begin"/>
    </w:r>
    <w:r>
      <w:rPr>
        <w:sz w:val="20"/>
        <w:szCs w:val="20"/>
      </w:rPr>
      <w:instrText xml:space="preserve"> FILENAME   \* MERGEFORMAT </w:instrText>
    </w:r>
    <w:r>
      <w:rPr>
        <w:sz w:val="20"/>
        <w:szCs w:val="20"/>
      </w:rPr>
      <w:fldChar w:fldCharType="separate"/>
    </w:r>
    <w:r w:rsidR="00696D34">
      <w:rPr>
        <w:noProof/>
        <w:sz w:val="20"/>
        <w:szCs w:val="20"/>
      </w:rPr>
      <w:t>AIManot_</w:t>
    </w:r>
    <w:r w:rsidR="00E5291C">
      <w:rPr>
        <w:noProof/>
        <w:sz w:val="20"/>
        <w:szCs w:val="20"/>
      </w:rPr>
      <w:t>19</w:t>
    </w:r>
    <w:r w:rsidR="00205004">
      <w:rPr>
        <w:noProof/>
        <w:sz w:val="20"/>
        <w:szCs w:val="20"/>
      </w:rPr>
      <w:t>07</w:t>
    </w:r>
    <w:r w:rsidR="00665890">
      <w:rPr>
        <w:noProof/>
        <w:sz w:val="20"/>
        <w:szCs w:val="20"/>
      </w:rPr>
      <w:t>13</w:t>
    </w:r>
    <w:r w:rsidR="00696D34">
      <w:rPr>
        <w:noProof/>
        <w:sz w:val="20"/>
        <w:szCs w:val="20"/>
      </w:rPr>
      <w:t>_ITD</w:t>
    </w:r>
    <w:r w:rsidR="00665890">
      <w:rPr>
        <w:noProof/>
        <w:sz w:val="20"/>
        <w:szCs w:val="20"/>
      </w:rPr>
      <w:t>.doc</w:t>
    </w:r>
    <w:r>
      <w:rPr>
        <w:sz w:val="20"/>
        <w:szCs w:val="20"/>
      </w:rPr>
      <w:fldChar w:fldCharType="end"/>
    </w:r>
    <w:r w:rsidR="00D96A8A" w:rsidRPr="006B4235">
      <w:rPr>
        <w:sz w:val="20"/>
        <w:szCs w:val="20"/>
      </w:rPr>
      <w:t xml:space="preserve">; </w:t>
    </w:r>
    <w:r w:rsidR="00D96A8A" w:rsidRPr="006B4235">
      <w:rPr>
        <w:rFonts w:eastAsia="Times New Roman"/>
        <w:sz w:val="20"/>
        <w:szCs w:val="20"/>
        <w:lang w:eastAsia="lv-LV"/>
      </w:rPr>
      <w:t xml:space="preserve">Likumprojekta </w:t>
    </w:r>
    <w:r w:rsidR="00D96A8A" w:rsidRPr="006B4235">
      <w:rPr>
        <w:rFonts w:eastAsia="Times New Roman"/>
        <w:bCs/>
        <w:sz w:val="20"/>
        <w:szCs w:val="20"/>
        <w:lang w:eastAsia="lv-LV"/>
      </w:rPr>
      <w:t>„</w:t>
    </w:r>
    <w:r w:rsidR="00D96A8A">
      <w:rPr>
        <w:bCs/>
        <w:sz w:val="20"/>
        <w:szCs w:val="20"/>
      </w:rPr>
      <w:t xml:space="preserve">Grozījums Informācijas tehnoloģiju drošības likumā” </w:t>
    </w:r>
    <w:r w:rsidR="00D96A8A" w:rsidRPr="008700F3">
      <w:rPr>
        <w:rFonts w:eastAsia="Times New Roman"/>
        <w:sz w:val="20"/>
        <w:szCs w:val="20"/>
        <w:lang w:eastAsia="lv-LV"/>
      </w:rPr>
      <w:t>sākotnējās ietekmes novērtējuma ziņojums (anotācija)</w:t>
    </w:r>
  </w:p>
  <w:p w:rsidR="00960D3E" w:rsidRPr="008700F3" w:rsidRDefault="00205004" w:rsidP="00205004">
    <w:pPr>
      <w:tabs>
        <w:tab w:val="left" w:pos="4740"/>
      </w:tabs>
      <w:spacing w:before="100" w:beforeAutospacing="1" w:after="100" w:afterAutospacing="1"/>
      <w:outlineLvl w:val="3"/>
      <w:rPr>
        <w:rFonts w:eastAsia="Times New Roman"/>
        <w:sz w:val="20"/>
        <w:szCs w:val="20"/>
        <w:lang w:eastAsia="lv-LV"/>
      </w:rPr>
    </w:pPr>
    <w:r>
      <w:rPr>
        <w:rFonts w:eastAsia="Times New Roman"/>
        <w:sz w:val="20"/>
        <w:szCs w:val="20"/>
        <w:lang w:eastAsia="lv-LV"/>
      </w:rPr>
      <w:tab/>
    </w:r>
  </w:p>
  <w:p w:rsidR="000B4CBD" w:rsidRPr="008700F3" w:rsidRDefault="000B4CBD" w:rsidP="008700F3">
    <w:pPr>
      <w:spacing w:before="100" w:beforeAutospacing="1" w:after="100" w:afterAutospacing="1"/>
      <w:jc w:val="both"/>
      <w:outlineLvl w:val="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74" w:rsidRDefault="00F45A74">
      <w:r>
        <w:separator/>
      </w:r>
    </w:p>
  </w:footnote>
  <w:footnote w:type="continuationSeparator" w:id="0">
    <w:p w:rsidR="00F45A74" w:rsidRDefault="00F4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BD" w:rsidRDefault="000B4CBD" w:rsidP="000675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CBD" w:rsidRDefault="000B4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4AC7"/>
    <w:multiLevelType w:val="hybridMultilevel"/>
    <w:tmpl w:val="783CF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47C67"/>
    <w:multiLevelType w:val="hybridMultilevel"/>
    <w:tmpl w:val="725CA718"/>
    <w:lvl w:ilvl="0" w:tplc="0426000F">
      <w:start w:val="1"/>
      <w:numFmt w:val="decimal"/>
      <w:lvlText w:val="%1."/>
      <w:lvlJc w:val="left"/>
      <w:pPr>
        <w:tabs>
          <w:tab w:val="num" w:pos="720"/>
        </w:tabs>
        <w:ind w:left="720" w:hanging="360"/>
      </w:pPr>
      <w:rPr>
        <w:rFonts w:eastAsia="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97"/>
    <w:rsid w:val="00004664"/>
    <w:rsid w:val="000511D2"/>
    <w:rsid w:val="00052654"/>
    <w:rsid w:val="00066EBF"/>
    <w:rsid w:val="00067597"/>
    <w:rsid w:val="00083816"/>
    <w:rsid w:val="000862AC"/>
    <w:rsid w:val="00090FD5"/>
    <w:rsid w:val="00093B50"/>
    <w:rsid w:val="000B4CBD"/>
    <w:rsid w:val="000B5095"/>
    <w:rsid w:val="000D28A9"/>
    <w:rsid w:val="000E12B7"/>
    <w:rsid w:val="000E2C1E"/>
    <w:rsid w:val="000E3481"/>
    <w:rsid w:val="00104507"/>
    <w:rsid w:val="001128BF"/>
    <w:rsid w:val="0011527E"/>
    <w:rsid w:val="00163FC3"/>
    <w:rsid w:val="001741B6"/>
    <w:rsid w:val="00190106"/>
    <w:rsid w:val="001A2F46"/>
    <w:rsid w:val="001A72B7"/>
    <w:rsid w:val="001B7623"/>
    <w:rsid w:val="001C29AB"/>
    <w:rsid w:val="001E0C23"/>
    <w:rsid w:val="002009B8"/>
    <w:rsid w:val="00205004"/>
    <w:rsid w:val="00211F65"/>
    <w:rsid w:val="00212495"/>
    <w:rsid w:val="002150FD"/>
    <w:rsid w:val="00231630"/>
    <w:rsid w:val="00231E62"/>
    <w:rsid w:val="00241BBB"/>
    <w:rsid w:val="002529C3"/>
    <w:rsid w:val="002548D8"/>
    <w:rsid w:val="00255DC3"/>
    <w:rsid w:val="002843F4"/>
    <w:rsid w:val="00285162"/>
    <w:rsid w:val="002A236F"/>
    <w:rsid w:val="002B147B"/>
    <w:rsid w:val="002B6086"/>
    <w:rsid w:val="002C681D"/>
    <w:rsid w:val="002D2B0C"/>
    <w:rsid w:val="00301BAA"/>
    <w:rsid w:val="003022B3"/>
    <w:rsid w:val="003102B3"/>
    <w:rsid w:val="0031274E"/>
    <w:rsid w:val="00326E4F"/>
    <w:rsid w:val="0032752A"/>
    <w:rsid w:val="00330199"/>
    <w:rsid w:val="00331065"/>
    <w:rsid w:val="00341F8D"/>
    <w:rsid w:val="003437B8"/>
    <w:rsid w:val="003437DE"/>
    <w:rsid w:val="00356F6F"/>
    <w:rsid w:val="00364E1E"/>
    <w:rsid w:val="00372E9C"/>
    <w:rsid w:val="00372F99"/>
    <w:rsid w:val="00382DB2"/>
    <w:rsid w:val="003835EF"/>
    <w:rsid w:val="003A534C"/>
    <w:rsid w:val="003C5C91"/>
    <w:rsid w:val="003C6BC1"/>
    <w:rsid w:val="003F5751"/>
    <w:rsid w:val="004063BE"/>
    <w:rsid w:val="0041475F"/>
    <w:rsid w:val="004200E7"/>
    <w:rsid w:val="004400D5"/>
    <w:rsid w:val="00454E6B"/>
    <w:rsid w:val="0046346B"/>
    <w:rsid w:val="00464541"/>
    <w:rsid w:val="004753F0"/>
    <w:rsid w:val="004A57C3"/>
    <w:rsid w:val="004A6A39"/>
    <w:rsid w:val="004E1EFE"/>
    <w:rsid w:val="004E602D"/>
    <w:rsid w:val="00540CAD"/>
    <w:rsid w:val="00546F40"/>
    <w:rsid w:val="00555C17"/>
    <w:rsid w:val="00592F89"/>
    <w:rsid w:val="005B3F2F"/>
    <w:rsid w:val="005D1F7F"/>
    <w:rsid w:val="005F504E"/>
    <w:rsid w:val="00620635"/>
    <w:rsid w:val="006277D1"/>
    <w:rsid w:val="0063211F"/>
    <w:rsid w:val="00665890"/>
    <w:rsid w:val="006668FA"/>
    <w:rsid w:val="00681E4E"/>
    <w:rsid w:val="00683AB5"/>
    <w:rsid w:val="00696D34"/>
    <w:rsid w:val="006B4235"/>
    <w:rsid w:val="006B6CAF"/>
    <w:rsid w:val="006C5849"/>
    <w:rsid w:val="006C5BDE"/>
    <w:rsid w:val="006F2E09"/>
    <w:rsid w:val="006F4796"/>
    <w:rsid w:val="006F4C89"/>
    <w:rsid w:val="007027DF"/>
    <w:rsid w:val="00736726"/>
    <w:rsid w:val="00756E86"/>
    <w:rsid w:val="00763E82"/>
    <w:rsid w:val="007A605E"/>
    <w:rsid w:val="007B54C8"/>
    <w:rsid w:val="007B6ECA"/>
    <w:rsid w:val="007F6297"/>
    <w:rsid w:val="00806DB6"/>
    <w:rsid w:val="00813E3B"/>
    <w:rsid w:val="0081477E"/>
    <w:rsid w:val="00824B48"/>
    <w:rsid w:val="008307F2"/>
    <w:rsid w:val="0083707F"/>
    <w:rsid w:val="00837172"/>
    <w:rsid w:val="00851C1E"/>
    <w:rsid w:val="008605EF"/>
    <w:rsid w:val="00864BC4"/>
    <w:rsid w:val="008700F3"/>
    <w:rsid w:val="00897C21"/>
    <w:rsid w:val="008B081F"/>
    <w:rsid w:val="008D4174"/>
    <w:rsid w:val="008E2E42"/>
    <w:rsid w:val="008E4B49"/>
    <w:rsid w:val="008E59CE"/>
    <w:rsid w:val="008E7BD6"/>
    <w:rsid w:val="008F2676"/>
    <w:rsid w:val="00920F1A"/>
    <w:rsid w:val="00924F7E"/>
    <w:rsid w:val="00930E91"/>
    <w:rsid w:val="0093273B"/>
    <w:rsid w:val="00944A4D"/>
    <w:rsid w:val="0094542F"/>
    <w:rsid w:val="00947AF0"/>
    <w:rsid w:val="009567E7"/>
    <w:rsid w:val="009572B1"/>
    <w:rsid w:val="00960D3E"/>
    <w:rsid w:val="00973AB6"/>
    <w:rsid w:val="009813C9"/>
    <w:rsid w:val="009A0F76"/>
    <w:rsid w:val="009A2B6D"/>
    <w:rsid w:val="009B51CE"/>
    <w:rsid w:val="00A372D7"/>
    <w:rsid w:val="00A7551E"/>
    <w:rsid w:val="00AA6493"/>
    <w:rsid w:val="00AB1879"/>
    <w:rsid w:val="00AD3108"/>
    <w:rsid w:val="00B04A24"/>
    <w:rsid w:val="00B122F0"/>
    <w:rsid w:val="00B12DCD"/>
    <w:rsid w:val="00B26C19"/>
    <w:rsid w:val="00B37C23"/>
    <w:rsid w:val="00B4721F"/>
    <w:rsid w:val="00B50FA9"/>
    <w:rsid w:val="00B74530"/>
    <w:rsid w:val="00B84A7C"/>
    <w:rsid w:val="00B867DA"/>
    <w:rsid w:val="00B87401"/>
    <w:rsid w:val="00B91BB8"/>
    <w:rsid w:val="00B94FFE"/>
    <w:rsid w:val="00BA319F"/>
    <w:rsid w:val="00BB0727"/>
    <w:rsid w:val="00BC3A92"/>
    <w:rsid w:val="00BE674E"/>
    <w:rsid w:val="00BF78F2"/>
    <w:rsid w:val="00C11417"/>
    <w:rsid w:val="00C32FF6"/>
    <w:rsid w:val="00C331B0"/>
    <w:rsid w:val="00C37FC9"/>
    <w:rsid w:val="00C475F3"/>
    <w:rsid w:val="00C50A2E"/>
    <w:rsid w:val="00C60DF2"/>
    <w:rsid w:val="00C7036B"/>
    <w:rsid w:val="00C76408"/>
    <w:rsid w:val="00C965AB"/>
    <w:rsid w:val="00C97AF9"/>
    <w:rsid w:val="00CB3907"/>
    <w:rsid w:val="00CE25B5"/>
    <w:rsid w:val="00CE60D8"/>
    <w:rsid w:val="00D15464"/>
    <w:rsid w:val="00D31283"/>
    <w:rsid w:val="00D33301"/>
    <w:rsid w:val="00D3563B"/>
    <w:rsid w:val="00D43227"/>
    <w:rsid w:val="00D43F3F"/>
    <w:rsid w:val="00D67920"/>
    <w:rsid w:val="00D77E90"/>
    <w:rsid w:val="00D85624"/>
    <w:rsid w:val="00D96A8A"/>
    <w:rsid w:val="00DC546E"/>
    <w:rsid w:val="00DC6055"/>
    <w:rsid w:val="00DD2F2F"/>
    <w:rsid w:val="00DD683D"/>
    <w:rsid w:val="00DE2CB1"/>
    <w:rsid w:val="00DF27D3"/>
    <w:rsid w:val="00E16868"/>
    <w:rsid w:val="00E30775"/>
    <w:rsid w:val="00E34BB5"/>
    <w:rsid w:val="00E5291C"/>
    <w:rsid w:val="00E80187"/>
    <w:rsid w:val="00E80968"/>
    <w:rsid w:val="00E92E20"/>
    <w:rsid w:val="00E964F7"/>
    <w:rsid w:val="00EA29EB"/>
    <w:rsid w:val="00EA4CC2"/>
    <w:rsid w:val="00EA5206"/>
    <w:rsid w:val="00EB0724"/>
    <w:rsid w:val="00EB702C"/>
    <w:rsid w:val="00EC3DC6"/>
    <w:rsid w:val="00EE29B2"/>
    <w:rsid w:val="00EE3A44"/>
    <w:rsid w:val="00F0280C"/>
    <w:rsid w:val="00F45A74"/>
    <w:rsid w:val="00F819DC"/>
    <w:rsid w:val="00F830C0"/>
    <w:rsid w:val="00FA6E8E"/>
    <w:rsid w:val="00FA7F1A"/>
    <w:rsid w:val="00FB17C2"/>
    <w:rsid w:val="00FB5106"/>
    <w:rsid w:val="00FD4D00"/>
    <w:rsid w:val="00FD539D"/>
    <w:rsid w:val="00FD7B1E"/>
    <w:rsid w:val="00FE3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624"/>
    <w:rPr>
      <w:rFonts w:eastAsia="Calibr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597"/>
    <w:pPr>
      <w:tabs>
        <w:tab w:val="center" w:pos="4153"/>
        <w:tab w:val="right" w:pos="8306"/>
      </w:tabs>
    </w:pPr>
  </w:style>
  <w:style w:type="character" w:styleId="PageNumber">
    <w:name w:val="page number"/>
    <w:basedOn w:val="DefaultParagraphFont"/>
    <w:rsid w:val="00067597"/>
  </w:style>
  <w:style w:type="character" w:customStyle="1" w:styleId="HeaderChar">
    <w:name w:val="Header Char"/>
    <w:link w:val="Header"/>
    <w:rsid w:val="00067597"/>
    <w:rPr>
      <w:sz w:val="24"/>
      <w:szCs w:val="24"/>
      <w:lang w:val="lv-LV" w:eastAsia="lv-LV" w:bidi="ar-SA"/>
    </w:rPr>
  </w:style>
  <w:style w:type="paragraph" w:styleId="Footer">
    <w:name w:val="footer"/>
    <w:basedOn w:val="Normal"/>
    <w:link w:val="FooterChar"/>
    <w:uiPriority w:val="99"/>
    <w:rsid w:val="00067597"/>
    <w:pPr>
      <w:tabs>
        <w:tab w:val="center" w:pos="4153"/>
        <w:tab w:val="right" w:pos="8306"/>
      </w:tabs>
    </w:pPr>
  </w:style>
  <w:style w:type="character" w:styleId="Hyperlink">
    <w:name w:val="Hyperlink"/>
    <w:rsid w:val="00D85624"/>
    <w:rPr>
      <w:rFonts w:ascii="BaltBenguiatBook" w:hAnsi="BaltBenguiatBook"/>
      <w:noProof w:val="0"/>
      <w:color w:val="0000FF"/>
      <w:u w:val="single"/>
      <w:lang w:val="lv-LV"/>
    </w:rPr>
  </w:style>
  <w:style w:type="paragraph" w:customStyle="1" w:styleId="naisf">
    <w:name w:val="naisf"/>
    <w:basedOn w:val="Normal"/>
    <w:rsid w:val="00D85624"/>
    <w:pPr>
      <w:spacing w:before="75" w:after="75"/>
      <w:ind w:firstLine="375"/>
      <w:jc w:val="both"/>
    </w:pPr>
    <w:rPr>
      <w:rFonts w:eastAsia="Times New Roman"/>
      <w:sz w:val="24"/>
      <w:szCs w:val="24"/>
      <w:lang w:eastAsia="lv-LV"/>
    </w:rPr>
  </w:style>
  <w:style w:type="paragraph" w:styleId="NormalWeb">
    <w:name w:val="Normal (Web)"/>
    <w:basedOn w:val="Normal"/>
    <w:rsid w:val="002B147B"/>
    <w:pPr>
      <w:spacing w:before="100" w:beforeAutospacing="1" w:after="100" w:afterAutospacing="1"/>
    </w:pPr>
    <w:rPr>
      <w:rFonts w:eastAsia="Times New Roman"/>
      <w:sz w:val="24"/>
      <w:szCs w:val="24"/>
      <w:lang w:eastAsia="lv-LV"/>
    </w:rPr>
  </w:style>
  <w:style w:type="character" w:customStyle="1" w:styleId="FooterChar">
    <w:name w:val="Footer Char"/>
    <w:link w:val="Footer"/>
    <w:uiPriority w:val="99"/>
    <w:rsid w:val="00231E62"/>
    <w:rPr>
      <w:rFonts w:eastAsia="Calibri"/>
      <w:sz w:val="28"/>
      <w:szCs w:val="22"/>
      <w:lang w:eastAsia="en-US"/>
    </w:rPr>
  </w:style>
  <w:style w:type="paragraph" w:styleId="ListParagraph">
    <w:name w:val="List Paragraph"/>
    <w:basedOn w:val="Normal"/>
    <w:uiPriority w:val="34"/>
    <w:qFormat/>
    <w:rsid w:val="008D4174"/>
    <w:pPr>
      <w:ind w:left="720"/>
      <w:contextualSpacing/>
    </w:pPr>
    <w:rPr>
      <w:rFonts w:eastAsia="Times New Roman"/>
      <w:sz w:val="24"/>
      <w:szCs w:val="24"/>
      <w:lang w:eastAsia="lv-LV"/>
    </w:rPr>
  </w:style>
  <w:style w:type="paragraph" w:styleId="NoSpacing">
    <w:name w:val="No Spacing"/>
    <w:uiPriority w:val="1"/>
    <w:qFormat/>
    <w:rsid w:val="00B37C23"/>
    <w:rPr>
      <w:rFonts w:ascii="Calibri" w:eastAsia="Calibri" w:hAnsi="Calibri"/>
      <w:sz w:val="22"/>
      <w:szCs w:val="22"/>
      <w:lang w:eastAsia="en-US"/>
    </w:rPr>
  </w:style>
  <w:style w:type="paragraph" w:styleId="BalloonText">
    <w:name w:val="Balloon Text"/>
    <w:basedOn w:val="Normal"/>
    <w:link w:val="BalloonTextChar"/>
    <w:rsid w:val="002150FD"/>
    <w:rPr>
      <w:rFonts w:ascii="Tahoma" w:hAnsi="Tahoma" w:cs="Tahoma"/>
      <w:sz w:val="16"/>
      <w:szCs w:val="16"/>
    </w:rPr>
  </w:style>
  <w:style w:type="character" w:customStyle="1" w:styleId="BalloonTextChar">
    <w:name w:val="Balloon Text Char"/>
    <w:link w:val="BalloonText"/>
    <w:rsid w:val="002150FD"/>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624"/>
    <w:rPr>
      <w:rFonts w:eastAsia="Calibr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597"/>
    <w:pPr>
      <w:tabs>
        <w:tab w:val="center" w:pos="4153"/>
        <w:tab w:val="right" w:pos="8306"/>
      </w:tabs>
    </w:pPr>
  </w:style>
  <w:style w:type="character" w:styleId="PageNumber">
    <w:name w:val="page number"/>
    <w:basedOn w:val="DefaultParagraphFont"/>
    <w:rsid w:val="00067597"/>
  </w:style>
  <w:style w:type="character" w:customStyle="1" w:styleId="HeaderChar">
    <w:name w:val="Header Char"/>
    <w:link w:val="Header"/>
    <w:rsid w:val="00067597"/>
    <w:rPr>
      <w:sz w:val="24"/>
      <w:szCs w:val="24"/>
      <w:lang w:val="lv-LV" w:eastAsia="lv-LV" w:bidi="ar-SA"/>
    </w:rPr>
  </w:style>
  <w:style w:type="paragraph" w:styleId="Footer">
    <w:name w:val="footer"/>
    <w:basedOn w:val="Normal"/>
    <w:link w:val="FooterChar"/>
    <w:uiPriority w:val="99"/>
    <w:rsid w:val="00067597"/>
    <w:pPr>
      <w:tabs>
        <w:tab w:val="center" w:pos="4153"/>
        <w:tab w:val="right" w:pos="8306"/>
      </w:tabs>
    </w:pPr>
  </w:style>
  <w:style w:type="character" w:styleId="Hyperlink">
    <w:name w:val="Hyperlink"/>
    <w:rsid w:val="00D85624"/>
    <w:rPr>
      <w:rFonts w:ascii="BaltBenguiatBook" w:hAnsi="BaltBenguiatBook"/>
      <w:noProof w:val="0"/>
      <w:color w:val="0000FF"/>
      <w:u w:val="single"/>
      <w:lang w:val="lv-LV"/>
    </w:rPr>
  </w:style>
  <w:style w:type="paragraph" w:customStyle="1" w:styleId="naisf">
    <w:name w:val="naisf"/>
    <w:basedOn w:val="Normal"/>
    <w:rsid w:val="00D85624"/>
    <w:pPr>
      <w:spacing w:before="75" w:after="75"/>
      <w:ind w:firstLine="375"/>
      <w:jc w:val="both"/>
    </w:pPr>
    <w:rPr>
      <w:rFonts w:eastAsia="Times New Roman"/>
      <w:sz w:val="24"/>
      <w:szCs w:val="24"/>
      <w:lang w:eastAsia="lv-LV"/>
    </w:rPr>
  </w:style>
  <w:style w:type="paragraph" w:styleId="NormalWeb">
    <w:name w:val="Normal (Web)"/>
    <w:basedOn w:val="Normal"/>
    <w:rsid w:val="002B147B"/>
    <w:pPr>
      <w:spacing w:before="100" w:beforeAutospacing="1" w:after="100" w:afterAutospacing="1"/>
    </w:pPr>
    <w:rPr>
      <w:rFonts w:eastAsia="Times New Roman"/>
      <w:sz w:val="24"/>
      <w:szCs w:val="24"/>
      <w:lang w:eastAsia="lv-LV"/>
    </w:rPr>
  </w:style>
  <w:style w:type="character" w:customStyle="1" w:styleId="FooterChar">
    <w:name w:val="Footer Char"/>
    <w:link w:val="Footer"/>
    <w:uiPriority w:val="99"/>
    <w:rsid w:val="00231E62"/>
    <w:rPr>
      <w:rFonts w:eastAsia="Calibri"/>
      <w:sz w:val="28"/>
      <w:szCs w:val="22"/>
      <w:lang w:eastAsia="en-US"/>
    </w:rPr>
  </w:style>
  <w:style w:type="paragraph" w:styleId="ListParagraph">
    <w:name w:val="List Paragraph"/>
    <w:basedOn w:val="Normal"/>
    <w:uiPriority w:val="34"/>
    <w:qFormat/>
    <w:rsid w:val="008D4174"/>
    <w:pPr>
      <w:ind w:left="720"/>
      <w:contextualSpacing/>
    </w:pPr>
    <w:rPr>
      <w:rFonts w:eastAsia="Times New Roman"/>
      <w:sz w:val="24"/>
      <w:szCs w:val="24"/>
      <w:lang w:eastAsia="lv-LV"/>
    </w:rPr>
  </w:style>
  <w:style w:type="paragraph" w:styleId="NoSpacing">
    <w:name w:val="No Spacing"/>
    <w:uiPriority w:val="1"/>
    <w:qFormat/>
    <w:rsid w:val="00B37C23"/>
    <w:rPr>
      <w:rFonts w:ascii="Calibri" w:eastAsia="Calibri" w:hAnsi="Calibri"/>
      <w:sz w:val="22"/>
      <w:szCs w:val="22"/>
      <w:lang w:eastAsia="en-US"/>
    </w:rPr>
  </w:style>
  <w:style w:type="paragraph" w:styleId="BalloonText">
    <w:name w:val="Balloon Text"/>
    <w:basedOn w:val="Normal"/>
    <w:link w:val="BalloonTextChar"/>
    <w:rsid w:val="002150FD"/>
    <w:rPr>
      <w:rFonts w:ascii="Tahoma" w:hAnsi="Tahoma" w:cs="Tahoma"/>
      <w:sz w:val="16"/>
      <w:szCs w:val="16"/>
    </w:rPr>
  </w:style>
  <w:style w:type="character" w:customStyle="1" w:styleId="BalloonTextChar">
    <w:name w:val="Balloon Text Char"/>
    <w:link w:val="BalloonText"/>
    <w:rsid w:val="002150FD"/>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04848">
      <w:bodyDiv w:val="1"/>
      <w:marLeft w:val="0"/>
      <w:marRight w:val="0"/>
      <w:marTop w:val="0"/>
      <w:marBottom w:val="0"/>
      <w:divBdr>
        <w:top w:val="none" w:sz="0" w:space="0" w:color="auto"/>
        <w:left w:val="none" w:sz="0" w:space="0" w:color="auto"/>
        <w:bottom w:val="none" w:sz="0" w:space="0" w:color="auto"/>
        <w:right w:val="none" w:sz="0" w:space="0" w:color="auto"/>
      </w:divBdr>
    </w:div>
    <w:div w:id="9767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Kupce@mod.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etlana.Araslanov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DB2D82A6.dotm</Template>
  <TotalTime>2</TotalTime>
  <Pages>4</Pages>
  <Words>760</Words>
  <Characters>5872</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Informācijas tehnoloģiju drošības likumā" sākotnējās ietekmes novērtējuma ziņojums (anotācija)</vt:lpstr>
      <vt:lpstr>Likumprojekta „Grozījumi likumā "Par tautas nobalsošanu un likumu ierosināšanu"” sākotnējās ietekmes novērtējuma ziņojums (anotācija)</vt:lpstr>
    </vt:vector>
  </TitlesOfParts>
  <Manager>Juridiskais departaments</Manager>
  <Company>Aizsardzības ministrija</Company>
  <LinksUpToDate>false</LinksUpToDate>
  <CharactersWithSpaces>6619</CharactersWithSpaces>
  <SharedDoc>false</SharedDoc>
  <HLinks>
    <vt:vector size="12" baseType="variant">
      <vt:variant>
        <vt:i4>4325500</vt:i4>
      </vt:variant>
      <vt:variant>
        <vt:i4>3</vt:i4>
      </vt:variant>
      <vt:variant>
        <vt:i4>0</vt:i4>
      </vt:variant>
      <vt:variant>
        <vt:i4>5</vt:i4>
      </vt:variant>
      <vt:variant>
        <vt:lpwstr>mailto:Svetlana.Araslanova@mod.gov.lv</vt:lpwstr>
      </vt:variant>
      <vt:variant>
        <vt:lpwstr/>
      </vt:variant>
      <vt:variant>
        <vt:i4>7536708</vt:i4>
      </vt:variant>
      <vt:variant>
        <vt:i4>0</vt:i4>
      </vt:variant>
      <vt:variant>
        <vt:i4>0</vt:i4>
      </vt:variant>
      <vt:variant>
        <vt:i4>5</vt:i4>
      </vt:variant>
      <vt:variant>
        <vt:lpwstr>mailto:Ieva.Kupce@mod.gov.lv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Informācijas tehnoloģiju drošības likumā" sākotnējās ietekmes novērtējuma ziņojums (anotācija)</dc:title>
  <dc:subject>Likumprojekts "Grozījumi likumā "Par tautas nobalsošanu, likumu ierosināšanu un Eiropas Pilsoņu iniciatīvu""</dc:subject>
  <dc:creator>Svetlana Araslanova</dc:creator>
  <dc:description>Svetlana.Araslanova@mod.gov.lv, 67335133</dc:description>
  <cp:lastModifiedBy>Svetlana Araslanova</cp:lastModifiedBy>
  <cp:revision>3</cp:revision>
  <cp:lastPrinted>2013-06-18T12:26:00Z</cp:lastPrinted>
  <dcterms:created xsi:type="dcterms:W3CDTF">2013-07-19T09:21:00Z</dcterms:created>
  <dcterms:modified xsi:type="dcterms:W3CDTF">2013-07-19T10:04:00Z</dcterms:modified>
</cp:coreProperties>
</file>