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4F" w:rsidRPr="0014664F" w:rsidRDefault="003C71BE" w:rsidP="0014664F">
      <w:pPr>
        <w:jc w:val="center"/>
        <w:rPr>
          <w:b/>
          <w:sz w:val="28"/>
          <w:szCs w:val="28"/>
        </w:rPr>
      </w:pPr>
      <w:r w:rsidRPr="0014664F">
        <w:rPr>
          <w:b/>
          <w:sz w:val="28"/>
          <w:szCs w:val="28"/>
        </w:rPr>
        <w:t>Ministru kabineta rīkojuma projekt</w:t>
      </w:r>
      <w:r w:rsidR="00367CDE">
        <w:rPr>
          <w:b/>
          <w:sz w:val="28"/>
          <w:szCs w:val="28"/>
        </w:rPr>
        <w:t>a</w:t>
      </w:r>
      <w:r w:rsidR="00D87535">
        <w:rPr>
          <w:b/>
          <w:sz w:val="28"/>
          <w:szCs w:val="28"/>
        </w:rPr>
        <w:t xml:space="preserve"> </w:t>
      </w:r>
      <w:r w:rsidRPr="0014664F">
        <w:rPr>
          <w:b/>
          <w:sz w:val="28"/>
          <w:szCs w:val="28"/>
        </w:rPr>
        <w:t>“</w:t>
      </w:r>
      <w:r w:rsidR="0014664F" w:rsidRPr="0014664F">
        <w:rPr>
          <w:b/>
          <w:sz w:val="28"/>
          <w:szCs w:val="28"/>
        </w:rPr>
        <w:t>Grozījumi Ministru kabineta 2011.gada 16.marta rīkojumā Nr.99 „Par Latvijas Republikas pārstāvjiem jauktajā komisijā”</w:t>
      </w:r>
      <w:r w:rsidR="00367CDE">
        <w:rPr>
          <w:b/>
          <w:sz w:val="28"/>
          <w:szCs w:val="28"/>
        </w:rPr>
        <w:t>”</w:t>
      </w:r>
      <w:r w:rsidR="0014664F">
        <w:rPr>
          <w:b/>
          <w:sz w:val="28"/>
          <w:szCs w:val="28"/>
        </w:rPr>
        <w:t xml:space="preserve"> anotācija</w:t>
      </w:r>
    </w:p>
    <w:p w:rsidR="003C71BE" w:rsidRPr="009A2CEB" w:rsidRDefault="003C71BE" w:rsidP="003C71BE">
      <w:pPr>
        <w:widowControl w:val="0"/>
        <w:tabs>
          <w:tab w:val="left" w:pos="3969"/>
          <w:tab w:val="left" w:pos="6237"/>
        </w:tabs>
        <w:autoSpaceDE w:val="0"/>
        <w:autoSpaceDN w:val="0"/>
        <w:adjustRightInd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843"/>
        <w:gridCol w:w="5954"/>
      </w:tblGrid>
      <w:tr w:rsidR="003C71BE" w:rsidRPr="0028564C" w:rsidTr="0014664F">
        <w:tc>
          <w:tcPr>
            <w:tcW w:w="9288" w:type="dxa"/>
            <w:gridSpan w:val="3"/>
          </w:tcPr>
          <w:p w:rsidR="003C71BE" w:rsidRPr="0028564C" w:rsidRDefault="003C71BE" w:rsidP="0014664F">
            <w:pPr>
              <w:widowControl w:val="0"/>
              <w:tabs>
                <w:tab w:val="left" w:pos="3969"/>
                <w:tab w:val="left" w:pos="6237"/>
              </w:tabs>
              <w:autoSpaceDE w:val="0"/>
              <w:autoSpaceDN w:val="0"/>
              <w:adjustRightInd w:val="0"/>
              <w:jc w:val="center"/>
              <w:rPr>
                <w:b/>
              </w:rPr>
            </w:pPr>
            <w:r w:rsidRPr="0028564C">
              <w:rPr>
                <w:b/>
              </w:rPr>
              <w:t>I. Tiesību akta projekta izstrādes nepieciešamība</w:t>
            </w:r>
          </w:p>
        </w:tc>
      </w:tr>
      <w:tr w:rsidR="003C71BE" w:rsidRPr="0028564C" w:rsidTr="0014664F">
        <w:tc>
          <w:tcPr>
            <w:tcW w:w="491" w:type="dxa"/>
          </w:tcPr>
          <w:p w:rsidR="003C71BE" w:rsidRPr="009A2CEB" w:rsidRDefault="003C71BE" w:rsidP="0014664F">
            <w:pPr>
              <w:pStyle w:val="naiskr"/>
              <w:spacing w:before="0" w:after="0"/>
            </w:pPr>
            <w:r w:rsidRPr="009A2CEB">
              <w:t>1.</w:t>
            </w:r>
          </w:p>
        </w:tc>
        <w:tc>
          <w:tcPr>
            <w:tcW w:w="2843" w:type="dxa"/>
          </w:tcPr>
          <w:p w:rsidR="003C71BE" w:rsidRPr="009A2CEB" w:rsidRDefault="003C71BE" w:rsidP="0014664F">
            <w:pPr>
              <w:pStyle w:val="naiskr"/>
              <w:spacing w:before="0" w:after="0"/>
              <w:ind w:hanging="10"/>
            </w:pPr>
            <w:r w:rsidRPr="009A2CEB">
              <w:t>Pamatojums</w:t>
            </w:r>
          </w:p>
        </w:tc>
        <w:tc>
          <w:tcPr>
            <w:tcW w:w="5954" w:type="dxa"/>
          </w:tcPr>
          <w:p w:rsidR="003C71BE" w:rsidRPr="009A2CEB" w:rsidRDefault="0047791A" w:rsidP="0047791A">
            <w:pPr>
              <w:pStyle w:val="naiskr"/>
              <w:jc w:val="both"/>
            </w:pPr>
            <w:r>
              <w:rPr>
                <w:iCs/>
              </w:rPr>
              <w:t xml:space="preserve">Ministru prezidenta 2012.gada 6.jūlija rezolūcija Nr.45/SAN- 2418/8362 </w:t>
            </w:r>
          </w:p>
        </w:tc>
      </w:tr>
      <w:tr w:rsidR="003C71BE" w:rsidRPr="0028564C" w:rsidTr="0014664F">
        <w:tc>
          <w:tcPr>
            <w:tcW w:w="491" w:type="dxa"/>
          </w:tcPr>
          <w:p w:rsidR="003C71BE" w:rsidRPr="009A2CEB" w:rsidRDefault="003C71BE" w:rsidP="0014664F">
            <w:pPr>
              <w:pStyle w:val="naiskr"/>
              <w:spacing w:before="0" w:after="0"/>
            </w:pPr>
            <w:r w:rsidRPr="009A2CEB">
              <w:t>2.</w:t>
            </w:r>
          </w:p>
        </w:tc>
        <w:tc>
          <w:tcPr>
            <w:tcW w:w="2843" w:type="dxa"/>
          </w:tcPr>
          <w:p w:rsidR="003C71BE" w:rsidRPr="009A2CEB" w:rsidRDefault="003C71BE" w:rsidP="0014664F">
            <w:pPr>
              <w:pStyle w:val="naiskr"/>
              <w:tabs>
                <w:tab w:val="left" w:pos="170"/>
              </w:tabs>
              <w:spacing w:before="0" w:after="0"/>
            </w:pPr>
            <w:r w:rsidRPr="009A2CEB">
              <w:t>Pašreizējā situācija un problēmas</w:t>
            </w:r>
          </w:p>
        </w:tc>
        <w:tc>
          <w:tcPr>
            <w:tcW w:w="5954" w:type="dxa"/>
          </w:tcPr>
          <w:p w:rsidR="00671AB0" w:rsidRDefault="00D87535" w:rsidP="00671AB0">
            <w:pPr>
              <w:ind w:firstLine="720"/>
              <w:jc w:val="both"/>
            </w:pPr>
            <w:r>
              <w:t>2007.gada 18.decembrī</w:t>
            </w:r>
            <w:r w:rsidR="0047791A" w:rsidRPr="00C72859">
              <w:t xml:space="preserve"> Rīgā parakstīta </w:t>
            </w:r>
            <w:r w:rsidR="0047791A">
              <w:t xml:space="preserve">starpvaldību </w:t>
            </w:r>
            <w:r w:rsidR="0047791A" w:rsidRPr="00C72859">
              <w:t xml:space="preserve">vienošanās </w:t>
            </w:r>
            <w:r w:rsidR="0047791A">
              <w:t>„Latvijas Republikas valdības un Krievijas Federācijas valdības vienošanās</w:t>
            </w:r>
            <w:r w:rsidR="0047791A" w:rsidRPr="00C72859">
              <w:t xml:space="preserve"> par Latvijas apbedījumu statusu Krievijas Federācijas teritorijā un Krievijas apbedījumu statusu Latvijas Republikas </w:t>
            </w:r>
            <w:r w:rsidR="0047791A">
              <w:t>teritorijā”</w:t>
            </w:r>
            <w:r w:rsidR="00076C06" w:rsidRPr="00964FFF">
              <w:t xml:space="preserve"> (turpmāk – Vienošanās)</w:t>
            </w:r>
            <w:r w:rsidR="0047791A">
              <w:t>.</w:t>
            </w:r>
          </w:p>
          <w:p w:rsidR="0047791A" w:rsidRDefault="00D87535" w:rsidP="0047791A">
            <w:pPr>
              <w:ind w:firstLine="720"/>
              <w:jc w:val="both"/>
            </w:pPr>
            <w:r>
              <w:t xml:space="preserve">Ar </w:t>
            </w:r>
            <w:r w:rsidR="007231F8">
              <w:t>2010</w:t>
            </w:r>
            <w:r>
              <w:t>.gada 6.jūliju</w:t>
            </w:r>
            <w:r w:rsidR="007231F8">
              <w:t xml:space="preserve"> stājās spēkā grozījumi likuma „</w:t>
            </w:r>
            <w:r w:rsidR="007231F8" w:rsidRPr="009B4C26">
              <w:t>Par Latvijas Republikas valdības un Krievijas Federācijas valdības vienošanos par Latvijas apbedījumu statusu Krievijas Federācijas teritorijā un Krievijas apbedījumu statusu Latvijas Republikas teritorijā</w:t>
            </w:r>
            <w:r w:rsidR="007231F8">
              <w:t>” 2.</w:t>
            </w:r>
            <w:r>
              <w:t xml:space="preserve"> </w:t>
            </w:r>
            <w:r w:rsidR="007231F8">
              <w:t xml:space="preserve">pantā, kas nosaka, ka turpmāk Aizsardzības ministrija koordinē iepriekšminētā likumā noteikto saistību izpildi. </w:t>
            </w:r>
            <w:r w:rsidR="00C436BF">
              <w:t xml:space="preserve">Saskaņā ar minētā likuma </w:t>
            </w:r>
            <w:r w:rsidR="00C436BF" w:rsidRPr="00964FFF">
              <w:t>2.</w:t>
            </w:r>
            <w:r w:rsidR="00C436BF" w:rsidRPr="00964FFF">
              <w:rPr>
                <w:vertAlign w:val="superscript"/>
              </w:rPr>
              <w:t>1</w:t>
            </w:r>
            <w:r w:rsidR="00C436BF">
              <w:t xml:space="preserve"> pantā noteikto, uzdevumu tehnisko izpildi atbilstoši </w:t>
            </w:r>
            <w:r w:rsidR="00C436BF" w:rsidRPr="005221AC">
              <w:t>Vienošanās</w:t>
            </w:r>
            <w:r w:rsidR="00C436BF">
              <w:t xml:space="preserve"> 7.panta pirmajai daļai nodrošina biedr</w:t>
            </w:r>
            <w:r>
              <w:t xml:space="preserve">ība „Brāļu kapu komiteja” (turpmāk – BKK). </w:t>
            </w:r>
            <w:r w:rsidR="00C436BF">
              <w:t>2010.</w:t>
            </w:r>
            <w:r>
              <w:t>gada 10.decembrī</w:t>
            </w:r>
            <w:r w:rsidR="00C436BF">
              <w:t xml:space="preserve"> starp AM un BKK noslēgts deleģējuma līgums un Vienošanās noteikto uzdevumu izpildē BKK ir AM pārraudzībā.</w:t>
            </w:r>
          </w:p>
          <w:p w:rsidR="00076C06" w:rsidRDefault="00076C06" w:rsidP="0047791A">
            <w:pPr>
              <w:ind w:firstLine="720"/>
              <w:jc w:val="both"/>
            </w:pPr>
            <w:r>
              <w:t xml:space="preserve">Lai nodrošinātu Vienošanās izpildi, saskaņā ar tās 6.pantā </w:t>
            </w:r>
            <w:r w:rsidRPr="00964FFF">
              <w:t xml:space="preserve">noteikto, puses (Latvijas puse un Krievijas puse) </w:t>
            </w:r>
            <w:r>
              <w:t>izveido Jaukto komisiju. Latvijas puses Jauktā komisija izveidota</w:t>
            </w:r>
            <w:r w:rsidR="005C77E2" w:rsidRPr="00DE392E">
              <w:rPr>
                <w:iCs/>
              </w:rPr>
              <w:t xml:space="preserve"> </w:t>
            </w:r>
            <w:r w:rsidR="005C77E2">
              <w:rPr>
                <w:iCs/>
              </w:rPr>
              <w:t xml:space="preserve">ar </w:t>
            </w:r>
            <w:r w:rsidR="005C77E2" w:rsidRPr="00DE392E">
              <w:rPr>
                <w:iCs/>
              </w:rPr>
              <w:t xml:space="preserve">Ministru </w:t>
            </w:r>
            <w:r w:rsidR="005C77E2">
              <w:rPr>
                <w:iCs/>
              </w:rPr>
              <w:t>kabineta 2011.gada 16</w:t>
            </w:r>
            <w:r w:rsidR="005C77E2" w:rsidRPr="00DE392E">
              <w:rPr>
                <w:iCs/>
              </w:rPr>
              <w:t>.</w:t>
            </w:r>
            <w:r w:rsidR="005C77E2">
              <w:rPr>
                <w:iCs/>
              </w:rPr>
              <w:t>marta rīkojumu Nr.99</w:t>
            </w:r>
            <w:r w:rsidR="005C77E2" w:rsidRPr="00874067">
              <w:rPr>
                <w:i/>
                <w:iCs/>
              </w:rPr>
              <w:t xml:space="preserve"> </w:t>
            </w:r>
            <w:r w:rsidR="005C77E2" w:rsidRPr="00874067">
              <w:rPr>
                <w:iCs/>
              </w:rPr>
              <w:t>„Par Latvijas Republikas pārstāvjiem jauktajā komisijā”</w:t>
            </w:r>
            <w:r w:rsidR="005C77E2">
              <w:rPr>
                <w:iCs/>
              </w:rPr>
              <w:t>.</w:t>
            </w:r>
          </w:p>
          <w:p w:rsidR="005121B2" w:rsidRPr="00E82CAE" w:rsidRDefault="005121B2" w:rsidP="005121B2">
            <w:pPr>
              <w:ind w:left="142" w:firstLine="668"/>
              <w:contextualSpacing/>
              <w:jc w:val="both"/>
              <w:rPr>
                <w:b/>
                <w:szCs w:val="28"/>
              </w:rPr>
            </w:pPr>
            <w:r w:rsidRPr="00E82CAE">
              <w:rPr>
                <w:szCs w:val="28"/>
              </w:rPr>
              <w:t xml:space="preserve">Vienošanās izpildes vērtējums </w:t>
            </w:r>
            <w:r w:rsidR="00C436BF">
              <w:rPr>
                <w:szCs w:val="28"/>
              </w:rPr>
              <w:t xml:space="preserve">līdz 2011.gadam </w:t>
            </w:r>
            <w:r w:rsidRPr="00E82CAE">
              <w:rPr>
                <w:szCs w:val="28"/>
              </w:rPr>
              <w:t xml:space="preserve">pamatā sniegts </w:t>
            </w:r>
            <w:r w:rsidRPr="00E82CAE">
              <w:t>Valsts kontroles un Krievijas</w:t>
            </w:r>
            <w:r w:rsidR="00FB0BB9">
              <w:t xml:space="preserve"> Federācijas Revīzijas palātas </w:t>
            </w:r>
            <w:r w:rsidRPr="00E82CAE">
              <w:t>kopējā informatīvajā z</w:t>
            </w:r>
            <w:r w:rsidR="00D87535">
              <w:t xml:space="preserve">iņojumā (Valsts kontroles </w:t>
            </w:r>
            <w:r w:rsidRPr="00E82CAE">
              <w:t>2011.</w:t>
            </w:r>
            <w:r w:rsidR="00D87535">
              <w:t>gada 21.novembra</w:t>
            </w:r>
            <w:r w:rsidR="006623D0">
              <w:t xml:space="preserve"> vēstule Nr.9-</w:t>
            </w:r>
            <w:r w:rsidRPr="00E82CAE">
              <w:t>5.1-2/1568). Konstatētās nepilnības Vienošanās izpildē galvenokārt attiecināmas uz Krievijas pusi.</w:t>
            </w:r>
            <w:r w:rsidRPr="00E82CAE">
              <w:rPr>
                <w:szCs w:val="28"/>
              </w:rPr>
              <w:t xml:space="preserve"> Jāatzīmē, ka </w:t>
            </w:r>
            <w:r w:rsidRPr="00E82CAE">
              <w:t xml:space="preserve">Valsts kontroles un Revīzijas palātas kopējā revīzija Vienošanās izpildes jautājumos veicinājusi Krievijas puses atbalstu Jauktās komisijas </w:t>
            </w:r>
            <w:r w:rsidR="00FB0BB9">
              <w:t xml:space="preserve">pirmās sēdes </w:t>
            </w:r>
            <w:r w:rsidR="00D87535">
              <w:t>sasaukšanai (</w:t>
            </w:r>
            <w:r w:rsidRPr="00E82CAE">
              <w:t>2011.</w:t>
            </w:r>
            <w:r w:rsidR="00D87535">
              <w:t>gada 23.novembrī</w:t>
            </w:r>
            <w:r w:rsidRPr="00E82CAE">
              <w:t>), bet nav veicinājusi Vienošanās uzdevumu izpildi no Krievijas puses.</w:t>
            </w:r>
          </w:p>
          <w:p w:rsidR="005121B2" w:rsidRPr="00E82CAE" w:rsidRDefault="005121B2" w:rsidP="005121B2">
            <w:pPr>
              <w:ind w:left="90" w:firstLine="360"/>
              <w:jc w:val="both"/>
            </w:pPr>
            <w:r w:rsidRPr="00E82CAE">
              <w:tab/>
            </w:r>
            <w:r w:rsidR="005C77E2">
              <w:t>Vienošanās izpildē 2012.</w:t>
            </w:r>
            <w:r w:rsidRPr="00E82CAE">
              <w:t>gadā ir panākts neliels</w:t>
            </w:r>
            <w:r w:rsidR="005C77E2">
              <w:t xml:space="preserve"> progress jautājumā par vairākās</w:t>
            </w:r>
            <w:r w:rsidRPr="00E82CAE">
              <w:t xml:space="preserve"> Krievijas </w:t>
            </w:r>
            <w:r w:rsidR="005C77E2">
              <w:t xml:space="preserve">karagūstekņu </w:t>
            </w:r>
            <w:r w:rsidR="002C197D">
              <w:t>nometnēs bojā gājušo Otrā</w:t>
            </w:r>
            <w:r w:rsidRPr="00E82CAE">
              <w:t xml:space="preserve"> pasaules kara Latvijas izcelsmes karagūstekņu apbedījumu vietām un personu sarakstiem.</w:t>
            </w:r>
          </w:p>
          <w:p w:rsidR="005121B2" w:rsidRPr="00E82CAE" w:rsidRDefault="005121B2" w:rsidP="005121B2">
            <w:pPr>
              <w:ind w:firstLine="450"/>
              <w:jc w:val="both"/>
            </w:pPr>
            <w:r w:rsidRPr="00E82CAE">
              <w:lastRenderedPageBreak/>
              <w:tab/>
              <w:t>Pagaidām konstruktīvs risinājums represēto Latvijas personu apbedījuma vietu un personu sarakstu veidošanā un šo vietu uzturēšanā, kā to paredz Vienošanās, nav panākts, jo to izpildi būtiski aizkavē Krievijas puses rīcība un bezdarbība vairākos jautājumos:</w:t>
            </w:r>
          </w:p>
          <w:p w:rsidR="005121B2" w:rsidRPr="00E82CAE" w:rsidRDefault="005121B2" w:rsidP="005121B2">
            <w:pPr>
              <w:ind w:left="450"/>
              <w:jc w:val="both"/>
            </w:pPr>
            <w:r w:rsidRPr="00E82CAE">
              <w:t xml:space="preserve">1. tiek novilcināta </w:t>
            </w:r>
            <w:r w:rsidR="00671AB0">
              <w:t xml:space="preserve">politiski </w:t>
            </w:r>
            <w:r w:rsidRPr="00E82CAE">
              <w:t>represēto Latvijai piederīgo personu apbedījuma vietu un personu saraksta sastādīšana;</w:t>
            </w:r>
          </w:p>
          <w:p w:rsidR="005121B2" w:rsidRPr="00E82CAE" w:rsidRDefault="005121B2" w:rsidP="005121B2">
            <w:pPr>
              <w:ind w:left="450"/>
              <w:jc w:val="both"/>
            </w:pPr>
            <w:r w:rsidRPr="00E82CAE">
              <w:t>2. nav noteikta (vai Latvijas puse nav informēta) pilnvarota Krievijas Federācijas institūcija, kas varētu sniegt atbildes par</w:t>
            </w:r>
            <w:r w:rsidR="00671AB0">
              <w:t xml:space="preserve"> politiski</w:t>
            </w:r>
            <w:r w:rsidRPr="00E82CAE">
              <w:t xml:space="preserve"> represēto Latvijai piederīgo personu apbedījuma vietu sarakstiem;</w:t>
            </w:r>
          </w:p>
          <w:p w:rsidR="00546535" w:rsidRDefault="005121B2" w:rsidP="00546535">
            <w:pPr>
              <w:ind w:left="450"/>
              <w:jc w:val="both"/>
            </w:pPr>
            <w:r w:rsidRPr="00E82CAE">
              <w:t xml:space="preserve">3. Krievijas Federācijas pašvaldībām nav noteikts </w:t>
            </w:r>
            <w:r w:rsidR="00671AB0">
              <w:t xml:space="preserve">politiski </w:t>
            </w:r>
            <w:r w:rsidRPr="00E82CAE">
              <w:t>represēto personu apbedījuma vietu uzturēšanas uzdevums un nav paredzēts finansējums.</w:t>
            </w:r>
          </w:p>
          <w:p w:rsidR="00546535" w:rsidRDefault="00546535" w:rsidP="00546535">
            <w:pPr>
              <w:ind w:left="450"/>
              <w:jc w:val="both"/>
            </w:pPr>
          </w:p>
          <w:p w:rsidR="00C436BF" w:rsidRDefault="00546535" w:rsidP="00C436BF">
            <w:pPr>
              <w:ind w:left="68" w:firstLine="382"/>
              <w:jc w:val="both"/>
            </w:pPr>
            <w:r>
              <w:t>Ņ</w:t>
            </w:r>
            <w:r w:rsidR="00FB0BB9">
              <w:t>emot vērā, ka Vienošanās izpildē</w:t>
            </w:r>
            <w:r>
              <w:t xml:space="preserve"> Jauktās komisijas Latvijas puses pārstāvji</w:t>
            </w:r>
            <w:r w:rsidR="00FB0BB9">
              <w:t>em</w:t>
            </w:r>
            <w:r>
              <w:t>,</w:t>
            </w:r>
            <w:r w:rsidR="00FB0BB9">
              <w:t xml:space="preserve"> </w:t>
            </w:r>
            <w:r>
              <w:t xml:space="preserve">risinot jautājumus par politiski </w:t>
            </w:r>
            <w:r w:rsidRPr="00E82CAE">
              <w:t xml:space="preserve">represēto Latvijai piederīgo personu </w:t>
            </w:r>
            <w:r w:rsidR="00671AB0">
              <w:t>statusu,</w:t>
            </w:r>
            <w:r w:rsidR="00FB0BB9">
              <w:t xml:space="preserve"> t.</w:t>
            </w:r>
            <w:r w:rsidR="002C197D">
              <w:t xml:space="preserve"> </w:t>
            </w:r>
            <w:proofErr w:type="spellStart"/>
            <w:r w:rsidR="00FB0BB9">
              <w:t>sk</w:t>
            </w:r>
            <w:proofErr w:type="spellEnd"/>
            <w:r w:rsidR="00FB0BB9">
              <w:t>.</w:t>
            </w:r>
            <w:r w:rsidR="00671AB0">
              <w:t xml:space="preserve"> K</w:t>
            </w:r>
            <w:r w:rsidR="002C197D">
              <w:t xml:space="preserve">rievijas </w:t>
            </w:r>
            <w:r w:rsidR="00671AB0">
              <w:t>F</w:t>
            </w:r>
            <w:r w:rsidR="002C197D">
              <w:t>ederācijas</w:t>
            </w:r>
            <w:r w:rsidR="00671AB0">
              <w:t xml:space="preserve"> Kriminālkodeksa attiecīgo pantu piemērošanu šīm</w:t>
            </w:r>
            <w:r w:rsidR="00FB0BB9">
              <w:t xml:space="preserve"> </w:t>
            </w:r>
            <w:r w:rsidR="00671AB0">
              <w:t>personā</w:t>
            </w:r>
            <w:r w:rsidR="00FB0BB9">
              <w:t>m</w:t>
            </w:r>
            <w:r w:rsidR="00671AB0">
              <w:t xml:space="preserve">, kā arī </w:t>
            </w:r>
            <w:r w:rsidR="00FB0BB9">
              <w:t xml:space="preserve">par </w:t>
            </w:r>
            <w:r w:rsidR="00671AB0">
              <w:t>apbedījuma vietām</w:t>
            </w:r>
            <w:r w:rsidRPr="00E82CAE">
              <w:t xml:space="preserve"> </w:t>
            </w:r>
            <w:r>
              <w:t xml:space="preserve">un personu </w:t>
            </w:r>
            <w:r w:rsidRPr="00E82CAE">
              <w:t>sarakstiem</w:t>
            </w:r>
            <w:r w:rsidR="00671AB0">
              <w:t>, Jauktās komisijas Latvijas puses sastāvā tiek aicināts L</w:t>
            </w:r>
            <w:r w:rsidR="002C197D">
              <w:t xml:space="preserve">atvijas </w:t>
            </w:r>
            <w:r w:rsidR="00671AB0">
              <w:t>R</w:t>
            </w:r>
            <w:r w:rsidR="002C197D">
              <w:t>epublikas</w:t>
            </w:r>
            <w:r w:rsidR="00671AB0">
              <w:t xml:space="preserve"> Tieslietu ministrijas pārstāvis</w:t>
            </w:r>
            <w:r w:rsidR="00FB0BB9">
              <w:t>.</w:t>
            </w:r>
          </w:p>
          <w:p w:rsidR="006F704E" w:rsidRDefault="006F704E" w:rsidP="00C436BF">
            <w:pPr>
              <w:ind w:left="68" w:firstLine="382"/>
              <w:jc w:val="both"/>
            </w:pPr>
            <w:r w:rsidRPr="005221AC">
              <w:t xml:space="preserve">Ievērojot Vienošanās noteikto Latvijas puses uzdevumu veicināt Latvijas </w:t>
            </w:r>
            <w:r w:rsidRPr="00964FFF">
              <w:t>Republikas teritorijā esošo Krievijas apbedījumu apzināšanu, uzskaiti, un uzturēšanu, kā arī jautājumu risināšanu saistībā ar karavīru un civiliedzīvotāju, k</w:t>
            </w:r>
            <w:r>
              <w:t>uri</w:t>
            </w:r>
            <w:r w:rsidRPr="00964FFF">
              <w:t xml:space="preserve"> krituši vai miruši karu un represiju rezultātā, mirstīgo atlieku ekshumāciju, pārvešanu un pārapbedīšanu,</w:t>
            </w:r>
            <w:r w:rsidR="00671AB0">
              <w:t xml:space="preserve"> kā arī apbedījuma vietu zemes piederības jautājumus,</w:t>
            </w:r>
            <w:r w:rsidRPr="00964FFF">
              <w:t xml:space="preserve"> </w:t>
            </w:r>
            <w:r w:rsidR="000F2316">
              <w:t>Jauktās komisijas La</w:t>
            </w:r>
            <w:r w:rsidR="00671AB0">
              <w:t>tvijas puses sastāvā tiek aicināts</w:t>
            </w:r>
            <w:r w:rsidR="000F2316">
              <w:t xml:space="preserve"> Latvijas Pašvaldību savienības pārst</w:t>
            </w:r>
            <w:r w:rsidR="00C436BF">
              <w:t>āvis.</w:t>
            </w:r>
            <w:r w:rsidR="000F2316">
              <w:t xml:space="preserve"> </w:t>
            </w:r>
          </w:p>
          <w:p w:rsidR="003C71BE" w:rsidRPr="009A2CEB" w:rsidRDefault="003C71BE" w:rsidP="0014664F">
            <w:pPr>
              <w:jc w:val="both"/>
            </w:pPr>
          </w:p>
        </w:tc>
      </w:tr>
      <w:tr w:rsidR="003C71BE" w:rsidRPr="0028564C" w:rsidTr="0014664F">
        <w:tc>
          <w:tcPr>
            <w:tcW w:w="491" w:type="dxa"/>
          </w:tcPr>
          <w:p w:rsidR="003C71BE" w:rsidRPr="009A2CEB" w:rsidRDefault="003C71BE" w:rsidP="0014664F">
            <w:pPr>
              <w:pStyle w:val="naiskr"/>
              <w:spacing w:before="0" w:after="0"/>
            </w:pPr>
            <w:r w:rsidRPr="009A2CEB">
              <w:lastRenderedPageBreak/>
              <w:t>3.</w:t>
            </w:r>
          </w:p>
        </w:tc>
        <w:tc>
          <w:tcPr>
            <w:tcW w:w="2843" w:type="dxa"/>
          </w:tcPr>
          <w:p w:rsidR="003C71BE" w:rsidRPr="009A2CEB" w:rsidRDefault="003C71BE" w:rsidP="0014664F">
            <w:pPr>
              <w:pStyle w:val="naiskr"/>
              <w:spacing w:before="0" w:after="0"/>
            </w:pPr>
            <w:r w:rsidRPr="009A2CEB">
              <w:t>Saistītie politikas ietekmes novērtējumi un pētījumi</w:t>
            </w:r>
          </w:p>
        </w:tc>
        <w:tc>
          <w:tcPr>
            <w:tcW w:w="5954" w:type="dxa"/>
          </w:tcPr>
          <w:p w:rsidR="003C71BE" w:rsidRPr="0028564C" w:rsidRDefault="003C71BE" w:rsidP="0014664F">
            <w:pPr>
              <w:widowControl w:val="0"/>
              <w:tabs>
                <w:tab w:val="left" w:pos="3969"/>
                <w:tab w:val="left" w:pos="6237"/>
              </w:tabs>
              <w:autoSpaceDE w:val="0"/>
              <w:autoSpaceDN w:val="0"/>
              <w:adjustRightInd w:val="0"/>
              <w:rPr>
                <w:b/>
              </w:rPr>
            </w:pPr>
            <w:r w:rsidRPr="009A2CEB">
              <w:t>Nav attiecināms.</w:t>
            </w:r>
          </w:p>
        </w:tc>
      </w:tr>
      <w:tr w:rsidR="003C71BE" w:rsidRPr="0028564C" w:rsidTr="0014664F">
        <w:tc>
          <w:tcPr>
            <w:tcW w:w="491" w:type="dxa"/>
          </w:tcPr>
          <w:p w:rsidR="003C71BE" w:rsidRPr="0028564C" w:rsidRDefault="003C71BE" w:rsidP="0014664F">
            <w:pPr>
              <w:widowControl w:val="0"/>
              <w:tabs>
                <w:tab w:val="left" w:pos="3969"/>
                <w:tab w:val="left" w:pos="6237"/>
              </w:tabs>
              <w:autoSpaceDE w:val="0"/>
              <w:autoSpaceDN w:val="0"/>
              <w:adjustRightInd w:val="0"/>
              <w:jc w:val="center"/>
              <w:rPr>
                <w:b/>
              </w:rPr>
            </w:pPr>
            <w:r w:rsidRPr="009A2CEB">
              <w:t>4.</w:t>
            </w:r>
          </w:p>
        </w:tc>
        <w:tc>
          <w:tcPr>
            <w:tcW w:w="2843" w:type="dxa"/>
          </w:tcPr>
          <w:p w:rsidR="003C71BE" w:rsidRPr="0028564C" w:rsidRDefault="003C71BE" w:rsidP="0014664F">
            <w:pPr>
              <w:widowControl w:val="0"/>
              <w:tabs>
                <w:tab w:val="left" w:pos="3969"/>
                <w:tab w:val="left" w:pos="6237"/>
              </w:tabs>
              <w:autoSpaceDE w:val="0"/>
              <w:autoSpaceDN w:val="0"/>
              <w:adjustRightInd w:val="0"/>
              <w:rPr>
                <w:b/>
              </w:rPr>
            </w:pPr>
            <w:r w:rsidRPr="009A2CEB">
              <w:t>Tiesiskā regulējuma mērķis un būtība</w:t>
            </w:r>
          </w:p>
        </w:tc>
        <w:tc>
          <w:tcPr>
            <w:tcW w:w="5954" w:type="dxa"/>
          </w:tcPr>
          <w:p w:rsidR="003C71BE" w:rsidRPr="009A2CEB" w:rsidRDefault="004131BD" w:rsidP="004131BD">
            <w:pPr>
              <w:pStyle w:val="naiskr"/>
              <w:spacing w:before="0" w:after="0"/>
              <w:jc w:val="both"/>
            </w:pPr>
            <w:r>
              <w:t xml:space="preserve">Pilnveidot Jauktās komisijas Latvijas puses darbu un sagatavot priekšlikumus attiecīgo Vienošanās uzdevumu izpildei. </w:t>
            </w:r>
          </w:p>
        </w:tc>
      </w:tr>
      <w:tr w:rsidR="003C71BE" w:rsidRPr="0028564C" w:rsidTr="0014664F">
        <w:tc>
          <w:tcPr>
            <w:tcW w:w="491" w:type="dxa"/>
          </w:tcPr>
          <w:p w:rsidR="003C71BE" w:rsidRPr="009A2CEB" w:rsidRDefault="003C71BE" w:rsidP="0014664F">
            <w:pPr>
              <w:pStyle w:val="naiskr"/>
              <w:spacing w:before="0" w:after="0"/>
            </w:pPr>
            <w:r w:rsidRPr="009A2CEB">
              <w:t>5.</w:t>
            </w:r>
          </w:p>
        </w:tc>
        <w:tc>
          <w:tcPr>
            <w:tcW w:w="2843" w:type="dxa"/>
          </w:tcPr>
          <w:p w:rsidR="003C71BE" w:rsidRPr="009A2CEB" w:rsidRDefault="003C71BE" w:rsidP="0014664F">
            <w:pPr>
              <w:pStyle w:val="naiskr"/>
              <w:spacing w:before="0" w:after="0"/>
            </w:pPr>
            <w:r w:rsidRPr="009A2CEB">
              <w:t>Projekta izstrādē iesaistītās institūcijas</w:t>
            </w:r>
          </w:p>
        </w:tc>
        <w:tc>
          <w:tcPr>
            <w:tcW w:w="5954" w:type="dxa"/>
          </w:tcPr>
          <w:p w:rsidR="003C71BE" w:rsidRPr="009A2CEB" w:rsidRDefault="003C71BE" w:rsidP="0014664F">
            <w:pPr>
              <w:pStyle w:val="naiskr"/>
              <w:jc w:val="both"/>
            </w:pPr>
            <w:r w:rsidRPr="009A2CEB">
              <w:t>Projekts izstrādāts Aizsardzības ministrijā.</w:t>
            </w:r>
          </w:p>
        </w:tc>
      </w:tr>
      <w:tr w:rsidR="003C71BE" w:rsidRPr="0028564C" w:rsidTr="0014664F">
        <w:tc>
          <w:tcPr>
            <w:tcW w:w="491" w:type="dxa"/>
          </w:tcPr>
          <w:p w:rsidR="003C71BE" w:rsidRPr="009A2CEB" w:rsidRDefault="003C71BE" w:rsidP="0014664F">
            <w:pPr>
              <w:pStyle w:val="naiskr"/>
              <w:spacing w:before="0" w:after="0"/>
            </w:pPr>
            <w:r w:rsidRPr="009A2CEB">
              <w:t>6.</w:t>
            </w:r>
          </w:p>
        </w:tc>
        <w:tc>
          <w:tcPr>
            <w:tcW w:w="2843" w:type="dxa"/>
          </w:tcPr>
          <w:p w:rsidR="003C71BE" w:rsidRPr="0028564C" w:rsidRDefault="003C71BE" w:rsidP="0014664F">
            <w:pPr>
              <w:pStyle w:val="naiskr"/>
              <w:spacing w:before="0" w:after="0"/>
              <w:rPr>
                <w:i/>
                <w:highlight w:val="yellow"/>
              </w:rPr>
            </w:pPr>
            <w:r w:rsidRPr="009A2CEB">
              <w:t>Iemesli, kādēļ netika nodrošināta sabiedrības līdzdalība</w:t>
            </w:r>
          </w:p>
        </w:tc>
        <w:tc>
          <w:tcPr>
            <w:tcW w:w="5954" w:type="dxa"/>
          </w:tcPr>
          <w:p w:rsidR="003C71BE" w:rsidRPr="009A2CEB" w:rsidRDefault="003C71BE" w:rsidP="00367CDE">
            <w:pPr>
              <w:pStyle w:val="naiskr"/>
              <w:jc w:val="both"/>
            </w:pPr>
            <w:r w:rsidRPr="009A2CEB">
              <w:t>MK rīkojuma pro</w:t>
            </w:r>
            <w:r w:rsidR="00367CDE">
              <w:t>jekta būtība nosaka, ka sabiedrības līdzdalība nav nepieciešama, jo tiesiskais regulējums neietekmē nevienu</w:t>
            </w:r>
            <w:r w:rsidRPr="009A2CEB">
              <w:t xml:space="preserve"> sabied</w:t>
            </w:r>
            <w:r w:rsidR="00367CDE">
              <w:t>rības grupu un</w:t>
            </w:r>
            <w:r w:rsidRPr="009A2CEB">
              <w:t xml:space="preserve">. </w:t>
            </w:r>
            <w:r>
              <w:t>neierobežo indivīda tiesības.</w:t>
            </w:r>
          </w:p>
        </w:tc>
      </w:tr>
      <w:tr w:rsidR="003C71BE" w:rsidRPr="0028564C" w:rsidTr="0014664F">
        <w:tc>
          <w:tcPr>
            <w:tcW w:w="491" w:type="dxa"/>
          </w:tcPr>
          <w:p w:rsidR="003C71BE" w:rsidRPr="009A2CEB" w:rsidRDefault="003C71BE" w:rsidP="0014664F">
            <w:pPr>
              <w:pStyle w:val="naiskr"/>
              <w:spacing w:before="0" w:after="0"/>
            </w:pPr>
            <w:r w:rsidRPr="009A2CEB">
              <w:t>7.</w:t>
            </w:r>
          </w:p>
        </w:tc>
        <w:tc>
          <w:tcPr>
            <w:tcW w:w="2843" w:type="dxa"/>
          </w:tcPr>
          <w:p w:rsidR="003C71BE" w:rsidRPr="009A2CEB" w:rsidRDefault="003C71BE" w:rsidP="0014664F">
            <w:pPr>
              <w:pStyle w:val="naiskr"/>
              <w:spacing w:before="0" w:after="0"/>
            </w:pPr>
            <w:r w:rsidRPr="009A2CEB">
              <w:t>Cita informācija</w:t>
            </w:r>
          </w:p>
        </w:tc>
        <w:tc>
          <w:tcPr>
            <w:tcW w:w="5954" w:type="dxa"/>
          </w:tcPr>
          <w:p w:rsidR="003C71BE" w:rsidRPr="009A2CEB" w:rsidRDefault="003C71BE" w:rsidP="00367CDE">
            <w:pPr>
              <w:pStyle w:val="naiskr"/>
              <w:spacing w:before="0" w:after="0"/>
            </w:pPr>
            <w:r w:rsidRPr="009A2CEB">
              <w:t>Izdevumus sedz no Aizsardzības m</w:t>
            </w:r>
            <w:r w:rsidR="00671AB0">
              <w:t>i</w:t>
            </w:r>
            <w:r w:rsidR="00367CDE">
              <w:t>nistrijas budžeta programmas 12</w:t>
            </w:r>
            <w:r w:rsidRPr="009A2CEB">
              <w:t>.00.0</w:t>
            </w:r>
            <w:r w:rsidR="00671AB0">
              <w:t>0</w:t>
            </w:r>
            <w:r w:rsidR="00367CDE">
              <w:t xml:space="preserve"> „Kara muzejs”.</w:t>
            </w:r>
          </w:p>
        </w:tc>
      </w:tr>
    </w:tbl>
    <w:p w:rsidR="003C71BE" w:rsidRPr="009A2CEB" w:rsidRDefault="003C71BE" w:rsidP="003C71BE">
      <w:pPr>
        <w:pStyle w:val="naisf"/>
        <w:spacing w:before="0" w:after="0"/>
        <w:ind w:firstLine="0"/>
      </w:pPr>
    </w:p>
    <w:p w:rsidR="003C71BE" w:rsidRPr="009A2CEB" w:rsidRDefault="003C71BE" w:rsidP="003C71BE">
      <w:pPr>
        <w:pStyle w:val="naisf"/>
        <w:spacing w:before="0" w:after="0"/>
        <w:ind w:firstLine="0"/>
      </w:pPr>
      <w:r w:rsidRPr="009A2CEB">
        <w:t xml:space="preserve">Anotācijas </w:t>
      </w:r>
      <w:r w:rsidRPr="0042281E">
        <w:rPr>
          <w:i/>
        </w:rPr>
        <w:t>II., III., IV., V. un VI</w:t>
      </w:r>
      <w:r w:rsidRPr="009A2CEB">
        <w:t xml:space="preserve">. sadaļa </w:t>
      </w:r>
      <w:r>
        <w:t>–</w:t>
      </w:r>
      <w:r w:rsidRPr="009A2CEB">
        <w:t xml:space="preserve"> nav</w:t>
      </w:r>
      <w:r>
        <w:t xml:space="preserve"> </w:t>
      </w:r>
      <w:r w:rsidRPr="009A2CEB">
        <w:t>attiecināms.</w:t>
      </w:r>
    </w:p>
    <w:p w:rsidR="003C71BE" w:rsidRDefault="003C71BE" w:rsidP="003C71BE">
      <w:pPr>
        <w:pStyle w:val="naiskr"/>
      </w:pPr>
    </w:p>
    <w:p w:rsidR="003C71BE" w:rsidRPr="009A2CEB" w:rsidRDefault="003C71BE" w:rsidP="003C71BE">
      <w:pPr>
        <w:pStyle w:val="naiskr"/>
      </w:pPr>
    </w:p>
    <w:tbl>
      <w:tblPr>
        <w:tblW w:w="5460"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36"/>
        <w:gridCol w:w="5038"/>
        <w:gridCol w:w="3468"/>
      </w:tblGrid>
      <w:tr w:rsidR="003C71BE" w:rsidRPr="009A2CEB" w:rsidTr="00367CDE">
        <w:tc>
          <w:tcPr>
            <w:tcW w:w="5000" w:type="pct"/>
            <w:gridSpan w:val="3"/>
            <w:tcBorders>
              <w:top w:val="outset" w:sz="6" w:space="0" w:color="000000"/>
              <w:bottom w:val="outset" w:sz="6" w:space="0" w:color="000000"/>
            </w:tcBorders>
          </w:tcPr>
          <w:p w:rsidR="003C71BE" w:rsidRPr="009A2CEB" w:rsidRDefault="003C71BE" w:rsidP="0014664F">
            <w:pPr>
              <w:spacing w:before="100" w:beforeAutospacing="1" w:after="100" w:afterAutospacing="1"/>
              <w:jc w:val="center"/>
              <w:rPr>
                <w:b/>
                <w:bCs/>
              </w:rPr>
            </w:pPr>
            <w:r w:rsidRPr="009A2CEB">
              <w:t> </w:t>
            </w:r>
            <w:r w:rsidRPr="009A2CEB">
              <w:rPr>
                <w:b/>
                <w:bCs/>
              </w:rPr>
              <w:t>VII. Tiesību akta projekta izpildes nodrošināšana un tās ietekme uz institūcijām</w:t>
            </w:r>
          </w:p>
        </w:tc>
      </w:tr>
      <w:tr w:rsidR="003C71BE" w:rsidRPr="009A2CEB" w:rsidTr="00367CDE">
        <w:tc>
          <w:tcPr>
            <w:tcW w:w="307" w:type="pct"/>
            <w:tcBorders>
              <w:top w:val="outset" w:sz="6" w:space="0" w:color="000000"/>
              <w:bottom w:val="outset" w:sz="6" w:space="0" w:color="000000"/>
              <w:right w:val="outset" w:sz="6" w:space="0" w:color="000000"/>
            </w:tcBorders>
          </w:tcPr>
          <w:p w:rsidR="003C71BE" w:rsidRPr="009A2CEB" w:rsidRDefault="003C71BE" w:rsidP="001D01D0">
            <w:pPr>
              <w:pStyle w:val="ListParagraph"/>
              <w:spacing w:before="100" w:beforeAutospacing="1" w:after="100" w:afterAutospacing="1"/>
              <w:ind w:hanging="324"/>
            </w:pPr>
            <w:r w:rsidRPr="009A2CEB">
              <w:t>1.</w:t>
            </w:r>
          </w:p>
        </w:tc>
        <w:tc>
          <w:tcPr>
            <w:tcW w:w="2776" w:type="pct"/>
            <w:tcBorders>
              <w:top w:val="outset" w:sz="6" w:space="0" w:color="000000"/>
              <w:left w:val="outset" w:sz="6" w:space="0" w:color="000000"/>
              <w:bottom w:val="outset" w:sz="6" w:space="0" w:color="000000"/>
              <w:right w:val="outset" w:sz="6" w:space="0" w:color="000000"/>
            </w:tcBorders>
          </w:tcPr>
          <w:p w:rsidR="00367CDE" w:rsidRPr="009A2CEB" w:rsidRDefault="003C71BE" w:rsidP="00CD51F6">
            <w:pPr>
              <w:pStyle w:val="ListParagraph"/>
              <w:spacing w:before="100" w:beforeAutospacing="1" w:after="100" w:afterAutospacing="1"/>
              <w:ind w:hanging="575"/>
            </w:pPr>
            <w:r w:rsidRPr="009A2CEB">
              <w:t>Projekta izpildē iesaistītās institūcijas</w:t>
            </w:r>
          </w:p>
        </w:tc>
        <w:tc>
          <w:tcPr>
            <w:tcW w:w="1917" w:type="pct"/>
            <w:tcBorders>
              <w:top w:val="outset" w:sz="6" w:space="0" w:color="000000"/>
              <w:left w:val="outset" w:sz="6" w:space="0" w:color="000000"/>
              <w:bottom w:val="outset" w:sz="6" w:space="0" w:color="000000"/>
            </w:tcBorders>
          </w:tcPr>
          <w:p w:rsidR="00CD51F6" w:rsidRDefault="003C71BE" w:rsidP="00CD51F6">
            <w:pPr>
              <w:pStyle w:val="ListParagraph"/>
              <w:spacing w:before="100" w:beforeAutospacing="1" w:after="100" w:afterAutospacing="1"/>
              <w:ind w:hanging="632"/>
            </w:pPr>
            <w:r w:rsidRPr="009A2CEB">
              <w:t>Aizsardzības ministrija</w:t>
            </w:r>
            <w:r w:rsidR="00367CDE">
              <w:t>,</w:t>
            </w:r>
          </w:p>
          <w:p w:rsidR="00367CDE" w:rsidRDefault="00367CDE" w:rsidP="00CD51F6">
            <w:pPr>
              <w:pStyle w:val="ListParagraph"/>
              <w:spacing w:before="100" w:beforeAutospacing="1" w:after="100" w:afterAutospacing="1"/>
              <w:ind w:hanging="632"/>
            </w:pPr>
            <w:r>
              <w:t>Tieslietu ministrija</w:t>
            </w:r>
            <w:r w:rsidR="00B949A1">
              <w:t>,</w:t>
            </w:r>
          </w:p>
          <w:p w:rsidR="00367CDE" w:rsidRPr="009A2CEB" w:rsidRDefault="00CD51F6" w:rsidP="00CD51F6">
            <w:pPr>
              <w:pStyle w:val="ListParagraph"/>
              <w:spacing w:before="100" w:beforeAutospacing="1" w:after="100" w:afterAutospacing="1"/>
              <w:ind w:left="0" w:hanging="54"/>
            </w:pPr>
            <w:r>
              <w:t xml:space="preserve">  L</w:t>
            </w:r>
            <w:r w:rsidR="00367CDE">
              <w:t>atvijas Pašvaldību savienība</w:t>
            </w:r>
          </w:p>
        </w:tc>
      </w:tr>
      <w:tr w:rsidR="003C71BE" w:rsidRPr="009A2CEB" w:rsidTr="00367CDE">
        <w:tc>
          <w:tcPr>
            <w:tcW w:w="307" w:type="pct"/>
            <w:tcBorders>
              <w:top w:val="outset" w:sz="6" w:space="0" w:color="000000"/>
              <w:bottom w:val="outset" w:sz="6" w:space="0" w:color="000000"/>
              <w:right w:val="outset" w:sz="6" w:space="0" w:color="000000"/>
            </w:tcBorders>
          </w:tcPr>
          <w:p w:rsidR="003C71BE" w:rsidRPr="009A2CEB" w:rsidRDefault="003C71BE" w:rsidP="001D01D0">
            <w:pPr>
              <w:spacing w:before="100" w:beforeAutospacing="1" w:after="100" w:afterAutospacing="1"/>
              <w:jc w:val="center"/>
            </w:pPr>
            <w:r w:rsidRPr="009A2CEB">
              <w:t>2.</w:t>
            </w:r>
          </w:p>
        </w:tc>
        <w:tc>
          <w:tcPr>
            <w:tcW w:w="2776" w:type="pct"/>
            <w:tcBorders>
              <w:top w:val="outset" w:sz="6" w:space="0" w:color="000000"/>
              <w:left w:val="outset" w:sz="6" w:space="0" w:color="000000"/>
              <w:bottom w:val="outset" w:sz="6" w:space="0" w:color="000000"/>
              <w:right w:val="outset" w:sz="6" w:space="0" w:color="000000"/>
            </w:tcBorders>
          </w:tcPr>
          <w:p w:rsidR="003C71BE" w:rsidRPr="009A2CEB" w:rsidRDefault="003C71BE" w:rsidP="0014664F">
            <w:pPr>
              <w:spacing w:before="100" w:beforeAutospacing="1" w:after="100" w:afterAutospacing="1"/>
            </w:pPr>
            <w:r w:rsidRPr="009A2CEB">
              <w:t>Projekta izpildes ietekme uz pārvaldes funkcijām</w:t>
            </w:r>
          </w:p>
        </w:tc>
        <w:tc>
          <w:tcPr>
            <w:tcW w:w="1917" w:type="pct"/>
            <w:tcBorders>
              <w:top w:val="outset" w:sz="6" w:space="0" w:color="000000"/>
              <w:left w:val="outset" w:sz="6" w:space="0" w:color="000000"/>
              <w:bottom w:val="outset" w:sz="6" w:space="0" w:color="000000"/>
            </w:tcBorders>
          </w:tcPr>
          <w:p w:rsidR="003C71BE" w:rsidRPr="009A2CEB" w:rsidRDefault="003C71BE" w:rsidP="0014664F">
            <w:pPr>
              <w:spacing w:before="100" w:beforeAutospacing="1" w:after="100" w:afterAutospacing="1"/>
              <w:jc w:val="both"/>
            </w:pPr>
            <w:r w:rsidRPr="009A2CEB">
              <w:t>Rīkojuma projekta izpilde notiks esošo pārvaldes funkciju ietvaros.</w:t>
            </w:r>
          </w:p>
        </w:tc>
      </w:tr>
      <w:tr w:rsidR="003C71BE" w:rsidRPr="009A2CEB" w:rsidTr="00367CDE">
        <w:tc>
          <w:tcPr>
            <w:tcW w:w="307" w:type="pct"/>
            <w:tcBorders>
              <w:top w:val="outset" w:sz="6" w:space="0" w:color="000000"/>
              <w:bottom w:val="outset" w:sz="6" w:space="0" w:color="000000"/>
              <w:right w:val="outset" w:sz="6" w:space="0" w:color="000000"/>
            </w:tcBorders>
          </w:tcPr>
          <w:p w:rsidR="003C71BE" w:rsidRPr="009A2CEB" w:rsidRDefault="003C71BE" w:rsidP="001D01D0">
            <w:pPr>
              <w:spacing w:before="100" w:beforeAutospacing="1" w:after="100" w:afterAutospacing="1"/>
              <w:jc w:val="center"/>
            </w:pPr>
            <w:r w:rsidRPr="009A2CEB">
              <w:t>3.</w:t>
            </w:r>
          </w:p>
        </w:tc>
        <w:tc>
          <w:tcPr>
            <w:tcW w:w="2776" w:type="pct"/>
            <w:tcBorders>
              <w:top w:val="outset" w:sz="6" w:space="0" w:color="000000"/>
              <w:left w:val="outset" w:sz="6" w:space="0" w:color="000000"/>
              <w:bottom w:val="outset" w:sz="6" w:space="0" w:color="000000"/>
              <w:right w:val="outset" w:sz="6" w:space="0" w:color="000000"/>
            </w:tcBorders>
          </w:tcPr>
          <w:p w:rsidR="003C71BE" w:rsidRPr="009A2CEB" w:rsidRDefault="003C71BE" w:rsidP="0014664F">
            <w:pPr>
              <w:spacing w:before="100" w:beforeAutospacing="1" w:after="100" w:afterAutospacing="1"/>
            </w:pPr>
            <w:r w:rsidRPr="009A2CEB">
              <w:t>Projekta izpildes ietekme uz pārvaldes institucionālo struktūru. Jaunu institūciju izveide</w:t>
            </w:r>
          </w:p>
        </w:tc>
        <w:tc>
          <w:tcPr>
            <w:tcW w:w="1917" w:type="pct"/>
            <w:tcBorders>
              <w:top w:val="outset" w:sz="6" w:space="0" w:color="000000"/>
              <w:left w:val="outset" w:sz="6" w:space="0" w:color="000000"/>
              <w:bottom w:val="outset" w:sz="6" w:space="0" w:color="000000"/>
            </w:tcBorders>
          </w:tcPr>
          <w:p w:rsidR="003C71BE" w:rsidRPr="009A2CEB" w:rsidRDefault="003C71BE" w:rsidP="0014664F">
            <w:pPr>
              <w:spacing w:before="100" w:beforeAutospacing="1" w:after="100" w:afterAutospacing="1"/>
            </w:pPr>
            <w:r w:rsidRPr="009A2CEB">
              <w:t>Nav attiecināms.</w:t>
            </w:r>
          </w:p>
        </w:tc>
      </w:tr>
      <w:tr w:rsidR="003C71BE" w:rsidRPr="009A2CEB" w:rsidTr="00367CDE">
        <w:tc>
          <w:tcPr>
            <w:tcW w:w="307" w:type="pct"/>
            <w:tcBorders>
              <w:top w:val="outset" w:sz="6" w:space="0" w:color="000000"/>
              <w:bottom w:val="outset" w:sz="6" w:space="0" w:color="000000"/>
              <w:right w:val="outset" w:sz="6" w:space="0" w:color="000000"/>
            </w:tcBorders>
          </w:tcPr>
          <w:p w:rsidR="003C71BE" w:rsidRPr="009A2CEB" w:rsidRDefault="003C71BE" w:rsidP="001D01D0">
            <w:pPr>
              <w:spacing w:before="100" w:beforeAutospacing="1" w:after="100" w:afterAutospacing="1"/>
              <w:jc w:val="center"/>
            </w:pPr>
            <w:r w:rsidRPr="009A2CEB">
              <w:t>4.</w:t>
            </w:r>
          </w:p>
        </w:tc>
        <w:tc>
          <w:tcPr>
            <w:tcW w:w="2776" w:type="pct"/>
            <w:tcBorders>
              <w:top w:val="outset" w:sz="6" w:space="0" w:color="000000"/>
              <w:left w:val="outset" w:sz="6" w:space="0" w:color="000000"/>
              <w:bottom w:val="outset" w:sz="6" w:space="0" w:color="000000"/>
              <w:right w:val="outset" w:sz="6" w:space="0" w:color="000000"/>
            </w:tcBorders>
          </w:tcPr>
          <w:p w:rsidR="003C71BE" w:rsidRPr="009A2CEB" w:rsidRDefault="003C71BE" w:rsidP="0014664F">
            <w:pPr>
              <w:spacing w:before="100" w:beforeAutospacing="1" w:after="100" w:afterAutospacing="1"/>
            </w:pPr>
            <w:r w:rsidRPr="009A2CEB">
              <w:t>Projekta izpildes ietekme uz pārvaldes institucionālo struktūru. Esošu institūciju likvidācija</w:t>
            </w:r>
          </w:p>
        </w:tc>
        <w:tc>
          <w:tcPr>
            <w:tcW w:w="1917" w:type="pct"/>
            <w:tcBorders>
              <w:top w:val="outset" w:sz="6" w:space="0" w:color="000000"/>
              <w:left w:val="outset" w:sz="6" w:space="0" w:color="000000"/>
              <w:bottom w:val="outset" w:sz="6" w:space="0" w:color="000000"/>
            </w:tcBorders>
          </w:tcPr>
          <w:p w:rsidR="003C71BE" w:rsidRPr="009A2CEB" w:rsidRDefault="003C71BE" w:rsidP="0014664F">
            <w:pPr>
              <w:spacing w:before="100" w:beforeAutospacing="1" w:after="100" w:afterAutospacing="1"/>
            </w:pPr>
            <w:r w:rsidRPr="009A2CEB">
              <w:t>Nav attiecināms.</w:t>
            </w:r>
          </w:p>
        </w:tc>
      </w:tr>
      <w:tr w:rsidR="003C71BE" w:rsidRPr="009A2CEB" w:rsidTr="00367CDE">
        <w:tc>
          <w:tcPr>
            <w:tcW w:w="307" w:type="pct"/>
            <w:tcBorders>
              <w:top w:val="outset" w:sz="6" w:space="0" w:color="000000"/>
              <w:bottom w:val="outset" w:sz="6" w:space="0" w:color="000000"/>
              <w:right w:val="outset" w:sz="6" w:space="0" w:color="000000"/>
            </w:tcBorders>
          </w:tcPr>
          <w:p w:rsidR="003C71BE" w:rsidRPr="009A2CEB" w:rsidRDefault="003C71BE" w:rsidP="001D01D0">
            <w:pPr>
              <w:spacing w:before="100" w:beforeAutospacing="1" w:after="100" w:afterAutospacing="1"/>
              <w:jc w:val="center"/>
            </w:pPr>
            <w:r w:rsidRPr="009A2CEB">
              <w:t>5.</w:t>
            </w:r>
          </w:p>
        </w:tc>
        <w:tc>
          <w:tcPr>
            <w:tcW w:w="2776" w:type="pct"/>
            <w:tcBorders>
              <w:top w:val="outset" w:sz="6" w:space="0" w:color="000000"/>
              <w:left w:val="outset" w:sz="6" w:space="0" w:color="000000"/>
              <w:bottom w:val="outset" w:sz="6" w:space="0" w:color="000000"/>
              <w:right w:val="outset" w:sz="6" w:space="0" w:color="000000"/>
            </w:tcBorders>
          </w:tcPr>
          <w:p w:rsidR="003C71BE" w:rsidRPr="009A2CEB" w:rsidRDefault="003C71BE" w:rsidP="0014664F">
            <w:pPr>
              <w:spacing w:before="100" w:beforeAutospacing="1" w:after="100" w:afterAutospacing="1"/>
            </w:pPr>
            <w:r w:rsidRPr="009A2CEB">
              <w:t>Projekta izpildes ietekme uz pārvaldes institucionālo struktūru. Esošu institūciju reorganizācija</w:t>
            </w:r>
          </w:p>
        </w:tc>
        <w:tc>
          <w:tcPr>
            <w:tcW w:w="1917" w:type="pct"/>
            <w:tcBorders>
              <w:top w:val="outset" w:sz="6" w:space="0" w:color="000000"/>
              <w:left w:val="outset" w:sz="6" w:space="0" w:color="000000"/>
              <w:bottom w:val="outset" w:sz="6" w:space="0" w:color="000000"/>
            </w:tcBorders>
          </w:tcPr>
          <w:p w:rsidR="003C71BE" w:rsidRPr="009A2CEB" w:rsidRDefault="003C71BE" w:rsidP="0014664F">
            <w:pPr>
              <w:spacing w:before="100" w:beforeAutospacing="1" w:after="100" w:afterAutospacing="1"/>
            </w:pPr>
            <w:r w:rsidRPr="009A2CEB">
              <w:t>Nav attiecināms.</w:t>
            </w:r>
          </w:p>
        </w:tc>
      </w:tr>
      <w:tr w:rsidR="003C71BE" w:rsidRPr="009A2CEB" w:rsidTr="00367CDE">
        <w:tc>
          <w:tcPr>
            <w:tcW w:w="307" w:type="pct"/>
            <w:tcBorders>
              <w:top w:val="outset" w:sz="6" w:space="0" w:color="000000"/>
              <w:bottom w:val="outset" w:sz="6" w:space="0" w:color="000000"/>
              <w:right w:val="outset" w:sz="6" w:space="0" w:color="000000"/>
            </w:tcBorders>
          </w:tcPr>
          <w:p w:rsidR="003C71BE" w:rsidRPr="009A2CEB" w:rsidRDefault="003C71BE" w:rsidP="001D01D0">
            <w:pPr>
              <w:spacing w:before="100" w:beforeAutospacing="1" w:after="100" w:afterAutospacing="1"/>
              <w:jc w:val="center"/>
            </w:pPr>
            <w:r w:rsidRPr="009A2CEB">
              <w:t>6.</w:t>
            </w:r>
          </w:p>
        </w:tc>
        <w:tc>
          <w:tcPr>
            <w:tcW w:w="2776" w:type="pct"/>
            <w:tcBorders>
              <w:top w:val="outset" w:sz="6" w:space="0" w:color="000000"/>
              <w:left w:val="outset" w:sz="6" w:space="0" w:color="000000"/>
              <w:bottom w:val="outset" w:sz="6" w:space="0" w:color="000000"/>
              <w:right w:val="outset" w:sz="6" w:space="0" w:color="000000"/>
            </w:tcBorders>
          </w:tcPr>
          <w:p w:rsidR="003C71BE" w:rsidRPr="009A2CEB" w:rsidRDefault="003C71BE" w:rsidP="0014664F">
            <w:pPr>
              <w:spacing w:before="100" w:beforeAutospacing="1" w:after="100" w:afterAutospacing="1"/>
            </w:pPr>
            <w:r w:rsidRPr="009A2CEB">
              <w:t>Cita informācija</w:t>
            </w:r>
          </w:p>
        </w:tc>
        <w:tc>
          <w:tcPr>
            <w:tcW w:w="1917" w:type="pct"/>
            <w:tcBorders>
              <w:top w:val="outset" w:sz="6" w:space="0" w:color="000000"/>
              <w:left w:val="outset" w:sz="6" w:space="0" w:color="000000"/>
              <w:bottom w:val="outset" w:sz="6" w:space="0" w:color="000000"/>
            </w:tcBorders>
          </w:tcPr>
          <w:p w:rsidR="003C71BE" w:rsidRPr="009A2CEB" w:rsidRDefault="003C71BE" w:rsidP="0014664F">
            <w:pPr>
              <w:spacing w:before="100" w:beforeAutospacing="1" w:after="100" w:afterAutospacing="1"/>
            </w:pPr>
            <w:r>
              <w:t>Nav.</w:t>
            </w:r>
            <w:r w:rsidRPr="009A2CEB">
              <w:t xml:space="preserve"> </w:t>
            </w:r>
          </w:p>
        </w:tc>
      </w:tr>
    </w:tbl>
    <w:p w:rsidR="003C71BE" w:rsidRPr="009A2CEB" w:rsidRDefault="003C71BE" w:rsidP="003C71BE">
      <w:pPr>
        <w:tabs>
          <w:tab w:val="right" w:pos="9074"/>
        </w:tabs>
        <w:rPr>
          <w:b/>
        </w:rPr>
      </w:pPr>
    </w:p>
    <w:p w:rsidR="003C71BE" w:rsidRPr="009A2CEB" w:rsidRDefault="003C71BE" w:rsidP="003C71BE">
      <w:pPr>
        <w:tabs>
          <w:tab w:val="right" w:pos="9074"/>
        </w:tabs>
        <w:rPr>
          <w:b/>
        </w:rPr>
      </w:pPr>
    </w:p>
    <w:p w:rsidR="003C71BE" w:rsidRPr="009A2CEB" w:rsidRDefault="003C71BE" w:rsidP="003C71BE">
      <w:pPr>
        <w:tabs>
          <w:tab w:val="right" w:pos="9074"/>
        </w:tabs>
        <w:rPr>
          <w:b/>
        </w:rPr>
      </w:pPr>
    </w:p>
    <w:p w:rsidR="003C71BE" w:rsidRPr="009A2CEB" w:rsidRDefault="003C71BE" w:rsidP="003C71BE">
      <w:pPr>
        <w:tabs>
          <w:tab w:val="right" w:pos="9074"/>
        </w:tabs>
        <w:rPr>
          <w:b/>
        </w:rPr>
      </w:pPr>
    </w:p>
    <w:p w:rsidR="003C71BE" w:rsidRPr="009A2CEB" w:rsidRDefault="003C71BE" w:rsidP="003C71BE">
      <w:pPr>
        <w:tabs>
          <w:tab w:val="right" w:pos="9074"/>
        </w:tabs>
        <w:rPr>
          <w:b/>
        </w:rPr>
      </w:pPr>
    </w:p>
    <w:p w:rsidR="003C71BE" w:rsidRPr="009A2CEB" w:rsidRDefault="003C71BE" w:rsidP="003C71BE">
      <w:pPr>
        <w:tabs>
          <w:tab w:val="right" w:pos="9074"/>
        </w:tabs>
        <w:rPr>
          <w:b/>
        </w:rPr>
      </w:pPr>
    </w:p>
    <w:p w:rsidR="003C71BE" w:rsidRPr="009A2CEB" w:rsidRDefault="003C71BE" w:rsidP="003C71BE">
      <w:pPr>
        <w:tabs>
          <w:tab w:val="right" w:pos="9074"/>
        </w:tabs>
      </w:pPr>
      <w:r>
        <w:t>A</w:t>
      </w:r>
      <w:r w:rsidRPr="009A2CEB">
        <w:t>izsardzības ministrs</w:t>
      </w:r>
      <w:r w:rsidRPr="009A2CEB">
        <w:tab/>
      </w:r>
      <w:proofErr w:type="spellStart"/>
      <w:r w:rsidRPr="009A2CEB">
        <w:t>A.Pabriks</w:t>
      </w:r>
      <w:proofErr w:type="spellEnd"/>
      <w:r w:rsidRPr="009A2CEB">
        <w:tab/>
      </w:r>
    </w:p>
    <w:p w:rsidR="003C71BE" w:rsidRPr="009A2CEB" w:rsidRDefault="003C71BE" w:rsidP="003C71BE">
      <w:pPr>
        <w:tabs>
          <w:tab w:val="right" w:pos="9074"/>
        </w:tabs>
      </w:pPr>
    </w:p>
    <w:p w:rsidR="003C71BE" w:rsidRPr="009A2CEB" w:rsidRDefault="003C71BE" w:rsidP="003C71BE">
      <w:pPr>
        <w:tabs>
          <w:tab w:val="right" w:pos="9074"/>
        </w:tabs>
      </w:pPr>
    </w:p>
    <w:p w:rsidR="003C71BE" w:rsidRPr="009A2CEB" w:rsidRDefault="003C71BE" w:rsidP="003C71BE">
      <w:pPr>
        <w:tabs>
          <w:tab w:val="right" w:pos="9074"/>
        </w:tabs>
      </w:pPr>
    </w:p>
    <w:p w:rsidR="003C71BE" w:rsidRPr="009A2CEB" w:rsidRDefault="003C71BE" w:rsidP="003C71BE">
      <w:pPr>
        <w:pStyle w:val="naisf"/>
        <w:tabs>
          <w:tab w:val="right" w:pos="9000"/>
        </w:tabs>
        <w:spacing w:before="0" w:after="0"/>
        <w:ind w:firstLine="0"/>
        <w:rPr>
          <w:b/>
        </w:rPr>
      </w:pPr>
      <w:r w:rsidRPr="009A2CEB">
        <w:t>Vīza: valsts sekretār</w:t>
      </w:r>
      <w:r>
        <w:t>s</w:t>
      </w:r>
      <w:r w:rsidRPr="009A2CEB">
        <w:tab/>
      </w:r>
      <w:r>
        <w:t>J.Sārts</w:t>
      </w:r>
    </w:p>
    <w:p w:rsidR="003C71BE" w:rsidRPr="009A2CEB" w:rsidRDefault="003C71BE" w:rsidP="003C71BE"/>
    <w:p w:rsidR="003C71BE" w:rsidRPr="009A2CEB" w:rsidRDefault="003C71BE" w:rsidP="003C71BE"/>
    <w:p w:rsidR="003C71BE" w:rsidRPr="009A2CEB" w:rsidRDefault="003C71BE" w:rsidP="003C71BE"/>
    <w:p w:rsidR="003C71BE" w:rsidRPr="009A2CEB" w:rsidRDefault="003C71BE" w:rsidP="003C71BE"/>
    <w:p w:rsidR="003C71BE" w:rsidRPr="009A2CEB" w:rsidRDefault="003C71BE" w:rsidP="003C71BE"/>
    <w:p w:rsidR="003C71BE" w:rsidRDefault="003C71BE" w:rsidP="003C71BE"/>
    <w:p w:rsidR="003C71BE" w:rsidRDefault="003C71BE" w:rsidP="003C71BE"/>
    <w:p w:rsidR="003C71BE" w:rsidRDefault="003C71BE" w:rsidP="003C71BE"/>
    <w:p w:rsidR="003C71BE" w:rsidRDefault="003C71BE" w:rsidP="003C71BE"/>
    <w:p w:rsidR="003C71BE" w:rsidRDefault="003C71BE" w:rsidP="003C71BE"/>
    <w:p w:rsidR="003C71BE" w:rsidRDefault="003C71BE" w:rsidP="003C71BE"/>
    <w:p w:rsidR="003C71BE" w:rsidRDefault="003C71BE" w:rsidP="003C71BE"/>
    <w:p w:rsidR="003C71BE" w:rsidRDefault="003C71BE" w:rsidP="003C71BE"/>
    <w:p w:rsidR="003C71BE" w:rsidRDefault="00115A97" w:rsidP="003C71BE">
      <w:pPr>
        <w:rPr>
          <w:sz w:val="20"/>
          <w:szCs w:val="20"/>
        </w:rPr>
      </w:pPr>
      <w:r>
        <w:rPr>
          <w:sz w:val="20"/>
          <w:szCs w:val="20"/>
        </w:rPr>
        <w:t>1</w:t>
      </w:r>
      <w:r w:rsidR="003C71BE">
        <w:rPr>
          <w:sz w:val="20"/>
          <w:szCs w:val="20"/>
        </w:rPr>
        <w:t>7.</w:t>
      </w:r>
      <w:r>
        <w:rPr>
          <w:sz w:val="20"/>
          <w:szCs w:val="20"/>
        </w:rPr>
        <w:t>1</w:t>
      </w:r>
      <w:r w:rsidR="003C71BE">
        <w:rPr>
          <w:sz w:val="20"/>
          <w:szCs w:val="20"/>
        </w:rPr>
        <w:t xml:space="preserve">0.2012 </w:t>
      </w:r>
    </w:p>
    <w:p w:rsidR="004F6747" w:rsidRDefault="004F6747" w:rsidP="003C71BE">
      <w:pPr>
        <w:rPr>
          <w:sz w:val="20"/>
          <w:szCs w:val="20"/>
        </w:rPr>
      </w:pPr>
      <w:r>
        <w:rPr>
          <w:sz w:val="20"/>
          <w:szCs w:val="20"/>
        </w:rPr>
        <w:t>660</w:t>
      </w:r>
      <w:bookmarkStart w:id="0" w:name="_GoBack"/>
      <w:bookmarkEnd w:id="0"/>
    </w:p>
    <w:p w:rsidR="00115A97" w:rsidRDefault="00115A97" w:rsidP="003C71BE">
      <w:pPr>
        <w:jc w:val="both"/>
        <w:rPr>
          <w:sz w:val="20"/>
          <w:szCs w:val="20"/>
        </w:rPr>
      </w:pPr>
      <w:r>
        <w:rPr>
          <w:sz w:val="20"/>
          <w:szCs w:val="20"/>
        </w:rPr>
        <w:t xml:space="preserve">Jānis Aivars </w:t>
      </w:r>
      <w:proofErr w:type="spellStart"/>
      <w:r>
        <w:rPr>
          <w:sz w:val="20"/>
          <w:szCs w:val="20"/>
        </w:rPr>
        <w:t>Baškers</w:t>
      </w:r>
      <w:proofErr w:type="spellEnd"/>
    </w:p>
    <w:p w:rsidR="003C71BE" w:rsidRPr="00AC334B" w:rsidRDefault="00115A97" w:rsidP="003C71BE">
      <w:pPr>
        <w:jc w:val="both"/>
        <w:rPr>
          <w:sz w:val="20"/>
          <w:szCs w:val="20"/>
        </w:rPr>
      </w:pPr>
      <w:proofErr w:type="spellStart"/>
      <w:r>
        <w:rPr>
          <w:sz w:val="20"/>
          <w:szCs w:val="20"/>
        </w:rPr>
        <w:t>tālr</w:t>
      </w:r>
      <w:proofErr w:type="spellEnd"/>
      <w:r>
        <w:rPr>
          <w:sz w:val="20"/>
          <w:szCs w:val="20"/>
        </w:rPr>
        <w:t>. 67335205</w:t>
      </w:r>
      <w:r w:rsidR="003C71BE" w:rsidRPr="00AC334B">
        <w:rPr>
          <w:sz w:val="20"/>
          <w:szCs w:val="20"/>
        </w:rPr>
        <w:t>;</w:t>
      </w:r>
      <w:r w:rsidR="003C71BE">
        <w:rPr>
          <w:sz w:val="20"/>
          <w:szCs w:val="20"/>
        </w:rPr>
        <w:t xml:space="preserve"> fakss</w:t>
      </w:r>
      <w:r w:rsidR="003C71BE" w:rsidRPr="00AC334B">
        <w:rPr>
          <w:sz w:val="20"/>
          <w:szCs w:val="20"/>
        </w:rPr>
        <w:t xml:space="preserve"> </w:t>
      </w:r>
      <w:r w:rsidR="003C71BE">
        <w:rPr>
          <w:sz w:val="20"/>
          <w:szCs w:val="20"/>
        </w:rPr>
        <w:t>67335226;</w:t>
      </w:r>
    </w:p>
    <w:p w:rsidR="003C71BE" w:rsidRPr="00AC334B" w:rsidRDefault="00115A97" w:rsidP="003C71BE">
      <w:pPr>
        <w:jc w:val="both"/>
        <w:rPr>
          <w:sz w:val="20"/>
          <w:szCs w:val="20"/>
        </w:rPr>
      </w:pPr>
      <w:r>
        <w:rPr>
          <w:sz w:val="20"/>
          <w:szCs w:val="20"/>
        </w:rPr>
        <w:t>janis.baskers@</w:t>
      </w:r>
      <w:r w:rsidR="003C71BE" w:rsidRPr="00AC334B">
        <w:rPr>
          <w:sz w:val="20"/>
          <w:szCs w:val="20"/>
        </w:rPr>
        <w:t>mod.gov.lv</w:t>
      </w:r>
    </w:p>
    <w:p w:rsidR="003C71BE" w:rsidRPr="009A2CEB" w:rsidRDefault="003C71BE" w:rsidP="003C71BE">
      <w:pPr>
        <w:pStyle w:val="naisf"/>
        <w:tabs>
          <w:tab w:val="left" w:pos="6804"/>
        </w:tabs>
        <w:spacing w:before="0" w:after="0"/>
        <w:ind w:firstLine="0"/>
      </w:pPr>
    </w:p>
    <w:p w:rsidR="0026236D" w:rsidRDefault="0026236D"/>
    <w:sectPr w:rsidR="0026236D" w:rsidSect="0014664F">
      <w:headerReference w:type="even" r:id="rId8"/>
      <w:headerReference w:type="default" r:id="rId9"/>
      <w:footerReference w:type="default" r:id="rId10"/>
      <w:footerReference w:type="first" r:id="rId11"/>
      <w:pgSz w:w="11906" w:h="16838" w:code="9"/>
      <w:pgMar w:top="1440" w:right="1797" w:bottom="899"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DE" w:rsidRDefault="00367CDE" w:rsidP="00115A97">
      <w:r>
        <w:separator/>
      </w:r>
    </w:p>
  </w:endnote>
  <w:endnote w:type="continuationSeparator" w:id="0">
    <w:p w:rsidR="00367CDE" w:rsidRDefault="00367CDE" w:rsidP="0011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DE" w:rsidRPr="00E92EAC" w:rsidRDefault="004F6747" w:rsidP="00115A97">
    <w:pPr>
      <w:pStyle w:val="naisc"/>
      <w:tabs>
        <w:tab w:val="left" w:pos="975"/>
        <w:tab w:val="center" w:pos="7540"/>
      </w:tabs>
      <w:rPr>
        <w:sz w:val="20"/>
        <w:szCs w:val="20"/>
      </w:rPr>
    </w:pPr>
    <w:r>
      <w:rPr>
        <w:snapToGrid w:val="0"/>
        <w:sz w:val="20"/>
        <w:szCs w:val="20"/>
      </w:rPr>
      <w:t>AIManot_22102012_JKparst</w:t>
    </w:r>
    <w:r>
      <w:rPr>
        <w:sz w:val="20"/>
        <w:szCs w:val="20"/>
      </w:rPr>
      <w:t xml:space="preserve">; </w:t>
    </w:r>
    <w:r w:rsidR="00367CDE" w:rsidRPr="00115A97">
      <w:rPr>
        <w:sz w:val="20"/>
        <w:szCs w:val="20"/>
      </w:rPr>
      <w:t>Grozījumi Ministru kabineta 2011.gada 16.marta rīkojumā Nr.99 „Par Latvijas Republikas pārstāvjiem jauktajā komisijā</w:t>
    </w:r>
    <w:r w:rsidR="00367CDE" w:rsidRPr="00115A97">
      <w:rPr>
        <w:b/>
        <w:sz w:val="20"/>
        <w:szCs w:val="20"/>
      </w:rPr>
      <w:t xml:space="preserve">” </w:t>
    </w:r>
  </w:p>
  <w:p w:rsidR="00367CDE" w:rsidRPr="00D60A9E" w:rsidRDefault="00367CDE" w:rsidP="0014664F">
    <w:pPr>
      <w:ind w:hanging="90"/>
      <w:jc w:val="both"/>
      <w:rPr>
        <w:noProof/>
        <w:snapToGrid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DE" w:rsidRPr="00E92EAC" w:rsidRDefault="004F6747" w:rsidP="0014664F">
    <w:pPr>
      <w:pStyle w:val="naisc"/>
      <w:tabs>
        <w:tab w:val="left" w:pos="975"/>
        <w:tab w:val="center" w:pos="7540"/>
      </w:tabs>
      <w:rPr>
        <w:sz w:val="20"/>
        <w:szCs w:val="20"/>
      </w:rPr>
    </w:pPr>
    <w:r>
      <w:rPr>
        <w:snapToGrid w:val="0"/>
        <w:sz w:val="20"/>
        <w:szCs w:val="20"/>
      </w:rPr>
      <w:t>AIManot_22102012_JKparst;</w:t>
    </w:r>
    <w:r w:rsidR="00E9068B">
      <w:rPr>
        <w:snapToGrid w:val="0"/>
        <w:sz w:val="20"/>
        <w:szCs w:val="20"/>
      </w:rPr>
      <w:t xml:space="preserve"> </w:t>
    </w:r>
    <w:r w:rsidR="00367CDE" w:rsidRPr="00115A97">
      <w:rPr>
        <w:sz w:val="20"/>
        <w:szCs w:val="20"/>
      </w:rPr>
      <w:t>Grozījumi Ministru kabineta 2011.gada 16.marta rīkojumā Nr.99 „Par Latvijas Republikas pārstāvjiem jauktajā komisijā</w:t>
    </w:r>
    <w:r w:rsidR="00367CDE" w:rsidRPr="00115A97">
      <w:rPr>
        <w:b/>
        <w:sz w:val="20"/>
        <w:szCs w:val="20"/>
      </w:rPr>
      <w:t xml:space="preserve">” </w:t>
    </w:r>
  </w:p>
  <w:p w:rsidR="00367CDE" w:rsidRPr="00046AAE" w:rsidRDefault="00367CDE" w:rsidP="00146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DE" w:rsidRDefault="00367CDE" w:rsidP="00115A97">
      <w:r>
        <w:separator/>
      </w:r>
    </w:p>
  </w:footnote>
  <w:footnote w:type="continuationSeparator" w:id="0">
    <w:p w:rsidR="00367CDE" w:rsidRDefault="00367CDE" w:rsidP="0011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DE" w:rsidRDefault="00367CDE" w:rsidP="001466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67CDE" w:rsidRDefault="00367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DE" w:rsidRDefault="00367CDE" w:rsidP="001466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747">
      <w:rPr>
        <w:rStyle w:val="PageNumber"/>
        <w:noProof/>
      </w:rPr>
      <w:t>3</w:t>
    </w:r>
    <w:r>
      <w:rPr>
        <w:rStyle w:val="PageNumber"/>
      </w:rPr>
      <w:fldChar w:fldCharType="end"/>
    </w:r>
  </w:p>
  <w:p w:rsidR="00367CDE" w:rsidRDefault="00367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0CED"/>
    <w:multiLevelType w:val="hybridMultilevel"/>
    <w:tmpl w:val="0EB224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3EE7667"/>
    <w:multiLevelType w:val="hybridMultilevel"/>
    <w:tmpl w:val="5F1E82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BE"/>
    <w:rsid w:val="00020F8B"/>
    <w:rsid w:val="00076C06"/>
    <w:rsid w:val="000F2316"/>
    <w:rsid w:val="00115A97"/>
    <w:rsid w:val="0014664F"/>
    <w:rsid w:val="001C25DB"/>
    <w:rsid w:val="001D01D0"/>
    <w:rsid w:val="0026236D"/>
    <w:rsid w:val="002C197D"/>
    <w:rsid w:val="00304507"/>
    <w:rsid w:val="00367CDE"/>
    <w:rsid w:val="003C71BE"/>
    <w:rsid w:val="004131BD"/>
    <w:rsid w:val="0042281E"/>
    <w:rsid w:val="0047791A"/>
    <w:rsid w:val="004F6747"/>
    <w:rsid w:val="005121B2"/>
    <w:rsid w:val="00546535"/>
    <w:rsid w:val="00596B91"/>
    <w:rsid w:val="005B34E6"/>
    <w:rsid w:val="005C77E2"/>
    <w:rsid w:val="005F59CC"/>
    <w:rsid w:val="00615696"/>
    <w:rsid w:val="006623D0"/>
    <w:rsid w:val="00671AB0"/>
    <w:rsid w:val="006F704E"/>
    <w:rsid w:val="007231F8"/>
    <w:rsid w:val="007635F3"/>
    <w:rsid w:val="008804EF"/>
    <w:rsid w:val="009A48D6"/>
    <w:rsid w:val="00A7446B"/>
    <w:rsid w:val="00AF3AC3"/>
    <w:rsid w:val="00B949A1"/>
    <w:rsid w:val="00C436BF"/>
    <w:rsid w:val="00C729FB"/>
    <w:rsid w:val="00CC5EF6"/>
    <w:rsid w:val="00CD51F6"/>
    <w:rsid w:val="00D87535"/>
    <w:rsid w:val="00E9068B"/>
    <w:rsid w:val="00F22346"/>
    <w:rsid w:val="00FB0BB9"/>
    <w:rsid w:val="00FE02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1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71BE"/>
    <w:pPr>
      <w:tabs>
        <w:tab w:val="center" w:pos="4153"/>
        <w:tab w:val="right" w:pos="8306"/>
      </w:tabs>
    </w:pPr>
  </w:style>
  <w:style w:type="character" w:customStyle="1" w:styleId="HeaderChar">
    <w:name w:val="Header Char"/>
    <w:basedOn w:val="DefaultParagraphFont"/>
    <w:link w:val="Header"/>
    <w:rsid w:val="003C71BE"/>
    <w:rPr>
      <w:sz w:val="24"/>
      <w:szCs w:val="24"/>
    </w:rPr>
  </w:style>
  <w:style w:type="character" w:styleId="PageNumber">
    <w:name w:val="page number"/>
    <w:basedOn w:val="DefaultParagraphFont"/>
    <w:rsid w:val="003C71BE"/>
  </w:style>
  <w:style w:type="paragraph" w:customStyle="1" w:styleId="naisf">
    <w:name w:val="naisf"/>
    <w:basedOn w:val="Normal"/>
    <w:rsid w:val="003C71BE"/>
    <w:pPr>
      <w:spacing w:before="75" w:after="75"/>
      <w:ind w:firstLine="375"/>
      <w:jc w:val="both"/>
    </w:pPr>
  </w:style>
  <w:style w:type="paragraph" w:customStyle="1" w:styleId="naiskr">
    <w:name w:val="naiskr"/>
    <w:basedOn w:val="Normal"/>
    <w:rsid w:val="003C71BE"/>
    <w:pPr>
      <w:spacing w:before="75" w:after="75"/>
    </w:pPr>
  </w:style>
  <w:style w:type="paragraph" w:customStyle="1" w:styleId="naisc">
    <w:name w:val="naisc"/>
    <w:basedOn w:val="Normal"/>
    <w:rsid w:val="003C71BE"/>
    <w:pPr>
      <w:spacing w:before="75" w:after="75"/>
      <w:jc w:val="center"/>
    </w:pPr>
  </w:style>
  <w:style w:type="paragraph" w:styleId="Footer">
    <w:name w:val="footer"/>
    <w:basedOn w:val="Normal"/>
    <w:link w:val="FooterChar"/>
    <w:rsid w:val="003C71BE"/>
    <w:pPr>
      <w:tabs>
        <w:tab w:val="center" w:pos="4153"/>
        <w:tab w:val="right" w:pos="8306"/>
      </w:tabs>
    </w:pPr>
  </w:style>
  <w:style w:type="character" w:customStyle="1" w:styleId="FooterChar">
    <w:name w:val="Footer Char"/>
    <w:basedOn w:val="DefaultParagraphFont"/>
    <w:link w:val="Footer"/>
    <w:rsid w:val="003C71BE"/>
    <w:rPr>
      <w:sz w:val="24"/>
      <w:szCs w:val="24"/>
    </w:rPr>
  </w:style>
  <w:style w:type="paragraph" w:styleId="BodyText">
    <w:name w:val="Body Text"/>
    <w:basedOn w:val="Normal"/>
    <w:link w:val="BodyTextChar"/>
    <w:rsid w:val="0047791A"/>
    <w:pPr>
      <w:jc w:val="center"/>
    </w:pPr>
    <w:rPr>
      <w:szCs w:val="20"/>
    </w:rPr>
  </w:style>
  <w:style w:type="character" w:customStyle="1" w:styleId="BodyTextChar">
    <w:name w:val="Body Text Char"/>
    <w:basedOn w:val="DefaultParagraphFont"/>
    <w:link w:val="BodyText"/>
    <w:rsid w:val="0047791A"/>
    <w:rPr>
      <w:sz w:val="24"/>
    </w:rPr>
  </w:style>
  <w:style w:type="paragraph" w:styleId="BalloonText">
    <w:name w:val="Balloon Text"/>
    <w:basedOn w:val="Normal"/>
    <w:link w:val="BalloonTextChar"/>
    <w:rsid w:val="0047791A"/>
    <w:rPr>
      <w:rFonts w:ascii="Tahoma" w:hAnsi="Tahoma" w:cs="Tahoma"/>
      <w:sz w:val="16"/>
      <w:szCs w:val="16"/>
    </w:rPr>
  </w:style>
  <w:style w:type="character" w:customStyle="1" w:styleId="BalloonTextChar">
    <w:name w:val="Balloon Text Char"/>
    <w:basedOn w:val="DefaultParagraphFont"/>
    <w:link w:val="BalloonText"/>
    <w:rsid w:val="0047791A"/>
    <w:rPr>
      <w:rFonts w:ascii="Tahoma" w:hAnsi="Tahoma" w:cs="Tahoma"/>
      <w:sz w:val="16"/>
      <w:szCs w:val="16"/>
    </w:rPr>
  </w:style>
  <w:style w:type="paragraph" w:styleId="ListParagraph">
    <w:name w:val="List Paragraph"/>
    <w:basedOn w:val="Normal"/>
    <w:uiPriority w:val="34"/>
    <w:qFormat/>
    <w:rsid w:val="00367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1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71BE"/>
    <w:pPr>
      <w:tabs>
        <w:tab w:val="center" w:pos="4153"/>
        <w:tab w:val="right" w:pos="8306"/>
      </w:tabs>
    </w:pPr>
  </w:style>
  <w:style w:type="character" w:customStyle="1" w:styleId="HeaderChar">
    <w:name w:val="Header Char"/>
    <w:basedOn w:val="DefaultParagraphFont"/>
    <w:link w:val="Header"/>
    <w:rsid w:val="003C71BE"/>
    <w:rPr>
      <w:sz w:val="24"/>
      <w:szCs w:val="24"/>
    </w:rPr>
  </w:style>
  <w:style w:type="character" w:styleId="PageNumber">
    <w:name w:val="page number"/>
    <w:basedOn w:val="DefaultParagraphFont"/>
    <w:rsid w:val="003C71BE"/>
  </w:style>
  <w:style w:type="paragraph" w:customStyle="1" w:styleId="naisf">
    <w:name w:val="naisf"/>
    <w:basedOn w:val="Normal"/>
    <w:rsid w:val="003C71BE"/>
    <w:pPr>
      <w:spacing w:before="75" w:after="75"/>
      <w:ind w:firstLine="375"/>
      <w:jc w:val="both"/>
    </w:pPr>
  </w:style>
  <w:style w:type="paragraph" w:customStyle="1" w:styleId="naiskr">
    <w:name w:val="naiskr"/>
    <w:basedOn w:val="Normal"/>
    <w:rsid w:val="003C71BE"/>
    <w:pPr>
      <w:spacing w:before="75" w:after="75"/>
    </w:pPr>
  </w:style>
  <w:style w:type="paragraph" w:customStyle="1" w:styleId="naisc">
    <w:name w:val="naisc"/>
    <w:basedOn w:val="Normal"/>
    <w:rsid w:val="003C71BE"/>
    <w:pPr>
      <w:spacing w:before="75" w:after="75"/>
      <w:jc w:val="center"/>
    </w:pPr>
  </w:style>
  <w:style w:type="paragraph" w:styleId="Footer">
    <w:name w:val="footer"/>
    <w:basedOn w:val="Normal"/>
    <w:link w:val="FooterChar"/>
    <w:rsid w:val="003C71BE"/>
    <w:pPr>
      <w:tabs>
        <w:tab w:val="center" w:pos="4153"/>
        <w:tab w:val="right" w:pos="8306"/>
      </w:tabs>
    </w:pPr>
  </w:style>
  <w:style w:type="character" w:customStyle="1" w:styleId="FooterChar">
    <w:name w:val="Footer Char"/>
    <w:basedOn w:val="DefaultParagraphFont"/>
    <w:link w:val="Footer"/>
    <w:rsid w:val="003C71BE"/>
    <w:rPr>
      <w:sz w:val="24"/>
      <w:szCs w:val="24"/>
    </w:rPr>
  </w:style>
  <w:style w:type="paragraph" w:styleId="BodyText">
    <w:name w:val="Body Text"/>
    <w:basedOn w:val="Normal"/>
    <w:link w:val="BodyTextChar"/>
    <w:rsid w:val="0047791A"/>
    <w:pPr>
      <w:jc w:val="center"/>
    </w:pPr>
    <w:rPr>
      <w:szCs w:val="20"/>
    </w:rPr>
  </w:style>
  <w:style w:type="character" w:customStyle="1" w:styleId="BodyTextChar">
    <w:name w:val="Body Text Char"/>
    <w:basedOn w:val="DefaultParagraphFont"/>
    <w:link w:val="BodyText"/>
    <w:rsid w:val="0047791A"/>
    <w:rPr>
      <w:sz w:val="24"/>
    </w:rPr>
  </w:style>
  <w:style w:type="paragraph" w:styleId="BalloonText">
    <w:name w:val="Balloon Text"/>
    <w:basedOn w:val="Normal"/>
    <w:link w:val="BalloonTextChar"/>
    <w:rsid w:val="0047791A"/>
    <w:rPr>
      <w:rFonts w:ascii="Tahoma" w:hAnsi="Tahoma" w:cs="Tahoma"/>
      <w:sz w:val="16"/>
      <w:szCs w:val="16"/>
    </w:rPr>
  </w:style>
  <w:style w:type="character" w:customStyle="1" w:styleId="BalloonTextChar">
    <w:name w:val="Balloon Text Char"/>
    <w:basedOn w:val="DefaultParagraphFont"/>
    <w:link w:val="BalloonText"/>
    <w:rsid w:val="0047791A"/>
    <w:rPr>
      <w:rFonts w:ascii="Tahoma" w:hAnsi="Tahoma" w:cs="Tahoma"/>
      <w:sz w:val="16"/>
      <w:szCs w:val="16"/>
    </w:rPr>
  </w:style>
  <w:style w:type="paragraph" w:styleId="ListParagraph">
    <w:name w:val="List Paragraph"/>
    <w:basedOn w:val="Normal"/>
    <w:uiPriority w:val="34"/>
    <w:qFormat/>
    <w:rsid w:val="00367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319599F6.dotm</Template>
  <TotalTime>10</TotalTime>
  <Pages>3</Pages>
  <Words>661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Baskers</dc:creator>
  <cp:lastModifiedBy>Jekaterina Sjomina</cp:lastModifiedBy>
  <cp:revision>7</cp:revision>
  <cp:lastPrinted>2012-10-23T06:26:00Z</cp:lastPrinted>
  <dcterms:created xsi:type="dcterms:W3CDTF">2012-10-23T07:49:00Z</dcterms:created>
  <dcterms:modified xsi:type="dcterms:W3CDTF">2012-11-09T11:05:00Z</dcterms:modified>
</cp:coreProperties>
</file>