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D7" w:rsidRPr="000858D7" w:rsidRDefault="000858D7" w:rsidP="000858D7">
      <w:pPr>
        <w:pStyle w:val="tv90087921"/>
        <w:pBdr>
          <w:bottom w:val="single" w:sz="12" w:space="1" w:color="auto"/>
        </w:pBdr>
        <w:spacing w:after="0"/>
        <w:ind w:firstLine="0"/>
        <w:rPr>
          <w:rFonts w:ascii="Times New Roman" w:hAnsi="Times New Roman"/>
          <w:sz w:val="28"/>
          <w:szCs w:val="28"/>
        </w:rPr>
      </w:pPr>
      <w:r w:rsidRPr="000858D7">
        <w:rPr>
          <w:rFonts w:ascii="Times New Roman" w:hAnsi="Times New Roman"/>
          <w:sz w:val="28"/>
          <w:szCs w:val="28"/>
        </w:rPr>
        <w:t>Projekts</w:t>
      </w:r>
    </w:p>
    <w:p w:rsidR="00EA1EE7" w:rsidRDefault="00EA1EE7" w:rsidP="006A586A">
      <w:pPr>
        <w:pStyle w:val="tv90087921"/>
        <w:pBdr>
          <w:bottom w:val="single" w:sz="12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:rsidR="006A586A" w:rsidRPr="005E464C" w:rsidRDefault="006A586A" w:rsidP="006A586A">
      <w:pPr>
        <w:pStyle w:val="tv90087921"/>
        <w:pBdr>
          <w:bottom w:val="single" w:sz="12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5E464C">
        <w:rPr>
          <w:rFonts w:ascii="Times New Roman" w:hAnsi="Times New Roman"/>
          <w:i w:val="0"/>
          <w:sz w:val="28"/>
          <w:szCs w:val="28"/>
        </w:rPr>
        <w:t>LATVIJAS REPUBLIKAS MINISTRU KABINETS</w:t>
      </w:r>
    </w:p>
    <w:p w:rsidR="006A586A" w:rsidRPr="006A586A" w:rsidRDefault="006A586A" w:rsidP="006A586A">
      <w:pPr>
        <w:pStyle w:val="tv90087921"/>
        <w:spacing w:after="0"/>
        <w:jc w:val="left"/>
        <w:rPr>
          <w:rFonts w:ascii="Times New Roman" w:hAnsi="Times New Roman"/>
          <w:sz w:val="28"/>
          <w:szCs w:val="28"/>
        </w:rPr>
      </w:pPr>
    </w:p>
    <w:p w:rsidR="006A586A" w:rsidRPr="006A586A" w:rsidRDefault="006A586A" w:rsidP="006A586A">
      <w:pPr>
        <w:pStyle w:val="tv90087921"/>
        <w:spacing w:after="0" w:line="240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6A586A">
        <w:rPr>
          <w:rFonts w:ascii="Times New Roman" w:hAnsi="Times New Roman"/>
          <w:i w:val="0"/>
          <w:sz w:val="28"/>
          <w:szCs w:val="28"/>
        </w:rPr>
        <w:t>2013.gada</w:t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  <w:t>Noteikumi Nr.</w:t>
      </w:r>
    </w:p>
    <w:p w:rsidR="006A586A" w:rsidRPr="006A586A" w:rsidRDefault="006A586A" w:rsidP="006A586A">
      <w:pPr>
        <w:pStyle w:val="tv90087921"/>
        <w:spacing w:after="0" w:line="240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6A586A">
        <w:rPr>
          <w:rFonts w:ascii="Times New Roman" w:hAnsi="Times New Roman"/>
          <w:i w:val="0"/>
          <w:sz w:val="28"/>
          <w:szCs w:val="28"/>
        </w:rPr>
        <w:t>Rīgā</w:t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</w:r>
      <w:r w:rsidRPr="006A586A">
        <w:rPr>
          <w:rFonts w:ascii="Times New Roman" w:hAnsi="Times New Roman"/>
          <w:i w:val="0"/>
          <w:sz w:val="28"/>
          <w:szCs w:val="28"/>
        </w:rPr>
        <w:tab/>
        <w:t>(</w:t>
      </w:r>
      <w:proofErr w:type="spellStart"/>
      <w:r w:rsidRPr="006A586A">
        <w:rPr>
          <w:rFonts w:ascii="Times New Roman" w:hAnsi="Times New Roman"/>
          <w:i w:val="0"/>
          <w:sz w:val="28"/>
          <w:szCs w:val="28"/>
        </w:rPr>
        <w:t>prot.Nr</w:t>
      </w:r>
      <w:proofErr w:type="spellEnd"/>
      <w:r w:rsidRPr="006A586A">
        <w:rPr>
          <w:rFonts w:ascii="Times New Roman" w:hAnsi="Times New Roman"/>
          <w:i w:val="0"/>
          <w:sz w:val="28"/>
          <w:szCs w:val="28"/>
        </w:rPr>
        <w:t>.</w:t>
      </w:r>
      <w:proofErr w:type="gramStart"/>
      <w:r w:rsidRPr="006A586A">
        <w:rPr>
          <w:rFonts w:ascii="Times New Roman" w:hAnsi="Times New Roman"/>
          <w:i w:val="0"/>
          <w:sz w:val="28"/>
          <w:szCs w:val="28"/>
        </w:rPr>
        <w:t xml:space="preserve">      </w:t>
      </w:r>
      <w:proofErr w:type="gramEnd"/>
      <w:r w:rsidRPr="006A586A">
        <w:rPr>
          <w:rFonts w:ascii="Times New Roman" w:hAnsi="Times New Roman"/>
          <w:i w:val="0"/>
          <w:sz w:val="28"/>
          <w:szCs w:val="28"/>
        </w:rPr>
        <w:t>§)</w:t>
      </w:r>
    </w:p>
    <w:p w:rsidR="006A586A" w:rsidRDefault="006A586A" w:rsidP="006A586A">
      <w:pPr>
        <w:pStyle w:val="tv9008792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EA1EE7" w:rsidRPr="006A586A" w:rsidRDefault="00EA1EE7" w:rsidP="006A586A">
      <w:pPr>
        <w:pStyle w:val="tv9008792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6A586A" w:rsidRPr="006A586A" w:rsidRDefault="006A586A" w:rsidP="006A586A">
      <w:pPr>
        <w:pStyle w:val="tv9008792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586A">
        <w:rPr>
          <w:rFonts w:ascii="Times New Roman" w:hAnsi="Times New Roman"/>
          <w:b/>
          <w:i w:val="0"/>
          <w:sz w:val="28"/>
          <w:szCs w:val="28"/>
        </w:rPr>
        <w:t>Grozījumi Ministru kabineta 2003.gada 29.aprīļa noteikumos Nr.236 „Aizsardzības ministrijas nolikums”</w:t>
      </w:r>
    </w:p>
    <w:p w:rsidR="006A586A" w:rsidRDefault="006A586A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6A586A" w:rsidRDefault="006A586A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Izdoti saskaņā ar</w:t>
      </w:r>
    </w:p>
    <w:p w:rsidR="006A586A" w:rsidRDefault="006A586A" w:rsidP="006A586A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Valsts pārvaldes iekārtas likuma</w:t>
      </w:r>
    </w:p>
    <w:p w:rsidR="006A586A" w:rsidRPr="006A586A" w:rsidRDefault="006A586A" w:rsidP="00351B88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16.panta pirmo daļu</w:t>
      </w:r>
    </w:p>
    <w:p w:rsidR="006A586A" w:rsidRPr="00655E64" w:rsidRDefault="006A586A" w:rsidP="0065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F42" w:rsidRDefault="006A586A" w:rsidP="00655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E64">
        <w:rPr>
          <w:rFonts w:ascii="Times New Roman" w:hAnsi="Times New Roman" w:cs="Times New Roman"/>
          <w:sz w:val="28"/>
          <w:szCs w:val="28"/>
        </w:rPr>
        <w:t>Izdarīt Ministru kabineta 2003.gada 29.aprīļa noteikumos Nr.236 „Aizsardzības ministrijas nolikums” (Latvijas Vēstnesis, 2003, 70.nr.; 2004, 94., 131., 175.nr.; 2005, 96.nr.; 2006, 60.nr.; 2007, 108.nr.; 2008, 104.nr.; 2010, 51/52.nr</w:t>
      </w:r>
      <w:r w:rsidR="002160C5">
        <w:rPr>
          <w:rFonts w:ascii="Times New Roman" w:hAnsi="Times New Roman" w:cs="Times New Roman"/>
          <w:sz w:val="28"/>
          <w:szCs w:val="28"/>
        </w:rPr>
        <w:t>.</w:t>
      </w:r>
      <w:r w:rsidRPr="00655E64">
        <w:rPr>
          <w:rFonts w:ascii="Times New Roman" w:hAnsi="Times New Roman" w:cs="Times New Roman"/>
          <w:sz w:val="28"/>
          <w:szCs w:val="28"/>
        </w:rPr>
        <w:t>) šādus grozījumus:</w:t>
      </w:r>
    </w:p>
    <w:p w:rsidR="009536D9" w:rsidRPr="00C56440" w:rsidRDefault="009536D9" w:rsidP="00C564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D9" w:rsidRPr="009536D9" w:rsidRDefault="009536D9" w:rsidP="005E436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6D9">
        <w:rPr>
          <w:rFonts w:ascii="Times New Roman" w:hAnsi="Times New Roman" w:cs="Times New Roman"/>
          <w:sz w:val="28"/>
          <w:szCs w:val="28"/>
        </w:rPr>
        <w:t>Papildināt noteikumus ar 5.6.</w:t>
      </w:r>
      <w:r w:rsidRPr="00953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36D9">
        <w:rPr>
          <w:rFonts w:ascii="Times New Roman" w:hAnsi="Times New Roman" w:cs="Times New Roman"/>
          <w:sz w:val="28"/>
          <w:szCs w:val="28"/>
        </w:rPr>
        <w:t xml:space="preserve"> apakšpunktu šādā redakcijā:</w:t>
      </w:r>
    </w:p>
    <w:p w:rsidR="009536D9" w:rsidRDefault="009536D9" w:rsidP="005E436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„5.6.</w:t>
      </w:r>
      <w:r w:rsidRPr="00953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veic Nacionālo bruņoto spēku dalības starptautiskajās operācijās plānošanu</w:t>
      </w:r>
      <w:r w:rsidR="002160C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9536D9" w:rsidRPr="009536D9" w:rsidRDefault="009536D9" w:rsidP="005E43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86A" w:rsidRPr="00655E64" w:rsidRDefault="005416ED" w:rsidP="005E436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</w:t>
      </w:r>
      <w:r w:rsidR="001C3E91">
        <w:rPr>
          <w:rFonts w:ascii="Times New Roman" w:hAnsi="Times New Roman" w:cs="Times New Roman"/>
          <w:sz w:val="28"/>
          <w:szCs w:val="28"/>
        </w:rPr>
        <w:t xml:space="preserve"> noteikumus</w:t>
      </w:r>
      <w:r>
        <w:rPr>
          <w:rFonts w:ascii="Times New Roman" w:hAnsi="Times New Roman" w:cs="Times New Roman"/>
          <w:sz w:val="28"/>
          <w:szCs w:val="28"/>
        </w:rPr>
        <w:t xml:space="preserve"> ar </w:t>
      </w:r>
      <w:r w:rsidR="006A586A" w:rsidRPr="00655E64">
        <w:rPr>
          <w:rFonts w:ascii="Times New Roman" w:hAnsi="Times New Roman" w:cs="Times New Roman"/>
          <w:sz w:val="28"/>
          <w:szCs w:val="28"/>
        </w:rPr>
        <w:t>5.15.</w:t>
      </w:r>
      <w:r w:rsidR="00EA1EE7" w:rsidRPr="00237A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1EE7">
        <w:rPr>
          <w:rFonts w:ascii="Times New Roman" w:hAnsi="Times New Roman" w:cs="Times New Roman"/>
          <w:sz w:val="28"/>
          <w:szCs w:val="28"/>
        </w:rPr>
        <w:t xml:space="preserve"> a</w:t>
      </w:r>
      <w:r w:rsidR="001C3E91">
        <w:rPr>
          <w:rFonts w:ascii="Times New Roman" w:hAnsi="Times New Roman" w:cs="Times New Roman"/>
          <w:sz w:val="28"/>
          <w:szCs w:val="28"/>
        </w:rPr>
        <w:t>pakšp</w:t>
      </w:r>
      <w:r w:rsidR="006A586A" w:rsidRPr="00655E64">
        <w:rPr>
          <w:rFonts w:ascii="Times New Roman" w:hAnsi="Times New Roman" w:cs="Times New Roman"/>
          <w:sz w:val="28"/>
          <w:szCs w:val="28"/>
        </w:rPr>
        <w:t>unktu šādā redakcijā:</w:t>
      </w:r>
    </w:p>
    <w:p w:rsidR="006A586A" w:rsidRDefault="006A586A" w:rsidP="005E436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E64">
        <w:rPr>
          <w:rFonts w:ascii="Times New Roman" w:hAnsi="Times New Roman" w:cs="Times New Roman"/>
          <w:sz w:val="28"/>
          <w:szCs w:val="28"/>
        </w:rPr>
        <w:t>„</w:t>
      </w:r>
      <w:r w:rsidR="005E464C" w:rsidRPr="00655E64">
        <w:rPr>
          <w:rFonts w:ascii="Times New Roman" w:hAnsi="Times New Roman" w:cs="Times New Roman"/>
          <w:sz w:val="28"/>
          <w:szCs w:val="28"/>
        </w:rPr>
        <w:t>5.15.</w:t>
      </w:r>
      <w:r w:rsidR="005E464C" w:rsidRPr="005E46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64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56440">
        <w:rPr>
          <w:rFonts w:ascii="Times New Roman" w:hAnsi="Times New Roman" w:cs="Times New Roman"/>
          <w:sz w:val="28"/>
          <w:szCs w:val="28"/>
        </w:rPr>
        <w:t xml:space="preserve">koordinē informācijas tehnoloģiju drošības politikas </w:t>
      </w:r>
      <w:r w:rsidR="00F446DF">
        <w:rPr>
          <w:rFonts w:ascii="Times New Roman" w:hAnsi="Times New Roman" w:cs="Times New Roman"/>
          <w:sz w:val="28"/>
          <w:szCs w:val="28"/>
        </w:rPr>
        <w:t xml:space="preserve">veidošanu un </w:t>
      </w:r>
      <w:r w:rsidR="00C56440">
        <w:rPr>
          <w:rFonts w:ascii="Times New Roman" w:hAnsi="Times New Roman" w:cs="Times New Roman"/>
          <w:sz w:val="28"/>
          <w:szCs w:val="28"/>
        </w:rPr>
        <w:t>īstenošanu</w:t>
      </w:r>
      <w:r w:rsidR="002160C5">
        <w:rPr>
          <w:rFonts w:ascii="Times New Roman" w:hAnsi="Times New Roman" w:cs="Times New Roman"/>
          <w:sz w:val="28"/>
          <w:szCs w:val="28"/>
        </w:rPr>
        <w:t>;</w:t>
      </w:r>
      <w:r w:rsidRPr="001247FD">
        <w:rPr>
          <w:rFonts w:ascii="Times New Roman" w:hAnsi="Times New Roman" w:cs="Times New Roman"/>
          <w:sz w:val="28"/>
          <w:szCs w:val="28"/>
        </w:rPr>
        <w:t>”.</w:t>
      </w:r>
    </w:p>
    <w:p w:rsidR="00237AF2" w:rsidRDefault="00237AF2" w:rsidP="005E436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AF2" w:rsidRDefault="00237AF2" w:rsidP="005E436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noteikumus ar 17.</w:t>
      </w:r>
      <w:r w:rsidRPr="00237A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:rsidR="00237AF2" w:rsidRDefault="00237AF2" w:rsidP="005E436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„17.</w:t>
      </w:r>
      <w:r w:rsidRPr="00237A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Ministrijas personālu veido ierēdņi, darbinieki un karavīri</w:t>
      </w:r>
      <w:r w:rsidR="00EF12C3">
        <w:rPr>
          <w:rFonts w:ascii="Times New Roman" w:hAnsi="Times New Roman" w:cs="Times New Roman"/>
          <w:sz w:val="28"/>
          <w:szCs w:val="28"/>
        </w:rPr>
        <w:t>, kas pārvietoti uz laiku valsts aizsardzības interesēs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:rsidR="00655E64" w:rsidRPr="00655E64" w:rsidRDefault="00655E64" w:rsidP="005E436B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86A" w:rsidRPr="00655E64" w:rsidRDefault="006A586A" w:rsidP="005E436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E64">
        <w:rPr>
          <w:rFonts w:ascii="Times New Roman" w:hAnsi="Times New Roman" w:cs="Times New Roman"/>
          <w:sz w:val="28"/>
          <w:szCs w:val="28"/>
        </w:rPr>
        <w:t>Izteikt 25.</w:t>
      </w:r>
      <w:r w:rsidR="00AA1417">
        <w:rPr>
          <w:rFonts w:ascii="Times New Roman" w:hAnsi="Times New Roman" w:cs="Times New Roman"/>
          <w:sz w:val="28"/>
          <w:szCs w:val="28"/>
        </w:rPr>
        <w:t>4.</w:t>
      </w:r>
      <w:r w:rsidR="00EA1EE7">
        <w:rPr>
          <w:rFonts w:ascii="Times New Roman" w:hAnsi="Times New Roman" w:cs="Times New Roman"/>
          <w:sz w:val="28"/>
          <w:szCs w:val="28"/>
        </w:rPr>
        <w:t xml:space="preserve"> </w:t>
      </w:r>
      <w:r w:rsidR="001C3E91">
        <w:rPr>
          <w:rFonts w:ascii="Times New Roman" w:hAnsi="Times New Roman" w:cs="Times New Roman"/>
          <w:sz w:val="28"/>
          <w:szCs w:val="28"/>
        </w:rPr>
        <w:t>apakš</w:t>
      </w:r>
      <w:r w:rsidRPr="00655E64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5E464C" w:rsidRDefault="00AA1417" w:rsidP="005E436B">
      <w:pPr>
        <w:pStyle w:val="tv213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„25.4. Latvijas Kara muzejs</w:t>
      </w:r>
      <w:r w:rsidR="003C70FB">
        <w:rPr>
          <w:rFonts w:ascii="Times New Roman" w:hAnsi="Times New Roman"/>
          <w:sz w:val="28"/>
          <w:szCs w:val="28"/>
        </w:rPr>
        <w:t>;”</w:t>
      </w:r>
      <w:r>
        <w:rPr>
          <w:rFonts w:ascii="Times New Roman" w:hAnsi="Times New Roman"/>
          <w:sz w:val="28"/>
          <w:szCs w:val="28"/>
        </w:rPr>
        <w:t>.</w:t>
      </w:r>
    </w:p>
    <w:p w:rsidR="00AA1417" w:rsidRDefault="00AA1417" w:rsidP="00AA1417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1EE7" w:rsidRDefault="00EA1EE7" w:rsidP="00AA1417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1EE7" w:rsidRDefault="00EA1EE7" w:rsidP="00AA1417">
      <w:pPr>
        <w:pStyle w:val="tv2131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464C" w:rsidRDefault="005E464C" w:rsidP="00EA1EE7">
      <w:pPr>
        <w:pStyle w:val="tv2131"/>
        <w:tabs>
          <w:tab w:val="right" w:pos="830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EA1EE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5E464C" w:rsidRDefault="005E464C" w:rsidP="00EA1EE7">
      <w:pPr>
        <w:pStyle w:val="tv2131"/>
        <w:tabs>
          <w:tab w:val="right" w:pos="830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464C" w:rsidRDefault="005E464C" w:rsidP="00EA1EE7">
      <w:pPr>
        <w:pStyle w:val="tv2131"/>
        <w:tabs>
          <w:tab w:val="right" w:pos="8306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Aizsardzības ministrs</w:t>
      </w:r>
      <w:r w:rsidR="00EA1EE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A.Pabriks</w:t>
      </w:r>
      <w:proofErr w:type="spellEnd"/>
    </w:p>
    <w:p w:rsidR="00EA1EE7" w:rsidRDefault="00EA1EE7" w:rsidP="00EA1EE7">
      <w:pPr>
        <w:pStyle w:val="tv2131"/>
        <w:tabs>
          <w:tab w:val="right" w:pos="830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1EE7" w:rsidRDefault="00EA1EE7" w:rsidP="00EA1EE7">
      <w:pPr>
        <w:pStyle w:val="tv2131"/>
        <w:tabs>
          <w:tab w:val="right" w:pos="830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464C" w:rsidRDefault="005E464C" w:rsidP="001900B0">
      <w:pPr>
        <w:pStyle w:val="tv2131"/>
        <w:tabs>
          <w:tab w:val="right" w:pos="830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00B0" w:rsidRDefault="001900B0" w:rsidP="001900B0">
      <w:pPr>
        <w:tabs>
          <w:tab w:val="right" w:pos="8306"/>
          <w:tab w:val="right" w:pos="90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ministra vietā</w:t>
      </w:r>
    </w:p>
    <w:p w:rsidR="001C3E91" w:rsidRPr="001C3E91" w:rsidRDefault="001900B0" w:rsidP="001900B0">
      <w:pPr>
        <w:tabs>
          <w:tab w:val="right" w:pos="8306"/>
          <w:tab w:val="right" w:pos="90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  <w:t>A.Matīss</w:t>
      </w:r>
    </w:p>
    <w:p w:rsidR="001C3E91" w:rsidRDefault="001C3E91" w:rsidP="001900B0">
      <w:pPr>
        <w:pStyle w:val="naisf"/>
        <w:tabs>
          <w:tab w:val="right" w:pos="8306"/>
          <w:tab w:val="right" w:pos="9000"/>
        </w:tabs>
        <w:spacing w:before="0" w:after="0"/>
        <w:ind w:firstLine="0"/>
        <w:rPr>
          <w:sz w:val="20"/>
          <w:szCs w:val="20"/>
        </w:rPr>
      </w:pPr>
    </w:p>
    <w:p w:rsidR="00EA1EE7" w:rsidRDefault="00EA1EE7" w:rsidP="001900B0">
      <w:pPr>
        <w:pStyle w:val="naisf"/>
        <w:tabs>
          <w:tab w:val="right" w:pos="8306"/>
          <w:tab w:val="right" w:pos="9000"/>
        </w:tabs>
        <w:spacing w:before="0" w:after="0"/>
        <w:ind w:firstLine="0"/>
        <w:rPr>
          <w:sz w:val="20"/>
          <w:szCs w:val="20"/>
        </w:rPr>
      </w:pPr>
    </w:p>
    <w:p w:rsidR="00EA1EE7" w:rsidRPr="001C3E91" w:rsidRDefault="00EA1EE7" w:rsidP="00EA1EE7">
      <w:pPr>
        <w:pStyle w:val="naisf"/>
        <w:tabs>
          <w:tab w:val="right" w:pos="8306"/>
          <w:tab w:val="right" w:pos="9000"/>
        </w:tabs>
        <w:spacing w:before="0" w:after="0"/>
        <w:ind w:firstLine="0"/>
        <w:rPr>
          <w:sz w:val="20"/>
          <w:szCs w:val="20"/>
        </w:rPr>
      </w:pPr>
    </w:p>
    <w:p w:rsidR="001C3E91" w:rsidRPr="001C3E91" w:rsidRDefault="001900B0" w:rsidP="00EA1EE7">
      <w:pPr>
        <w:pStyle w:val="naisf"/>
        <w:tabs>
          <w:tab w:val="right" w:pos="8306"/>
          <w:tab w:val="right" w:pos="900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  <w:t>J.Sārts</w:t>
      </w:r>
    </w:p>
    <w:p w:rsidR="001C3E91" w:rsidRDefault="001C3E91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1C3E91" w:rsidRDefault="001C3E91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Default="00EA1EE7" w:rsidP="001C3E91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Pr="007554D9" w:rsidRDefault="00EA1EE7" w:rsidP="000B5E7E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A1EE7" w:rsidRPr="007554D9" w:rsidRDefault="00EA1EE7" w:rsidP="000B5E7E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7554D9" w:rsidRPr="007554D9" w:rsidRDefault="007554D9" w:rsidP="000B5E7E">
      <w:pPr>
        <w:spacing w:after="0" w:line="240" w:lineRule="auto"/>
        <w:rPr>
          <w:rFonts w:ascii="Times New Roman" w:cs="Times New Roman"/>
          <w:sz w:val="20"/>
          <w:szCs w:val="20"/>
        </w:rPr>
      </w:pPr>
      <w:r w:rsidRPr="007554D9">
        <w:rPr>
          <w:rFonts w:ascii="Times New Roman" w:cs="Times New Roman"/>
          <w:sz w:val="20"/>
          <w:szCs w:val="20"/>
        </w:rPr>
        <w:fldChar w:fldCharType="begin"/>
      </w:r>
      <w:r w:rsidRPr="007554D9">
        <w:rPr>
          <w:rFonts w:ascii="Times New Roman" w:cs="Times New Roman"/>
          <w:sz w:val="20"/>
          <w:szCs w:val="20"/>
        </w:rPr>
        <w:instrText xml:space="preserve"> DATE  \@ "dd.MM.yyyy"  \* MERGEFORMAT </w:instrText>
      </w:r>
      <w:r w:rsidRPr="007554D9">
        <w:rPr>
          <w:rFonts w:ascii="Times New Roman" w:cs="Times New Roman"/>
          <w:sz w:val="20"/>
          <w:szCs w:val="20"/>
        </w:rPr>
        <w:fldChar w:fldCharType="separate"/>
      </w:r>
      <w:r w:rsidR="001900B0">
        <w:rPr>
          <w:rFonts w:ascii="Times New Roman" w:cs="Times New Roman"/>
          <w:noProof/>
          <w:sz w:val="20"/>
          <w:szCs w:val="20"/>
        </w:rPr>
        <w:t>06.06.2013</w:t>
      </w:r>
      <w:r w:rsidRPr="007554D9">
        <w:rPr>
          <w:rFonts w:ascii="Times New Roman" w:cs="Times New Roman"/>
          <w:sz w:val="20"/>
          <w:szCs w:val="20"/>
        </w:rPr>
        <w:fldChar w:fldCharType="end"/>
      </w:r>
      <w:r w:rsidR="001900B0">
        <w:rPr>
          <w:rFonts w:ascii="Times New Roman" w:cs="Times New Roman"/>
          <w:sz w:val="20"/>
          <w:szCs w:val="20"/>
        </w:rPr>
        <w:t>. 09:52</w:t>
      </w:r>
    </w:p>
    <w:p w:rsidR="007554D9" w:rsidRPr="007554D9" w:rsidRDefault="001900B0" w:rsidP="000B5E7E">
      <w:pPr>
        <w:spacing w:after="0" w:line="240" w:lineRule="auto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152</w:t>
      </w:r>
      <w:bookmarkStart w:id="0" w:name="_GoBack"/>
      <w:bookmarkEnd w:id="0"/>
    </w:p>
    <w:p w:rsidR="001C3E91" w:rsidRPr="007554D9" w:rsidRDefault="001C3E91" w:rsidP="000B5E7E">
      <w:pPr>
        <w:pStyle w:val="Header"/>
        <w:rPr>
          <w:rFonts w:ascii="Times New Roman" w:hAnsi="Times New Roman" w:cs="Times New Roman"/>
          <w:sz w:val="20"/>
          <w:szCs w:val="20"/>
        </w:rPr>
      </w:pPr>
      <w:proofErr w:type="spellStart"/>
      <w:r w:rsidRPr="007554D9">
        <w:rPr>
          <w:rFonts w:ascii="Times New Roman" w:hAnsi="Times New Roman" w:cs="Times New Roman"/>
          <w:sz w:val="20"/>
          <w:szCs w:val="20"/>
        </w:rPr>
        <w:t>S.Araslanova</w:t>
      </w:r>
      <w:proofErr w:type="spellEnd"/>
      <w:r w:rsidRPr="007554D9">
        <w:rPr>
          <w:rFonts w:ascii="Times New Roman" w:hAnsi="Times New Roman" w:cs="Times New Roman"/>
          <w:sz w:val="20"/>
          <w:szCs w:val="20"/>
        </w:rPr>
        <w:t xml:space="preserve">, </w:t>
      </w:r>
      <w:r w:rsidRPr="007554D9">
        <w:rPr>
          <w:rFonts w:ascii="Times New Roman" w:hAnsi="Times New Roman" w:cs="Times New Roman"/>
          <w:sz w:val="20"/>
          <w:szCs w:val="20"/>
        </w:rPr>
        <w:fldChar w:fldCharType="begin"/>
      </w:r>
      <w:r w:rsidRPr="007554D9">
        <w:rPr>
          <w:rFonts w:ascii="Times New Roman" w:hAnsi="Times New Roman" w:cs="Times New Roman"/>
          <w:sz w:val="20"/>
          <w:szCs w:val="20"/>
        </w:rPr>
        <w:instrText xml:space="preserve"> COMMENTS  \* MERGEFORMAT </w:instrText>
      </w:r>
      <w:r w:rsidRPr="007554D9">
        <w:rPr>
          <w:rFonts w:ascii="Times New Roman" w:hAnsi="Times New Roman" w:cs="Times New Roman"/>
          <w:sz w:val="20"/>
          <w:szCs w:val="20"/>
        </w:rPr>
        <w:fldChar w:fldCharType="separate"/>
      </w:r>
      <w:r w:rsidRPr="007554D9">
        <w:rPr>
          <w:rFonts w:ascii="Times New Roman" w:hAnsi="Times New Roman" w:cs="Times New Roman"/>
          <w:sz w:val="20"/>
          <w:szCs w:val="20"/>
        </w:rPr>
        <w:t>67335133</w:t>
      </w:r>
    </w:p>
    <w:p w:rsidR="001C3E91" w:rsidRPr="007554D9" w:rsidRDefault="001C3E91" w:rsidP="000B5E7E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7554D9">
        <w:rPr>
          <w:rFonts w:ascii="Times New Roman" w:hAnsi="Times New Roman" w:cs="Times New Roman"/>
          <w:sz w:val="20"/>
          <w:szCs w:val="20"/>
        </w:rPr>
        <w:t>Svetlana.Araslanova@mod.gov.lv</w:t>
      </w:r>
    </w:p>
    <w:p w:rsidR="001C3E91" w:rsidRPr="007554D9" w:rsidRDefault="001C3E91" w:rsidP="000B5E7E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7554D9">
        <w:rPr>
          <w:rFonts w:ascii="Times New Roman" w:hAnsi="Times New Roman" w:cs="Times New Roman"/>
          <w:sz w:val="20"/>
          <w:szCs w:val="20"/>
        </w:rPr>
        <w:t>fakss</w:t>
      </w:r>
      <w:r w:rsidR="007554D9">
        <w:rPr>
          <w:rFonts w:ascii="Times New Roman" w:hAnsi="Times New Roman" w:cs="Times New Roman"/>
          <w:sz w:val="20"/>
          <w:szCs w:val="20"/>
        </w:rPr>
        <w:t xml:space="preserve">: </w:t>
      </w:r>
      <w:r w:rsidRPr="007554D9">
        <w:rPr>
          <w:rFonts w:ascii="Times New Roman" w:hAnsi="Times New Roman" w:cs="Times New Roman"/>
          <w:sz w:val="20"/>
          <w:szCs w:val="20"/>
        </w:rPr>
        <w:t>67212307</w:t>
      </w:r>
    </w:p>
    <w:p w:rsidR="001C3E91" w:rsidRPr="007554D9" w:rsidRDefault="001C3E91" w:rsidP="000B5E7E">
      <w:pPr>
        <w:pStyle w:val="tv2131"/>
        <w:spacing w:before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554D9">
        <w:rPr>
          <w:rFonts w:ascii="Times New Roman" w:hAnsi="Times New Roman"/>
          <w:sz w:val="20"/>
          <w:szCs w:val="20"/>
        </w:rPr>
        <w:fldChar w:fldCharType="end"/>
      </w:r>
    </w:p>
    <w:sectPr w:rsidR="001C3E91" w:rsidRPr="007554D9" w:rsidSect="002957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4C" w:rsidRDefault="005E464C" w:rsidP="005E464C">
      <w:pPr>
        <w:spacing w:after="0" w:line="240" w:lineRule="auto"/>
      </w:pPr>
      <w:r>
        <w:separator/>
      </w:r>
    </w:p>
  </w:endnote>
  <w:endnote w:type="continuationSeparator" w:id="0">
    <w:p w:rsidR="005E464C" w:rsidRDefault="005E464C" w:rsidP="005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Pr="00B5253A" w:rsidRDefault="00B5253A" w:rsidP="00B5253A">
    <w:pPr>
      <w:jc w:val="both"/>
      <w:rPr>
        <w:rFonts w:ascii="Times New Roman" w:hAnsi="Times New Roman" w:cs="Times New Roman"/>
        <w:sz w:val="20"/>
        <w:szCs w:val="20"/>
      </w:rPr>
    </w:pPr>
    <w:r w:rsidRPr="00B5253A">
      <w:rPr>
        <w:rFonts w:ascii="Times New Roman" w:hAnsi="Times New Roman" w:cs="Times New Roman"/>
        <w:snapToGrid w:val="0"/>
        <w:sz w:val="20"/>
        <w:szCs w:val="20"/>
      </w:rPr>
      <w:fldChar w:fldCharType="begin"/>
    </w:r>
    <w:r w:rsidRPr="00B5253A">
      <w:rPr>
        <w:rFonts w:ascii="Times New Roman" w:hAnsi="Times New Roman" w:cs="Times New Roman"/>
        <w:snapToGrid w:val="0"/>
        <w:sz w:val="20"/>
        <w:szCs w:val="20"/>
      </w:rPr>
      <w:instrText xml:space="preserve"> FILENAME </w:instrText>
    </w:r>
    <w:r w:rsidRPr="00B5253A">
      <w:rPr>
        <w:rFonts w:ascii="Times New Roman" w:hAnsi="Times New Roman" w:cs="Times New Roman"/>
        <w:snapToGrid w:val="0"/>
        <w:sz w:val="20"/>
        <w:szCs w:val="20"/>
      </w:rPr>
      <w:fldChar w:fldCharType="separate"/>
    </w:r>
    <w:r w:rsidR="001900B0">
      <w:rPr>
        <w:rFonts w:ascii="Times New Roman" w:hAnsi="Times New Roman" w:cs="Times New Roman"/>
        <w:noProof/>
        <w:snapToGrid w:val="0"/>
        <w:sz w:val="20"/>
        <w:szCs w:val="20"/>
      </w:rPr>
      <w:t>AIMnot_0606</w:t>
    </w:r>
    <w:r w:rsidR="00EF12C3">
      <w:rPr>
        <w:rFonts w:ascii="Times New Roman" w:hAnsi="Times New Roman" w:cs="Times New Roman"/>
        <w:noProof/>
        <w:snapToGrid w:val="0"/>
        <w:sz w:val="20"/>
        <w:szCs w:val="20"/>
      </w:rPr>
      <w:t>13_nolikums.docx</w:t>
    </w:r>
    <w:r w:rsidRPr="00B5253A">
      <w:rPr>
        <w:rFonts w:ascii="Times New Roman" w:hAnsi="Times New Roman" w:cs="Times New Roman"/>
        <w:snapToGrid w:val="0"/>
        <w:sz w:val="20"/>
        <w:szCs w:val="20"/>
      </w:rPr>
      <w:fldChar w:fldCharType="end"/>
    </w:r>
    <w:r w:rsidRPr="00B5253A">
      <w:rPr>
        <w:rFonts w:ascii="Times New Roman" w:hAnsi="Times New Roman" w:cs="Times New Roman"/>
        <w:sz w:val="20"/>
        <w:szCs w:val="20"/>
      </w:rPr>
      <w:t xml:space="preserve">; </w:t>
    </w:r>
    <w:r w:rsidRPr="00B5253A">
      <w:rPr>
        <w:rFonts w:ascii="Times New Roman" w:hAnsi="Times New Roman" w:cs="Times New Roman"/>
        <w:sz w:val="20"/>
        <w:szCs w:val="20"/>
      </w:rPr>
      <w:fldChar w:fldCharType="begin"/>
    </w:r>
    <w:r w:rsidRPr="00B5253A">
      <w:rPr>
        <w:rFonts w:ascii="Times New Roman" w:hAnsi="Times New Roman" w:cs="Times New Roman"/>
        <w:sz w:val="20"/>
        <w:szCs w:val="20"/>
      </w:rPr>
      <w:instrText xml:space="preserve"> TITLE  </w:instrText>
    </w:r>
    <w:r w:rsidRPr="00B5253A">
      <w:rPr>
        <w:rFonts w:ascii="Times New Roman" w:hAnsi="Times New Roman" w:cs="Times New Roman"/>
        <w:sz w:val="20"/>
        <w:szCs w:val="20"/>
      </w:rPr>
      <w:fldChar w:fldCharType="separate"/>
    </w:r>
    <w:r w:rsidR="00EF12C3">
      <w:rPr>
        <w:rFonts w:ascii="Times New Roman" w:hAnsi="Times New Roman" w:cs="Times New Roman"/>
        <w:sz w:val="20"/>
        <w:szCs w:val="20"/>
      </w:rPr>
      <w:t>Ministru kabineta noteikumu "Grozījumi Ministru kabineta 2003.gada 29.aprīļa noteikumos Nr.236 „Aizsardzības ministrijas nolikums”" projekts</w:t>
    </w:r>
    <w:r w:rsidRPr="00B5253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EE" w:rsidRPr="00B5253A" w:rsidRDefault="002957EE" w:rsidP="002957EE">
    <w:pPr>
      <w:jc w:val="both"/>
      <w:rPr>
        <w:rFonts w:ascii="Times New Roman" w:hAnsi="Times New Roman" w:cs="Times New Roman"/>
        <w:sz w:val="20"/>
        <w:szCs w:val="20"/>
      </w:rPr>
    </w:pPr>
    <w:r w:rsidRPr="00B5253A">
      <w:rPr>
        <w:rFonts w:ascii="Times New Roman" w:hAnsi="Times New Roman" w:cs="Times New Roman"/>
        <w:snapToGrid w:val="0"/>
        <w:sz w:val="20"/>
        <w:szCs w:val="20"/>
      </w:rPr>
      <w:fldChar w:fldCharType="begin"/>
    </w:r>
    <w:r w:rsidRPr="00B5253A">
      <w:rPr>
        <w:rFonts w:ascii="Times New Roman" w:hAnsi="Times New Roman" w:cs="Times New Roman"/>
        <w:snapToGrid w:val="0"/>
        <w:sz w:val="20"/>
        <w:szCs w:val="20"/>
      </w:rPr>
      <w:instrText xml:space="preserve"> FILENAME </w:instrText>
    </w:r>
    <w:r w:rsidRPr="00B5253A">
      <w:rPr>
        <w:rFonts w:ascii="Times New Roman" w:hAnsi="Times New Roman" w:cs="Times New Roman"/>
        <w:snapToGrid w:val="0"/>
        <w:sz w:val="20"/>
        <w:szCs w:val="20"/>
      </w:rPr>
      <w:fldChar w:fldCharType="separate"/>
    </w:r>
    <w:r w:rsidR="001900B0">
      <w:rPr>
        <w:rFonts w:ascii="Times New Roman" w:hAnsi="Times New Roman" w:cs="Times New Roman"/>
        <w:noProof/>
        <w:snapToGrid w:val="0"/>
        <w:sz w:val="20"/>
        <w:szCs w:val="20"/>
      </w:rPr>
      <w:t>AIMnot_0606</w:t>
    </w:r>
    <w:r w:rsidR="00EF12C3">
      <w:rPr>
        <w:rFonts w:ascii="Times New Roman" w:hAnsi="Times New Roman" w:cs="Times New Roman"/>
        <w:noProof/>
        <w:snapToGrid w:val="0"/>
        <w:sz w:val="20"/>
        <w:szCs w:val="20"/>
      </w:rPr>
      <w:t>13_nolikums.docx</w:t>
    </w:r>
    <w:r w:rsidRPr="00B5253A">
      <w:rPr>
        <w:rFonts w:ascii="Times New Roman" w:hAnsi="Times New Roman" w:cs="Times New Roman"/>
        <w:snapToGrid w:val="0"/>
        <w:sz w:val="20"/>
        <w:szCs w:val="20"/>
      </w:rPr>
      <w:fldChar w:fldCharType="end"/>
    </w:r>
    <w:r w:rsidRPr="00B5253A">
      <w:rPr>
        <w:rFonts w:ascii="Times New Roman" w:hAnsi="Times New Roman" w:cs="Times New Roman"/>
        <w:sz w:val="20"/>
        <w:szCs w:val="20"/>
      </w:rPr>
      <w:t xml:space="preserve">; </w:t>
    </w:r>
    <w:r w:rsidRPr="00B5253A">
      <w:rPr>
        <w:rFonts w:ascii="Times New Roman" w:hAnsi="Times New Roman" w:cs="Times New Roman"/>
        <w:sz w:val="20"/>
        <w:szCs w:val="20"/>
      </w:rPr>
      <w:fldChar w:fldCharType="begin"/>
    </w:r>
    <w:r w:rsidRPr="00B5253A">
      <w:rPr>
        <w:rFonts w:ascii="Times New Roman" w:hAnsi="Times New Roman" w:cs="Times New Roman"/>
        <w:sz w:val="20"/>
        <w:szCs w:val="20"/>
      </w:rPr>
      <w:instrText xml:space="preserve"> TITLE  </w:instrText>
    </w:r>
    <w:r w:rsidRPr="00B5253A">
      <w:rPr>
        <w:rFonts w:ascii="Times New Roman" w:hAnsi="Times New Roman" w:cs="Times New Roman"/>
        <w:sz w:val="20"/>
        <w:szCs w:val="20"/>
      </w:rPr>
      <w:fldChar w:fldCharType="separate"/>
    </w:r>
    <w:r w:rsidR="00EF12C3">
      <w:rPr>
        <w:rFonts w:ascii="Times New Roman" w:hAnsi="Times New Roman" w:cs="Times New Roman"/>
        <w:sz w:val="20"/>
        <w:szCs w:val="20"/>
      </w:rPr>
      <w:t>Ministru kabineta noteikumu "Grozījumi Ministru kabineta 2003.gada 29.aprīļa noteikumos Nr.236 „Aizsardzības ministrijas nolikums”" projekts</w:t>
    </w:r>
    <w:r w:rsidRPr="00B5253A">
      <w:rPr>
        <w:rFonts w:ascii="Times New Roman" w:hAnsi="Times New Roman" w:cs="Times New Roman"/>
        <w:sz w:val="20"/>
        <w:szCs w:val="20"/>
      </w:rPr>
      <w:fldChar w:fldCharType="end"/>
    </w:r>
  </w:p>
  <w:p w:rsidR="002957EE" w:rsidRDefault="00295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4C" w:rsidRDefault="005E464C" w:rsidP="005E464C">
      <w:pPr>
        <w:spacing w:after="0" w:line="240" w:lineRule="auto"/>
      </w:pPr>
      <w:r>
        <w:separator/>
      </w:r>
    </w:p>
  </w:footnote>
  <w:footnote w:type="continuationSeparator" w:id="0">
    <w:p w:rsidR="005E464C" w:rsidRDefault="005E464C" w:rsidP="005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EE" w:rsidRDefault="002957EE">
    <w:pPr>
      <w:pStyle w:val="Header"/>
      <w:jc w:val="center"/>
    </w:pPr>
    <w:r>
      <w:t>2</w:t>
    </w:r>
  </w:p>
  <w:p w:rsidR="002957EE" w:rsidRDefault="00295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EE" w:rsidRDefault="002957EE">
    <w:pPr>
      <w:pStyle w:val="Header"/>
      <w:jc w:val="center"/>
    </w:pPr>
  </w:p>
  <w:p w:rsidR="002957EE" w:rsidRDefault="00295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B98"/>
    <w:multiLevelType w:val="hybridMultilevel"/>
    <w:tmpl w:val="28EE8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A"/>
    <w:rsid w:val="00062DCF"/>
    <w:rsid w:val="000858D7"/>
    <w:rsid w:val="000B5E7E"/>
    <w:rsid w:val="001247FD"/>
    <w:rsid w:val="001900B0"/>
    <w:rsid w:val="001C3E91"/>
    <w:rsid w:val="001E36C5"/>
    <w:rsid w:val="002160C5"/>
    <w:rsid w:val="00237AF2"/>
    <w:rsid w:val="002957EE"/>
    <w:rsid w:val="002D2813"/>
    <w:rsid w:val="00351B88"/>
    <w:rsid w:val="003C70FB"/>
    <w:rsid w:val="004A70FE"/>
    <w:rsid w:val="005416ED"/>
    <w:rsid w:val="005C7A73"/>
    <w:rsid w:val="005E436B"/>
    <w:rsid w:val="005E464C"/>
    <w:rsid w:val="00655E64"/>
    <w:rsid w:val="00664893"/>
    <w:rsid w:val="006A586A"/>
    <w:rsid w:val="007554D9"/>
    <w:rsid w:val="008711DF"/>
    <w:rsid w:val="008D1411"/>
    <w:rsid w:val="009536D9"/>
    <w:rsid w:val="00AA1417"/>
    <w:rsid w:val="00B5253A"/>
    <w:rsid w:val="00B54C4C"/>
    <w:rsid w:val="00B97D8A"/>
    <w:rsid w:val="00C56440"/>
    <w:rsid w:val="00D53144"/>
    <w:rsid w:val="00E552A4"/>
    <w:rsid w:val="00EA1EE7"/>
    <w:rsid w:val="00EB171D"/>
    <w:rsid w:val="00EF12C3"/>
    <w:rsid w:val="00F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3E56A3F.dotm</Template>
  <TotalTime>1</TotalTime>
  <Pages>2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"Grozījumi Ministru kabineta 2003.gada 29.aprīļa noteikumos Nr.236 „Aizsardzības ministrijas nolikums”" projekts</vt:lpstr>
    </vt:vector>
  </TitlesOfParts>
  <Company>AM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"Grozījumi Ministru kabineta 2003.gada 29.aprīļa noteikumos Nr.236 „Aizsardzības ministrijas nolikums”" projekts</dc:title>
  <dc:creator>Svetlana Araslanova</dc:creator>
  <cp:lastModifiedBy>Svetlana Araslanova</cp:lastModifiedBy>
  <cp:revision>2</cp:revision>
  <cp:lastPrinted>2013-06-04T12:51:00Z</cp:lastPrinted>
  <dcterms:created xsi:type="dcterms:W3CDTF">2013-06-06T06:53:00Z</dcterms:created>
  <dcterms:modified xsi:type="dcterms:W3CDTF">2013-06-06T06:53:00Z</dcterms:modified>
</cp:coreProperties>
</file>