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D2" w:rsidRPr="006F4C5A" w:rsidRDefault="004C5FD2" w:rsidP="006F4C5A">
      <w:pPr>
        <w:pStyle w:val="naisc"/>
        <w:spacing w:before="0" w:after="0"/>
        <w:rPr>
          <w:b/>
          <w:bCs/>
          <w:sz w:val="28"/>
          <w:szCs w:val="28"/>
        </w:rPr>
      </w:pPr>
      <w:bookmarkStart w:id="0" w:name="OLE_LINK1"/>
      <w:bookmarkStart w:id="1" w:name="OLE_LINK2"/>
      <w:r w:rsidRPr="006F4C5A">
        <w:rPr>
          <w:b/>
          <w:bCs/>
          <w:sz w:val="28"/>
          <w:szCs w:val="28"/>
        </w:rPr>
        <w:t xml:space="preserve">Ministru </w:t>
      </w:r>
      <w:r w:rsidR="0013505B">
        <w:rPr>
          <w:b/>
          <w:bCs/>
          <w:sz w:val="28"/>
          <w:szCs w:val="28"/>
        </w:rPr>
        <w:t>kabineta</w:t>
      </w:r>
      <w:r w:rsidRPr="006F4C5A">
        <w:rPr>
          <w:b/>
          <w:bCs/>
          <w:sz w:val="28"/>
          <w:szCs w:val="28"/>
        </w:rPr>
        <w:t xml:space="preserve"> rīkojuma projekta</w:t>
      </w:r>
    </w:p>
    <w:p w:rsidR="004C5FD2" w:rsidRPr="006F4C5A" w:rsidRDefault="004C5FD2" w:rsidP="006F4C5A">
      <w:pPr>
        <w:pStyle w:val="Heading3"/>
        <w:rPr>
          <w:sz w:val="24"/>
        </w:rPr>
      </w:pPr>
      <w:r w:rsidRPr="006F4C5A">
        <w:rPr>
          <w:szCs w:val="28"/>
        </w:rPr>
        <w:t>„</w:t>
      </w:r>
      <w:r w:rsidR="0013505B">
        <w:rPr>
          <w:szCs w:val="28"/>
        </w:rPr>
        <w:t>Par ministriju kompetenču sadalījumu Eiropas Savienības jautājumos atbilstoši Eiropas Savienības tiesību kopuma klasifikācijai</w:t>
      </w:r>
      <w:r w:rsidRPr="006F4C5A">
        <w:rPr>
          <w:szCs w:val="28"/>
        </w:rPr>
        <w:t>”</w:t>
      </w:r>
      <w:r w:rsidR="006C3BE3">
        <w:rPr>
          <w:szCs w:val="28"/>
        </w:rPr>
        <w:t xml:space="preserve"> </w:t>
      </w:r>
      <w:r w:rsidR="006C3BE3" w:rsidRPr="006C3BE3">
        <w:rPr>
          <w:szCs w:val="28"/>
        </w:rPr>
        <w:t>sākotnējās ietekmes novērtējuma ziņojums (anotācija)</w:t>
      </w:r>
    </w:p>
    <w:bookmarkEnd w:id="0"/>
    <w:bookmarkEnd w:id="1"/>
    <w:p w:rsidR="004C5FD2" w:rsidRPr="0048110F" w:rsidRDefault="004C5FD2" w:rsidP="002D7F58">
      <w:pPr>
        <w:pStyle w:val="BodyText"/>
        <w:rPr>
          <w:sz w:val="24"/>
          <w:szCs w:val="24"/>
        </w:rPr>
      </w:pPr>
    </w:p>
    <w:tbl>
      <w:tblPr>
        <w:tblW w:w="9923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5"/>
        <w:gridCol w:w="54"/>
        <w:gridCol w:w="3969"/>
        <w:gridCol w:w="49"/>
        <w:gridCol w:w="449"/>
        <w:gridCol w:w="4747"/>
      </w:tblGrid>
      <w:tr w:rsidR="004C5FD2" w:rsidRPr="0050607D" w:rsidTr="008809DC">
        <w:trPr>
          <w:tblCellSpacing w:w="0" w:type="dxa"/>
        </w:trPr>
        <w:tc>
          <w:tcPr>
            <w:tcW w:w="9923" w:type="dxa"/>
            <w:gridSpan w:val="6"/>
            <w:vAlign w:val="center"/>
          </w:tcPr>
          <w:p w:rsidR="004C5FD2" w:rsidRPr="0050607D" w:rsidRDefault="004C5FD2" w:rsidP="00EF4AC1">
            <w:pPr>
              <w:pStyle w:val="naisc"/>
            </w:pPr>
            <w:r w:rsidRPr="0050607D">
              <w:t> </w:t>
            </w:r>
            <w:r w:rsidRPr="0050607D">
              <w:rPr>
                <w:b/>
                <w:bCs/>
              </w:rPr>
              <w:t> I. Tiesību akta projekta izstrādes nepieciešamība</w:t>
            </w:r>
          </w:p>
        </w:tc>
      </w:tr>
      <w:tr w:rsidR="004C5FD2" w:rsidRPr="0050607D" w:rsidTr="008809DC">
        <w:trPr>
          <w:trHeight w:val="1150"/>
          <w:tblCellSpacing w:w="0" w:type="dxa"/>
        </w:trPr>
        <w:tc>
          <w:tcPr>
            <w:tcW w:w="655" w:type="dxa"/>
          </w:tcPr>
          <w:p w:rsidR="004C5FD2" w:rsidRPr="0050607D" w:rsidRDefault="004C5FD2" w:rsidP="002D7F58">
            <w:pPr>
              <w:pStyle w:val="naislab"/>
              <w:jc w:val="left"/>
            </w:pPr>
            <w:r w:rsidRPr="0050607D">
              <w:t> 1.</w:t>
            </w:r>
          </w:p>
        </w:tc>
        <w:tc>
          <w:tcPr>
            <w:tcW w:w="4072" w:type="dxa"/>
            <w:gridSpan w:val="3"/>
          </w:tcPr>
          <w:p w:rsidR="004C5FD2" w:rsidRPr="0050607D" w:rsidRDefault="004C5FD2" w:rsidP="00EF4AC1">
            <w:pPr>
              <w:pStyle w:val="naislab"/>
              <w:jc w:val="left"/>
            </w:pPr>
            <w:r w:rsidRPr="0050607D">
              <w:t> Pamatojums</w:t>
            </w:r>
          </w:p>
        </w:tc>
        <w:tc>
          <w:tcPr>
            <w:tcW w:w="5196" w:type="dxa"/>
            <w:gridSpan w:val="2"/>
          </w:tcPr>
          <w:p w:rsidR="004C5FD2" w:rsidRPr="000D3154" w:rsidRDefault="004C5FD2" w:rsidP="0032450E">
            <w:pPr>
              <w:pStyle w:val="naislab"/>
              <w:jc w:val="both"/>
            </w:pPr>
            <w:r w:rsidRPr="0032450E">
              <w:t>Rīkojuma projekts izstrādāts</w:t>
            </w:r>
            <w:r w:rsidR="00F2315C" w:rsidRPr="0032450E">
              <w:t>, pamatojoties uz Ministru kabineta 200</w:t>
            </w:r>
            <w:r w:rsidR="0032450E" w:rsidRPr="0032450E">
              <w:t>3</w:t>
            </w:r>
            <w:r w:rsidR="00F2315C" w:rsidRPr="0032450E">
              <w:t xml:space="preserve">.gada </w:t>
            </w:r>
            <w:r w:rsidR="0032450E" w:rsidRPr="0032450E">
              <w:t>29</w:t>
            </w:r>
            <w:r w:rsidR="00F2315C" w:rsidRPr="0032450E">
              <w:t>.</w:t>
            </w:r>
            <w:r w:rsidR="0032450E" w:rsidRPr="0032450E">
              <w:t>aprīļa</w:t>
            </w:r>
            <w:r w:rsidR="00F2315C" w:rsidRPr="0032450E">
              <w:t xml:space="preserve"> noteikumu Nr.</w:t>
            </w:r>
            <w:r w:rsidR="0032450E" w:rsidRPr="0032450E">
              <w:t>237</w:t>
            </w:r>
            <w:r w:rsidR="00F2315C" w:rsidRPr="0032450E">
              <w:t xml:space="preserve"> “</w:t>
            </w:r>
            <w:r w:rsidR="0032450E" w:rsidRPr="0032450E">
              <w:rPr>
                <w:bCs/>
                <w:szCs w:val="28"/>
              </w:rPr>
              <w:t>Ārlietu ministrijas nolikums” punktu 5.4.</w:t>
            </w:r>
          </w:p>
        </w:tc>
      </w:tr>
      <w:tr w:rsidR="004C5FD2" w:rsidRPr="0050607D" w:rsidTr="008809DC">
        <w:trPr>
          <w:trHeight w:val="472"/>
          <w:tblCellSpacing w:w="0" w:type="dxa"/>
        </w:trPr>
        <w:tc>
          <w:tcPr>
            <w:tcW w:w="655" w:type="dxa"/>
          </w:tcPr>
          <w:p w:rsidR="004C5FD2" w:rsidRPr="0050607D" w:rsidRDefault="004C5FD2" w:rsidP="00EF4AC1">
            <w:pPr>
              <w:pStyle w:val="naiskr"/>
            </w:pPr>
            <w:r w:rsidRPr="0050607D">
              <w:t> 2.</w:t>
            </w:r>
          </w:p>
        </w:tc>
        <w:tc>
          <w:tcPr>
            <w:tcW w:w="4072" w:type="dxa"/>
            <w:gridSpan w:val="3"/>
          </w:tcPr>
          <w:p w:rsidR="004C5FD2" w:rsidRPr="0050607D" w:rsidRDefault="004C5FD2" w:rsidP="00EF4AC1">
            <w:pPr>
              <w:pStyle w:val="naiskr"/>
            </w:pPr>
            <w:r w:rsidRPr="0050607D">
              <w:t> Pašreizējā situācija un problēmas</w:t>
            </w:r>
          </w:p>
        </w:tc>
        <w:tc>
          <w:tcPr>
            <w:tcW w:w="5196" w:type="dxa"/>
            <w:gridSpan w:val="2"/>
          </w:tcPr>
          <w:p w:rsidR="004C5FD2" w:rsidRDefault="00BB4FCA" w:rsidP="006F4C5A">
            <w:pPr>
              <w:jc w:val="both"/>
              <w:rPr>
                <w:bCs/>
              </w:rPr>
            </w:pPr>
            <w:r>
              <w:rPr>
                <w:bCs/>
              </w:rPr>
              <w:t xml:space="preserve">Ārlietu ministrija, konsultējoties ar Tieslietu ministriju ir konstatējusi, ka nepieciešams aktualizēt </w:t>
            </w:r>
            <w:r w:rsidR="009A0BA1">
              <w:rPr>
                <w:bCs/>
              </w:rPr>
              <w:t xml:space="preserve">ministriju </w:t>
            </w:r>
            <w:r>
              <w:rPr>
                <w:bCs/>
              </w:rPr>
              <w:t xml:space="preserve">kompetenču sadalījumu </w:t>
            </w:r>
            <w:r w:rsidR="009A0BA1">
              <w:rPr>
                <w:bCs/>
              </w:rPr>
              <w:t>un veikt virkni tekstuālus labojumus spēkā esošajā</w:t>
            </w:r>
            <w:r>
              <w:rPr>
                <w:bCs/>
              </w:rPr>
              <w:t xml:space="preserve"> MK rīkojum</w:t>
            </w:r>
            <w:r w:rsidR="009A0BA1">
              <w:rPr>
                <w:bCs/>
              </w:rPr>
              <w:t>ā</w:t>
            </w:r>
            <w:r>
              <w:rPr>
                <w:bCs/>
              </w:rPr>
              <w:t xml:space="preserve"> Nr.385 „Par ministriju kompetenču sadalījumu Eiropas Savienības jautājumos atbilstoši Eiropas Savienības tiesību kopuma klasifikācijai”</w:t>
            </w:r>
            <w:r w:rsidR="009A0BA1">
              <w:rPr>
                <w:bCs/>
              </w:rPr>
              <w:t xml:space="preserve">. Tā kā </w:t>
            </w:r>
            <w:r w:rsidR="00FA71AC">
              <w:rPr>
                <w:bCs/>
              </w:rPr>
              <w:t>grozījumu apjoms pārsniedz 50% no rīkojuma teksta</w:t>
            </w:r>
            <w:r w:rsidR="009A0BA1">
              <w:rPr>
                <w:bCs/>
              </w:rPr>
              <w:t>, ir izstrādāts jauns MK rīkojuma projekts.</w:t>
            </w:r>
          </w:p>
          <w:p w:rsidR="00C96F22" w:rsidRDefault="00C96F22" w:rsidP="006F4C5A">
            <w:pPr>
              <w:jc w:val="both"/>
              <w:rPr>
                <w:bCs/>
              </w:rPr>
            </w:pPr>
          </w:p>
          <w:p w:rsidR="00C96F22" w:rsidRPr="006F4C5A" w:rsidRDefault="00C96F22" w:rsidP="006F4C5A">
            <w:pPr>
              <w:jc w:val="both"/>
            </w:pPr>
          </w:p>
          <w:p w:rsidR="004C5FD2" w:rsidRPr="0050607D" w:rsidRDefault="004C5FD2" w:rsidP="006F4C5A">
            <w:pPr>
              <w:jc w:val="both"/>
            </w:pPr>
          </w:p>
        </w:tc>
      </w:tr>
      <w:tr w:rsidR="004C5FD2" w:rsidRPr="0050607D" w:rsidTr="008809DC">
        <w:trPr>
          <w:trHeight w:val="745"/>
          <w:tblCellSpacing w:w="0" w:type="dxa"/>
        </w:trPr>
        <w:tc>
          <w:tcPr>
            <w:tcW w:w="655" w:type="dxa"/>
          </w:tcPr>
          <w:p w:rsidR="004C5FD2" w:rsidRPr="0050607D" w:rsidRDefault="004C5FD2" w:rsidP="00EF4AC1">
            <w:pPr>
              <w:pStyle w:val="naiskr"/>
            </w:pPr>
            <w:r w:rsidRPr="0050607D">
              <w:t> 3.</w:t>
            </w:r>
          </w:p>
        </w:tc>
        <w:tc>
          <w:tcPr>
            <w:tcW w:w="4072" w:type="dxa"/>
            <w:gridSpan w:val="3"/>
          </w:tcPr>
          <w:p w:rsidR="004C5FD2" w:rsidRPr="0050607D" w:rsidRDefault="004C5FD2" w:rsidP="00EF4AC1">
            <w:pPr>
              <w:pStyle w:val="naiskr"/>
            </w:pPr>
            <w:r w:rsidRPr="0050607D">
              <w:t> Saistītie politikas ietekmes novērtējumi un pētījumi</w:t>
            </w:r>
          </w:p>
        </w:tc>
        <w:tc>
          <w:tcPr>
            <w:tcW w:w="5196" w:type="dxa"/>
            <w:gridSpan w:val="2"/>
          </w:tcPr>
          <w:p w:rsidR="004C5FD2" w:rsidRPr="0050607D" w:rsidRDefault="00FA71AC" w:rsidP="00EF4AC1">
            <w:pPr>
              <w:jc w:val="both"/>
            </w:pPr>
            <w:r>
              <w:t>Nav</w:t>
            </w:r>
            <w:r w:rsidR="004C5FD2" w:rsidRPr="0050607D">
              <w:t>.</w:t>
            </w:r>
          </w:p>
        </w:tc>
      </w:tr>
      <w:tr w:rsidR="004C5FD2" w:rsidRPr="0050607D" w:rsidTr="008809DC">
        <w:trPr>
          <w:trHeight w:val="752"/>
          <w:tblCellSpacing w:w="0" w:type="dxa"/>
        </w:trPr>
        <w:tc>
          <w:tcPr>
            <w:tcW w:w="655" w:type="dxa"/>
          </w:tcPr>
          <w:p w:rsidR="004C5FD2" w:rsidRPr="0050607D" w:rsidRDefault="004C5FD2" w:rsidP="00EF4AC1">
            <w:pPr>
              <w:pStyle w:val="naiskr"/>
            </w:pPr>
            <w:r w:rsidRPr="0050607D">
              <w:t> 4.</w:t>
            </w:r>
          </w:p>
        </w:tc>
        <w:tc>
          <w:tcPr>
            <w:tcW w:w="4072" w:type="dxa"/>
            <w:gridSpan w:val="3"/>
          </w:tcPr>
          <w:p w:rsidR="004C5FD2" w:rsidRPr="0050607D" w:rsidRDefault="004C5FD2" w:rsidP="00EF4AC1">
            <w:pPr>
              <w:pStyle w:val="naiskr"/>
            </w:pPr>
            <w:r w:rsidRPr="0050607D">
              <w:t> Tiesiskā regulējuma mērķis un būtība</w:t>
            </w:r>
          </w:p>
        </w:tc>
        <w:tc>
          <w:tcPr>
            <w:tcW w:w="5196" w:type="dxa"/>
            <w:gridSpan w:val="2"/>
          </w:tcPr>
          <w:p w:rsidR="004C5FD2" w:rsidRPr="000D3154" w:rsidRDefault="004C5FD2" w:rsidP="009C2796">
            <w:pPr>
              <w:pStyle w:val="naiskr"/>
              <w:jc w:val="both"/>
            </w:pPr>
            <w:r w:rsidRPr="000D3154">
              <w:t xml:space="preserve">Rīkojuma projekts sagatavots, lai aktualizētu </w:t>
            </w:r>
            <w:r w:rsidR="009C2796">
              <w:t>ministriju kompetenču sadalījumu Eiropas Savienības jautājumos atbilstoši Eiropas Savienības tiesību kopuma klasifikācijai.</w:t>
            </w:r>
          </w:p>
        </w:tc>
      </w:tr>
      <w:tr w:rsidR="004C5FD2" w:rsidRPr="0050607D" w:rsidTr="008809DC">
        <w:trPr>
          <w:trHeight w:val="476"/>
          <w:tblCellSpacing w:w="0" w:type="dxa"/>
        </w:trPr>
        <w:tc>
          <w:tcPr>
            <w:tcW w:w="655" w:type="dxa"/>
          </w:tcPr>
          <w:p w:rsidR="004C5FD2" w:rsidRPr="0050607D" w:rsidRDefault="004C5FD2" w:rsidP="00EF4AC1">
            <w:pPr>
              <w:pStyle w:val="naiskr"/>
            </w:pPr>
            <w:r w:rsidRPr="0050607D">
              <w:t> 5.</w:t>
            </w:r>
          </w:p>
        </w:tc>
        <w:tc>
          <w:tcPr>
            <w:tcW w:w="4072" w:type="dxa"/>
            <w:gridSpan w:val="3"/>
          </w:tcPr>
          <w:p w:rsidR="004C5FD2" w:rsidRPr="0050607D" w:rsidRDefault="004C5FD2" w:rsidP="00EF4AC1">
            <w:pPr>
              <w:pStyle w:val="naiskr"/>
            </w:pPr>
            <w:r w:rsidRPr="0050607D">
              <w:t> Projekta izstrādē iesaistītās institūcijas</w:t>
            </w:r>
          </w:p>
        </w:tc>
        <w:tc>
          <w:tcPr>
            <w:tcW w:w="5196" w:type="dxa"/>
            <w:gridSpan w:val="2"/>
          </w:tcPr>
          <w:p w:rsidR="004C5FD2" w:rsidRPr="0050607D" w:rsidRDefault="004C5FD2" w:rsidP="00EF4AC1">
            <w:pPr>
              <w:jc w:val="both"/>
            </w:pPr>
            <w:r>
              <w:t>Visa</w:t>
            </w:r>
            <w:r w:rsidR="009C2796">
              <w:t>s ministrijas.</w:t>
            </w:r>
          </w:p>
        </w:tc>
      </w:tr>
      <w:tr w:rsidR="004C5FD2" w:rsidRPr="0050607D" w:rsidTr="008809DC">
        <w:trPr>
          <w:trHeight w:val="711"/>
          <w:tblCellSpacing w:w="0" w:type="dxa"/>
        </w:trPr>
        <w:tc>
          <w:tcPr>
            <w:tcW w:w="655" w:type="dxa"/>
          </w:tcPr>
          <w:p w:rsidR="004C5FD2" w:rsidRPr="0050607D" w:rsidRDefault="004C5FD2" w:rsidP="00EF4AC1">
            <w:pPr>
              <w:pStyle w:val="naiskr"/>
            </w:pPr>
            <w:r w:rsidRPr="0050607D">
              <w:t> 6.</w:t>
            </w:r>
          </w:p>
        </w:tc>
        <w:tc>
          <w:tcPr>
            <w:tcW w:w="4072" w:type="dxa"/>
            <w:gridSpan w:val="3"/>
          </w:tcPr>
          <w:p w:rsidR="004C5FD2" w:rsidRPr="0050607D" w:rsidRDefault="004C5FD2" w:rsidP="00EF4AC1">
            <w:pPr>
              <w:pStyle w:val="naiskr"/>
            </w:pPr>
            <w:r w:rsidRPr="0050607D">
              <w:t> Iemesli, kādēļ netika nodrošināta sabiedrības līdzdalība</w:t>
            </w:r>
          </w:p>
        </w:tc>
        <w:tc>
          <w:tcPr>
            <w:tcW w:w="5196" w:type="dxa"/>
            <w:gridSpan w:val="2"/>
          </w:tcPr>
          <w:p w:rsidR="004C5FD2" w:rsidRPr="0050607D" w:rsidRDefault="0023211A" w:rsidP="00EF4AC1">
            <w:pPr>
              <w:jc w:val="both"/>
            </w:pPr>
            <w:r>
              <w:t>Projekta izpilde attiecas tikai uz valsts pārvaldi.</w:t>
            </w:r>
          </w:p>
        </w:tc>
      </w:tr>
      <w:tr w:rsidR="004C5FD2" w:rsidRPr="0050607D" w:rsidTr="008809DC">
        <w:trPr>
          <w:tblCellSpacing w:w="0" w:type="dxa"/>
        </w:trPr>
        <w:tc>
          <w:tcPr>
            <w:tcW w:w="655" w:type="dxa"/>
          </w:tcPr>
          <w:p w:rsidR="004C5FD2" w:rsidRPr="0050607D" w:rsidRDefault="004C5FD2" w:rsidP="00EF4AC1">
            <w:pPr>
              <w:pStyle w:val="naiskr"/>
            </w:pPr>
            <w:r w:rsidRPr="0050607D">
              <w:t> 7.</w:t>
            </w:r>
          </w:p>
        </w:tc>
        <w:tc>
          <w:tcPr>
            <w:tcW w:w="4072" w:type="dxa"/>
            <w:gridSpan w:val="3"/>
          </w:tcPr>
          <w:p w:rsidR="004C5FD2" w:rsidRPr="0050607D" w:rsidRDefault="004C5FD2" w:rsidP="00EF4AC1">
            <w:pPr>
              <w:pStyle w:val="naiskr"/>
            </w:pPr>
            <w:r w:rsidRPr="0050607D">
              <w:t> Cita informācija</w:t>
            </w:r>
          </w:p>
        </w:tc>
        <w:tc>
          <w:tcPr>
            <w:tcW w:w="5196" w:type="dxa"/>
            <w:gridSpan w:val="2"/>
          </w:tcPr>
          <w:p w:rsidR="004C5FD2" w:rsidRPr="00285950" w:rsidRDefault="004C5FD2" w:rsidP="00056B8D">
            <w:pPr>
              <w:jc w:val="both"/>
              <w:rPr>
                <w:u w:val="single"/>
              </w:rPr>
            </w:pPr>
            <w:r>
              <w:t>Nav.</w:t>
            </w:r>
          </w:p>
        </w:tc>
      </w:tr>
      <w:tr w:rsidR="004C5FD2" w:rsidRPr="0050607D" w:rsidTr="008809DC">
        <w:trPr>
          <w:tblCellSpacing w:w="0" w:type="dxa"/>
        </w:trPr>
        <w:tc>
          <w:tcPr>
            <w:tcW w:w="9923" w:type="dxa"/>
            <w:gridSpan w:val="6"/>
            <w:vAlign w:val="center"/>
          </w:tcPr>
          <w:p w:rsidR="004C5FD2" w:rsidRPr="0050607D" w:rsidRDefault="004C5FD2" w:rsidP="00EF4AC1">
            <w:pPr>
              <w:pStyle w:val="naisnod"/>
              <w:jc w:val="both"/>
              <w:rPr>
                <w:b w:val="0"/>
              </w:rPr>
            </w:pPr>
            <w:r w:rsidRPr="006605B5">
              <w:rPr>
                <w:b w:val="0"/>
              </w:rPr>
              <w:t xml:space="preserve">  Anotācijas </w:t>
            </w:r>
            <w:r w:rsidR="0023211A">
              <w:rPr>
                <w:b w:val="0"/>
              </w:rPr>
              <w:t>II, III, IV, V, VI</w:t>
            </w:r>
            <w:r w:rsidRPr="006605B5">
              <w:rPr>
                <w:b w:val="0"/>
              </w:rPr>
              <w:t xml:space="preserve"> – nav attiecināms.</w:t>
            </w:r>
          </w:p>
        </w:tc>
      </w:tr>
      <w:tr w:rsidR="005141E6" w:rsidRPr="0050607D" w:rsidTr="00D018B5">
        <w:trPr>
          <w:trHeight w:val="129"/>
          <w:tblCellSpacing w:w="0" w:type="dxa"/>
        </w:trPr>
        <w:tc>
          <w:tcPr>
            <w:tcW w:w="9923" w:type="dxa"/>
            <w:gridSpan w:val="6"/>
            <w:vAlign w:val="center"/>
          </w:tcPr>
          <w:p w:rsidR="005141E6" w:rsidRPr="006605B5" w:rsidRDefault="00076376" w:rsidP="00EF4AC1">
            <w:pPr>
              <w:pStyle w:val="naisnod"/>
              <w:jc w:val="both"/>
              <w:rPr>
                <w:b w:val="0"/>
              </w:rPr>
            </w:pPr>
            <w:r w:rsidRPr="00076376">
              <w:rPr>
                <w:bCs w:val="0"/>
              </w:rPr>
              <w:t>V. Tiesību akta projekta atbilstība Latvijas Republikas starptautiskajām saistībām</w:t>
            </w:r>
          </w:p>
        </w:tc>
      </w:tr>
      <w:tr w:rsidR="005141E6" w:rsidRPr="0050607D" w:rsidTr="00076376">
        <w:trPr>
          <w:trHeight w:val="129"/>
          <w:tblCellSpacing w:w="0" w:type="dxa"/>
        </w:trPr>
        <w:tc>
          <w:tcPr>
            <w:tcW w:w="709" w:type="dxa"/>
            <w:gridSpan w:val="2"/>
            <w:vAlign w:val="center"/>
          </w:tcPr>
          <w:p w:rsidR="005141E6" w:rsidRPr="006605B5" w:rsidRDefault="00076376" w:rsidP="00EF4AC1">
            <w:pPr>
              <w:pStyle w:val="naisnod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969" w:type="dxa"/>
            <w:vAlign w:val="center"/>
          </w:tcPr>
          <w:p w:rsidR="005141E6" w:rsidRPr="006605B5" w:rsidRDefault="00076376" w:rsidP="00EF4AC1">
            <w:pPr>
              <w:pStyle w:val="naisnod"/>
              <w:jc w:val="both"/>
              <w:rPr>
                <w:b w:val="0"/>
              </w:rPr>
            </w:pPr>
            <w:r w:rsidRPr="00076376">
              <w:rPr>
                <w:b w:val="0"/>
                <w:bCs w:val="0"/>
              </w:rPr>
              <w:t>Saistības pret Eiropas Savienību</w:t>
            </w:r>
          </w:p>
        </w:tc>
        <w:tc>
          <w:tcPr>
            <w:tcW w:w="5245" w:type="dxa"/>
            <w:gridSpan w:val="3"/>
            <w:vAlign w:val="center"/>
          </w:tcPr>
          <w:p w:rsidR="005141E6" w:rsidRPr="006605B5" w:rsidRDefault="00076376" w:rsidP="00EF4AC1">
            <w:pPr>
              <w:pStyle w:val="naisnod"/>
              <w:jc w:val="both"/>
              <w:rPr>
                <w:b w:val="0"/>
              </w:rPr>
            </w:pPr>
            <w:r w:rsidRPr="00076376">
              <w:rPr>
                <w:b w:val="0"/>
              </w:rPr>
              <w:t>Nav attiecināms.</w:t>
            </w:r>
          </w:p>
        </w:tc>
      </w:tr>
      <w:tr w:rsidR="005141E6" w:rsidRPr="0050607D" w:rsidTr="00076376">
        <w:trPr>
          <w:trHeight w:val="129"/>
          <w:tblCellSpacing w:w="0" w:type="dxa"/>
        </w:trPr>
        <w:tc>
          <w:tcPr>
            <w:tcW w:w="709" w:type="dxa"/>
            <w:gridSpan w:val="2"/>
            <w:vAlign w:val="center"/>
          </w:tcPr>
          <w:p w:rsidR="005141E6" w:rsidRPr="006605B5" w:rsidRDefault="00076376" w:rsidP="00EF4AC1">
            <w:pPr>
              <w:pStyle w:val="naisnod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969" w:type="dxa"/>
            <w:vAlign w:val="center"/>
          </w:tcPr>
          <w:p w:rsidR="005141E6" w:rsidRPr="006605B5" w:rsidRDefault="00076376" w:rsidP="00EF4AC1">
            <w:pPr>
              <w:pStyle w:val="naisnod"/>
              <w:jc w:val="both"/>
              <w:rPr>
                <w:b w:val="0"/>
              </w:rPr>
            </w:pPr>
            <w:r w:rsidRPr="00076376">
              <w:rPr>
                <w:b w:val="0"/>
                <w:bCs w:val="0"/>
              </w:rPr>
              <w:t>Citas starptautiskās saistības</w:t>
            </w:r>
          </w:p>
        </w:tc>
        <w:tc>
          <w:tcPr>
            <w:tcW w:w="5245" w:type="dxa"/>
            <w:gridSpan w:val="3"/>
            <w:vAlign w:val="center"/>
          </w:tcPr>
          <w:p w:rsidR="005141E6" w:rsidRPr="006605B5" w:rsidRDefault="00076376" w:rsidP="00EF4AC1">
            <w:pPr>
              <w:pStyle w:val="naisnod"/>
              <w:jc w:val="both"/>
              <w:rPr>
                <w:b w:val="0"/>
              </w:rPr>
            </w:pPr>
            <w:r>
              <w:rPr>
                <w:b w:val="0"/>
              </w:rPr>
              <w:t>Nav.</w:t>
            </w:r>
          </w:p>
        </w:tc>
      </w:tr>
      <w:tr w:rsidR="005141E6" w:rsidRPr="0050607D" w:rsidTr="00076376">
        <w:trPr>
          <w:trHeight w:val="129"/>
          <w:tblCellSpacing w:w="0" w:type="dxa"/>
        </w:trPr>
        <w:tc>
          <w:tcPr>
            <w:tcW w:w="709" w:type="dxa"/>
            <w:gridSpan w:val="2"/>
            <w:vAlign w:val="center"/>
          </w:tcPr>
          <w:p w:rsidR="005141E6" w:rsidRPr="006605B5" w:rsidRDefault="00076376" w:rsidP="00EF4AC1">
            <w:pPr>
              <w:pStyle w:val="naisnod"/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969" w:type="dxa"/>
            <w:vAlign w:val="center"/>
          </w:tcPr>
          <w:p w:rsidR="005141E6" w:rsidRPr="006605B5" w:rsidRDefault="00076376" w:rsidP="00EF4AC1">
            <w:pPr>
              <w:pStyle w:val="naisnod"/>
              <w:jc w:val="both"/>
              <w:rPr>
                <w:b w:val="0"/>
              </w:rPr>
            </w:pPr>
            <w:r w:rsidRPr="00076376">
              <w:rPr>
                <w:b w:val="0"/>
                <w:bCs w:val="0"/>
              </w:rPr>
              <w:t>Cita informācija</w:t>
            </w:r>
          </w:p>
        </w:tc>
        <w:tc>
          <w:tcPr>
            <w:tcW w:w="5245" w:type="dxa"/>
            <w:gridSpan w:val="3"/>
            <w:vAlign w:val="center"/>
          </w:tcPr>
          <w:p w:rsidR="005141E6" w:rsidRPr="006605B5" w:rsidRDefault="00076376" w:rsidP="00EF4AC1">
            <w:pPr>
              <w:pStyle w:val="naisnod"/>
              <w:jc w:val="both"/>
              <w:rPr>
                <w:b w:val="0"/>
              </w:rPr>
            </w:pPr>
            <w:r w:rsidRPr="00076376">
              <w:rPr>
                <w:b w:val="0"/>
                <w:bCs w:val="0"/>
              </w:rPr>
              <w:t>Rīkojuma projekts sagatavots atbilstoši Eiropas Komisijas noteiktajām direktorijām, kas pieejamas EUR-</w:t>
            </w:r>
            <w:proofErr w:type="spellStart"/>
            <w:r w:rsidRPr="00076376">
              <w:rPr>
                <w:b w:val="0"/>
                <w:bCs w:val="0"/>
              </w:rPr>
              <w:t>Lex</w:t>
            </w:r>
            <w:proofErr w:type="spellEnd"/>
            <w:r w:rsidRPr="00076376">
              <w:rPr>
                <w:b w:val="0"/>
                <w:bCs w:val="0"/>
              </w:rPr>
              <w:t xml:space="preserve"> datu bāzē </w:t>
            </w:r>
            <w:r w:rsidRPr="00076376">
              <w:rPr>
                <w:b w:val="0"/>
                <w:bCs w:val="0"/>
              </w:rPr>
              <w:fldChar w:fldCharType="begin"/>
            </w:r>
            <w:r w:rsidRPr="00076376">
              <w:rPr>
                <w:b w:val="0"/>
                <w:bCs w:val="0"/>
              </w:rPr>
              <w:instrText xml:space="preserve"> HYPERLINK "http://eur-lex.europa.eu/RECH_repertoire.do" </w:instrText>
            </w:r>
            <w:r w:rsidRPr="00076376">
              <w:rPr>
                <w:b w:val="0"/>
                <w:bCs w:val="0"/>
              </w:rPr>
              <w:fldChar w:fldCharType="separate"/>
            </w:r>
            <w:r w:rsidRPr="00076376">
              <w:rPr>
                <w:b w:val="0"/>
                <w:bCs w:val="0"/>
                <w:color w:val="0000FF"/>
                <w:u w:val="single"/>
              </w:rPr>
              <w:t>http://eur-lex.europa.eu/RECH_repertoire.do</w:t>
            </w:r>
            <w:r w:rsidRPr="00076376">
              <w:rPr>
                <w:b w:val="0"/>
                <w:bCs w:val="0"/>
                <w:color w:val="0000FF"/>
                <w:u w:val="single"/>
              </w:rPr>
              <w:fldChar w:fldCharType="end"/>
            </w:r>
            <w:r>
              <w:rPr>
                <w:b w:val="0"/>
                <w:bCs w:val="0"/>
                <w:color w:val="0000FF"/>
                <w:u w:val="single"/>
              </w:rPr>
              <w:t>.</w:t>
            </w:r>
            <w:bookmarkStart w:id="2" w:name="_GoBack"/>
            <w:bookmarkEnd w:id="2"/>
          </w:p>
        </w:tc>
      </w:tr>
      <w:tr w:rsidR="007B1413" w:rsidRPr="0050607D" w:rsidTr="008809DC">
        <w:trPr>
          <w:tblCellSpacing w:w="0" w:type="dxa"/>
        </w:trPr>
        <w:tc>
          <w:tcPr>
            <w:tcW w:w="9923" w:type="dxa"/>
            <w:gridSpan w:val="6"/>
            <w:vAlign w:val="center"/>
          </w:tcPr>
          <w:p w:rsidR="007B1413" w:rsidRPr="006605B5" w:rsidRDefault="007B1413" w:rsidP="00EF4AC1">
            <w:pPr>
              <w:pStyle w:val="naisnod"/>
              <w:jc w:val="both"/>
              <w:rPr>
                <w:b w:val="0"/>
              </w:rPr>
            </w:pPr>
            <w:r>
              <w:lastRenderedPageBreak/>
              <w:t>VII. Tiesību akta projekta izpildes nodrošināšana un tās ietekme uz institūcijām</w:t>
            </w:r>
          </w:p>
        </w:tc>
      </w:tr>
      <w:tr w:rsidR="007B1413" w:rsidRPr="0050607D" w:rsidTr="008809DC">
        <w:trPr>
          <w:tblCellSpacing w:w="0" w:type="dxa"/>
        </w:trPr>
        <w:tc>
          <w:tcPr>
            <w:tcW w:w="655" w:type="dxa"/>
            <w:vAlign w:val="center"/>
          </w:tcPr>
          <w:p w:rsidR="007B1413" w:rsidRDefault="007B1413" w:rsidP="00EF4AC1">
            <w:pPr>
              <w:pStyle w:val="naisnod"/>
              <w:jc w:val="both"/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4521" w:type="dxa"/>
            <w:gridSpan w:val="4"/>
            <w:vAlign w:val="center"/>
          </w:tcPr>
          <w:p w:rsidR="007B1413" w:rsidRPr="00F83037" w:rsidRDefault="007B1413" w:rsidP="00EF4AC1">
            <w:pPr>
              <w:pStyle w:val="naisnod"/>
              <w:jc w:val="both"/>
              <w:rPr>
                <w:b w:val="0"/>
              </w:rPr>
            </w:pPr>
            <w:r w:rsidRPr="00F83037">
              <w:rPr>
                <w:b w:val="0"/>
              </w:rPr>
              <w:t>Projekta izpildē iesaistītās institūcijas</w:t>
            </w:r>
          </w:p>
        </w:tc>
        <w:tc>
          <w:tcPr>
            <w:tcW w:w="4747" w:type="dxa"/>
            <w:vAlign w:val="center"/>
          </w:tcPr>
          <w:p w:rsidR="007B1413" w:rsidRDefault="007B1413" w:rsidP="00EF4AC1">
            <w:pPr>
              <w:pStyle w:val="naisnod"/>
              <w:jc w:val="both"/>
            </w:pPr>
            <w:r w:rsidRPr="00964332">
              <w:rPr>
                <w:b w:val="0"/>
                <w:iCs/>
              </w:rPr>
              <w:t>Vis</w:t>
            </w:r>
            <w:r w:rsidR="009C2796">
              <w:rPr>
                <w:b w:val="0"/>
                <w:iCs/>
              </w:rPr>
              <w:t>as ministrijas</w:t>
            </w:r>
            <w:r w:rsidRPr="00964332">
              <w:rPr>
                <w:b w:val="0"/>
                <w:iCs/>
              </w:rPr>
              <w:t>.</w:t>
            </w:r>
          </w:p>
        </w:tc>
      </w:tr>
      <w:tr w:rsidR="007B1413" w:rsidRPr="0050607D" w:rsidTr="008809DC">
        <w:trPr>
          <w:tblCellSpacing w:w="0" w:type="dxa"/>
        </w:trPr>
        <w:tc>
          <w:tcPr>
            <w:tcW w:w="655" w:type="dxa"/>
            <w:vAlign w:val="center"/>
          </w:tcPr>
          <w:p w:rsidR="007B1413" w:rsidRDefault="007B1413" w:rsidP="00EF4AC1">
            <w:pPr>
              <w:pStyle w:val="naisnod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4521" w:type="dxa"/>
            <w:gridSpan w:val="4"/>
            <w:vAlign w:val="center"/>
          </w:tcPr>
          <w:p w:rsidR="007B1413" w:rsidRPr="00F83037" w:rsidRDefault="007B1413" w:rsidP="00EF4AC1">
            <w:pPr>
              <w:pStyle w:val="naisnod"/>
              <w:jc w:val="both"/>
              <w:rPr>
                <w:b w:val="0"/>
              </w:rPr>
            </w:pPr>
            <w:r w:rsidRPr="00F83037">
              <w:rPr>
                <w:b w:val="0"/>
              </w:rPr>
              <w:t>Projekta izpildes ietekme uz pārvaldes funkcijām</w:t>
            </w:r>
          </w:p>
        </w:tc>
        <w:tc>
          <w:tcPr>
            <w:tcW w:w="4747" w:type="dxa"/>
            <w:vAlign w:val="center"/>
          </w:tcPr>
          <w:p w:rsidR="007B1413" w:rsidRPr="00964332" w:rsidRDefault="004A7E6C" w:rsidP="00FA71AC">
            <w:pPr>
              <w:pStyle w:val="naisnod"/>
              <w:jc w:val="both"/>
              <w:rPr>
                <w:b w:val="0"/>
                <w:iCs/>
              </w:rPr>
            </w:pPr>
            <w:r w:rsidRPr="00FA71AC">
              <w:rPr>
                <w:b w:val="0"/>
                <w:iCs/>
              </w:rPr>
              <w:t>T</w:t>
            </w:r>
            <w:r w:rsidR="007B1413" w:rsidRPr="00FA71AC">
              <w:rPr>
                <w:b w:val="0"/>
                <w:iCs/>
              </w:rPr>
              <w:t xml:space="preserve">iek </w:t>
            </w:r>
            <w:r w:rsidR="00FA71AC">
              <w:rPr>
                <w:b w:val="0"/>
                <w:iCs/>
              </w:rPr>
              <w:t>aktualizētas pārvaldes funkcijas atbilstoši rīkojuma 2.punktam</w:t>
            </w:r>
            <w:r w:rsidR="007B1413" w:rsidRPr="00D0055A">
              <w:rPr>
                <w:b w:val="0"/>
                <w:iCs/>
              </w:rPr>
              <w:t>.</w:t>
            </w:r>
          </w:p>
        </w:tc>
      </w:tr>
      <w:tr w:rsidR="007B1413" w:rsidRPr="0050607D" w:rsidTr="008809DC">
        <w:trPr>
          <w:tblCellSpacing w:w="0" w:type="dxa"/>
        </w:trPr>
        <w:tc>
          <w:tcPr>
            <w:tcW w:w="655" w:type="dxa"/>
            <w:vAlign w:val="center"/>
          </w:tcPr>
          <w:p w:rsidR="007B1413" w:rsidRDefault="007B1413" w:rsidP="00EF4AC1">
            <w:pPr>
              <w:pStyle w:val="naisnod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4521" w:type="dxa"/>
            <w:gridSpan w:val="4"/>
            <w:vAlign w:val="center"/>
          </w:tcPr>
          <w:p w:rsidR="007B1413" w:rsidRPr="00964332" w:rsidRDefault="007B1413" w:rsidP="007B1413">
            <w:pPr>
              <w:pStyle w:val="naisf"/>
              <w:spacing w:before="0" w:after="0"/>
              <w:ind w:left="57" w:right="57" w:firstLine="0"/>
              <w:jc w:val="left"/>
            </w:pPr>
            <w:r w:rsidRPr="00964332">
              <w:t>Projekta izpildes ietekme uz pārvaldes institucionālo struktūru.</w:t>
            </w:r>
          </w:p>
          <w:p w:rsidR="007B1413" w:rsidRPr="00F83037" w:rsidRDefault="007B1413" w:rsidP="007B1413">
            <w:pPr>
              <w:pStyle w:val="naisnod"/>
              <w:jc w:val="both"/>
              <w:rPr>
                <w:b w:val="0"/>
              </w:rPr>
            </w:pPr>
            <w:r w:rsidRPr="00F83037">
              <w:rPr>
                <w:b w:val="0"/>
              </w:rPr>
              <w:t>Jaunu institūciju izveide</w:t>
            </w:r>
            <w:r w:rsidRPr="00F83037">
              <w:rPr>
                <w:b w:val="0"/>
                <w:iCs/>
              </w:rPr>
              <w:t xml:space="preserve"> </w:t>
            </w:r>
          </w:p>
        </w:tc>
        <w:tc>
          <w:tcPr>
            <w:tcW w:w="4747" w:type="dxa"/>
            <w:vAlign w:val="center"/>
          </w:tcPr>
          <w:p w:rsidR="007B1413" w:rsidRPr="00964332" w:rsidRDefault="007B1413" w:rsidP="00EF4AC1">
            <w:pPr>
              <w:pStyle w:val="naisnod"/>
              <w:jc w:val="both"/>
              <w:rPr>
                <w:b w:val="0"/>
                <w:iCs/>
              </w:rPr>
            </w:pPr>
            <w:r w:rsidRPr="00964332">
              <w:rPr>
                <w:b w:val="0"/>
                <w:iCs/>
              </w:rPr>
              <w:t>Nav.</w:t>
            </w:r>
          </w:p>
        </w:tc>
      </w:tr>
      <w:tr w:rsidR="007B1413" w:rsidRPr="0050607D" w:rsidTr="008809DC">
        <w:trPr>
          <w:tblCellSpacing w:w="0" w:type="dxa"/>
        </w:trPr>
        <w:tc>
          <w:tcPr>
            <w:tcW w:w="655" w:type="dxa"/>
            <w:vAlign w:val="center"/>
          </w:tcPr>
          <w:p w:rsidR="007B1413" w:rsidRDefault="007B1413" w:rsidP="00EF4AC1">
            <w:pPr>
              <w:pStyle w:val="naisnod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4521" w:type="dxa"/>
            <w:gridSpan w:val="4"/>
            <w:vAlign w:val="center"/>
          </w:tcPr>
          <w:p w:rsidR="007B1413" w:rsidRPr="00964332" w:rsidRDefault="007B1413" w:rsidP="007B1413">
            <w:pPr>
              <w:pStyle w:val="naisf"/>
              <w:spacing w:before="0" w:after="0"/>
              <w:ind w:left="57" w:right="57" w:firstLine="0"/>
              <w:jc w:val="left"/>
            </w:pPr>
            <w:r w:rsidRPr="00964332">
              <w:t>Projekta izpildes ietekme uz pārvaldes institucionālo struktūru.</w:t>
            </w:r>
          </w:p>
          <w:p w:rsidR="007B1413" w:rsidRPr="00964332" w:rsidRDefault="007B1413" w:rsidP="007B1413">
            <w:pPr>
              <w:pStyle w:val="naisf"/>
              <w:spacing w:before="0" w:after="0"/>
              <w:ind w:left="57" w:right="57" w:firstLine="0"/>
              <w:jc w:val="left"/>
            </w:pPr>
            <w:r w:rsidRPr="00964332">
              <w:t>Esošu institūciju likvidācija</w:t>
            </w:r>
          </w:p>
        </w:tc>
        <w:tc>
          <w:tcPr>
            <w:tcW w:w="4747" w:type="dxa"/>
            <w:vAlign w:val="center"/>
          </w:tcPr>
          <w:p w:rsidR="007B1413" w:rsidRPr="00964332" w:rsidRDefault="007B1413" w:rsidP="00EF4AC1">
            <w:pPr>
              <w:pStyle w:val="naisnod"/>
              <w:jc w:val="both"/>
              <w:rPr>
                <w:b w:val="0"/>
                <w:iCs/>
              </w:rPr>
            </w:pPr>
            <w:r w:rsidRPr="00964332">
              <w:rPr>
                <w:b w:val="0"/>
                <w:iCs/>
              </w:rPr>
              <w:t>Nav.</w:t>
            </w:r>
          </w:p>
        </w:tc>
      </w:tr>
      <w:tr w:rsidR="007E1F1E" w:rsidRPr="0050607D" w:rsidTr="008809DC">
        <w:trPr>
          <w:tblCellSpacing w:w="0" w:type="dxa"/>
        </w:trPr>
        <w:tc>
          <w:tcPr>
            <w:tcW w:w="655" w:type="dxa"/>
            <w:vAlign w:val="center"/>
          </w:tcPr>
          <w:p w:rsidR="007E1F1E" w:rsidRDefault="007E1F1E" w:rsidP="00EF4AC1">
            <w:pPr>
              <w:pStyle w:val="naisnod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4521" w:type="dxa"/>
            <w:gridSpan w:val="4"/>
            <w:vAlign w:val="center"/>
          </w:tcPr>
          <w:p w:rsidR="007E1F1E" w:rsidRPr="00964332" w:rsidRDefault="007E1F1E" w:rsidP="007E1F1E">
            <w:pPr>
              <w:pStyle w:val="naisf"/>
              <w:spacing w:before="0" w:after="0"/>
              <w:ind w:left="57" w:right="57" w:firstLine="0"/>
              <w:jc w:val="left"/>
            </w:pPr>
            <w:r w:rsidRPr="00964332">
              <w:t>Projekta izpildes ietekme uz pārvaldes institucionālo struktūru.</w:t>
            </w:r>
          </w:p>
          <w:p w:rsidR="007E1F1E" w:rsidRPr="00964332" w:rsidRDefault="007E1F1E" w:rsidP="007E1F1E">
            <w:pPr>
              <w:pStyle w:val="naisf"/>
              <w:spacing w:before="0" w:after="0"/>
              <w:ind w:left="57" w:right="57" w:firstLine="0"/>
              <w:jc w:val="left"/>
            </w:pPr>
            <w:r w:rsidRPr="00964332">
              <w:t>Esošu institūciju reorganizācija</w:t>
            </w:r>
          </w:p>
        </w:tc>
        <w:tc>
          <w:tcPr>
            <w:tcW w:w="4747" w:type="dxa"/>
            <w:vAlign w:val="center"/>
          </w:tcPr>
          <w:p w:rsidR="007E1F1E" w:rsidRPr="00964332" w:rsidRDefault="007E1F1E" w:rsidP="00EF4AC1">
            <w:pPr>
              <w:pStyle w:val="naisnod"/>
              <w:jc w:val="both"/>
              <w:rPr>
                <w:b w:val="0"/>
                <w:iCs/>
              </w:rPr>
            </w:pPr>
            <w:r w:rsidRPr="00964332">
              <w:rPr>
                <w:b w:val="0"/>
                <w:iCs/>
              </w:rPr>
              <w:t>Nav.</w:t>
            </w:r>
          </w:p>
        </w:tc>
      </w:tr>
      <w:tr w:rsidR="007E1F1E" w:rsidRPr="0050607D" w:rsidTr="008809DC">
        <w:trPr>
          <w:tblCellSpacing w:w="0" w:type="dxa"/>
        </w:trPr>
        <w:tc>
          <w:tcPr>
            <w:tcW w:w="655" w:type="dxa"/>
            <w:vAlign w:val="center"/>
          </w:tcPr>
          <w:p w:rsidR="007E1F1E" w:rsidRPr="00F83037" w:rsidRDefault="007E1F1E" w:rsidP="00EF4AC1">
            <w:pPr>
              <w:pStyle w:val="naisnod"/>
              <w:jc w:val="both"/>
              <w:rPr>
                <w:b w:val="0"/>
                <w:sz w:val="22"/>
                <w:szCs w:val="22"/>
              </w:rPr>
            </w:pPr>
            <w:r w:rsidRPr="00F83037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4521" w:type="dxa"/>
            <w:gridSpan w:val="4"/>
            <w:vAlign w:val="center"/>
          </w:tcPr>
          <w:p w:rsidR="007E1F1E" w:rsidRPr="00964332" w:rsidRDefault="007E1F1E" w:rsidP="007E1F1E">
            <w:pPr>
              <w:pStyle w:val="naisf"/>
              <w:spacing w:before="0" w:after="0"/>
              <w:ind w:left="57" w:right="57" w:firstLine="0"/>
              <w:jc w:val="left"/>
            </w:pPr>
            <w:r w:rsidRPr="00964332">
              <w:t>Cita informācija</w:t>
            </w:r>
          </w:p>
        </w:tc>
        <w:tc>
          <w:tcPr>
            <w:tcW w:w="4747" w:type="dxa"/>
            <w:vAlign w:val="center"/>
          </w:tcPr>
          <w:p w:rsidR="007E1F1E" w:rsidRPr="00F83037" w:rsidRDefault="007E1F1E" w:rsidP="00EF4AC1">
            <w:pPr>
              <w:pStyle w:val="naisnod"/>
              <w:jc w:val="both"/>
              <w:rPr>
                <w:b w:val="0"/>
                <w:iCs/>
              </w:rPr>
            </w:pPr>
            <w:r w:rsidRPr="00F83037">
              <w:rPr>
                <w:b w:val="0"/>
              </w:rPr>
              <w:t>Nav.</w:t>
            </w:r>
          </w:p>
        </w:tc>
      </w:tr>
    </w:tbl>
    <w:p w:rsidR="004C5FD2" w:rsidRDefault="004C5FD2" w:rsidP="002D7F58">
      <w:pPr>
        <w:pStyle w:val="naisf"/>
      </w:pPr>
      <w:r>
        <w:t> </w:t>
      </w:r>
    </w:p>
    <w:p w:rsidR="004C5FD2" w:rsidRDefault="004C5FD2" w:rsidP="002D7F58">
      <w:pPr>
        <w:pStyle w:val="naisf"/>
      </w:pPr>
    </w:p>
    <w:p w:rsidR="004C5FD2" w:rsidRPr="0048110F" w:rsidRDefault="004C5FD2" w:rsidP="002D7F58">
      <w:pPr>
        <w:pStyle w:val="naisf"/>
        <w:ind w:firstLine="0"/>
      </w:pPr>
      <w:r>
        <w:t>Ārlietu</w:t>
      </w:r>
      <w:r w:rsidRPr="0048110F">
        <w:t xml:space="preserve"> ministr</w:t>
      </w:r>
      <w:r>
        <w:t>s</w:t>
      </w:r>
      <w:r w:rsidRPr="0048110F">
        <w:tab/>
      </w:r>
      <w:r w:rsidRPr="0048110F">
        <w:tab/>
      </w:r>
      <w:r w:rsidRPr="0048110F">
        <w:tab/>
      </w:r>
      <w:r w:rsidRPr="0048110F">
        <w:tab/>
      </w:r>
      <w:r w:rsidRPr="0048110F">
        <w:tab/>
      </w:r>
      <w:r w:rsidRPr="0048110F">
        <w:tab/>
      </w:r>
      <w:proofErr w:type="spellStart"/>
      <w:r w:rsidR="006D44B3">
        <w:t>E.Rinkēvičs</w:t>
      </w:r>
      <w:proofErr w:type="spellEnd"/>
    </w:p>
    <w:p w:rsidR="004C5FD2" w:rsidRDefault="004C5FD2" w:rsidP="002D7F58"/>
    <w:p w:rsidR="008809DC" w:rsidRDefault="008809DC" w:rsidP="002D7F58"/>
    <w:p w:rsidR="00F83037" w:rsidRPr="0048110F" w:rsidRDefault="00F83037" w:rsidP="002D7F58"/>
    <w:p w:rsidR="004C5FD2" w:rsidRDefault="004C5FD2" w:rsidP="002D7F58">
      <w:r w:rsidRPr="0048110F">
        <w:t>Vīza: Valsts sekretār</w:t>
      </w:r>
      <w:r>
        <w:t>s</w:t>
      </w:r>
      <w:r w:rsidRPr="0048110F">
        <w:tab/>
      </w:r>
      <w:r w:rsidRPr="0048110F">
        <w:tab/>
      </w:r>
      <w:r w:rsidRPr="0048110F">
        <w:tab/>
      </w:r>
      <w:r w:rsidRPr="0048110F">
        <w:tab/>
      </w:r>
      <w:r w:rsidRPr="0048110F">
        <w:tab/>
      </w:r>
      <w:proofErr w:type="gramStart"/>
      <w:r>
        <w:t xml:space="preserve">            </w:t>
      </w:r>
      <w:proofErr w:type="spellStart"/>
      <w:proofErr w:type="gramEnd"/>
      <w:r>
        <w:t>A.Teikmanis</w:t>
      </w:r>
      <w:proofErr w:type="spellEnd"/>
    </w:p>
    <w:p w:rsidR="004C5FD2" w:rsidRDefault="004C5FD2" w:rsidP="002D7F58"/>
    <w:p w:rsidR="004C5FD2" w:rsidRDefault="004C5FD2" w:rsidP="002D7F58"/>
    <w:p w:rsidR="00F83037" w:rsidRDefault="00F83037" w:rsidP="002D7F58"/>
    <w:p w:rsidR="00F83037" w:rsidRDefault="00F83037" w:rsidP="002D7F58"/>
    <w:p w:rsidR="00F83037" w:rsidRDefault="00F83037" w:rsidP="002D7F58"/>
    <w:p w:rsidR="00F83037" w:rsidRDefault="00F83037" w:rsidP="002D7F58"/>
    <w:p w:rsidR="00F83037" w:rsidRDefault="00F83037" w:rsidP="002D7F58"/>
    <w:p w:rsidR="00F83037" w:rsidRDefault="00F83037" w:rsidP="002D7F58"/>
    <w:p w:rsidR="00F83037" w:rsidRDefault="00F83037" w:rsidP="002D7F58"/>
    <w:p w:rsidR="004C5FD2" w:rsidRDefault="006D44B3" w:rsidP="002D7F58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8809DC">
        <w:rPr>
          <w:sz w:val="18"/>
          <w:szCs w:val="18"/>
        </w:rPr>
        <w:t>8</w:t>
      </w:r>
      <w:r w:rsidR="004C5FD2" w:rsidRPr="000D3154">
        <w:rPr>
          <w:sz w:val="18"/>
          <w:szCs w:val="18"/>
        </w:rPr>
        <w:t>.</w:t>
      </w:r>
      <w:r w:rsidR="00810BF4">
        <w:rPr>
          <w:sz w:val="18"/>
          <w:szCs w:val="18"/>
        </w:rPr>
        <w:t>1</w:t>
      </w:r>
      <w:r w:rsidR="004A7E6C">
        <w:rPr>
          <w:sz w:val="18"/>
          <w:szCs w:val="18"/>
        </w:rPr>
        <w:t>1</w:t>
      </w:r>
      <w:r w:rsidR="004C5FD2" w:rsidRPr="000D3154">
        <w:rPr>
          <w:sz w:val="18"/>
          <w:szCs w:val="18"/>
        </w:rPr>
        <w:t>.2011.</w:t>
      </w:r>
    </w:p>
    <w:p w:rsidR="004C5FD2" w:rsidRPr="000D3154" w:rsidRDefault="004C5FD2" w:rsidP="002D7F58">
      <w:pPr>
        <w:rPr>
          <w:sz w:val="18"/>
          <w:szCs w:val="18"/>
        </w:rPr>
      </w:pPr>
      <w:r>
        <w:rPr>
          <w:sz w:val="18"/>
          <w:szCs w:val="18"/>
        </w:rPr>
        <w:t xml:space="preserve">vārdu skaits: </w:t>
      </w:r>
      <w:r w:rsidR="00AC4341">
        <w:rPr>
          <w:sz w:val="18"/>
          <w:szCs w:val="18"/>
        </w:rPr>
        <w:t>2</w:t>
      </w:r>
      <w:r w:rsidR="008809DC">
        <w:rPr>
          <w:sz w:val="18"/>
          <w:szCs w:val="18"/>
        </w:rPr>
        <w:t>91</w:t>
      </w:r>
      <w:r w:rsidR="00D671FC">
        <w:rPr>
          <w:sz w:val="18"/>
          <w:szCs w:val="18"/>
        </w:rPr>
        <w:t xml:space="preserve"> </w:t>
      </w:r>
    </w:p>
    <w:p w:rsidR="004C5FD2" w:rsidRPr="000D3154" w:rsidRDefault="004C5FD2" w:rsidP="002D7F58">
      <w:pPr>
        <w:rPr>
          <w:sz w:val="18"/>
          <w:szCs w:val="18"/>
        </w:rPr>
      </w:pPr>
      <w:r w:rsidRPr="000D3154">
        <w:rPr>
          <w:sz w:val="18"/>
          <w:szCs w:val="18"/>
        </w:rPr>
        <w:t>L.Roze-Kļaviņa</w:t>
      </w:r>
    </w:p>
    <w:p w:rsidR="004C5FD2" w:rsidRPr="000D3154" w:rsidRDefault="004C5FD2" w:rsidP="00EF4AC1">
      <w:pPr>
        <w:jc w:val="both"/>
        <w:rPr>
          <w:sz w:val="18"/>
          <w:szCs w:val="18"/>
        </w:rPr>
      </w:pPr>
      <w:r w:rsidRPr="000D3154">
        <w:rPr>
          <w:sz w:val="18"/>
          <w:szCs w:val="18"/>
        </w:rPr>
        <w:t xml:space="preserve">67016335, </w:t>
      </w:r>
      <w:hyperlink r:id="rId9" w:history="1">
        <w:r w:rsidRPr="000D3154">
          <w:rPr>
            <w:rStyle w:val="Hyperlink"/>
            <w:sz w:val="18"/>
            <w:szCs w:val="18"/>
          </w:rPr>
          <w:t>liga.roze@mfa.gov.lv</w:t>
        </w:r>
      </w:hyperlink>
      <w:r w:rsidRPr="000D3154">
        <w:rPr>
          <w:sz w:val="18"/>
          <w:szCs w:val="18"/>
        </w:rPr>
        <w:t xml:space="preserve"> </w:t>
      </w:r>
    </w:p>
    <w:sectPr w:rsidR="004C5FD2" w:rsidRPr="000D3154" w:rsidSect="005F296B">
      <w:footerReference w:type="default" r:id="rId10"/>
      <w:footerReference w:type="first" r:id="rId11"/>
      <w:pgSz w:w="11906" w:h="16838"/>
      <w:pgMar w:top="1276" w:right="1133" w:bottom="851" w:left="1800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1C" w:rsidRDefault="0070791C" w:rsidP="002D7F58">
      <w:r>
        <w:separator/>
      </w:r>
    </w:p>
  </w:endnote>
  <w:endnote w:type="continuationSeparator" w:id="0">
    <w:p w:rsidR="0070791C" w:rsidRDefault="0070791C" w:rsidP="002D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13" w:rsidRPr="00EF4AC1" w:rsidRDefault="007B1413">
    <w:pPr>
      <w:pStyle w:val="Footer"/>
      <w:rPr>
        <w:sz w:val="20"/>
        <w:szCs w:val="20"/>
      </w:rPr>
    </w:pPr>
    <w:r>
      <w:rPr>
        <w:bCs/>
        <w:sz w:val="20"/>
        <w:szCs w:val="20"/>
      </w:rPr>
      <w:t>AMAnot_</w:t>
    </w:r>
    <w:r w:rsidR="006D44B3">
      <w:rPr>
        <w:bCs/>
        <w:sz w:val="20"/>
        <w:szCs w:val="20"/>
      </w:rPr>
      <w:t>2</w:t>
    </w:r>
    <w:r w:rsidR="008809DC">
      <w:rPr>
        <w:bCs/>
        <w:sz w:val="20"/>
        <w:szCs w:val="20"/>
      </w:rPr>
      <w:t>8</w:t>
    </w:r>
    <w:r>
      <w:rPr>
        <w:bCs/>
        <w:sz w:val="20"/>
        <w:szCs w:val="20"/>
      </w:rPr>
      <w:t>1</w:t>
    </w:r>
    <w:r w:rsidR="008809DC">
      <w:rPr>
        <w:bCs/>
        <w:sz w:val="20"/>
        <w:szCs w:val="20"/>
      </w:rPr>
      <w:t>1</w:t>
    </w:r>
    <w:r>
      <w:rPr>
        <w:bCs/>
        <w:sz w:val="20"/>
        <w:szCs w:val="20"/>
      </w:rPr>
      <w:t xml:space="preserve">11; </w:t>
    </w:r>
    <w:r w:rsidRPr="00725B10">
      <w:rPr>
        <w:bCs/>
        <w:sz w:val="20"/>
        <w:szCs w:val="20"/>
      </w:rPr>
      <w:t>Ministru kabineta rīkojuma projekta</w:t>
    </w:r>
    <w:r>
      <w:rPr>
        <w:bCs/>
        <w:sz w:val="20"/>
        <w:szCs w:val="20"/>
      </w:rPr>
      <w:t xml:space="preserve"> </w:t>
    </w:r>
    <w:r w:rsidRPr="00725B10">
      <w:rPr>
        <w:bCs/>
        <w:sz w:val="20"/>
        <w:szCs w:val="20"/>
      </w:rPr>
      <w:t>„</w:t>
    </w:r>
    <w:r>
      <w:rPr>
        <w:bCs/>
        <w:sz w:val="20"/>
        <w:szCs w:val="20"/>
      </w:rPr>
      <w:t xml:space="preserve">Par </w:t>
    </w:r>
    <w:r w:rsidR="008809DC">
      <w:rPr>
        <w:bCs/>
        <w:sz w:val="20"/>
        <w:szCs w:val="20"/>
      </w:rPr>
      <w:t>ministriju kompetenču sadalījumu Eiropas Savienības jautājumos atbilstoši Eiropas Savienības tiesību kopuma klasifikācijai</w:t>
    </w:r>
    <w:r>
      <w:rPr>
        <w:bCs/>
        <w:sz w:val="20"/>
        <w:szCs w:val="20"/>
      </w:rPr>
      <w:t>”</w:t>
    </w:r>
    <w:r w:rsidRPr="00725B10">
      <w:rPr>
        <w:bCs/>
        <w:sz w:val="20"/>
        <w:szCs w:val="20"/>
      </w:rPr>
      <w:t xml:space="preserve"> </w:t>
    </w:r>
    <w:r w:rsidRPr="00725B10">
      <w:rPr>
        <w:sz w:val="20"/>
        <w:szCs w:val="20"/>
      </w:rPr>
      <w:t>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13" w:rsidRPr="00EF4AC1" w:rsidRDefault="007B1413" w:rsidP="005F296B">
    <w:pPr>
      <w:pStyle w:val="Footer"/>
      <w:rPr>
        <w:sz w:val="20"/>
        <w:szCs w:val="20"/>
      </w:rPr>
    </w:pPr>
    <w:r>
      <w:rPr>
        <w:bCs/>
        <w:sz w:val="20"/>
        <w:szCs w:val="20"/>
      </w:rPr>
      <w:t>AMAnot_</w:t>
    </w:r>
    <w:r w:rsidR="006D44B3">
      <w:rPr>
        <w:bCs/>
        <w:sz w:val="20"/>
        <w:szCs w:val="20"/>
      </w:rPr>
      <w:t>2</w:t>
    </w:r>
    <w:r w:rsidR="008809DC">
      <w:rPr>
        <w:bCs/>
        <w:sz w:val="20"/>
        <w:szCs w:val="20"/>
      </w:rPr>
      <w:t>8</w:t>
    </w:r>
    <w:r>
      <w:rPr>
        <w:bCs/>
        <w:sz w:val="20"/>
        <w:szCs w:val="20"/>
      </w:rPr>
      <w:t>1</w:t>
    </w:r>
    <w:r w:rsidR="008809DC">
      <w:rPr>
        <w:bCs/>
        <w:sz w:val="20"/>
        <w:szCs w:val="20"/>
      </w:rPr>
      <w:t>1</w:t>
    </w:r>
    <w:r>
      <w:rPr>
        <w:bCs/>
        <w:sz w:val="20"/>
        <w:szCs w:val="20"/>
      </w:rPr>
      <w:t xml:space="preserve">11; </w:t>
    </w:r>
    <w:r w:rsidRPr="00725B10">
      <w:rPr>
        <w:bCs/>
        <w:sz w:val="20"/>
        <w:szCs w:val="20"/>
      </w:rPr>
      <w:t>Ministru kabineta rīkojuma projekta</w:t>
    </w:r>
    <w:r>
      <w:rPr>
        <w:bCs/>
        <w:sz w:val="20"/>
        <w:szCs w:val="20"/>
      </w:rPr>
      <w:t xml:space="preserve"> </w:t>
    </w:r>
    <w:r w:rsidRPr="00725B10">
      <w:rPr>
        <w:bCs/>
        <w:sz w:val="20"/>
        <w:szCs w:val="20"/>
      </w:rPr>
      <w:t>„</w:t>
    </w:r>
    <w:r>
      <w:rPr>
        <w:bCs/>
        <w:sz w:val="20"/>
        <w:szCs w:val="20"/>
      </w:rPr>
      <w:t xml:space="preserve">Par </w:t>
    </w:r>
    <w:r w:rsidR="008809DC">
      <w:rPr>
        <w:bCs/>
        <w:sz w:val="20"/>
        <w:szCs w:val="20"/>
      </w:rPr>
      <w:t>ministriju kompetenču sadalījumu Eiropas Savienības jautājumos atbilstoši Eiropas Savienības tiesību kopuma klasifikācijai</w:t>
    </w:r>
    <w:r>
      <w:rPr>
        <w:bCs/>
        <w:sz w:val="20"/>
        <w:szCs w:val="20"/>
      </w:rPr>
      <w:t>”</w:t>
    </w:r>
    <w:r w:rsidRPr="00725B10">
      <w:rPr>
        <w:bCs/>
        <w:sz w:val="20"/>
        <w:szCs w:val="20"/>
      </w:rPr>
      <w:t xml:space="preserve"> </w:t>
    </w:r>
    <w:r w:rsidRPr="00725B10">
      <w:rPr>
        <w:sz w:val="20"/>
        <w:szCs w:val="20"/>
      </w:rPr>
      <w:t>anotācija</w:t>
    </w:r>
  </w:p>
  <w:p w:rsidR="007B1413" w:rsidRDefault="007B1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1C" w:rsidRDefault="0070791C" w:rsidP="002D7F58">
      <w:r>
        <w:separator/>
      </w:r>
    </w:p>
  </w:footnote>
  <w:footnote w:type="continuationSeparator" w:id="0">
    <w:p w:rsidR="0070791C" w:rsidRDefault="0070791C" w:rsidP="002D7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1703"/>
    <w:multiLevelType w:val="hybridMultilevel"/>
    <w:tmpl w:val="568476B6"/>
    <w:lvl w:ilvl="0" w:tplc="1ADEF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40D7E"/>
    <w:multiLevelType w:val="hybridMultilevel"/>
    <w:tmpl w:val="6D08528A"/>
    <w:lvl w:ilvl="0" w:tplc="1ADEFD56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58"/>
    <w:rsid w:val="00011433"/>
    <w:rsid w:val="00021548"/>
    <w:rsid w:val="000405BF"/>
    <w:rsid w:val="00054C85"/>
    <w:rsid w:val="00056B8D"/>
    <w:rsid w:val="00076376"/>
    <w:rsid w:val="000B4DB9"/>
    <w:rsid w:val="000B5008"/>
    <w:rsid w:val="000C21DE"/>
    <w:rsid w:val="000D064E"/>
    <w:rsid w:val="000D3154"/>
    <w:rsid w:val="000E7781"/>
    <w:rsid w:val="000F6181"/>
    <w:rsid w:val="00114D30"/>
    <w:rsid w:val="0013299C"/>
    <w:rsid w:val="0013505B"/>
    <w:rsid w:val="00160FA0"/>
    <w:rsid w:val="00163298"/>
    <w:rsid w:val="001839E2"/>
    <w:rsid w:val="001A092B"/>
    <w:rsid w:val="001A1088"/>
    <w:rsid w:val="001A6692"/>
    <w:rsid w:val="001D1933"/>
    <w:rsid w:val="001E60DE"/>
    <w:rsid w:val="0023211A"/>
    <w:rsid w:val="00282179"/>
    <w:rsid w:val="00285950"/>
    <w:rsid w:val="002D7F58"/>
    <w:rsid w:val="0032450E"/>
    <w:rsid w:val="00336D7E"/>
    <w:rsid w:val="003852FF"/>
    <w:rsid w:val="003E267A"/>
    <w:rsid w:val="003F2038"/>
    <w:rsid w:val="004506C4"/>
    <w:rsid w:val="0045245A"/>
    <w:rsid w:val="00465D2E"/>
    <w:rsid w:val="0047202B"/>
    <w:rsid w:val="0048110F"/>
    <w:rsid w:val="004A0477"/>
    <w:rsid w:val="004A7E6C"/>
    <w:rsid w:val="004C5FD2"/>
    <w:rsid w:val="004E1B3D"/>
    <w:rsid w:val="0050607D"/>
    <w:rsid w:val="005141E6"/>
    <w:rsid w:val="00544929"/>
    <w:rsid w:val="00564624"/>
    <w:rsid w:val="00582C71"/>
    <w:rsid w:val="005867A2"/>
    <w:rsid w:val="005A102B"/>
    <w:rsid w:val="005B0441"/>
    <w:rsid w:val="005F296B"/>
    <w:rsid w:val="005F4453"/>
    <w:rsid w:val="00610703"/>
    <w:rsid w:val="006179E4"/>
    <w:rsid w:val="0062129E"/>
    <w:rsid w:val="006440C6"/>
    <w:rsid w:val="006605B5"/>
    <w:rsid w:val="00692E8A"/>
    <w:rsid w:val="006C04CB"/>
    <w:rsid w:val="006C3BE3"/>
    <w:rsid w:val="006D3295"/>
    <w:rsid w:val="006D44B3"/>
    <w:rsid w:val="006F4C5A"/>
    <w:rsid w:val="0070791C"/>
    <w:rsid w:val="00723EB3"/>
    <w:rsid w:val="00725B10"/>
    <w:rsid w:val="00751687"/>
    <w:rsid w:val="00787E8A"/>
    <w:rsid w:val="007A37A5"/>
    <w:rsid w:val="007A42B2"/>
    <w:rsid w:val="007B1413"/>
    <w:rsid w:val="007C3BB1"/>
    <w:rsid w:val="007D5E05"/>
    <w:rsid w:val="007E1F1E"/>
    <w:rsid w:val="00810BF4"/>
    <w:rsid w:val="008169AF"/>
    <w:rsid w:val="00822E8E"/>
    <w:rsid w:val="0084056E"/>
    <w:rsid w:val="00844E89"/>
    <w:rsid w:val="008809DC"/>
    <w:rsid w:val="00881BD9"/>
    <w:rsid w:val="00885C3B"/>
    <w:rsid w:val="008A3802"/>
    <w:rsid w:val="008F587D"/>
    <w:rsid w:val="00902448"/>
    <w:rsid w:val="009440C4"/>
    <w:rsid w:val="00964332"/>
    <w:rsid w:val="0099129F"/>
    <w:rsid w:val="009A0BA1"/>
    <w:rsid w:val="009B1A6C"/>
    <w:rsid w:val="009C2796"/>
    <w:rsid w:val="00A250ED"/>
    <w:rsid w:val="00A3139C"/>
    <w:rsid w:val="00A81F34"/>
    <w:rsid w:val="00AC4341"/>
    <w:rsid w:val="00AF421B"/>
    <w:rsid w:val="00BB4FCA"/>
    <w:rsid w:val="00BB6BFF"/>
    <w:rsid w:val="00BC0444"/>
    <w:rsid w:val="00BC3340"/>
    <w:rsid w:val="00C30286"/>
    <w:rsid w:val="00C56A58"/>
    <w:rsid w:val="00C7324A"/>
    <w:rsid w:val="00C96F22"/>
    <w:rsid w:val="00C97444"/>
    <w:rsid w:val="00C9759B"/>
    <w:rsid w:val="00CB218E"/>
    <w:rsid w:val="00CE7A1C"/>
    <w:rsid w:val="00D0055A"/>
    <w:rsid w:val="00D07C85"/>
    <w:rsid w:val="00D16467"/>
    <w:rsid w:val="00D22A2A"/>
    <w:rsid w:val="00D23D2D"/>
    <w:rsid w:val="00D671FC"/>
    <w:rsid w:val="00DA5472"/>
    <w:rsid w:val="00DC61A5"/>
    <w:rsid w:val="00E01EFE"/>
    <w:rsid w:val="00E36876"/>
    <w:rsid w:val="00E60057"/>
    <w:rsid w:val="00EC058C"/>
    <w:rsid w:val="00EF4AC1"/>
    <w:rsid w:val="00F2315C"/>
    <w:rsid w:val="00F673D2"/>
    <w:rsid w:val="00F81712"/>
    <w:rsid w:val="00F81C16"/>
    <w:rsid w:val="00F83037"/>
    <w:rsid w:val="00FA1AEF"/>
    <w:rsid w:val="00FA44CB"/>
    <w:rsid w:val="00FA71AC"/>
    <w:rsid w:val="00FD092A"/>
    <w:rsid w:val="00FD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58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F4C5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45245A"/>
    <w:rPr>
      <w:rFonts w:ascii="Cambria" w:hAnsi="Cambria" w:cs="Times New Roman"/>
      <w:b/>
      <w:bCs/>
      <w:sz w:val="26"/>
      <w:szCs w:val="26"/>
    </w:rPr>
  </w:style>
  <w:style w:type="paragraph" w:customStyle="1" w:styleId="naisf">
    <w:name w:val="naisf"/>
    <w:basedOn w:val="Normal"/>
    <w:rsid w:val="002D7F5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2D7F58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2D7F58"/>
    <w:pPr>
      <w:spacing w:before="75" w:after="75"/>
      <w:jc w:val="right"/>
    </w:pPr>
  </w:style>
  <w:style w:type="paragraph" w:customStyle="1" w:styleId="naiskr">
    <w:name w:val="naiskr"/>
    <w:basedOn w:val="Normal"/>
    <w:rsid w:val="002D7F58"/>
    <w:pPr>
      <w:spacing w:before="75" w:after="75"/>
    </w:pPr>
  </w:style>
  <w:style w:type="paragraph" w:customStyle="1" w:styleId="naisc">
    <w:name w:val="naisc"/>
    <w:basedOn w:val="Normal"/>
    <w:uiPriority w:val="99"/>
    <w:rsid w:val="002D7F58"/>
    <w:pPr>
      <w:spacing w:before="75" w:after="75"/>
      <w:jc w:val="center"/>
    </w:pPr>
  </w:style>
  <w:style w:type="paragraph" w:styleId="BodyText">
    <w:name w:val="Body Text"/>
    <w:basedOn w:val="Normal"/>
    <w:link w:val="BodyTextChar"/>
    <w:uiPriority w:val="99"/>
    <w:rsid w:val="002D7F58"/>
    <w:pPr>
      <w:jc w:val="center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2D7F58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D7F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D7F58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2D7F5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D7F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D7F58"/>
    <w:rPr>
      <w:rFonts w:ascii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rsid w:val="00EF4AC1"/>
    <w:pPr>
      <w:spacing w:before="68" w:after="68"/>
    </w:pPr>
    <w:rPr>
      <w:rFonts w:eastAsia="Times New Roman"/>
    </w:rPr>
  </w:style>
  <w:style w:type="character" w:styleId="FollowedHyperlink">
    <w:name w:val="FollowedHyperlink"/>
    <w:uiPriority w:val="99"/>
    <w:semiHidden/>
    <w:rsid w:val="001A092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8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859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5950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58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F4C5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45245A"/>
    <w:rPr>
      <w:rFonts w:ascii="Cambria" w:hAnsi="Cambria" w:cs="Times New Roman"/>
      <w:b/>
      <w:bCs/>
      <w:sz w:val="26"/>
      <w:szCs w:val="26"/>
    </w:rPr>
  </w:style>
  <w:style w:type="paragraph" w:customStyle="1" w:styleId="naisf">
    <w:name w:val="naisf"/>
    <w:basedOn w:val="Normal"/>
    <w:rsid w:val="002D7F5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2D7F58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2D7F58"/>
    <w:pPr>
      <w:spacing w:before="75" w:after="75"/>
      <w:jc w:val="right"/>
    </w:pPr>
  </w:style>
  <w:style w:type="paragraph" w:customStyle="1" w:styleId="naiskr">
    <w:name w:val="naiskr"/>
    <w:basedOn w:val="Normal"/>
    <w:rsid w:val="002D7F58"/>
    <w:pPr>
      <w:spacing w:before="75" w:after="75"/>
    </w:pPr>
  </w:style>
  <w:style w:type="paragraph" w:customStyle="1" w:styleId="naisc">
    <w:name w:val="naisc"/>
    <w:basedOn w:val="Normal"/>
    <w:uiPriority w:val="99"/>
    <w:rsid w:val="002D7F58"/>
    <w:pPr>
      <w:spacing w:before="75" w:after="75"/>
      <w:jc w:val="center"/>
    </w:pPr>
  </w:style>
  <w:style w:type="paragraph" w:styleId="BodyText">
    <w:name w:val="Body Text"/>
    <w:basedOn w:val="Normal"/>
    <w:link w:val="BodyTextChar"/>
    <w:uiPriority w:val="99"/>
    <w:rsid w:val="002D7F58"/>
    <w:pPr>
      <w:jc w:val="center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2D7F58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D7F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D7F58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2D7F5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D7F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D7F58"/>
    <w:rPr>
      <w:rFonts w:ascii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rsid w:val="00EF4AC1"/>
    <w:pPr>
      <w:spacing w:before="68" w:after="68"/>
    </w:pPr>
    <w:rPr>
      <w:rFonts w:eastAsia="Times New Roman"/>
    </w:rPr>
  </w:style>
  <w:style w:type="character" w:styleId="FollowedHyperlink">
    <w:name w:val="FollowedHyperlink"/>
    <w:uiPriority w:val="99"/>
    <w:semiHidden/>
    <w:rsid w:val="001A092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8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859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5950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ga.roze@mf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F881-7A72-4F49-A003-F751377B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KMAnot_060111</vt:lpstr>
    </vt:vector>
  </TitlesOfParts>
  <Company>LR Kultūras Ministrija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KMAnot_060111</dc:title>
  <dc:subject>ANOTĀCIJA MK rīkojuma projektaM par grozījumiem LNB UP sastāvā</dc:subject>
  <dc:creator>Indriķis Builis</dc:creator>
  <dc:description>67330282;indrikis.builis@km.gov.lv</dc:description>
  <cp:lastModifiedBy>Liga Roze</cp:lastModifiedBy>
  <cp:revision>2</cp:revision>
  <cp:lastPrinted>2011-11-28T09:03:00Z</cp:lastPrinted>
  <dcterms:created xsi:type="dcterms:W3CDTF">2011-11-28T09:18:00Z</dcterms:created>
  <dcterms:modified xsi:type="dcterms:W3CDTF">2011-11-28T09:18:00Z</dcterms:modified>
</cp:coreProperties>
</file>