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00F8" w:rsidRDefault="008E00F8" w:rsidP="005E2928">
      <w:pPr>
        <w:jc w:val="center"/>
        <w:rPr>
          <w:b/>
          <w:bCs/>
          <w:sz w:val="28"/>
          <w:szCs w:val="28"/>
        </w:rPr>
      </w:pPr>
      <w:bookmarkStart w:id="0" w:name="OLE_LINK1"/>
      <w:bookmarkStart w:id="1" w:name="OLE_LINK2"/>
    </w:p>
    <w:p w:rsidR="008E00F8" w:rsidRDefault="008E00F8" w:rsidP="005E2928">
      <w:pPr>
        <w:jc w:val="center"/>
        <w:rPr>
          <w:b/>
          <w:bCs/>
          <w:sz w:val="28"/>
          <w:szCs w:val="28"/>
        </w:rPr>
      </w:pPr>
    </w:p>
    <w:p w:rsidR="008E00F8" w:rsidRPr="0088105F" w:rsidRDefault="008E00F8" w:rsidP="005E2928">
      <w:pPr>
        <w:jc w:val="center"/>
        <w:rPr>
          <w:b/>
          <w:bCs/>
          <w:sz w:val="28"/>
          <w:szCs w:val="28"/>
        </w:rPr>
      </w:pPr>
      <w:r>
        <w:rPr>
          <w:b/>
          <w:bCs/>
          <w:sz w:val="28"/>
          <w:szCs w:val="28"/>
        </w:rPr>
        <w:t>Ministru kabineta noteikumu projekta</w:t>
      </w:r>
    </w:p>
    <w:p w:rsidR="008E00F8" w:rsidRDefault="008E00F8" w:rsidP="005E2928">
      <w:pPr>
        <w:pStyle w:val="naislab"/>
        <w:spacing w:before="0" w:after="0"/>
        <w:jc w:val="center"/>
        <w:outlineLvl w:val="0"/>
        <w:rPr>
          <w:b/>
          <w:sz w:val="28"/>
          <w:szCs w:val="28"/>
        </w:rPr>
      </w:pPr>
      <w:r>
        <w:rPr>
          <w:b/>
          <w:bCs/>
          <w:sz w:val="28"/>
          <w:szCs w:val="28"/>
        </w:rPr>
        <w:t>„Par Eiropas Demokrātijas fonda statūtiem”</w:t>
      </w:r>
      <w:r w:rsidRPr="0088105F">
        <w:rPr>
          <w:b/>
          <w:bCs/>
          <w:sz w:val="28"/>
          <w:szCs w:val="28"/>
        </w:rPr>
        <w:t xml:space="preserve"> </w:t>
      </w:r>
      <w:r w:rsidRPr="0088105F">
        <w:rPr>
          <w:b/>
          <w:sz w:val="28"/>
          <w:szCs w:val="28"/>
        </w:rPr>
        <w:t>sākotnējās ietekmes</w:t>
      </w:r>
      <w:r w:rsidRPr="007C0F2C">
        <w:rPr>
          <w:b/>
          <w:sz w:val="28"/>
          <w:szCs w:val="28"/>
        </w:rPr>
        <w:t xml:space="preserve"> novērtējuma </w:t>
      </w:r>
      <w:smartTag w:uri="schemas-tilde-lv/tildestengine" w:element="veidnes">
        <w:smartTagPr>
          <w:attr w:name="id" w:val="-1"/>
          <w:attr w:name="baseform" w:val="ziņojums"/>
          <w:attr w:name="text" w:val="ziņojums"/>
        </w:smartTagPr>
        <w:r w:rsidRPr="007C0F2C">
          <w:rPr>
            <w:b/>
            <w:sz w:val="28"/>
            <w:szCs w:val="28"/>
          </w:rPr>
          <w:t>ziņojums</w:t>
        </w:r>
      </w:smartTag>
      <w:r w:rsidRPr="007C0F2C">
        <w:rPr>
          <w:b/>
          <w:sz w:val="28"/>
          <w:szCs w:val="28"/>
        </w:rPr>
        <w:t xml:space="preserve"> (anotācija)</w:t>
      </w:r>
      <w:bookmarkEnd w:id="0"/>
      <w:bookmarkEnd w:id="1"/>
    </w:p>
    <w:p w:rsidR="008E00F8" w:rsidRDefault="008E00F8" w:rsidP="00EF2727">
      <w:pPr>
        <w:pStyle w:val="naislab"/>
        <w:spacing w:before="0" w:after="0"/>
        <w:jc w:val="center"/>
        <w:outlineLvl w:val="0"/>
        <w:rPr>
          <w:b/>
          <w:sz w:val="28"/>
          <w:szCs w:val="28"/>
        </w:rPr>
      </w:pPr>
    </w:p>
    <w:p w:rsidR="008E00F8" w:rsidRDefault="008E00F8" w:rsidP="00EF2727">
      <w:pPr>
        <w:pStyle w:val="naislab"/>
        <w:spacing w:before="0" w:after="0"/>
        <w:jc w:val="center"/>
        <w:outlineLvl w:val="0"/>
        <w:rPr>
          <w:b/>
          <w:sz w:val="28"/>
          <w:szCs w:val="28"/>
        </w:rPr>
      </w:pPr>
    </w:p>
    <w:p w:rsidR="008E00F8" w:rsidRPr="007C0F2C" w:rsidRDefault="008E00F8" w:rsidP="00EF2727">
      <w:pPr>
        <w:pStyle w:val="naislab"/>
        <w:spacing w:before="0" w:after="0"/>
        <w:jc w:val="center"/>
        <w:outlineLvl w:val="0"/>
        <w:rPr>
          <w:b/>
          <w:sz w:val="28"/>
          <w:szCs w:val="28"/>
        </w:rPr>
      </w:pPr>
    </w:p>
    <w:tbl>
      <w:tblPr>
        <w:tblpPr w:leftFromText="180" w:rightFromText="180" w:vertAnchor="text" w:horzAnchor="margin" w:tblpXSpec="center" w:tblpY="149"/>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tblPr>
      <w:tblGrid>
        <w:gridCol w:w="550"/>
        <w:gridCol w:w="4315"/>
        <w:gridCol w:w="4860"/>
      </w:tblGrid>
      <w:tr w:rsidR="008E00F8" w:rsidRPr="007C0F2C" w:rsidTr="001609A0">
        <w:tc>
          <w:tcPr>
            <w:tcW w:w="9725" w:type="dxa"/>
            <w:gridSpan w:val="3"/>
            <w:vAlign w:val="center"/>
          </w:tcPr>
          <w:p w:rsidR="008E00F8" w:rsidRPr="007C0F2C" w:rsidRDefault="008E00F8" w:rsidP="00EF2727">
            <w:pPr>
              <w:pStyle w:val="naisnod"/>
              <w:spacing w:before="0" w:after="0"/>
            </w:pPr>
            <w:r w:rsidRPr="007C0F2C">
              <w:t>I. Tiesību akta projekta izstrādes nepieciešamība</w:t>
            </w:r>
          </w:p>
        </w:tc>
      </w:tr>
      <w:tr w:rsidR="008E00F8" w:rsidRPr="007C0F2C" w:rsidTr="001609A0">
        <w:trPr>
          <w:trHeight w:val="630"/>
        </w:trPr>
        <w:tc>
          <w:tcPr>
            <w:tcW w:w="550" w:type="dxa"/>
          </w:tcPr>
          <w:p w:rsidR="008E00F8" w:rsidRPr="007C0F2C" w:rsidRDefault="008E00F8" w:rsidP="00EF2727">
            <w:pPr>
              <w:pStyle w:val="naiskr"/>
              <w:spacing w:before="0" w:after="0"/>
            </w:pPr>
            <w:r w:rsidRPr="007C0F2C">
              <w:rPr>
                <w:sz w:val="22"/>
                <w:szCs w:val="22"/>
              </w:rPr>
              <w:t>1.</w:t>
            </w:r>
          </w:p>
        </w:tc>
        <w:tc>
          <w:tcPr>
            <w:tcW w:w="4315" w:type="dxa"/>
          </w:tcPr>
          <w:p w:rsidR="008E00F8" w:rsidRPr="00526608" w:rsidRDefault="008E00F8" w:rsidP="00EF2727">
            <w:pPr>
              <w:pStyle w:val="naiskr"/>
              <w:spacing w:before="0" w:after="0"/>
              <w:ind w:hanging="10"/>
            </w:pPr>
            <w:r w:rsidRPr="00526608">
              <w:rPr>
                <w:sz w:val="22"/>
                <w:szCs w:val="22"/>
              </w:rPr>
              <w:t>Pamatojums</w:t>
            </w:r>
          </w:p>
        </w:tc>
        <w:tc>
          <w:tcPr>
            <w:tcW w:w="4860" w:type="dxa"/>
          </w:tcPr>
          <w:p w:rsidR="008E00F8" w:rsidRPr="00526608" w:rsidRDefault="008E00F8" w:rsidP="00EF2727">
            <w:pPr>
              <w:pStyle w:val="Heading4"/>
              <w:jc w:val="both"/>
              <w:rPr>
                <w:b w:val="0"/>
                <w:sz w:val="24"/>
              </w:rPr>
            </w:pPr>
            <w:r w:rsidRPr="00526608">
              <w:rPr>
                <w:b w:val="0"/>
                <w:sz w:val="24"/>
              </w:rPr>
              <w:t xml:space="preserve">Valdības rīcības plāna Deklarācijas par Valda Dombrovska vadītā Ministru kabineta iecerēto darbību īstenošanai VI sadaļas „Latvijas pasaulē” 148. punkts. </w:t>
            </w:r>
          </w:p>
          <w:p w:rsidR="008E00F8" w:rsidRPr="00526608" w:rsidRDefault="008E00F8" w:rsidP="00EF2727">
            <w:pPr>
              <w:pStyle w:val="Heading4"/>
              <w:jc w:val="both"/>
              <w:rPr>
                <w:b w:val="0"/>
                <w:sz w:val="24"/>
              </w:rPr>
            </w:pPr>
            <w:r w:rsidRPr="00526608">
              <w:rPr>
                <w:b w:val="0"/>
                <w:sz w:val="24"/>
              </w:rPr>
              <w:t>Nacionālā pozīcija Nr. 1 „Par Deklarāciju par Eiropas Demokrātijas fonda izveidi”, apstiprināta MK 2011. gada 27. decembrī.</w:t>
            </w:r>
          </w:p>
          <w:p w:rsidR="008E00F8" w:rsidRPr="00526608" w:rsidRDefault="008E00F8" w:rsidP="00EF2727">
            <w:pPr>
              <w:pStyle w:val="naiskr"/>
              <w:spacing w:before="0" w:after="0"/>
            </w:pPr>
          </w:p>
        </w:tc>
      </w:tr>
      <w:tr w:rsidR="008E00F8" w:rsidRPr="007C0F2C" w:rsidTr="001609A0">
        <w:trPr>
          <w:trHeight w:val="472"/>
        </w:trPr>
        <w:tc>
          <w:tcPr>
            <w:tcW w:w="550" w:type="dxa"/>
          </w:tcPr>
          <w:p w:rsidR="008E00F8" w:rsidRPr="007C0F2C" w:rsidRDefault="008E00F8" w:rsidP="00EF2727">
            <w:pPr>
              <w:pStyle w:val="naiskr"/>
              <w:spacing w:before="0" w:after="0"/>
            </w:pPr>
            <w:r w:rsidRPr="007C0F2C">
              <w:rPr>
                <w:sz w:val="22"/>
                <w:szCs w:val="22"/>
              </w:rPr>
              <w:t>2.</w:t>
            </w:r>
          </w:p>
        </w:tc>
        <w:tc>
          <w:tcPr>
            <w:tcW w:w="4315" w:type="dxa"/>
          </w:tcPr>
          <w:p w:rsidR="008E00F8" w:rsidRPr="007C0F2C" w:rsidRDefault="008E00F8" w:rsidP="00EF2727">
            <w:pPr>
              <w:pStyle w:val="naiskr"/>
              <w:tabs>
                <w:tab w:val="left" w:pos="170"/>
              </w:tabs>
              <w:spacing w:before="0" w:after="0"/>
            </w:pPr>
            <w:r w:rsidRPr="007C0F2C">
              <w:rPr>
                <w:sz w:val="22"/>
                <w:szCs w:val="22"/>
              </w:rPr>
              <w:t>Pašreizējā situācija un problēmas</w:t>
            </w:r>
          </w:p>
        </w:tc>
        <w:tc>
          <w:tcPr>
            <w:tcW w:w="4860" w:type="dxa"/>
          </w:tcPr>
          <w:p w:rsidR="008E00F8" w:rsidRDefault="008E00F8" w:rsidP="00EF2727">
            <w:pPr>
              <w:jc w:val="both"/>
              <w:rPr>
                <w:b/>
                <w:lang w:val="cs-CZ"/>
              </w:rPr>
            </w:pPr>
            <w:r w:rsidRPr="00880472">
              <w:t>Nacionāl</w:t>
            </w:r>
            <w:r>
              <w:t>ajā</w:t>
            </w:r>
            <w:r w:rsidRPr="00880472">
              <w:t xml:space="preserve"> p</w:t>
            </w:r>
            <w:r>
              <w:t>ozīcijā</w:t>
            </w:r>
            <w:r w:rsidRPr="00880472">
              <w:t xml:space="preserve"> Nr. 1 „Par Deklarāciju par Eiropas Demokrātijas fonda izveidi”</w:t>
            </w:r>
            <w:r>
              <w:t xml:space="preserve"> Latvija pauda atbalstu Eiropas Demokrātijas fonda (</w:t>
            </w:r>
            <w:r w:rsidRPr="007535BD">
              <w:rPr>
                <w:i/>
              </w:rPr>
              <w:t>turpmāk Fonds, EDF</w:t>
            </w:r>
            <w:r>
              <w:t xml:space="preserve">) dibināšanas mērķim - </w:t>
            </w:r>
            <w:r w:rsidRPr="00880472">
              <w:rPr>
                <w:lang w:val="cs-CZ"/>
              </w:rPr>
              <w:t xml:space="preserve">veicināt </w:t>
            </w:r>
            <w:r w:rsidRPr="00880472">
              <w:t>dziļu un ilgtspējīgu demokrātiju ES kaimiņvalstīs, kuras ir pārejas procesā, un kuru sabiedrības cīnās par demokrātiskas attīstības iespēju.</w:t>
            </w:r>
            <w:r>
              <w:t xml:space="preserve"> </w:t>
            </w:r>
            <w:r>
              <w:rPr>
                <w:b/>
                <w:lang w:val="cs-CZ"/>
              </w:rPr>
              <w:t xml:space="preserve"> </w:t>
            </w:r>
          </w:p>
          <w:p w:rsidR="008E00F8" w:rsidRPr="0086477D" w:rsidRDefault="008E00F8" w:rsidP="00EF2727">
            <w:pPr>
              <w:jc w:val="both"/>
              <w:rPr>
                <w:b/>
                <w:lang w:val="cs-CZ"/>
              </w:rPr>
            </w:pPr>
          </w:p>
          <w:p w:rsidR="008E00F8" w:rsidRDefault="008E00F8" w:rsidP="00EF2727">
            <w:pPr>
              <w:jc w:val="both"/>
            </w:pPr>
            <w:r>
              <w:t xml:space="preserve">Balstoties uz ES padomes darba grupās un COREPER II panākto vienošanos, š.g. februārī tika nodibināta darba grupa, kuras uzdevums bija izstrādāt EDF statūtus un precizēt darbības principus. Š.g. 20. jūnijā darbs pie statūtu izstrādes tika pabeigts. </w:t>
            </w:r>
          </w:p>
          <w:p w:rsidR="008E00F8" w:rsidRDefault="008E00F8" w:rsidP="00EF2727">
            <w:pPr>
              <w:jc w:val="both"/>
            </w:pPr>
          </w:p>
          <w:p w:rsidR="008E00F8" w:rsidRDefault="008E00F8" w:rsidP="00EF2727">
            <w:pPr>
              <w:jc w:val="both"/>
            </w:pPr>
            <w:r>
              <w:t xml:space="preserve">Saskaņā ar statūtiem, EDF ir neatkarīgs starptautisks fonds ar mītni Briselē, Beļģijā, un tā darbību regulē vienīgi EDF </w:t>
            </w:r>
            <w:smartTag w:uri="schemas-tilde-lv/tildestengine" w:element="veidnes">
              <w:smartTagPr>
                <w:attr w:name="id" w:val="-1"/>
                <w:attr w:name="baseform" w:val="statūti"/>
                <w:attr w:name="text" w:val="statūti"/>
              </w:smartTagPr>
              <w:r>
                <w:t>statūti</w:t>
              </w:r>
            </w:smartTag>
            <w:r>
              <w:t xml:space="preserve">, Fonda lēmējinstitūcijas pieņemtie lēmumi un Beļģijas likumdošana. </w:t>
            </w:r>
          </w:p>
          <w:p w:rsidR="008E00F8" w:rsidRDefault="008E00F8" w:rsidP="00EF2727">
            <w:pPr>
              <w:jc w:val="both"/>
            </w:pPr>
          </w:p>
          <w:p w:rsidR="008E00F8" w:rsidRPr="00256014" w:rsidRDefault="008E00F8" w:rsidP="00EF2727">
            <w:pPr>
              <w:pStyle w:val="CommentText"/>
              <w:jc w:val="both"/>
              <w:rPr>
                <w:sz w:val="24"/>
                <w:szCs w:val="24"/>
                <w:lang w:val="lv-LV"/>
              </w:rPr>
            </w:pPr>
            <w:r w:rsidRPr="00F31EE0">
              <w:rPr>
                <w:sz w:val="24"/>
                <w:szCs w:val="24"/>
                <w:lang w:val="lv-LV"/>
              </w:rPr>
              <w:t xml:space="preserve">EDF </w:t>
            </w:r>
            <w:smartTag w:uri="schemas-tilde-lv/tildestengine" w:element="veidnes">
              <w:smartTagPr>
                <w:attr w:name="id" w:val="-1"/>
                <w:attr w:name="baseform" w:val="statūti"/>
                <w:attr w:name="text" w:val="statūti"/>
              </w:smartTagPr>
              <w:r w:rsidRPr="00F31EE0">
                <w:rPr>
                  <w:sz w:val="24"/>
                  <w:szCs w:val="24"/>
                  <w:lang w:val="lv-LV"/>
                </w:rPr>
                <w:t>statūti</w:t>
              </w:r>
            </w:smartTag>
            <w:r w:rsidRPr="00F31EE0">
              <w:rPr>
                <w:sz w:val="24"/>
                <w:szCs w:val="24"/>
                <w:lang w:val="lv-LV"/>
              </w:rPr>
              <w:t xml:space="preserve"> ietver visus Latvijas nostājas attiecībā uz Eiropas Demokrātijas fondu galvenos elementus: lēmumu pieņemšanā piedalās visas ES dalībvalstis; fonds ir papildinošs</w:t>
            </w:r>
            <w:r w:rsidRPr="00AB4502">
              <w:rPr>
                <w:sz w:val="24"/>
                <w:szCs w:val="24"/>
                <w:lang w:val="cs-CZ"/>
              </w:rPr>
              <w:t xml:space="preserve"> instruments ES realizētajām un no ES līdzekļiem finansētajām programmām; Fonda finansējumu veidos dalībvalstu brīvprātīgas iemaksas. </w:t>
            </w:r>
            <w:r w:rsidRPr="002F3EE4">
              <w:rPr>
                <w:sz w:val="24"/>
                <w:szCs w:val="24"/>
                <w:lang w:val="cs-CZ"/>
              </w:rPr>
              <w:t xml:space="preserve">Vienlaicīgi fonds var pretendēt arī uz ES finansējumu, kā arī citiem atbilstošiem finanšu resursiem. </w:t>
            </w:r>
            <w:r w:rsidRPr="00256014">
              <w:rPr>
                <w:sz w:val="24"/>
                <w:szCs w:val="24"/>
                <w:lang w:val="lv-LV"/>
              </w:rPr>
              <w:t xml:space="preserve">Finansējums no ES budžeta jāveic saskaņā ar ES finanšu regulu. Saņēmējiem piešķirtajam finansējumam jābūt caurskatāmam, vienlaicīgi nepieciešamības gadījumā nodrošinot </w:t>
            </w:r>
            <w:r>
              <w:rPr>
                <w:sz w:val="24"/>
                <w:szCs w:val="24"/>
                <w:lang w:val="lv-LV"/>
              </w:rPr>
              <w:t xml:space="preserve"> nepieciešamo</w:t>
            </w:r>
            <w:r w:rsidRPr="00256014">
              <w:rPr>
                <w:sz w:val="24"/>
                <w:szCs w:val="24"/>
                <w:lang w:val="lv-LV"/>
              </w:rPr>
              <w:t xml:space="preserve"> konfidencialitāti. Eiropas demokrātijas fondam ir tiesīgas pievienoties arī citas EFTA valstis uz individuāla ielūguma pamata, ja tās atbalsta fonda mērķus un darbības principus un apņemas veikt iemaksas. </w:t>
            </w:r>
          </w:p>
          <w:p w:rsidR="008E00F8" w:rsidRPr="00E82729" w:rsidRDefault="008E00F8" w:rsidP="00EF2727">
            <w:pPr>
              <w:pStyle w:val="CommentText"/>
              <w:jc w:val="both"/>
              <w:rPr>
                <w:sz w:val="24"/>
                <w:szCs w:val="24"/>
                <w:lang w:val="lv-LV"/>
              </w:rPr>
            </w:pPr>
          </w:p>
          <w:p w:rsidR="008E00F8" w:rsidRDefault="008E00F8" w:rsidP="00EF2727">
            <w:pPr>
              <w:pStyle w:val="CommentText"/>
              <w:jc w:val="both"/>
              <w:rPr>
                <w:sz w:val="24"/>
                <w:szCs w:val="24"/>
                <w:lang w:val="lv-LV"/>
              </w:rPr>
            </w:pPr>
            <w:r w:rsidRPr="001B1D31">
              <w:rPr>
                <w:sz w:val="24"/>
                <w:szCs w:val="24"/>
                <w:lang w:val="lv-LV"/>
              </w:rPr>
              <w:t>Statūtos</w:t>
            </w:r>
            <w:r>
              <w:rPr>
                <w:sz w:val="24"/>
                <w:szCs w:val="24"/>
                <w:lang w:val="lv-LV"/>
              </w:rPr>
              <w:t xml:space="preserve"> noteiktais Fonda lēmumu pieņemšanas mehānisms paredz katras Eiropas Savienības dalībvalsts Ārlietu ministrijas pārstāvja dalību EDF valdes darbā. Ārlietu ministrija, kā statūtos paredzēto saistību izpildes koordinējošā iestāde, nozīmēs pārstāvi EDF valdē. </w:t>
            </w:r>
          </w:p>
          <w:p w:rsidR="008E00F8" w:rsidRDefault="008E00F8" w:rsidP="00EF2727">
            <w:pPr>
              <w:pStyle w:val="CommentText"/>
              <w:jc w:val="both"/>
              <w:rPr>
                <w:sz w:val="24"/>
                <w:szCs w:val="24"/>
                <w:lang w:val="lv-LV"/>
              </w:rPr>
            </w:pPr>
          </w:p>
          <w:p w:rsidR="008E00F8" w:rsidRPr="001F1329" w:rsidRDefault="008E00F8" w:rsidP="00EF2727">
            <w:pPr>
              <w:pStyle w:val="CommentText"/>
              <w:jc w:val="both"/>
              <w:rPr>
                <w:color w:val="FF6600"/>
                <w:sz w:val="24"/>
                <w:szCs w:val="24"/>
                <w:lang w:val="lv-LV"/>
              </w:rPr>
            </w:pPr>
            <w:smartTag w:uri="schemas-tilde-lv/tildestengine" w:element="veidnes">
              <w:smartTagPr>
                <w:attr w:name="id" w:val="-1"/>
                <w:attr w:name="baseform" w:val="statūti"/>
                <w:attr w:name="text" w:val="statūti"/>
              </w:smartTagPr>
              <w:r w:rsidRPr="00526608">
                <w:rPr>
                  <w:sz w:val="24"/>
                  <w:szCs w:val="24"/>
                  <w:lang w:val="lv-LV"/>
                </w:rPr>
                <w:t>Statūti</w:t>
              </w:r>
            </w:smartTag>
            <w:r w:rsidRPr="00526608">
              <w:rPr>
                <w:sz w:val="24"/>
                <w:szCs w:val="24"/>
                <w:lang w:val="lv-LV"/>
              </w:rPr>
              <w:t xml:space="preserve"> stāsies spēkā pēc to apstiprināšanas pie galvenā valsts notāra un publicēšanas Beļģijas oficiālajā laikrakstā</w:t>
            </w:r>
            <w:r>
              <w:rPr>
                <w:color w:val="FF6600"/>
                <w:sz w:val="24"/>
                <w:szCs w:val="24"/>
                <w:lang w:val="lv-LV"/>
              </w:rPr>
              <w:t xml:space="preserve">. </w:t>
            </w:r>
          </w:p>
          <w:p w:rsidR="008E00F8" w:rsidRPr="00BA6228" w:rsidRDefault="008E00F8" w:rsidP="00EF2727">
            <w:pPr>
              <w:pStyle w:val="CommentText"/>
              <w:jc w:val="both"/>
              <w:rPr>
                <w:sz w:val="24"/>
                <w:szCs w:val="24"/>
                <w:lang w:val="lv-LV"/>
              </w:rPr>
            </w:pPr>
          </w:p>
        </w:tc>
      </w:tr>
      <w:tr w:rsidR="008E00F8" w:rsidRPr="007C0F2C" w:rsidTr="001609A0">
        <w:trPr>
          <w:trHeight w:val="1071"/>
        </w:trPr>
        <w:tc>
          <w:tcPr>
            <w:tcW w:w="550" w:type="dxa"/>
          </w:tcPr>
          <w:p w:rsidR="008E00F8" w:rsidRPr="007C0F2C" w:rsidRDefault="008E00F8" w:rsidP="001609A0">
            <w:pPr>
              <w:rPr>
                <w:rStyle w:val="Hyperlink"/>
                <w:color w:val="auto"/>
                <w:u w:val="none"/>
              </w:rPr>
            </w:pPr>
            <w:r w:rsidRPr="007C0F2C">
              <w:rPr>
                <w:rStyle w:val="Hyperlink"/>
                <w:color w:val="auto"/>
                <w:sz w:val="22"/>
                <w:szCs w:val="22"/>
                <w:u w:val="none"/>
              </w:rPr>
              <w:t>3.</w:t>
            </w:r>
          </w:p>
        </w:tc>
        <w:tc>
          <w:tcPr>
            <w:tcW w:w="4315" w:type="dxa"/>
          </w:tcPr>
          <w:p w:rsidR="008E00F8" w:rsidRPr="007C0F2C" w:rsidRDefault="008E00F8" w:rsidP="001609A0">
            <w:pPr>
              <w:rPr>
                <w:rStyle w:val="Hyperlink"/>
                <w:color w:val="auto"/>
                <w:u w:val="none"/>
              </w:rPr>
            </w:pPr>
            <w:r w:rsidRPr="007C0F2C">
              <w:rPr>
                <w:rStyle w:val="Hyperlink"/>
                <w:color w:val="auto"/>
                <w:sz w:val="22"/>
                <w:szCs w:val="22"/>
                <w:u w:val="none"/>
              </w:rPr>
              <w:t>Saistītie politikas ietekmes novērtējumi un pētījumi</w:t>
            </w:r>
          </w:p>
        </w:tc>
        <w:tc>
          <w:tcPr>
            <w:tcW w:w="4860" w:type="dxa"/>
          </w:tcPr>
          <w:p w:rsidR="008E00F8" w:rsidRPr="002B1BA3" w:rsidRDefault="008E00F8" w:rsidP="001609A0">
            <w:pPr>
              <w:pStyle w:val="Header"/>
              <w:tabs>
                <w:tab w:val="clear" w:pos="4153"/>
                <w:tab w:val="clear" w:pos="8306"/>
              </w:tabs>
            </w:pPr>
            <w:r>
              <w:t>Projekts šo jomu nesatur.</w:t>
            </w:r>
          </w:p>
        </w:tc>
      </w:tr>
      <w:tr w:rsidR="008E00F8" w:rsidRPr="007C0F2C" w:rsidTr="001609A0">
        <w:trPr>
          <w:trHeight w:val="384"/>
        </w:trPr>
        <w:tc>
          <w:tcPr>
            <w:tcW w:w="550" w:type="dxa"/>
          </w:tcPr>
          <w:p w:rsidR="008E00F8" w:rsidRPr="007C0F2C" w:rsidRDefault="008E00F8" w:rsidP="001609A0">
            <w:pPr>
              <w:rPr>
                <w:rStyle w:val="Hyperlink"/>
                <w:color w:val="auto"/>
                <w:u w:val="none"/>
              </w:rPr>
            </w:pPr>
            <w:r w:rsidRPr="007C0F2C">
              <w:rPr>
                <w:rStyle w:val="Hyperlink"/>
                <w:color w:val="auto"/>
                <w:sz w:val="22"/>
                <w:szCs w:val="22"/>
                <w:u w:val="none"/>
              </w:rPr>
              <w:t>4.</w:t>
            </w:r>
          </w:p>
        </w:tc>
        <w:tc>
          <w:tcPr>
            <w:tcW w:w="4315" w:type="dxa"/>
          </w:tcPr>
          <w:p w:rsidR="008E00F8" w:rsidRPr="007C0F2C" w:rsidRDefault="008E00F8" w:rsidP="001609A0">
            <w:pPr>
              <w:rPr>
                <w:rStyle w:val="Hyperlink"/>
                <w:color w:val="auto"/>
                <w:u w:val="none"/>
              </w:rPr>
            </w:pPr>
            <w:r w:rsidRPr="002F3EE4">
              <w:rPr>
                <w:rStyle w:val="Hyperlink"/>
                <w:color w:val="auto"/>
                <w:sz w:val="22"/>
                <w:szCs w:val="22"/>
                <w:u w:val="none"/>
              </w:rPr>
              <w:t>Tiesiskā regulējuma mērķis un būtība</w:t>
            </w:r>
          </w:p>
        </w:tc>
        <w:tc>
          <w:tcPr>
            <w:tcW w:w="4860" w:type="dxa"/>
          </w:tcPr>
          <w:p w:rsidR="008E00F8" w:rsidRPr="00F31EE0" w:rsidRDefault="008E00F8" w:rsidP="00F31EE0">
            <w:r w:rsidRPr="00F31EE0">
              <w:t xml:space="preserve">Ar </w:t>
            </w:r>
            <w:r>
              <w:t xml:space="preserve">Ministru kabineta </w:t>
            </w:r>
            <w:r w:rsidRPr="00F31EE0">
              <w:t xml:space="preserve"> noteikum</w:t>
            </w:r>
            <w:r>
              <w:t xml:space="preserve">u pieņemšanu </w:t>
            </w:r>
            <w:r w:rsidRPr="00F31EE0">
              <w:t xml:space="preserve"> </w:t>
            </w:r>
            <w:smartTag w:uri="schemas-tilde-lv/tildestengine" w:element="veidnes">
              <w:smartTagPr>
                <w:attr w:name="id" w:val="-1"/>
                <w:attr w:name="baseform" w:val="statūti"/>
                <w:attr w:name="text" w:val="statūti"/>
              </w:smartTagPr>
              <w:r w:rsidRPr="00F31EE0">
                <w:t>statūti</w:t>
              </w:r>
            </w:smartTag>
            <w:r w:rsidRPr="00F31EE0">
              <w:t xml:space="preserve"> </w:t>
            </w:r>
            <w:r>
              <w:t>būs saistoši iesaistītajām institūcijām Latvijā.</w:t>
            </w:r>
          </w:p>
        </w:tc>
      </w:tr>
      <w:tr w:rsidR="008E00F8" w:rsidRPr="007C0F2C" w:rsidTr="001609A0">
        <w:trPr>
          <w:trHeight w:val="476"/>
        </w:trPr>
        <w:tc>
          <w:tcPr>
            <w:tcW w:w="550" w:type="dxa"/>
          </w:tcPr>
          <w:p w:rsidR="008E00F8" w:rsidRPr="007C0F2C" w:rsidRDefault="008E00F8" w:rsidP="001609A0">
            <w:pPr>
              <w:rPr>
                <w:rStyle w:val="Hyperlink"/>
                <w:color w:val="auto"/>
                <w:u w:val="none"/>
              </w:rPr>
            </w:pPr>
            <w:r w:rsidRPr="007C0F2C">
              <w:rPr>
                <w:rStyle w:val="Hyperlink"/>
                <w:color w:val="auto"/>
                <w:sz w:val="22"/>
                <w:szCs w:val="22"/>
                <w:u w:val="none"/>
              </w:rPr>
              <w:t>5.</w:t>
            </w:r>
          </w:p>
        </w:tc>
        <w:tc>
          <w:tcPr>
            <w:tcW w:w="4315" w:type="dxa"/>
          </w:tcPr>
          <w:p w:rsidR="008E00F8" w:rsidRPr="007C0F2C" w:rsidRDefault="008E00F8" w:rsidP="001609A0">
            <w:pPr>
              <w:rPr>
                <w:rStyle w:val="Hyperlink"/>
                <w:color w:val="auto"/>
                <w:u w:val="none"/>
              </w:rPr>
            </w:pPr>
            <w:r w:rsidRPr="007C0F2C">
              <w:rPr>
                <w:rStyle w:val="Hyperlink"/>
                <w:color w:val="auto"/>
                <w:sz w:val="22"/>
                <w:szCs w:val="22"/>
                <w:u w:val="none"/>
              </w:rPr>
              <w:t>Projekta izstrādē iesaistītās institūcijas</w:t>
            </w:r>
          </w:p>
        </w:tc>
        <w:tc>
          <w:tcPr>
            <w:tcW w:w="4860" w:type="dxa"/>
          </w:tcPr>
          <w:p w:rsidR="008E00F8" w:rsidRDefault="008E00F8" w:rsidP="001B1D31">
            <w:r>
              <w:t xml:space="preserve">Nav </w:t>
            </w:r>
          </w:p>
        </w:tc>
      </w:tr>
      <w:tr w:rsidR="008E00F8" w:rsidRPr="007C0F2C" w:rsidTr="001609A0">
        <w:trPr>
          <w:trHeight w:val="1340"/>
        </w:trPr>
        <w:tc>
          <w:tcPr>
            <w:tcW w:w="550" w:type="dxa"/>
          </w:tcPr>
          <w:p w:rsidR="008E00F8" w:rsidRPr="007C0F2C" w:rsidRDefault="008E00F8" w:rsidP="001609A0">
            <w:pPr>
              <w:rPr>
                <w:rStyle w:val="Hyperlink"/>
                <w:color w:val="auto"/>
                <w:u w:val="none"/>
              </w:rPr>
            </w:pPr>
            <w:r w:rsidRPr="007C0F2C">
              <w:rPr>
                <w:rStyle w:val="Hyperlink"/>
                <w:color w:val="auto"/>
                <w:sz w:val="22"/>
                <w:szCs w:val="22"/>
                <w:u w:val="none"/>
              </w:rPr>
              <w:t>6.</w:t>
            </w:r>
          </w:p>
        </w:tc>
        <w:tc>
          <w:tcPr>
            <w:tcW w:w="4315" w:type="dxa"/>
          </w:tcPr>
          <w:p w:rsidR="008E00F8" w:rsidRPr="007C0F2C" w:rsidRDefault="008E00F8" w:rsidP="001609A0">
            <w:pPr>
              <w:rPr>
                <w:rStyle w:val="Hyperlink"/>
                <w:i/>
                <w:color w:val="auto"/>
                <w:highlight w:val="yellow"/>
                <w:u w:val="none"/>
              </w:rPr>
            </w:pPr>
            <w:r w:rsidRPr="007C0F2C">
              <w:rPr>
                <w:rStyle w:val="Hyperlink"/>
                <w:color w:val="auto"/>
                <w:sz w:val="22"/>
                <w:szCs w:val="22"/>
                <w:u w:val="none"/>
              </w:rPr>
              <w:t>Iemesli, kādēļ netika nodrošināta sabiedrības līdzdalība</w:t>
            </w:r>
          </w:p>
        </w:tc>
        <w:tc>
          <w:tcPr>
            <w:tcW w:w="4860" w:type="dxa"/>
          </w:tcPr>
          <w:p w:rsidR="008E00F8" w:rsidRDefault="008E00F8" w:rsidP="001609A0">
            <w:pPr>
              <w:rPr>
                <w:sz w:val="20"/>
              </w:rPr>
            </w:pPr>
          </w:p>
          <w:p w:rsidR="008E00F8" w:rsidRDefault="008E00F8" w:rsidP="001609A0">
            <w:pPr>
              <w:rPr>
                <w:sz w:val="20"/>
              </w:rPr>
            </w:pPr>
          </w:p>
          <w:p w:rsidR="008E00F8" w:rsidRPr="00F31EE0" w:rsidRDefault="008E00F8" w:rsidP="001609A0">
            <w:r w:rsidRPr="00F31EE0">
              <w:t>Nav</w:t>
            </w:r>
          </w:p>
        </w:tc>
      </w:tr>
      <w:tr w:rsidR="008E00F8" w:rsidRPr="007C0F2C" w:rsidTr="001609A0">
        <w:tc>
          <w:tcPr>
            <w:tcW w:w="550" w:type="dxa"/>
          </w:tcPr>
          <w:p w:rsidR="008E00F8" w:rsidRPr="007C0F2C" w:rsidRDefault="008E00F8" w:rsidP="001609A0">
            <w:pPr>
              <w:pStyle w:val="naiskr"/>
              <w:spacing w:before="0" w:after="0"/>
            </w:pPr>
            <w:r w:rsidRPr="007C0F2C">
              <w:rPr>
                <w:sz w:val="22"/>
                <w:szCs w:val="22"/>
              </w:rPr>
              <w:t>7.</w:t>
            </w:r>
          </w:p>
        </w:tc>
        <w:tc>
          <w:tcPr>
            <w:tcW w:w="4315" w:type="dxa"/>
          </w:tcPr>
          <w:p w:rsidR="008E00F8" w:rsidRPr="007C0F2C" w:rsidRDefault="008E00F8" w:rsidP="001609A0">
            <w:pPr>
              <w:pStyle w:val="naiskr"/>
              <w:spacing w:before="0" w:after="0"/>
            </w:pPr>
            <w:r w:rsidRPr="007C0F2C">
              <w:rPr>
                <w:sz w:val="22"/>
                <w:szCs w:val="22"/>
              </w:rPr>
              <w:t>Cita informācija</w:t>
            </w:r>
          </w:p>
        </w:tc>
        <w:tc>
          <w:tcPr>
            <w:tcW w:w="4860" w:type="dxa"/>
          </w:tcPr>
          <w:p w:rsidR="008E00F8" w:rsidRPr="00F31EE0" w:rsidRDefault="008E00F8" w:rsidP="001609A0">
            <w:pPr>
              <w:pStyle w:val="naiskr"/>
              <w:spacing w:before="0" w:after="0"/>
            </w:pPr>
          </w:p>
        </w:tc>
      </w:tr>
    </w:tbl>
    <w:p w:rsidR="008E00F8" w:rsidRPr="00C22A46" w:rsidRDefault="008E00F8" w:rsidP="005E2928">
      <w:pPr>
        <w:pStyle w:val="naisf"/>
        <w:spacing w:before="0" w:after="0"/>
        <w:rPr>
          <w:sz w:val="28"/>
          <w:szCs w:val="28"/>
        </w:rPr>
      </w:pPr>
    </w:p>
    <w:p w:rsidR="008E00F8" w:rsidRPr="00C22A46" w:rsidRDefault="008E00F8" w:rsidP="00C22A46">
      <w:pPr>
        <w:pStyle w:val="naisf"/>
        <w:spacing w:before="0" w:after="0"/>
        <w:ind w:firstLine="0"/>
        <w:rPr>
          <w:b/>
        </w:rPr>
      </w:pPr>
      <w:r w:rsidRPr="00C22A46">
        <w:rPr>
          <w:b/>
        </w:rPr>
        <w:t>Anotācijas II sadaļa – Projekts šo jomu neskar</w:t>
      </w:r>
    </w:p>
    <w:p w:rsidR="008E00F8" w:rsidRPr="007C0F2C" w:rsidRDefault="008E00F8" w:rsidP="005E2928">
      <w:pPr>
        <w:pStyle w:val="naisf"/>
        <w:spacing w:before="0" w:after="0"/>
      </w:pPr>
    </w:p>
    <w:p w:rsidR="008E00F8" w:rsidRPr="007C0F2C" w:rsidRDefault="008E00F8" w:rsidP="005E2928">
      <w:pPr>
        <w:pStyle w:val="naisf"/>
        <w:spacing w:before="0" w:after="0"/>
      </w:pPr>
    </w:p>
    <w:tbl>
      <w:tblPr>
        <w:tblW w:w="10020" w:type="dxa"/>
        <w:tblLook w:val="0000"/>
      </w:tblPr>
      <w:tblGrid>
        <w:gridCol w:w="3351"/>
        <w:gridCol w:w="1343"/>
        <w:gridCol w:w="1388"/>
        <w:gridCol w:w="1358"/>
        <w:gridCol w:w="1358"/>
        <w:gridCol w:w="1222"/>
      </w:tblGrid>
      <w:tr w:rsidR="008E00F8" w:rsidTr="00AF16EE">
        <w:trPr>
          <w:trHeight w:val="652"/>
        </w:trPr>
        <w:tc>
          <w:tcPr>
            <w:tcW w:w="10020" w:type="dxa"/>
            <w:gridSpan w:val="6"/>
          </w:tcPr>
          <w:p w:rsidR="008E00F8" w:rsidRDefault="008E00F8">
            <w:pPr>
              <w:pStyle w:val="naisnod"/>
            </w:pPr>
            <w:r>
              <w:t>III. Tiesību akta projekta ietekme uz valsts budžetu un pašvaldību budžetiem</w:t>
            </w:r>
          </w:p>
        </w:tc>
      </w:tr>
      <w:tr w:rsidR="008E00F8" w:rsidTr="00AF16EE">
        <w:tc>
          <w:tcPr>
            <w:tcW w:w="3351" w:type="dxa"/>
            <w:vMerge w:val="restart"/>
          </w:tcPr>
          <w:p w:rsidR="008E00F8" w:rsidRDefault="008E00F8">
            <w:pPr>
              <w:pStyle w:val="naisc"/>
            </w:pPr>
            <w:r>
              <w:t> </w:t>
            </w:r>
            <w:r>
              <w:rPr>
                <w:b/>
                <w:bCs/>
              </w:rPr>
              <w:t>Rādītāji</w:t>
            </w:r>
          </w:p>
        </w:tc>
        <w:tc>
          <w:tcPr>
            <w:tcW w:w="2731" w:type="dxa"/>
            <w:gridSpan w:val="2"/>
            <w:vMerge w:val="restart"/>
          </w:tcPr>
          <w:p w:rsidR="008E00F8" w:rsidRDefault="008E00F8">
            <w:pPr>
              <w:pStyle w:val="naisc"/>
            </w:pPr>
            <w:r>
              <w:t> </w:t>
            </w:r>
            <w:r>
              <w:rPr>
                <w:b/>
                <w:bCs/>
              </w:rPr>
              <w:t>n-tais gads</w:t>
            </w:r>
          </w:p>
        </w:tc>
        <w:tc>
          <w:tcPr>
            <w:tcW w:w="3938" w:type="dxa"/>
            <w:gridSpan w:val="3"/>
          </w:tcPr>
          <w:p w:rsidR="008E00F8" w:rsidRDefault="008E00F8">
            <w:pPr>
              <w:pStyle w:val="naisc"/>
            </w:pPr>
            <w:r>
              <w:t> Turpmākie trīs gadi (tūkst. latu)</w:t>
            </w:r>
          </w:p>
        </w:tc>
      </w:tr>
      <w:tr w:rsidR="008E00F8" w:rsidTr="00AF16EE">
        <w:tc>
          <w:tcPr>
            <w:tcW w:w="0" w:type="auto"/>
            <w:vMerge/>
          </w:tcPr>
          <w:p w:rsidR="008E00F8" w:rsidRDefault="008E00F8"/>
        </w:tc>
        <w:tc>
          <w:tcPr>
            <w:tcW w:w="0" w:type="auto"/>
            <w:gridSpan w:val="2"/>
            <w:vMerge/>
          </w:tcPr>
          <w:p w:rsidR="008E00F8" w:rsidRDefault="008E00F8"/>
        </w:tc>
        <w:tc>
          <w:tcPr>
            <w:tcW w:w="1358" w:type="dxa"/>
          </w:tcPr>
          <w:p w:rsidR="008E00F8" w:rsidRDefault="008E00F8">
            <w:pPr>
              <w:pStyle w:val="naisnod"/>
            </w:pPr>
            <w:r>
              <w:t> n+1</w:t>
            </w:r>
          </w:p>
        </w:tc>
        <w:tc>
          <w:tcPr>
            <w:tcW w:w="1358" w:type="dxa"/>
          </w:tcPr>
          <w:p w:rsidR="008E00F8" w:rsidRDefault="008E00F8">
            <w:pPr>
              <w:pStyle w:val="naisnod"/>
            </w:pPr>
            <w:r>
              <w:t> n+2</w:t>
            </w:r>
          </w:p>
        </w:tc>
        <w:tc>
          <w:tcPr>
            <w:tcW w:w="1222" w:type="dxa"/>
          </w:tcPr>
          <w:p w:rsidR="008E00F8" w:rsidRDefault="008E00F8">
            <w:pPr>
              <w:pStyle w:val="naisnod"/>
            </w:pPr>
            <w:r>
              <w:t> n+3</w:t>
            </w:r>
          </w:p>
        </w:tc>
      </w:tr>
      <w:tr w:rsidR="008E00F8" w:rsidTr="00AF16EE">
        <w:tc>
          <w:tcPr>
            <w:tcW w:w="0" w:type="auto"/>
            <w:vMerge/>
          </w:tcPr>
          <w:p w:rsidR="008E00F8" w:rsidRDefault="008E00F8"/>
        </w:tc>
        <w:tc>
          <w:tcPr>
            <w:tcW w:w="1343" w:type="dxa"/>
          </w:tcPr>
          <w:p w:rsidR="008E00F8" w:rsidRDefault="008E00F8">
            <w:pPr>
              <w:pStyle w:val="naisc"/>
            </w:pPr>
            <w:r>
              <w:t> Saskaņā ar valsts budžetu kārtējam gadam</w:t>
            </w:r>
          </w:p>
        </w:tc>
        <w:tc>
          <w:tcPr>
            <w:tcW w:w="1388" w:type="dxa"/>
          </w:tcPr>
          <w:p w:rsidR="008E00F8" w:rsidRDefault="008E00F8">
            <w:pPr>
              <w:pStyle w:val="naisc"/>
            </w:pPr>
            <w:r>
              <w:t> Izmaiņas kārtējā gadā, salīdzinot ar budžetu kārtējam gadam</w:t>
            </w:r>
          </w:p>
        </w:tc>
        <w:tc>
          <w:tcPr>
            <w:tcW w:w="1358" w:type="dxa"/>
          </w:tcPr>
          <w:p w:rsidR="008E00F8" w:rsidRDefault="008E00F8">
            <w:pPr>
              <w:pStyle w:val="naisc"/>
            </w:pPr>
            <w:r>
              <w:t> Izmaiņas, salīdzinot ar kārtējo (n) gadu</w:t>
            </w:r>
          </w:p>
        </w:tc>
        <w:tc>
          <w:tcPr>
            <w:tcW w:w="1358" w:type="dxa"/>
          </w:tcPr>
          <w:p w:rsidR="008E00F8" w:rsidRDefault="008E00F8">
            <w:pPr>
              <w:pStyle w:val="naisc"/>
            </w:pPr>
            <w:r>
              <w:t> Izmaiņas, salīdzinot ar kārtējo (n) gadu</w:t>
            </w:r>
          </w:p>
        </w:tc>
        <w:tc>
          <w:tcPr>
            <w:tcW w:w="1222" w:type="dxa"/>
          </w:tcPr>
          <w:p w:rsidR="008E00F8" w:rsidRDefault="008E00F8">
            <w:pPr>
              <w:pStyle w:val="naisc"/>
            </w:pPr>
            <w:r>
              <w:t> Izmaiņas, salīdzinot ar kārtējo (n) gadu</w:t>
            </w:r>
          </w:p>
        </w:tc>
      </w:tr>
      <w:tr w:rsidR="008E00F8" w:rsidTr="00AF16EE">
        <w:tc>
          <w:tcPr>
            <w:tcW w:w="3351" w:type="dxa"/>
          </w:tcPr>
          <w:p w:rsidR="008E00F8" w:rsidRDefault="008E00F8">
            <w:pPr>
              <w:pStyle w:val="naisc"/>
            </w:pPr>
            <w:r>
              <w:t> 1</w:t>
            </w:r>
          </w:p>
        </w:tc>
        <w:tc>
          <w:tcPr>
            <w:tcW w:w="1343" w:type="dxa"/>
          </w:tcPr>
          <w:p w:rsidR="008E00F8" w:rsidRDefault="008E00F8">
            <w:pPr>
              <w:pStyle w:val="naisc"/>
            </w:pPr>
            <w:r>
              <w:t> 2</w:t>
            </w:r>
          </w:p>
        </w:tc>
        <w:tc>
          <w:tcPr>
            <w:tcW w:w="1388" w:type="dxa"/>
          </w:tcPr>
          <w:p w:rsidR="008E00F8" w:rsidRDefault="008E00F8">
            <w:pPr>
              <w:pStyle w:val="naisc"/>
            </w:pPr>
            <w:r>
              <w:t> 3</w:t>
            </w:r>
          </w:p>
        </w:tc>
        <w:tc>
          <w:tcPr>
            <w:tcW w:w="1358" w:type="dxa"/>
          </w:tcPr>
          <w:p w:rsidR="008E00F8" w:rsidRDefault="008E00F8">
            <w:pPr>
              <w:pStyle w:val="naisc"/>
            </w:pPr>
            <w:r>
              <w:t> 4</w:t>
            </w:r>
          </w:p>
        </w:tc>
        <w:tc>
          <w:tcPr>
            <w:tcW w:w="1358" w:type="dxa"/>
          </w:tcPr>
          <w:p w:rsidR="008E00F8" w:rsidRDefault="008E00F8">
            <w:pPr>
              <w:pStyle w:val="naisc"/>
            </w:pPr>
            <w:r>
              <w:t> 5</w:t>
            </w:r>
          </w:p>
        </w:tc>
        <w:tc>
          <w:tcPr>
            <w:tcW w:w="1222" w:type="dxa"/>
          </w:tcPr>
          <w:p w:rsidR="008E00F8" w:rsidRDefault="008E00F8">
            <w:pPr>
              <w:pStyle w:val="naisc"/>
            </w:pPr>
            <w:r>
              <w:t> 6</w:t>
            </w:r>
          </w:p>
        </w:tc>
      </w:tr>
      <w:tr w:rsidR="008E00F8" w:rsidTr="00AF16EE">
        <w:tc>
          <w:tcPr>
            <w:tcW w:w="3351" w:type="dxa"/>
          </w:tcPr>
          <w:p w:rsidR="008E00F8" w:rsidRDefault="008E00F8">
            <w:pPr>
              <w:pStyle w:val="naiskr"/>
            </w:pPr>
            <w:r>
              <w:t> 1. Budžeta ieņēmumi:</w:t>
            </w:r>
          </w:p>
        </w:tc>
        <w:tc>
          <w:tcPr>
            <w:tcW w:w="1343" w:type="dxa"/>
          </w:tcPr>
          <w:p w:rsidR="008E00F8" w:rsidRDefault="008E00F8">
            <w:pPr>
              <w:pStyle w:val="naisf"/>
            </w:pPr>
            <w:r>
              <w:t>0</w:t>
            </w:r>
          </w:p>
        </w:tc>
        <w:tc>
          <w:tcPr>
            <w:tcW w:w="1388" w:type="dxa"/>
          </w:tcPr>
          <w:p w:rsidR="008E00F8" w:rsidRDefault="008E00F8">
            <w:pPr>
              <w:pStyle w:val="naisf"/>
            </w:pPr>
            <w:r>
              <w:t>0</w:t>
            </w:r>
          </w:p>
        </w:tc>
        <w:tc>
          <w:tcPr>
            <w:tcW w:w="1358" w:type="dxa"/>
          </w:tcPr>
          <w:p w:rsidR="008E00F8" w:rsidRDefault="008E00F8">
            <w:pPr>
              <w:pStyle w:val="naisf"/>
            </w:pPr>
            <w:r>
              <w:t>0</w:t>
            </w:r>
          </w:p>
        </w:tc>
        <w:tc>
          <w:tcPr>
            <w:tcW w:w="1358" w:type="dxa"/>
          </w:tcPr>
          <w:p w:rsidR="008E00F8" w:rsidRDefault="008E00F8">
            <w:pPr>
              <w:pStyle w:val="naisf"/>
            </w:pPr>
            <w:r>
              <w:t>0 </w:t>
            </w:r>
          </w:p>
        </w:tc>
        <w:tc>
          <w:tcPr>
            <w:tcW w:w="1222" w:type="dxa"/>
          </w:tcPr>
          <w:p w:rsidR="008E00F8" w:rsidRDefault="008E00F8">
            <w:pPr>
              <w:pStyle w:val="naisf"/>
            </w:pPr>
            <w:r>
              <w:t>0  </w:t>
            </w:r>
          </w:p>
        </w:tc>
      </w:tr>
      <w:tr w:rsidR="008E00F8" w:rsidTr="00AF16EE">
        <w:tc>
          <w:tcPr>
            <w:tcW w:w="3351" w:type="dxa"/>
          </w:tcPr>
          <w:p w:rsidR="008E00F8" w:rsidRDefault="008E00F8">
            <w:pPr>
              <w:pStyle w:val="naiskr"/>
            </w:pPr>
            <w:r>
              <w:t> 1.1. valsts pamatbudžets, tai skaitā ieņēmumi no maksas pakalpo-jumiem un citi pašu ieņēmumi</w:t>
            </w:r>
          </w:p>
        </w:tc>
        <w:tc>
          <w:tcPr>
            <w:tcW w:w="1343" w:type="dxa"/>
          </w:tcPr>
          <w:p w:rsidR="008E00F8" w:rsidRDefault="008E00F8">
            <w:pPr>
              <w:pStyle w:val="naisf"/>
            </w:pPr>
            <w:r>
              <w:t>  </w:t>
            </w:r>
          </w:p>
        </w:tc>
        <w:tc>
          <w:tcPr>
            <w:tcW w:w="1388" w:type="dxa"/>
          </w:tcPr>
          <w:p w:rsidR="008E00F8" w:rsidRDefault="008E00F8">
            <w:pPr>
              <w:pStyle w:val="naisf"/>
            </w:pPr>
            <w:r>
              <w:t>  </w:t>
            </w:r>
          </w:p>
        </w:tc>
        <w:tc>
          <w:tcPr>
            <w:tcW w:w="1358" w:type="dxa"/>
          </w:tcPr>
          <w:p w:rsidR="008E00F8" w:rsidRDefault="008E00F8">
            <w:pPr>
              <w:pStyle w:val="naisf"/>
            </w:pPr>
            <w:r>
              <w:t>  </w:t>
            </w:r>
          </w:p>
        </w:tc>
        <w:tc>
          <w:tcPr>
            <w:tcW w:w="1358" w:type="dxa"/>
          </w:tcPr>
          <w:p w:rsidR="008E00F8" w:rsidRDefault="008E00F8">
            <w:pPr>
              <w:pStyle w:val="naisf"/>
            </w:pPr>
            <w:r>
              <w:t>  </w:t>
            </w:r>
          </w:p>
        </w:tc>
        <w:tc>
          <w:tcPr>
            <w:tcW w:w="1222" w:type="dxa"/>
          </w:tcPr>
          <w:p w:rsidR="008E00F8" w:rsidRDefault="008E00F8">
            <w:pPr>
              <w:pStyle w:val="naisf"/>
            </w:pPr>
            <w:r>
              <w:t>  </w:t>
            </w:r>
          </w:p>
        </w:tc>
      </w:tr>
      <w:tr w:rsidR="008E00F8" w:rsidTr="00AF16EE">
        <w:tc>
          <w:tcPr>
            <w:tcW w:w="3351" w:type="dxa"/>
          </w:tcPr>
          <w:p w:rsidR="008E00F8" w:rsidRDefault="008E00F8">
            <w:pPr>
              <w:pStyle w:val="naiskr"/>
            </w:pPr>
            <w:r>
              <w:t> 1.2. valsts speciālais budžets</w:t>
            </w:r>
          </w:p>
        </w:tc>
        <w:tc>
          <w:tcPr>
            <w:tcW w:w="1343" w:type="dxa"/>
          </w:tcPr>
          <w:p w:rsidR="008E00F8" w:rsidRDefault="008E00F8">
            <w:pPr>
              <w:pStyle w:val="naisf"/>
            </w:pPr>
            <w:r>
              <w:t>  </w:t>
            </w:r>
          </w:p>
        </w:tc>
        <w:tc>
          <w:tcPr>
            <w:tcW w:w="1388" w:type="dxa"/>
          </w:tcPr>
          <w:p w:rsidR="008E00F8" w:rsidRDefault="008E00F8">
            <w:pPr>
              <w:pStyle w:val="naisf"/>
            </w:pPr>
            <w:r>
              <w:t>  </w:t>
            </w:r>
          </w:p>
        </w:tc>
        <w:tc>
          <w:tcPr>
            <w:tcW w:w="1358" w:type="dxa"/>
          </w:tcPr>
          <w:p w:rsidR="008E00F8" w:rsidRDefault="008E00F8">
            <w:pPr>
              <w:pStyle w:val="naisf"/>
            </w:pPr>
            <w:r>
              <w:t>  </w:t>
            </w:r>
          </w:p>
        </w:tc>
        <w:tc>
          <w:tcPr>
            <w:tcW w:w="1358" w:type="dxa"/>
          </w:tcPr>
          <w:p w:rsidR="008E00F8" w:rsidRDefault="008E00F8">
            <w:pPr>
              <w:pStyle w:val="naisf"/>
            </w:pPr>
            <w:r>
              <w:t>  </w:t>
            </w:r>
          </w:p>
        </w:tc>
        <w:tc>
          <w:tcPr>
            <w:tcW w:w="1222" w:type="dxa"/>
          </w:tcPr>
          <w:p w:rsidR="008E00F8" w:rsidRDefault="008E00F8">
            <w:pPr>
              <w:pStyle w:val="naisf"/>
            </w:pPr>
            <w:r>
              <w:t>  </w:t>
            </w:r>
          </w:p>
        </w:tc>
      </w:tr>
      <w:tr w:rsidR="008E00F8" w:rsidTr="00AF16EE">
        <w:tc>
          <w:tcPr>
            <w:tcW w:w="3351" w:type="dxa"/>
          </w:tcPr>
          <w:p w:rsidR="008E00F8" w:rsidRDefault="008E00F8">
            <w:pPr>
              <w:pStyle w:val="naiskr"/>
            </w:pPr>
            <w:r>
              <w:t> 1.3. pašvaldību budžets</w:t>
            </w:r>
          </w:p>
        </w:tc>
        <w:tc>
          <w:tcPr>
            <w:tcW w:w="1343" w:type="dxa"/>
          </w:tcPr>
          <w:p w:rsidR="008E00F8" w:rsidRDefault="008E00F8">
            <w:pPr>
              <w:pStyle w:val="naisf"/>
            </w:pPr>
            <w:r>
              <w:t>  </w:t>
            </w:r>
          </w:p>
        </w:tc>
        <w:tc>
          <w:tcPr>
            <w:tcW w:w="1388" w:type="dxa"/>
          </w:tcPr>
          <w:p w:rsidR="008E00F8" w:rsidRDefault="008E00F8">
            <w:pPr>
              <w:pStyle w:val="naisf"/>
            </w:pPr>
            <w:r>
              <w:t>  </w:t>
            </w:r>
          </w:p>
        </w:tc>
        <w:tc>
          <w:tcPr>
            <w:tcW w:w="1358" w:type="dxa"/>
          </w:tcPr>
          <w:p w:rsidR="008E00F8" w:rsidRDefault="008E00F8">
            <w:pPr>
              <w:pStyle w:val="naisf"/>
            </w:pPr>
            <w:r>
              <w:t>  </w:t>
            </w:r>
          </w:p>
        </w:tc>
        <w:tc>
          <w:tcPr>
            <w:tcW w:w="1358" w:type="dxa"/>
          </w:tcPr>
          <w:p w:rsidR="008E00F8" w:rsidRDefault="008E00F8">
            <w:pPr>
              <w:pStyle w:val="naisf"/>
            </w:pPr>
            <w:r>
              <w:t>  </w:t>
            </w:r>
          </w:p>
        </w:tc>
        <w:tc>
          <w:tcPr>
            <w:tcW w:w="1222" w:type="dxa"/>
          </w:tcPr>
          <w:p w:rsidR="008E00F8" w:rsidRDefault="008E00F8">
            <w:pPr>
              <w:pStyle w:val="naisf"/>
            </w:pPr>
            <w:r>
              <w:t>  </w:t>
            </w:r>
          </w:p>
        </w:tc>
      </w:tr>
      <w:tr w:rsidR="008E00F8" w:rsidTr="00AF16EE">
        <w:tc>
          <w:tcPr>
            <w:tcW w:w="3351" w:type="dxa"/>
          </w:tcPr>
          <w:p w:rsidR="008E00F8" w:rsidRDefault="008E00F8">
            <w:pPr>
              <w:pStyle w:val="naiskr"/>
            </w:pPr>
            <w:r>
              <w:t> 2. Budžeta izdevumi:</w:t>
            </w:r>
          </w:p>
        </w:tc>
        <w:tc>
          <w:tcPr>
            <w:tcW w:w="1343" w:type="dxa"/>
          </w:tcPr>
          <w:p w:rsidR="008E00F8" w:rsidRDefault="008E00F8" w:rsidP="009C59C9">
            <w:pPr>
              <w:pStyle w:val="naisf"/>
              <w:ind w:firstLine="0"/>
            </w:pPr>
            <w:r>
              <w:t>0</w:t>
            </w:r>
          </w:p>
        </w:tc>
        <w:tc>
          <w:tcPr>
            <w:tcW w:w="1388" w:type="dxa"/>
          </w:tcPr>
          <w:p w:rsidR="008E00F8" w:rsidRDefault="008E00F8">
            <w:pPr>
              <w:pStyle w:val="naisf"/>
            </w:pPr>
            <w:r>
              <w:t>0</w:t>
            </w:r>
          </w:p>
        </w:tc>
        <w:tc>
          <w:tcPr>
            <w:tcW w:w="1358" w:type="dxa"/>
          </w:tcPr>
          <w:p w:rsidR="008E00F8" w:rsidRDefault="008E00F8">
            <w:pPr>
              <w:pStyle w:val="naisf"/>
            </w:pPr>
            <w:r>
              <w:t>0</w:t>
            </w:r>
          </w:p>
        </w:tc>
        <w:tc>
          <w:tcPr>
            <w:tcW w:w="1358" w:type="dxa"/>
          </w:tcPr>
          <w:p w:rsidR="008E00F8" w:rsidRDefault="008E00F8">
            <w:pPr>
              <w:pStyle w:val="naisf"/>
            </w:pPr>
            <w:r>
              <w:t>0</w:t>
            </w:r>
          </w:p>
        </w:tc>
        <w:tc>
          <w:tcPr>
            <w:tcW w:w="1222" w:type="dxa"/>
          </w:tcPr>
          <w:p w:rsidR="008E00F8" w:rsidRDefault="008E00F8">
            <w:pPr>
              <w:pStyle w:val="naisf"/>
            </w:pPr>
          </w:p>
        </w:tc>
      </w:tr>
      <w:tr w:rsidR="008E00F8" w:rsidTr="00AF16EE">
        <w:tc>
          <w:tcPr>
            <w:tcW w:w="3351" w:type="dxa"/>
          </w:tcPr>
          <w:p w:rsidR="008E00F8" w:rsidRDefault="008E00F8">
            <w:pPr>
              <w:pStyle w:val="naiskr"/>
            </w:pPr>
            <w:r>
              <w:t> 2.1. valsts pamatbudžets</w:t>
            </w:r>
          </w:p>
        </w:tc>
        <w:tc>
          <w:tcPr>
            <w:tcW w:w="1343" w:type="dxa"/>
          </w:tcPr>
          <w:p w:rsidR="008E00F8" w:rsidRDefault="008E00F8">
            <w:pPr>
              <w:pStyle w:val="naisf"/>
            </w:pPr>
            <w:r>
              <w:t>  </w:t>
            </w:r>
          </w:p>
        </w:tc>
        <w:tc>
          <w:tcPr>
            <w:tcW w:w="1388" w:type="dxa"/>
          </w:tcPr>
          <w:p w:rsidR="008E00F8" w:rsidRDefault="008E00F8">
            <w:pPr>
              <w:pStyle w:val="naisf"/>
            </w:pPr>
            <w:r>
              <w:t>  </w:t>
            </w:r>
          </w:p>
        </w:tc>
        <w:tc>
          <w:tcPr>
            <w:tcW w:w="1358" w:type="dxa"/>
          </w:tcPr>
          <w:p w:rsidR="008E00F8" w:rsidRDefault="008E00F8">
            <w:pPr>
              <w:pStyle w:val="naisf"/>
            </w:pPr>
            <w:r>
              <w:t>  </w:t>
            </w:r>
          </w:p>
        </w:tc>
        <w:tc>
          <w:tcPr>
            <w:tcW w:w="1358" w:type="dxa"/>
          </w:tcPr>
          <w:p w:rsidR="008E00F8" w:rsidRDefault="008E00F8">
            <w:pPr>
              <w:pStyle w:val="naisf"/>
            </w:pPr>
            <w:r>
              <w:t>  </w:t>
            </w:r>
          </w:p>
        </w:tc>
        <w:tc>
          <w:tcPr>
            <w:tcW w:w="1222" w:type="dxa"/>
          </w:tcPr>
          <w:p w:rsidR="008E00F8" w:rsidRDefault="008E00F8">
            <w:pPr>
              <w:pStyle w:val="naisf"/>
            </w:pPr>
            <w:r>
              <w:t>  </w:t>
            </w:r>
          </w:p>
        </w:tc>
      </w:tr>
      <w:tr w:rsidR="008E00F8" w:rsidTr="00AF16EE">
        <w:tc>
          <w:tcPr>
            <w:tcW w:w="3351" w:type="dxa"/>
          </w:tcPr>
          <w:p w:rsidR="008E00F8" w:rsidRDefault="008E00F8">
            <w:pPr>
              <w:pStyle w:val="naiskr"/>
            </w:pPr>
            <w:r>
              <w:t> 2.2. valsts speciālais budžets</w:t>
            </w:r>
          </w:p>
        </w:tc>
        <w:tc>
          <w:tcPr>
            <w:tcW w:w="1343" w:type="dxa"/>
          </w:tcPr>
          <w:p w:rsidR="008E00F8" w:rsidRDefault="008E00F8">
            <w:pPr>
              <w:pStyle w:val="naisf"/>
            </w:pPr>
            <w:r>
              <w:t>  </w:t>
            </w:r>
          </w:p>
        </w:tc>
        <w:tc>
          <w:tcPr>
            <w:tcW w:w="1388" w:type="dxa"/>
          </w:tcPr>
          <w:p w:rsidR="008E00F8" w:rsidRDefault="008E00F8">
            <w:pPr>
              <w:pStyle w:val="naisf"/>
            </w:pPr>
            <w:r>
              <w:t>  </w:t>
            </w:r>
          </w:p>
        </w:tc>
        <w:tc>
          <w:tcPr>
            <w:tcW w:w="1358" w:type="dxa"/>
          </w:tcPr>
          <w:p w:rsidR="008E00F8" w:rsidRDefault="008E00F8">
            <w:pPr>
              <w:pStyle w:val="naisf"/>
            </w:pPr>
            <w:r>
              <w:t>  </w:t>
            </w:r>
          </w:p>
        </w:tc>
        <w:tc>
          <w:tcPr>
            <w:tcW w:w="1358" w:type="dxa"/>
          </w:tcPr>
          <w:p w:rsidR="008E00F8" w:rsidRDefault="008E00F8">
            <w:pPr>
              <w:pStyle w:val="naisf"/>
            </w:pPr>
            <w:r>
              <w:t>  </w:t>
            </w:r>
          </w:p>
        </w:tc>
        <w:tc>
          <w:tcPr>
            <w:tcW w:w="1222" w:type="dxa"/>
          </w:tcPr>
          <w:p w:rsidR="008E00F8" w:rsidRDefault="008E00F8">
            <w:pPr>
              <w:pStyle w:val="naisf"/>
            </w:pPr>
            <w:r>
              <w:t>  </w:t>
            </w:r>
          </w:p>
        </w:tc>
      </w:tr>
      <w:tr w:rsidR="008E00F8" w:rsidTr="00AF16EE">
        <w:tc>
          <w:tcPr>
            <w:tcW w:w="3351" w:type="dxa"/>
          </w:tcPr>
          <w:p w:rsidR="008E00F8" w:rsidRDefault="008E00F8">
            <w:pPr>
              <w:pStyle w:val="naiskr"/>
            </w:pPr>
            <w:r>
              <w:t> 2.3. pašvaldību budžets</w:t>
            </w:r>
          </w:p>
        </w:tc>
        <w:tc>
          <w:tcPr>
            <w:tcW w:w="1343" w:type="dxa"/>
          </w:tcPr>
          <w:p w:rsidR="008E00F8" w:rsidRDefault="008E00F8">
            <w:pPr>
              <w:pStyle w:val="naisf"/>
            </w:pPr>
            <w:r>
              <w:t>  </w:t>
            </w:r>
          </w:p>
        </w:tc>
        <w:tc>
          <w:tcPr>
            <w:tcW w:w="1388" w:type="dxa"/>
          </w:tcPr>
          <w:p w:rsidR="008E00F8" w:rsidRDefault="008E00F8">
            <w:pPr>
              <w:pStyle w:val="naisf"/>
            </w:pPr>
            <w:r>
              <w:t>  </w:t>
            </w:r>
          </w:p>
        </w:tc>
        <w:tc>
          <w:tcPr>
            <w:tcW w:w="1358" w:type="dxa"/>
          </w:tcPr>
          <w:p w:rsidR="008E00F8" w:rsidRDefault="008E00F8">
            <w:pPr>
              <w:pStyle w:val="naisf"/>
            </w:pPr>
            <w:r>
              <w:t>  </w:t>
            </w:r>
          </w:p>
        </w:tc>
        <w:tc>
          <w:tcPr>
            <w:tcW w:w="1358" w:type="dxa"/>
          </w:tcPr>
          <w:p w:rsidR="008E00F8" w:rsidRDefault="008E00F8">
            <w:pPr>
              <w:pStyle w:val="naisf"/>
            </w:pPr>
            <w:r>
              <w:t>  </w:t>
            </w:r>
          </w:p>
        </w:tc>
        <w:tc>
          <w:tcPr>
            <w:tcW w:w="1222" w:type="dxa"/>
          </w:tcPr>
          <w:p w:rsidR="008E00F8" w:rsidRDefault="008E00F8">
            <w:pPr>
              <w:pStyle w:val="naisf"/>
            </w:pPr>
            <w:r>
              <w:t>  </w:t>
            </w:r>
          </w:p>
        </w:tc>
      </w:tr>
      <w:tr w:rsidR="008E00F8" w:rsidTr="00AF16EE">
        <w:tc>
          <w:tcPr>
            <w:tcW w:w="3351" w:type="dxa"/>
          </w:tcPr>
          <w:p w:rsidR="008E00F8" w:rsidRDefault="008E00F8">
            <w:pPr>
              <w:pStyle w:val="naiskr"/>
            </w:pPr>
            <w:r>
              <w:t> 3. Finansiālā ietekme:</w:t>
            </w:r>
          </w:p>
        </w:tc>
        <w:tc>
          <w:tcPr>
            <w:tcW w:w="1343" w:type="dxa"/>
          </w:tcPr>
          <w:p w:rsidR="008E00F8" w:rsidRDefault="008E00F8">
            <w:pPr>
              <w:pStyle w:val="naisc"/>
            </w:pPr>
            <w:r>
              <w:t> 0</w:t>
            </w:r>
          </w:p>
        </w:tc>
        <w:tc>
          <w:tcPr>
            <w:tcW w:w="1388" w:type="dxa"/>
          </w:tcPr>
          <w:p w:rsidR="008E00F8" w:rsidRDefault="008E00F8">
            <w:pPr>
              <w:pStyle w:val="naisf"/>
            </w:pPr>
            <w:r>
              <w:t>0</w:t>
            </w:r>
          </w:p>
        </w:tc>
        <w:tc>
          <w:tcPr>
            <w:tcW w:w="1358" w:type="dxa"/>
          </w:tcPr>
          <w:p w:rsidR="008E00F8" w:rsidRDefault="008E00F8">
            <w:pPr>
              <w:pStyle w:val="naisf"/>
            </w:pPr>
            <w:r>
              <w:t>0</w:t>
            </w:r>
          </w:p>
        </w:tc>
        <w:tc>
          <w:tcPr>
            <w:tcW w:w="1358" w:type="dxa"/>
          </w:tcPr>
          <w:p w:rsidR="008E00F8" w:rsidRDefault="008E00F8">
            <w:pPr>
              <w:pStyle w:val="naisf"/>
            </w:pPr>
            <w:r>
              <w:t>0</w:t>
            </w:r>
          </w:p>
        </w:tc>
        <w:tc>
          <w:tcPr>
            <w:tcW w:w="1222" w:type="dxa"/>
          </w:tcPr>
          <w:p w:rsidR="008E00F8" w:rsidRDefault="008E00F8">
            <w:pPr>
              <w:pStyle w:val="naisf"/>
            </w:pPr>
            <w:r>
              <w:t>0</w:t>
            </w:r>
          </w:p>
        </w:tc>
      </w:tr>
      <w:tr w:rsidR="008E00F8" w:rsidTr="00AF16EE">
        <w:tc>
          <w:tcPr>
            <w:tcW w:w="3351" w:type="dxa"/>
          </w:tcPr>
          <w:p w:rsidR="008E00F8" w:rsidRDefault="008E00F8">
            <w:pPr>
              <w:pStyle w:val="naiskr"/>
            </w:pPr>
            <w:r>
              <w:t> 3.1. valsts pamatbudžets</w:t>
            </w:r>
          </w:p>
        </w:tc>
        <w:tc>
          <w:tcPr>
            <w:tcW w:w="1343" w:type="dxa"/>
          </w:tcPr>
          <w:p w:rsidR="008E00F8" w:rsidRDefault="008E00F8">
            <w:pPr>
              <w:pStyle w:val="naisf"/>
            </w:pPr>
            <w:r>
              <w:t>  </w:t>
            </w:r>
          </w:p>
        </w:tc>
        <w:tc>
          <w:tcPr>
            <w:tcW w:w="1388" w:type="dxa"/>
          </w:tcPr>
          <w:p w:rsidR="008E00F8" w:rsidRDefault="008E00F8">
            <w:pPr>
              <w:pStyle w:val="naisf"/>
            </w:pPr>
            <w:r>
              <w:t>  </w:t>
            </w:r>
          </w:p>
        </w:tc>
        <w:tc>
          <w:tcPr>
            <w:tcW w:w="1358" w:type="dxa"/>
          </w:tcPr>
          <w:p w:rsidR="008E00F8" w:rsidRDefault="008E00F8">
            <w:pPr>
              <w:pStyle w:val="naisf"/>
            </w:pPr>
            <w:r>
              <w:t>  </w:t>
            </w:r>
          </w:p>
        </w:tc>
        <w:tc>
          <w:tcPr>
            <w:tcW w:w="1358" w:type="dxa"/>
          </w:tcPr>
          <w:p w:rsidR="008E00F8" w:rsidRDefault="008E00F8">
            <w:pPr>
              <w:pStyle w:val="naisf"/>
            </w:pPr>
            <w:r>
              <w:t>  </w:t>
            </w:r>
          </w:p>
        </w:tc>
        <w:tc>
          <w:tcPr>
            <w:tcW w:w="1222" w:type="dxa"/>
          </w:tcPr>
          <w:p w:rsidR="008E00F8" w:rsidRDefault="008E00F8">
            <w:pPr>
              <w:pStyle w:val="naisf"/>
            </w:pPr>
            <w:r>
              <w:t>  </w:t>
            </w:r>
          </w:p>
        </w:tc>
      </w:tr>
      <w:tr w:rsidR="008E00F8" w:rsidTr="00AF16EE">
        <w:tc>
          <w:tcPr>
            <w:tcW w:w="3351" w:type="dxa"/>
          </w:tcPr>
          <w:p w:rsidR="008E00F8" w:rsidRDefault="008E00F8">
            <w:pPr>
              <w:pStyle w:val="naiskr"/>
            </w:pPr>
            <w:r>
              <w:t> 3.2. speciālais budžets</w:t>
            </w:r>
          </w:p>
        </w:tc>
        <w:tc>
          <w:tcPr>
            <w:tcW w:w="1343" w:type="dxa"/>
          </w:tcPr>
          <w:p w:rsidR="008E00F8" w:rsidRDefault="008E00F8">
            <w:pPr>
              <w:pStyle w:val="naisf"/>
            </w:pPr>
            <w:r>
              <w:t>  </w:t>
            </w:r>
          </w:p>
        </w:tc>
        <w:tc>
          <w:tcPr>
            <w:tcW w:w="1388" w:type="dxa"/>
          </w:tcPr>
          <w:p w:rsidR="008E00F8" w:rsidRDefault="008E00F8">
            <w:pPr>
              <w:pStyle w:val="naisf"/>
            </w:pPr>
            <w:r>
              <w:t>  </w:t>
            </w:r>
          </w:p>
        </w:tc>
        <w:tc>
          <w:tcPr>
            <w:tcW w:w="1358" w:type="dxa"/>
          </w:tcPr>
          <w:p w:rsidR="008E00F8" w:rsidRDefault="008E00F8">
            <w:pPr>
              <w:pStyle w:val="naisf"/>
            </w:pPr>
            <w:r>
              <w:t>  </w:t>
            </w:r>
          </w:p>
        </w:tc>
        <w:tc>
          <w:tcPr>
            <w:tcW w:w="1358" w:type="dxa"/>
          </w:tcPr>
          <w:p w:rsidR="008E00F8" w:rsidRDefault="008E00F8">
            <w:pPr>
              <w:pStyle w:val="naisf"/>
            </w:pPr>
            <w:r>
              <w:t>  </w:t>
            </w:r>
          </w:p>
        </w:tc>
        <w:tc>
          <w:tcPr>
            <w:tcW w:w="1222" w:type="dxa"/>
          </w:tcPr>
          <w:p w:rsidR="008E00F8" w:rsidRDefault="008E00F8">
            <w:pPr>
              <w:pStyle w:val="naisf"/>
            </w:pPr>
            <w:r>
              <w:t>  </w:t>
            </w:r>
          </w:p>
        </w:tc>
      </w:tr>
      <w:tr w:rsidR="008E00F8" w:rsidTr="00AF16EE">
        <w:tc>
          <w:tcPr>
            <w:tcW w:w="3351" w:type="dxa"/>
          </w:tcPr>
          <w:p w:rsidR="008E00F8" w:rsidRDefault="008E00F8">
            <w:pPr>
              <w:pStyle w:val="naiskr"/>
            </w:pPr>
            <w:r>
              <w:t> 3.3. pašvaldību budžets</w:t>
            </w:r>
          </w:p>
        </w:tc>
        <w:tc>
          <w:tcPr>
            <w:tcW w:w="1343" w:type="dxa"/>
          </w:tcPr>
          <w:p w:rsidR="008E00F8" w:rsidRDefault="008E00F8">
            <w:pPr>
              <w:pStyle w:val="naisf"/>
            </w:pPr>
            <w:r>
              <w:t>  </w:t>
            </w:r>
          </w:p>
        </w:tc>
        <w:tc>
          <w:tcPr>
            <w:tcW w:w="1388" w:type="dxa"/>
          </w:tcPr>
          <w:p w:rsidR="008E00F8" w:rsidRDefault="008E00F8">
            <w:pPr>
              <w:pStyle w:val="naisf"/>
            </w:pPr>
            <w:r>
              <w:t>  </w:t>
            </w:r>
          </w:p>
        </w:tc>
        <w:tc>
          <w:tcPr>
            <w:tcW w:w="1358" w:type="dxa"/>
          </w:tcPr>
          <w:p w:rsidR="008E00F8" w:rsidRDefault="008E00F8">
            <w:pPr>
              <w:pStyle w:val="naisf"/>
            </w:pPr>
            <w:r>
              <w:t>  </w:t>
            </w:r>
          </w:p>
        </w:tc>
        <w:tc>
          <w:tcPr>
            <w:tcW w:w="1358" w:type="dxa"/>
          </w:tcPr>
          <w:p w:rsidR="008E00F8" w:rsidRDefault="008E00F8">
            <w:pPr>
              <w:pStyle w:val="naisf"/>
            </w:pPr>
            <w:r>
              <w:t>  </w:t>
            </w:r>
          </w:p>
        </w:tc>
        <w:tc>
          <w:tcPr>
            <w:tcW w:w="1222" w:type="dxa"/>
          </w:tcPr>
          <w:p w:rsidR="008E00F8" w:rsidRDefault="008E00F8">
            <w:pPr>
              <w:pStyle w:val="naisf"/>
            </w:pPr>
            <w:r>
              <w:t>  </w:t>
            </w:r>
          </w:p>
        </w:tc>
      </w:tr>
      <w:tr w:rsidR="008E00F8" w:rsidTr="00AF16EE">
        <w:tc>
          <w:tcPr>
            <w:tcW w:w="3351" w:type="dxa"/>
            <w:vMerge w:val="restart"/>
          </w:tcPr>
          <w:p w:rsidR="008E00F8" w:rsidRDefault="008E00F8">
            <w:pPr>
              <w:pStyle w:val="naiskr"/>
            </w:pPr>
            <w:r>
              <w:t> 4. Finanšu līdzekļi papildu izde</w:t>
            </w:r>
            <w:r>
              <w:softHyphen/>
              <w:t>vumu finansēšanai (kompensējošu izdevumu samazinājumu norāda ar "+" zīmi)</w:t>
            </w:r>
          </w:p>
        </w:tc>
        <w:tc>
          <w:tcPr>
            <w:tcW w:w="1343" w:type="dxa"/>
            <w:vMerge w:val="restart"/>
          </w:tcPr>
          <w:p w:rsidR="008E00F8" w:rsidRDefault="008E00F8">
            <w:pPr>
              <w:pStyle w:val="naisc"/>
            </w:pPr>
            <w:r>
              <w:t> X</w:t>
            </w:r>
          </w:p>
        </w:tc>
        <w:tc>
          <w:tcPr>
            <w:tcW w:w="1388" w:type="dxa"/>
          </w:tcPr>
          <w:p w:rsidR="008E00F8" w:rsidRDefault="008E00F8">
            <w:pPr>
              <w:pStyle w:val="naisf"/>
            </w:pPr>
            <w:r>
              <w:t>  </w:t>
            </w:r>
          </w:p>
        </w:tc>
        <w:tc>
          <w:tcPr>
            <w:tcW w:w="1358" w:type="dxa"/>
          </w:tcPr>
          <w:p w:rsidR="008E00F8" w:rsidRDefault="008E00F8">
            <w:pPr>
              <w:pStyle w:val="naisf"/>
            </w:pPr>
            <w:r>
              <w:t>  </w:t>
            </w:r>
          </w:p>
        </w:tc>
        <w:tc>
          <w:tcPr>
            <w:tcW w:w="1358" w:type="dxa"/>
          </w:tcPr>
          <w:p w:rsidR="008E00F8" w:rsidRDefault="008E00F8">
            <w:pPr>
              <w:pStyle w:val="naisf"/>
            </w:pPr>
            <w:r>
              <w:t>  </w:t>
            </w:r>
          </w:p>
        </w:tc>
        <w:tc>
          <w:tcPr>
            <w:tcW w:w="1222" w:type="dxa"/>
          </w:tcPr>
          <w:p w:rsidR="008E00F8" w:rsidRDefault="008E00F8">
            <w:pPr>
              <w:pStyle w:val="naisf"/>
            </w:pPr>
            <w:r>
              <w:t>  </w:t>
            </w:r>
          </w:p>
        </w:tc>
      </w:tr>
      <w:tr w:rsidR="008E00F8" w:rsidTr="00AF16EE">
        <w:tc>
          <w:tcPr>
            <w:tcW w:w="0" w:type="auto"/>
            <w:vMerge/>
          </w:tcPr>
          <w:p w:rsidR="008E00F8" w:rsidRDefault="008E00F8"/>
        </w:tc>
        <w:tc>
          <w:tcPr>
            <w:tcW w:w="0" w:type="auto"/>
            <w:vMerge/>
          </w:tcPr>
          <w:p w:rsidR="008E00F8" w:rsidRDefault="008E00F8"/>
        </w:tc>
        <w:tc>
          <w:tcPr>
            <w:tcW w:w="1388" w:type="dxa"/>
          </w:tcPr>
          <w:p w:rsidR="008E00F8" w:rsidRDefault="008E00F8">
            <w:pPr>
              <w:pStyle w:val="naisf"/>
            </w:pPr>
            <w:r>
              <w:t>  </w:t>
            </w:r>
          </w:p>
        </w:tc>
        <w:tc>
          <w:tcPr>
            <w:tcW w:w="1358" w:type="dxa"/>
          </w:tcPr>
          <w:p w:rsidR="008E00F8" w:rsidRDefault="008E00F8">
            <w:pPr>
              <w:pStyle w:val="naisf"/>
            </w:pPr>
            <w:r>
              <w:t>  </w:t>
            </w:r>
          </w:p>
        </w:tc>
        <w:tc>
          <w:tcPr>
            <w:tcW w:w="1358" w:type="dxa"/>
          </w:tcPr>
          <w:p w:rsidR="008E00F8" w:rsidRDefault="008E00F8">
            <w:pPr>
              <w:pStyle w:val="naisf"/>
            </w:pPr>
            <w:r>
              <w:t>  </w:t>
            </w:r>
          </w:p>
        </w:tc>
        <w:tc>
          <w:tcPr>
            <w:tcW w:w="1222" w:type="dxa"/>
          </w:tcPr>
          <w:p w:rsidR="008E00F8" w:rsidRDefault="008E00F8">
            <w:pPr>
              <w:pStyle w:val="naisf"/>
            </w:pPr>
            <w:r>
              <w:t>  </w:t>
            </w:r>
          </w:p>
        </w:tc>
      </w:tr>
      <w:tr w:rsidR="008E00F8" w:rsidTr="00AF16EE">
        <w:tc>
          <w:tcPr>
            <w:tcW w:w="0" w:type="auto"/>
            <w:vMerge/>
          </w:tcPr>
          <w:p w:rsidR="008E00F8" w:rsidRDefault="008E00F8"/>
        </w:tc>
        <w:tc>
          <w:tcPr>
            <w:tcW w:w="0" w:type="auto"/>
            <w:vMerge/>
          </w:tcPr>
          <w:p w:rsidR="008E00F8" w:rsidRDefault="008E00F8"/>
        </w:tc>
        <w:tc>
          <w:tcPr>
            <w:tcW w:w="1388" w:type="dxa"/>
          </w:tcPr>
          <w:p w:rsidR="008E00F8" w:rsidRDefault="008E00F8">
            <w:pPr>
              <w:pStyle w:val="naisf"/>
            </w:pPr>
            <w:r>
              <w:t>  </w:t>
            </w:r>
          </w:p>
        </w:tc>
        <w:tc>
          <w:tcPr>
            <w:tcW w:w="1358" w:type="dxa"/>
          </w:tcPr>
          <w:p w:rsidR="008E00F8" w:rsidRDefault="008E00F8">
            <w:pPr>
              <w:pStyle w:val="naisf"/>
            </w:pPr>
            <w:r>
              <w:t>  </w:t>
            </w:r>
          </w:p>
        </w:tc>
        <w:tc>
          <w:tcPr>
            <w:tcW w:w="1358" w:type="dxa"/>
          </w:tcPr>
          <w:p w:rsidR="008E00F8" w:rsidRDefault="008E00F8">
            <w:pPr>
              <w:pStyle w:val="naisf"/>
            </w:pPr>
            <w:r>
              <w:t>  </w:t>
            </w:r>
          </w:p>
        </w:tc>
        <w:tc>
          <w:tcPr>
            <w:tcW w:w="1222" w:type="dxa"/>
          </w:tcPr>
          <w:p w:rsidR="008E00F8" w:rsidRDefault="008E00F8">
            <w:pPr>
              <w:pStyle w:val="naisf"/>
            </w:pPr>
            <w:r>
              <w:t>  </w:t>
            </w:r>
          </w:p>
        </w:tc>
      </w:tr>
      <w:tr w:rsidR="008E00F8" w:rsidTr="00AF16EE">
        <w:tc>
          <w:tcPr>
            <w:tcW w:w="3351" w:type="dxa"/>
          </w:tcPr>
          <w:p w:rsidR="008E00F8" w:rsidRDefault="008E00F8">
            <w:pPr>
              <w:pStyle w:val="naiskr"/>
            </w:pPr>
            <w:r>
              <w:t> 5. Precizēta finansiālā ietekme:</w:t>
            </w:r>
          </w:p>
        </w:tc>
        <w:tc>
          <w:tcPr>
            <w:tcW w:w="1343" w:type="dxa"/>
            <w:vMerge w:val="restart"/>
          </w:tcPr>
          <w:p w:rsidR="008E00F8" w:rsidRDefault="008E00F8">
            <w:pPr>
              <w:pStyle w:val="naisc"/>
            </w:pPr>
            <w:r>
              <w:t> X</w:t>
            </w:r>
          </w:p>
        </w:tc>
        <w:tc>
          <w:tcPr>
            <w:tcW w:w="1388" w:type="dxa"/>
          </w:tcPr>
          <w:p w:rsidR="008E00F8" w:rsidRDefault="008E00F8">
            <w:pPr>
              <w:pStyle w:val="naisf"/>
            </w:pPr>
            <w:r>
              <w:t>  </w:t>
            </w:r>
          </w:p>
        </w:tc>
        <w:tc>
          <w:tcPr>
            <w:tcW w:w="1358" w:type="dxa"/>
          </w:tcPr>
          <w:p w:rsidR="008E00F8" w:rsidRDefault="008E00F8">
            <w:pPr>
              <w:pStyle w:val="naisf"/>
            </w:pPr>
            <w:r>
              <w:t>  </w:t>
            </w:r>
          </w:p>
        </w:tc>
        <w:tc>
          <w:tcPr>
            <w:tcW w:w="1358" w:type="dxa"/>
          </w:tcPr>
          <w:p w:rsidR="008E00F8" w:rsidRDefault="008E00F8">
            <w:pPr>
              <w:pStyle w:val="naisf"/>
            </w:pPr>
            <w:r>
              <w:t>  </w:t>
            </w:r>
          </w:p>
        </w:tc>
        <w:tc>
          <w:tcPr>
            <w:tcW w:w="1222" w:type="dxa"/>
          </w:tcPr>
          <w:p w:rsidR="008E00F8" w:rsidRDefault="008E00F8">
            <w:pPr>
              <w:pStyle w:val="naisf"/>
            </w:pPr>
            <w:r>
              <w:t>  </w:t>
            </w:r>
          </w:p>
        </w:tc>
      </w:tr>
      <w:tr w:rsidR="008E00F8" w:rsidTr="00AF16EE">
        <w:tc>
          <w:tcPr>
            <w:tcW w:w="3351" w:type="dxa"/>
          </w:tcPr>
          <w:p w:rsidR="008E00F8" w:rsidRDefault="008E00F8">
            <w:pPr>
              <w:pStyle w:val="naiskr"/>
            </w:pPr>
            <w:r>
              <w:t> 5.1. valsts pamatbudžets</w:t>
            </w:r>
          </w:p>
        </w:tc>
        <w:tc>
          <w:tcPr>
            <w:tcW w:w="0" w:type="auto"/>
            <w:vMerge/>
          </w:tcPr>
          <w:p w:rsidR="008E00F8" w:rsidRDefault="008E00F8"/>
        </w:tc>
        <w:tc>
          <w:tcPr>
            <w:tcW w:w="1388" w:type="dxa"/>
          </w:tcPr>
          <w:p w:rsidR="008E00F8" w:rsidRDefault="008E00F8">
            <w:pPr>
              <w:pStyle w:val="naisf"/>
            </w:pPr>
            <w:r>
              <w:t>  </w:t>
            </w:r>
          </w:p>
        </w:tc>
        <w:tc>
          <w:tcPr>
            <w:tcW w:w="1358" w:type="dxa"/>
          </w:tcPr>
          <w:p w:rsidR="008E00F8" w:rsidRDefault="008E00F8">
            <w:pPr>
              <w:pStyle w:val="naisf"/>
            </w:pPr>
            <w:r>
              <w:t>  </w:t>
            </w:r>
          </w:p>
        </w:tc>
        <w:tc>
          <w:tcPr>
            <w:tcW w:w="1358" w:type="dxa"/>
          </w:tcPr>
          <w:p w:rsidR="008E00F8" w:rsidRDefault="008E00F8">
            <w:pPr>
              <w:pStyle w:val="naisf"/>
            </w:pPr>
            <w:r>
              <w:t>  </w:t>
            </w:r>
          </w:p>
        </w:tc>
        <w:tc>
          <w:tcPr>
            <w:tcW w:w="1222" w:type="dxa"/>
          </w:tcPr>
          <w:p w:rsidR="008E00F8" w:rsidRDefault="008E00F8">
            <w:pPr>
              <w:pStyle w:val="naisf"/>
            </w:pPr>
            <w:r>
              <w:t>  </w:t>
            </w:r>
          </w:p>
        </w:tc>
      </w:tr>
      <w:tr w:rsidR="008E00F8" w:rsidTr="00AF16EE">
        <w:tc>
          <w:tcPr>
            <w:tcW w:w="3351" w:type="dxa"/>
          </w:tcPr>
          <w:p w:rsidR="008E00F8" w:rsidRDefault="008E00F8">
            <w:pPr>
              <w:pStyle w:val="naiskr"/>
            </w:pPr>
            <w:r>
              <w:t> 5.2. speciālais budžets</w:t>
            </w:r>
          </w:p>
        </w:tc>
        <w:tc>
          <w:tcPr>
            <w:tcW w:w="0" w:type="auto"/>
            <w:vMerge/>
          </w:tcPr>
          <w:p w:rsidR="008E00F8" w:rsidRDefault="008E00F8"/>
        </w:tc>
        <w:tc>
          <w:tcPr>
            <w:tcW w:w="1388" w:type="dxa"/>
          </w:tcPr>
          <w:p w:rsidR="008E00F8" w:rsidRDefault="008E00F8">
            <w:pPr>
              <w:pStyle w:val="naisf"/>
            </w:pPr>
            <w:r>
              <w:t>  </w:t>
            </w:r>
          </w:p>
        </w:tc>
        <w:tc>
          <w:tcPr>
            <w:tcW w:w="1358" w:type="dxa"/>
          </w:tcPr>
          <w:p w:rsidR="008E00F8" w:rsidRDefault="008E00F8">
            <w:pPr>
              <w:pStyle w:val="naisf"/>
            </w:pPr>
            <w:r>
              <w:t>  </w:t>
            </w:r>
          </w:p>
        </w:tc>
        <w:tc>
          <w:tcPr>
            <w:tcW w:w="1358" w:type="dxa"/>
          </w:tcPr>
          <w:p w:rsidR="008E00F8" w:rsidRDefault="008E00F8">
            <w:pPr>
              <w:pStyle w:val="naisf"/>
            </w:pPr>
            <w:r>
              <w:t>  </w:t>
            </w:r>
          </w:p>
        </w:tc>
        <w:tc>
          <w:tcPr>
            <w:tcW w:w="1222" w:type="dxa"/>
          </w:tcPr>
          <w:p w:rsidR="008E00F8" w:rsidRDefault="008E00F8">
            <w:pPr>
              <w:pStyle w:val="naisf"/>
            </w:pPr>
            <w:r>
              <w:t>  </w:t>
            </w:r>
          </w:p>
        </w:tc>
      </w:tr>
      <w:tr w:rsidR="008E00F8" w:rsidTr="00AF16EE">
        <w:tc>
          <w:tcPr>
            <w:tcW w:w="3351" w:type="dxa"/>
          </w:tcPr>
          <w:p w:rsidR="008E00F8" w:rsidRDefault="008E00F8">
            <w:pPr>
              <w:pStyle w:val="naiskr"/>
            </w:pPr>
            <w:r>
              <w:t> 5.3. pašvaldību budžets</w:t>
            </w:r>
          </w:p>
        </w:tc>
        <w:tc>
          <w:tcPr>
            <w:tcW w:w="0" w:type="auto"/>
            <w:vMerge/>
          </w:tcPr>
          <w:p w:rsidR="008E00F8" w:rsidRDefault="008E00F8"/>
        </w:tc>
        <w:tc>
          <w:tcPr>
            <w:tcW w:w="1388" w:type="dxa"/>
          </w:tcPr>
          <w:p w:rsidR="008E00F8" w:rsidRDefault="008E00F8">
            <w:pPr>
              <w:pStyle w:val="naisf"/>
            </w:pPr>
            <w:r>
              <w:t>  </w:t>
            </w:r>
          </w:p>
        </w:tc>
        <w:tc>
          <w:tcPr>
            <w:tcW w:w="1358" w:type="dxa"/>
          </w:tcPr>
          <w:p w:rsidR="008E00F8" w:rsidRDefault="008E00F8">
            <w:pPr>
              <w:pStyle w:val="naisf"/>
            </w:pPr>
            <w:r>
              <w:t>  </w:t>
            </w:r>
          </w:p>
        </w:tc>
        <w:tc>
          <w:tcPr>
            <w:tcW w:w="1358" w:type="dxa"/>
          </w:tcPr>
          <w:p w:rsidR="008E00F8" w:rsidRDefault="008E00F8">
            <w:pPr>
              <w:pStyle w:val="naisf"/>
            </w:pPr>
            <w:r>
              <w:t>  </w:t>
            </w:r>
          </w:p>
        </w:tc>
        <w:tc>
          <w:tcPr>
            <w:tcW w:w="1222" w:type="dxa"/>
          </w:tcPr>
          <w:p w:rsidR="008E00F8" w:rsidRDefault="008E00F8">
            <w:pPr>
              <w:pStyle w:val="naisf"/>
            </w:pPr>
            <w:r>
              <w:t>  </w:t>
            </w:r>
          </w:p>
        </w:tc>
      </w:tr>
      <w:tr w:rsidR="008E00F8" w:rsidTr="00AF16EE">
        <w:tc>
          <w:tcPr>
            <w:tcW w:w="3351" w:type="dxa"/>
          </w:tcPr>
          <w:p w:rsidR="008E00F8" w:rsidRDefault="008E00F8">
            <w:pPr>
              <w:pStyle w:val="naiskr"/>
            </w:pPr>
            <w:r>
              <w:t> 6. Detalizēts ieņēmumu un izdevu</w:t>
            </w:r>
            <w:r>
              <w:softHyphen/>
              <w:t>mu aprēķins (ja nepieciešams, detalizētu ieņēmumu un izdevumu aprēķinu var pievienot anotācijas pielikumā):</w:t>
            </w:r>
          </w:p>
        </w:tc>
        <w:tc>
          <w:tcPr>
            <w:tcW w:w="6669" w:type="dxa"/>
            <w:gridSpan w:val="5"/>
            <w:vMerge w:val="restart"/>
          </w:tcPr>
          <w:p w:rsidR="008E00F8" w:rsidRDefault="008E00F8">
            <w:pPr>
              <w:pStyle w:val="naisf"/>
            </w:pPr>
            <w:r>
              <w:t>  </w:t>
            </w:r>
          </w:p>
        </w:tc>
      </w:tr>
      <w:tr w:rsidR="008E00F8" w:rsidTr="00AF16EE">
        <w:tc>
          <w:tcPr>
            <w:tcW w:w="3351" w:type="dxa"/>
          </w:tcPr>
          <w:p w:rsidR="008E00F8" w:rsidRDefault="008E00F8">
            <w:pPr>
              <w:pStyle w:val="naiskr"/>
            </w:pPr>
            <w:r>
              <w:t> 6.1. detalizēts ieņēmumu aprēķins</w:t>
            </w:r>
          </w:p>
        </w:tc>
        <w:tc>
          <w:tcPr>
            <w:tcW w:w="0" w:type="auto"/>
            <w:gridSpan w:val="5"/>
            <w:vMerge/>
          </w:tcPr>
          <w:p w:rsidR="008E00F8" w:rsidRDefault="008E00F8"/>
        </w:tc>
      </w:tr>
      <w:tr w:rsidR="008E00F8" w:rsidTr="00AF16EE">
        <w:tc>
          <w:tcPr>
            <w:tcW w:w="3351" w:type="dxa"/>
          </w:tcPr>
          <w:p w:rsidR="008E00F8" w:rsidRDefault="008E00F8">
            <w:pPr>
              <w:pStyle w:val="naiskr"/>
            </w:pPr>
            <w:r>
              <w:t> 6.2. detalizēts izdevumu aprēķins</w:t>
            </w:r>
          </w:p>
        </w:tc>
        <w:tc>
          <w:tcPr>
            <w:tcW w:w="0" w:type="auto"/>
            <w:gridSpan w:val="5"/>
            <w:vMerge/>
          </w:tcPr>
          <w:p w:rsidR="008E00F8" w:rsidRDefault="008E00F8"/>
        </w:tc>
      </w:tr>
      <w:tr w:rsidR="008E00F8" w:rsidTr="00AF16EE">
        <w:tc>
          <w:tcPr>
            <w:tcW w:w="3351" w:type="dxa"/>
          </w:tcPr>
          <w:p w:rsidR="008E00F8" w:rsidRDefault="008E00F8">
            <w:pPr>
              <w:pStyle w:val="naiskr"/>
            </w:pPr>
            <w:r>
              <w:t> 7. Cita informācija</w:t>
            </w:r>
          </w:p>
        </w:tc>
        <w:tc>
          <w:tcPr>
            <w:tcW w:w="6669" w:type="dxa"/>
            <w:gridSpan w:val="5"/>
          </w:tcPr>
          <w:p w:rsidR="008E00F8" w:rsidRDefault="008E00F8" w:rsidP="003E7D91">
            <w:pPr>
              <w:pStyle w:val="naiskr"/>
              <w:jc w:val="both"/>
            </w:pPr>
            <w:r>
              <w:t>Noteikumu projekta īstenošanu</w:t>
            </w:r>
            <w:r w:rsidRPr="005451B1">
              <w:t xml:space="preserve"> 2012. un turpmākajos gados tiks nodrošināta Ārlietu ministrijas esošo valsts budžeta līdzekļu ietvaros</w:t>
            </w:r>
            <w:r>
              <w:t xml:space="preserve"> </w:t>
            </w:r>
            <w:r>
              <w:rPr>
                <w:szCs w:val="28"/>
              </w:rPr>
              <w:t xml:space="preserve">no valsts budžeta programmas 02.00.00 "Iemaksas starptautiskajās organizācijās" paredzētajiem līdzekļiem. Ņemot vērā to, ka iemaksas Eiropas Demokrātijas fondā ir brīvprātīgas, Ārlietu ministrija lems par </w:t>
            </w:r>
            <w:r w:rsidRPr="00FC4605">
              <w:rPr>
                <w:bCs/>
                <w:sz w:val="22"/>
                <w:szCs w:val="22"/>
                <w:lang w:val="cs-CZ"/>
              </w:rPr>
              <w:t>Latvija</w:t>
            </w:r>
            <w:r>
              <w:rPr>
                <w:bCs/>
                <w:sz w:val="22"/>
                <w:szCs w:val="22"/>
                <w:lang w:val="cs-CZ"/>
              </w:rPr>
              <w:t xml:space="preserve">s </w:t>
            </w:r>
            <w:r w:rsidRPr="00FC4605">
              <w:rPr>
                <w:bCs/>
                <w:sz w:val="22"/>
                <w:szCs w:val="22"/>
                <w:lang w:val="cs-CZ"/>
              </w:rPr>
              <w:t>iemaksu apjomu atsevišķi</w:t>
            </w:r>
            <w:r>
              <w:rPr>
                <w:bCs/>
                <w:sz w:val="22"/>
                <w:szCs w:val="22"/>
                <w:lang w:val="cs-CZ"/>
              </w:rPr>
              <w:t xml:space="preserve"> </w:t>
            </w:r>
            <w:r w:rsidRPr="00FC4605">
              <w:rPr>
                <w:bCs/>
                <w:sz w:val="22"/>
                <w:szCs w:val="22"/>
                <w:lang w:val="cs-CZ"/>
              </w:rPr>
              <w:t>atbi</w:t>
            </w:r>
            <w:r>
              <w:rPr>
                <w:bCs/>
                <w:sz w:val="22"/>
                <w:szCs w:val="22"/>
                <w:lang w:val="cs-CZ"/>
              </w:rPr>
              <w:t xml:space="preserve">lstoši </w:t>
            </w:r>
            <w:r w:rsidRPr="00FC4605">
              <w:rPr>
                <w:bCs/>
                <w:sz w:val="22"/>
                <w:szCs w:val="22"/>
                <w:lang w:val="cs-CZ"/>
              </w:rPr>
              <w:t>finanšu iespējām</w:t>
            </w:r>
            <w:r>
              <w:rPr>
                <w:bCs/>
                <w:sz w:val="22"/>
                <w:szCs w:val="22"/>
                <w:lang w:val="cs-CZ"/>
              </w:rPr>
              <w:t xml:space="preserve"> </w:t>
            </w:r>
            <w:r w:rsidRPr="00166F0B">
              <w:rPr>
                <w:color w:val="000000"/>
                <w:lang w:eastAsia="en-US"/>
              </w:rPr>
              <w:t>un sagatavos attiecīgu priekšlikumu izskatīšanai un lēmuma pieņemšanai Ministru kabinetā par iemaksu veikšanu minētajā fondā.</w:t>
            </w:r>
          </w:p>
        </w:tc>
      </w:tr>
    </w:tbl>
    <w:p w:rsidR="008E00F8" w:rsidRDefault="008E00F8" w:rsidP="005E2928">
      <w:pPr>
        <w:ind w:firstLine="720"/>
        <w:jc w:val="both"/>
        <w:rPr>
          <w:sz w:val="28"/>
          <w:szCs w:val="28"/>
        </w:rPr>
      </w:pPr>
    </w:p>
    <w:p w:rsidR="008E00F8" w:rsidRPr="00C22A46" w:rsidRDefault="008E00F8" w:rsidP="00C22A46">
      <w:pPr>
        <w:jc w:val="both"/>
        <w:rPr>
          <w:b/>
        </w:rPr>
      </w:pPr>
      <w:r w:rsidRPr="00C22A46">
        <w:rPr>
          <w:b/>
        </w:rPr>
        <w:t>Anotācijas IV, V, VI sadaļa – Projekts šo jomu neskar</w:t>
      </w:r>
    </w:p>
    <w:p w:rsidR="008E00F8" w:rsidRDefault="008E00F8" w:rsidP="005E2928">
      <w:pPr>
        <w:ind w:firstLine="720"/>
        <w:jc w:val="both"/>
        <w:rPr>
          <w:sz w:val="28"/>
          <w:szCs w:val="28"/>
        </w:rPr>
      </w:pPr>
    </w:p>
    <w:p w:rsidR="008E00F8" w:rsidRPr="007C0F2C" w:rsidRDefault="008E00F8" w:rsidP="005E2928">
      <w:pPr>
        <w:pStyle w:val="naisf"/>
        <w:spacing w:before="0" w:after="0"/>
        <w:rPr>
          <w:sz w:val="28"/>
          <w:szCs w:val="28"/>
        </w:rPr>
      </w:pPr>
    </w:p>
    <w:tbl>
      <w:tblPr>
        <w:tblW w:w="10264"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374"/>
        <w:gridCol w:w="4588"/>
        <w:gridCol w:w="5302"/>
      </w:tblGrid>
      <w:tr w:rsidR="008E00F8" w:rsidRPr="007C0F2C" w:rsidTr="001609A0">
        <w:tc>
          <w:tcPr>
            <w:tcW w:w="10264" w:type="dxa"/>
            <w:gridSpan w:val="3"/>
          </w:tcPr>
          <w:p w:rsidR="008E00F8" w:rsidRPr="007C0F2C" w:rsidRDefault="008E00F8" w:rsidP="001609A0">
            <w:pPr>
              <w:pStyle w:val="naisnod"/>
              <w:spacing w:before="0" w:after="0"/>
              <w:ind w:left="57" w:right="57"/>
            </w:pPr>
            <w:r w:rsidRPr="007C0F2C">
              <w:t>VII. Tiesību akta projekta izpildes nodrošināšana un tās ietekme uz institūcijām</w:t>
            </w:r>
          </w:p>
        </w:tc>
      </w:tr>
      <w:tr w:rsidR="008E00F8" w:rsidRPr="007C0F2C" w:rsidTr="001609A0">
        <w:trPr>
          <w:trHeight w:val="427"/>
        </w:trPr>
        <w:tc>
          <w:tcPr>
            <w:tcW w:w="374" w:type="dxa"/>
          </w:tcPr>
          <w:p w:rsidR="008E00F8" w:rsidRPr="007C0F2C" w:rsidRDefault="008E00F8" w:rsidP="001609A0">
            <w:pPr>
              <w:pStyle w:val="naisnod"/>
              <w:spacing w:before="0" w:after="0"/>
              <w:ind w:left="57" w:right="57"/>
              <w:jc w:val="left"/>
              <w:rPr>
                <w:b w:val="0"/>
              </w:rPr>
            </w:pPr>
            <w:r w:rsidRPr="007C0F2C">
              <w:rPr>
                <w:b w:val="0"/>
                <w:sz w:val="22"/>
                <w:szCs w:val="22"/>
              </w:rPr>
              <w:t>1.</w:t>
            </w:r>
          </w:p>
        </w:tc>
        <w:tc>
          <w:tcPr>
            <w:tcW w:w="4588" w:type="dxa"/>
          </w:tcPr>
          <w:p w:rsidR="008E00F8" w:rsidRPr="007C0F2C" w:rsidRDefault="008E00F8" w:rsidP="001609A0">
            <w:pPr>
              <w:pStyle w:val="naisf"/>
              <w:spacing w:before="0" w:after="0"/>
              <w:ind w:left="57" w:right="57" w:firstLine="0"/>
              <w:jc w:val="left"/>
            </w:pPr>
            <w:r w:rsidRPr="007C0F2C">
              <w:rPr>
                <w:sz w:val="22"/>
                <w:szCs w:val="22"/>
              </w:rPr>
              <w:t xml:space="preserve">Projekta izpildē iesaistītās institūcijas </w:t>
            </w:r>
          </w:p>
        </w:tc>
        <w:tc>
          <w:tcPr>
            <w:tcW w:w="5302" w:type="dxa"/>
          </w:tcPr>
          <w:p w:rsidR="008E00F8" w:rsidRDefault="008E00F8" w:rsidP="003703D8">
            <w:pPr>
              <w:pStyle w:val="naisnod"/>
              <w:spacing w:before="0" w:after="0"/>
              <w:ind w:left="57" w:right="57"/>
              <w:jc w:val="both"/>
              <w:rPr>
                <w:b w:val="0"/>
                <w:iCs/>
              </w:rPr>
            </w:pPr>
            <w:r>
              <w:rPr>
                <w:b w:val="0"/>
                <w:iCs/>
                <w:sz w:val="22"/>
                <w:szCs w:val="22"/>
              </w:rPr>
              <w:t xml:space="preserve">Ārlietu ministrija. Nepieciešamības gadījumā ārlietu ministrs parakstīs saistošos Eiropas Demokrātijas fonda dokumentus. Ārlietu ministrs nozīmēs pārstāvi dalībai fonda valdē. </w:t>
            </w:r>
          </w:p>
          <w:p w:rsidR="008E00F8" w:rsidRPr="002477B3" w:rsidRDefault="008E00F8" w:rsidP="001609A0">
            <w:pPr>
              <w:pStyle w:val="naisnod"/>
              <w:spacing w:before="0" w:after="0"/>
              <w:ind w:left="57" w:right="57"/>
              <w:jc w:val="left"/>
              <w:rPr>
                <w:b w:val="0"/>
                <w:iCs/>
              </w:rPr>
            </w:pPr>
          </w:p>
        </w:tc>
      </w:tr>
      <w:tr w:rsidR="008E00F8" w:rsidRPr="007C0F2C" w:rsidTr="001609A0">
        <w:trPr>
          <w:trHeight w:val="463"/>
        </w:trPr>
        <w:tc>
          <w:tcPr>
            <w:tcW w:w="374" w:type="dxa"/>
          </w:tcPr>
          <w:p w:rsidR="008E00F8" w:rsidRPr="007C0F2C" w:rsidRDefault="008E00F8" w:rsidP="001609A0">
            <w:pPr>
              <w:pStyle w:val="naisnod"/>
              <w:spacing w:before="0" w:after="0"/>
              <w:ind w:left="57" w:right="57"/>
              <w:jc w:val="left"/>
              <w:rPr>
                <w:b w:val="0"/>
              </w:rPr>
            </w:pPr>
            <w:r w:rsidRPr="007C0F2C">
              <w:rPr>
                <w:b w:val="0"/>
                <w:sz w:val="22"/>
                <w:szCs w:val="22"/>
              </w:rPr>
              <w:t>2.</w:t>
            </w:r>
          </w:p>
        </w:tc>
        <w:tc>
          <w:tcPr>
            <w:tcW w:w="4588" w:type="dxa"/>
          </w:tcPr>
          <w:p w:rsidR="008E00F8" w:rsidRPr="007C0F2C" w:rsidRDefault="008E00F8" w:rsidP="001609A0">
            <w:pPr>
              <w:pStyle w:val="naisf"/>
              <w:spacing w:before="0" w:after="0"/>
              <w:ind w:left="57" w:right="57" w:firstLine="0"/>
              <w:jc w:val="left"/>
            </w:pPr>
            <w:r w:rsidRPr="007C0F2C">
              <w:rPr>
                <w:sz w:val="22"/>
                <w:szCs w:val="22"/>
              </w:rPr>
              <w:t xml:space="preserve">Projekta izpildes ietekme uz pārvaldes funkcijām </w:t>
            </w:r>
          </w:p>
        </w:tc>
        <w:tc>
          <w:tcPr>
            <w:tcW w:w="5302" w:type="dxa"/>
          </w:tcPr>
          <w:p w:rsidR="008E00F8" w:rsidRDefault="008E00F8" w:rsidP="00F73B61">
            <w:pPr>
              <w:pStyle w:val="naisnod"/>
              <w:spacing w:before="0" w:after="0"/>
              <w:ind w:right="57"/>
              <w:jc w:val="left"/>
              <w:rPr>
                <w:b w:val="0"/>
                <w:iCs/>
              </w:rPr>
            </w:pPr>
            <w:r>
              <w:rPr>
                <w:b w:val="0"/>
                <w:iCs/>
                <w:sz w:val="22"/>
                <w:szCs w:val="22"/>
              </w:rPr>
              <w:t xml:space="preserve"> Nav </w:t>
            </w:r>
          </w:p>
          <w:p w:rsidR="008E00F8" w:rsidRPr="007C0F2C" w:rsidRDefault="008E00F8" w:rsidP="00F73B61">
            <w:pPr>
              <w:pStyle w:val="naisnod"/>
              <w:spacing w:before="0" w:after="0"/>
              <w:ind w:left="57" w:right="57"/>
              <w:jc w:val="both"/>
              <w:rPr>
                <w:b w:val="0"/>
              </w:rPr>
            </w:pPr>
          </w:p>
        </w:tc>
      </w:tr>
      <w:tr w:rsidR="008E00F8" w:rsidRPr="007C0F2C" w:rsidTr="001609A0">
        <w:trPr>
          <w:trHeight w:val="725"/>
        </w:trPr>
        <w:tc>
          <w:tcPr>
            <w:tcW w:w="374" w:type="dxa"/>
          </w:tcPr>
          <w:p w:rsidR="008E00F8" w:rsidRPr="007C0F2C" w:rsidRDefault="008E00F8" w:rsidP="001609A0">
            <w:pPr>
              <w:pStyle w:val="naisnod"/>
              <w:spacing w:before="0" w:after="0"/>
              <w:ind w:left="57" w:right="57"/>
              <w:jc w:val="left"/>
              <w:rPr>
                <w:b w:val="0"/>
              </w:rPr>
            </w:pPr>
            <w:r w:rsidRPr="007C0F2C">
              <w:rPr>
                <w:b w:val="0"/>
                <w:sz w:val="22"/>
                <w:szCs w:val="22"/>
              </w:rPr>
              <w:t>3.</w:t>
            </w:r>
          </w:p>
        </w:tc>
        <w:tc>
          <w:tcPr>
            <w:tcW w:w="4588" w:type="dxa"/>
          </w:tcPr>
          <w:p w:rsidR="008E00F8" w:rsidRPr="007C0F2C" w:rsidRDefault="008E00F8" w:rsidP="001609A0">
            <w:pPr>
              <w:pStyle w:val="naisf"/>
              <w:spacing w:before="0" w:after="0"/>
              <w:ind w:left="57" w:right="57" w:firstLine="0"/>
              <w:jc w:val="left"/>
            </w:pPr>
            <w:r w:rsidRPr="007C0F2C">
              <w:rPr>
                <w:sz w:val="22"/>
                <w:szCs w:val="22"/>
              </w:rPr>
              <w:t>Projekta izpildes ietekme uz pārvaldes institucionālo struktūru.</w:t>
            </w:r>
          </w:p>
          <w:p w:rsidR="008E00F8" w:rsidRPr="007C0F2C" w:rsidRDefault="008E00F8" w:rsidP="001609A0">
            <w:pPr>
              <w:pStyle w:val="naisf"/>
              <w:spacing w:before="0" w:after="0"/>
              <w:ind w:left="57" w:right="57" w:firstLine="0"/>
              <w:jc w:val="left"/>
            </w:pPr>
            <w:r w:rsidRPr="007C0F2C">
              <w:rPr>
                <w:sz w:val="22"/>
                <w:szCs w:val="22"/>
              </w:rPr>
              <w:t>Jaunu institūciju izveide</w:t>
            </w:r>
          </w:p>
        </w:tc>
        <w:tc>
          <w:tcPr>
            <w:tcW w:w="5302" w:type="dxa"/>
          </w:tcPr>
          <w:p w:rsidR="008E00F8" w:rsidRPr="007C0F2C" w:rsidRDefault="008E00F8" w:rsidP="001609A0">
            <w:pPr>
              <w:pStyle w:val="naisnod"/>
              <w:spacing w:before="0" w:after="0"/>
              <w:ind w:left="57" w:right="57"/>
              <w:jc w:val="left"/>
              <w:rPr>
                <w:b w:val="0"/>
              </w:rPr>
            </w:pPr>
            <w:r>
              <w:rPr>
                <w:b w:val="0"/>
                <w:iCs/>
                <w:sz w:val="22"/>
                <w:szCs w:val="22"/>
              </w:rPr>
              <w:t>Projekts šo jomu neskar</w:t>
            </w:r>
          </w:p>
        </w:tc>
      </w:tr>
      <w:tr w:rsidR="008E00F8" w:rsidRPr="007C0F2C" w:rsidTr="001609A0">
        <w:trPr>
          <w:trHeight w:val="780"/>
        </w:trPr>
        <w:tc>
          <w:tcPr>
            <w:tcW w:w="374" w:type="dxa"/>
          </w:tcPr>
          <w:p w:rsidR="008E00F8" w:rsidRPr="007C0F2C" w:rsidRDefault="008E00F8" w:rsidP="001609A0">
            <w:pPr>
              <w:pStyle w:val="naisnod"/>
              <w:spacing w:before="0" w:after="0"/>
              <w:ind w:left="57" w:right="57"/>
              <w:jc w:val="left"/>
              <w:rPr>
                <w:b w:val="0"/>
              </w:rPr>
            </w:pPr>
            <w:r w:rsidRPr="007C0F2C">
              <w:rPr>
                <w:b w:val="0"/>
                <w:sz w:val="22"/>
                <w:szCs w:val="22"/>
              </w:rPr>
              <w:t>4.</w:t>
            </w:r>
          </w:p>
        </w:tc>
        <w:tc>
          <w:tcPr>
            <w:tcW w:w="4588" w:type="dxa"/>
          </w:tcPr>
          <w:p w:rsidR="008E00F8" w:rsidRPr="007C0F2C" w:rsidRDefault="008E00F8" w:rsidP="001609A0">
            <w:pPr>
              <w:pStyle w:val="naisf"/>
              <w:spacing w:before="0" w:after="0"/>
              <w:ind w:left="57" w:right="57" w:firstLine="0"/>
              <w:jc w:val="left"/>
            </w:pPr>
            <w:r w:rsidRPr="007C0F2C">
              <w:rPr>
                <w:sz w:val="22"/>
                <w:szCs w:val="22"/>
              </w:rPr>
              <w:t>Projekta izpildes ietekme uz pārvaldes institucionālo struktūru.</w:t>
            </w:r>
          </w:p>
          <w:p w:rsidR="008E00F8" w:rsidRPr="007C0F2C" w:rsidRDefault="008E00F8" w:rsidP="001609A0">
            <w:pPr>
              <w:pStyle w:val="naisf"/>
              <w:spacing w:before="0" w:after="0"/>
              <w:ind w:left="57" w:right="57" w:firstLine="0"/>
              <w:jc w:val="left"/>
            </w:pPr>
            <w:r w:rsidRPr="007C0F2C">
              <w:rPr>
                <w:sz w:val="22"/>
                <w:szCs w:val="22"/>
              </w:rPr>
              <w:t>Esošu institūciju likvidācija</w:t>
            </w:r>
          </w:p>
        </w:tc>
        <w:tc>
          <w:tcPr>
            <w:tcW w:w="5302" w:type="dxa"/>
          </w:tcPr>
          <w:p w:rsidR="008E00F8" w:rsidRPr="007C0F2C" w:rsidRDefault="008E00F8" w:rsidP="001609A0">
            <w:pPr>
              <w:pStyle w:val="naisnod"/>
              <w:spacing w:before="0" w:after="0"/>
              <w:ind w:left="57" w:right="57"/>
              <w:jc w:val="left"/>
              <w:rPr>
                <w:b w:val="0"/>
              </w:rPr>
            </w:pPr>
            <w:r>
              <w:rPr>
                <w:b w:val="0"/>
                <w:iCs/>
                <w:sz w:val="22"/>
                <w:szCs w:val="22"/>
              </w:rPr>
              <w:t>Projekts šo jomu neskar</w:t>
            </w:r>
          </w:p>
        </w:tc>
      </w:tr>
      <w:tr w:rsidR="008E00F8" w:rsidRPr="007C0F2C" w:rsidTr="001609A0">
        <w:trPr>
          <w:trHeight w:val="703"/>
        </w:trPr>
        <w:tc>
          <w:tcPr>
            <w:tcW w:w="374" w:type="dxa"/>
          </w:tcPr>
          <w:p w:rsidR="008E00F8" w:rsidRPr="007C0F2C" w:rsidRDefault="008E00F8" w:rsidP="001609A0">
            <w:pPr>
              <w:pStyle w:val="naisnod"/>
              <w:spacing w:before="0" w:after="0"/>
              <w:ind w:left="57" w:right="57"/>
              <w:jc w:val="left"/>
              <w:rPr>
                <w:b w:val="0"/>
              </w:rPr>
            </w:pPr>
            <w:r w:rsidRPr="007C0F2C">
              <w:rPr>
                <w:b w:val="0"/>
                <w:sz w:val="22"/>
                <w:szCs w:val="22"/>
              </w:rPr>
              <w:t>5.</w:t>
            </w:r>
          </w:p>
        </w:tc>
        <w:tc>
          <w:tcPr>
            <w:tcW w:w="4588" w:type="dxa"/>
          </w:tcPr>
          <w:p w:rsidR="008E00F8" w:rsidRPr="007C0F2C" w:rsidRDefault="008E00F8" w:rsidP="001609A0">
            <w:pPr>
              <w:pStyle w:val="naisf"/>
              <w:spacing w:before="0" w:after="0"/>
              <w:ind w:left="57" w:right="57" w:firstLine="0"/>
              <w:jc w:val="left"/>
            </w:pPr>
            <w:r w:rsidRPr="007C0F2C">
              <w:rPr>
                <w:sz w:val="22"/>
                <w:szCs w:val="22"/>
              </w:rPr>
              <w:t>Projekta izpildes ietekme uz pārvaldes institucionālo struktūru.</w:t>
            </w:r>
          </w:p>
          <w:p w:rsidR="008E00F8" w:rsidRPr="007C0F2C" w:rsidRDefault="008E00F8" w:rsidP="001609A0">
            <w:pPr>
              <w:pStyle w:val="naisf"/>
              <w:spacing w:before="0" w:after="0"/>
              <w:ind w:left="57" w:right="57" w:firstLine="0"/>
              <w:jc w:val="left"/>
            </w:pPr>
            <w:r w:rsidRPr="007C0F2C">
              <w:rPr>
                <w:sz w:val="22"/>
                <w:szCs w:val="22"/>
              </w:rPr>
              <w:t>Esošu institūciju reorganizācija</w:t>
            </w:r>
          </w:p>
        </w:tc>
        <w:tc>
          <w:tcPr>
            <w:tcW w:w="5302" w:type="dxa"/>
          </w:tcPr>
          <w:p w:rsidR="008E00F8" w:rsidRPr="007C0F2C" w:rsidRDefault="008E00F8" w:rsidP="001609A0">
            <w:pPr>
              <w:pStyle w:val="naisnod"/>
              <w:spacing w:before="0" w:after="0"/>
              <w:ind w:left="57" w:right="57"/>
              <w:jc w:val="left"/>
              <w:rPr>
                <w:b w:val="0"/>
              </w:rPr>
            </w:pPr>
            <w:r>
              <w:rPr>
                <w:b w:val="0"/>
                <w:iCs/>
                <w:sz w:val="22"/>
                <w:szCs w:val="22"/>
              </w:rPr>
              <w:t>Projekts šo jomu neskar.</w:t>
            </w:r>
          </w:p>
        </w:tc>
      </w:tr>
      <w:tr w:rsidR="008E00F8" w:rsidRPr="007C0F2C" w:rsidTr="001609A0">
        <w:trPr>
          <w:trHeight w:val="476"/>
        </w:trPr>
        <w:tc>
          <w:tcPr>
            <w:tcW w:w="374" w:type="dxa"/>
          </w:tcPr>
          <w:p w:rsidR="008E00F8" w:rsidRPr="007C0F2C" w:rsidRDefault="008E00F8" w:rsidP="001609A0">
            <w:pPr>
              <w:pStyle w:val="naiskr"/>
              <w:spacing w:before="0" w:after="0"/>
              <w:ind w:left="57" w:right="57"/>
            </w:pPr>
            <w:r>
              <w:rPr>
                <w:sz w:val="22"/>
                <w:szCs w:val="22"/>
              </w:rPr>
              <w:t>6</w:t>
            </w:r>
            <w:r w:rsidRPr="007C0F2C">
              <w:rPr>
                <w:sz w:val="22"/>
                <w:szCs w:val="22"/>
              </w:rPr>
              <w:t>.</w:t>
            </w:r>
          </w:p>
        </w:tc>
        <w:tc>
          <w:tcPr>
            <w:tcW w:w="4588" w:type="dxa"/>
          </w:tcPr>
          <w:p w:rsidR="008E00F8" w:rsidRPr="007C0F2C" w:rsidRDefault="008E00F8" w:rsidP="001609A0">
            <w:pPr>
              <w:pStyle w:val="naiskr"/>
              <w:spacing w:before="0" w:after="0"/>
              <w:ind w:left="57" w:right="57"/>
            </w:pPr>
            <w:r w:rsidRPr="007C0F2C">
              <w:rPr>
                <w:sz w:val="22"/>
                <w:szCs w:val="22"/>
              </w:rPr>
              <w:t>Cita informācija</w:t>
            </w:r>
          </w:p>
        </w:tc>
        <w:tc>
          <w:tcPr>
            <w:tcW w:w="5302" w:type="dxa"/>
          </w:tcPr>
          <w:p w:rsidR="008E00F8" w:rsidRPr="007C0F2C" w:rsidRDefault="008E00F8" w:rsidP="001609A0">
            <w:pPr>
              <w:pStyle w:val="naiskr"/>
              <w:spacing w:before="0" w:after="0"/>
              <w:ind w:left="57" w:right="57"/>
            </w:pPr>
            <w:r>
              <w:rPr>
                <w:sz w:val="22"/>
                <w:szCs w:val="22"/>
              </w:rPr>
              <w:t>Nav.</w:t>
            </w:r>
          </w:p>
        </w:tc>
      </w:tr>
    </w:tbl>
    <w:p w:rsidR="008E00F8" w:rsidRPr="007C0F2C" w:rsidRDefault="008E00F8" w:rsidP="005E2928">
      <w:pPr>
        <w:pStyle w:val="naisf"/>
        <w:tabs>
          <w:tab w:val="left" w:pos="5760"/>
        </w:tabs>
        <w:spacing w:before="0" w:after="0"/>
        <w:ind w:firstLine="720"/>
        <w:rPr>
          <w:sz w:val="28"/>
          <w:szCs w:val="28"/>
        </w:rPr>
      </w:pPr>
    </w:p>
    <w:p w:rsidR="008E00F8" w:rsidRPr="007C0F2C" w:rsidRDefault="008E00F8" w:rsidP="005E2928">
      <w:pPr>
        <w:pStyle w:val="naisf"/>
        <w:tabs>
          <w:tab w:val="left" w:pos="5760"/>
        </w:tabs>
        <w:spacing w:before="0" w:after="0"/>
        <w:ind w:firstLine="720"/>
        <w:rPr>
          <w:sz w:val="28"/>
          <w:szCs w:val="28"/>
        </w:rPr>
      </w:pPr>
    </w:p>
    <w:p w:rsidR="008E00F8" w:rsidRPr="007C0F2C" w:rsidRDefault="008E00F8" w:rsidP="005E2928">
      <w:pPr>
        <w:pStyle w:val="naisf"/>
        <w:tabs>
          <w:tab w:val="left" w:pos="6804"/>
        </w:tabs>
        <w:spacing w:before="0" w:after="0"/>
        <w:ind w:firstLine="720"/>
        <w:rPr>
          <w:sz w:val="28"/>
          <w:szCs w:val="28"/>
        </w:rPr>
      </w:pPr>
    </w:p>
    <w:p w:rsidR="008E00F8" w:rsidRDefault="008E00F8" w:rsidP="005E2928">
      <w:pPr>
        <w:pStyle w:val="naisf"/>
        <w:tabs>
          <w:tab w:val="left" w:pos="6804"/>
        </w:tabs>
        <w:spacing w:before="0" w:after="0"/>
        <w:ind w:firstLine="720"/>
        <w:rPr>
          <w:sz w:val="28"/>
          <w:szCs w:val="28"/>
        </w:rPr>
      </w:pPr>
    </w:p>
    <w:p w:rsidR="008E00F8" w:rsidRDefault="008E00F8" w:rsidP="005E2928">
      <w:pPr>
        <w:pStyle w:val="naisf"/>
        <w:tabs>
          <w:tab w:val="left" w:pos="6804"/>
        </w:tabs>
        <w:spacing w:before="0" w:after="0"/>
        <w:ind w:firstLine="720"/>
        <w:rPr>
          <w:sz w:val="28"/>
          <w:szCs w:val="28"/>
        </w:rPr>
      </w:pPr>
      <w:r>
        <w:rPr>
          <w:sz w:val="28"/>
          <w:szCs w:val="28"/>
        </w:rPr>
        <w:t>Ārlietu ministrs</w:t>
      </w:r>
      <w:r w:rsidRPr="007C0F2C">
        <w:rPr>
          <w:sz w:val="28"/>
          <w:szCs w:val="28"/>
        </w:rPr>
        <w:tab/>
      </w:r>
      <w:r>
        <w:rPr>
          <w:sz w:val="28"/>
          <w:szCs w:val="28"/>
        </w:rPr>
        <w:t>E.Rinkēvičs</w:t>
      </w:r>
    </w:p>
    <w:p w:rsidR="008E00F8" w:rsidRDefault="008E00F8" w:rsidP="005E2928">
      <w:pPr>
        <w:pStyle w:val="naisf"/>
        <w:tabs>
          <w:tab w:val="left" w:pos="6804"/>
        </w:tabs>
        <w:spacing w:before="0" w:after="0"/>
        <w:ind w:firstLine="0"/>
        <w:rPr>
          <w:sz w:val="22"/>
          <w:szCs w:val="22"/>
        </w:rPr>
      </w:pPr>
    </w:p>
    <w:p w:rsidR="008E00F8" w:rsidRDefault="008E00F8" w:rsidP="005E2928">
      <w:pPr>
        <w:pStyle w:val="naisf"/>
        <w:tabs>
          <w:tab w:val="left" w:pos="6804"/>
        </w:tabs>
        <w:spacing w:before="0" w:after="0"/>
        <w:ind w:firstLine="0"/>
        <w:rPr>
          <w:sz w:val="22"/>
          <w:szCs w:val="22"/>
        </w:rPr>
      </w:pPr>
    </w:p>
    <w:p w:rsidR="008E00F8" w:rsidRDefault="008E00F8" w:rsidP="005E2928">
      <w:pPr>
        <w:pStyle w:val="naisf"/>
        <w:tabs>
          <w:tab w:val="left" w:pos="6804"/>
        </w:tabs>
        <w:spacing w:before="0" w:after="0"/>
        <w:ind w:firstLine="0"/>
        <w:rPr>
          <w:sz w:val="22"/>
          <w:szCs w:val="22"/>
        </w:rPr>
      </w:pPr>
    </w:p>
    <w:p w:rsidR="008E00F8" w:rsidRDefault="008E00F8" w:rsidP="005E2928">
      <w:pPr>
        <w:pStyle w:val="naisf"/>
        <w:tabs>
          <w:tab w:val="left" w:pos="6804"/>
        </w:tabs>
        <w:spacing w:before="0" w:after="0"/>
        <w:ind w:firstLine="0"/>
        <w:rPr>
          <w:sz w:val="22"/>
          <w:szCs w:val="22"/>
        </w:rPr>
      </w:pPr>
    </w:p>
    <w:p w:rsidR="008E00F8" w:rsidRDefault="008E00F8" w:rsidP="005E2928">
      <w:pPr>
        <w:pStyle w:val="naisf"/>
        <w:tabs>
          <w:tab w:val="left" w:pos="6804"/>
        </w:tabs>
        <w:spacing w:before="0" w:after="0"/>
        <w:ind w:firstLine="0"/>
        <w:rPr>
          <w:sz w:val="22"/>
          <w:szCs w:val="22"/>
        </w:rPr>
      </w:pPr>
    </w:p>
    <w:p w:rsidR="008E00F8" w:rsidRDefault="008E00F8" w:rsidP="005E2928">
      <w:pPr>
        <w:pStyle w:val="naisf"/>
        <w:tabs>
          <w:tab w:val="left" w:pos="6804"/>
        </w:tabs>
        <w:spacing w:before="0" w:after="0"/>
        <w:ind w:firstLine="0"/>
        <w:rPr>
          <w:sz w:val="22"/>
          <w:szCs w:val="22"/>
        </w:rPr>
      </w:pPr>
    </w:p>
    <w:p w:rsidR="008E00F8" w:rsidRDefault="008E00F8" w:rsidP="005E2928">
      <w:pPr>
        <w:pStyle w:val="naisf"/>
        <w:tabs>
          <w:tab w:val="left" w:pos="6804"/>
        </w:tabs>
        <w:spacing w:before="0" w:after="0"/>
        <w:ind w:firstLine="0"/>
        <w:rPr>
          <w:sz w:val="22"/>
          <w:szCs w:val="22"/>
        </w:rPr>
      </w:pPr>
    </w:p>
    <w:p w:rsidR="008E00F8" w:rsidRDefault="008E00F8" w:rsidP="005E2928">
      <w:pPr>
        <w:pStyle w:val="naisf"/>
        <w:tabs>
          <w:tab w:val="left" w:pos="6804"/>
        </w:tabs>
        <w:spacing w:before="0" w:after="0"/>
        <w:ind w:firstLine="0"/>
        <w:rPr>
          <w:sz w:val="22"/>
          <w:szCs w:val="22"/>
        </w:rPr>
      </w:pPr>
    </w:p>
    <w:p w:rsidR="008E00F8" w:rsidRDefault="008E00F8" w:rsidP="005E2928">
      <w:pPr>
        <w:pStyle w:val="naisf"/>
        <w:tabs>
          <w:tab w:val="left" w:pos="6804"/>
        </w:tabs>
        <w:spacing w:before="0" w:after="0"/>
        <w:ind w:firstLine="0"/>
        <w:rPr>
          <w:sz w:val="22"/>
          <w:szCs w:val="22"/>
        </w:rPr>
      </w:pPr>
    </w:p>
    <w:p w:rsidR="008E00F8" w:rsidRDefault="008E00F8" w:rsidP="005E2928">
      <w:pPr>
        <w:pStyle w:val="naisf"/>
        <w:tabs>
          <w:tab w:val="left" w:pos="6804"/>
        </w:tabs>
        <w:spacing w:before="0" w:after="0"/>
        <w:ind w:firstLine="0"/>
        <w:rPr>
          <w:sz w:val="22"/>
          <w:szCs w:val="22"/>
        </w:rPr>
      </w:pPr>
    </w:p>
    <w:p w:rsidR="008E00F8" w:rsidRDefault="008E00F8" w:rsidP="005E2928">
      <w:pPr>
        <w:pStyle w:val="naisf"/>
        <w:tabs>
          <w:tab w:val="left" w:pos="6804"/>
        </w:tabs>
        <w:spacing w:before="0" w:after="0"/>
        <w:ind w:firstLine="0"/>
        <w:rPr>
          <w:sz w:val="22"/>
          <w:szCs w:val="22"/>
        </w:rPr>
      </w:pPr>
    </w:p>
    <w:p w:rsidR="008E00F8" w:rsidRDefault="008E00F8" w:rsidP="005E2928">
      <w:pPr>
        <w:pStyle w:val="naisf"/>
        <w:tabs>
          <w:tab w:val="left" w:pos="6804"/>
        </w:tabs>
        <w:spacing w:before="0" w:after="0"/>
        <w:ind w:firstLine="0"/>
        <w:rPr>
          <w:sz w:val="22"/>
          <w:szCs w:val="22"/>
        </w:rPr>
      </w:pPr>
    </w:p>
    <w:p w:rsidR="008E00F8" w:rsidRDefault="008E00F8" w:rsidP="005E2928">
      <w:pPr>
        <w:pStyle w:val="naisf"/>
        <w:tabs>
          <w:tab w:val="left" w:pos="6804"/>
        </w:tabs>
        <w:spacing w:before="0" w:after="0"/>
        <w:ind w:firstLine="0"/>
        <w:rPr>
          <w:sz w:val="22"/>
          <w:szCs w:val="22"/>
        </w:rPr>
      </w:pPr>
    </w:p>
    <w:p w:rsidR="008E00F8" w:rsidRDefault="008E00F8" w:rsidP="005E2928">
      <w:pPr>
        <w:pStyle w:val="naisf"/>
        <w:tabs>
          <w:tab w:val="left" w:pos="6804"/>
        </w:tabs>
        <w:spacing w:before="0" w:after="0"/>
        <w:ind w:firstLine="0"/>
        <w:rPr>
          <w:sz w:val="22"/>
          <w:szCs w:val="22"/>
        </w:rPr>
      </w:pPr>
    </w:p>
    <w:p w:rsidR="008E00F8" w:rsidRDefault="008E00F8" w:rsidP="005E2928">
      <w:pPr>
        <w:pStyle w:val="naisf"/>
        <w:tabs>
          <w:tab w:val="left" w:pos="6804"/>
        </w:tabs>
        <w:spacing w:before="0" w:after="0"/>
        <w:ind w:firstLine="0"/>
        <w:rPr>
          <w:sz w:val="22"/>
          <w:szCs w:val="22"/>
        </w:rPr>
      </w:pPr>
      <w:r>
        <w:rPr>
          <w:sz w:val="22"/>
          <w:szCs w:val="22"/>
        </w:rPr>
        <w:t>12.10.2012  15.00</w:t>
      </w:r>
    </w:p>
    <w:p w:rsidR="008E00F8" w:rsidRDefault="008E00F8" w:rsidP="005E2928">
      <w:pPr>
        <w:pStyle w:val="naisf"/>
        <w:tabs>
          <w:tab w:val="left" w:pos="6804"/>
        </w:tabs>
        <w:spacing w:before="0" w:after="0"/>
        <w:ind w:firstLine="0"/>
        <w:rPr>
          <w:sz w:val="22"/>
          <w:szCs w:val="22"/>
        </w:rPr>
      </w:pPr>
      <w:r>
        <w:rPr>
          <w:sz w:val="22"/>
          <w:szCs w:val="22"/>
        </w:rPr>
        <w:t>713</w:t>
      </w:r>
    </w:p>
    <w:p w:rsidR="008E00F8" w:rsidRDefault="008E00F8" w:rsidP="005E2928">
      <w:pPr>
        <w:pStyle w:val="naisf"/>
        <w:tabs>
          <w:tab w:val="left" w:pos="6804"/>
        </w:tabs>
        <w:spacing w:before="0" w:after="0"/>
        <w:ind w:firstLine="0"/>
        <w:rPr>
          <w:sz w:val="22"/>
          <w:szCs w:val="22"/>
        </w:rPr>
      </w:pPr>
      <w:r>
        <w:rPr>
          <w:sz w:val="22"/>
          <w:szCs w:val="22"/>
        </w:rPr>
        <w:t>L.Lenkeviča</w:t>
      </w:r>
    </w:p>
    <w:p w:rsidR="008E00F8" w:rsidRPr="00481F71" w:rsidRDefault="008E00F8" w:rsidP="005E2928">
      <w:pPr>
        <w:rPr>
          <w:sz w:val="22"/>
          <w:szCs w:val="22"/>
        </w:rPr>
      </w:pPr>
      <w:r>
        <w:rPr>
          <w:sz w:val="22"/>
          <w:szCs w:val="22"/>
        </w:rPr>
        <w:t>67016489, lolita.lenkevica@mfa.gov.lv</w:t>
      </w:r>
    </w:p>
    <w:p w:rsidR="008E00F8" w:rsidRDefault="008E00F8"/>
    <w:sectPr w:rsidR="008E00F8" w:rsidSect="00C31E36">
      <w:headerReference w:type="even" r:id="rId6"/>
      <w:headerReference w:type="default" r:id="rId7"/>
      <w:footerReference w:type="default" r:id="rId8"/>
      <w:footerReference w:type="first" r:id="rId9"/>
      <w:pgSz w:w="11906" w:h="16838" w:code="9"/>
      <w:pgMar w:top="1134"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00F8" w:rsidRDefault="008E00F8" w:rsidP="00BB1911">
      <w:r>
        <w:separator/>
      </w:r>
    </w:p>
  </w:endnote>
  <w:endnote w:type="continuationSeparator" w:id="0">
    <w:p w:rsidR="008E00F8" w:rsidRDefault="008E00F8" w:rsidP="00BB1911">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Arial">
    <w:panose1 w:val="020B0604020202020204"/>
    <w:charset w:val="BA"/>
    <w:family w:val="swiss"/>
    <w:pitch w:val="variable"/>
    <w:sig w:usb0="20002A87" w:usb1="80000000" w:usb2="00000008" w:usb3="00000000" w:csb0="000001FF" w:csb1="00000000"/>
  </w:font>
  <w:font w:name="Tahoma">
    <w:altName w:val="Lucidasans"/>
    <w:panose1 w:val="020B0604030504040204"/>
    <w:charset w:val="BA"/>
    <w:family w:val="swiss"/>
    <w:pitch w:val="variable"/>
    <w:sig w:usb0="61002A87" w:usb1="80000000" w:usb2="00000008" w:usb3="00000000" w:csb0="000101FF" w:csb1="00000000"/>
  </w:font>
  <w:font w:name="Cambria">
    <w:panose1 w:val="02040503050406030204"/>
    <w:charset w:val="BA"/>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0F8" w:rsidRPr="002F3EE4" w:rsidRDefault="008E00F8" w:rsidP="002F3EE4">
    <w:pPr>
      <w:jc w:val="both"/>
      <w:rPr>
        <w:bCs/>
        <w:sz w:val="20"/>
        <w:szCs w:val="20"/>
      </w:rPr>
    </w:pPr>
    <w:r>
      <w:rPr>
        <w:sz w:val="20"/>
      </w:rPr>
      <w:t xml:space="preserve">AMAnot_Not_09082012_EDF_Statuti; </w:t>
    </w:r>
    <w:r w:rsidRPr="002F3EE4">
      <w:rPr>
        <w:bCs/>
        <w:sz w:val="20"/>
        <w:szCs w:val="20"/>
      </w:rPr>
      <w:t xml:space="preserve">Ministru kabineta noteikumu projekta „Par Eiropas Demokrātijas fonda statūtiem” </w:t>
    </w:r>
    <w:r w:rsidRPr="002F3EE4">
      <w:rPr>
        <w:sz w:val="20"/>
        <w:szCs w:val="20"/>
      </w:rPr>
      <w:t xml:space="preserve">sākotnējās ietekmes novērtējuma </w:t>
    </w:r>
    <w:smartTag w:uri="schemas-tilde-lv/tildestengine" w:element="veidnes">
      <w:smartTagPr>
        <w:attr w:name="text" w:val="ziņojums"/>
        <w:attr w:name="baseform" w:val="ziņojums"/>
        <w:attr w:name="id" w:val="-1"/>
      </w:smartTagPr>
      <w:r w:rsidRPr="002F3EE4">
        <w:rPr>
          <w:sz w:val="20"/>
          <w:szCs w:val="20"/>
        </w:rPr>
        <w:t>ziņojums</w:t>
      </w:r>
    </w:smartTag>
    <w:r w:rsidRPr="002F3EE4">
      <w:rPr>
        <w:sz w:val="20"/>
        <w:szCs w:val="20"/>
      </w:rPr>
      <w:t xml:space="preserve"> (anotācija)</w:t>
    </w:r>
  </w:p>
  <w:p w:rsidR="008E00F8" w:rsidRPr="009725A1" w:rsidRDefault="008E00F8" w:rsidP="009725A1">
    <w:pPr>
      <w:pStyle w:val="Footer"/>
      <w:jc w:val="both"/>
      <w:rPr>
        <w:szCs w:val="16"/>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0F8" w:rsidRPr="002F3EE4" w:rsidRDefault="008E00F8" w:rsidP="002F3EE4">
    <w:pPr>
      <w:jc w:val="both"/>
      <w:rPr>
        <w:bCs/>
        <w:sz w:val="20"/>
        <w:szCs w:val="20"/>
      </w:rPr>
    </w:pPr>
    <w:r w:rsidRPr="002F3EE4">
      <w:rPr>
        <w:sz w:val="20"/>
        <w:szCs w:val="20"/>
      </w:rPr>
      <w:t xml:space="preserve">AMAnot_Not_09082012_EDF_Statuti; </w:t>
    </w:r>
    <w:r w:rsidRPr="002F3EE4">
      <w:rPr>
        <w:bCs/>
        <w:sz w:val="20"/>
        <w:szCs w:val="20"/>
      </w:rPr>
      <w:t xml:space="preserve">Ministru kabineta noteikumu projekta„Par Eiropas Demokrātijas fonda statūtiem” </w:t>
    </w:r>
    <w:r w:rsidRPr="002F3EE4">
      <w:rPr>
        <w:sz w:val="20"/>
        <w:szCs w:val="20"/>
      </w:rPr>
      <w:t xml:space="preserve">sākotnējās ietekmes novērtējuma </w:t>
    </w:r>
    <w:smartTag w:uri="schemas-tilde-lv/tildestengine" w:element="veidnes">
      <w:smartTagPr>
        <w:attr w:name="text" w:val="ziņojums"/>
        <w:attr w:name="baseform" w:val="ziņojums"/>
        <w:attr w:name="id" w:val="-1"/>
      </w:smartTagPr>
      <w:r w:rsidRPr="002F3EE4">
        <w:rPr>
          <w:sz w:val="20"/>
          <w:szCs w:val="20"/>
        </w:rPr>
        <w:t>ziņojums</w:t>
      </w:r>
    </w:smartTag>
    <w:r w:rsidRPr="002F3EE4">
      <w:rPr>
        <w:sz w:val="20"/>
        <w:szCs w:val="20"/>
      </w:rPr>
      <w:t xml:space="preserve"> (anotācija)</w:t>
    </w:r>
  </w:p>
  <w:p w:rsidR="008E00F8" w:rsidRPr="002F3EE4" w:rsidRDefault="008E00F8" w:rsidP="002F3EE4">
    <w:pPr>
      <w:pStyle w:val="Footer"/>
      <w:jc w:val="both"/>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00F8" w:rsidRDefault="008E00F8" w:rsidP="00BB1911">
      <w:r>
        <w:separator/>
      </w:r>
    </w:p>
  </w:footnote>
  <w:footnote w:type="continuationSeparator" w:id="0">
    <w:p w:rsidR="008E00F8" w:rsidRDefault="008E00F8" w:rsidP="00BB191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0F8" w:rsidRDefault="008E00F8"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E00F8" w:rsidRDefault="008E00F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00F8" w:rsidRDefault="008E00F8"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8E00F8" w:rsidRDefault="008E00F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trackRevision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E2928"/>
    <w:rsid w:val="000078B7"/>
    <w:rsid w:val="000120B4"/>
    <w:rsid w:val="00044F51"/>
    <w:rsid w:val="000927B9"/>
    <w:rsid w:val="000A1FC4"/>
    <w:rsid w:val="00102C37"/>
    <w:rsid w:val="00116004"/>
    <w:rsid w:val="00117C6F"/>
    <w:rsid w:val="00124F58"/>
    <w:rsid w:val="001264A4"/>
    <w:rsid w:val="001529B5"/>
    <w:rsid w:val="001609A0"/>
    <w:rsid w:val="0016158C"/>
    <w:rsid w:val="00166F0B"/>
    <w:rsid w:val="00171D7C"/>
    <w:rsid w:val="00171F25"/>
    <w:rsid w:val="00194421"/>
    <w:rsid w:val="001B1D31"/>
    <w:rsid w:val="001F1329"/>
    <w:rsid w:val="002057A6"/>
    <w:rsid w:val="00232E5F"/>
    <w:rsid w:val="00245324"/>
    <w:rsid w:val="002477B3"/>
    <w:rsid w:val="00255083"/>
    <w:rsid w:val="002550F1"/>
    <w:rsid w:val="00256014"/>
    <w:rsid w:val="00266FBF"/>
    <w:rsid w:val="00290124"/>
    <w:rsid w:val="002A5FE1"/>
    <w:rsid w:val="002B1BA3"/>
    <w:rsid w:val="002C0162"/>
    <w:rsid w:val="002F3EE4"/>
    <w:rsid w:val="00305381"/>
    <w:rsid w:val="00307B07"/>
    <w:rsid w:val="003703D8"/>
    <w:rsid w:val="0037529A"/>
    <w:rsid w:val="003C449B"/>
    <w:rsid w:val="003D25FD"/>
    <w:rsid w:val="003E7D91"/>
    <w:rsid w:val="003F1290"/>
    <w:rsid w:val="0040547C"/>
    <w:rsid w:val="00454534"/>
    <w:rsid w:val="00454C44"/>
    <w:rsid w:val="00455576"/>
    <w:rsid w:val="00481F71"/>
    <w:rsid w:val="004D0655"/>
    <w:rsid w:val="005144BB"/>
    <w:rsid w:val="005230FC"/>
    <w:rsid w:val="00526608"/>
    <w:rsid w:val="005451B1"/>
    <w:rsid w:val="00555E19"/>
    <w:rsid w:val="005712BE"/>
    <w:rsid w:val="005C1C6F"/>
    <w:rsid w:val="005E2928"/>
    <w:rsid w:val="006079CB"/>
    <w:rsid w:val="006130AC"/>
    <w:rsid w:val="00637026"/>
    <w:rsid w:val="006474EA"/>
    <w:rsid w:val="006600FF"/>
    <w:rsid w:val="0067003C"/>
    <w:rsid w:val="00675C30"/>
    <w:rsid w:val="006F3729"/>
    <w:rsid w:val="00711F59"/>
    <w:rsid w:val="007535BD"/>
    <w:rsid w:val="007C0F2C"/>
    <w:rsid w:val="008139B5"/>
    <w:rsid w:val="0086477D"/>
    <w:rsid w:val="00870F7D"/>
    <w:rsid w:val="00880472"/>
    <w:rsid w:val="0088105F"/>
    <w:rsid w:val="008B6AA8"/>
    <w:rsid w:val="008D022B"/>
    <w:rsid w:val="008E00F8"/>
    <w:rsid w:val="009303A9"/>
    <w:rsid w:val="009333FC"/>
    <w:rsid w:val="0095638A"/>
    <w:rsid w:val="00957260"/>
    <w:rsid w:val="00963895"/>
    <w:rsid w:val="009725A1"/>
    <w:rsid w:val="009837A9"/>
    <w:rsid w:val="009912E5"/>
    <w:rsid w:val="009B6B13"/>
    <w:rsid w:val="009C59C9"/>
    <w:rsid w:val="009D579D"/>
    <w:rsid w:val="009E5E3E"/>
    <w:rsid w:val="00A0178E"/>
    <w:rsid w:val="00A0310B"/>
    <w:rsid w:val="00A148F2"/>
    <w:rsid w:val="00A23A7F"/>
    <w:rsid w:val="00A45E49"/>
    <w:rsid w:val="00A824C8"/>
    <w:rsid w:val="00A8495C"/>
    <w:rsid w:val="00AB4502"/>
    <w:rsid w:val="00AE66AE"/>
    <w:rsid w:val="00AF16EE"/>
    <w:rsid w:val="00AF253C"/>
    <w:rsid w:val="00AF544C"/>
    <w:rsid w:val="00BA3C4F"/>
    <w:rsid w:val="00BA6228"/>
    <w:rsid w:val="00BB1911"/>
    <w:rsid w:val="00C20B9F"/>
    <w:rsid w:val="00C22A46"/>
    <w:rsid w:val="00C31E36"/>
    <w:rsid w:val="00C4773A"/>
    <w:rsid w:val="00C72731"/>
    <w:rsid w:val="00CB2641"/>
    <w:rsid w:val="00D253A6"/>
    <w:rsid w:val="00DD5780"/>
    <w:rsid w:val="00DD5EC2"/>
    <w:rsid w:val="00E31608"/>
    <w:rsid w:val="00E60202"/>
    <w:rsid w:val="00E620C3"/>
    <w:rsid w:val="00E82729"/>
    <w:rsid w:val="00ED5898"/>
    <w:rsid w:val="00EF2727"/>
    <w:rsid w:val="00F0117C"/>
    <w:rsid w:val="00F31EE0"/>
    <w:rsid w:val="00F73B61"/>
    <w:rsid w:val="00FC4605"/>
  </w:rsids>
  <m:mathPr>
    <m:mathFont m:val="Cambria Math"/>
    <m:brkBin m:val="before"/>
    <m:brkBinSub m:val="--"/>
    <m:smallFrac m:val="off"/>
    <m:dispDef/>
    <m:lMargin m:val="0"/>
    <m:rMargin m:val="0"/>
    <m:defJc m:val="centerGroup"/>
    <m:wrapIndent m:val="1440"/>
    <m:intLim m:val="subSup"/>
    <m:naryLim m:val="undOvr"/>
  </m:mathPr>
  <w:uiCompat97To2003/>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928"/>
    <w:rPr>
      <w:sz w:val="24"/>
      <w:szCs w:val="24"/>
    </w:rPr>
  </w:style>
  <w:style w:type="paragraph" w:styleId="Heading4">
    <w:name w:val="heading 4"/>
    <w:basedOn w:val="Normal"/>
    <w:next w:val="Normal"/>
    <w:link w:val="Heading4Char"/>
    <w:uiPriority w:val="99"/>
    <w:qFormat/>
    <w:rsid w:val="009D579D"/>
    <w:pPr>
      <w:keepNext/>
      <w:jc w:val="center"/>
      <w:outlineLvl w:val="3"/>
    </w:pPr>
    <w:rPr>
      <w:b/>
      <w:bCs/>
      <w:sz w:val="28"/>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5144BB"/>
    <w:rPr>
      <w:rFonts w:ascii="Calibri" w:hAnsi="Calibri" w:cs="Times New Roman"/>
      <w:b/>
      <w:bCs/>
      <w:sz w:val="28"/>
      <w:szCs w:val="28"/>
    </w:rPr>
  </w:style>
  <w:style w:type="paragraph" w:styleId="Header">
    <w:name w:val="header"/>
    <w:basedOn w:val="Normal"/>
    <w:link w:val="HeaderChar"/>
    <w:uiPriority w:val="99"/>
    <w:rsid w:val="005E2928"/>
    <w:pPr>
      <w:tabs>
        <w:tab w:val="center" w:pos="4153"/>
        <w:tab w:val="right" w:pos="8306"/>
      </w:tabs>
    </w:pPr>
  </w:style>
  <w:style w:type="character" w:customStyle="1" w:styleId="HeaderChar">
    <w:name w:val="Header Char"/>
    <w:basedOn w:val="DefaultParagraphFont"/>
    <w:link w:val="Header"/>
    <w:uiPriority w:val="99"/>
    <w:semiHidden/>
    <w:locked/>
    <w:rsid w:val="005144BB"/>
    <w:rPr>
      <w:rFonts w:cs="Times New Roman"/>
      <w:sz w:val="24"/>
      <w:szCs w:val="24"/>
    </w:rPr>
  </w:style>
  <w:style w:type="character" w:styleId="PageNumber">
    <w:name w:val="page number"/>
    <w:basedOn w:val="DefaultParagraphFont"/>
    <w:uiPriority w:val="99"/>
    <w:rsid w:val="005E2928"/>
    <w:rPr>
      <w:rFonts w:cs="Times New Roman"/>
    </w:rPr>
  </w:style>
  <w:style w:type="paragraph" w:customStyle="1" w:styleId="naisf">
    <w:name w:val="naisf"/>
    <w:basedOn w:val="Normal"/>
    <w:uiPriority w:val="99"/>
    <w:rsid w:val="005E2928"/>
    <w:pPr>
      <w:spacing w:before="75" w:after="75"/>
      <w:ind w:firstLine="375"/>
      <w:jc w:val="both"/>
    </w:pPr>
  </w:style>
  <w:style w:type="paragraph" w:customStyle="1" w:styleId="naisnod">
    <w:name w:val="naisnod"/>
    <w:basedOn w:val="Normal"/>
    <w:uiPriority w:val="99"/>
    <w:rsid w:val="005E2928"/>
    <w:pPr>
      <w:spacing w:before="150" w:after="150"/>
      <w:jc w:val="center"/>
    </w:pPr>
    <w:rPr>
      <w:b/>
      <w:bCs/>
    </w:rPr>
  </w:style>
  <w:style w:type="paragraph" w:customStyle="1" w:styleId="naislab">
    <w:name w:val="naislab"/>
    <w:basedOn w:val="Normal"/>
    <w:uiPriority w:val="99"/>
    <w:rsid w:val="005E2928"/>
    <w:pPr>
      <w:spacing w:before="75" w:after="75"/>
      <w:jc w:val="right"/>
    </w:pPr>
  </w:style>
  <w:style w:type="paragraph" w:customStyle="1" w:styleId="naiskr">
    <w:name w:val="naiskr"/>
    <w:basedOn w:val="Normal"/>
    <w:uiPriority w:val="99"/>
    <w:rsid w:val="005E2928"/>
    <w:pPr>
      <w:spacing w:before="75" w:after="75"/>
    </w:pPr>
  </w:style>
  <w:style w:type="paragraph" w:styleId="FootnoteText">
    <w:name w:val="footnote text"/>
    <w:basedOn w:val="Normal"/>
    <w:link w:val="FootnoteTextChar"/>
    <w:uiPriority w:val="99"/>
    <w:semiHidden/>
    <w:rsid w:val="005E2928"/>
    <w:rPr>
      <w:sz w:val="20"/>
      <w:szCs w:val="20"/>
    </w:rPr>
  </w:style>
  <w:style w:type="character" w:customStyle="1" w:styleId="FootnoteTextChar">
    <w:name w:val="Footnote Text Char"/>
    <w:basedOn w:val="DefaultParagraphFont"/>
    <w:link w:val="FootnoteText"/>
    <w:uiPriority w:val="99"/>
    <w:semiHidden/>
    <w:locked/>
    <w:rsid w:val="005144BB"/>
    <w:rPr>
      <w:rFonts w:cs="Times New Roman"/>
      <w:sz w:val="20"/>
      <w:szCs w:val="20"/>
    </w:rPr>
  </w:style>
  <w:style w:type="paragraph" w:styleId="Footer">
    <w:name w:val="footer"/>
    <w:basedOn w:val="Normal"/>
    <w:link w:val="FooterChar1"/>
    <w:uiPriority w:val="99"/>
    <w:rsid w:val="005E2928"/>
    <w:pPr>
      <w:tabs>
        <w:tab w:val="center" w:pos="4153"/>
        <w:tab w:val="right" w:pos="8306"/>
      </w:tabs>
    </w:pPr>
    <w:rPr>
      <w:szCs w:val="20"/>
    </w:rPr>
  </w:style>
  <w:style w:type="character" w:customStyle="1" w:styleId="FooterChar">
    <w:name w:val="Footer Char"/>
    <w:basedOn w:val="DefaultParagraphFont"/>
    <w:link w:val="Footer"/>
    <w:uiPriority w:val="99"/>
    <w:semiHidden/>
    <w:locked/>
    <w:rsid w:val="005144BB"/>
    <w:rPr>
      <w:rFonts w:cs="Times New Roman"/>
      <w:sz w:val="24"/>
      <w:szCs w:val="24"/>
    </w:rPr>
  </w:style>
  <w:style w:type="character" w:customStyle="1" w:styleId="FooterChar1">
    <w:name w:val="Footer Char1"/>
    <w:link w:val="Footer"/>
    <w:uiPriority w:val="99"/>
    <w:semiHidden/>
    <w:locked/>
    <w:rsid w:val="005E2928"/>
    <w:rPr>
      <w:sz w:val="24"/>
      <w:lang w:val="lv-LV" w:eastAsia="lv-LV"/>
    </w:rPr>
  </w:style>
  <w:style w:type="paragraph" w:customStyle="1" w:styleId="tvhtml">
    <w:name w:val="tv_html"/>
    <w:basedOn w:val="Normal"/>
    <w:uiPriority w:val="99"/>
    <w:rsid w:val="005E2928"/>
    <w:pPr>
      <w:spacing w:before="100" w:beforeAutospacing="1" w:after="100" w:afterAutospacing="1"/>
    </w:pPr>
    <w:rPr>
      <w:lang w:val="en-US" w:eastAsia="en-US"/>
    </w:rPr>
  </w:style>
  <w:style w:type="character" w:customStyle="1" w:styleId="EmailStyle29">
    <w:name w:val="EmailStyle29"/>
    <w:basedOn w:val="DefaultParagraphFont"/>
    <w:uiPriority w:val="99"/>
    <w:semiHidden/>
    <w:rsid w:val="005451B1"/>
    <w:rPr>
      <w:rFonts w:ascii="Arial" w:hAnsi="Arial" w:cs="Arial"/>
      <w:color w:val="000080"/>
      <w:sz w:val="20"/>
      <w:szCs w:val="20"/>
    </w:rPr>
  </w:style>
  <w:style w:type="character" w:styleId="Hyperlink">
    <w:name w:val="Hyperlink"/>
    <w:basedOn w:val="DefaultParagraphFont"/>
    <w:uiPriority w:val="99"/>
    <w:semiHidden/>
    <w:rsid w:val="00CB2641"/>
    <w:rPr>
      <w:rFonts w:cs="Times New Roman"/>
      <w:color w:val="0000FF"/>
      <w:u w:val="single"/>
    </w:rPr>
  </w:style>
  <w:style w:type="paragraph" w:styleId="CommentText">
    <w:name w:val="annotation text"/>
    <w:basedOn w:val="Normal"/>
    <w:link w:val="CommentTextChar"/>
    <w:uiPriority w:val="99"/>
    <w:semiHidden/>
    <w:rsid w:val="00CB2641"/>
    <w:rPr>
      <w:sz w:val="20"/>
      <w:szCs w:val="20"/>
      <w:lang w:val="en-GB" w:eastAsia="en-US"/>
    </w:rPr>
  </w:style>
  <w:style w:type="character" w:customStyle="1" w:styleId="CommentTextChar">
    <w:name w:val="Comment Text Char"/>
    <w:basedOn w:val="DefaultParagraphFont"/>
    <w:link w:val="CommentText"/>
    <w:uiPriority w:val="99"/>
    <w:semiHidden/>
    <w:locked/>
    <w:rsid w:val="005144BB"/>
    <w:rPr>
      <w:rFonts w:cs="Times New Roman"/>
      <w:sz w:val="20"/>
      <w:szCs w:val="20"/>
    </w:rPr>
  </w:style>
  <w:style w:type="paragraph" w:styleId="BalloonText">
    <w:name w:val="Balloon Text"/>
    <w:basedOn w:val="Normal"/>
    <w:link w:val="BalloonTextChar"/>
    <w:uiPriority w:val="99"/>
    <w:semiHidden/>
    <w:rsid w:val="009572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D5EC2"/>
    <w:rPr>
      <w:rFonts w:cs="Times New Roman"/>
      <w:sz w:val="2"/>
    </w:rPr>
  </w:style>
  <w:style w:type="paragraph" w:customStyle="1" w:styleId="naisc">
    <w:name w:val="naisc"/>
    <w:basedOn w:val="Normal"/>
    <w:uiPriority w:val="99"/>
    <w:rsid w:val="00F0117C"/>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90783863">
      <w:marLeft w:val="0"/>
      <w:marRight w:val="0"/>
      <w:marTop w:val="0"/>
      <w:marBottom w:val="0"/>
      <w:divBdr>
        <w:top w:val="none" w:sz="0" w:space="0" w:color="auto"/>
        <w:left w:val="none" w:sz="0" w:space="0" w:color="auto"/>
        <w:bottom w:val="none" w:sz="0" w:space="0" w:color="auto"/>
        <w:right w:val="none" w:sz="0" w:space="0" w:color="auto"/>
      </w:divBdr>
    </w:div>
    <w:div w:id="17907838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4</Pages>
  <Words>713</Words>
  <Characters>4794</Characters>
  <Application>Microsoft Office Outlook</Application>
  <DocSecurity>0</DocSecurity>
  <Lines>0</Lines>
  <Paragraphs>0</Paragraphs>
  <ScaleCrop>false</ScaleCrop>
  <Company>MFA Latvia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
  <dc:creator>ll502</dc:creator>
  <cp:keywords/>
  <dc:description/>
  <cp:lastModifiedBy>ll502</cp:lastModifiedBy>
  <cp:revision>3</cp:revision>
  <cp:lastPrinted>2012-10-12T11:04:00Z</cp:lastPrinted>
  <dcterms:created xsi:type="dcterms:W3CDTF">2012-10-12T10:39:00Z</dcterms:created>
  <dcterms:modified xsi:type="dcterms:W3CDTF">2012-10-12T11:08:00Z</dcterms:modified>
</cp:coreProperties>
</file>