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307" w:rsidRDefault="00E54307" w:rsidP="00E54307">
      <w:pPr>
        <w:pStyle w:val="naislab"/>
        <w:spacing w:before="0" w:after="0"/>
        <w:jc w:val="center"/>
        <w:outlineLvl w:val="0"/>
        <w:rPr>
          <w:b/>
          <w:sz w:val="28"/>
          <w:szCs w:val="28"/>
        </w:rPr>
      </w:pPr>
      <w:bookmarkStart w:id="0" w:name="_GoBack"/>
      <w:bookmarkEnd w:id="0"/>
      <w:r>
        <w:rPr>
          <w:b/>
          <w:sz w:val="28"/>
          <w:szCs w:val="28"/>
        </w:rPr>
        <w:t>Likumprojekta</w:t>
      </w:r>
      <w:r w:rsidRPr="00187BEC">
        <w:rPr>
          <w:b/>
          <w:bCs/>
          <w:sz w:val="28"/>
          <w:szCs w:val="28"/>
        </w:rPr>
        <w:t xml:space="preserve"> </w:t>
      </w:r>
      <w:r>
        <w:rPr>
          <w:b/>
          <w:bCs/>
          <w:sz w:val="28"/>
          <w:szCs w:val="28"/>
        </w:rPr>
        <w:t>„</w:t>
      </w:r>
      <w:r w:rsidRPr="00187BEC">
        <w:rPr>
          <w:b/>
          <w:bCs/>
          <w:sz w:val="28"/>
          <w:szCs w:val="28"/>
        </w:rPr>
        <w:t>P</w:t>
      </w:r>
      <w:r>
        <w:rPr>
          <w:b/>
          <w:bCs/>
          <w:sz w:val="28"/>
          <w:szCs w:val="28"/>
        </w:rPr>
        <w:t>ar Padomē sanākušo Eiropas Savienības dalībvalstu</w:t>
      </w:r>
      <w:r w:rsidRPr="00187BEC">
        <w:rPr>
          <w:b/>
          <w:bCs/>
          <w:sz w:val="28"/>
          <w:szCs w:val="28"/>
        </w:rPr>
        <w:t xml:space="preserve"> </w:t>
      </w:r>
      <w:r>
        <w:rPr>
          <w:b/>
          <w:bCs/>
          <w:sz w:val="28"/>
          <w:szCs w:val="28"/>
        </w:rPr>
        <w:t>valdību pārstāvju Iekšējo nolīgumu par Eiropas Savienības palīdzības finansēšanu atbilstīgi daudzgadu finanšu shēmai laika posmam no 2014.gada līdz 2020.gadam</w:t>
      </w:r>
      <w:r w:rsidRPr="00187BEC">
        <w:rPr>
          <w:b/>
          <w:bCs/>
          <w:sz w:val="28"/>
          <w:szCs w:val="28"/>
        </w:rPr>
        <w:t xml:space="preserve"> </w:t>
      </w:r>
      <w:r>
        <w:rPr>
          <w:b/>
          <w:bCs/>
          <w:sz w:val="28"/>
          <w:szCs w:val="28"/>
        </w:rPr>
        <w:t xml:space="preserve">saskaņā ar </w:t>
      </w:r>
      <w:r w:rsidRPr="00A567EA">
        <w:rPr>
          <w:b/>
          <w:bCs/>
          <w:sz w:val="28"/>
          <w:szCs w:val="28"/>
        </w:rPr>
        <w:t>ĀKK un ES</w:t>
      </w:r>
      <w:r>
        <w:rPr>
          <w:b/>
          <w:bCs/>
          <w:sz w:val="28"/>
          <w:szCs w:val="28"/>
        </w:rPr>
        <w:t xml:space="preserve"> partnerattiecību nolīgumu un par finansiālas palīdzības piešķiršanu aizjūras zemēm un teritorijām</w:t>
      </w:r>
      <w:r w:rsidRPr="00187BEC">
        <w:rPr>
          <w:b/>
          <w:bCs/>
          <w:sz w:val="28"/>
          <w:szCs w:val="28"/>
        </w:rPr>
        <w:t>,</w:t>
      </w:r>
      <w:r>
        <w:rPr>
          <w:b/>
          <w:bCs/>
          <w:sz w:val="28"/>
          <w:szCs w:val="28"/>
        </w:rPr>
        <w:t xml:space="preserve"> kurām piemēro Līguma par Eiropas Savienības darbību ceturto daļu” (turpmāk – Iekšējais nolīgums) </w:t>
      </w:r>
      <w:r w:rsidRPr="007C0F2C">
        <w:rPr>
          <w:b/>
          <w:sz w:val="28"/>
          <w:szCs w:val="28"/>
        </w:rPr>
        <w:t>sākotnējās ietekmes novērtējuma ziņojums (anotācija)</w:t>
      </w:r>
    </w:p>
    <w:p w:rsidR="00E54307" w:rsidRPr="007C0F2C" w:rsidRDefault="00E54307" w:rsidP="00E54307">
      <w:pPr>
        <w:pStyle w:val="naislab"/>
        <w:spacing w:before="0" w:after="0"/>
        <w:jc w:val="center"/>
        <w:outlineLvl w:val="0"/>
        <w:rPr>
          <w:b/>
          <w:sz w:val="28"/>
          <w:szCs w:val="28"/>
        </w:rPr>
      </w:pPr>
    </w:p>
    <w:tbl>
      <w:tblPr>
        <w:tblpPr w:leftFromText="180" w:rightFromText="180" w:vertAnchor="text" w:horzAnchor="margin" w:tblpXSpec="center" w:tblpY="149"/>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3141"/>
        <w:gridCol w:w="6034"/>
      </w:tblGrid>
      <w:tr w:rsidR="00E54307" w:rsidRPr="00B372D3" w:rsidTr="00EB4117">
        <w:tc>
          <w:tcPr>
            <w:tcW w:w="9725" w:type="dxa"/>
            <w:gridSpan w:val="3"/>
            <w:vAlign w:val="center"/>
          </w:tcPr>
          <w:p w:rsidR="00E54307" w:rsidRPr="00B372D3" w:rsidRDefault="00E54307" w:rsidP="00EB4117">
            <w:pPr>
              <w:pStyle w:val="naisnod"/>
              <w:spacing w:before="0" w:after="0"/>
            </w:pPr>
            <w:r w:rsidRPr="00B372D3">
              <w:t>I. Tiesību akta projekta izstrādes nepieciešamība</w:t>
            </w:r>
          </w:p>
        </w:tc>
      </w:tr>
      <w:tr w:rsidR="00E54307" w:rsidRPr="00B372D3" w:rsidTr="00EB4117">
        <w:trPr>
          <w:trHeight w:val="630"/>
        </w:trPr>
        <w:tc>
          <w:tcPr>
            <w:tcW w:w="550" w:type="dxa"/>
          </w:tcPr>
          <w:p w:rsidR="00E54307" w:rsidRPr="00B372D3" w:rsidRDefault="00E54307" w:rsidP="00EB4117">
            <w:pPr>
              <w:pStyle w:val="naiskr"/>
              <w:spacing w:before="0" w:after="0"/>
            </w:pPr>
            <w:r w:rsidRPr="00B372D3">
              <w:t>1.</w:t>
            </w:r>
          </w:p>
        </w:tc>
        <w:tc>
          <w:tcPr>
            <w:tcW w:w="3141" w:type="dxa"/>
          </w:tcPr>
          <w:p w:rsidR="00E54307" w:rsidRPr="00B372D3" w:rsidRDefault="00E54307" w:rsidP="00EB4117">
            <w:pPr>
              <w:pStyle w:val="naiskr"/>
              <w:spacing w:before="0" w:after="0"/>
              <w:ind w:hanging="10"/>
            </w:pPr>
            <w:r w:rsidRPr="00B372D3">
              <w:t>Pamatojums</w:t>
            </w:r>
          </w:p>
        </w:tc>
        <w:tc>
          <w:tcPr>
            <w:tcW w:w="6034" w:type="dxa"/>
          </w:tcPr>
          <w:p w:rsidR="00E54307" w:rsidRPr="00B372D3" w:rsidRDefault="00E54307" w:rsidP="00EB4117">
            <w:pPr>
              <w:pStyle w:val="naiskr"/>
              <w:spacing w:before="0" w:after="0"/>
              <w:ind w:hanging="5"/>
            </w:pPr>
            <w:r w:rsidRPr="00B372D3">
              <w:t>Ārlietu ministrija ir izstrādājusi attiecīgo tiesību akta projektu, pamatojoties uz „Ministru kabineta 2003.gada 29.aprīļa noteikumu Nr.237 „Ārlietu min</w:t>
            </w:r>
            <w:r>
              <w:t xml:space="preserve">istrijas nolikums” 5.6. un </w:t>
            </w:r>
            <w:proofErr w:type="gramStart"/>
            <w:r>
              <w:t>6.1.</w:t>
            </w:r>
            <w:r w:rsidRPr="00B372D3">
              <w:t>apakšpunktiem</w:t>
            </w:r>
            <w:proofErr w:type="gramEnd"/>
            <w:r w:rsidRPr="00B372D3">
              <w:t xml:space="preserve">. </w:t>
            </w:r>
          </w:p>
          <w:p w:rsidR="00E54307" w:rsidRPr="00B372D3" w:rsidRDefault="00E54307" w:rsidP="00EB4117">
            <w:pPr>
              <w:pStyle w:val="naiskr"/>
              <w:spacing w:before="0" w:after="0"/>
              <w:ind w:hanging="5"/>
            </w:pPr>
          </w:p>
        </w:tc>
      </w:tr>
      <w:tr w:rsidR="00E54307" w:rsidRPr="00B372D3" w:rsidTr="00EB4117">
        <w:trPr>
          <w:trHeight w:val="472"/>
        </w:trPr>
        <w:tc>
          <w:tcPr>
            <w:tcW w:w="550" w:type="dxa"/>
          </w:tcPr>
          <w:p w:rsidR="00E54307" w:rsidRPr="00B372D3" w:rsidRDefault="00E54307" w:rsidP="00EB4117">
            <w:pPr>
              <w:pStyle w:val="naiskr"/>
              <w:spacing w:before="0" w:after="0"/>
            </w:pPr>
            <w:r w:rsidRPr="00B372D3">
              <w:t>2.</w:t>
            </w:r>
          </w:p>
        </w:tc>
        <w:tc>
          <w:tcPr>
            <w:tcW w:w="3141" w:type="dxa"/>
          </w:tcPr>
          <w:p w:rsidR="00E54307" w:rsidRPr="00B372D3" w:rsidRDefault="00E54307" w:rsidP="00EB4117">
            <w:pPr>
              <w:pStyle w:val="naiskr"/>
              <w:tabs>
                <w:tab w:val="left" w:pos="170"/>
              </w:tabs>
              <w:spacing w:before="0" w:after="0"/>
            </w:pPr>
            <w:r w:rsidRPr="00B372D3">
              <w:t>Pašreizējā situācija un problēmas</w:t>
            </w:r>
          </w:p>
        </w:tc>
        <w:tc>
          <w:tcPr>
            <w:tcW w:w="6034" w:type="dxa"/>
          </w:tcPr>
          <w:p w:rsidR="00E54307" w:rsidRPr="00E54307" w:rsidRDefault="00E54307" w:rsidP="00EB4117">
            <w:pPr>
              <w:pStyle w:val="naiskr"/>
              <w:spacing w:before="0" w:after="0"/>
            </w:pPr>
            <w:r w:rsidRPr="00E54307">
              <w:t xml:space="preserve">ES dalībvalstis ir uzņēmušās saistības, tai skaitā finansiālas, pret attīstības sadarbības partnervalstīm, parakstot Partnerattiecību nolīgumu starp Āfrikas, Karību jūras reģiona un Klusā okeāna valstu (turpmāk – ĀKK) grupas locekļiem, no vienas puses, un Eiropas Kopienu un tās dalībvalstīm, no otras puses, kas parakstīts </w:t>
            </w:r>
            <w:proofErr w:type="spellStart"/>
            <w:r w:rsidRPr="00E54307">
              <w:t>Kotonū</w:t>
            </w:r>
            <w:proofErr w:type="spellEnd"/>
            <w:r w:rsidRPr="00E54307">
              <w:t xml:space="preserve"> 2000. gada 23. jūnijā un otro reizi grozīts </w:t>
            </w:r>
            <w:proofErr w:type="spellStart"/>
            <w:r w:rsidRPr="00E54307">
              <w:t>Vagadugu</w:t>
            </w:r>
            <w:proofErr w:type="spellEnd"/>
            <w:r w:rsidRPr="00E54307">
              <w:t xml:space="preserve"> 2010. gada 22. jūnijā (turpmāk – </w:t>
            </w:r>
            <w:proofErr w:type="spellStart"/>
            <w:r w:rsidRPr="00E54307">
              <w:t>Kotonū</w:t>
            </w:r>
            <w:proofErr w:type="spellEnd"/>
            <w:r w:rsidRPr="00E54307">
              <w:t xml:space="preserve"> nolīgums). </w:t>
            </w:r>
            <w:proofErr w:type="spellStart"/>
            <w:r w:rsidRPr="00E54307">
              <w:t>Kotonū</w:t>
            </w:r>
            <w:proofErr w:type="spellEnd"/>
            <w:r w:rsidRPr="00E54307">
              <w:t xml:space="preserve"> nolīgums un ir spēkā līdz 2020.gadam. </w:t>
            </w:r>
          </w:p>
          <w:p w:rsidR="00E54307" w:rsidRPr="00E54307" w:rsidRDefault="00E54307" w:rsidP="00EB4117">
            <w:pPr>
              <w:pStyle w:val="naiskr"/>
              <w:spacing w:before="0" w:after="0"/>
            </w:pPr>
            <w:proofErr w:type="spellStart"/>
            <w:r w:rsidRPr="00E54307">
              <w:t>Kotonū</w:t>
            </w:r>
            <w:proofErr w:type="spellEnd"/>
            <w:r w:rsidRPr="00E54307">
              <w:t xml:space="preserve"> nolīgumā apstiprināto mērķu sasniegšanai tika izveidots speciāls finanšu instruments – Eiropas Attīstības fonds (turpmāk - EAF), kurā ES dalībvalstis ir apņēmušās veikt iemaksas atbilstoši </w:t>
            </w:r>
            <w:proofErr w:type="spellStart"/>
            <w:r w:rsidRPr="00E54307">
              <w:t>t.s</w:t>
            </w:r>
            <w:proofErr w:type="spellEnd"/>
            <w:r w:rsidRPr="00E54307">
              <w:t xml:space="preserve">. iemaksu atslēgai. </w:t>
            </w:r>
          </w:p>
          <w:p w:rsidR="00E54307" w:rsidRPr="00E54307" w:rsidRDefault="00E54307" w:rsidP="00EB4117">
            <w:pPr>
              <w:pStyle w:val="naiskr"/>
              <w:spacing w:before="0" w:after="0"/>
            </w:pPr>
            <w:r w:rsidRPr="00E54307">
              <w:t xml:space="preserve">Lai atvieglotu finanšu apgūšanu un pārvaldi, katrus 5 līdz 7 gadus (9.EAF 2000.-2007.; 10.EAF 2008.-2013.; 11.EAF 2014.-2020.) tiek pieņemts finanšu protokols par kārtējā EAF izveidi. Tādējādi visi EAF, kas ir izveidoti </w:t>
            </w:r>
            <w:proofErr w:type="spellStart"/>
            <w:r w:rsidRPr="00E54307">
              <w:t>Kotonū</w:t>
            </w:r>
            <w:proofErr w:type="spellEnd"/>
            <w:r w:rsidRPr="00E54307">
              <w:t xml:space="preserve"> nolīguma ietvaros, ir pēc būtības viens un tas pats finanšu instruments, kas finansē vienus un tos pašus </w:t>
            </w:r>
            <w:proofErr w:type="spellStart"/>
            <w:r w:rsidRPr="00E54307">
              <w:t>Kotonū</w:t>
            </w:r>
            <w:proofErr w:type="spellEnd"/>
            <w:r w:rsidRPr="00E54307">
              <w:t xml:space="preserve"> nolīguma mērķus.</w:t>
            </w:r>
          </w:p>
          <w:p w:rsidR="00E54307" w:rsidRPr="00E54307" w:rsidRDefault="00E54307" w:rsidP="00EB4117">
            <w:pPr>
              <w:pStyle w:val="naiskr"/>
              <w:spacing w:before="0" w:after="0"/>
            </w:pPr>
            <w:r w:rsidRPr="00E54307">
              <w:t xml:space="preserve">Saeima ir ratificējusi </w:t>
            </w:r>
            <w:proofErr w:type="spellStart"/>
            <w:r w:rsidRPr="00E54307">
              <w:t>Kotonū</w:t>
            </w:r>
            <w:proofErr w:type="spellEnd"/>
            <w:r w:rsidRPr="00E54307">
              <w:t xml:space="preserve"> nolīguma 2005.gada un 2010.gada grozījumus, attiecīgi 2008.gada 1.maijā un 2010.gada 22.jūnijā. Tādējādi Latvija ir uzņēmusies saistības iemaksāt kārtējā EAF atbilstoši apjomam, par kādu ES dalībvalstis vienojas daudzgadu finanšu shēmas ietvaros. </w:t>
            </w:r>
          </w:p>
          <w:p w:rsidR="00E54307" w:rsidRPr="00E54307" w:rsidRDefault="00E54307" w:rsidP="00EB4117">
            <w:pPr>
              <w:pStyle w:val="naiskr"/>
              <w:spacing w:before="0" w:after="0"/>
              <w:rPr>
                <w:iCs/>
              </w:rPr>
            </w:pPr>
            <w:r w:rsidRPr="00E54307">
              <w:t xml:space="preserve">Pašlaik palīdzība ĀKK valstīm tiek finansēta no </w:t>
            </w:r>
            <w:r w:rsidRPr="00E54307">
              <w:rPr>
                <w:iCs/>
              </w:rPr>
              <w:t>10.EAF, kura darbības periods ir 2008.-2013.gads. Iekšējo nolīgumu, ar kuru stājas spēkā 10.EAF, Saeima ratificēja 2007.gada 23.martā.</w:t>
            </w:r>
          </w:p>
          <w:p w:rsidR="00E54307" w:rsidRPr="00E54307" w:rsidRDefault="00E54307" w:rsidP="00EB4117">
            <w:pPr>
              <w:pStyle w:val="naiskr"/>
              <w:spacing w:before="0" w:after="0"/>
              <w:rPr>
                <w:iCs/>
              </w:rPr>
            </w:pPr>
            <w:r w:rsidRPr="00E54307">
              <w:rPr>
                <w:iCs/>
              </w:rPr>
              <w:t xml:space="preserve">2013.gada 8.februārī Eiropadome apstiprināja Daudzgadu finanšu shēmu 2014.-2020.gadam, kuras ietvaros tika panākta vienošanās arī par 11.EAF pieejamo līdzekļu apjomu 2014.-2020.gadam faktiskajās cenās – 30 506 miljoni </w:t>
            </w:r>
            <w:proofErr w:type="spellStart"/>
            <w:r w:rsidRPr="00E54307">
              <w:rPr>
                <w:i/>
                <w:iCs/>
              </w:rPr>
              <w:t>euro</w:t>
            </w:r>
            <w:proofErr w:type="spellEnd"/>
            <w:r w:rsidRPr="00E54307">
              <w:rPr>
                <w:i/>
                <w:iCs/>
              </w:rPr>
              <w:t>.</w:t>
            </w:r>
            <w:r w:rsidRPr="00E54307">
              <w:rPr>
                <w:iCs/>
              </w:rPr>
              <w:t xml:space="preserve"> Lai nodrošinātu palīdzības nepārtrauktību, 2013.gada 24.jūnijā ES Ārlietu padomē tika parakstīts Iekšējais nolīgums, ar kuru tiek izveidots 11. EAF, kas finansēs attīstības sadarbības </w:t>
            </w:r>
            <w:r w:rsidRPr="00E54307">
              <w:rPr>
                <w:iCs/>
              </w:rPr>
              <w:lastRenderedPageBreak/>
              <w:t xml:space="preserve">aktivitātes ĀKK valstīs līdz </w:t>
            </w:r>
            <w:proofErr w:type="spellStart"/>
            <w:r w:rsidRPr="00E54307">
              <w:rPr>
                <w:iCs/>
              </w:rPr>
              <w:t>Kotonū</w:t>
            </w:r>
            <w:proofErr w:type="spellEnd"/>
            <w:r w:rsidRPr="00E54307">
              <w:rPr>
                <w:iCs/>
              </w:rPr>
              <w:t xml:space="preserve"> nolīguma darbības beigām. </w:t>
            </w:r>
          </w:p>
          <w:p w:rsidR="00E54307" w:rsidRPr="00B372D3" w:rsidRDefault="00E54307" w:rsidP="00EB4117">
            <w:pPr>
              <w:pStyle w:val="naiskr"/>
              <w:spacing w:before="0" w:after="0"/>
              <w:rPr>
                <w:iCs/>
              </w:rPr>
            </w:pPr>
            <w:r w:rsidRPr="00E54307">
              <w:rPr>
                <w:iCs/>
              </w:rPr>
              <w:t>Lai Iekšējais nolīgums stātos spēkā, tas ir jāratificē visām ES dalībvalstīm atbilstoši to konstitucionālajam regulējumam.</w:t>
            </w:r>
          </w:p>
        </w:tc>
      </w:tr>
      <w:tr w:rsidR="00E54307" w:rsidRPr="00B372D3" w:rsidTr="00EB4117">
        <w:trPr>
          <w:trHeight w:val="791"/>
        </w:trPr>
        <w:tc>
          <w:tcPr>
            <w:tcW w:w="550" w:type="dxa"/>
          </w:tcPr>
          <w:p w:rsidR="00E54307" w:rsidRPr="00B372D3" w:rsidRDefault="00E54307" w:rsidP="00EB4117">
            <w:pPr>
              <w:pStyle w:val="naiskr"/>
              <w:spacing w:before="0" w:after="0"/>
            </w:pPr>
            <w:r w:rsidRPr="00B372D3">
              <w:lastRenderedPageBreak/>
              <w:t>3.</w:t>
            </w:r>
          </w:p>
        </w:tc>
        <w:tc>
          <w:tcPr>
            <w:tcW w:w="3141" w:type="dxa"/>
          </w:tcPr>
          <w:p w:rsidR="00E54307" w:rsidRPr="00B372D3" w:rsidRDefault="00E54307" w:rsidP="00EB4117">
            <w:pPr>
              <w:pStyle w:val="naiskr"/>
              <w:spacing w:before="0" w:after="0"/>
            </w:pPr>
            <w:r w:rsidRPr="00B372D3">
              <w:t>Saistītie politikas ietekmes novērtējumi un pētījumi</w:t>
            </w:r>
          </w:p>
        </w:tc>
        <w:tc>
          <w:tcPr>
            <w:tcW w:w="6034" w:type="dxa"/>
          </w:tcPr>
          <w:p w:rsidR="00E54307" w:rsidRPr="00B372D3" w:rsidRDefault="00E54307" w:rsidP="00EB4117">
            <w:pPr>
              <w:pStyle w:val="FootnoteText"/>
              <w:rPr>
                <w:sz w:val="24"/>
                <w:szCs w:val="24"/>
              </w:rPr>
            </w:pPr>
            <w:r w:rsidRPr="00B372D3">
              <w:rPr>
                <w:sz w:val="24"/>
                <w:szCs w:val="24"/>
              </w:rPr>
              <w:t>Nav veikti.</w:t>
            </w:r>
          </w:p>
        </w:tc>
      </w:tr>
      <w:tr w:rsidR="00E54307" w:rsidRPr="00B372D3" w:rsidTr="00EB4117">
        <w:trPr>
          <w:trHeight w:val="384"/>
        </w:trPr>
        <w:tc>
          <w:tcPr>
            <w:tcW w:w="550" w:type="dxa"/>
          </w:tcPr>
          <w:p w:rsidR="00E54307" w:rsidRPr="00B372D3" w:rsidRDefault="00E54307" w:rsidP="00EB4117">
            <w:pPr>
              <w:pStyle w:val="naiskr"/>
              <w:spacing w:before="0" w:after="0"/>
            </w:pPr>
            <w:r w:rsidRPr="00B372D3">
              <w:t>4.</w:t>
            </w:r>
          </w:p>
        </w:tc>
        <w:tc>
          <w:tcPr>
            <w:tcW w:w="3141" w:type="dxa"/>
          </w:tcPr>
          <w:p w:rsidR="00E54307" w:rsidRPr="00B372D3" w:rsidRDefault="00E54307" w:rsidP="00EB4117">
            <w:pPr>
              <w:pStyle w:val="naiskr"/>
              <w:spacing w:before="0" w:after="0"/>
            </w:pPr>
            <w:r w:rsidRPr="00B372D3">
              <w:t>Tiesiskā regulējuma mērķis un būtība</w:t>
            </w:r>
          </w:p>
        </w:tc>
        <w:tc>
          <w:tcPr>
            <w:tcW w:w="6034" w:type="dxa"/>
          </w:tcPr>
          <w:p w:rsidR="00E54307" w:rsidRPr="00B372D3" w:rsidRDefault="00E54307" w:rsidP="00EB4117">
            <w:pPr>
              <w:pStyle w:val="naiskr"/>
              <w:spacing w:before="0" w:after="0"/>
              <w:rPr>
                <w:iCs/>
              </w:rPr>
            </w:pPr>
            <w:r w:rsidRPr="00B372D3">
              <w:t xml:space="preserve">Atbilstoši </w:t>
            </w:r>
            <w:proofErr w:type="spellStart"/>
            <w:r w:rsidRPr="00B372D3">
              <w:t>Kotonū</w:t>
            </w:r>
            <w:proofErr w:type="spellEnd"/>
            <w:r w:rsidRPr="00B372D3">
              <w:t xml:space="preserve"> nolīgumam </w:t>
            </w:r>
            <w:r w:rsidRPr="00B372D3">
              <w:rPr>
                <w:iCs/>
              </w:rPr>
              <w:t>ES dalībvalstis ik pēc pieciem gadiem izveido kārtējo EAF. Tā līdzekļi</w:t>
            </w:r>
            <w:r w:rsidRPr="00B372D3">
              <w:t xml:space="preserve"> tiek izmantoti, lai </w:t>
            </w:r>
            <w:r w:rsidRPr="00B372D3">
              <w:rPr>
                <w:iCs/>
              </w:rPr>
              <w:t xml:space="preserve">finansētu ES palīdzību ĀKK valstīm. </w:t>
            </w:r>
            <w:r w:rsidRPr="00B372D3">
              <w:t xml:space="preserve">Tiesību akta projekts paredz pieņemt un apstiprināt Iekšējo nolīgumu, kas nepieciešams, lai izveidotu 11.EAF. </w:t>
            </w:r>
            <w:r w:rsidRPr="00B372D3">
              <w:rPr>
                <w:iCs/>
              </w:rPr>
              <w:t>Iekšējais nolīgums nosaka:</w:t>
            </w:r>
          </w:p>
          <w:p w:rsidR="00E54307" w:rsidRPr="00B372D3" w:rsidRDefault="00E54307" w:rsidP="00EB4117">
            <w:pPr>
              <w:pStyle w:val="naiskr"/>
              <w:numPr>
                <w:ilvl w:val="0"/>
                <w:numId w:val="1"/>
              </w:numPr>
              <w:spacing w:before="0" w:after="0"/>
            </w:pPr>
            <w:r w:rsidRPr="00B372D3">
              <w:rPr>
                <w:iCs/>
              </w:rPr>
              <w:t xml:space="preserve">11.EAF izveidi un finansiālo apjomu – 30 506 miljoni </w:t>
            </w:r>
            <w:proofErr w:type="spellStart"/>
            <w:r w:rsidRPr="00B372D3">
              <w:rPr>
                <w:i/>
                <w:iCs/>
              </w:rPr>
              <w:t>euro</w:t>
            </w:r>
            <w:proofErr w:type="spellEnd"/>
            <w:r w:rsidRPr="00B372D3">
              <w:rPr>
                <w:iCs/>
              </w:rPr>
              <w:t xml:space="preserve"> (LVL 21 439,7 miljoni),</w:t>
            </w:r>
          </w:p>
          <w:p w:rsidR="00E54307" w:rsidRPr="00B372D3" w:rsidRDefault="00E54307" w:rsidP="00EB4117">
            <w:pPr>
              <w:pStyle w:val="naiskr"/>
              <w:numPr>
                <w:ilvl w:val="0"/>
                <w:numId w:val="1"/>
              </w:numPr>
              <w:spacing w:before="0" w:after="0"/>
            </w:pPr>
            <w:r w:rsidRPr="00B372D3">
              <w:rPr>
                <w:iCs/>
              </w:rPr>
              <w:t>Ka</w:t>
            </w:r>
            <w:r>
              <w:rPr>
                <w:iCs/>
              </w:rPr>
              <w:t>tras dalībvalsts kopējo iemaksu – Latvijas iemaksa</w:t>
            </w:r>
            <w:r w:rsidRPr="00B372D3">
              <w:rPr>
                <w:iCs/>
              </w:rPr>
              <w:t xml:space="preserve"> ir 35 423 567 </w:t>
            </w:r>
            <w:proofErr w:type="spellStart"/>
            <w:r w:rsidRPr="00B372D3">
              <w:rPr>
                <w:i/>
                <w:iCs/>
              </w:rPr>
              <w:t>euro</w:t>
            </w:r>
            <w:proofErr w:type="spellEnd"/>
            <w:r w:rsidRPr="00B372D3">
              <w:rPr>
                <w:i/>
                <w:iCs/>
              </w:rPr>
              <w:t xml:space="preserve"> </w:t>
            </w:r>
            <w:r w:rsidRPr="00B372D3">
              <w:rPr>
                <w:iCs/>
              </w:rPr>
              <w:t>(LVL 24 895 824), kas atb</w:t>
            </w:r>
            <w:r>
              <w:rPr>
                <w:iCs/>
              </w:rPr>
              <w:t xml:space="preserve">ilst iemaksas atslēgai 0,11612 </w:t>
            </w:r>
            <w:r w:rsidRPr="00B372D3">
              <w:rPr>
                <w:iCs/>
              </w:rPr>
              <w:t>no kopējā 11.EAF apjoma,</w:t>
            </w:r>
          </w:p>
          <w:p w:rsidR="00E54307" w:rsidRPr="00B372D3" w:rsidRDefault="00E54307" w:rsidP="00EB4117">
            <w:pPr>
              <w:pStyle w:val="naiskr"/>
              <w:numPr>
                <w:ilvl w:val="0"/>
                <w:numId w:val="1"/>
              </w:numPr>
              <w:spacing w:before="0" w:after="0"/>
            </w:pPr>
            <w:r w:rsidRPr="00B372D3">
              <w:t>11.EAF pārvaldes struktūru, kas ir EAF komiteja</w:t>
            </w:r>
            <w:r>
              <w:t xml:space="preserve"> un Investīciju mehānisma komiteja, kurās ir pārstāvēta</w:t>
            </w:r>
            <w:r w:rsidRPr="00B372D3">
              <w:t>s</w:t>
            </w:r>
            <w:r>
              <w:t xml:space="preserve"> visas</w:t>
            </w:r>
            <w:r w:rsidRPr="00B372D3">
              <w:t xml:space="preserve"> dalībvalstis un katrai dalībvalstij ir noteikts balsu svērums – Latvijai </w:t>
            </w:r>
            <w:r>
              <w:t xml:space="preserve">abās </w:t>
            </w:r>
            <w:r w:rsidRPr="00B372D3">
              <w:t>komitejā</w:t>
            </w:r>
            <w:r>
              <w:t>s</w:t>
            </w:r>
            <w:r w:rsidRPr="00B372D3">
              <w:t xml:space="preserve"> ir viena balss</w:t>
            </w:r>
            <w:r>
              <w:t>; Latviju EAF komitejā pārstāv Ārlietu ministrija savukārt Investīciju mehānisma komitejā - Finanšu ministrija.</w:t>
            </w:r>
          </w:p>
          <w:p w:rsidR="00E54307" w:rsidRPr="00B372D3" w:rsidRDefault="00E54307" w:rsidP="00EB4117">
            <w:pPr>
              <w:pStyle w:val="naiskr"/>
              <w:numPr>
                <w:ilvl w:val="0"/>
                <w:numId w:val="1"/>
              </w:numPr>
              <w:spacing w:before="0" w:after="0"/>
            </w:pPr>
            <w:r w:rsidRPr="00B372D3">
              <w:t>EAF administratīvos izdevumus 1 052,5</w:t>
            </w:r>
            <w:r>
              <w:t xml:space="preserve"> </w:t>
            </w:r>
            <w:r w:rsidRPr="00B372D3">
              <w:t xml:space="preserve">miljoni </w:t>
            </w:r>
            <w:proofErr w:type="spellStart"/>
            <w:r w:rsidRPr="00B372D3">
              <w:rPr>
                <w:i/>
              </w:rPr>
              <w:t>euro</w:t>
            </w:r>
            <w:proofErr w:type="spellEnd"/>
            <w:r w:rsidRPr="00B372D3">
              <w:t xml:space="preserve"> (LVL 740 miljoni).</w:t>
            </w:r>
          </w:p>
          <w:p w:rsidR="00E54307" w:rsidRPr="00B372D3" w:rsidRDefault="00E54307" w:rsidP="00EB4117">
            <w:pPr>
              <w:pStyle w:val="naiskr"/>
              <w:spacing w:before="0" w:after="0"/>
            </w:pPr>
            <w:r>
              <w:t>Pieņemot tiesību aktu, Latvija apņemas veikt iemaksas 11.EAF atbilstoši iemaksu atslēgai, kur kopējā dalībvalsts iemaksa nepārsniedz Nolīgumā noteikto. Līdz ar iemaksu veikšanu, dalībvalstij ir tiesības piedalīties 11.EAF pārvaldes struktūrās. Saistību izpildei papildus pasākumi nav jāveic, jo 11.EAF ir turpinājums 10.EAF, kur jau notiek iemaksu veikšana un Latvijas pārstāvji piedalās līdzekļu pārvaldē.</w:t>
            </w:r>
          </w:p>
        </w:tc>
      </w:tr>
      <w:tr w:rsidR="00E54307" w:rsidRPr="00B372D3" w:rsidTr="00EB4117">
        <w:trPr>
          <w:trHeight w:val="476"/>
        </w:trPr>
        <w:tc>
          <w:tcPr>
            <w:tcW w:w="550" w:type="dxa"/>
          </w:tcPr>
          <w:p w:rsidR="00E54307" w:rsidRPr="00B372D3" w:rsidRDefault="00E54307" w:rsidP="00EB4117">
            <w:pPr>
              <w:pStyle w:val="naiskr"/>
              <w:spacing w:before="0" w:after="0"/>
            </w:pPr>
            <w:r w:rsidRPr="00B372D3">
              <w:t>5.</w:t>
            </w:r>
          </w:p>
        </w:tc>
        <w:tc>
          <w:tcPr>
            <w:tcW w:w="3141" w:type="dxa"/>
          </w:tcPr>
          <w:p w:rsidR="00E54307" w:rsidRPr="00B372D3" w:rsidRDefault="00E54307" w:rsidP="00EB4117">
            <w:pPr>
              <w:pStyle w:val="naiskr"/>
              <w:spacing w:before="0" w:after="0"/>
            </w:pPr>
            <w:r w:rsidRPr="00B372D3">
              <w:t>Projekta izstrādē iesaistītās institūcijas</w:t>
            </w:r>
          </w:p>
        </w:tc>
        <w:tc>
          <w:tcPr>
            <w:tcW w:w="6034" w:type="dxa"/>
          </w:tcPr>
          <w:p w:rsidR="00E54307" w:rsidRPr="00B372D3" w:rsidRDefault="00E54307" w:rsidP="00EB4117">
            <w:pPr>
              <w:pStyle w:val="naiskr"/>
              <w:spacing w:before="0" w:after="0"/>
            </w:pPr>
            <w:r w:rsidRPr="00B372D3">
              <w:rPr>
                <w:iCs/>
              </w:rPr>
              <w:t>Ārlietu ministrija</w:t>
            </w:r>
          </w:p>
        </w:tc>
      </w:tr>
      <w:tr w:rsidR="00E54307" w:rsidRPr="00B372D3" w:rsidTr="00EB4117">
        <w:trPr>
          <w:trHeight w:val="752"/>
        </w:trPr>
        <w:tc>
          <w:tcPr>
            <w:tcW w:w="550" w:type="dxa"/>
            <w:shd w:val="clear" w:color="auto" w:fill="auto"/>
          </w:tcPr>
          <w:p w:rsidR="00E54307" w:rsidRPr="00B372D3" w:rsidRDefault="00E54307" w:rsidP="00EB4117">
            <w:pPr>
              <w:pStyle w:val="naiskr"/>
              <w:spacing w:before="0" w:after="0"/>
            </w:pPr>
            <w:r w:rsidRPr="00B372D3">
              <w:t>6.</w:t>
            </w:r>
          </w:p>
        </w:tc>
        <w:tc>
          <w:tcPr>
            <w:tcW w:w="3141" w:type="dxa"/>
            <w:shd w:val="clear" w:color="auto" w:fill="auto"/>
          </w:tcPr>
          <w:p w:rsidR="00E54307" w:rsidRPr="00B372D3" w:rsidRDefault="00E54307" w:rsidP="00EB4117">
            <w:pPr>
              <w:pStyle w:val="naiskr"/>
              <w:spacing w:before="0" w:after="0"/>
              <w:rPr>
                <w:i/>
                <w:highlight w:val="yellow"/>
              </w:rPr>
            </w:pPr>
            <w:r w:rsidRPr="00B372D3">
              <w:t>Iemesli, kādēļ netika nodrošināta sabiedrības līdzdalība</w:t>
            </w:r>
          </w:p>
        </w:tc>
        <w:tc>
          <w:tcPr>
            <w:tcW w:w="6034" w:type="dxa"/>
            <w:shd w:val="clear" w:color="auto" w:fill="auto"/>
          </w:tcPr>
          <w:p w:rsidR="00E54307" w:rsidRPr="00B372D3" w:rsidRDefault="00E54307" w:rsidP="00EB4117">
            <w:pPr>
              <w:pStyle w:val="FootnoteText"/>
              <w:rPr>
                <w:sz w:val="24"/>
                <w:szCs w:val="24"/>
              </w:rPr>
            </w:pPr>
            <w:r w:rsidRPr="00B372D3">
              <w:rPr>
                <w:sz w:val="24"/>
                <w:szCs w:val="24"/>
              </w:rPr>
              <w:t>Likumprojekts uz šo jomu neattiecas.</w:t>
            </w:r>
          </w:p>
        </w:tc>
      </w:tr>
      <w:tr w:rsidR="00E54307" w:rsidRPr="00B372D3" w:rsidTr="00EB4117">
        <w:tc>
          <w:tcPr>
            <w:tcW w:w="550" w:type="dxa"/>
          </w:tcPr>
          <w:p w:rsidR="00E54307" w:rsidRPr="00B372D3" w:rsidRDefault="00E54307" w:rsidP="00EB4117">
            <w:pPr>
              <w:pStyle w:val="naiskr"/>
              <w:spacing w:before="0" w:after="0"/>
            </w:pPr>
            <w:r w:rsidRPr="00B372D3">
              <w:t>7.</w:t>
            </w:r>
          </w:p>
        </w:tc>
        <w:tc>
          <w:tcPr>
            <w:tcW w:w="3141" w:type="dxa"/>
          </w:tcPr>
          <w:p w:rsidR="00E54307" w:rsidRPr="00B372D3" w:rsidRDefault="00E54307" w:rsidP="00EB4117">
            <w:pPr>
              <w:pStyle w:val="naiskr"/>
              <w:spacing w:before="0" w:after="0"/>
            </w:pPr>
            <w:r w:rsidRPr="00B372D3">
              <w:t>Cita informācija</w:t>
            </w:r>
          </w:p>
        </w:tc>
        <w:tc>
          <w:tcPr>
            <w:tcW w:w="6034" w:type="dxa"/>
          </w:tcPr>
          <w:p w:rsidR="00E54307" w:rsidRPr="00B372D3" w:rsidRDefault="00E54307" w:rsidP="00EB4117">
            <w:pPr>
              <w:pStyle w:val="naiskr"/>
            </w:pPr>
            <w:r w:rsidRPr="00B372D3">
              <w:t xml:space="preserve">Atbilstoši Iekšējā nolīguma 14.pantam tas stāsies spēkā otrā mēneša pirmajā dienā pēc tam, kad pēdējā ES dalībvalsts paziņos ES Padomes Ģenerālsekretariātam par Iekšējā nolīguma ratifikāciju. </w:t>
            </w:r>
          </w:p>
          <w:p w:rsidR="00E54307" w:rsidRPr="00B372D3" w:rsidRDefault="00E54307" w:rsidP="00EB4117">
            <w:pPr>
              <w:pStyle w:val="naiskr"/>
              <w:spacing w:before="0" w:after="0"/>
            </w:pPr>
          </w:p>
        </w:tc>
      </w:tr>
    </w:tbl>
    <w:p w:rsidR="00E54307" w:rsidRPr="007C0F2C" w:rsidRDefault="00E54307" w:rsidP="00E54307">
      <w:pPr>
        <w:pStyle w:val="naisf"/>
        <w:spacing w:before="0" w:after="0"/>
      </w:pPr>
    </w:p>
    <w:p w:rsidR="00E54307" w:rsidRPr="007C0F2C" w:rsidRDefault="00E54307" w:rsidP="00E54307">
      <w:pPr>
        <w:pStyle w:val="naisf"/>
        <w:spacing w:before="0" w:after="0"/>
      </w:pPr>
    </w:p>
    <w:tbl>
      <w:tblPr>
        <w:tblW w:w="8802" w:type="dxa"/>
        <w:jc w:val="center"/>
        <w:tblInd w:w="-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4"/>
        <w:gridCol w:w="1304"/>
        <w:gridCol w:w="1312"/>
        <w:gridCol w:w="1319"/>
        <w:gridCol w:w="1223"/>
        <w:gridCol w:w="1320"/>
      </w:tblGrid>
      <w:tr w:rsidR="00E54307" w:rsidRPr="00EA68AA" w:rsidTr="00EB4117">
        <w:trPr>
          <w:trHeight w:val="652"/>
          <w:jc w:val="center"/>
        </w:trPr>
        <w:tc>
          <w:tcPr>
            <w:tcW w:w="8802" w:type="dxa"/>
            <w:gridSpan w:val="6"/>
          </w:tcPr>
          <w:p w:rsidR="00E54307" w:rsidRPr="00EA68AA" w:rsidRDefault="00E54307" w:rsidP="00EB4117">
            <w:pPr>
              <w:pStyle w:val="naisnod"/>
              <w:spacing w:before="0" w:after="0"/>
              <w:rPr>
                <w:i/>
              </w:rPr>
            </w:pPr>
            <w:r w:rsidRPr="00EA68AA">
              <w:br w:type="page"/>
              <w:t>III. Tiesību akta projekta ietekme uz valsts budžetu un pašvaldību budžetiem</w:t>
            </w:r>
          </w:p>
        </w:tc>
      </w:tr>
      <w:tr w:rsidR="00E54307" w:rsidRPr="00EA68AA" w:rsidTr="00EB4117">
        <w:trPr>
          <w:jc w:val="center"/>
        </w:trPr>
        <w:tc>
          <w:tcPr>
            <w:tcW w:w="2345" w:type="dxa"/>
            <w:vMerge w:val="restart"/>
            <w:vAlign w:val="center"/>
          </w:tcPr>
          <w:p w:rsidR="00E54307" w:rsidRPr="00EA68AA" w:rsidRDefault="00E54307" w:rsidP="00EB4117">
            <w:pPr>
              <w:pStyle w:val="naisf"/>
              <w:spacing w:before="0" w:after="0"/>
              <w:ind w:firstLine="0"/>
              <w:jc w:val="center"/>
              <w:rPr>
                <w:b/>
              </w:rPr>
            </w:pPr>
            <w:r w:rsidRPr="00EA68AA">
              <w:rPr>
                <w:b/>
              </w:rPr>
              <w:t>Rādītāji</w:t>
            </w:r>
          </w:p>
        </w:tc>
        <w:tc>
          <w:tcPr>
            <w:tcW w:w="2631" w:type="dxa"/>
            <w:gridSpan w:val="2"/>
            <w:vMerge w:val="restart"/>
            <w:vAlign w:val="center"/>
          </w:tcPr>
          <w:p w:rsidR="00E54307" w:rsidRPr="00EA68AA" w:rsidRDefault="00E54307" w:rsidP="00EB4117">
            <w:pPr>
              <w:pStyle w:val="naisf"/>
              <w:spacing w:before="0" w:after="0"/>
              <w:ind w:firstLine="0"/>
              <w:jc w:val="center"/>
              <w:rPr>
                <w:b/>
              </w:rPr>
            </w:pPr>
            <w:r w:rsidRPr="00EA68AA">
              <w:rPr>
                <w:b/>
              </w:rPr>
              <w:t>2013</w:t>
            </w:r>
          </w:p>
        </w:tc>
        <w:tc>
          <w:tcPr>
            <w:tcW w:w="3826" w:type="dxa"/>
            <w:gridSpan w:val="3"/>
            <w:vAlign w:val="center"/>
          </w:tcPr>
          <w:p w:rsidR="00E54307" w:rsidRPr="00EA68AA" w:rsidRDefault="00E54307" w:rsidP="00EB4117">
            <w:pPr>
              <w:pStyle w:val="naisf"/>
              <w:spacing w:before="0" w:after="0"/>
              <w:ind w:firstLine="0"/>
              <w:jc w:val="center"/>
              <w:rPr>
                <w:b/>
                <w:i/>
              </w:rPr>
            </w:pPr>
            <w:r w:rsidRPr="00EA68AA">
              <w:t>Turpmākie trīs gadi (</w:t>
            </w:r>
            <w:proofErr w:type="spellStart"/>
            <w:r w:rsidRPr="00EA68AA">
              <w:t>tūkst</w:t>
            </w:r>
            <w:proofErr w:type="spellEnd"/>
            <w:r w:rsidRPr="00EA68AA">
              <w:t>. latu)</w:t>
            </w:r>
          </w:p>
        </w:tc>
      </w:tr>
      <w:tr w:rsidR="00E54307" w:rsidRPr="00EA68AA" w:rsidTr="00EB4117">
        <w:trPr>
          <w:jc w:val="center"/>
        </w:trPr>
        <w:tc>
          <w:tcPr>
            <w:tcW w:w="2345" w:type="dxa"/>
            <w:vMerge/>
            <w:vAlign w:val="center"/>
          </w:tcPr>
          <w:p w:rsidR="00E54307" w:rsidRPr="00EA68AA" w:rsidRDefault="00E54307" w:rsidP="00EB4117">
            <w:pPr>
              <w:pStyle w:val="naisf"/>
              <w:spacing w:before="0" w:after="0"/>
              <w:ind w:firstLine="0"/>
              <w:jc w:val="center"/>
              <w:rPr>
                <w:b/>
                <w:i/>
              </w:rPr>
            </w:pPr>
          </w:p>
        </w:tc>
        <w:tc>
          <w:tcPr>
            <w:tcW w:w="2631" w:type="dxa"/>
            <w:gridSpan w:val="2"/>
            <w:vMerge/>
            <w:vAlign w:val="center"/>
          </w:tcPr>
          <w:p w:rsidR="00E54307" w:rsidRPr="00EA68AA" w:rsidRDefault="00E54307" w:rsidP="00EB4117">
            <w:pPr>
              <w:pStyle w:val="naisf"/>
              <w:spacing w:before="0" w:after="0"/>
              <w:ind w:firstLine="0"/>
              <w:jc w:val="center"/>
              <w:rPr>
                <w:b/>
                <w:i/>
              </w:rPr>
            </w:pPr>
          </w:p>
        </w:tc>
        <w:tc>
          <w:tcPr>
            <w:tcW w:w="1322" w:type="dxa"/>
            <w:vAlign w:val="center"/>
          </w:tcPr>
          <w:p w:rsidR="00E54307" w:rsidRPr="00EA68AA" w:rsidRDefault="00E54307" w:rsidP="00EB4117">
            <w:pPr>
              <w:pStyle w:val="naisf"/>
              <w:spacing w:before="0" w:after="0"/>
              <w:ind w:firstLine="0"/>
              <w:jc w:val="center"/>
              <w:rPr>
                <w:b/>
                <w:i/>
              </w:rPr>
            </w:pPr>
            <w:r w:rsidRPr="00EA68AA">
              <w:rPr>
                <w:b/>
                <w:bCs/>
              </w:rPr>
              <w:t>2014</w:t>
            </w:r>
          </w:p>
        </w:tc>
        <w:tc>
          <w:tcPr>
            <w:tcW w:w="1181" w:type="dxa"/>
            <w:vAlign w:val="center"/>
          </w:tcPr>
          <w:p w:rsidR="00E54307" w:rsidRPr="00EA68AA" w:rsidRDefault="00E54307" w:rsidP="00EB4117">
            <w:pPr>
              <w:pStyle w:val="naisf"/>
              <w:spacing w:before="0" w:after="0"/>
              <w:ind w:firstLine="0"/>
              <w:jc w:val="center"/>
              <w:rPr>
                <w:b/>
                <w:i/>
              </w:rPr>
            </w:pPr>
            <w:r w:rsidRPr="00EA68AA">
              <w:rPr>
                <w:b/>
                <w:bCs/>
              </w:rPr>
              <w:t>2015</w:t>
            </w:r>
          </w:p>
        </w:tc>
        <w:tc>
          <w:tcPr>
            <w:tcW w:w="1323" w:type="dxa"/>
            <w:vAlign w:val="center"/>
          </w:tcPr>
          <w:p w:rsidR="00E54307" w:rsidRPr="00EA68AA" w:rsidRDefault="00E54307" w:rsidP="00EB4117">
            <w:pPr>
              <w:pStyle w:val="naisf"/>
              <w:spacing w:before="0" w:after="0"/>
              <w:ind w:firstLine="0"/>
              <w:jc w:val="center"/>
              <w:rPr>
                <w:b/>
                <w:bCs/>
              </w:rPr>
            </w:pPr>
            <w:r w:rsidRPr="00EA68AA">
              <w:rPr>
                <w:b/>
                <w:bCs/>
              </w:rPr>
              <w:t>2016</w:t>
            </w:r>
          </w:p>
        </w:tc>
      </w:tr>
      <w:tr w:rsidR="00E54307" w:rsidRPr="00EA68AA" w:rsidTr="00EB4117">
        <w:trPr>
          <w:jc w:val="center"/>
        </w:trPr>
        <w:tc>
          <w:tcPr>
            <w:tcW w:w="2345" w:type="dxa"/>
            <w:vMerge/>
            <w:vAlign w:val="center"/>
          </w:tcPr>
          <w:p w:rsidR="00E54307" w:rsidRPr="00EA68AA" w:rsidRDefault="00E54307" w:rsidP="00EB4117">
            <w:pPr>
              <w:pStyle w:val="naisf"/>
              <w:spacing w:before="0" w:after="0"/>
              <w:ind w:firstLine="0"/>
              <w:jc w:val="center"/>
              <w:rPr>
                <w:b/>
                <w:i/>
              </w:rPr>
            </w:pPr>
          </w:p>
        </w:tc>
        <w:tc>
          <w:tcPr>
            <w:tcW w:w="1313" w:type="dxa"/>
            <w:vAlign w:val="center"/>
          </w:tcPr>
          <w:p w:rsidR="00E54307" w:rsidRPr="00EA68AA" w:rsidRDefault="00E54307" w:rsidP="00EB4117">
            <w:pPr>
              <w:pStyle w:val="naisf"/>
              <w:spacing w:before="0" w:after="0"/>
              <w:ind w:firstLine="0"/>
              <w:jc w:val="center"/>
              <w:rPr>
                <w:b/>
                <w:i/>
              </w:rPr>
            </w:pPr>
            <w:r w:rsidRPr="00EA68AA">
              <w:t>Saskaņā ar valsts budžetu kārtējam gadam</w:t>
            </w:r>
          </w:p>
        </w:tc>
        <w:tc>
          <w:tcPr>
            <w:tcW w:w="1318" w:type="dxa"/>
            <w:vAlign w:val="center"/>
          </w:tcPr>
          <w:p w:rsidR="00E54307" w:rsidRPr="00EA68AA" w:rsidRDefault="00E54307" w:rsidP="00EB4117">
            <w:pPr>
              <w:pStyle w:val="naisf"/>
              <w:spacing w:before="0" w:after="0"/>
              <w:ind w:firstLine="0"/>
              <w:jc w:val="center"/>
              <w:rPr>
                <w:b/>
                <w:i/>
              </w:rPr>
            </w:pPr>
            <w:r w:rsidRPr="00EA68AA">
              <w:t>Izmaiņas kārtējā gadā, salīdzinot ar budžetu kārtējam gadam</w:t>
            </w:r>
          </w:p>
        </w:tc>
        <w:tc>
          <w:tcPr>
            <w:tcW w:w="1322" w:type="dxa"/>
            <w:vAlign w:val="center"/>
          </w:tcPr>
          <w:p w:rsidR="00E54307" w:rsidRPr="00EA68AA" w:rsidRDefault="00E54307" w:rsidP="00EB4117">
            <w:pPr>
              <w:pStyle w:val="naisf"/>
              <w:spacing w:before="0" w:after="0"/>
              <w:ind w:firstLine="0"/>
              <w:jc w:val="center"/>
              <w:rPr>
                <w:b/>
                <w:i/>
              </w:rPr>
            </w:pPr>
            <w:r w:rsidRPr="00EA68AA">
              <w:t>Izmaiņas, salīdzinot ar 2013.gadu</w:t>
            </w:r>
          </w:p>
        </w:tc>
        <w:tc>
          <w:tcPr>
            <w:tcW w:w="1181" w:type="dxa"/>
            <w:vAlign w:val="center"/>
          </w:tcPr>
          <w:p w:rsidR="00E54307" w:rsidRPr="00EA68AA" w:rsidRDefault="00E54307" w:rsidP="00EB4117">
            <w:pPr>
              <w:pStyle w:val="naisf"/>
              <w:spacing w:before="0" w:after="0"/>
              <w:ind w:firstLine="0"/>
              <w:jc w:val="center"/>
              <w:rPr>
                <w:b/>
                <w:i/>
              </w:rPr>
            </w:pPr>
            <w:r w:rsidRPr="00EA68AA">
              <w:t>Izmaiņas, salīdzinot ar 2013.gadu</w:t>
            </w:r>
          </w:p>
        </w:tc>
        <w:tc>
          <w:tcPr>
            <w:tcW w:w="1323" w:type="dxa"/>
            <w:vAlign w:val="center"/>
          </w:tcPr>
          <w:p w:rsidR="00E54307" w:rsidRPr="00EA68AA" w:rsidRDefault="00E54307" w:rsidP="00EB4117">
            <w:pPr>
              <w:pStyle w:val="naisf"/>
              <w:spacing w:before="0" w:after="0"/>
              <w:ind w:firstLine="0"/>
              <w:jc w:val="center"/>
              <w:rPr>
                <w:b/>
                <w:i/>
              </w:rPr>
            </w:pPr>
            <w:r w:rsidRPr="00EA68AA">
              <w:t>Izmaiņas, salīdzinot ar 2013.gadu</w:t>
            </w:r>
          </w:p>
        </w:tc>
      </w:tr>
      <w:tr w:rsidR="00E54307" w:rsidRPr="00EA68AA" w:rsidTr="00EB4117">
        <w:trPr>
          <w:jc w:val="center"/>
        </w:trPr>
        <w:tc>
          <w:tcPr>
            <w:tcW w:w="2345" w:type="dxa"/>
            <w:vAlign w:val="center"/>
          </w:tcPr>
          <w:p w:rsidR="00E54307" w:rsidRPr="00EA68AA" w:rsidRDefault="00E54307" w:rsidP="00EB4117">
            <w:pPr>
              <w:pStyle w:val="naisf"/>
              <w:spacing w:before="0" w:after="0"/>
              <w:ind w:firstLine="0"/>
              <w:jc w:val="center"/>
              <w:rPr>
                <w:bCs/>
              </w:rPr>
            </w:pPr>
            <w:r w:rsidRPr="00EA68AA">
              <w:rPr>
                <w:bCs/>
              </w:rPr>
              <w:t>1</w:t>
            </w:r>
          </w:p>
        </w:tc>
        <w:tc>
          <w:tcPr>
            <w:tcW w:w="1313" w:type="dxa"/>
            <w:vAlign w:val="center"/>
          </w:tcPr>
          <w:p w:rsidR="00E54307" w:rsidRPr="00EA68AA" w:rsidRDefault="00E54307" w:rsidP="00EB4117">
            <w:pPr>
              <w:pStyle w:val="naisf"/>
              <w:spacing w:before="0" w:after="0"/>
              <w:ind w:firstLine="0"/>
              <w:jc w:val="center"/>
              <w:rPr>
                <w:bCs/>
              </w:rPr>
            </w:pPr>
            <w:r w:rsidRPr="00EA68AA">
              <w:rPr>
                <w:bCs/>
              </w:rPr>
              <w:t>2</w:t>
            </w:r>
          </w:p>
        </w:tc>
        <w:tc>
          <w:tcPr>
            <w:tcW w:w="1318" w:type="dxa"/>
            <w:vAlign w:val="center"/>
          </w:tcPr>
          <w:p w:rsidR="00E54307" w:rsidRPr="00EA68AA" w:rsidRDefault="00E54307" w:rsidP="00EB4117">
            <w:pPr>
              <w:pStyle w:val="naisf"/>
              <w:spacing w:before="0" w:after="0"/>
              <w:ind w:firstLine="0"/>
              <w:jc w:val="center"/>
              <w:rPr>
                <w:bCs/>
              </w:rPr>
            </w:pPr>
            <w:r w:rsidRPr="00EA68AA">
              <w:rPr>
                <w:bCs/>
              </w:rPr>
              <w:t>3</w:t>
            </w:r>
          </w:p>
        </w:tc>
        <w:tc>
          <w:tcPr>
            <w:tcW w:w="1322" w:type="dxa"/>
            <w:vAlign w:val="center"/>
          </w:tcPr>
          <w:p w:rsidR="00E54307" w:rsidRPr="00EA68AA" w:rsidRDefault="00E54307" w:rsidP="00EB4117">
            <w:pPr>
              <w:pStyle w:val="naisf"/>
              <w:spacing w:before="0" w:after="0"/>
              <w:ind w:firstLine="0"/>
              <w:jc w:val="center"/>
              <w:rPr>
                <w:bCs/>
              </w:rPr>
            </w:pPr>
            <w:r w:rsidRPr="00EA68AA">
              <w:rPr>
                <w:bCs/>
              </w:rPr>
              <w:t>4</w:t>
            </w:r>
          </w:p>
        </w:tc>
        <w:tc>
          <w:tcPr>
            <w:tcW w:w="1181" w:type="dxa"/>
            <w:vAlign w:val="center"/>
          </w:tcPr>
          <w:p w:rsidR="00E54307" w:rsidRPr="00EA68AA" w:rsidRDefault="00E54307" w:rsidP="00EB4117">
            <w:pPr>
              <w:pStyle w:val="naisf"/>
              <w:spacing w:before="0" w:after="0"/>
              <w:ind w:firstLine="0"/>
              <w:jc w:val="center"/>
              <w:rPr>
                <w:bCs/>
              </w:rPr>
            </w:pPr>
            <w:r w:rsidRPr="00EA68AA">
              <w:rPr>
                <w:bCs/>
              </w:rPr>
              <w:t>5</w:t>
            </w:r>
          </w:p>
        </w:tc>
        <w:tc>
          <w:tcPr>
            <w:tcW w:w="1323" w:type="dxa"/>
            <w:vAlign w:val="center"/>
          </w:tcPr>
          <w:p w:rsidR="00E54307" w:rsidRPr="00EA68AA" w:rsidRDefault="00E54307" w:rsidP="00EB4117">
            <w:pPr>
              <w:pStyle w:val="naisf"/>
              <w:spacing w:before="0" w:after="0"/>
              <w:ind w:firstLine="0"/>
              <w:jc w:val="center"/>
              <w:rPr>
                <w:bCs/>
              </w:rPr>
            </w:pPr>
            <w:r w:rsidRPr="00EA68AA">
              <w:rPr>
                <w:bCs/>
              </w:rPr>
              <w:t>6</w:t>
            </w:r>
          </w:p>
        </w:tc>
      </w:tr>
      <w:tr w:rsidR="00E54307" w:rsidRPr="00EA68AA" w:rsidTr="00EB4117">
        <w:trPr>
          <w:jc w:val="center"/>
        </w:trPr>
        <w:tc>
          <w:tcPr>
            <w:tcW w:w="2345" w:type="dxa"/>
          </w:tcPr>
          <w:p w:rsidR="00E54307" w:rsidRPr="00EA68AA" w:rsidRDefault="00E54307" w:rsidP="00EB4117">
            <w:pPr>
              <w:pStyle w:val="naisf"/>
              <w:spacing w:before="0" w:after="0"/>
              <w:ind w:firstLine="0"/>
              <w:rPr>
                <w:i/>
              </w:rPr>
            </w:pPr>
            <w:r w:rsidRPr="00EA68AA">
              <w:t>1. Budžeta ieņēmumi:</w:t>
            </w:r>
          </w:p>
        </w:tc>
        <w:tc>
          <w:tcPr>
            <w:tcW w:w="1313" w:type="dxa"/>
            <w:vAlign w:val="center"/>
          </w:tcPr>
          <w:p w:rsidR="00E54307" w:rsidRPr="00EA68AA" w:rsidRDefault="00E54307" w:rsidP="00EB4117">
            <w:pPr>
              <w:pStyle w:val="naisf"/>
              <w:spacing w:before="0" w:after="0"/>
              <w:ind w:firstLine="0"/>
              <w:jc w:val="center"/>
            </w:pPr>
            <w:r w:rsidRPr="00EA68AA">
              <w:t>0</w:t>
            </w:r>
          </w:p>
        </w:tc>
        <w:tc>
          <w:tcPr>
            <w:tcW w:w="1318" w:type="dxa"/>
            <w:vAlign w:val="center"/>
          </w:tcPr>
          <w:p w:rsidR="00E54307" w:rsidRPr="00EA68AA" w:rsidRDefault="00E54307" w:rsidP="00EB4117">
            <w:pPr>
              <w:pStyle w:val="naisf"/>
              <w:spacing w:before="0" w:after="0"/>
              <w:ind w:firstLine="0"/>
              <w:jc w:val="center"/>
            </w:pPr>
            <w:r w:rsidRPr="00EA68AA">
              <w:t>0</w:t>
            </w:r>
          </w:p>
        </w:tc>
        <w:tc>
          <w:tcPr>
            <w:tcW w:w="1322" w:type="dxa"/>
            <w:vAlign w:val="center"/>
          </w:tcPr>
          <w:p w:rsidR="00E54307" w:rsidRPr="00EA68AA" w:rsidRDefault="00E54307" w:rsidP="00EB4117">
            <w:pPr>
              <w:pStyle w:val="naisf"/>
              <w:spacing w:before="0" w:after="0"/>
              <w:ind w:firstLine="0"/>
              <w:jc w:val="center"/>
            </w:pPr>
            <w:r w:rsidRPr="00EA68AA">
              <w:t>0</w:t>
            </w:r>
          </w:p>
        </w:tc>
        <w:tc>
          <w:tcPr>
            <w:tcW w:w="1181" w:type="dxa"/>
            <w:vAlign w:val="center"/>
          </w:tcPr>
          <w:p w:rsidR="00E54307" w:rsidRPr="00EA68AA" w:rsidRDefault="00E54307" w:rsidP="00EB4117">
            <w:pPr>
              <w:pStyle w:val="naisf"/>
              <w:spacing w:before="0" w:after="0"/>
              <w:ind w:firstLine="0"/>
              <w:jc w:val="center"/>
            </w:pPr>
            <w:r w:rsidRPr="00EA68AA">
              <w:t>0</w:t>
            </w:r>
          </w:p>
        </w:tc>
        <w:tc>
          <w:tcPr>
            <w:tcW w:w="1323" w:type="dxa"/>
            <w:vAlign w:val="center"/>
          </w:tcPr>
          <w:p w:rsidR="00E54307" w:rsidRPr="00EA68AA" w:rsidRDefault="00E54307" w:rsidP="00EB4117">
            <w:pPr>
              <w:pStyle w:val="naisf"/>
              <w:spacing w:before="0" w:after="0"/>
              <w:ind w:firstLine="0"/>
              <w:jc w:val="center"/>
            </w:pPr>
            <w:r w:rsidRPr="00EA68AA">
              <w:t>0</w:t>
            </w:r>
          </w:p>
        </w:tc>
      </w:tr>
      <w:tr w:rsidR="00E54307" w:rsidRPr="00EA68AA" w:rsidTr="00EB4117">
        <w:trPr>
          <w:jc w:val="center"/>
        </w:trPr>
        <w:tc>
          <w:tcPr>
            <w:tcW w:w="2345" w:type="dxa"/>
          </w:tcPr>
          <w:p w:rsidR="00E54307" w:rsidRPr="00EA68AA" w:rsidRDefault="00E54307" w:rsidP="00EB4117">
            <w:pPr>
              <w:pStyle w:val="naisf"/>
              <w:spacing w:before="0" w:after="0"/>
              <w:ind w:firstLine="0"/>
              <w:rPr>
                <w:i/>
              </w:rPr>
            </w:pPr>
            <w:r w:rsidRPr="00EA68AA">
              <w:t>1.1. valsts pamatbudžets, tai skaitā ieņēmumi no maksas pakalpojumiem un citi pašu ieņēmumi</w:t>
            </w:r>
          </w:p>
        </w:tc>
        <w:tc>
          <w:tcPr>
            <w:tcW w:w="1313" w:type="dxa"/>
            <w:vAlign w:val="center"/>
          </w:tcPr>
          <w:p w:rsidR="00E54307" w:rsidRPr="00EA68AA" w:rsidRDefault="00E54307" w:rsidP="00EB4117">
            <w:pPr>
              <w:pStyle w:val="naisf"/>
              <w:spacing w:before="0" w:after="0"/>
              <w:ind w:firstLine="0"/>
              <w:jc w:val="center"/>
            </w:pPr>
            <w:r w:rsidRPr="00EA68AA">
              <w:t>0</w:t>
            </w:r>
          </w:p>
        </w:tc>
        <w:tc>
          <w:tcPr>
            <w:tcW w:w="1318" w:type="dxa"/>
            <w:vAlign w:val="center"/>
          </w:tcPr>
          <w:p w:rsidR="00E54307" w:rsidRPr="00EA68AA" w:rsidRDefault="00E54307" w:rsidP="00EB4117">
            <w:pPr>
              <w:pStyle w:val="naisf"/>
              <w:spacing w:before="0" w:after="0"/>
              <w:ind w:firstLine="0"/>
              <w:jc w:val="center"/>
            </w:pPr>
            <w:r w:rsidRPr="00EA68AA">
              <w:t>0</w:t>
            </w:r>
          </w:p>
        </w:tc>
        <w:tc>
          <w:tcPr>
            <w:tcW w:w="1322" w:type="dxa"/>
            <w:vAlign w:val="center"/>
          </w:tcPr>
          <w:p w:rsidR="00E54307" w:rsidRPr="00EA68AA" w:rsidRDefault="00E54307" w:rsidP="00EB4117">
            <w:pPr>
              <w:pStyle w:val="naisf"/>
              <w:spacing w:before="0" w:after="0"/>
              <w:ind w:firstLine="0"/>
              <w:jc w:val="center"/>
            </w:pPr>
            <w:r w:rsidRPr="00EA68AA">
              <w:t>0</w:t>
            </w:r>
          </w:p>
        </w:tc>
        <w:tc>
          <w:tcPr>
            <w:tcW w:w="1181" w:type="dxa"/>
            <w:vAlign w:val="center"/>
          </w:tcPr>
          <w:p w:rsidR="00E54307" w:rsidRPr="00EA68AA" w:rsidRDefault="00E54307" w:rsidP="00EB4117">
            <w:pPr>
              <w:pStyle w:val="naisf"/>
              <w:spacing w:before="0" w:after="0"/>
              <w:ind w:firstLine="0"/>
              <w:jc w:val="center"/>
            </w:pPr>
            <w:r w:rsidRPr="00EA68AA">
              <w:t>0</w:t>
            </w:r>
          </w:p>
        </w:tc>
        <w:tc>
          <w:tcPr>
            <w:tcW w:w="1323" w:type="dxa"/>
            <w:vAlign w:val="center"/>
          </w:tcPr>
          <w:p w:rsidR="00E54307" w:rsidRPr="00EA68AA" w:rsidRDefault="00E54307" w:rsidP="00EB4117">
            <w:pPr>
              <w:pStyle w:val="naisf"/>
              <w:spacing w:before="0" w:after="0"/>
              <w:ind w:firstLine="0"/>
              <w:jc w:val="center"/>
            </w:pPr>
            <w:r w:rsidRPr="00EA68AA">
              <w:t>0</w:t>
            </w:r>
          </w:p>
        </w:tc>
      </w:tr>
      <w:tr w:rsidR="00E54307" w:rsidRPr="00EA68AA" w:rsidTr="00EB4117">
        <w:trPr>
          <w:jc w:val="center"/>
        </w:trPr>
        <w:tc>
          <w:tcPr>
            <w:tcW w:w="2345" w:type="dxa"/>
          </w:tcPr>
          <w:p w:rsidR="00E54307" w:rsidRPr="00EA68AA" w:rsidRDefault="00E54307" w:rsidP="00EB4117">
            <w:pPr>
              <w:pStyle w:val="naisf"/>
              <w:spacing w:before="0" w:after="0"/>
              <w:ind w:firstLine="0"/>
              <w:rPr>
                <w:i/>
              </w:rPr>
            </w:pPr>
            <w:r w:rsidRPr="00EA68AA">
              <w:t>1.2. valsts speciālais budžets</w:t>
            </w:r>
          </w:p>
        </w:tc>
        <w:tc>
          <w:tcPr>
            <w:tcW w:w="1313" w:type="dxa"/>
            <w:vAlign w:val="center"/>
          </w:tcPr>
          <w:p w:rsidR="00E54307" w:rsidRPr="00EA68AA" w:rsidRDefault="00E54307" w:rsidP="00EB4117">
            <w:pPr>
              <w:pStyle w:val="naisf"/>
              <w:spacing w:before="0" w:after="0"/>
              <w:ind w:firstLine="0"/>
              <w:jc w:val="center"/>
            </w:pPr>
            <w:r w:rsidRPr="00EA68AA">
              <w:t>0</w:t>
            </w:r>
          </w:p>
        </w:tc>
        <w:tc>
          <w:tcPr>
            <w:tcW w:w="1318" w:type="dxa"/>
            <w:vAlign w:val="center"/>
          </w:tcPr>
          <w:p w:rsidR="00E54307" w:rsidRPr="00EA68AA" w:rsidRDefault="00E54307" w:rsidP="00EB4117">
            <w:pPr>
              <w:pStyle w:val="naisf"/>
              <w:spacing w:before="0" w:after="0"/>
              <w:ind w:firstLine="0"/>
              <w:jc w:val="center"/>
            </w:pPr>
            <w:r w:rsidRPr="00EA68AA">
              <w:t>0</w:t>
            </w:r>
          </w:p>
        </w:tc>
        <w:tc>
          <w:tcPr>
            <w:tcW w:w="1322" w:type="dxa"/>
            <w:vAlign w:val="center"/>
          </w:tcPr>
          <w:p w:rsidR="00E54307" w:rsidRPr="00EA68AA" w:rsidRDefault="00E54307" w:rsidP="00EB4117">
            <w:pPr>
              <w:pStyle w:val="naisf"/>
              <w:spacing w:before="0" w:after="0"/>
              <w:ind w:firstLine="0"/>
              <w:jc w:val="center"/>
            </w:pPr>
            <w:r w:rsidRPr="00EA68AA">
              <w:t>0</w:t>
            </w:r>
          </w:p>
        </w:tc>
        <w:tc>
          <w:tcPr>
            <w:tcW w:w="1181" w:type="dxa"/>
            <w:vAlign w:val="center"/>
          </w:tcPr>
          <w:p w:rsidR="00E54307" w:rsidRPr="00EA68AA" w:rsidRDefault="00E54307" w:rsidP="00EB4117">
            <w:pPr>
              <w:pStyle w:val="naisf"/>
              <w:spacing w:before="0" w:after="0"/>
              <w:ind w:firstLine="0"/>
              <w:jc w:val="center"/>
            </w:pPr>
            <w:r w:rsidRPr="00EA68AA">
              <w:t>0</w:t>
            </w:r>
          </w:p>
        </w:tc>
        <w:tc>
          <w:tcPr>
            <w:tcW w:w="1323" w:type="dxa"/>
            <w:vAlign w:val="center"/>
          </w:tcPr>
          <w:p w:rsidR="00E54307" w:rsidRPr="00EA68AA" w:rsidRDefault="00E54307" w:rsidP="00EB4117">
            <w:pPr>
              <w:pStyle w:val="naisf"/>
              <w:spacing w:before="0" w:after="0"/>
              <w:ind w:firstLine="0"/>
              <w:jc w:val="center"/>
            </w:pPr>
            <w:r w:rsidRPr="00EA68AA">
              <w:t>0</w:t>
            </w:r>
          </w:p>
        </w:tc>
      </w:tr>
      <w:tr w:rsidR="00E54307" w:rsidRPr="00EA68AA" w:rsidTr="00EB4117">
        <w:trPr>
          <w:jc w:val="center"/>
        </w:trPr>
        <w:tc>
          <w:tcPr>
            <w:tcW w:w="2345" w:type="dxa"/>
          </w:tcPr>
          <w:p w:rsidR="00E54307" w:rsidRPr="00EA68AA" w:rsidRDefault="00E54307" w:rsidP="00EB4117">
            <w:pPr>
              <w:pStyle w:val="naisf"/>
              <w:spacing w:before="0" w:after="0"/>
              <w:ind w:firstLine="0"/>
              <w:rPr>
                <w:i/>
              </w:rPr>
            </w:pPr>
            <w:r w:rsidRPr="00EA68AA">
              <w:t>1.3. pašvaldību budžets</w:t>
            </w:r>
          </w:p>
        </w:tc>
        <w:tc>
          <w:tcPr>
            <w:tcW w:w="1313" w:type="dxa"/>
            <w:vAlign w:val="center"/>
          </w:tcPr>
          <w:p w:rsidR="00E54307" w:rsidRPr="00EA68AA" w:rsidRDefault="00E54307" w:rsidP="00EB4117">
            <w:pPr>
              <w:pStyle w:val="naisf"/>
              <w:spacing w:before="0" w:after="0"/>
              <w:ind w:firstLine="0"/>
              <w:jc w:val="center"/>
            </w:pPr>
            <w:r w:rsidRPr="00EA68AA">
              <w:t>0</w:t>
            </w:r>
          </w:p>
        </w:tc>
        <w:tc>
          <w:tcPr>
            <w:tcW w:w="1318" w:type="dxa"/>
            <w:vAlign w:val="center"/>
          </w:tcPr>
          <w:p w:rsidR="00E54307" w:rsidRPr="00EA68AA" w:rsidRDefault="00E54307" w:rsidP="00EB4117">
            <w:pPr>
              <w:pStyle w:val="naisf"/>
              <w:spacing w:before="0" w:after="0"/>
              <w:ind w:firstLine="0"/>
              <w:jc w:val="center"/>
            </w:pPr>
            <w:r w:rsidRPr="00EA68AA">
              <w:t>0</w:t>
            </w:r>
          </w:p>
        </w:tc>
        <w:tc>
          <w:tcPr>
            <w:tcW w:w="1322" w:type="dxa"/>
            <w:vAlign w:val="center"/>
          </w:tcPr>
          <w:p w:rsidR="00E54307" w:rsidRPr="00EA68AA" w:rsidRDefault="00E54307" w:rsidP="00EB4117">
            <w:pPr>
              <w:pStyle w:val="naisf"/>
              <w:spacing w:before="0" w:after="0"/>
              <w:ind w:firstLine="0"/>
              <w:jc w:val="center"/>
            </w:pPr>
            <w:r w:rsidRPr="00EA68AA">
              <w:t>0</w:t>
            </w:r>
          </w:p>
        </w:tc>
        <w:tc>
          <w:tcPr>
            <w:tcW w:w="1181" w:type="dxa"/>
            <w:vAlign w:val="center"/>
          </w:tcPr>
          <w:p w:rsidR="00E54307" w:rsidRPr="00EA68AA" w:rsidRDefault="00E54307" w:rsidP="00EB4117">
            <w:pPr>
              <w:pStyle w:val="naisf"/>
              <w:spacing w:before="0" w:after="0"/>
              <w:ind w:firstLine="0"/>
              <w:jc w:val="center"/>
            </w:pPr>
            <w:r w:rsidRPr="00EA68AA">
              <w:t>0</w:t>
            </w:r>
          </w:p>
        </w:tc>
        <w:tc>
          <w:tcPr>
            <w:tcW w:w="1323" w:type="dxa"/>
            <w:vAlign w:val="center"/>
          </w:tcPr>
          <w:p w:rsidR="00E54307" w:rsidRPr="00EA68AA" w:rsidRDefault="00E54307" w:rsidP="00EB4117">
            <w:pPr>
              <w:pStyle w:val="naisf"/>
              <w:spacing w:before="0" w:after="0"/>
              <w:ind w:firstLine="0"/>
              <w:jc w:val="center"/>
            </w:pPr>
            <w:r w:rsidRPr="00EA68AA">
              <w:t>0</w:t>
            </w:r>
          </w:p>
        </w:tc>
      </w:tr>
      <w:tr w:rsidR="00E54307" w:rsidRPr="00EA68AA" w:rsidTr="00EB4117">
        <w:trPr>
          <w:jc w:val="center"/>
        </w:trPr>
        <w:tc>
          <w:tcPr>
            <w:tcW w:w="2345" w:type="dxa"/>
          </w:tcPr>
          <w:p w:rsidR="00E54307" w:rsidRPr="00EA68AA" w:rsidRDefault="00E54307" w:rsidP="00EB4117">
            <w:pPr>
              <w:jc w:val="both"/>
            </w:pPr>
            <w:r w:rsidRPr="00EA68AA">
              <w:t>2. Budžeta izdevumi:</w:t>
            </w:r>
          </w:p>
        </w:tc>
        <w:tc>
          <w:tcPr>
            <w:tcW w:w="1313" w:type="dxa"/>
          </w:tcPr>
          <w:p w:rsidR="00E54307" w:rsidRPr="00EA68AA" w:rsidRDefault="00E54307" w:rsidP="00EB4117">
            <w:pPr>
              <w:pStyle w:val="naisf"/>
              <w:spacing w:before="0" w:after="0"/>
              <w:ind w:firstLine="0"/>
              <w:jc w:val="center"/>
            </w:pPr>
            <w:r w:rsidRPr="00EA68AA">
              <w:t>0</w:t>
            </w:r>
          </w:p>
        </w:tc>
        <w:tc>
          <w:tcPr>
            <w:tcW w:w="1318" w:type="dxa"/>
          </w:tcPr>
          <w:p w:rsidR="00E54307" w:rsidRPr="00EA68AA" w:rsidRDefault="00E54307" w:rsidP="00EB4117">
            <w:pPr>
              <w:pStyle w:val="naisf"/>
              <w:spacing w:before="0" w:after="0"/>
              <w:ind w:firstLine="0"/>
              <w:jc w:val="center"/>
            </w:pPr>
            <w:r w:rsidRPr="00EA68AA">
              <w:t>0</w:t>
            </w:r>
          </w:p>
        </w:tc>
        <w:tc>
          <w:tcPr>
            <w:tcW w:w="1322" w:type="dxa"/>
          </w:tcPr>
          <w:p w:rsidR="00E54307" w:rsidRPr="00EA68AA" w:rsidRDefault="00E54307" w:rsidP="00EB4117">
            <w:pPr>
              <w:pStyle w:val="naisf"/>
              <w:spacing w:before="0" w:after="0"/>
              <w:ind w:firstLine="0"/>
              <w:jc w:val="center"/>
            </w:pPr>
            <w:r>
              <w:t>0</w:t>
            </w:r>
          </w:p>
        </w:tc>
        <w:tc>
          <w:tcPr>
            <w:tcW w:w="1181" w:type="dxa"/>
          </w:tcPr>
          <w:p w:rsidR="00E54307" w:rsidRPr="00EA68AA" w:rsidRDefault="00E54307" w:rsidP="00EB4117">
            <w:pPr>
              <w:pStyle w:val="naisf"/>
              <w:spacing w:before="0" w:after="0"/>
              <w:ind w:firstLine="0"/>
              <w:jc w:val="center"/>
            </w:pPr>
            <w:r>
              <w:t>0</w:t>
            </w:r>
          </w:p>
        </w:tc>
        <w:tc>
          <w:tcPr>
            <w:tcW w:w="1323" w:type="dxa"/>
          </w:tcPr>
          <w:p w:rsidR="00E54307" w:rsidRPr="00EA68AA" w:rsidRDefault="00E54307" w:rsidP="00EB4117">
            <w:pPr>
              <w:pStyle w:val="naisf"/>
              <w:spacing w:before="0" w:after="0"/>
              <w:ind w:firstLine="0"/>
              <w:jc w:val="center"/>
            </w:pPr>
            <w:r>
              <w:t>0</w:t>
            </w:r>
          </w:p>
        </w:tc>
      </w:tr>
      <w:tr w:rsidR="00E54307" w:rsidRPr="00EA68AA" w:rsidTr="00EB4117">
        <w:trPr>
          <w:jc w:val="center"/>
        </w:trPr>
        <w:tc>
          <w:tcPr>
            <w:tcW w:w="2345" w:type="dxa"/>
          </w:tcPr>
          <w:p w:rsidR="00E54307" w:rsidRPr="00EA68AA" w:rsidRDefault="00E54307" w:rsidP="00EB4117">
            <w:pPr>
              <w:jc w:val="both"/>
            </w:pPr>
            <w:r w:rsidRPr="00EA68AA">
              <w:t>2.1. valsts pamatbudžets</w:t>
            </w:r>
          </w:p>
        </w:tc>
        <w:tc>
          <w:tcPr>
            <w:tcW w:w="1313" w:type="dxa"/>
          </w:tcPr>
          <w:p w:rsidR="00E54307" w:rsidRPr="00EA68AA" w:rsidRDefault="00E54307" w:rsidP="00EB4117">
            <w:pPr>
              <w:pStyle w:val="naisf"/>
              <w:spacing w:before="0" w:after="0"/>
              <w:ind w:firstLine="0"/>
              <w:jc w:val="center"/>
            </w:pPr>
            <w:r w:rsidRPr="00EA68AA">
              <w:t>0</w:t>
            </w:r>
          </w:p>
        </w:tc>
        <w:tc>
          <w:tcPr>
            <w:tcW w:w="1318" w:type="dxa"/>
          </w:tcPr>
          <w:p w:rsidR="00E54307" w:rsidRPr="00EA68AA" w:rsidRDefault="00E54307" w:rsidP="00EB4117">
            <w:pPr>
              <w:pStyle w:val="naisf"/>
              <w:spacing w:before="0" w:after="0"/>
              <w:ind w:firstLine="0"/>
              <w:jc w:val="center"/>
            </w:pPr>
            <w:r w:rsidRPr="00EA68AA">
              <w:t>0</w:t>
            </w:r>
          </w:p>
        </w:tc>
        <w:tc>
          <w:tcPr>
            <w:tcW w:w="1322" w:type="dxa"/>
          </w:tcPr>
          <w:p w:rsidR="00E54307" w:rsidRPr="00EA68AA" w:rsidRDefault="00E54307" w:rsidP="00EB4117">
            <w:pPr>
              <w:pStyle w:val="naisf"/>
              <w:spacing w:before="0" w:after="0"/>
              <w:ind w:firstLine="0"/>
              <w:jc w:val="center"/>
            </w:pPr>
            <w:r>
              <w:t>0</w:t>
            </w:r>
          </w:p>
        </w:tc>
        <w:tc>
          <w:tcPr>
            <w:tcW w:w="1181" w:type="dxa"/>
          </w:tcPr>
          <w:p w:rsidR="00E54307" w:rsidRPr="00EA68AA" w:rsidRDefault="00E54307" w:rsidP="00EB4117">
            <w:pPr>
              <w:pStyle w:val="naisf"/>
              <w:spacing w:before="0" w:after="0"/>
              <w:ind w:firstLine="0"/>
              <w:jc w:val="center"/>
            </w:pPr>
            <w:r>
              <w:t>0</w:t>
            </w:r>
          </w:p>
        </w:tc>
        <w:tc>
          <w:tcPr>
            <w:tcW w:w="1323" w:type="dxa"/>
          </w:tcPr>
          <w:p w:rsidR="00E54307" w:rsidRPr="00EA68AA" w:rsidRDefault="00E54307" w:rsidP="00EB4117">
            <w:pPr>
              <w:pStyle w:val="naisf"/>
              <w:spacing w:before="0" w:after="0"/>
              <w:ind w:firstLine="0"/>
              <w:jc w:val="center"/>
            </w:pPr>
            <w:r>
              <w:t>0</w:t>
            </w:r>
          </w:p>
        </w:tc>
      </w:tr>
      <w:tr w:rsidR="00E54307" w:rsidRPr="00EA68AA" w:rsidTr="00EB4117">
        <w:trPr>
          <w:jc w:val="center"/>
        </w:trPr>
        <w:tc>
          <w:tcPr>
            <w:tcW w:w="2345" w:type="dxa"/>
          </w:tcPr>
          <w:p w:rsidR="00E54307" w:rsidRPr="00EA68AA" w:rsidRDefault="00E54307" w:rsidP="00EB4117">
            <w:pPr>
              <w:jc w:val="both"/>
            </w:pPr>
            <w:r w:rsidRPr="00EA68AA">
              <w:t>2.2. valsts speciālais budžets</w:t>
            </w:r>
          </w:p>
        </w:tc>
        <w:tc>
          <w:tcPr>
            <w:tcW w:w="1313" w:type="dxa"/>
          </w:tcPr>
          <w:p w:rsidR="00E54307" w:rsidRPr="00EA68AA" w:rsidRDefault="00E54307" w:rsidP="00EB4117">
            <w:pPr>
              <w:pStyle w:val="naisf"/>
              <w:spacing w:before="0" w:after="0"/>
              <w:ind w:firstLine="0"/>
              <w:jc w:val="center"/>
            </w:pPr>
            <w:r w:rsidRPr="00EA68AA">
              <w:t>0</w:t>
            </w:r>
          </w:p>
        </w:tc>
        <w:tc>
          <w:tcPr>
            <w:tcW w:w="1318" w:type="dxa"/>
          </w:tcPr>
          <w:p w:rsidR="00E54307" w:rsidRPr="00EA68AA" w:rsidRDefault="00E54307" w:rsidP="00EB4117">
            <w:pPr>
              <w:pStyle w:val="naisf"/>
              <w:spacing w:before="0" w:after="0"/>
              <w:ind w:firstLine="0"/>
              <w:jc w:val="center"/>
            </w:pPr>
            <w:r w:rsidRPr="00EA68AA">
              <w:t>0</w:t>
            </w:r>
          </w:p>
        </w:tc>
        <w:tc>
          <w:tcPr>
            <w:tcW w:w="1322" w:type="dxa"/>
          </w:tcPr>
          <w:p w:rsidR="00E54307" w:rsidRPr="00EA68AA" w:rsidRDefault="00E54307" w:rsidP="00EB4117">
            <w:pPr>
              <w:pStyle w:val="naisf"/>
              <w:spacing w:before="0" w:after="0"/>
              <w:ind w:firstLine="0"/>
              <w:jc w:val="center"/>
            </w:pPr>
            <w:r w:rsidRPr="00EA68AA">
              <w:t>0</w:t>
            </w:r>
          </w:p>
        </w:tc>
        <w:tc>
          <w:tcPr>
            <w:tcW w:w="1181" w:type="dxa"/>
          </w:tcPr>
          <w:p w:rsidR="00E54307" w:rsidRPr="00EA68AA" w:rsidRDefault="00E54307" w:rsidP="00EB4117">
            <w:pPr>
              <w:pStyle w:val="naisf"/>
              <w:spacing w:before="0" w:after="0"/>
              <w:ind w:firstLine="0"/>
              <w:jc w:val="center"/>
            </w:pPr>
            <w:r w:rsidRPr="00EA68AA">
              <w:t>0</w:t>
            </w:r>
          </w:p>
        </w:tc>
        <w:tc>
          <w:tcPr>
            <w:tcW w:w="1323" w:type="dxa"/>
          </w:tcPr>
          <w:p w:rsidR="00E54307" w:rsidRPr="00EA68AA" w:rsidRDefault="00E54307" w:rsidP="00EB4117">
            <w:pPr>
              <w:pStyle w:val="naisf"/>
              <w:spacing w:before="0" w:after="0"/>
              <w:ind w:firstLine="0"/>
              <w:jc w:val="center"/>
            </w:pPr>
            <w:r w:rsidRPr="00EA68AA">
              <w:t>0</w:t>
            </w:r>
          </w:p>
        </w:tc>
      </w:tr>
      <w:tr w:rsidR="00E54307" w:rsidRPr="00EA68AA" w:rsidTr="00EB4117">
        <w:trPr>
          <w:jc w:val="center"/>
        </w:trPr>
        <w:tc>
          <w:tcPr>
            <w:tcW w:w="2345" w:type="dxa"/>
          </w:tcPr>
          <w:p w:rsidR="00E54307" w:rsidRPr="00EA68AA" w:rsidRDefault="00E54307" w:rsidP="00EB4117">
            <w:pPr>
              <w:jc w:val="both"/>
            </w:pPr>
            <w:r w:rsidRPr="00EA68AA">
              <w:t xml:space="preserve">2.3. pašvaldību budžets </w:t>
            </w:r>
          </w:p>
        </w:tc>
        <w:tc>
          <w:tcPr>
            <w:tcW w:w="1313" w:type="dxa"/>
          </w:tcPr>
          <w:p w:rsidR="00E54307" w:rsidRPr="00EA68AA" w:rsidRDefault="00E54307" w:rsidP="00EB4117">
            <w:pPr>
              <w:pStyle w:val="naisf"/>
              <w:spacing w:before="0" w:after="0"/>
              <w:ind w:firstLine="0"/>
              <w:jc w:val="center"/>
            </w:pPr>
            <w:r w:rsidRPr="00EA68AA">
              <w:t>0</w:t>
            </w:r>
          </w:p>
        </w:tc>
        <w:tc>
          <w:tcPr>
            <w:tcW w:w="1318" w:type="dxa"/>
          </w:tcPr>
          <w:p w:rsidR="00E54307" w:rsidRPr="00EA68AA" w:rsidRDefault="00E54307" w:rsidP="00EB4117">
            <w:pPr>
              <w:pStyle w:val="naisf"/>
              <w:spacing w:before="0" w:after="0"/>
              <w:ind w:firstLine="0"/>
              <w:jc w:val="center"/>
            </w:pPr>
            <w:r w:rsidRPr="00EA68AA">
              <w:t>0</w:t>
            </w:r>
          </w:p>
        </w:tc>
        <w:tc>
          <w:tcPr>
            <w:tcW w:w="1322" w:type="dxa"/>
          </w:tcPr>
          <w:p w:rsidR="00E54307" w:rsidRPr="00EA68AA" w:rsidRDefault="00E54307" w:rsidP="00EB4117">
            <w:pPr>
              <w:pStyle w:val="naisf"/>
              <w:spacing w:before="0" w:after="0"/>
              <w:ind w:firstLine="0"/>
              <w:jc w:val="center"/>
            </w:pPr>
            <w:r w:rsidRPr="00EA68AA">
              <w:t>0</w:t>
            </w:r>
          </w:p>
        </w:tc>
        <w:tc>
          <w:tcPr>
            <w:tcW w:w="1181" w:type="dxa"/>
          </w:tcPr>
          <w:p w:rsidR="00E54307" w:rsidRPr="00EA68AA" w:rsidRDefault="00E54307" w:rsidP="00EB4117">
            <w:pPr>
              <w:pStyle w:val="naisf"/>
              <w:spacing w:before="0" w:after="0"/>
              <w:ind w:firstLine="0"/>
              <w:jc w:val="center"/>
            </w:pPr>
            <w:r w:rsidRPr="00EA68AA">
              <w:t>0</w:t>
            </w:r>
          </w:p>
        </w:tc>
        <w:tc>
          <w:tcPr>
            <w:tcW w:w="1323" w:type="dxa"/>
          </w:tcPr>
          <w:p w:rsidR="00E54307" w:rsidRPr="00EA68AA" w:rsidRDefault="00E54307" w:rsidP="00EB4117">
            <w:pPr>
              <w:pStyle w:val="naisf"/>
              <w:spacing w:before="0" w:after="0"/>
              <w:ind w:firstLine="0"/>
              <w:jc w:val="center"/>
            </w:pPr>
            <w:r w:rsidRPr="00EA68AA">
              <w:t>0</w:t>
            </w:r>
          </w:p>
        </w:tc>
      </w:tr>
      <w:tr w:rsidR="00E54307" w:rsidRPr="00EA68AA" w:rsidTr="00EB4117">
        <w:trPr>
          <w:jc w:val="center"/>
        </w:trPr>
        <w:tc>
          <w:tcPr>
            <w:tcW w:w="2345" w:type="dxa"/>
          </w:tcPr>
          <w:p w:rsidR="00E54307" w:rsidRPr="00EA68AA" w:rsidRDefault="00E54307" w:rsidP="00EB4117">
            <w:pPr>
              <w:jc w:val="both"/>
            </w:pPr>
            <w:r w:rsidRPr="00EA68AA">
              <w:t>3. Finansiālā ietekme:</w:t>
            </w:r>
          </w:p>
        </w:tc>
        <w:tc>
          <w:tcPr>
            <w:tcW w:w="1313" w:type="dxa"/>
            <w:shd w:val="clear" w:color="auto" w:fill="auto"/>
            <w:vAlign w:val="center"/>
          </w:tcPr>
          <w:p w:rsidR="00E54307" w:rsidRPr="00EA68AA" w:rsidRDefault="00E54307" w:rsidP="00EB4117">
            <w:pPr>
              <w:pStyle w:val="naisf"/>
              <w:spacing w:before="0" w:after="0"/>
              <w:ind w:firstLine="0"/>
              <w:jc w:val="center"/>
            </w:pPr>
          </w:p>
        </w:tc>
        <w:tc>
          <w:tcPr>
            <w:tcW w:w="1318" w:type="dxa"/>
          </w:tcPr>
          <w:p w:rsidR="00E54307" w:rsidRPr="00EA68AA" w:rsidRDefault="00E54307" w:rsidP="00EB4117">
            <w:pPr>
              <w:pStyle w:val="naisf"/>
              <w:spacing w:before="0" w:after="0"/>
              <w:ind w:firstLine="0"/>
            </w:pPr>
          </w:p>
        </w:tc>
        <w:tc>
          <w:tcPr>
            <w:tcW w:w="1322" w:type="dxa"/>
          </w:tcPr>
          <w:p w:rsidR="00E54307" w:rsidRPr="00EA68AA" w:rsidRDefault="00E54307" w:rsidP="00EB4117">
            <w:pPr>
              <w:pStyle w:val="naisf"/>
              <w:spacing w:before="0" w:after="0"/>
              <w:ind w:firstLine="0"/>
              <w:jc w:val="center"/>
            </w:pPr>
            <w:r>
              <w:t>0</w:t>
            </w:r>
          </w:p>
        </w:tc>
        <w:tc>
          <w:tcPr>
            <w:tcW w:w="1181" w:type="dxa"/>
          </w:tcPr>
          <w:p w:rsidR="00E54307" w:rsidRPr="00EA68AA" w:rsidRDefault="00E54307" w:rsidP="00EB4117">
            <w:pPr>
              <w:pStyle w:val="naisf"/>
              <w:spacing w:before="0" w:after="0"/>
              <w:ind w:firstLine="0"/>
              <w:jc w:val="center"/>
            </w:pPr>
            <w:r>
              <w:t>0</w:t>
            </w:r>
          </w:p>
        </w:tc>
        <w:tc>
          <w:tcPr>
            <w:tcW w:w="1323" w:type="dxa"/>
          </w:tcPr>
          <w:p w:rsidR="00E54307" w:rsidRPr="00EA68AA" w:rsidRDefault="00E54307" w:rsidP="00EB4117">
            <w:pPr>
              <w:pStyle w:val="naisf"/>
              <w:spacing w:before="0" w:after="0"/>
              <w:ind w:firstLine="0"/>
              <w:jc w:val="center"/>
            </w:pPr>
            <w:r>
              <w:t>0</w:t>
            </w:r>
          </w:p>
        </w:tc>
      </w:tr>
      <w:tr w:rsidR="00E54307" w:rsidRPr="00EA68AA" w:rsidTr="00EB4117">
        <w:trPr>
          <w:jc w:val="center"/>
        </w:trPr>
        <w:tc>
          <w:tcPr>
            <w:tcW w:w="2345" w:type="dxa"/>
          </w:tcPr>
          <w:p w:rsidR="00E54307" w:rsidRPr="00EA68AA" w:rsidRDefault="00E54307" w:rsidP="00EB4117">
            <w:r w:rsidRPr="00EA68AA">
              <w:t>3.1. valsts pamatbudžets</w:t>
            </w:r>
          </w:p>
        </w:tc>
        <w:tc>
          <w:tcPr>
            <w:tcW w:w="1313" w:type="dxa"/>
            <w:shd w:val="clear" w:color="auto" w:fill="auto"/>
          </w:tcPr>
          <w:p w:rsidR="00E54307" w:rsidRPr="00EA68AA" w:rsidRDefault="00E54307" w:rsidP="00EB4117">
            <w:pPr>
              <w:pStyle w:val="naisf"/>
              <w:spacing w:before="0" w:after="0"/>
              <w:ind w:firstLine="0"/>
              <w:jc w:val="center"/>
            </w:pPr>
          </w:p>
        </w:tc>
        <w:tc>
          <w:tcPr>
            <w:tcW w:w="1318" w:type="dxa"/>
          </w:tcPr>
          <w:p w:rsidR="00E54307" w:rsidRPr="00EA68AA" w:rsidRDefault="00E54307" w:rsidP="00EB4117">
            <w:pPr>
              <w:pStyle w:val="naisf"/>
              <w:spacing w:before="0" w:after="0"/>
              <w:ind w:firstLine="0"/>
              <w:jc w:val="center"/>
            </w:pPr>
          </w:p>
        </w:tc>
        <w:tc>
          <w:tcPr>
            <w:tcW w:w="1322" w:type="dxa"/>
          </w:tcPr>
          <w:p w:rsidR="00E54307" w:rsidRPr="00EA68AA" w:rsidRDefault="00E54307" w:rsidP="00EB4117">
            <w:pPr>
              <w:pStyle w:val="naisf"/>
              <w:spacing w:before="0" w:after="0"/>
              <w:ind w:firstLine="0"/>
              <w:jc w:val="center"/>
            </w:pPr>
            <w:r>
              <w:t>0</w:t>
            </w:r>
          </w:p>
        </w:tc>
        <w:tc>
          <w:tcPr>
            <w:tcW w:w="1181" w:type="dxa"/>
          </w:tcPr>
          <w:p w:rsidR="00E54307" w:rsidRPr="00EA68AA" w:rsidRDefault="00E54307" w:rsidP="00EB4117">
            <w:pPr>
              <w:pStyle w:val="naisf"/>
              <w:spacing w:before="0" w:after="0"/>
              <w:ind w:firstLine="0"/>
              <w:jc w:val="center"/>
            </w:pPr>
            <w:r>
              <w:t>0</w:t>
            </w:r>
          </w:p>
        </w:tc>
        <w:tc>
          <w:tcPr>
            <w:tcW w:w="1323" w:type="dxa"/>
          </w:tcPr>
          <w:p w:rsidR="00E54307" w:rsidRPr="00EA68AA" w:rsidRDefault="00E54307" w:rsidP="00EB4117">
            <w:pPr>
              <w:pStyle w:val="naisf"/>
              <w:spacing w:before="0" w:after="0"/>
              <w:ind w:firstLine="0"/>
              <w:jc w:val="center"/>
            </w:pPr>
            <w:r>
              <w:t>0</w:t>
            </w:r>
          </w:p>
        </w:tc>
      </w:tr>
      <w:tr w:rsidR="00E54307" w:rsidRPr="00EA68AA" w:rsidTr="00EB4117">
        <w:trPr>
          <w:jc w:val="center"/>
        </w:trPr>
        <w:tc>
          <w:tcPr>
            <w:tcW w:w="2345" w:type="dxa"/>
          </w:tcPr>
          <w:p w:rsidR="00E54307" w:rsidRPr="00EA68AA" w:rsidRDefault="00E54307" w:rsidP="00EB4117">
            <w:pPr>
              <w:jc w:val="both"/>
            </w:pPr>
            <w:r w:rsidRPr="00EA68AA">
              <w:t>3.2. speciālais budžets</w:t>
            </w:r>
          </w:p>
        </w:tc>
        <w:tc>
          <w:tcPr>
            <w:tcW w:w="1313" w:type="dxa"/>
            <w:shd w:val="clear" w:color="auto" w:fill="auto"/>
          </w:tcPr>
          <w:p w:rsidR="00E54307" w:rsidRPr="00EA68AA" w:rsidRDefault="00E54307" w:rsidP="00EB4117">
            <w:pPr>
              <w:pStyle w:val="naisf"/>
              <w:spacing w:before="0" w:after="0"/>
              <w:ind w:firstLine="0"/>
              <w:jc w:val="center"/>
            </w:pPr>
            <w:r w:rsidRPr="00EA68AA">
              <w:t>0</w:t>
            </w:r>
          </w:p>
        </w:tc>
        <w:tc>
          <w:tcPr>
            <w:tcW w:w="1318" w:type="dxa"/>
          </w:tcPr>
          <w:p w:rsidR="00E54307" w:rsidRPr="00EA68AA" w:rsidRDefault="00E54307" w:rsidP="00EB4117">
            <w:pPr>
              <w:pStyle w:val="naisf"/>
              <w:spacing w:before="0" w:after="0"/>
              <w:ind w:firstLine="0"/>
              <w:jc w:val="center"/>
            </w:pPr>
            <w:r w:rsidRPr="00EA68AA">
              <w:t>0</w:t>
            </w:r>
          </w:p>
        </w:tc>
        <w:tc>
          <w:tcPr>
            <w:tcW w:w="1322" w:type="dxa"/>
          </w:tcPr>
          <w:p w:rsidR="00E54307" w:rsidRPr="00EA68AA" w:rsidRDefault="00E54307" w:rsidP="00EB4117">
            <w:pPr>
              <w:pStyle w:val="naisf"/>
              <w:spacing w:before="0" w:after="0"/>
              <w:ind w:firstLine="0"/>
              <w:jc w:val="center"/>
            </w:pPr>
            <w:r w:rsidRPr="00EA68AA">
              <w:t>0</w:t>
            </w:r>
          </w:p>
        </w:tc>
        <w:tc>
          <w:tcPr>
            <w:tcW w:w="1181" w:type="dxa"/>
          </w:tcPr>
          <w:p w:rsidR="00E54307" w:rsidRPr="00EA68AA" w:rsidRDefault="00E54307" w:rsidP="00EB4117">
            <w:pPr>
              <w:pStyle w:val="naisf"/>
              <w:spacing w:before="0" w:after="0"/>
              <w:ind w:firstLine="0"/>
              <w:jc w:val="center"/>
            </w:pPr>
            <w:r w:rsidRPr="00EA68AA">
              <w:t>0</w:t>
            </w:r>
          </w:p>
        </w:tc>
        <w:tc>
          <w:tcPr>
            <w:tcW w:w="1323" w:type="dxa"/>
          </w:tcPr>
          <w:p w:rsidR="00E54307" w:rsidRPr="00EA68AA" w:rsidRDefault="00E54307" w:rsidP="00EB4117">
            <w:pPr>
              <w:pStyle w:val="naisf"/>
              <w:spacing w:before="0" w:after="0"/>
              <w:ind w:firstLine="0"/>
              <w:jc w:val="center"/>
            </w:pPr>
            <w:r w:rsidRPr="00EA68AA">
              <w:t>0</w:t>
            </w:r>
          </w:p>
        </w:tc>
      </w:tr>
      <w:tr w:rsidR="00E54307" w:rsidRPr="00EA68AA" w:rsidTr="00EB4117">
        <w:trPr>
          <w:jc w:val="center"/>
        </w:trPr>
        <w:tc>
          <w:tcPr>
            <w:tcW w:w="2345" w:type="dxa"/>
          </w:tcPr>
          <w:p w:rsidR="00E54307" w:rsidRPr="00EA68AA" w:rsidRDefault="00E54307" w:rsidP="00EB4117">
            <w:pPr>
              <w:jc w:val="both"/>
            </w:pPr>
            <w:r w:rsidRPr="00EA68AA">
              <w:t xml:space="preserve">3.3. pašvaldību budžets </w:t>
            </w:r>
          </w:p>
        </w:tc>
        <w:tc>
          <w:tcPr>
            <w:tcW w:w="1313" w:type="dxa"/>
            <w:shd w:val="clear" w:color="auto" w:fill="auto"/>
          </w:tcPr>
          <w:p w:rsidR="00E54307" w:rsidRPr="00EA68AA" w:rsidRDefault="00E54307" w:rsidP="00EB4117">
            <w:pPr>
              <w:pStyle w:val="naisf"/>
              <w:spacing w:before="0" w:after="0"/>
              <w:ind w:firstLine="0"/>
              <w:jc w:val="center"/>
            </w:pPr>
            <w:r w:rsidRPr="00EA68AA">
              <w:t>0</w:t>
            </w:r>
          </w:p>
        </w:tc>
        <w:tc>
          <w:tcPr>
            <w:tcW w:w="1318" w:type="dxa"/>
          </w:tcPr>
          <w:p w:rsidR="00E54307" w:rsidRPr="00EA68AA" w:rsidRDefault="00E54307" w:rsidP="00EB4117">
            <w:pPr>
              <w:pStyle w:val="naisf"/>
              <w:spacing w:before="0" w:after="0"/>
              <w:ind w:firstLine="0"/>
              <w:jc w:val="center"/>
            </w:pPr>
            <w:r w:rsidRPr="00EA68AA">
              <w:t>0</w:t>
            </w:r>
          </w:p>
        </w:tc>
        <w:tc>
          <w:tcPr>
            <w:tcW w:w="1322" w:type="dxa"/>
          </w:tcPr>
          <w:p w:rsidR="00E54307" w:rsidRPr="00EA68AA" w:rsidRDefault="00E54307" w:rsidP="00EB4117">
            <w:pPr>
              <w:pStyle w:val="naisf"/>
              <w:spacing w:before="0" w:after="0"/>
              <w:ind w:firstLine="0"/>
              <w:jc w:val="center"/>
            </w:pPr>
            <w:r w:rsidRPr="00EA68AA">
              <w:t>0</w:t>
            </w:r>
          </w:p>
        </w:tc>
        <w:tc>
          <w:tcPr>
            <w:tcW w:w="1181" w:type="dxa"/>
          </w:tcPr>
          <w:p w:rsidR="00E54307" w:rsidRPr="00EA68AA" w:rsidRDefault="00E54307" w:rsidP="00EB4117">
            <w:pPr>
              <w:pStyle w:val="naisf"/>
              <w:spacing w:before="0" w:after="0"/>
              <w:ind w:firstLine="0"/>
              <w:jc w:val="center"/>
            </w:pPr>
            <w:r w:rsidRPr="00EA68AA">
              <w:t>0</w:t>
            </w:r>
          </w:p>
        </w:tc>
        <w:tc>
          <w:tcPr>
            <w:tcW w:w="1323" w:type="dxa"/>
          </w:tcPr>
          <w:p w:rsidR="00E54307" w:rsidRPr="00EA68AA" w:rsidRDefault="00E54307" w:rsidP="00EB4117">
            <w:pPr>
              <w:pStyle w:val="naisf"/>
              <w:spacing w:before="0" w:after="0"/>
              <w:ind w:firstLine="0"/>
              <w:jc w:val="center"/>
            </w:pPr>
            <w:r w:rsidRPr="00EA68AA">
              <w:t>0</w:t>
            </w:r>
          </w:p>
        </w:tc>
      </w:tr>
      <w:tr w:rsidR="00E54307" w:rsidRPr="00EA68AA" w:rsidTr="00EB4117">
        <w:trPr>
          <w:jc w:val="center"/>
        </w:trPr>
        <w:tc>
          <w:tcPr>
            <w:tcW w:w="2345" w:type="dxa"/>
            <w:vMerge w:val="restart"/>
          </w:tcPr>
          <w:p w:rsidR="00E54307" w:rsidRPr="00EA68AA" w:rsidRDefault="00E54307" w:rsidP="00EB4117">
            <w:pPr>
              <w:jc w:val="both"/>
            </w:pPr>
            <w:r w:rsidRPr="00EA68AA">
              <w:t>4. Finanšu līdzekļi papildu izde</w:t>
            </w:r>
            <w:r w:rsidRPr="00EA68AA">
              <w:softHyphen/>
              <w:t>vumu finansēšanai (kompensējošu izdevumu samazinājumu norāda ar "+" zīmi)</w:t>
            </w:r>
          </w:p>
        </w:tc>
        <w:tc>
          <w:tcPr>
            <w:tcW w:w="1313" w:type="dxa"/>
            <w:vMerge w:val="restart"/>
          </w:tcPr>
          <w:p w:rsidR="00E54307" w:rsidRPr="00EA68AA" w:rsidRDefault="00E54307" w:rsidP="00EB4117">
            <w:pPr>
              <w:pStyle w:val="naisf"/>
              <w:spacing w:before="0" w:after="0"/>
              <w:ind w:firstLine="0"/>
              <w:jc w:val="center"/>
            </w:pPr>
            <w:r w:rsidRPr="00EA68AA">
              <w:t>X</w:t>
            </w:r>
          </w:p>
        </w:tc>
        <w:tc>
          <w:tcPr>
            <w:tcW w:w="1318" w:type="dxa"/>
          </w:tcPr>
          <w:p w:rsidR="00E54307" w:rsidRPr="00EA68AA" w:rsidRDefault="00E54307" w:rsidP="00EB4117">
            <w:pPr>
              <w:pStyle w:val="naisf"/>
              <w:spacing w:before="0" w:after="0"/>
              <w:ind w:firstLine="0"/>
              <w:jc w:val="center"/>
            </w:pPr>
            <w:r w:rsidRPr="00EA68AA">
              <w:t>0</w:t>
            </w:r>
          </w:p>
        </w:tc>
        <w:tc>
          <w:tcPr>
            <w:tcW w:w="1322" w:type="dxa"/>
          </w:tcPr>
          <w:p w:rsidR="00E54307" w:rsidRPr="00EA68AA" w:rsidRDefault="00E54307" w:rsidP="00EB4117">
            <w:pPr>
              <w:pStyle w:val="naisf"/>
              <w:spacing w:before="0" w:after="0"/>
              <w:ind w:firstLine="0"/>
              <w:jc w:val="center"/>
            </w:pPr>
            <w:r w:rsidRPr="00EA68AA">
              <w:t>0</w:t>
            </w:r>
          </w:p>
        </w:tc>
        <w:tc>
          <w:tcPr>
            <w:tcW w:w="1181" w:type="dxa"/>
          </w:tcPr>
          <w:p w:rsidR="00E54307" w:rsidRPr="00EA68AA" w:rsidRDefault="00E54307" w:rsidP="00EB4117">
            <w:pPr>
              <w:pStyle w:val="naisf"/>
              <w:spacing w:before="0" w:after="0"/>
              <w:ind w:firstLine="0"/>
              <w:jc w:val="center"/>
            </w:pPr>
            <w:r w:rsidRPr="00EA68AA">
              <w:t>0</w:t>
            </w:r>
          </w:p>
        </w:tc>
        <w:tc>
          <w:tcPr>
            <w:tcW w:w="1323" w:type="dxa"/>
          </w:tcPr>
          <w:p w:rsidR="00E54307" w:rsidRPr="00EA68AA" w:rsidRDefault="00E54307" w:rsidP="00EB4117">
            <w:pPr>
              <w:pStyle w:val="naisf"/>
              <w:spacing w:before="0" w:after="0"/>
              <w:ind w:firstLine="0"/>
              <w:jc w:val="center"/>
            </w:pPr>
            <w:r w:rsidRPr="00EA68AA">
              <w:t>0</w:t>
            </w:r>
          </w:p>
        </w:tc>
      </w:tr>
      <w:tr w:rsidR="00E54307" w:rsidRPr="00EA68AA" w:rsidTr="00EB4117">
        <w:trPr>
          <w:jc w:val="center"/>
        </w:trPr>
        <w:tc>
          <w:tcPr>
            <w:tcW w:w="2345" w:type="dxa"/>
            <w:vMerge/>
          </w:tcPr>
          <w:p w:rsidR="00E54307" w:rsidRPr="00EA68AA" w:rsidRDefault="00E54307" w:rsidP="00EB4117">
            <w:pPr>
              <w:jc w:val="both"/>
            </w:pPr>
          </w:p>
        </w:tc>
        <w:tc>
          <w:tcPr>
            <w:tcW w:w="1313" w:type="dxa"/>
            <w:vMerge/>
          </w:tcPr>
          <w:p w:rsidR="00E54307" w:rsidRPr="00EA68AA" w:rsidRDefault="00E54307" w:rsidP="00EB4117">
            <w:pPr>
              <w:pStyle w:val="naisf"/>
              <w:spacing w:before="0" w:after="0"/>
              <w:ind w:firstLine="0"/>
              <w:jc w:val="center"/>
            </w:pPr>
          </w:p>
        </w:tc>
        <w:tc>
          <w:tcPr>
            <w:tcW w:w="1318" w:type="dxa"/>
          </w:tcPr>
          <w:p w:rsidR="00E54307" w:rsidRPr="00EA68AA" w:rsidRDefault="00E54307" w:rsidP="00EB4117">
            <w:pPr>
              <w:pStyle w:val="naisf"/>
              <w:spacing w:before="0" w:after="0"/>
              <w:ind w:firstLine="0"/>
              <w:jc w:val="left"/>
            </w:pPr>
          </w:p>
        </w:tc>
        <w:tc>
          <w:tcPr>
            <w:tcW w:w="1322" w:type="dxa"/>
          </w:tcPr>
          <w:p w:rsidR="00E54307" w:rsidRPr="00EA68AA" w:rsidRDefault="00E54307" w:rsidP="00EB4117">
            <w:pPr>
              <w:pStyle w:val="naisf"/>
              <w:spacing w:before="0" w:after="0"/>
              <w:ind w:firstLine="0"/>
              <w:jc w:val="left"/>
            </w:pPr>
          </w:p>
        </w:tc>
        <w:tc>
          <w:tcPr>
            <w:tcW w:w="1181" w:type="dxa"/>
          </w:tcPr>
          <w:p w:rsidR="00E54307" w:rsidRPr="00EA68AA" w:rsidRDefault="00E54307" w:rsidP="00EB4117">
            <w:pPr>
              <w:pStyle w:val="naisf"/>
              <w:spacing w:before="0" w:after="0"/>
              <w:ind w:firstLine="0"/>
              <w:jc w:val="left"/>
            </w:pPr>
          </w:p>
        </w:tc>
        <w:tc>
          <w:tcPr>
            <w:tcW w:w="1323" w:type="dxa"/>
          </w:tcPr>
          <w:p w:rsidR="00E54307" w:rsidRPr="00EA68AA" w:rsidRDefault="00E54307" w:rsidP="00EB4117">
            <w:pPr>
              <w:pStyle w:val="naisf"/>
              <w:spacing w:before="0" w:after="0"/>
              <w:ind w:firstLine="0"/>
              <w:jc w:val="left"/>
            </w:pPr>
          </w:p>
        </w:tc>
      </w:tr>
      <w:tr w:rsidR="00E54307" w:rsidRPr="00EA68AA" w:rsidTr="00EB4117">
        <w:trPr>
          <w:jc w:val="center"/>
        </w:trPr>
        <w:tc>
          <w:tcPr>
            <w:tcW w:w="2345" w:type="dxa"/>
            <w:vMerge/>
          </w:tcPr>
          <w:p w:rsidR="00E54307" w:rsidRPr="00EA68AA" w:rsidRDefault="00E54307" w:rsidP="00EB4117">
            <w:pPr>
              <w:jc w:val="both"/>
            </w:pPr>
          </w:p>
        </w:tc>
        <w:tc>
          <w:tcPr>
            <w:tcW w:w="1313" w:type="dxa"/>
            <w:vMerge/>
          </w:tcPr>
          <w:p w:rsidR="00E54307" w:rsidRPr="00EA68AA" w:rsidRDefault="00E54307" w:rsidP="00EB4117">
            <w:pPr>
              <w:pStyle w:val="naisf"/>
              <w:spacing w:before="0" w:after="0"/>
              <w:ind w:firstLine="0"/>
              <w:jc w:val="center"/>
            </w:pPr>
          </w:p>
        </w:tc>
        <w:tc>
          <w:tcPr>
            <w:tcW w:w="1318" w:type="dxa"/>
          </w:tcPr>
          <w:p w:rsidR="00E54307" w:rsidRPr="00EA68AA" w:rsidRDefault="00E54307" w:rsidP="00EB4117">
            <w:pPr>
              <w:pStyle w:val="naisf"/>
              <w:spacing w:before="0" w:after="0"/>
              <w:ind w:firstLine="0"/>
              <w:jc w:val="left"/>
            </w:pPr>
          </w:p>
        </w:tc>
        <w:tc>
          <w:tcPr>
            <w:tcW w:w="1322" w:type="dxa"/>
          </w:tcPr>
          <w:p w:rsidR="00E54307" w:rsidRPr="00EA68AA" w:rsidRDefault="00E54307" w:rsidP="00EB4117">
            <w:pPr>
              <w:pStyle w:val="naisf"/>
              <w:spacing w:before="0" w:after="0"/>
              <w:ind w:firstLine="0"/>
              <w:jc w:val="left"/>
            </w:pPr>
          </w:p>
        </w:tc>
        <w:tc>
          <w:tcPr>
            <w:tcW w:w="1181" w:type="dxa"/>
          </w:tcPr>
          <w:p w:rsidR="00E54307" w:rsidRPr="00EA68AA" w:rsidRDefault="00E54307" w:rsidP="00EB4117">
            <w:pPr>
              <w:pStyle w:val="naisf"/>
              <w:spacing w:before="0" w:after="0"/>
              <w:ind w:firstLine="0"/>
              <w:jc w:val="left"/>
            </w:pPr>
          </w:p>
        </w:tc>
        <w:tc>
          <w:tcPr>
            <w:tcW w:w="1323" w:type="dxa"/>
          </w:tcPr>
          <w:p w:rsidR="00E54307" w:rsidRPr="00EA68AA" w:rsidRDefault="00E54307" w:rsidP="00EB4117">
            <w:pPr>
              <w:pStyle w:val="naisf"/>
              <w:spacing w:before="0" w:after="0"/>
              <w:ind w:firstLine="0"/>
              <w:jc w:val="left"/>
            </w:pPr>
          </w:p>
        </w:tc>
      </w:tr>
      <w:tr w:rsidR="00E54307" w:rsidRPr="00EA68AA" w:rsidTr="00EB4117">
        <w:trPr>
          <w:jc w:val="center"/>
        </w:trPr>
        <w:tc>
          <w:tcPr>
            <w:tcW w:w="2345" w:type="dxa"/>
          </w:tcPr>
          <w:p w:rsidR="00E54307" w:rsidRPr="00EA68AA" w:rsidRDefault="00E54307" w:rsidP="00EB4117">
            <w:pPr>
              <w:jc w:val="both"/>
            </w:pPr>
            <w:r w:rsidRPr="00EA68AA">
              <w:t>5. Precizēta finansiālā ietekme:</w:t>
            </w:r>
          </w:p>
        </w:tc>
        <w:tc>
          <w:tcPr>
            <w:tcW w:w="1313" w:type="dxa"/>
            <w:vMerge w:val="restart"/>
          </w:tcPr>
          <w:p w:rsidR="00E54307" w:rsidRPr="00EA68AA" w:rsidRDefault="00E54307" w:rsidP="00EB4117">
            <w:pPr>
              <w:pStyle w:val="naisf"/>
              <w:spacing w:before="0" w:after="0"/>
              <w:ind w:firstLine="0"/>
              <w:jc w:val="center"/>
            </w:pPr>
            <w:r w:rsidRPr="00EA68AA">
              <w:t>X</w:t>
            </w:r>
          </w:p>
        </w:tc>
        <w:tc>
          <w:tcPr>
            <w:tcW w:w="1318" w:type="dxa"/>
          </w:tcPr>
          <w:p w:rsidR="00E54307" w:rsidRPr="00EA68AA" w:rsidRDefault="00E54307" w:rsidP="00EB4117">
            <w:pPr>
              <w:pStyle w:val="naisf"/>
              <w:spacing w:before="0" w:after="0"/>
              <w:ind w:firstLine="0"/>
            </w:pPr>
          </w:p>
        </w:tc>
        <w:tc>
          <w:tcPr>
            <w:tcW w:w="1322" w:type="dxa"/>
          </w:tcPr>
          <w:p w:rsidR="00E54307" w:rsidRPr="00EA68AA" w:rsidRDefault="00E54307" w:rsidP="00EB4117">
            <w:pPr>
              <w:pStyle w:val="naisf"/>
              <w:spacing w:before="0" w:after="0"/>
              <w:ind w:firstLine="0"/>
              <w:jc w:val="center"/>
            </w:pPr>
            <w:r>
              <w:t>0</w:t>
            </w:r>
          </w:p>
        </w:tc>
        <w:tc>
          <w:tcPr>
            <w:tcW w:w="1181" w:type="dxa"/>
          </w:tcPr>
          <w:p w:rsidR="00E54307" w:rsidRPr="00EA68AA" w:rsidRDefault="00E54307" w:rsidP="00EB4117">
            <w:pPr>
              <w:pStyle w:val="naisf"/>
              <w:spacing w:before="0" w:after="0"/>
              <w:ind w:firstLine="0"/>
              <w:jc w:val="center"/>
            </w:pPr>
            <w:r>
              <w:t>0</w:t>
            </w:r>
          </w:p>
        </w:tc>
        <w:tc>
          <w:tcPr>
            <w:tcW w:w="1323" w:type="dxa"/>
          </w:tcPr>
          <w:p w:rsidR="00E54307" w:rsidRPr="00EA68AA" w:rsidRDefault="00E54307" w:rsidP="00EB4117">
            <w:pPr>
              <w:pStyle w:val="naisf"/>
              <w:spacing w:before="0" w:after="0"/>
              <w:ind w:firstLine="0"/>
              <w:jc w:val="center"/>
            </w:pPr>
            <w:r>
              <w:t>0</w:t>
            </w:r>
          </w:p>
        </w:tc>
      </w:tr>
      <w:tr w:rsidR="00E54307" w:rsidRPr="00EA68AA" w:rsidTr="00EB4117">
        <w:trPr>
          <w:jc w:val="center"/>
        </w:trPr>
        <w:tc>
          <w:tcPr>
            <w:tcW w:w="2345" w:type="dxa"/>
          </w:tcPr>
          <w:p w:rsidR="00E54307" w:rsidRPr="00EA68AA" w:rsidRDefault="00E54307" w:rsidP="00EB4117">
            <w:pPr>
              <w:jc w:val="both"/>
            </w:pPr>
            <w:r w:rsidRPr="00EA68AA">
              <w:t>5.1. valsts pamatbudžets</w:t>
            </w:r>
          </w:p>
        </w:tc>
        <w:tc>
          <w:tcPr>
            <w:tcW w:w="1313" w:type="dxa"/>
            <w:vMerge/>
            <w:vAlign w:val="center"/>
          </w:tcPr>
          <w:p w:rsidR="00E54307" w:rsidRPr="00EA68AA" w:rsidRDefault="00E54307" w:rsidP="00EB4117">
            <w:pPr>
              <w:pStyle w:val="naisf"/>
              <w:spacing w:before="0" w:after="0"/>
              <w:ind w:firstLine="0"/>
              <w:jc w:val="center"/>
            </w:pPr>
          </w:p>
        </w:tc>
        <w:tc>
          <w:tcPr>
            <w:tcW w:w="1318" w:type="dxa"/>
          </w:tcPr>
          <w:p w:rsidR="00E54307" w:rsidRPr="00EA68AA" w:rsidRDefault="00E54307" w:rsidP="00EB4117">
            <w:pPr>
              <w:pStyle w:val="naisf"/>
              <w:spacing w:before="0" w:after="0"/>
              <w:ind w:firstLine="0"/>
            </w:pPr>
          </w:p>
        </w:tc>
        <w:tc>
          <w:tcPr>
            <w:tcW w:w="1322" w:type="dxa"/>
          </w:tcPr>
          <w:p w:rsidR="00E54307" w:rsidRPr="00EA68AA" w:rsidRDefault="00E54307" w:rsidP="00EB4117">
            <w:pPr>
              <w:pStyle w:val="naisf"/>
              <w:spacing w:before="0" w:after="0"/>
              <w:ind w:firstLine="0"/>
              <w:jc w:val="center"/>
            </w:pPr>
            <w:r>
              <w:t>0</w:t>
            </w:r>
          </w:p>
        </w:tc>
        <w:tc>
          <w:tcPr>
            <w:tcW w:w="1181" w:type="dxa"/>
          </w:tcPr>
          <w:p w:rsidR="00E54307" w:rsidRPr="00EA68AA" w:rsidRDefault="00E54307" w:rsidP="00EB4117">
            <w:pPr>
              <w:pStyle w:val="naisf"/>
              <w:spacing w:before="0" w:after="0"/>
              <w:ind w:firstLine="0"/>
              <w:jc w:val="center"/>
            </w:pPr>
            <w:r>
              <w:t>0</w:t>
            </w:r>
          </w:p>
        </w:tc>
        <w:tc>
          <w:tcPr>
            <w:tcW w:w="1323" w:type="dxa"/>
          </w:tcPr>
          <w:p w:rsidR="00E54307" w:rsidRPr="00EA68AA" w:rsidRDefault="00E54307" w:rsidP="00EB4117">
            <w:pPr>
              <w:pStyle w:val="naisf"/>
              <w:spacing w:before="0" w:after="0"/>
              <w:ind w:firstLine="0"/>
              <w:jc w:val="center"/>
            </w:pPr>
            <w:r>
              <w:t>0</w:t>
            </w:r>
          </w:p>
        </w:tc>
      </w:tr>
      <w:tr w:rsidR="00E54307" w:rsidRPr="00EA68AA" w:rsidTr="00EB4117">
        <w:trPr>
          <w:jc w:val="center"/>
        </w:trPr>
        <w:tc>
          <w:tcPr>
            <w:tcW w:w="2345" w:type="dxa"/>
          </w:tcPr>
          <w:p w:rsidR="00E54307" w:rsidRPr="00EA68AA" w:rsidRDefault="00E54307" w:rsidP="00EB4117">
            <w:pPr>
              <w:jc w:val="both"/>
            </w:pPr>
            <w:r w:rsidRPr="00EA68AA">
              <w:t>5.2. speciālais budžets</w:t>
            </w:r>
          </w:p>
        </w:tc>
        <w:tc>
          <w:tcPr>
            <w:tcW w:w="1313" w:type="dxa"/>
            <w:vMerge/>
            <w:vAlign w:val="center"/>
          </w:tcPr>
          <w:p w:rsidR="00E54307" w:rsidRPr="00EA68AA" w:rsidRDefault="00E54307" w:rsidP="00EB4117">
            <w:pPr>
              <w:pStyle w:val="naisf"/>
              <w:spacing w:before="0" w:after="0"/>
              <w:ind w:firstLine="0"/>
              <w:jc w:val="center"/>
            </w:pPr>
          </w:p>
        </w:tc>
        <w:tc>
          <w:tcPr>
            <w:tcW w:w="1318" w:type="dxa"/>
          </w:tcPr>
          <w:p w:rsidR="00E54307" w:rsidRPr="00EA68AA" w:rsidRDefault="00E54307" w:rsidP="00EB4117">
            <w:pPr>
              <w:pStyle w:val="naisf"/>
              <w:spacing w:before="0" w:after="0"/>
              <w:ind w:firstLine="0"/>
            </w:pPr>
          </w:p>
        </w:tc>
        <w:tc>
          <w:tcPr>
            <w:tcW w:w="1322" w:type="dxa"/>
          </w:tcPr>
          <w:p w:rsidR="00E54307" w:rsidRPr="00EA68AA" w:rsidRDefault="00E54307" w:rsidP="00EB4117">
            <w:pPr>
              <w:pStyle w:val="naisf"/>
              <w:spacing w:before="0" w:after="0"/>
              <w:ind w:firstLine="0"/>
              <w:jc w:val="center"/>
            </w:pPr>
            <w:r w:rsidRPr="00EA68AA">
              <w:t>0</w:t>
            </w:r>
          </w:p>
        </w:tc>
        <w:tc>
          <w:tcPr>
            <w:tcW w:w="1181" w:type="dxa"/>
          </w:tcPr>
          <w:p w:rsidR="00E54307" w:rsidRPr="00EA68AA" w:rsidRDefault="00E54307" w:rsidP="00EB4117">
            <w:pPr>
              <w:pStyle w:val="naisf"/>
              <w:spacing w:before="0" w:after="0"/>
              <w:ind w:firstLine="0"/>
              <w:jc w:val="center"/>
            </w:pPr>
            <w:r w:rsidRPr="00EA68AA">
              <w:t>0</w:t>
            </w:r>
          </w:p>
        </w:tc>
        <w:tc>
          <w:tcPr>
            <w:tcW w:w="1323" w:type="dxa"/>
          </w:tcPr>
          <w:p w:rsidR="00E54307" w:rsidRPr="00EA68AA" w:rsidRDefault="00E54307" w:rsidP="00EB4117">
            <w:pPr>
              <w:pStyle w:val="naisf"/>
              <w:spacing w:before="0" w:after="0"/>
              <w:ind w:firstLine="0"/>
              <w:jc w:val="center"/>
            </w:pPr>
            <w:r w:rsidRPr="00EA68AA">
              <w:t>0</w:t>
            </w:r>
          </w:p>
        </w:tc>
      </w:tr>
      <w:tr w:rsidR="00E54307" w:rsidRPr="00EA68AA" w:rsidTr="00EB4117">
        <w:trPr>
          <w:jc w:val="center"/>
        </w:trPr>
        <w:tc>
          <w:tcPr>
            <w:tcW w:w="2345" w:type="dxa"/>
          </w:tcPr>
          <w:p w:rsidR="00E54307" w:rsidRPr="00EA68AA" w:rsidRDefault="00E54307" w:rsidP="00EB4117">
            <w:pPr>
              <w:jc w:val="both"/>
            </w:pPr>
            <w:r w:rsidRPr="00EA68AA">
              <w:t xml:space="preserve">5.3. pašvaldību budžets </w:t>
            </w:r>
          </w:p>
        </w:tc>
        <w:tc>
          <w:tcPr>
            <w:tcW w:w="1313" w:type="dxa"/>
            <w:vMerge/>
            <w:vAlign w:val="center"/>
          </w:tcPr>
          <w:p w:rsidR="00E54307" w:rsidRPr="00EA68AA" w:rsidRDefault="00E54307" w:rsidP="00EB4117">
            <w:pPr>
              <w:pStyle w:val="naisf"/>
              <w:spacing w:before="0" w:after="0"/>
              <w:ind w:firstLine="0"/>
              <w:jc w:val="center"/>
            </w:pPr>
          </w:p>
        </w:tc>
        <w:tc>
          <w:tcPr>
            <w:tcW w:w="1318" w:type="dxa"/>
          </w:tcPr>
          <w:p w:rsidR="00E54307" w:rsidRPr="00EA68AA" w:rsidRDefault="00E54307" w:rsidP="00EB4117">
            <w:pPr>
              <w:pStyle w:val="naisf"/>
              <w:spacing w:before="0" w:after="0"/>
              <w:ind w:firstLine="0"/>
            </w:pPr>
          </w:p>
        </w:tc>
        <w:tc>
          <w:tcPr>
            <w:tcW w:w="1322" w:type="dxa"/>
          </w:tcPr>
          <w:p w:rsidR="00E54307" w:rsidRPr="00EA68AA" w:rsidRDefault="00E54307" w:rsidP="00EB4117">
            <w:pPr>
              <w:pStyle w:val="naisf"/>
              <w:spacing w:before="0" w:after="0"/>
              <w:ind w:firstLine="0"/>
              <w:jc w:val="center"/>
            </w:pPr>
            <w:r w:rsidRPr="00EA68AA">
              <w:t>0</w:t>
            </w:r>
          </w:p>
        </w:tc>
        <w:tc>
          <w:tcPr>
            <w:tcW w:w="1181" w:type="dxa"/>
          </w:tcPr>
          <w:p w:rsidR="00E54307" w:rsidRPr="00EA68AA" w:rsidRDefault="00E54307" w:rsidP="00EB4117">
            <w:pPr>
              <w:pStyle w:val="naisf"/>
              <w:spacing w:before="0" w:after="0"/>
              <w:ind w:firstLine="0"/>
              <w:jc w:val="center"/>
            </w:pPr>
            <w:r w:rsidRPr="00EA68AA">
              <w:t>0</w:t>
            </w:r>
          </w:p>
        </w:tc>
        <w:tc>
          <w:tcPr>
            <w:tcW w:w="1323" w:type="dxa"/>
          </w:tcPr>
          <w:p w:rsidR="00E54307" w:rsidRPr="00EA68AA" w:rsidRDefault="00E54307" w:rsidP="00EB4117">
            <w:pPr>
              <w:pStyle w:val="naisf"/>
              <w:spacing w:before="0" w:after="0"/>
              <w:ind w:firstLine="0"/>
              <w:jc w:val="center"/>
            </w:pPr>
            <w:r w:rsidRPr="00EA68AA">
              <w:t>0</w:t>
            </w:r>
          </w:p>
        </w:tc>
      </w:tr>
      <w:tr w:rsidR="00E54307" w:rsidRPr="00EA68AA" w:rsidTr="00EB4117">
        <w:trPr>
          <w:jc w:val="center"/>
        </w:trPr>
        <w:tc>
          <w:tcPr>
            <w:tcW w:w="2345" w:type="dxa"/>
          </w:tcPr>
          <w:p w:rsidR="00E54307" w:rsidRPr="00EA68AA" w:rsidRDefault="00E54307" w:rsidP="00EB4117">
            <w:pPr>
              <w:jc w:val="both"/>
            </w:pPr>
            <w:r w:rsidRPr="00EA68AA">
              <w:lastRenderedPageBreak/>
              <w:t>6. Detalizēts ieņēmumu un izdevu</w:t>
            </w:r>
            <w:r w:rsidRPr="00EA68AA">
              <w:softHyphen/>
              <w:t>mu aprēķins (ja nepieciešams, detalizētu ieņēmumu un izdevumu aprēķinu var pievienot anotācijas pielikumā):</w:t>
            </w:r>
          </w:p>
        </w:tc>
        <w:tc>
          <w:tcPr>
            <w:tcW w:w="6457" w:type="dxa"/>
            <w:gridSpan w:val="5"/>
            <w:vMerge w:val="restart"/>
          </w:tcPr>
          <w:p w:rsidR="00E54307" w:rsidRPr="00EA68AA" w:rsidRDefault="00E54307" w:rsidP="00EB4117">
            <w:pPr>
              <w:pStyle w:val="naisf"/>
              <w:spacing w:before="0" w:after="0"/>
              <w:ind w:firstLine="0"/>
              <w:jc w:val="left"/>
            </w:pPr>
            <w:r w:rsidRPr="00EA68AA">
              <w:t xml:space="preserve">Ieņēmumi nav paredzēti. Latvijas kopējā iemaksa 11.EAF būs </w:t>
            </w:r>
            <w:r w:rsidRPr="00EA68AA">
              <w:rPr>
                <w:iCs/>
              </w:rPr>
              <w:t xml:space="preserve">35 423 567 </w:t>
            </w:r>
            <w:proofErr w:type="spellStart"/>
            <w:r w:rsidRPr="00EA68AA">
              <w:rPr>
                <w:i/>
                <w:iCs/>
              </w:rPr>
              <w:t>euro</w:t>
            </w:r>
            <w:proofErr w:type="spellEnd"/>
            <w:r w:rsidRPr="00EA68AA">
              <w:t>. Precīzus aprēķinus ikgadējai iemaksai tiesību akta izstrādāšanas laikā nav iespējams veikt.</w:t>
            </w:r>
          </w:p>
          <w:p w:rsidR="00E54307" w:rsidRPr="00EA68AA" w:rsidRDefault="00E54307" w:rsidP="00EB4117">
            <w:pPr>
              <w:pStyle w:val="naisf"/>
              <w:spacing w:before="0" w:after="0"/>
              <w:ind w:firstLine="0"/>
              <w:jc w:val="left"/>
              <w:rPr>
                <w:b/>
                <w:u w:val="single"/>
              </w:rPr>
            </w:pPr>
            <w:r w:rsidRPr="00EA68AA">
              <w:rPr>
                <w:b/>
                <w:u w:val="single"/>
              </w:rPr>
              <w:t>Skaidrojums:</w:t>
            </w:r>
          </w:p>
          <w:p w:rsidR="00E54307" w:rsidRPr="00EA68AA" w:rsidRDefault="00E54307" w:rsidP="00EB4117">
            <w:pPr>
              <w:pStyle w:val="naisf"/>
              <w:spacing w:before="0" w:after="0"/>
              <w:ind w:firstLine="0"/>
              <w:jc w:val="left"/>
            </w:pPr>
            <w:r w:rsidRPr="00EA68AA">
              <w:t xml:space="preserve">Iemaksas EAF tiek veiktas 3 reizes kalendārajā gadā atbilstoši Eiropas Komisijas </w:t>
            </w:r>
            <w:r>
              <w:t xml:space="preserve">(EK) </w:t>
            </w:r>
            <w:r w:rsidRPr="00EA68AA">
              <w:t xml:space="preserve">aprēķiniem, cik n+1 periodā būs nepieciešami likvīdi līdzekļi maksājumu veikšanai ĀKK valstīs īstenotajos projektos. </w:t>
            </w:r>
          </w:p>
          <w:p w:rsidR="00E54307" w:rsidRPr="00EA68AA" w:rsidRDefault="00E54307" w:rsidP="00EB4117">
            <w:pPr>
              <w:pStyle w:val="naisf"/>
              <w:spacing w:before="0" w:after="0"/>
              <w:ind w:firstLine="0"/>
              <w:jc w:val="left"/>
            </w:pPr>
            <w:r w:rsidRPr="00EA68AA">
              <w:t>Indikatīvais laika rāmis maksājumu sākšanai 11.EAF:</w:t>
            </w:r>
          </w:p>
          <w:p w:rsidR="00E54307" w:rsidRPr="00EA68AA" w:rsidRDefault="00E54307" w:rsidP="00EB4117">
            <w:pPr>
              <w:pStyle w:val="naisf"/>
              <w:spacing w:before="0" w:after="0"/>
              <w:ind w:left="703" w:hanging="703"/>
              <w:jc w:val="left"/>
            </w:pPr>
            <w:r w:rsidRPr="00EA68AA">
              <w:t>2014.g.otrā puse – pēc 28 valstu ratifikācijas stājas spēkā Iekšējais nolīgums; notiek projektu sagatavošana ES Delegācijās;</w:t>
            </w:r>
          </w:p>
          <w:p w:rsidR="00E54307" w:rsidRPr="00EA68AA" w:rsidRDefault="00E54307" w:rsidP="00EB4117">
            <w:pPr>
              <w:pStyle w:val="naisf"/>
              <w:spacing w:before="0" w:after="0"/>
              <w:ind w:left="703" w:hanging="703"/>
              <w:jc w:val="left"/>
            </w:pPr>
            <w:r w:rsidRPr="00EA68AA">
              <w:t>2015.g. – pēc iekšējām E</w:t>
            </w:r>
            <w:r>
              <w:t>K</w:t>
            </w:r>
            <w:r w:rsidRPr="00EA68AA">
              <w:t xml:space="preserve"> procedūrām tiek pieņemti lēmumi par projekta īstenošanu;</w:t>
            </w:r>
          </w:p>
          <w:p w:rsidR="00E54307" w:rsidRPr="00EA68AA" w:rsidRDefault="00E54307" w:rsidP="00EB4117">
            <w:pPr>
              <w:pStyle w:val="naisf"/>
              <w:spacing w:before="0" w:after="0"/>
              <w:ind w:left="703" w:hanging="703"/>
              <w:jc w:val="left"/>
            </w:pPr>
            <w:r w:rsidRPr="00EA68AA">
              <w:t>2016.g. – tiek parakstītas vienošanās ar partnervalstīm par projektu finansēšanu; tie ir juridiski un finansiāli saistoši dokumenti;</w:t>
            </w:r>
          </w:p>
          <w:p w:rsidR="00E54307" w:rsidRPr="00EA68AA" w:rsidRDefault="00E54307" w:rsidP="00EB4117">
            <w:pPr>
              <w:pStyle w:val="naisf"/>
              <w:spacing w:before="0" w:after="0"/>
              <w:ind w:left="703" w:hanging="703"/>
              <w:jc w:val="left"/>
            </w:pPr>
            <w:r w:rsidRPr="00EA68AA">
              <w:t>2017.-2020.g – šajā laikā projektu ieviesēji var sākt slēgt līgumus ar darbu izpildītājiem un veikt maksājumus.</w:t>
            </w:r>
          </w:p>
          <w:p w:rsidR="00E54307" w:rsidRPr="00EA68AA" w:rsidRDefault="00E54307" w:rsidP="00EB4117">
            <w:pPr>
              <w:pStyle w:val="naisf"/>
              <w:spacing w:before="0" w:after="0"/>
              <w:ind w:firstLine="0"/>
              <w:jc w:val="left"/>
            </w:pPr>
            <w:r w:rsidRPr="00EA68AA">
              <w:rPr>
                <w:b/>
                <w:u w:val="single"/>
              </w:rPr>
              <w:t>NB!</w:t>
            </w:r>
            <w:r w:rsidRPr="00EA68AA">
              <w:t xml:space="preserve"> Projektu ieviešana var turpināties arī pēc 11.EAF beigām, </w:t>
            </w:r>
            <w:proofErr w:type="spellStart"/>
            <w:r w:rsidRPr="00EA68AA">
              <w:t>t.i</w:t>
            </w:r>
            <w:proofErr w:type="spellEnd"/>
            <w:r w:rsidRPr="00EA68AA">
              <w:t>., pēc 2020.g. Piemēram, līdz 2013.gada beigām tiks izmaksāti 38% no 10.EAF, tātad, kamēr turpināsies projektu ieviešana10.EAF ietvaros</w:t>
            </w:r>
            <w:r>
              <w:t>, tikmēr dalībvalstis</w:t>
            </w:r>
            <w:r w:rsidRPr="00EA68AA">
              <w:t xml:space="preserve"> veiks iemaksas atbilstoši EK aprēķiniem, bet iemaksu kopsumma nevar pārsniegt kopējo valsts kontribūciju attiecīgajā EAF.</w:t>
            </w:r>
          </w:p>
          <w:p w:rsidR="00E54307" w:rsidRPr="00EA68AA" w:rsidRDefault="00E54307" w:rsidP="00EB4117">
            <w:pPr>
              <w:pStyle w:val="naisf"/>
              <w:spacing w:before="0" w:after="0"/>
              <w:ind w:firstLine="0"/>
              <w:jc w:val="left"/>
            </w:pPr>
            <w:r w:rsidRPr="00EA68AA">
              <w:rPr>
                <w:b/>
                <w:u w:val="single"/>
              </w:rPr>
              <w:t>Secinājums:</w:t>
            </w:r>
            <w:r w:rsidRPr="00EA68AA">
              <w:t xml:space="preserve"> </w:t>
            </w:r>
          </w:p>
          <w:p w:rsidR="00E54307" w:rsidRPr="00EA68AA" w:rsidRDefault="00E54307" w:rsidP="00EB4117">
            <w:pPr>
              <w:pStyle w:val="naisf"/>
              <w:spacing w:before="0" w:after="0"/>
              <w:ind w:firstLine="0"/>
              <w:jc w:val="left"/>
            </w:pPr>
            <w:r w:rsidRPr="00EA68AA">
              <w:t>Pirmās Latvijas iemaksas 11.EAF varētu būt 2017.gadā</w:t>
            </w:r>
            <w:r>
              <w:t>.</w:t>
            </w:r>
          </w:p>
        </w:tc>
      </w:tr>
      <w:tr w:rsidR="00E54307" w:rsidRPr="00EA68AA" w:rsidTr="00EB4117">
        <w:trPr>
          <w:jc w:val="center"/>
        </w:trPr>
        <w:tc>
          <w:tcPr>
            <w:tcW w:w="2345" w:type="dxa"/>
          </w:tcPr>
          <w:p w:rsidR="00E54307" w:rsidRPr="00EA68AA" w:rsidRDefault="00E54307" w:rsidP="00EB4117">
            <w:pPr>
              <w:jc w:val="both"/>
            </w:pPr>
            <w:r w:rsidRPr="00EA68AA">
              <w:t>6.1. detalizēts ieņēmumu aprēķins</w:t>
            </w:r>
          </w:p>
        </w:tc>
        <w:tc>
          <w:tcPr>
            <w:tcW w:w="6457" w:type="dxa"/>
            <w:gridSpan w:val="5"/>
            <w:vMerge/>
          </w:tcPr>
          <w:p w:rsidR="00E54307" w:rsidRPr="00EA68AA" w:rsidRDefault="00E54307" w:rsidP="00EB4117">
            <w:pPr>
              <w:pStyle w:val="naisf"/>
              <w:spacing w:before="0" w:after="0"/>
              <w:ind w:firstLine="0"/>
              <w:rPr>
                <w:b/>
                <w:i/>
              </w:rPr>
            </w:pPr>
          </w:p>
        </w:tc>
      </w:tr>
      <w:tr w:rsidR="00E54307" w:rsidRPr="00EA68AA" w:rsidTr="00EB4117">
        <w:trPr>
          <w:jc w:val="center"/>
        </w:trPr>
        <w:tc>
          <w:tcPr>
            <w:tcW w:w="2345" w:type="dxa"/>
          </w:tcPr>
          <w:p w:rsidR="00E54307" w:rsidRPr="00EA68AA" w:rsidRDefault="00E54307" w:rsidP="00EB4117">
            <w:pPr>
              <w:jc w:val="both"/>
            </w:pPr>
            <w:r w:rsidRPr="00EA68AA">
              <w:t>6.2. detalizēts izdevumu aprēķins</w:t>
            </w:r>
          </w:p>
        </w:tc>
        <w:tc>
          <w:tcPr>
            <w:tcW w:w="6457" w:type="dxa"/>
            <w:gridSpan w:val="5"/>
            <w:vMerge/>
          </w:tcPr>
          <w:p w:rsidR="00E54307" w:rsidRPr="00EA68AA" w:rsidRDefault="00E54307" w:rsidP="00EB4117">
            <w:pPr>
              <w:pStyle w:val="naisf"/>
              <w:spacing w:before="0" w:after="0"/>
              <w:ind w:firstLine="0"/>
              <w:rPr>
                <w:b/>
                <w:i/>
              </w:rPr>
            </w:pPr>
          </w:p>
        </w:tc>
      </w:tr>
      <w:tr w:rsidR="00E54307" w:rsidRPr="00EA68AA" w:rsidTr="00EB4117">
        <w:trPr>
          <w:jc w:val="center"/>
        </w:trPr>
        <w:tc>
          <w:tcPr>
            <w:tcW w:w="2345" w:type="dxa"/>
          </w:tcPr>
          <w:p w:rsidR="00E54307" w:rsidRPr="00EA68AA" w:rsidRDefault="00E54307" w:rsidP="00EB4117">
            <w:pPr>
              <w:jc w:val="both"/>
            </w:pPr>
            <w:r w:rsidRPr="00EA68AA">
              <w:t>7. Cita informācija</w:t>
            </w:r>
          </w:p>
        </w:tc>
        <w:tc>
          <w:tcPr>
            <w:tcW w:w="6457" w:type="dxa"/>
            <w:gridSpan w:val="5"/>
          </w:tcPr>
          <w:p w:rsidR="00E54307" w:rsidRPr="00EA68AA" w:rsidRDefault="00E54307" w:rsidP="00EB4117">
            <w:pPr>
              <w:pStyle w:val="naisf"/>
              <w:tabs>
                <w:tab w:val="left" w:pos="4644"/>
              </w:tabs>
              <w:ind w:firstLine="0"/>
            </w:pPr>
            <w:r w:rsidRPr="00E54307">
              <w:t>Nepieciešamie valsts budžeta līdzekļi iemaksu veikšanai 11.EAF</w:t>
            </w:r>
            <w:proofErr w:type="gramStart"/>
            <w:r w:rsidRPr="00E54307">
              <w:t xml:space="preserve">  </w:t>
            </w:r>
            <w:proofErr w:type="gramEnd"/>
            <w:r w:rsidRPr="00E54307">
              <w:t>paredzami Ārlietu ministrijas bāzes izdevumos, izstrādājot likumprojektu „Par vidējā termiņa budžeta ietvaru 2015., 2016. un 2017.gadam” un likumprojekta „Par valsts budžetu 2017.gadam” atbilstoši Ārlietu ministrijas sniegtajai informācijai, kura tiek atjaunota, balstoties uz Eiropas Komisijas veiktajiem aprēķiniem.</w:t>
            </w:r>
          </w:p>
        </w:tc>
      </w:tr>
    </w:tbl>
    <w:p w:rsidR="00E54307" w:rsidRPr="007C0F2C" w:rsidRDefault="00E54307" w:rsidP="00E54307">
      <w:pPr>
        <w:pStyle w:val="naiskr"/>
        <w:tabs>
          <w:tab w:val="left" w:pos="2628"/>
        </w:tabs>
        <w:spacing w:before="0" w:after="0"/>
        <w:rPr>
          <w:i/>
          <w:sz w:val="22"/>
          <w:szCs w:val="22"/>
        </w:rPr>
      </w:pPr>
    </w:p>
    <w:p w:rsidR="00E54307" w:rsidRDefault="00E54307" w:rsidP="00E54307">
      <w:pPr>
        <w:ind w:firstLine="720"/>
        <w:jc w:val="both"/>
        <w:rPr>
          <w:sz w:val="28"/>
          <w:szCs w:val="28"/>
        </w:rPr>
      </w:pPr>
    </w:p>
    <w:tbl>
      <w:tblPr>
        <w:tblW w:w="9640"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568"/>
        <w:gridCol w:w="3118"/>
        <w:gridCol w:w="5954"/>
      </w:tblGrid>
      <w:tr w:rsidR="00E54307" w:rsidRPr="00BA3C4F" w:rsidTr="00EB4117">
        <w:tc>
          <w:tcPr>
            <w:tcW w:w="9640" w:type="dxa"/>
            <w:gridSpan w:val="3"/>
            <w:tcBorders>
              <w:top w:val="outset" w:sz="6" w:space="0" w:color="auto"/>
              <w:left w:val="outset" w:sz="6" w:space="0" w:color="auto"/>
              <w:bottom w:val="outset" w:sz="6" w:space="0" w:color="auto"/>
              <w:right w:val="outset" w:sz="6" w:space="0" w:color="auto"/>
            </w:tcBorders>
            <w:vAlign w:val="center"/>
          </w:tcPr>
          <w:p w:rsidR="00E54307" w:rsidRPr="00BA3C4F" w:rsidRDefault="00E54307" w:rsidP="00EB4117">
            <w:pPr>
              <w:jc w:val="center"/>
              <w:rPr>
                <w:b/>
              </w:rPr>
            </w:pPr>
            <w:r w:rsidRPr="00BA3C4F">
              <w:rPr>
                <w:b/>
              </w:rPr>
              <w:t>V. Tiesību akta projekta atbilstība Latvijas Republikas starptautiskajām saistībām</w:t>
            </w:r>
          </w:p>
        </w:tc>
      </w:tr>
      <w:tr w:rsidR="00E54307" w:rsidRPr="00BA3C4F" w:rsidTr="00EB4117">
        <w:tc>
          <w:tcPr>
            <w:tcW w:w="568" w:type="dxa"/>
            <w:tcBorders>
              <w:top w:val="outset" w:sz="6" w:space="0" w:color="auto"/>
              <w:left w:val="outset" w:sz="6" w:space="0" w:color="auto"/>
              <w:bottom w:val="outset" w:sz="6" w:space="0" w:color="auto"/>
              <w:right w:val="outset" w:sz="6" w:space="0" w:color="auto"/>
            </w:tcBorders>
          </w:tcPr>
          <w:p w:rsidR="00E54307" w:rsidRPr="00BA3C4F" w:rsidRDefault="00E54307" w:rsidP="00EB4117">
            <w:pPr>
              <w:ind w:left="57"/>
            </w:pPr>
            <w:r w:rsidRPr="00BA3C4F">
              <w:t>1.</w:t>
            </w:r>
          </w:p>
        </w:tc>
        <w:tc>
          <w:tcPr>
            <w:tcW w:w="3118" w:type="dxa"/>
            <w:tcBorders>
              <w:top w:val="outset" w:sz="6" w:space="0" w:color="auto"/>
              <w:left w:val="outset" w:sz="6" w:space="0" w:color="auto"/>
              <w:bottom w:val="outset" w:sz="6" w:space="0" w:color="auto"/>
              <w:right w:val="outset" w:sz="6" w:space="0" w:color="auto"/>
            </w:tcBorders>
          </w:tcPr>
          <w:p w:rsidR="00E54307" w:rsidRPr="00BA3C4F" w:rsidRDefault="00E54307" w:rsidP="00EB4117">
            <w:pPr>
              <w:ind w:left="57"/>
            </w:pPr>
            <w:r w:rsidRPr="00BA3C4F">
              <w:t>Saistības pret Eiropas Savienību</w:t>
            </w:r>
          </w:p>
        </w:tc>
        <w:tc>
          <w:tcPr>
            <w:tcW w:w="5954" w:type="dxa"/>
            <w:tcBorders>
              <w:top w:val="outset" w:sz="6" w:space="0" w:color="auto"/>
              <w:left w:val="outset" w:sz="6" w:space="0" w:color="auto"/>
              <w:bottom w:val="outset" w:sz="6" w:space="0" w:color="auto"/>
              <w:right w:val="outset" w:sz="6" w:space="0" w:color="auto"/>
            </w:tcBorders>
          </w:tcPr>
          <w:p w:rsidR="00E54307" w:rsidRDefault="00E54307" w:rsidP="00EB4117">
            <w:pPr>
              <w:jc w:val="both"/>
            </w:pPr>
            <w:r>
              <w:t>Latvijas Republikas Pievienošanās Akta ES 6. panta 4. punkts paredz, ka ar šo Aktu ES jaunās dalībvalstis pievienojas ĀKK valstu un Eiropas Kopienas partnerattiecību nolīgumam (</w:t>
            </w:r>
            <w:proofErr w:type="spellStart"/>
            <w:r>
              <w:t>Kotonū</w:t>
            </w:r>
            <w:proofErr w:type="spellEnd"/>
            <w:r>
              <w:t xml:space="preserve"> nolīgumam). Līdz ar to uz Latviju attiecas arī </w:t>
            </w:r>
            <w:proofErr w:type="spellStart"/>
            <w:r>
              <w:t>Kotonū</w:t>
            </w:r>
            <w:proofErr w:type="spellEnd"/>
            <w:r>
              <w:t xml:space="preserve"> nolīgumā paredzētās saistības. </w:t>
            </w:r>
          </w:p>
          <w:p w:rsidR="00E54307" w:rsidRDefault="00E54307" w:rsidP="00EB4117">
            <w:r>
              <w:t>Iekšējais nolīgums tika parakstīts Luksemburgā un Briselē attiecīgi 2013.g. 24. un 26.jūnijā. Iekšējai</w:t>
            </w:r>
            <w:r w:rsidR="00CA1A76">
              <w:t>s</w:t>
            </w:r>
            <w:r>
              <w:t xml:space="preserve"> nolīgums stājas spēkā tikai tad, kad visas ES dalībvalstis ir to ratificējušas atbilstoši savām konstitucionālajām prasībām.</w:t>
            </w:r>
          </w:p>
          <w:p w:rsidR="00E54307" w:rsidRPr="00BA3C4F" w:rsidRDefault="00E54307" w:rsidP="00EB4117">
            <w:r>
              <w:t xml:space="preserve">Saistības, kuras Latvija uzņemas, pieņemot likumprojektu par Nolīguma spēkā stāšanos, pēc satura un būtības ir tādas pašas kā attiecībā uz 10.EAF, (publicēts </w:t>
            </w:r>
            <w:r w:rsidRPr="004634CB">
              <w:t xml:space="preserve">"Latvijas Vēstnesis", 72 (3648), </w:t>
            </w:r>
            <w:r>
              <w:t xml:space="preserve">2007.g. 5.maijā), </w:t>
            </w:r>
            <w:proofErr w:type="spellStart"/>
            <w:r>
              <w:t>t.i</w:t>
            </w:r>
            <w:proofErr w:type="spellEnd"/>
            <w:r>
              <w:t xml:space="preserve">., veikt atbilstošās </w:t>
            </w:r>
            <w:r>
              <w:lastRenderedPageBreak/>
              <w:t>iemaksas EAF un piedalīties tā pārvaldē caur EAF komiteju un Investīciju mehānisma komiteju (</w:t>
            </w:r>
            <w:proofErr w:type="spellStart"/>
            <w:r>
              <w:t>sk</w:t>
            </w:r>
            <w:proofErr w:type="spellEnd"/>
            <w:r>
              <w:t>. anotācijas I. sadaļas 4.punktu).</w:t>
            </w:r>
          </w:p>
        </w:tc>
      </w:tr>
      <w:tr w:rsidR="00E54307" w:rsidRPr="00BA3C4F" w:rsidTr="00EB4117">
        <w:tc>
          <w:tcPr>
            <w:tcW w:w="568" w:type="dxa"/>
            <w:tcBorders>
              <w:top w:val="outset" w:sz="6" w:space="0" w:color="auto"/>
              <w:left w:val="outset" w:sz="6" w:space="0" w:color="auto"/>
              <w:bottom w:val="outset" w:sz="6" w:space="0" w:color="auto"/>
              <w:right w:val="outset" w:sz="6" w:space="0" w:color="auto"/>
            </w:tcBorders>
          </w:tcPr>
          <w:p w:rsidR="00E54307" w:rsidRPr="00BA3C4F" w:rsidRDefault="00E54307" w:rsidP="00EB4117">
            <w:pPr>
              <w:ind w:left="57"/>
            </w:pPr>
            <w:r w:rsidRPr="00BA3C4F">
              <w:lastRenderedPageBreak/>
              <w:t>2.</w:t>
            </w:r>
          </w:p>
        </w:tc>
        <w:tc>
          <w:tcPr>
            <w:tcW w:w="3118" w:type="dxa"/>
            <w:tcBorders>
              <w:top w:val="outset" w:sz="6" w:space="0" w:color="auto"/>
              <w:left w:val="outset" w:sz="6" w:space="0" w:color="auto"/>
              <w:bottom w:val="outset" w:sz="6" w:space="0" w:color="auto"/>
              <w:right w:val="outset" w:sz="6" w:space="0" w:color="auto"/>
            </w:tcBorders>
          </w:tcPr>
          <w:p w:rsidR="00E54307" w:rsidRPr="00BA3C4F" w:rsidRDefault="00E54307" w:rsidP="00EB4117">
            <w:pPr>
              <w:ind w:left="57"/>
            </w:pPr>
            <w:r w:rsidRPr="00BA3C4F">
              <w:t>Citas starptautiskās saistības</w:t>
            </w:r>
          </w:p>
        </w:tc>
        <w:tc>
          <w:tcPr>
            <w:tcW w:w="5954" w:type="dxa"/>
            <w:tcBorders>
              <w:top w:val="outset" w:sz="6" w:space="0" w:color="auto"/>
              <w:left w:val="outset" w:sz="6" w:space="0" w:color="auto"/>
              <w:bottom w:val="outset" w:sz="6" w:space="0" w:color="auto"/>
              <w:right w:val="outset" w:sz="6" w:space="0" w:color="auto"/>
            </w:tcBorders>
          </w:tcPr>
          <w:p w:rsidR="00E54307" w:rsidRPr="00DD459E" w:rsidRDefault="00E54307" w:rsidP="00EB4117">
            <w:pPr>
              <w:ind w:left="57"/>
            </w:pPr>
            <w:r w:rsidRPr="00DD459E">
              <w:t>Nolīguma 4.panta 2.punktā noteiktās saistības nosaka:</w:t>
            </w:r>
          </w:p>
          <w:p w:rsidR="00E54307" w:rsidRPr="00DD459E" w:rsidRDefault="00E54307" w:rsidP="00EB4117">
            <w:pPr>
              <w:pStyle w:val="ListParagraph"/>
              <w:numPr>
                <w:ilvl w:val="0"/>
                <w:numId w:val="2"/>
              </w:numPr>
              <w:ind w:left="425" w:hanging="368"/>
            </w:pPr>
            <w:r w:rsidRPr="00DD459E">
              <w:t>„GARANTIJU LĪGUMS starp, Beļģijas Karalisti, Bulgārijas Republiku, Čehijas Republiku, Dānijas Karalisti, Vācijas Federatīvo Republiku, Igaunijas Republiku, Grieķijas Republiku, Spānijas Karalisti, Francijas Republiku, Īriju, Itālijas Republiku, Kipras Republiku, Latvijas Republiku, Lietuvas Republiku, Luksemburgas Lielhercogisti, Ungārijas Republiku, Maltu, Nīderlandes Karalisti, Austrijas Republiku, Polijas Republiku, Portugāles Republiku, Rumāniju, Slovēnijas Republiku, Slovākijas Republiku, Somijas Republiku, Zviedrijas Karalisti, Lielbritānijas un Ziemeļīrijas Apvienoto Karalisti un EIROPAS INVESTĪCIJU BANKU Par Eiropas Investīciju bankas aizdevumiem investīciju projektiem”</w:t>
            </w:r>
            <w:proofErr w:type="gramStart"/>
            <w:r w:rsidRPr="00DD459E">
              <w:t xml:space="preserve"> </w:t>
            </w:r>
            <w:r>
              <w:t>;</w:t>
            </w:r>
            <w:proofErr w:type="gramEnd"/>
            <w:r>
              <w:t xml:space="preserve"> p</w:t>
            </w:r>
            <w:r w:rsidRPr="00DD459E">
              <w:t>ieņemts 20.02.2009. 2010.gada 6.janvārī stājās spēkā. ("LV", 158 (4144), 06.10.2009., Ziņotājs, 21, 12.11.2009.)</w:t>
            </w:r>
          </w:p>
          <w:p w:rsidR="00E54307" w:rsidRDefault="00E54307" w:rsidP="00EB4117">
            <w:pPr>
              <w:pStyle w:val="ListParagraph"/>
              <w:numPr>
                <w:ilvl w:val="0"/>
                <w:numId w:val="2"/>
              </w:numPr>
              <w:ind w:left="425" w:hanging="368"/>
            </w:pPr>
            <w:r w:rsidRPr="00DD459E">
              <w:t>Grozījumi GARANTIJU LĪGUMĀ, pieņemti 29.11.2011, 2012.gada 22.jūnijā stājās spēkā. ("LV", 84 (4687), 30.05.2012.)</w:t>
            </w:r>
          </w:p>
          <w:p w:rsidR="00E54307" w:rsidRPr="00DD459E" w:rsidRDefault="00E54307" w:rsidP="00EB4117">
            <w:pPr>
              <w:pStyle w:val="ListParagraph"/>
              <w:numPr>
                <w:ilvl w:val="0"/>
                <w:numId w:val="2"/>
              </w:numPr>
              <w:ind w:left="425" w:hanging="368"/>
            </w:pPr>
            <w:r w:rsidRPr="00DD459E">
              <w:t>„IEILGUŠO PARĀDU PĀRVALDES LĪGUMS starp Beļģijas Karalisti, Bulgārijas Republiku, Čehijas Republiku, Dānijas Karalisti, Vācijas Federatīvo Republiku, Igaunijas Republiku, Grieķijas Republiku, Spānijas Karalisti, Francijas Republiku, Īriju, Itālijas Republiku, Kipras Republiku, Latvijas Republiku, Lietuvas Republiku, Luksemburgas Lielhercogisti, Ungārijas Republiku, Maltu, Nīderlandes Karalisti, Austrijas Republiku, Polijas Republiku, Portugāles Republiku, Rumāniju, Slovēnijas Republiku, Slovākijas Republiku, Somijas Republiku, Zviedrijas Karalisti, Lielbritānijas un Ziemeļīrijas Apvienoto Karalisti un EIROPAS INVESTĪCIJU BANKU, kas uzrauga maksājumu un atmaksu procedūras atbilstīgi Dalībvalstu sniegtajām Garantijām EIROPAS INVESTĪCIJU BANKAS labā”</w:t>
            </w:r>
            <w:r>
              <w:t>; p</w:t>
            </w:r>
            <w:r w:rsidRPr="00DD459E">
              <w:t>ieņemts 20.02.2009. 2010.gada 6.janvārī stājās spēkā. ("LV", 158 (4144), 06.10.2009., Ziņotājs, 21, 12.11.2009.)</w:t>
            </w:r>
          </w:p>
          <w:p w:rsidR="00E54307" w:rsidRPr="00BA3C4F" w:rsidRDefault="00E54307" w:rsidP="00EB4117">
            <w:pPr>
              <w:ind w:left="57"/>
            </w:pPr>
          </w:p>
        </w:tc>
      </w:tr>
      <w:tr w:rsidR="00E54307" w:rsidRPr="00BA3C4F" w:rsidTr="00EB4117">
        <w:tc>
          <w:tcPr>
            <w:tcW w:w="568" w:type="dxa"/>
            <w:tcBorders>
              <w:top w:val="outset" w:sz="6" w:space="0" w:color="auto"/>
              <w:left w:val="outset" w:sz="6" w:space="0" w:color="auto"/>
              <w:bottom w:val="outset" w:sz="6" w:space="0" w:color="auto"/>
              <w:right w:val="outset" w:sz="6" w:space="0" w:color="auto"/>
            </w:tcBorders>
          </w:tcPr>
          <w:p w:rsidR="00E54307" w:rsidRPr="00BA3C4F" w:rsidRDefault="00E54307" w:rsidP="00EB4117">
            <w:pPr>
              <w:ind w:left="57"/>
            </w:pPr>
            <w:r w:rsidRPr="00BA3C4F">
              <w:t>3.</w:t>
            </w:r>
          </w:p>
        </w:tc>
        <w:tc>
          <w:tcPr>
            <w:tcW w:w="3118" w:type="dxa"/>
            <w:tcBorders>
              <w:top w:val="outset" w:sz="6" w:space="0" w:color="auto"/>
              <w:left w:val="outset" w:sz="6" w:space="0" w:color="auto"/>
              <w:bottom w:val="outset" w:sz="6" w:space="0" w:color="auto"/>
              <w:right w:val="outset" w:sz="6" w:space="0" w:color="auto"/>
            </w:tcBorders>
          </w:tcPr>
          <w:p w:rsidR="00E54307" w:rsidRPr="00BA3C4F" w:rsidRDefault="00E54307" w:rsidP="00EB4117">
            <w:pPr>
              <w:ind w:left="57"/>
            </w:pPr>
            <w:r w:rsidRPr="00BA3C4F">
              <w:t>Cita informācija</w:t>
            </w:r>
          </w:p>
        </w:tc>
        <w:tc>
          <w:tcPr>
            <w:tcW w:w="5954" w:type="dxa"/>
            <w:tcBorders>
              <w:top w:val="outset" w:sz="6" w:space="0" w:color="auto"/>
              <w:left w:val="outset" w:sz="6" w:space="0" w:color="auto"/>
              <w:bottom w:val="outset" w:sz="6" w:space="0" w:color="auto"/>
              <w:right w:val="outset" w:sz="6" w:space="0" w:color="auto"/>
            </w:tcBorders>
          </w:tcPr>
          <w:p w:rsidR="00E54307" w:rsidRPr="00BA3C4F" w:rsidRDefault="00E54307" w:rsidP="00EB4117">
            <w:pPr>
              <w:ind w:left="57"/>
            </w:pPr>
            <w:r w:rsidRPr="00BA3C4F">
              <w:t>Nav</w:t>
            </w:r>
          </w:p>
        </w:tc>
      </w:tr>
    </w:tbl>
    <w:p w:rsidR="00E54307" w:rsidRPr="002550F1" w:rsidRDefault="00E54307" w:rsidP="00E54307">
      <w:pPr>
        <w:rPr>
          <w:sz w:val="2"/>
          <w:szCs w:val="2"/>
        </w:rPr>
      </w:pPr>
    </w:p>
    <w:p w:rsidR="00E54307" w:rsidRPr="00AF544C" w:rsidRDefault="00E54307" w:rsidP="00E54307"/>
    <w:tbl>
      <w:tblPr>
        <w:tblW w:w="9677" w:type="dxa"/>
        <w:jc w:val="center"/>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68"/>
        <w:gridCol w:w="4034"/>
        <w:gridCol w:w="5075"/>
      </w:tblGrid>
      <w:tr w:rsidR="00E54307" w:rsidRPr="00EA68AA" w:rsidTr="00EB4117">
        <w:trPr>
          <w:jc w:val="center"/>
        </w:trPr>
        <w:tc>
          <w:tcPr>
            <w:tcW w:w="9677" w:type="dxa"/>
            <w:gridSpan w:val="3"/>
          </w:tcPr>
          <w:p w:rsidR="00E54307" w:rsidRPr="00EA68AA" w:rsidRDefault="00E54307" w:rsidP="00EB4117">
            <w:pPr>
              <w:pStyle w:val="naisnod"/>
              <w:spacing w:before="0" w:after="0"/>
              <w:ind w:left="57" w:right="57"/>
            </w:pPr>
            <w:r w:rsidRPr="00EA68AA">
              <w:t>VI. Sabiedrības līdzdalība un šīs līdzdalības rezultāti</w:t>
            </w:r>
          </w:p>
        </w:tc>
      </w:tr>
      <w:tr w:rsidR="00E54307" w:rsidRPr="00EA68AA" w:rsidTr="00EB4117">
        <w:trPr>
          <w:trHeight w:val="553"/>
          <w:jc w:val="center"/>
        </w:trPr>
        <w:tc>
          <w:tcPr>
            <w:tcW w:w="568" w:type="dxa"/>
          </w:tcPr>
          <w:p w:rsidR="00E54307" w:rsidRPr="00EA68AA" w:rsidRDefault="00E54307" w:rsidP="00EB4117">
            <w:pPr>
              <w:pStyle w:val="naiskr"/>
              <w:spacing w:before="0" w:after="0"/>
              <w:ind w:left="57" w:right="57"/>
              <w:rPr>
                <w:bCs/>
              </w:rPr>
            </w:pPr>
            <w:r w:rsidRPr="00EA68AA">
              <w:rPr>
                <w:bCs/>
              </w:rPr>
              <w:t>1.</w:t>
            </w:r>
          </w:p>
        </w:tc>
        <w:tc>
          <w:tcPr>
            <w:tcW w:w="4034" w:type="dxa"/>
          </w:tcPr>
          <w:p w:rsidR="00E54307" w:rsidRPr="00EA68AA" w:rsidRDefault="00E54307" w:rsidP="00EB4117">
            <w:pPr>
              <w:pStyle w:val="naiskr"/>
              <w:tabs>
                <w:tab w:val="left" w:pos="170"/>
              </w:tabs>
              <w:spacing w:before="0" w:after="0"/>
              <w:ind w:left="57" w:right="57"/>
            </w:pPr>
            <w:r w:rsidRPr="00EA68AA">
              <w:t>Sabiedrības informēšana par projekta izstrādes uzsākšanu</w:t>
            </w:r>
          </w:p>
        </w:tc>
        <w:tc>
          <w:tcPr>
            <w:tcW w:w="5075" w:type="dxa"/>
          </w:tcPr>
          <w:p w:rsidR="00E54307" w:rsidRPr="00EA68AA" w:rsidRDefault="00E54307" w:rsidP="00EB4117">
            <w:pPr>
              <w:pStyle w:val="naiskr"/>
              <w:spacing w:before="0" w:after="0"/>
              <w:ind w:left="57" w:right="57"/>
              <w:jc w:val="both"/>
            </w:pPr>
            <w:r w:rsidRPr="00EA68AA">
              <w:rPr>
                <w:iCs/>
              </w:rPr>
              <w:t xml:space="preserve">Nav attiecināms. </w:t>
            </w:r>
          </w:p>
        </w:tc>
      </w:tr>
      <w:tr w:rsidR="00E54307" w:rsidRPr="00EA68AA" w:rsidTr="00EB4117">
        <w:trPr>
          <w:trHeight w:val="339"/>
          <w:jc w:val="center"/>
        </w:trPr>
        <w:tc>
          <w:tcPr>
            <w:tcW w:w="568" w:type="dxa"/>
          </w:tcPr>
          <w:p w:rsidR="00E54307" w:rsidRPr="00EA68AA" w:rsidRDefault="00E54307" w:rsidP="00EB4117">
            <w:pPr>
              <w:pStyle w:val="naiskr"/>
              <w:spacing w:before="0" w:after="0"/>
              <w:ind w:left="57" w:right="57"/>
              <w:rPr>
                <w:bCs/>
              </w:rPr>
            </w:pPr>
            <w:r w:rsidRPr="00EA68AA">
              <w:rPr>
                <w:bCs/>
              </w:rPr>
              <w:t>2.</w:t>
            </w:r>
          </w:p>
        </w:tc>
        <w:tc>
          <w:tcPr>
            <w:tcW w:w="4034" w:type="dxa"/>
          </w:tcPr>
          <w:p w:rsidR="00E54307" w:rsidRPr="00EA68AA" w:rsidRDefault="00E54307" w:rsidP="00EB4117">
            <w:pPr>
              <w:pStyle w:val="naiskr"/>
              <w:spacing w:before="0" w:after="0"/>
              <w:ind w:left="57" w:right="57"/>
            </w:pPr>
            <w:r w:rsidRPr="00EA68AA">
              <w:t xml:space="preserve">Sabiedrības līdzdalība projekta izstrādē </w:t>
            </w:r>
          </w:p>
        </w:tc>
        <w:tc>
          <w:tcPr>
            <w:tcW w:w="5075" w:type="dxa"/>
          </w:tcPr>
          <w:p w:rsidR="00E54307" w:rsidRPr="00EA68AA" w:rsidRDefault="00E54307" w:rsidP="00EB4117">
            <w:pPr>
              <w:pStyle w:val="naiskr"/>
              <w:spacing w:before="0" w:after="0"/>
              <w:ind w:left="57" w:right="57"/>
              <w:jc w:val="both"/>
            </w:pPr>
            <w:r w:rsidRPr="00EA68AA">
              <w:rPr>
                <w:iCs/>
              </w:rPr>
              <w:t>Nav attiecināms.</w:t>
            </w:r>
          </w:p>
        </w:tc>
      </w:tr>
      <w:tr w:rsidR="00E54307" w:rsidRPr="00EA68AA" w:rsidTr="00EB4117">
        <w:trPr>
          <w:trHeight w:val="375"/>
          <w:jc w:val="center"/>
        </w:trPr>
        <w:tc>
          <w:tcPr>
            <w:tcW w:w="568" w:type="dxa"/>
          </w:tcPr>
          <w:p w:rsidR="00E54307" w:rsidRPr="00EA68AA" w:rsidRDefault="00E54307" w:rsidP="00EB4117">
            <w:pPr>
              <w:pStyle w:val="naiskr"/>
              <w:spacing w:before="0" w:after="0"/>
              <w:ind w:left="57" w:right="57"/>
              <w:rPr>
                <w:bCs/>
              </w:rPr>
            </w:pPr>
            <w:r w:rsidRPr="00EA68AA">
              <w:rPr>
                <w:bCs/>
              </w:rPr>
              <w:t>3.</w:t>
            </w:r>
          </w:p>
        </w:tc>
        <w:tc>
          <w:tcPr>
            <w:tcW w:w="4034" w:type="dxa"/>
          </w:tcPr>
          <w:p w:rsidR="00E54307" w:rsidRPr="00EA68AA" w:rsidRDefault="00E54307" w:rsidP="00EB4117">
            <w:pPr>
              <w:pStyle w:val="naiskr"/>
              <w:spacing w:before="0" w:after="0"/>
              <w:ind w:left="57" w:right="57"/>
            </w:pPr>
            <w:r w:rsidRPr="00EA68AA">
              <w:t xml:space="preserve">Sabiedrības līdzdalības rezultāti </w:t>
            </w:r>
          </w:p>
        </w:tc>
        <w:tc>
          <w:tcPr>
            <w:tcW w:w="5075" w:type="dxa"/>
          </w:tcPr>
          <w:p w:rsidR="00E54307" w:rsidRPr="00EA68AA" w:rsidRDefault="00E54307" w:rsidP="00EB4117">
            <w:pPr>
              <w:pStyle w:val="naiskr"/>
              <w:spacing w:before="0" w:after="0"/>
              <w:ind w:left="57" w:right="57"/>
              <w:jc w:val="both"/>
            </w:pPr>
            <w:r w:rsidRPr="00EA68AA">
              <w:rPr>
                <w:iCs/>
              </w:rPr>
              <w:t>Nav attiecināms.</w:t>
            </w:r>
          </w:p>
        </w:tc>
      </w:tr>
      <w:tr w:rsidR="00E54307" w:rsidRPr="00EA68AA" w:rsidTr="00EB4117">
        <w:trPr>
          <w:trHeight w:val="397"/>
          <w:jc w:val="center"/>
        </w:trPr>
        <w:tc>
          <w:tcPr>
            <w:tcW w:w="568" w:type="dxa"/>
          </w:tcPr>
          <w:p w:rsidR="00E54307" w:rsidRPr="00EA68AA" w:rsidRDefault="00E54307" w:rsidP="00EB4117">
            <w:pPr>
              <w:pStyle w:val="naiskr"/>
              <w:spacing w:before="0" w:after="0"/>
              <w:ind w:left="57" w:right="57"/>
              <w:rPr>
                <w:bCs/>
              </w:rPr>
            </w:pPr>
            <w:r w:rsidRPr="00EA68AA">
              <w:rPr>
                <w:bCs/>
              </w:rPr>
              <w:lastRenderedPageBreak/>
              <w:t>4.</w:t>
            </w:r>
          </w:p>
        </w:tc>
        <w:tc>
          <w:tcPr>
            <w:tcW w:w="4034" w:type="dxa"/>
          </w:tcPr>
          <w:p w:rsidR="00E54307" w:rsidRPr="00EA68AA" w:rsidRDefault="00E54307" w:rsidP="00EB4117">
            <w:pPr>
              <w:pStyle w:val="naiskr"/>
              <w:spacing w:before="0" w:after="0"/>
              <w:ind w:left="57" w:right="57"/>
            </w:pPr>
            <w:r w:rsidRPr="00EA68AA">
              <w:t>Saeimas un ekspertu līdzdalība</w:t>
            </w:r>
          </w:p>
        </w:tc>
        <w:tc>
          <w:tcPr>
            <w:tcW w:w="5075" w:type="dxa"/>
          </w:tcPr>
          <w:p w:rsidR="00E54307" w:rsidRPr="00EA68AA" w:rsidRDefault="00E54307" w:rsidP="00EB4117">
            <w:pPr>
              <w:pStyle w:val="naiskr"/>
              <w:spacing w:before="0" w:after="0"/>
              <w:ind w:left="57" w:right="57"/>
              <w:jc w:val="both"/>
            </w:pPr>
            <w:r w:rsidRPr="00EA68AA">
              <w:rPr>
                <w:iCs/>
              </w:rPr>
              <w:t>Nav attiecināms.</w:t>
            </w:r>
          </w:p>
        </w:tc>
      </w:tr>
      <w:tr w:rsidR="00E54307" w:rsidRPr="00EA68AA" w:rsidTr="00EB4117">
        <w:trPr>
          <w:trHeight w:val="476"/>
          <w:jc w:val="center"/>
        </w:trPr>
        <w:tc>
          <w:tcPr>
            <w:tcW w:w="568" w:type="dxa"/>
          </w:tcPr>
          <w:p w:rsidR="00E54307" w:rsidRPr="00EA68AA" w:rsidRDefault="00E54307" w:rsidP="00EB4117">
            <w:pPr>
              <w:pStyle w:val="naiskr"/>
              <w:spacing w:before="0" w:after="0"/>
              <w:ind w:left="57" w:right="57"/>
              <w:rPr>
                <w:bCs/>
              </w:rPr>
            </w:pPr>
            <w:r w:rsidRPr="00EA68AA">
              <w:rPr>
                <w:bCs/>
              </w:rPr>
              <w:t>5.</w:t>
            </w:r>
          </w:p>
        </w:tc>
        <w:tc>
          <w:tcPr>
            <w:tcW w:w="4034" w:type="dxa"/>
          </w:tcPr>
          <w:p w:rsidR="00E54307" w:rsidRPr="00EA68AA" w:rsidRDefault="00E54307" w:rsidP="00EB4117">
            <w:pPr>
              <w:pStyle w:val="naiskr"/>
              <w:spacing w:before="0" w:after="0"/>
              <w:ind w:left="57" w:right="57"/>
            </w:pPr>
            <w:r w:rsidRPr="00EA68AA">
              <w:t>Cita informācija</w:t>
            </w:r>
          </w:p>
          <w:p w:rsidR="00E54307" w:rsidRPr="00EA68AA" w:rsidRDefault="00E54307" w:rsidP="00EB4117">
            <w:pPr>
              <w:pStyle w:val="naiskr"/>
              <w:spacing w:before="0" w:after="0"/>
              <w:ind w:left="57" w:right="57"/>
            </w:pPr>
          </w:p>
        </w:tc>
        <w:tc>
          <w:tcPr>
            <w:tcW w:w="5075" w:type="dxa"/>
          </w:tcPr>
          <w:p w:rsidR="00E54307" w:rsidRPr="00EA68AA" w:rsidRDefault="00E54307" w:rsidP="00EB4117">
            <w:pPr>
              <w:pStyle w:val="naiskr"/>
              <w:spacing w:before="0" w:after="0"/>
              <w:ind w:left="57" w:right="57"/>
              <w:jc w:val="both"/>
            </w:pPr>
            <w:r w:rsidRPr="00EA68AA">
              <w:t>Nav</w:t>
            </w:r>
          </w:p>
        </w:tc>
      </w:tr>
    </w:tbl>
    <w:p w:rsidR="00E54307" w:rsidRPr="007C0F2C" w:rsidRDefault="00E54307" w:rsidP="00E54307">
      <w:pPr>
        <w:pStyle w:val="naisf"/>
        <w:spacing w:before="0" w:after="0"/>
        <w:rPr>
          <w:sz w:val="28"/>
          <w:szCs w:val="28"/>
        </w:rPr>
      </w:pPr>
    </w:p>
    <w:tbl>
      <w:tblPr>
        <w:tblW w:w="969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26"/>
        <w:gridCol w:w="4135"/>
        <w:gridCol w:w="5136"/>
      </w:tblGrid>
      <w:tr w:rsidR="00E54307" w:rsidRPr="00EA68AA" w:rsidTr="00EB4117">
        <w:tc>
          <w:tcPr>
            <w:tcW w:w="9697" w:type="dxa"/>
            <w:gridSpan w:val="3"/>
            <w:tcBorders>
              <w:top w:val="single" w:sz="4" w:space="0" w:color="auto"/>
            </w:tcBorders>
          </w:tcPr>
          <w:p w:rsidR="00E54307" w:rsidRPr="00EA68AA" w:rsidRDefault="00E54307" w:rsidP="00EB4117">
            <w:pPr>
              <w:pStyle w:val="naisnod"/>
              <w:spacing w:before="0" w:after="0"/>
              <w:ind w:left="57" w:right="57"/>
            </w:pPr>
            <w:r w:rsidRPr="00EA68AA">
              <w:t>VII. Tiesību akta projekta izpildes nodrošināšana un tās ietekme uz institūcijām</w:t>
            </w:r>
          </w:p>
        </w:tc>
      </w:tr>
      <w:tr w:rsidR="00E54307" w:rsidRPr="00EA68AA" w:rsidTr="00EB4117">
        <w:trPr>
          <w:trHeight w:val="427"/>
        </w:trPr>
        <w:tc>
          <w:tcPr>
            <w:tcW w:w="426" w:type="dxa"/>
          </w:tcPr>
          <w:p w:rsidR="00E54307" w:rsidRPr="00EA68AA" w:rsidRDefault="00E54307" w:rsidP="00EB4117">
            <w:pPr>
              <w:pStyle w:val="naisnod"/>
              <w:spacing w:before="0" w:after="0"/>
              <w:ind w:left="57" w:right="57"/>
              <w:jc w:val="left"/>
              <w:rPr>
                <w:b w:val="0"/>
              </w:rPr>
            </w:pPr>
            <w:r w:rsidRPr="00EA68AA">
              <w:rPr>
                <w:b w:val="0"/>
              </w:rPr>
              <w:t>1.</w:t>
            </w:r>
          </w:p>
        </w:tc>
        <w:tc>
          <w:tcPr>
            <w:tcW w:w="4135" w:type="dxa"/>
          </w:tcPr>
          <w:p w:rsidR="00E54307" w:rsidRPr="00EA68AA" w:rsidRDefault="00E54307" w:rsidP="00EB4117">
            <w:pPr>
              <w:pStyle w:val="naisf"/>
              <w:spacing w:before="0" w:after="0"/>
              <w:ind w:left="57" w:right="57" w:firstLine="0"/>
              <w:jc w:val="left"/>
            </w:pPr>
            <w:r w:rsidRPr="00EA68AA">
              <w:t xml:space="preserve">Projekta izpildē iesaistītās institūcijas </w:t>
            </w:r>
          </w:p>
        </w:tc>
        <w:tc>
          <w:tcPr>
            <w:tcW w:w="5136" w:type="dxa"/>
          </w:tcPr>
          <w:p w:rsidR="00E54307" w:rsidRPr="00EA68AA" w:rsidRDefault="00E54307" w:rsidP="00EB4117">
            <w:pPr>
              <w:pStyle w:val="naisnod"/>
              <w:spacing w:before="0" w:after="0"/>
              <w:ind w:left="57" w:right="57"/>
              <w:jc w:val="left"/>
              <w:rPr>
                <w:b w:val="0"/>
              </w:rPr>
            </w:pPr>
            <w:r w:rsidRPr="00EA68AA">
              <w:rPr>
                <w:b w:val="0"/>
                <w:iCs/>
              </w:rPr>
              <w:t>Ārlietu ministrija.</w:t>
            </w:r>
          </w:p>
        </w:tc>
      </w:tr>
      <w:tr w:rsidR="00E54307" w:rsidRPr="00EA68AA" w:rsidTr="00EB4117">
        <w:trPr>
          <w:trHeight w:val="463"/>
        </w:trPr>
        <w:tc>
          <w:tcPr>
            <w:tcW w:w="426" w:type="dxa"/>
          </w:tcPr>
          <w:p w:rsidR="00E54307" w:rsidRPr="00EA68AA" w:rsidRDefault="00E54307" w:rsidP="00EB4117">
            <w:pPr>
              <w:pStyle w:val="naisnod"/>
              <w:spacing w:before="0" w:after="0"/>
              <w:ind w:left="57" w:right="57"/>
              <w:jc w:val="left"/>
              <w:rPr>
                <w:b w:val="0"/>
              </w:rPr>
            </w:pPr>
            <w:r w:rsidRPr="00EA68AA">
              <w:rPr>
                <w:b w:val="0"/>
              </w:rPr>
              <w:t>2.</w:t>
            </w:r>
          </w:p>
        </w:tc>
        <w:tc>
          <w:tcPr>
            <w:tcW w:w="4135" w:type="dxa"/>
          </w:tcPr>
          <w:p w:rsidR="00E54307" w:rsidRPr="00EA68AA" w:rsidRDefault="00E54307" w:rsidP="00EB4117">
            <w:pPr>
              <w:pStyle w:val="naisf"/>
              <w:spacing w:before="0" w:after="0"/>
              <w:ind w:left="57" w:right="57" w:firstLine="0"/>
              <w:jc w:val="left"/>
            </w:pPr>
            <w:r w:rsidRPr="00EA68AA">
              <w:t xml:space="preserve">Projekta izpildes ietekme uz pārvaldes funkcijām </w:t>
            </w:r>
          </w:p>
        </w:tc>
        <w:tc>
          <w:tcPr>
            <w:tcW w:w="5136" w:type="dxa"/>
          </w:tcPr>
          <w:p w:rsidR="00E54307" w:rsidRPr="00EA68AA" w:rsidRDefault="00E54307" w:rsidP="00EB4117">
            <w:pPr>
              <w:pStyle w:val="naisnod"/>
              <w:spacing w:before="0" w:after="0"/>
              <w:ind w:left="57" w:right="57"/>
              <w:jc w:val="left"/>
              <w:rPr>
                <w:b w:val="0"/>
              </w:rPr>
            </w:pPr>
            <w:r w:rsidRPr="00EA68AA">
              <w:rPr>
                <w:b w:val="0"/>
                <w:iCs/>
              </w:rPr>
              <w:t>Likumprojekta izpilde tiks nodrošināta līdzšinējo funkciju ietvaros.</w:t>
            </w:r>
          </w:p>
        </w:tc>
      </w:tr>
      <w:tr w:rsidR="00E54307" w:rsidRPr="00EA68AA" w:rsidTr="00EB4117">
        <w:trPr>
          <w:trHeight w:val="725"/>
        </w:trPr>
        <w:tc>
          <w:tcPr>
            <w:tcW w:w="426" w:type="dxa"/>
          </w:tcPr>
          <w:p w:rsidR="00E54307" w:rsidRPr="00EA68AA" w:rsidRDefault="00E54307" w:rsidP="00EB4117">
            <w:pPr>
              <w:pStyle w:val="naisnod"/>
              <w:spacing w:before="0" w:after="0"/>
              <w:ind w:left="57" w:right="57"/>
              <w:jc w:val="left"/>
              <w:rPr>
                <w:b w:val="0"/>
              </w:rPr>
            </w:pPr>
            <w:r w:rsidRPr="00EA68AA">
              <w:rPr>
                <w:b w:val="0"/>
              </w:rPr>
              <w:t>3.</w:t>
            </w:r>
          </w:p>
        </w:tc>
        <w:tc>
          <w:tcPr>
            <w:tcW w:w="4135" w:type="dxa"/>
          </w:tcPr>
          <w:p w:rsidR="00E54307" w:rsidRPr="00EA68AA" w:rsidRDefault="00E54307" w:rsidP="00EB4117">
            <w:pPr>
              <w:pStyle w:val="naisf"/>
              <w:spacing w:before="0" w:after="0"/>
              <w:ind w:left="57" w:right="57" w:firstLine="0"/>
              <w:jc w:val="left"/>
            </w:pPr>
            <w:r w:rsidRPr="00EA68AA">
              <w:t>Projekta izpildes ietekme uz pārvaldes institucionālo struktūru.</w:t>
            </w:r>
          </w:p>
          <w:p w:rsidR="00E54307" w:rsidRPr="00EA68AA" w:rsidRDefault="00E54307" w:rsidP="00EB4117">
            <w:pPr>
              <w:pStyle w:val="naisf"/>
              <w:spacing w:before="0" w:after="0"/>
              <w:ind w:left="57" w:right="57" w:firstLine="0"/>
              <w:jc w:val="left"/>
            </w:pPr>
            <w:r w:rsidRPr="00EA68AA">
              <w:t>Jaunu institūciju izveide</w:t>
            </w:r>
          </w:p>
        </w:tc>
        <w:tc>
          <w:tcPr>
            <w:tcW w:w="5136" w:type="dxa"/>
          </w:tcPr>
          <w:p w:rsidR="00E54307" w:rsidRPr="00EA68AA" w:rsidRDefault="00E54307" w:rsidP="00EB4117">
            <w:pPr>
              <w:pStyle w:val="naisnod"/>
              <w:spacing w:before="0" w:after="0"/>
              <w:ind w:left="57" w:right="57"/>
              <w:jc w:val="left"/>
              <w:rPr>
                <w:b w:val="0"/>
              </w:rPr>
            </w:pPr>
            <w:r w:rsidRPr="00EA68AA">
              <w:rPr>
                <w:b w:val="0"/>
                <w:iCs/>
              </w:rPr>
              <w:t>Likumprojekta izpildei nav nepieciešams izveidot jaunas institūcijas.</w:t>
            </w:r>
          </w:p>
        </w:tc>
      </w:tr>
      <w:tr w:rsidR="00E54307" w:rsidRPr="00EA68AA" w:rsidTr="00EB4117">
        <w:trPr>
          <w:trHeight w:val="780"/>
        </w:trPr>
        <w:tc>
          <w:tcPr>
            <w:tcW w:w="426" w:type="dxa"/>
          </w:tcPr>
          <w:p w:rsidR="00E54307" w:rsidRPr="00EA68AA" w:rsidRDefault="00E54307" w:rsidP="00EB4117">
            <w:pPr>
              <w:pStyle w:val="naisnod"/>
              <w:spacing w:before="0" w:after="0"/>
              <w:ind w:left="57" w:right="57"/>
              <w:jc w:val="left"/>
              <w:rPr>
                <w:b w:val="0"/>
              </w:rPr>
            </w:pPr>
            <w:r w:rsidRPr="00EA68AA">
              <w:rPr>
                <w:b w:val="0"/>
              </w:rPr>
              <w:t>4.</w:t>
            </w:r>
          </w:p>
        </w:tc>
        <w:tc>
          <w:tcPr>
            <w:tcW w:w="4135" w:type="dxa"/>
          </w:tcPr>
          <w:p w:rsidR="00E54307" w:rsidRPr="00EA68AA" w:rsidRDefault="00E54307" w:rsidP="00EB4117">
            <w:pPr>
              <w:pStyle w:val="naisf"/>
              <w:spacing w:before="0" w:after="0"/>
              <w:ind w:left="57" w:right="57" w:firstLine="0"/>
              <w:jc w:val="left"/>
            </w:pPr>
            <w:r w:rsidRPr="00EA68AA">
              <w:t>Projekta izpildes ietekme uz pārvaldes institucionālo struktūru.</w:t>
            </w:r>
          </w:p>
          <w:p w:rsidR="00E54307" w:rsidRPr="00EA68AA" w:rsidRDefault="00E54307" w:rsidP="00EB4117">
            <w:pPr>
              <w:pStyle w:val="naisf"/>
              <w:spacing w:before="0" w:after="0"/>
              <w:ind w:left="57" w:right="57" w:firstLine="0"/>
              <w:jc w:val="left"/>
            </w:pPr>
            <w:r w:rsidRPr="00EA68AA">
              <w:t>Esošu institūciju likvidācija</w:t>
            </w:r>
          </w:p>
        </w:tc>
        <w:tc>
          <w:tcPr>
            <w:tcW w:w="5136" w:type="dxa"/>
          </w:tcPr>
          <w:p w:rsidR="00E54307" w:rsidRPr="00EA68AA" w:rsidRDefault="00E54307" w:rsidP="00EB4117">
            <w:pPr>
              <w:pStyle w:val="naisnod"/>
              <w:spacing w:before="0" w:after="0"/>
              <w:ind w:left="57" w:right="57"/>
              <w:jc w:val="left"/>
              <w:rPr>
                <w:b w:val="0"/>
              </w:rPr>
            </w:pPr>
            <w:r w:rsidRPr="00EA68AA">
              <w:rPr>
                <w:b w:val="0"/>
                <w:iCs/>
              </w:rPr>
              <w:t>Likumprojekta izpildei nav nepieciešams likvidēt esošu institūciju.</w:t>
            </w:r>
          </w:p>
        </w:tc>
      </w:tr>
      <w:tr w:rsidR="00E54307" w:rsidRPr="00EA68AA" w:rsidTr="00EB4117">
        <w:trPr>
          <w:trHeight w:val="703"/>
        </w:trPr>
        <w:tc>
          <w:tcPr>
            <w:tcW w:w="426" w:type="dxa"/>
          </w:tcPr>
          <w:p w:rsidR="00E54307" w:rsidRPr="00EA68AA" w:rsidRDefault="00E54307" w:rsidP="00EB4117">
            <w:pPr>
              <w:pStyle w:val="naisnod"/>
              <w:spacing w:before="0" w:after="0"/>
              <w:ind w:left="57" w:right="57"/>
              <w:jc w:val="left"/>
              <w:rPr>
                <w:b w:val="0"/>
              </w:rPr>
            </w:pPr>
            <w:r w:rsidRPr="00EA68AA">
              <w:rPr>
                <w:b w:val="0"/>
              </w:rPr>
              <w:t>5.</w:t>
            </w:r>
          </w:p>
        </w:tc>
        <w:tc>
          <w:tcPr>
            <w:tcW w:w="4135" w:type="dxa"/>
          </w:tcPr>
          <w:p w:rsidR="00E54307" w:rsidRPr="00EA68AA" w:rsidRDefault="00E54307" w:rsidP="00EB4117">
            <w:pPr>
              <w:pStyle w:val="naisf"/>
              <w:spacing w:before="0" w:after="0"/>
              <w:ind w:left="57" w:right="57" w:firstLine="0"/>
              <w:jc w:val="left"/>
            </w:pPr>
            <w:r w:rsidRPr="00EA68AA">
              <w:t>Projekta izpildes ietekme uz pārvaldes institucionālo struktūru.</w:t>
            </w:r>
          </w:p>
          <w:p w:rsidR="00E54307" w:rsidRPr="00EA68AA" w:rsidRDefault="00E54307" w:rsidP="00EB4117">
            <w:pPr>
              <w:pStyle w:val="naisf"/>
              <w:spacing w:before="0" w:after="0"/>
              <w:ind w:left="57" w:right="57" w:firstLine="0"/>
              <w:jc w:val="left"/>
            </w:pPr>
            <w:r w:rsidRPr="00EA68AA">
              <w:t>Esošu institūciju reorganizācija</w:t>
            </w:r>
          </w:p>
        </w:tc>
        <w:tc>
          <w:tcPr>
            <w:tcW w:w="5136" w:type="dxa"/>
          </w:tcPr>
          <w:p w:rsidR="00E54307" w:rsidRPr="00EA68AA" w:rsidRDefault="00E54307" w:rsidP="00EB4117">
            <w:pPr>
              <w:pStyle w:val="naisnod"/>
              <w:spacing w:before="0" w:after="0"/>
              <w:ind w:left="57" w:right="57"/>
              <w:jc w:val="left"/>
              <w:rPr>
                <w:b w:val="0"/>
              </w:rPr>
            </w:pPr>
            <w:r w:rsidRPr="00EA68AA">
              <w:rPr>
                <w:b w:val="0"/>
                <w:iCs/>
              </w:rPr>
              <w:t>Likumprojekta izpildei nav nepieciešams reorganizēt esošu institūciju vai apvienot esošas institūcijas.</w:t>
            </w:r>
          </w:p>
        </w:tc>
      </w:tr>
      <w:tr w:rsidR="00E54307" w:rsidRPr="00EA68AA" w:rsidTr="00EB4117">
        <w:trPr>
          <w:trHeight w:val="476"/>
        </w:trPr>
        <w:tc>
          <w:tcPr>
            <w:tcW w:w="426" w:type="dxa"/>
          </w:tcPr>
          <w:p w:rsidR="00E54307" w:rsidRPr="00EA68AA" w:rsidRDefault="00E54307" w:rsidP="00EB4117">
            <w:pPr>
              <w:pStyle w:val="naiskr"/>
              <w:spacing w:before="0" w:after="0"/>
              <w:ind w:left="57" w:right="57"/>
            </w:pPr>
            <w:r w:rsidRPr="00EA68AA">
              <w:t>6.</w:t>
            </w:r>
          </w:p>
        </w:tc>
        <w:tc>
          <w:tcPr>
            <w:tcW w:w="4135" w:type="dxa"/>
          </w:tcPr>
          <w:p w:rsidR="00E54307" w:rsidRPr="00EA68AA" w:rsidRDefault="00E54307" w:rsidP="00EB4117">
            <w:pPr>
              <w:pStyle w:val="naiskr"/>
              <w:spacing w:before="0" w:after="0"/>
              <w:ind w:left="57" w:right="57"/>
            </w:pPr>
            <w:r w:rsidRPr="00EA68AA">
              <w:t>Cita informācija</w:t>
            </w:r>
          </w:p>
        </w:tc>
        <w:tc>
          <w:tcPr>
            <w:tcW w:w="5136" w:type="dxa"/>
          </w:tcPr>
          <w:p w:rsidR="00E54307" w:rsidRPr="00EA68AA" w:rsidRDefault="00E54307" w:rsidP="00EB4117">
            <w:pPr>
              <w:pStyle w:val="naiskr"/>
              <w:spacing w:before="0" w:after="0"/>
              <w:ind w:left="57" w:right="57"/>
            </w:pPr>
            <w:r w:rsidRPr="00EA68AA">
              <w:t>Nav.</w:t>
            </w:r>
          </w:p>
        </w:tc>
      </w:tr>
    </w:tbl>
    <w:p w:rsidR="00E54307" w:rsidRPr="00EA68AA" w:rsidRDefault="00E54307" w:rsidP="00E54307">
      <w:pPr>
        <w:pStyle w:val="naisf"/>
        <w:tabs>
          <w:tab w:val="left" w:pos="5760"/>
        </w:tabs>
        <w:spacing w:before="0" w:after="0"/>
        <w:ind w:firstLine="720"/>
      </w:pPr>
      <w:r w:rsidRPr="00EA68AA">
        <w:t>Anotācijas II, IV sadaļas un V sadaļas 1. un 2.tabula nav attiecināmas.</w:t>
      </w:r>
    </w:p>
    <w:p w:rsidR="00E54307" w:rsidRPr="00EA68AA" w:rsidRDefault="00E54307" w:rsidP="00E54307">
      <w:pPr>
        <w:pStyle w:val="naisf"/>
        <w:tabs>
          <w:tab w:val="left" w:pos="5760"/>
        </w:tabs>
        <w:spacing w:before="0" w:after="0"/>
        <w:ind w:firstLine="720"/>
      </w:pPr>
    </w:p>
    <w:p w:rsidR="00E54307" w:rsidRPr="00EA68AA" w:rsidRDefault="00E54307" w:rsidP="00E54307">
      <w:pPr>
        <w:pStyle w:val="naisf"/>
        <w:tabs>
          <w:tab w:val="left" w:pos="6804"/>
        </w:tabs>
        <w:spacing w:before="0" w:after="0"/>
        <w:ind w:firstLine="720"/>
      </w:pPr>
    </w:p>
    <w:p w:rsidR="00E54307" w:rsidRDefault="00E54307" w:rsidP="00E54307">
      <w:pPr>
        <w:pStyle w:val="naisf"/>
        <w:tabs>
          <w:tab w:val="left" w:pos="6804"/>
        </w:tabs>
        <w:spacing w:before="0" w:after="0"/>
        <w:ind w:firstLine="720"/>
      </w:pPr>
    </w:p>
    <w:p w:rsidR="00E54307" w:rsidRPr="00EA68AA" w:rsidRDefault="00E54307" w:rsidP="00E54307">
      <w:pPr>
        <w:pStyle w:val="naisf"/>
        <w:tabs>
          <w:tab w:val="left" w:pos="6804"/>
        </w:tabs>
        <w:spacing w:before="0" w:after="0"/>
        <w:ind w:firstLine="720"/>
      </w:pPr>
      <w:r w:rsidRPr="00EA68AA">
        <w:t>Ārlietu ministrs</w:t>
      </w:r>
      <w:r w:rsidRPr="00EA68AA">
        <w:tab/>
      </w:r>
      <w:proofErr w:type="spellStart"/>
      <w:r w:rsidRPr="00EA68AA">
        <w:t>E.Rinkēvičs</w:t>
      </w:r>
      <w:proofErr w:type="spellEnd"/>
    </w:p>
    <w:p w:rsidR="00E54307" w:rsidRPr="00EA68AA" w:rsidRDefault="00E54307" w:rsidP="00E54307">
      <w:pPr>
        <w:pStyle w:val="naisf"/>
        <w:tabs>
          <w:tab w:val="left" w:pos="6804"/>
        </w:tabs>
        <w:spacing w:before="0" w:after="0"/>
        <w:ind w:firstLine="720"/>
      </w:pPr>
    </w:p>
    <w:p w:rsidR="00E54307" w:rsidRPr="00EA68AA" w:rsidRDefault="00E54307" w:rsidP="00E54307">
      <w:pPr>
        <w:pStyle w:val="naisf"/>
        <w:tabs>
          <w:tab w:val="left" w:pos="6804"/>
        </w:tabs>
        <w:spacing w:before="0" w:after="0"/>
        <w:ind w:firstLine="720"/>
      </w:pPr>
    </w:p>
    <w:p w:rsidR="00E54307" w:rsidRDefault="00E54307" w:rsidP="00E54307">
      <w:pPr>
        <w:pStyle w:val="naisf"/>
        <w:tabs>
          <w:tab w:val="left" w:pos="6804"/>
        </w:tabs>
        <w:spacing w:before="0" w:after="0"/>
        <w:ind w:firstLine="720"/>
      </w:pPr>
    </w:p>
    <w:p w:rsidR="00E54307" w:rsidRPr="00EA68AA" w:rsidRDefault="00E54307" w:rsidP="00E54307">
      <w:pPr>
        <w:pStyle w:val="naisf"/>
        <w:tabs>
          <w:tab w:val="left" w:pos="6804"/>
        </w:tabs>
        <w:spacing w:before="0" w:after="0"/>
        <w:ind w:firstLine="720"/>
      </w:pPr>
      <w:r w:rsidRPr="00EA68AA">
        <w:t>Vīza: Valsts sekretārs</w:t>
      </w:r>
      <w:r w:rsidRPr="00EA68AA">
        <w:tab/>
      </w:r>
      <w:proofErr w:type="spellStart"/>
      <w:r w:rsidRPr="00EA68AA">
        <w:t>A.Pildegovičs</w:t>
      </w:r>
      <w:proofErr w:type="spellEnd"/>
    </w:p>
    <w:p w:rsidR="00E54307" w:rsidRDefault="00E54307" w:rsidP="00E54307">
      <w:pPr>
        <w:pStyle w:val="naisf"/>
        <w:tabs>
          <w:tab w:val="left" w:pos="6804"/>
        </w:tabs>
        <w:spacing w:before="0" w:after="0"/>
        <w:ind w:firstLine="720"/>
        <w:rPr>
          <w:sz w:val="28"/>
          <w:szCs w:val="28"/>
        </w:rPr>
      </w:pPr>
    </w:p>
    <w:p w:rsidR="00E54307" w:rsidRDefault="00E54307" w:rsidP="00E54307">
      <w:pPr>
        <w:pStyle w:val="naisf"/>
        <w:tabs>
          <w:tab w:val="left" w:pos="6804"/>
        </w:tabs>
        <w:spacing w:before="0" w:after="0"/>
        <w:ind w:firstLine="720"/>
        <w:rPr>
          <w:sz w:val="28"/>
          <w:szCs w:val="28"/>
        </w:rPr>
      </w:pPr>
    </w:p>
    <w:p w:rsidR="00E54307" w:rsidRDefault="00E54307" w:rsidP="00E54307">
      <w:pPr>
        <w:pStyle w:val="naisf"/>
        <w:tabs>
          <w:tab w:val="left" w:pos="6804"/>
        </w:tabs>
        <w:spacing w:before="0" w:after="0"/>
        <w:ind w:firstLine="720"/>
        <w:rPr>
          <w:sz w:val="28"/>
          <w:szCs w:val="28"/>
        </w:rPr>
      </w:pPr>
    </w:p>
    <w:p w:rsidR="00E54307" w:rsidRDefault="00E54307" w:rsidP="00E54307">
      <w:pPr>
        <w:jc w:val="both"/>
        <w:rPr>
          <w:sz w:val="18"/>
          <w:szCs w:val="18"/>
        </w:rPr>
      </w:pPr>
    </w:p>
    <w:p w:rsidR="00E54307" w:rsidRDefault="00E54307" w:rsidP="00E54307">
      <w:pPr>
        <w:jc w:val="both"/>
        <w:rPr>
          <w:sz w:val="18"/>
          <w:szCs w:val="18"/>
        </w:rPr>
      </w:pPr>
    </w:p>
    <w:p w:rsidR="00E54307" w:rsidRDefault="00E54307" w:rsidP="00E54307">
      <w:pPr>
        <w:jc w:val="both"/>
        <w:rPr>
          <w:sz w:val="18"/>
          <w:szCs w:val="18"/>
        </w:rPr>
      </w:pPr>
    </w:p>
    <w:p w:rsidR="00E54307" w:rsidRDefault="00E54307" w:rsidP="00E54307">
      <w:pPr>
        <w:jc w:val="both"/>
        <w:rPr>
          <w:sz w:val="18"/>
          <w:szCs w:val="18"/>
        </w:rPr>
      </w:pPr>
    </w:p>
    <w:p w:rsidR="00E54307" w:rsidRDefault="00E54307" w:rsidP="00E54307">
      <w:pPr>
        <w:jc w:val="both"/>
        <w:rPr>
          <w:sz w:val="18"/>
          <w:szCs w:val="18"/>
        </w:rPr>
      </w:pPr>
    </w:p>
    <w:p w:rsidR="00E54307" w:rsidRDefault="00E54307" w:rsidP="00E54307">
      <w:pPr>
        <w:jc w:val="both"/>
        <w:rPr>
          <w:sz w:val="18"/>
          <w:szCs w:val="18"/>
        </w:rPr>
      </w:pPr>
    </w:p>
    <w:p w:rsidR="00E54307" w:rsidRDefault="00E54307" w:rsidP="00E54307">
      <w:pPr>
        <w:jc w:val="both"/>
        <w:rPr>
          <w:sz w:val="18"/>
          <w:szCs w:val="18"/>
        </w:rPr>
      </w:pPr>
    </w:p>
    <w:p w:rsidR="00E54307" w:rsidRDefault="00E54307" w:rsidP="00E54307">
      <w:pPr>
        <w:jc w:val="both"/>
        <w:rPr>
          <w:sz w:val="18"/>
          <w:szCs w:val="18"/>
        </w:rPr>
      </w:pPr>
    </w:p>
    <w:p w:rsidR="00E54307" w:rsidRDefault="00E54307" w:rsidP="00E54307">
      <w:pPr>
        <w:jc w:val="both"/>
        <w:rPr>
          <w:sz w:val="18"/>
          <w:szCs w:val="18"/>
        </w:rPr>
      </w:pPr>
    </w:p>
    <w:p w:rsidR="00E54307" w:rsidRDefault="00E54307" w:rsidP="00E54307">
      <w:pPr>
        <w:jc w:val="both"/>
        <w:rPr>
          <w:sz w:val="18"/>
          <w:szCs w:val="18"/>
        </w:rPr>
      </w:pPr>
    </w:p>
    <w:p w:rsidR="00E54307" w:rsidRDefault="00E54307" w:rsidP="00E54307">
      <w:pPr>
        <w:jc w:val="both"/>
        <w:rPr>
          <w:sz w:val="18"/>
          <w:szCs w:val="18"/>
        </w:rPr>
      </w:pPr>
    </w:p>
    <w:p w:rsidR="00E54307" w:rsidRDefault="00E54307" w:rsidP="00E54307">
      <w:pPr>
        <w:jc w:val="both"/>
        <w:rPr>
          <w:sz w:val="18"/>
          <w:szCs w:val="18"/>
        </w:rPr>
      </w:pPr>
    </w:p>
    <w:p w:rsidR="00E54307" w:rsidRDefault="00E54307" w:rsidP="00E54307">
      <w:pPr>
        <w:jc w:val="both"/>
        <w:rPr>
          <w:sz w:val="18"/>
          <w:szCs w:val="18"/>
        </w:rPr>
      </w:pPr>
    </w:p>
    <w:p w:rsidR="00E54307" w:rsidRDefault="00E54307" w:rsidP="00E54307">
      <w:pPr>
        <w:jc w:val="both"/>
        <w:rPr>
          <w:sz w:val="18"/>
          <w:szCs w:val="18"/>
        </w:rPr>
      </w:pPr>
    </w:p>
    <w:p w:rsidR="00E54307" w:rsidRDefault="00E54307" w:rsidP="00E54307">
      <w:pPr>
        <w:jc w:val="both"/>
        <w:rPr>
          <w:sz w:val="18"/>
          <w:szCs w:val="18"/>
        </w:rPr>
      </w:pPr>
    </w:p>
    <w:p w:rsidR="00E54307" w:rsidRDefault="00E54307" w:rsidP="00E54307">
      <w:pPr>
        <w:jc w:val="both"/>
        <w:rPr>
          <w:sz w:val="18"/>
          <w:szCs w:val="18"/>
        </w:rPr>
      </w:pPr>
    </w:p>
    <w:p w:rsidR="00E54307" w:rsidRDefault="00E54307" w:rsidP="00E54307">
      <w:pPr>
        <w:jc w:val="both"/>
        <w:rPr>
          <w:sz w:val="18"/>
          <w:szCs w:val="18"/>
        </w:rPr>
      </w:pPr>
    </w:p>
    <w:p w:rsidR="00E54307" w:rsidRPr="000F3D50" w:rsidRDefault="00E54307" w:rsidP="00E54307">
      <w:pPr>
        <w:jc w:val="both"/>
        <w:rPr>
          <w:sz w:val="18"/>
          <w:szCs w:val="18"/>
        </w:rPr>
      </w:pPr>
      <w:r>
        <w:rPr>
          <w:sz w:val="18"/>
          <w:szCs w:val="18"/>
        </w:rPr>
        <w:fldChar w:fldCharType="begin"/>
      </w:r>
      <w:r>
        <w:rPr>
          <w:sz w:val="18"/>
          <w:szCs w:val="18"/>
        </w:rPr>
        <w:instrText xml:space="preserve"> TIME \@ "yyyy.MM.dd. H:mm" </w:instrText>
      </w:r>
      <w:r>
        <w:rPr>
          <w:sz w:val="18"/>
          <w:szCs w:val="18"/>
        </w:rPr>
        <w:fldChar w:fldCharType="separate"/>
      </w:r>
      <w:r w:rsidR="00656286">
        <w:rPr>
          <w:noProof/>
          <w:sz w:val="18"/>
          <w:szCs w:val="18"/>
        </w:rPr>
        <w:t>2013.10.08. 10:53</w:t>
      </w:r>
      <w:r>
        <w:rPr>
          <w:sz w:val="18"/>
          <w:szCs w:val="18"/>
        </w:rPr>
        <w:fldChar w:fldCharType="end"/>
      </w:r>
    </w:p>
    <w:p w:rsidR="00E54307" w:rsidRPr="00B90610" w:rsidRDefault="00E54307" w:rsidP="00E54307">
      <w:pPr>
        <w:jc w:val="both"/>
        <w:rPr>
          <w:sz w:val="18"/>
          <w:szCs w:val="18"/>
        </w:rPr>
      </w:pPr>
      <w:r>
        <w:rPr>
          <w:sz w:val="18"/>
          <w:szCs w:val="18"/>
        </w:rPr>
        <w:t>1548</w:t>
      </w:r>
    </w:p>
    <w:p w:rsidR="00E54307" w:rsidRPr="00B90610" w:rsidRDefault="00E54307" w:rsidP="00E54307">
      <w:pPr>
        <w:jc w:val="both"/>
        <w:rPr>
          <w:sz w:val="18"/>
          <w:szCs w:val="18"/>
        </w:rPr>
      </w:pPr>
      <w:r>
        <w:rPr>
          <w:sz w:val="18"/>
          <w:szCs w:val="18"/>
        </w:rPr>
        <w:t>I.Zelgalve</w:t>
      </w:r>
    </w:p>
    <w:p w:rsidR="00E54307" w:rsidRPr="00B90610" w:rsidRDefault="00E54307" w:rsidP="00E54307">
      <w:pPr>
        <w:jc w:val="both"/>
        <w:rPr>
          <w:sz w:val="18"/>
          <w:szCs w:val="18"/>
        </w:rPr>
      </w:pPr>
      <w:proofErr w:type="spellStart"/>
      <w:r w:rsidRPr="00B90610">
        <w:rPr>
          <w:sz w:val="18"/>
          <w:szCs w:val="18"/>
        </w:rPr>
        <w:t>Tālr</w:t>
      </w:r>
      <w:proofErr w:type="spellEnd"/>
      <w:r w:rsidRPr="00B90610">
        <w:rPr>
          <w:sz w:val="18"/>
          <w:szCs w:val="18"/>
        </w:rPr>
        <w:t>. 670164</w:t>
      </w:r>
      <w:r>
        <w:rPr>
          <w:sz w:val="18"/>
          <w:szCs w:val="18"/>
        </w:rPr>
        <w:t>20</w:t>
      </w:r>
      <w:r w:rsidRPr="00B90610">
        <w:rPr>
          <w:sz w:val="18"/>
          <w:szCs w:val="18"/>
        </w:rPr>
        <w:t xml:space="preserve">, </w:t>
      </w:r>
      <w:r w:rsidRPr="00B90610">
        <w:rPr>
          <w:bCs/>
          <w:sz w:val="18"/>
          <w:szCs w:val="18"/>
        </w:rPr>
        <w:t>fax.</w:t>
      </w:r>
      <w:r w:rsidRPr="00B90610">
        <w:rPr>
          <w:i/>
          <w:iCs/>
          <w:sz w:val="18"/>
          <w:szCs w:val="18"/>
        </w:rPr>
        <w:t xml:space="preserve"> </w:t>
      </w:r>
      <w:r w:rsidRPr="00B90610">
        <w:rPr>
          <w:iCs/>
          <w:sz w:val="18"/>
          <w:szCs w:val="18"/>
        </w:rPr>
        <w:t>67828121</w:t>
      </w:r>
    </w:p>
    <w:p w:rsidR="00ED4F62" w:rsidRPr="00E54307" w:rsidRDefault="00E54307" w:rsidP="00E54307">
      <w:pPr>
        <w:jc w:val="both"/>
        <w:rPr>
          <w:sz w:val="28"/>
          <w:szCs w:val="28"/>
        </w:rPr>
      </w:pPr>
      <w:r w:rsidRPr="00B90610">
        <w:rPr>
          <w:sz w:val="18"/>
          <w:szCs w:val="18"/>
        </w:rPr>
        <w:t xml:space="preserve">e-pasts: </w:t>
      </w:r>
      <w:hyperlink r:id="rId9" w:history="1">
        <w:r w:rsidRPr="00064FC7">
          <w:rPr>
            <w:rStyle w:val="Hyperlink"/>
            <w:sz w:val="18"/>
            <w:szCs w:val="18"/>
          </w:rPr>
          <w:t>ilze.zelgalve@mfa.gov.lv</w:t>
        </w:r>
      </w:hyperlink>
    </w:p>
    <w:sectPr w:rsidR="00ED4F62" w:rsidRPr="00E54307" w:rsidSect="008723FA">
      <w:headerReference w:type="even" r:id="rId10"/>
      <w:headerReference w:type="default" r:id="rId11"/>
      <w:footerReference w:type="default" r:id="rId12"/>
      <w:footerReference w:type="first" r:id="rId13"/>
      <w:pgSz w:w="11906" w:h="16838" w:code="9"/>
      <w:pgMar w:top="1134" w:right="567" w:bottom="1134" w:left="1701" w:header="709" w:footer="3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E48" w:rsidRDefault="00545E48" w:rsidP="00545E48">
      <w:r>
        <w:separator/>
      </w:r>
    </w:p>
  </w:endnote>
  <w:endnote w:type="continuationSeparator" w:id="0">
    <w:p w:rsidR="00545E48" w:rsidRDefault="00545E48" w:rsidP="00545E48">
      <w:r>
        <w:continuationSeparator/>
      </w:r>
    </w:p>
  </w:endnote>
  <w:endnote w:type="continuationNotice" w:id="1">
    <w:p w:rsidR="00CA1A76" w:rsidRDefault="00CA1A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72E" w:rsidRPr="0042372E" w:rsidRDefault="00656286" w:rsidP="00AB154D">
    <w:pPr>
      <w:pStyle w:val="Footer"/>
      <w:spacing w:before="120"/>
      <w:rPr>
        <w:sz w:val="16"/>
        <w:szCs w:val="16"/>
      </w:rPr>
    </w:pPr>
    <w:r>
      <w:rPr>
        <w:sz w:val="16"/>
        <w:szCs w:val="16"/>
      </w:rPr>
      <w:t>AManot_0710</w:t>
    </w:r>
    <w:r w:rsidR="00957DCC">
      <w:rPr>
        <w:sz w:val="16"/>
        <w:szCs w:val="16"/>
      </w:rPr>
      <w:t>13</w:t>
    </w:r>
    <w:r w:rsidR="00957DCC" w:rsidRPr="0042372E">
      <w:rPr>
        <w:sz w:val="16"/>
        <w:szCs w:val="16"/>
      </w:rPr>
      <w:t>_</w:t>
    </w:r>
    <w:r w:rsidR="00957DCC">
      <w:rPr>
        <w:sz w:val="16"/>
        <w:szCs w:val="16"/>
      </w:rPr>
      <w:t>11EAF</w:t>
    </w:r>
    <w:r w:rsidR="00957DCC" w:rsidRPr="0042372E">
      <w:rPr>
        <w:sz w:val="16"/>
        <w:szCs w:val="16"/>
      </w:rPr>
      <w:t xml:space="preserve">; </w:t>
    </w:r>
    <w:r w:rsidR="00957DCC">
      <w:rPr>
        <w:sz w:val="16"/>
        <w:szCs w:val="16"/>
      </w:rPr>
      <w:t>Likumprojekta „</w:t>
    </w:r>
    <w:r w:rsidR="00957DCC" w:rsidRPr="0042372E">
      <w:rPr>
        <w:bCs/>
        <w:sz w:val="16"/>
        <w:szCs w:val="16"/>
      </w:rPr>
      <w:t xml:space="preserve">Par Padomē sanākušo Eiropas Savienības dalībvalstu valdību pārstāvju Iekšējo nolīgumu par Eiropas Savienības palīdzības finansēšanu atbilstīgi daudzgadu finanšu shēmai laika posmam no 2014.gada līdz 2020.gadam saskaņā ar ĀKK un ES partnerattiecību nolīgumu un par finansiālas palīdzības piešķiršanu aizjūras zemēm un teritorijām, kurām piemēro Līguma par Eiropas Savienības darbību ceturto daļu” </w:t>
    </w:r>
    <w:r w:rsidR="00957DCC" w:rsidRPr="0042372E">
      <w:rPr>
        <w:sz w:val="16"/>
        <w:szCs w:val="16"/>
      </w:rPr>
      <w:t xml:space="preserve">anotācija </w:t>
    </w:r>
  </w:p>
  <w:p w:rsidR="00C31E36" w:rsidRPr="0042372E" w:rsidRDefault="00656286" w:rsidP="004237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72E" w:rsidRPr="0042372E" w:rsidRDefault="00957DCC" w:rsidP="0042372E">
    <w:pPr>
      <w:pStyle w:val="Footer"/>
      <w:spacing w:before="120"/>
      <w:rPr>
        <w:sz w:val="16"/>
        <w:szCs w:val="16"/>
      </w:rPr>
    </w:pPr>
    <w:r w:rsidRPr="0042372E">
      <w:rPr>
        <w:sz w:val="16"/>
        <w:szCs w:val="16"/>
      </w:rPr>
      <w:t>AManot_</w:t>
    </w:r>
    <w:r w:rsidR="00656286">
      <w:rPr>
        <w:sz w:val="16"/>
        <w:szCs w:val="16"/>
      </w:rPr>
      <w:t>0710</w:t>
    </w:r>
    <w:r>
      <w:rPr>
        <w:sz w:val="16"/>
        <w:szCs w:val="16"/>
      </w:rPr>
      <w:t>13</w:t>
    </w:r>
    <w:r w:rsidRPr="0042372E">
      <w:rPr>
        <w:sz w:val="16"/>
        <w:szCs w:val="16"/>
      </w:rPr>
      <w:t>_</w:t>
    </w:r>
    <w:r>
      <w:rPr>
        <w:sz w:val="16"/>
        <w:szCs w:val="16"/>
      </w:rPr>
      <w:t>11EAF</w:t>
    </w:r>
    <w:r w:rsidRPr="0042372E">
      <w:rPr>
        <w:sz w:val="16"/>
        <w:szCs w:val="16"/>
      </w:rPr>
      <w:t xml:space="preserve">; </w:t>
    </w:r>
    <w:r>
      <w:rPr>
        <w:sz w:val="16"/>
        <w:szCs w:val="16"/>
      </w:rPr>
      <w:t xml:space="preserve">Likumprojekta „ </w:t>
    </w:r>
    <w:r w:rsidRPr="0042372E">
      <w:rPr>
        <w:bCs/>
        <w:sz w:val="16"/>
        <w:szCs w:val="16"/>
      </w:rPr>
      <w:t xml:space="preserve">Par Padomē sanākušo Eiropas Savienības dalībvalstu valdību pārstāvju Iekšējo nolīgumu par Eiropas Savienības palīdzības finansēšanu atbilstīgi daudzgadu finanšu shēmai laika posmam no 2014.gada līdz 2020.gadam saskaņā ar ĀKK un ES partnerattiecību nolīgumu un par finansiālas palīdzības piešķiršanu aizjūras zemēm un teritorijām, kurām piemēro Līguma par Eiropas Savienības darbību ceturto daļu” </w:t>
    </w:r>
    <w:r>
      <w:rPr>
        <w:sz w:val="16"/>
        <w:szCs w:val="16"/>
      </w:rPr>
      <w:t>anotācija</w:t>
    </w:r>
  </w:p>
  <w:p w:rsidR="00C31E36" w:rsidRPr="0042372E" w:rsidRDefault="00656286" w:rsidP="004237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E48" w:rsidRDefault="00545E48" w:rsidP="00545E48">
      <w:r>
        <w:separator/>
      </w:r>
    </w:p>
  </w:footnote>
  <w:footnote w:type="continuationSeparator" w:id="0">
    <w:p w:rsidR="00545E48" w:rsidRDefault="00545E48" w:rsidP="00545E48">
      <w:r>
        <w:continuationSeparator/>
      </w:r>
    </w:p>
  </w:footnote>
  <w:footnote w:type="continuationNotice" w:id="1">
    <w:p w:rsidR="00CA1A76" w:rsidRDefault="00CA1A7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E36" w:rsidRDefault="00957DCC"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31E36" w:rsidRDefault="006562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E36" w:rsidRDefault="00957DCC"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56286">
      <w:rPr>
        <w:rStyle w:val="PageNumber"/>
        <w:noProof/>
      </w:rPr>
      <w:t>2</w:t>
    </w:r>
    <w:r>
      <w:rPr>
        <w:rStyle w:val="PageNumber"/>
      </w:rPr>
      <w:fldChar w:fldCharType="end"/>
    </w:r>
  </w:p>
  <w:p w:rsidR="00C31E36" w:rsidRDefault="006562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E6F86"/>
    <w:multiLevelType w:val="hybridMultilevel"/>
    <w:tmpl w:val="3B14E7F2"/>
    <w:lvl w:ilvl="0" w:tplc="C9D0C5AE">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
    <w:nsid w:val="6A9114DD"/>
    <w:multiLevelType w:val="hybridMultilevel"/>
    <w:tmpl w:val="78AA6FA0"/>
    <w:lvl w:ilvl="0" w:tplc="04260011">
      <w:start w:val="1"/>
      <w:numFmt w:val="decimal"/>
      <w:lvlText w:val="%1)"/>
      <w:lvlJc w:val="left"/>
      <w:pPr>
        <w:ind w:left="780" w:hanging="360"/>
      </w:p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E20"/>
    <w:rsid w:val="00054899"/>
    <w:rsid w:val="00183F72"/>
    <w:rsid w:val="001B29DE"/>
    <w:rsid w:val="001B608D"/>
    <w:rsid w:val="001E5D02"/>
    <w:rsid w:val="003703E5"/>
    <w:rsid w:val="004232D1"/>
    <w:rsid w:val="004634CB"/>
    <w:rsid w:val="004E5A14"/>
    <w:rsid w:val="00545E48"/>
    <w:rsid w:val="00572256"/>
    <w:rsid w:val="00656286"/>
    <w:rsid w:val="006A6210"/>
    <w:rsid w:val="006D5114"/>
    <w:rsid w:val="007E7EE4"/>
    <w:rsid w:val="008E418C"/>
    <w:rsid w:val="00957DCC"/>
    <w:rsid w:val="009868C3"/>
    <w:rsid w:val="009E1133"/>
    <w:rsid w:val="00A25239"/>
    <w:rsid w:val="00AC05A1"/>
    <w:rsid w:val="00B76E20"/>
    <w:rsid w:val="00BC6BF3"/>
    <w:rsid w:val="00C23E36"/>
    <w:rsid w:val="00C45AC3"/>
    <w:rsid w:val="00C9330C"/>
    <w:rsid w:val="00CA1A76"/>
    <w:rsid w:val="00DD1AB6"/>
    <w:rsid w:val="00DD459E"/>
    <w:rsid w:val="00E54307"/>
    <w:rsid w:val="00F86CA0"/>
    <w:rsid w:val="00FB3A3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E20"/>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76E20"/>
    <w:pPr>
      <w:tabs>
        <w:tab w:val="center" w:pos="4153"/>
        <w:tab w:val="right" w:pos="8306"/>
      </w:tabs>
    </w:pPr>
  </w:style>
  <w:style w:type="character" w:customStyle="1" w:styleId="HeaderChar">
    <w:name w:val="Header Char"/>
    <w:basedOn w:val="DefaultParagraphFont"/>
    <w:link w:val="Header"/>
    <w:rsid w:val="00B76E20"/>
    <w:rPr>
      <w:rFonts w:ascii="Times New Roman" w:eastAsia="Times New Roman" w:hAnsi="Times New Roman" w:cs="Times New Roman"/>
      <w:sz w:val="24"/>
      <w:szCs w:val="24"/>
      <w:lang w:eastAsia="lv-LV"/>
    </w:rPr>
  </w:style>
  <w:style w:type="character" w:styleId="PageNumber">
    <w:name w:val="page number"/>
    <w:basedOn w:val="DefaultParagraphFont"/>
    <w:rsid w:val="00B76E20"/>
  </w:style>
  <w:style w:type="paragraph" w:customStyle="1" w:styleId="naisf">
    <w:name w:val="naisf"/>
    <w:basedOn w:val="Normal"/>
    <w:rsid w:val="00B76E20"/>
    <w:pPr>
      <w:spacing w:before="75" w:after="75"/>
      <w:ind w:firstLine="375"/>
      <w:jc w:val="both"/>
    </w:pPr>
  </w:style>
  <w:style w:type="paragraph" w:customStyle="1" w:styleId="naisnod">
    <w:name w:val="naisnod"/>
    <w:basedOn w:val="Normal"/>
    <w:rsid w:val="00B76E20"/>
    <w:pPr>
      <w:spacing w:before="150" w:after="150"/>
      <w:jc w:val="center"/>
    </w:pPr>
    <w:rPr>
      <w:b/>
      <w:bCs/>
    </w:rPr>
  </w:style>
  <w:style w:type="paragraph" w:customStyle="1" w:styleId="naislab">
    <w:name w:val="naislab"/>
    <w:basedOn w:val="Normal"/>
    <w:rsid w:val="00B76E20"/>
    <w:pPr>
      <w:spacing w:before="75" w:after="75"/>
      <w:jc w:val="right"/>
    </w:pPr>
  </w:style>
  <w:style w:type="paragraph" w:customStyle="1" w:styleId="naiskr">
    <w:name w:val="naiskr"/>
    <w:basedOn w:val="Normal"/>
    <w:rsid w:val="00B76E20"/>
    <w:pPr>
      <w:spacing w:before="75" w:after="75"/>
    </w:pPr>
  </w:style>
  <w:style w:type="paragraph" w:styleId="FootnoteText">
    <w:name w:val="footnote text"/>
    <w:basedOn w:val="Normal"/>
    <w:link w:val="FootnoteTextChar"/>
    <w:semiHidden/>
    <w:rsid w:val="00B76E20"/>
    <w:rPr>
      <w:sz w:val="20"/>
      <w:szCs w:val="20"/>
    </w:rPr>
  </w:style>
  <w:style w:type="character" w:customStyle="1" w:styleId="FootnoteTextChar">
    <w:name w:val="Footnote Text Char"/>
    <w:basedOn w:val="DefaultParagraphFont"/>
    <w:link w:val="FootnoteText"/>
    <w:semiHidden/>
    <w:rsid w:val="00B76E20"/>
    <w:rPr>
      <w:rFonts w:ascii="Times New Roman" w:eastAsia="Times New Roman" w:hAnsi="Times New Roman" w:cs="Times New Roman"/>
      <w:sz w:val="20"/>
      <w:szCs w:val="20"/>
      <w:lang w:eastAsia="lv-LV"/>
    </w:rPr>
  </w:style>
  <w:style w:type="paragraph" w:styleId="Footer">
    <w:name w:val="footer"/>
    <w:basedOn w:val="Normal"/>
    <w:link w:val="FooterChar"/>
    <w:rsid w:val="00B76E20"/>
    <w:pPr>
      <w:tabs>
        <w:tab w:val="center" w:pos="4153"/>
        <w:tab w:val="right" w:pos="8306"/>
      </w:tabs>
    </w:pPr>
  </w:style>
  <w:style w:type="character" w:customStyle="1" w:styleId="FooterChar">
    <w:name w:val="Footer Char"/>
    <w:basedOn w:val="DefaultParagraphFont"/>
    <w:link w:val="Footer"/>
    <w:rsid w:val="00B76E20"/>
    <w:rPr>
      <w:rFonts w:ascii="Times New Roman" w:eastAsia="Times New Roman" w:hAnsi="Times New Roman" w:cs="Times New Roman"/>
      <w:sz w:val="24"/>
      <w:szCs w:val="24"/>
      <w:lang w:eastAsia="lv-LV"/>
    </w:rPr>
  </w:style>
  <w:style w:type="character" w:styleId="Hyperlink">
    <w:name w:val="Hyperlink"/>
    <w:rsid w:val="00B76E20"/>
    <w:rPr>
      <w:color w:val="0000FF"/>
      <w:u w:val="single"/>
    </w:rPr>
  </w:style>
  <w:style w:type="paragraph" w:styleId="ListParagraph">
    <w:name w:val="List Paragraph"/>
    <w:basedOn w:val="Normal"/>
    <w:uiPriority w:val="34"/>
    <w:qFormat/>
    <w:rsid w:val="007E7E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E20"/>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76E20"/>
    <w:pPr>
      <w:tabs>
        <w:tab w:val="center" w:pos="4153"/>
        <w:tab w:val="right" w:pos="8306"/>
      </w:tabs>
    </w:pPr>
  </w:style>
  <w:style w:type="character" w:customStyle="1" w:styleId="HeaderChar">
    <w:name w:val="Header Char"/>
    <w:basedOn w:val="DefaultParagraphFont"/>
    <w:link w:val="Header"/>
    <w:rsid w:val="00B76E20"/>
    <w:rPr>
      <w:rFonts w:ascii="Times New Roman" w:eastAsia="Times New Roman" w:hAnsi="Times New Roman" w:cs="Times New Roman"/>
      <w:sz w:val="24"/>
      <w:szCs w:val="24"/>
      <w:lang w:eastAsia="lv-LV"/>
    </w:rPr>
  </w:style>
  <w:style w:type="character" w:styleId="PageNumber">
    <w:name w:val="page number"/>
    <w:basedOn w:val="DefaultParagraphFont"/>
    <w:rsid w:val="00B76E20"/>
  </w:style>
  <w:style w:type="paragraph" w:customStyle="1" w:styleId="naisf">
    <w:name w:val="naisf"/>
    <w:basedOn w:val="Normal"/>
    <w:rsid w:val="00B76E20"/>
    <w:pPr>
      <w:spacing w:before="75" w:after="75"/>
      <w:ind w:firstLine="375"/>
      <w:jc w:val="both"/>
    </w:pPr>
  </w:style>
  <w:style w:type="paragraph" w:customStyle="1" w:styleId="naisnod">
    <w:name w:val="naisnod"/>
    <w:basedOn w:val="Normal"/>
    <w:rsid w:val="00B76E20"/>
    <w:pPr>
      <w:spacing w:before="150" w:after="150"/>
      <w:jc w:val="center"/>
    </w:pPr>
    <w:rPr>
      <w:b/>
      <w:bCs/>
    </w:rPr>
  </w:style>
  <w:style w:type="paragraph" w:customStyle="1" w:styleId="naislab">
    <w:name w:val="naislab"/>
    <w:basedOn w:val="Normal"/>
    <w:rsid w:val="00B76E20"/>
    <w:pPr>
      <w:spacing w:before="75" w:after="75"/>
      <w:jc w:val="right"/>
    </w:pPr>
  </w:style>
  <w:style w:type="paragraph" w:customStyle="1" w:styleId="naiskr">
    <w:name w:val="naiskr"/>
    <w:basedOn w:val="Normal"/>
    <w:rsid w:val="00B76E20"/>
    <w:pPr>
      <w:spacing w:before="75" w:after="75"/>
    </w:pPr>
  </w:style>
  <w:style w:type="paragraph" w:styleId="FootnoteText">
    <w:name w:val="footnote text"/>
    <w:basedOn w:val="Normal"/>
    <w:link w:val="FootnoteTextChar"/>
    <w:semiHidden/>
    <w:rsid w:val="00B76E20"/>
    <w:rPr>
      <w:sz w:val="20"/>
      <w:szCs w:val="20"/>
    </w:rPr>
  </w:style>
  <w:style w:type="character" w:customStyle="1" w:styleId="FootnoteTextChar">
    <w:name w:val="Footnote Text Char"/>
    <w:basedOn w:val="DefaultParagraphFont"/>
    <w:link w:val="FootnoteText"/>
    <w:semiHidden/>
    <w:rsid w:val="00B76E20"/>
    <w:rPr>
      <w:rFonts w:ascii="Times New Roman" w:eastAsia="Times New Roman" w:hAnsi="Times New Roman" w:cs="Times New Roman"/>
      <w:sz w:val="20"/>
      <w:szCs w:val="20"/>
      <w:lang w:eastAsia="lv-LV"/>
    </w:rPr>
  </w:style>
  <w:style w:type="paragraph" w:styleId="Footer">
    <w:name w:val="footer"/>
    <w:basedOn w:val="Normal"/>
    <w:link w:val="FooterChar"/>
    <w:rsid w:val="00B76E20"/>
    <w:pPr>
      <w:tabs>
        <w:tab w:val="center" w:pos="4153"/>
        <w:tab w:val="right" w:pos="8306"/>
      </w:tabs>
    </w:pPr>
  </w:style>
  <w:style w:type="character" w:customStyle="1" w:styleId="FooterChar">
    <w:name w:val="Footer Char"/>
    <w:basedOn w:val="DefaultParagraphFont"/>
    <w:link w:val="Footer"/>
    <w:rsid w:val="00B76E20"/>
    <w:rPr>
      <w:rFonts w:ascii="Times New Roman" w:eastAsia="Times New Roman" w:hAnsi="Times New Roman" w:cs="Times New Roman"/>
      <w:sz w:val="24"/>
      <w:szCs w:val="24"/>
      <w:lang w:eastAsia="lv-LV"/>
    </w:rPr>
  </w:style>
  <w:style w:type="character" w:styleId="Hyperlink">
    <w:name w:val="Hyperlink"/>
    <w:rsid w:val="00B76E20"/>
    <w:rPr>
      <w:color w:val="0000FF"/>
      <w:u w:val="single"/>
    </w:rPr>
  </w:style>
  <w:style w:type="paragraph" w:styleId="ListParagraph">
    <w:name w:val="List Paragraph"/>
    <w:basedOn w:val="Normal"/>
    <w:uiPriority w:val="34"/>
    <w:qFormat/>
    <w:rsid w:val="007E7E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827083">
      <w:bodyDiv w:val="1"/>
      <w:marLeft w:val="0"/>
      <w:marRight w:val="0"/>
      <w:marTop w:val="0"/>
      <w:marBottom w:val="0"/>
      <w:divBdr>
        <w:top w:val="none" w:sz="0" w:space="0" w:color="auto"/>
        <w:left w:val="none" w:sz="0" w:space="0" w:color="auto"/>
        <w:bottom w:val="none" w:sz="0" w:space="0" w:color="auto"/>
        <w:right w:val="none" w:sz="0" w:space="0" w:color="auto"/>
      </w:divBdr>
    </w:div>
    <w:div w:id="1810053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lze.zelgalve@mfa.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4B992-0632-434D-BDCC-47531F103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2264</TotalTime>
  <Pages>6</Pages>
  <Words>1459</Words>
  <Characters>10728</Characters>
  <Application>Microsoft Office Word</Application>
  <DocSecurity>0</DocSecurity>
  <Lines>315</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Ilze Zelgalve</dc:creator>
  <cp:lastModifiedBy>Ilze Zelgalve</cp:lastModifiedBy>
  <cp:revision>9</cp:revision>
  <dcterms:created xsi:type="dcterms:W3CDTF">2013-09-05T07:20:00Z</dcterms:created>
  <dcterms:modified xsi:type="dcterms:W3CDTF">2013-10-08T07:54:00Z</dcterms:modified>
</cp:coreProperties>
</file>