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75"/>
        <w:gridCol w:w="1686"/>
        <w:gridCol w:w="1134"/>
        <w:gridCol w:w="1701"/>
        <w:gridCol w:w="1134"/>
        <w:gridCol w:w="1134"/>
        <w:gridCol w:w="1276"/>
        <w:gridCol w:w="1134"/>
        <w:gridCol w:w="1200"/>
        <w:gridCol w:w="1068"/>
        <w:gridCol w:w="1104"/>
        <w:gridCol w:w="1164"/>
      </w:tblGrid>
      <w:tr w:rsidR="000B67FF" w:rsidTr="000B67FF">
        <w:trPr>
          <w:trHeight w:val="1704"/>
        </w:trPr>
        <w:tc>
          <w:tcPr>
            <w:tcW w:w="1531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B67FF" w:rsidRDefault="000B67FF" w:rsidP="000B67FF">
            <w:pPr>
              <w:jc w:val="right"/>
              <w:rPr>
                <w:color w:val="000000"/>
              </w:rPr>
            </w:pPr>
            <w:bookmarkStart w:id="0" w:name="RANGE!K1"/>
            <w:r>
              <w:rPr>
                <w:color w:val="000000"/>
              </w:rPr>
              <w:t>10.pielikums</w:t>
            </w:r>
          </w:p>
          <w:bookmarkEnd w:id="0"/>
          <w:p w:rsidR="000B67FF" w:rsidRDefault="000B67FF" w:rsidP="000B67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Latvijas ģeotelpiskās informācijas</w:t>
            </w:r>
          </w:p>
          <w:p w:rsidR="000B67FF" w:rsidRDefault="000B67FF" w:rsidP="000B67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attīstības koncepcijai </w:t>
            </w:r>
          </w:p>
          <w:p w:rsidR="000B67FF" w:rsidRDefault="000B67FF" w:rsidP="000B67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(apstiprināta ar Ministru kabineta </w:t>
            </w:r>
          </w:p>
          <w:p w:rsidR="000B67FF" w:rsidRDefault="000B67FF" w:rsidP="000B67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2013.gada                          </w:t>
            </w:r>
          </w:p>
          <w:p w:rsidR="000B67FF" w:rsidRDefault="000B67FF" w:rsidP="000B67F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 rīkojumu Nr.       )</w:t>
            </w:r>
          </w:p>
        </w:tc>
      </w:tr>
      <w:tr w:rsidR="000B67FF" w:rsidTr="000B67FF">
        <w:trPr>
          <w:trHeight w:val="7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7FF" w:rsidRPr="000B67FF" w:rsidRDefault="000B67FF">
            <w:pPr>
              <w:jc w:val="center"/>
              <w:rPr>
                <w:b/>
              </w:rPr>
            </w:pPr>
            <w:r w:rsidRPr="000B67FF">
              <w:rPr>
                <w:b/>
              </w:rPr>
              <w:t xml:space="preserve">Kopsavilkums par </w:t>
            </w:r>
            <w:r w:rsidRPr="000B67FF">
              <w:rPr>
                <w:b/>
                <w:bCs/>
              </w:rPr>
              <w:t>politikas plānošanas dokumenta īstenošanai papildus nepieciešamo valsts budžeta finansējumu</w:t>
            </w:r>
            <w:r w:rsidRPr="000B67FF">
              <w:rPr>
                <w:b/>
              </w:rPr>
              <w:t xml:space="preserve"> </w:t>
            </w:r>
          </w:p>
          <w:p w:rsidR="000B67FF" w:rsidRPr="000B67FF" w:rsidRDefault="000B67FF">
            <w:pPr>
              <w:jc w:val="center"/>
              <w:rPr>
                <w:sz w:val="28"/>
                <w:szCs w:val="28"/>
              </w:rPr>
            </w:pPr>
            <w:r w:rsidRPr="000B67FF">
              <w:t>(papildus nepieciešamais valsts budžeta finansējums kopā sadalījumā pa gadiem, tai skaitā sadalījumā pa ministrijām)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</w:tr>
      <w:tr w:rsidR="000B67FF" w:rsidTr="000B67FF">
        <w:trPr>
          <w:trHeight w:val="37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</w:tr>
      <w:tr w:rsidR="000B67FF" w:rsidTr="000B67FF">
        <w:trPr>
          <w:trHeight w:val="9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rPr>
                <w:b/>
                <w:bCs/>
                <w:sz w:val="20"/>
                <w:szCs w:val="20"/>
              </w:rPr>
            </w:pPr>
            <w:r w:rsidRPr="000B67FF">
              <w:rPr>
                <w:b/>
                <w:bCs/>
                <w:sz w:val="20"/>
                <w:szCs w:val="20"/>
              </w:rPr>
              <w:t>Ministrija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rPr>
                <w:b/>
                <w:bCs/>
                <w:sz w:val="20"/>
                <w:szCs w:val="20"/>
              </w:rPr>
            </w:pPr>
            <w:r w:rsidRPr="000B67FF">
              <w:rPr>
                <w:b/>
                <w:bCs/>
                <w:sz w:val="20"/>
                <w:szCs w:val="20"/>
              </w:rPr>
              <w:t>Iestāde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FF" w:rsidRPr="000B67FF" w:rsidRDefault="000B67FF">
            <w:pPr>
              <w:rPr>
                <w:b/>
                <w:bCs/>
                <w:sz w:val="20"/>
                <w:szCs w:val="20"/>
              </w:rPr>
            </w:pPr>
            <w:r w:rsidRPr="000B67FF">
              <w:rPr>
                <w:b/>
                <w:bCs/>
                <w:sz w:val="20"/>
                <w:szCs w:val="20"/>
              </w:rPr>
              <w:t>Budžeta programmas kods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FF" w:rsidRPr="000B67FF" w:rsidRDefault="000B67FF">
            <w:pPr>
              <w:rPr>
                <w:b/>
                <w:bCs/>
                <w:sz w:val="20"/>
                <w:szCs w:val="20"/>
              </w:rPr>
            </w:pPr>
            <w:r w:rsidRPr="000B67FF">
              <w:rPr>
                <w:b/>
                <w:bCs/>
                <w:sz w:val="20"/>
                <w:szCs w:val="20"/>
              </w:rPr>
              <w:t>Budžeta programmas nosaukums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FF" w:rsidRPr="000B67FF" w:rsidRDefault="000B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0B67FF">
              <w:rPr>
                <w:b/>
                <w:bCs/>
                <w:sz w:val="20"/>
                <w:szCs w:val="20"/>
              </w:rPr>
              <w:t>2014.gads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FF" w:rsidRPr="000B67FF" w:rsidRDefault="000B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0B67FF">
              <w:rPr>
                <w:b/>
                <w:bCs/>
                <w:sz w:val="20"/>
                <w:szCs w:val="20"/>
              </w:rPr>
              <w:t>2015.gads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FF" w:rsidRPr="000B67FF" w:rsidRDefault="000B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0B67FF">
              <w:rPr>
                <w:b/>
                <w:bCs/>
                <w:sz w:val="20"/>
                <w:szCs w:val="20"/>
              </w:rPr>
              <w:t>2016.gads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FF" w:rsidRPr="000B67FF" w:rsidRDefault="000B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0B67FF">
              <w:rPr>
                <w:b/>
                <w:bCs/>
                <w:sz w:val="20"/>
                <w:szCs w:val="20"/>
              </w:rPr>
              <w:t>2017.gads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FF" w:rsidRPr="000B67FF" w:rsidRDefault="000B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0B67FF">
              <w:rPr>
                <w:b/>
                <w:bCs/>
                <w:sz w:val="20"/>
                <w:szCs w:val="20"/>
              </w:rPr>
              <w:t>2018.gads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FF" w:rsidRPr="000B67FF" w:rsidRDefault="000B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0B67FF">
              <w:rPr>
                <w:b/>
                <w:bCs/>
                <w:sz w:val="20"/>
                <w:szCs w:val="20"/>
              </w:rPr>
              <w:t>2019.gads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FF" w:rsidRPr="000B67FF" w:rsidRDefault="000B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0B67FF">
              <w:rPr>
                <w:b/>
                <w:bCs/>
                <w:sz w:val="20"/>
                <w:szCs w:val="20"/>
              </w:rPr>
              <w:t>2020.gads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FF" w:rsidRPr="000B67FF" w:rsidRDefault="000B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0B67FF">
              <w:rPr>
                <w:b/>
                <w:bCs/>
                <w:sz w:val="20"/>
                <w:szCs w:val="20"/>
              </w:rPr>
              <w:t>KOPĀ</w:t>
            </w:r>
          </w:p>
        </w:tc>
      </w:tr>
      <w:tr w:rsidR="000B67FF" w:rsidTr="000B67FF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FF" w:rsidRPr="000B67FF" w:rsidRDefault="000B67FF">
            <w:pPr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Aizsardzības ministrija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FF" w:rsidRPr="000B67FF" w:rsidRDefault="000B67FF">
            <w:pPr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Latvijas Ģeotelpiskās informācijas aģentūra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28.00.00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FF" w:rsidRPr="000B67FF" w:rsidRDefault="000B67FF">
            <w:pPr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Ģeodēzija un kartogrāfija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jc w:val="right"/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894 605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jc w:val="right"/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1 713 311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jc w:val="right"/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1 859 031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jc w:val="right"/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1 715 978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jc w:val="right"/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1 526 011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jc w:val="right"/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1 320 611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jc w:val="right"/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1 110 991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jc w:val="right"/>
              <w:rPr>
                <w:b/>
                <w:bCs/>
                <w:sz w:val="20"/>
                <w:szCs w:val="20"/>
              </w:rPr>
            </w:pPr>
            <w:r w:rsidRPr="000B67FF">
              <w:rPr>
                <w:b/>
                <w:bCs/>
                <w:sz w:val="20"/>
                <w:szCs w:val="20"/>
              </w:rPr>
              <w:t>10 140 538</w:t>
            </w:r>
          </w:p>
        </w:tc>
      </w:tr>
      <w:tr w:rsidR="000B67FF" w:rsidTr="000B67FF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FF" w:rsidRPr="000B67FF" w:rsidRDefault="000B67FF">
            <w:pPr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 xml:space="preserve">Zemkopības ministrija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FF" w:rsidRPr="000B67FF" w:rsidRDefault="000B67FF">
            <w:pPr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Valsts augu aizsardzības dienests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27.00.00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FF" w:rsidRPr="000B67FF" w:rsidRDefault="000B67FF">
            <w:pPr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Augu veselība un augu aprites uzraudzība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jc w:val="right"/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80 400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jc w:val="right"/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31 200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jc w:val="right"/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18 100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jc w:val="right"/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80 400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jc w:val="right"/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31 200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jc w:val="right"/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18 100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jc w:val="right"/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80 400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jc w:val="right"/>
              <w:rPr>
                <w:b/>
                <w:bCs/>
                <w:sz w:val="20"/>
                <w:szCs w:val="20"/>
              </w:rPr>
            </w:pPr>
            <w:r w:rsidRPr="000B67FF">
              <w:rPr>
                <w:b/>
                <w:bCs/>
                <w:sz w:val="20"/>
                <w:szCs w:val="20"/>
              </w:rPr>
              <w:t>339 800</w:t>
            </w:r>
          </w:p>
        </w:tc>
      </w:tr>
      <w:tr w:rsidR="000B67FF" w:rsidTr="000B67FF">
        <w:trPr>
          <w:trHeight w:val="9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FF" w:rsidRPr="000B67FF" w:rsidRDefault="000B67FF">
            <w:pPr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Vides aizsardzības un reģionālās attīstības ministrija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FF" w:rsidRPr="000B67FF" w:rsidRDefault="000B67FF">
            <w:pPr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 xml:space="preserve">Latvijas Vides ģeoloģijas un meteoroloģijas centrā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28.00.00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FF" w:rsidRPr="000B67FF" w:rsidRDefault="000B67FF">
            <w:pPr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Meteoroloģija un bīstamo atkritumu pārvaldība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jc w:val="right"/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335 842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jc w:val="right"/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841 782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jc w:val="right"/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496 782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jc w:val="right"/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200 000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jc w:val="right"/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200 000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jc w:val="right"/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200 000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jc w:val="right"/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200 000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jc w:val="right"/>
              <w:rPr>
                <w:b/>
                <w:bCs/>
                <w:sz w:val="20"/>
                <w:szCs w:val="20"/>
              </w:rPr>
            </w:pPr>
            <w:r w:rsidRPr="000B67FF">
              <w:rPr>
                <w:b/>
                <w:bCs/>
                <w:sz w:val="20"/>
                <w:szCs w:val="20"/>
              </w:rPr>
              <w:t>2 474 406</w:t>
            </w:r>
          </w:p>
        </w:tc>
      </w:tr>
      <w:tr w:rsidR="000B67FF" w:rsidTr="000B67FF">
        <w:trPr>
          <w:trHeight w:val="10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FF" w:rsidRPr="000B67FF" w:rsidRDefault="000B67FF">
            <w:pPr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Vides aizsardzības un reģionālās attīstības ministrija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FF" w:rsidRPr="000B67FF" w:rsidRDefault="000B67FF">
            <w:pPr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Dabas aizsardzības pārvalde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28.00.00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FF" w:rsidRPr="000B67FF" w:rsidRDefault="000B67FF">
            <w:pPr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Meteoroloģija un bīstamo atkritumu pārvaldība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jc w:val="right"/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166 600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jc w:val="right"/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165 600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jc w:val="right"/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165 600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jc w:val="right"/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165 600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jc w:val="right"/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165 600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jc w:val="right"/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165 600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jc w:val="right"/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165 600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jc w:val="right"/>
              <w:rPr>
                <w:b/>
                <w:bCs/>
                <w:sz w:val="20"/>
                <w:szCs w:val="20"/>
              </w:rPr>
            </w:pPr>
            <w:r w:rsidRPr="000B67FF">
              <w:rPr>
                <w:b/>
                <w:bCs/>
                <w:sz w:val="20"/>
                <w:szCs w:val="20"/>
              </w:rPr>
              <w:t>1 160 200</w:t>
            </w:r>
          </w:p>
        </w:tc>
      </w:tr>
      <w:tr w:rsidR="000B67FF" w:rsidTr="000B67FF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FF" w:rsidRPr="000B67FF" w:rsidRDefault="000B67FF">
            <w:pPr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Veselības ministrija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 xml:space="preserve">46.00.00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FF" w:rsidRPr="000B67FF" w:rsidRDefault="000B67FF">
            <w:pPr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Veselības nozares uzraudzība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jc w:val="right"/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9 800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jc w:val="right"/>
              <w:rPr>
                <w:b/>
                <w:bCs/>
                <w:sz w:val="20"/>
                <w:szCs w:val="20"/>
              </w:rPr>
            </w:pPr>
            <w:r w:rsidRPr="000B67FF">
              <w:rPr>
                <w:b/>
                <w:bCs/>
                <w:sz w:val="20"/>
                <w:szCs w:val="20"/>
              </w:rPr>
              <w:t>9 800</w:t>
            </w:r>
          </w:p>
        </w:tc>
      </w:tr>
      <w:tr w:rsidR="000B67FF" w:rsidTr="000B67FF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FF" w:rsidRPr="000B67FF" w:rsidRDefault="000B67FF">
            <w:pPr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Tieslietu ministrija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Valsts zemes dienests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 xml:space="preserve">57.00.00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FF" w:rsidRPr="000B67FF" w:rsidRDefault="000B67FF">
            <w:pPr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Valsts zemes dienests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jc w:val="right"/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304 137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rPr>
                <w:sz w:val="20"/>
                <w:szCs w:val="20"/>
              </w:rPr>
            </w:pPr>
            <w:r w:rsidRPr="000B67FF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jc w:val="right"/>
              <w:rPr>
                <w:b/>
                <w:bCs/>
                <w:sz w:val="20"/>
                <w:szCs w:val="20"/>
              </w:rPr>
            </w:pPr>
            <w:r w:rsidRPr="000B67FF">
              <w:rPr>
                <w:b/>
                <w:bCs/>
                <w:sz w:val="20"/>
                <w:szCs w:val="20"/>
              </w:rPr>
              <w:t>304 137</w:t>
            </w:r>
          </w:p>
        </w:tc>
      </w:tr>
      <w:tr w:rsidR="000B67FF" w:rsidTr="000B67FF">
        <w:trPr>
          <w:trHeight w:val="555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0B67FF">
              <w:rPr>
                <w:b/>
                <w:bCs/>
                <w:sz w:val="20"/>
                <w:szCs w:val="20"/>
              </w:rPr>
              <w:t>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jc w:val="right"/>
              <w:rPr>
                <w:b/>
                <w:bCs/>
                <w:sz w:val="20"/>
                <w:szCs w:val="20"/>
              </w:rPr>
            </w:pPr>
            <w:r w:rsidRPr="000B67FF">
              <w:rPr>
                <w:b/>
                <w:bCs/>
                <w:sz w:val="20"/>
                <w:szCs w:val="20"/>
              </w:rPr>
              <w:t>1 477 447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jc w:val="right"/>
              <w:rPr>
                <w:b/>
                <w:bCs/>
                <w:sz w:val="20"/>
                <w:szCs w:val="20"/>
              </w:rPr>
            </w:pPr>
            <w:r w:rsidRPr="000B67FF">
              <w:rPr>
                <w:b/>
                <w:bCs/>
                <w:sz w:val="20"/>
                <w:szCs w:val="20"/>
              </w:rPr>
              <w:t>3 065 830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jc w:val="right"/>
              <w:rPr>
                <w:b/>
                <w:bCs/>
                <w:sz w:val="20"/>
                <w:szCs w:val="20"/>
              </w:rPr>
            </w:pPr>
            <w:r w:rsidRPr="000B67FF">
              <w:rPr>
                <w:b/>
                <w:bCs/>
                <w:sz w:val="20"/>
                <w:szCs w:val="20"/>
              </w:rPr>
              <w:t>2 539 513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jc w:val="right"/>
              <w:rPr>
                <w:b/>
                <w:bCs/>
                <w:sz w:val="20"/>
                <w:szCs w:val="20"/>
              </w:rPr>
            </w:pPr>
            <w:r w:rsidRPr="000B67FF">
              <w:rPr>
                <w:b/>
                <w:bCs/>
                <w:sz w:val="20"/>
                <w:szCs w:val="20"/>
              </w:rPr>
              <w:t>2 161 978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jc w:val="right"/>
              <w:rPr>
                <w:b/>
                <w:bCs/>
                <w:sz w:val="20"/>
                <w:szCs w:val="20"/>
              </w:rPr>
            </w:pPr>
            <w:r w:rsidRPr="000B67FF">
              <w:rPr>
                <w:b/>
                <w:bCs/>
                <w:sz w:val="20"/>
                <w:szCs w:val="20"/>
              </w:rPr>
              <w:t>1 922 811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jc w:val="right"/>
              <w:rPr>
                <w:b/>
                <w:bCs/>
                <w:sz w:val="20"/>
                <w:szCs w:val="20"/>
              </w:rPr>
            </w:pPr>
            <w:r w:rsidRPr="000B67FF">
              <w:rPr>
                <w:b/>
                <w:bCs/>
                <w:sz w:val="20"/>
                <w:szCs w:val="20"/>
              </w:rPr>
              <w:t>1 704 311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jc w:val="right"/>
              <w:rPr>
                <w:b/>
                <w:bCs/>
                <w:sz w:val="20"/>
                <w:szCs w:val="20"/>
              </w:rPr>
            </w:pPr>
            <w:r w:rsidRPr="000B67FF">
              <w:rPr>
                <w:b/>
                <w:bCs/>
                <w:sz w:val="20"/>
                <w:szCs w:val="20"/>
              </w:rPr>
              <w:t>1 556 991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FF" w:rsidRPr="000B67FF" w:rsidRDefault="000B67FF">
            <w:pPr>
              <w:jc w:val="right"/>
              <w:rPr>
                <w:b/>
                <w:bCs/>
                <w:sz w:val="20"/>
                <w:szCs w:val="20"/>
              </w:rPr>
            </w:pPr>
            <w:r w:rsidRPr="000B67FF">
              <w:rPr>
                <w:b/>
                <w:bCs/>
                <w:sz w:val="20"/>
                <w:szCs w:val="20"/>
              </w:rPr>
              <w:t>14 428 881</w:t>
            </w:r>
          </w:p>
        </w:tc>
      </w:tr>
      <w:tr w:rsidR="000B67FF" w:rsidTr="000B67FF">
        <w:trPr>
          <w:trHeight w:val="37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</w:tr>
      <w:tr w:rsidR="000B67FF" w:rsidTr="000B67FF">
        <w:trPr>
          <w:trHeight w:val="37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u w:val="single"/>
              </w:rPr>
            </w:pPr>
            <w:r>
              <w:rPr>
                <w:u w:val="single"/>
              </w:rPr>
              <w:t>Piezīmes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</w:tr>
      <w:tr w:rsidR="000B67FF" w:rsidTr="000B67FF">
        <w:trPr>
          <w:trHeight w:val="375"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 Valsts augu aizsardzības dienestam papildus nepieciešamas finansējuma apjoms pa gadiem jāprecizē, ja: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</w:tr>
      <w:tr w:rsidR="000B67FF" w:rsidTr="000B67FF">
        <w:trPr>
          <w:trHeight w:val="1365"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7FF" w:rsidRDefault="000B6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2014., 2015. un 2016.gadam tiek apstiprināti bāzes izdevumi budžeta programmā 28.00.00 „Ģeodēzija un kartogrāfija” atbilstoši MK 19.03.2013 sēdes prot. Nr.15 58.§ 3.punktam, tad </w:t>
            </w:r>
            <w:proofErr w:type="spellStart"/>
            <w:r>
              <w:rPr>
                <w:sz w:val="22"/>
                <w:szCs w:val="22"/>
              </w:rPr>
              <w:t>ortofotokarte</w:t>
            </w:r>
            <w:proofErr w:type="spellEnd"/>
            <w:r>
              <w:rPr>
                <w:sz w:val="22"/>
                <w:szCs w:val="22"/>
              </w:rPr>
              <w:t xml:space="preserve"> no 2014.gada būs pieejama bez maksas, atbilstoši samazinot budžeta programmai "Augu veselība un augu aprites uzraudzība" papildus nepieciešamo finansējumu 2014.gadā un turpmākos gados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</w:tr>
      <w:tr w:rsidR="000B67FF" w:rsidTr="000B67FF">
        <w:trPr>
          <w:trHeight w:val="1620"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7FF" w:rsidRDefault="000B6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2016.gadam tiek apstiprināti bāzes izdevumi budžeta programmā 28.00.00 „Ģeodēzija un kartogrāfija” atbilstoši Koncepcijas 9.1.pielikumam (Rezultatīvais rādītājs - Topogrāfiskās kartes mērogā 1:10000 aktualizācija), tad topogrāfiskā karte mērogā 1:10000 no 2016.gada būs pieejama bez maksas - atbilstoši samazinot budžeta programmai "Augu veselība un augu aprites uzraudzība" papildus nepieciešamo finansējumu 2016.gadā un turpmākos gados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Default="000B67FF">
            <w:pPr>
              <w:rPr>
                <w:sz w:val="28"/>
                <w:szCs w:val="28"/>
              </w:rPr>
            </w:pPr>
          </w:p>
        </w:tc>
      </w:tr>
    </w:tbl>
    <w:p w:rsidR="00575B99" w:rsidRDefault="00575B99"/>
    <w:p w:rsidR="000B67FF" w:rsidRDefault="000B67FF"/>
    <w:p w:rsidR="000B67FF" w:rsidRPr="000B67FF" w:rsidRDefault="00E05251" w:rsidP="000B67FF">
      <w:pPr>
        <w:pStyle w:val="BodyText"/>
        <w:spacing w:after="0"/>
        <w:ind w:firstLine="72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23</w:t>
      </w:r>
      <w:r w:rsidR="000B67FF" w:rsidRPr="000B67FF">
        <w:rPr>
          <w:b w:val="0"/>
          <w:sz w:val="20"/>
          <w:szCs w:val="20"/>
        </w:rPr>
        <w:t>.07.2013.</w:t>
      </w:r>
    </w:p>
    <w:p w:rsidR="000B67FF" w:rsidRPr="000B67FF" w:rsidRDefault="00A20AB9" w:rsidP="000B67FF">
      <w:pPr>
        <w:pStyle w:val="BodyText"/>
        <w:spacing w:after="0"/>
        <w:ind w:firstLine="72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355</w:t>
      </w:r>
    </w:p>
    <w:p w:rsidR="000B67FF" w:rsidRPr="000B67FF" w:rsidRDefault="000B67FF" w:rsidP="000B67FF">
      <w:pPr>
        <w:pStyle w:val="tabula"/>
        <w:tabs>
          <w:tab w:val="right" w:pos="9072"/>
        </w:tabs>
        <w:ind w:firstLine="709"/>
        <w:rPr>
          <w:rFonts w:ascii="Times New Roman" w:hAnsi="Times New Roman"/>
        </w:rPr>
      </w:pPr>
      <w:r w:rsidRPr="000B67FF">
        <w:rPr>
          <w:rFonts w:ascii="Times New Roman" w:hAnsi="Times New Roman"/>
        </w:rPr>
        <w:t>M.Celmiņa 26450705</w:t>
      </w:r>
    </w:p>
    <w:p w:rsidR="000B67FF" w:rsidRPr="000B67FF" w:rsidRDefault="000B67FF" w:rsidP="000B67FF">
      <w:pPr>
        <w:pStyle w:val="tabula"/>
        <w:tabs>
          <w:tab w:val="right" w:pos="9072"/>
        </w:tabs>
        <w:ind w:firstLine="709"/>
        <w:rPr>
          <w:rFonts w:ascii="Times New Roman" w:hAnsi="Times New Roman"/>
        </w:rPr>
      </w:pPr>
      <w:r w:rsidRPr="000B67FF">
        <w:rPr>
          <w:rFonts w:ascii="Times New Roman" w:hAnsi="Times New Roman"/>
        </w:rPr>
        <w:t>Maija.Celmina@lgia.gov.lv</w:t>
      </w:r>
    </w:p>
    <w:p w:rsidR="000B67FF" w:rsidRPr="000B67FF" w:rsidRDefault="000B67FF" w:rsidP="000B67FF">
      <w:pPr>
        <w:pStyle w:val="Default"/>
        <w:ind w:firstLine="720"/>
        <w:jc w:val="both"/>
        <w:rPr>
          <w:sz w:val="20"/>
          <w:szCs w:val="20"/>
        </w:rPr>
      </w:pPr>
      <w:r w:rsidRPr="000B67FF">
        <w:rPr>
          <w:sz w:val="20"/>
          <w:szCs w:val="20"/>
        </w:rPr>
        <w:t>V.Bērziņš 29481235</w:t>
      </w:r>
    </w:p>
    <w:p w:rsidR="000B67FF" w:rsidRPr="000B67FF" w:rsidRDefault="000B67FF" w:rsidP="000B67FF">
      <w:pPr>
        <w:ind w:firstLine="720"/>
        <w:jc w:val="both"/>
        <w:rPr>
          <w:b/>
          <w:sz w:val="20"/>
          <w:szCs w:val="20"/>
        </w:rPr>
      </w:pPr>
      <w:r w:rsidRPr="000B67FF">
        <w:rPr>
          <w:sz w:val="20"/>
          <w:szCs w:val="20"/>
        </w:rPr>
        <w:t>Valdis.Berzins@lgia.gov.lv</w:t>
      </w:r>
    </w:p>
    <w:p w:rsidR="000B67FF" w:rsidRPr="007F2FCF" w:rsidRDefault="000B67FF" w:rsidP="000B67FF">
      <w:pPr>
        <w:pStyle w:val="Parastais"/>
        <w:rPr>
          <w:rFonts w:ascii="Times New Roman" w:hAnsi="Times New Roman"/>
          <w:sz w:val="24"/>
          <w:szCs w:val="24"/>
        </w:rPr>
      </w:pPr>
    </w:p>
    <w:p w:rsidR="000B67FF" w:rsidRDefault="000B67FF">
      <w:bookmarkStart w:id="1" w:name="_GoBack"/>
      <w:bookmarkEnd w:id="1"/>
    </w:p>
    <w:sectPr w:rsidR="000B67FF" w:rsidSect="000B67FF">
      <w:pgSz w:w="16838" w:h="11906" w:orient="landscape"/>
      <w:pgMar w:top="851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98"/>
    <w:rsid w:val="000B67FF"/>
    <w:rsid w:val="00286756"/>
    <w:rsid w:val="002B52D4"/>
    <w:rsid w:val="00380F98"/>
    <w:rsid w:val="00575B99"/>
    <w:rsid w:val="00A20AB9"/>
    <w:rsid w:val="00B650AC"/>
    <w:rsid w:val="00E0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0B67FF"/>
    <w:pPr>
      <w:spacing w:after="200" w:line="276" w:lineRule="auto"/>
    </w:pPr>
    <w:rPr>
      <w:rFonts w:ascii="Calibri" w:eastAsia="Calibri" w:hAnsi="Calibri"/>
      <w:sz w:val="22"/>
      <w:szCs w:val="22"/>
      <w:lang w:val="lv-LV"/>
    </w:rPr>
  </w:style>
  <w:style w:type="paragraph" w:styleId="BodyText">
    <w:name w:val="Body Text"/>
    <w:basedOn w:val="Normal"/>
    <w:link w:val="BodyTextChar"/>
    <w:rsid w:val="000B67FF"/>
    <w:pPr>
      <w:spacing w:after="120"/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0B67FF"/>
    <w:rPr>
      <w:b/>
      <w:sz w:val="32"/>
      <w:szCs w:val="24"/>
      <w:lang w:val="lv-LV" w:eastAsia="lv-LV"/>
    </w:rPr>
  </w:style>
  <w:style w:type="paragraph" w:customStyle="1" w:styleId="Default">
    <w:name w:val="Default"/>
    <w:rsid w:val="000B67FF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paragraph" w:customStyle="1" w:styleId="tabula">
    <w:name w:val="tabula"/>
    <w:basedOn w:val="Normal"/>
    <w:rsid w:val="000B67FF"/>
    <w:pPr>
      <w:tabs>
        <w:tab w:val="left" w:pos="5954"/>
      </w:tabs>
      <w:autoSpaceDN w:val="0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0B67FF"/>
    <w:pPr>
      <w:spacing w:after="200" w:line="276" w:lineRule="auto"/>
    </w:pPr>
    <w:rPr>
      <w:rFonts w:ascii="Calibri" w:eastAsia="Calibri" w:hAnsi="Calibri"/>
      <w:sz w:val="22"/>
      <w:szCs w:val="22"/>
      <w:lang w:val="lv-LV"/>
    </w:rPr>
  </w:style>
  <w:style w:type="paragraph" w:styleId="BodyText">
    <w:name w:val="Body Text"/>
    <w:basedOn w:val="Normal"/>
    <w:link w:val="BodyTextChar"/>
    <w:rsid w:val="000B67FF"/>
    <w:pPr>
      <w:spacing w:after="120"/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0B67FF"/>
    <w:rPr>
      <w:b/>
      <w:sz w:val="32"/>
      <w:szCs w:val="24"/>
      <w:lang w:val="lv-LV" w:eastAsia="lv-LV"/>
    </w:rPr>
  </w:style>
  <w:style w:type="paragraph" w:customStyle="1" w:styleId="Default">
    <w:name w:val="Default"/>
    <w:rsid w:val="000B67FF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paragraph" w:customStyle="1" w:styleId="tabula">
    <w:name w:val="tabula"/>
    <w:basedOn w:val="Normal"/>
    <w:rsid w:val="000B67FF"/>
    <w:pPr>
      <w:tabs>
        <w:tab w:val="left" w:pos="5954"/>
      </w:tabs>
      <w:autoSpaceDN w:val="0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3CFBACFD.dotm</Template>
  <TotalTime>9</TotalTime>
  <Pages>2</Pages>
  <Words>355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ģeotelpiskās informācijas attīstības koncepcija</vt:lpstr>
    </vt:vector>
  </TitlesOfParts>
  <Manager>Latvijas Ģeotelpiskās informācijas aģentūra</Manager>
  <Company>Aizsardzības ministrija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ģeotelpiskās informācijas attīstības koncepcija</dc:title>
  <dc:subject>10.pielikums</dc:subject>
  <dc:creator>M.Celmiņa, V.Bērziņš</dc:creator>
  <cp:keywords/>
  <dc:description>M.Celmiņa 26450705
Maija.Celmina@lgia.gov.lv
V.Bērziņš 29481235
Valdis.Berzins@lgia.gov.lv </dc:description>
  <cp:lastModifiedBy>Ilona Ekmane</cp:lastModifiedBy>
  <cp:revision>4</cp:revision>
  <dcterms:created xsi:type="dcterms:W3CDTF">2013-07-17T16:45:00Z</dcterms:created>
  <dcterms:modified xsi:type="dcterms:W3CDTF">2013-07-23T08:22:00Z</dcterms:modified>
</cp:coreProperties>
</file>