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76" w:rsidRPr="009225AF" w:rsidRDefault="00213D76" w:rsidP="00213D76">
      <w:pPr>
        <w:pStyle w:val="Heading1"/>
        <w:spacing w:after="0" w:line="240" w:lineRule="auto"/>
        <w:jc w:val="right"/>
        <w:rPr>
          <w:rFonts w:cs="Times New Roman"/>
          <w:b w:val="0"/>
          <w:color w:val="000000"/>
          <w:sz w:val="28"/>
          <w:szCs w:val="28"/>
        </w:rPr>
      </w:pPr>
      <w:bookmarkStart w:id="0" w:name="_Toc343865315"/>
      <w:r w:rsidRPr="009225AF">
        <w:rPr>
          <w:rFonts w:cs="Times New Roman"/>
          <w:b w:val="0"/>
          <w:color w:val="000000"/>
          <w:sz w:val="28"/>
          <w:szCs w:val="28"/>
        </w:rPr>
        <w:t>2.pielikums</w:t>
      </w:r>
      <w:bookmarkEnd w:id="0"/>
    </w:p>
    <w:p w:rsidR="00213D76" w:rsidRPr="009225AF" w:rsidRDefault="00213D76" w:rsidP="00213D76">
      <w:pPr>
        <w:jc w:val="right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>Latvijas ģeotelpiskās informācijas</w:t>
      </w:r>
    </w:p>
    <w:p w:rsidR="00213D76" w:rsidRPr="009225AF" w:rsidRDefault="00213D76" w:rsidP="00213D7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>attīstības koncepcijai</w:t>
      </w:r>
      <w:r w:rsidRPr="009225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3D76" w:rsidRPr="009225AF" w:rsidRDefault="00213D76" w:rsidP="00213D7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9225AF">
        <w:rPr>
          <w:rFonts w:ascii="Times New Roman" w:hAnsi="Times New Roman"/>
          <w:color w:val="000000"/>
          <w:sz w:val="28"/>
          <w:szCs w:val="28"/>
        </w:rPr>
        <w:t xml:space="preserve">(apstiprināta ar Ministru kabineta </w:t>
      </w:r>
    </w:p>
    <w:p w:rsidR="00213D76" w:rsidRPr="009225AF" w:rsidRDefault="00213D76" w:rsidP="00213D7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9225AF">
        <w:rPr>
          <w:rFonts w:ascii="Times New Roman" w:hAnsi="Times New Roman"/>
          <w:color w:val="000000"/>
          <w:sz w:val="28"/>
          <w:szCs w:val="28"/>
        </w:rPr>
        <w:t>2013.gada                          </w:t>
      </w:r>
    </w:p>
    <w:p w:rsidR="00213D76" w:rsidRPr="009225AF" w:rsidRDefault="00213D76" w:rsidP="00213D7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9225AF">
        <w:rPr>
          <w:rFonts w:ascii="Times New Roman" w:hAnsi="Times New Roman"/>
          <w:color w:val="000000"/>
          <w:sz w:val="28"/>
          <w:szCs w:val="28"/>
        </w:rPr>
        <w:t xml:space="preserve"> rīkojumu Nr.       )</w:t>
      </w:r>
    </w:p>
    <w:p w:rsidR="00213D76" w:rsidRPr="009225AF" w:rsidRDefault="00213D76" w:rsidP="00213D76">
      <w:pPr>
        <w:jc w:val="right"/>
        <w:rPr>
          <w:rFonts w:ascii="Times New Roman" w:hAnsi="Times New Roman"/>
          <w:sz w:val="28"/>
          <w:szCs w:val="28"/>
        </w:rPr>
      </w:pPr>
    </w:p>
    <w:p w:rsidR="0027210F" w:rsidRPr="009225AF" w:rsidRDefault="00B57DDB" w:rsidP="00290108">
      <w:pPr>
        <w:pStyle w:val="Parastais"/>
        <w:jc w:val="center"/>
        <w:rPr>
          <w:rFonts w:ascii="Times New Roman" w:hAnsi="Times New Roman"/>
          <w:b/>
          <w:sz w:val="28"/>
          <w:szCs w:val="28"/>
        </w:rPr>
      </w:pPr>
      <w:r w:rsidRPr="009225AF">
        <w:rPr>
          <w:rFonts w:ascii="Times New Roman" w:hAnsi="Times New Roman"/>
          <w:b/>
          <w:sz w:val="28"/>
          <w:szCs w:val="28"/>
        </w:rPr>
        <w:t>Atbildīgās institūcijas par INSPIRE direktīvā minēto ģeotelpisko datu kopu un tām atbilstošo metadatu izveidi un aktualizēšanu</w:t>
      </w:r>
    </w:p>
    <w:p w:rsidR="00AD2F95" w:rsidRPr="009225AF" w:rsidRDefault="00AD2F95" w:rsidP="00AD2F95">
      <w:pPr>
        <w:pStyle w:val="Parastais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lv-LV"/>
        </w:rPr>
      </w:pPr>
      <w:r w:rsidRPr="009225AF">
        <w:rPr>
          <w:rFonts w:ascii="Times New Roman" w:eastAsia="Times New Roman" w:hAnsi="Times New Roman"/>
          <w:color w:val="000000"/>
          <w:sz w:val="26"/>
          <w:szCs w:val="26"/>
          <w:lang w:eastAsia="lv-LV"/>
        </w:rPr>
        <w:t>Ievērojot INSPIRE direktīvas pielikumos norādītās ģeotelpisko datu tēmas , ir noteikta šāda atbildība starp ministrijām par ģeotelpisko datu kopu un tām atbilstošo metadatu izveidi</w:t>
      </w:r>
      <w:r w:rsidR="00B57DDB" w:rsidRPr="009225AF">
        <w:rPr>
          <w:rFonts w:ascii="Times New Roman" w:eastAsia="Times New Roman" w:hAnsi="Times New Roman"/>
          <w:color w:val="000000"/>
          <w:sz w:val="26"/>
          <w:szCs w:val="26"/>
          <w:lang w:eastAsia="lv-LV"/>
        </w:rPr>
        <w:t>:</w:t>
      </w:r>
    </w:p>
    <w:tbl>
      <w:tblPr>
        <w:tblW w:w="5012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559"/>
        <w:gridCol w:w="1120"/>
        <w:gridCol w:w="1573"/>
        <w:gridCol w:w="1295"/>
        <w:gridCol w:w="2226"/>
      </w:tblGrid>
      <w:tr w:rsidR="00782478" w:rsidRPr="009225AF" w:rsidTr="00C11534">
        <w:trPr>
          <w:tblHeader/>
          <w:tblCellSpacing w:w="0" w:type="dxa"/>
        </w:trPr>
        <w:tc>
          <w:tcPr>
            <w:tcW w:w="348" w:type="pct"/>
            <w:shd w:val="pct10" w:color="auto" w:fill="auto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 p/k</w:t>
            </w:r>
          </w:p>
        </w:tc>
        <w:tc>
          <w:tcPr>
            <w:tcW w:w="933" w:type="pct"/>
            <w:shd w:val="pct10" w:color="auto" w:fill="auto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 tēmas / datu kopas nosaukums</w:t>
            </w:r>
          </w:p>
        </w:tc>
        <w:tc>
          <w:tcPr>
            <w:tcW w:w="670" w:type="pct"/>
            <w:shd w:val="pct10" w:color="auto" w:fill="auto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INSPIRE direktīvas pielikums</w:t>
            </w:r>
          </w:p>
        </w:tc>
        <w:tc>
          <w:tcPr>
            <w:tcW w:w="941" w:type="pct"/>
            <w:shd w:val="pct10" w:color="auto" w:fill="auto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Atbildīgā ministrija</w:t>
            </w:r>
          </w:p>
        </w:tc>
        <w:tc>
          <w:tcPr>
            <w:tcW w:w="775" w:type="pct"/>
            <w:shd w:val="pct10" w:color="auto" w:fill="auto"/>
            <w:vAlign w:val="center"/>
          </w:tcPr>
          <w:p w:rsidR="00782478" w:rsidRPr="009225AF" w:rsidRDefault="00782478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tēmu atbildīgā institūcija</w:t>
            </w:r>
          </w:p>
        </w:tc>
        <w:tc>
          <w:tcPr>
            <w:tcW w:w="1332" w:type="pct"/>
            <w:shd w:val="pct10" w:color="auto" w:fill="auto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Līdzatbildīgā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koordinātu atskaites sistēmas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pielikuma 1.tēma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Aizsardzības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782478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LĢIA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ģeogrāfisko koordinātu tīklu sistēmas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pielikuma 2.tēma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883042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Aizsardzības </w:t>
            </w:r>
          </w:p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ministrija</w:t>
            </w:r>
          </w:p>
        </w:tc>
        <w:tc>
          <w:tcPr>
            <w:tcW w:w="775" w:type="pct"/>
            <w:vAlign w:val="center"/>
          </w:tcPr>
          <w:p w:rsidR="00782478" w:rsidRPr="009225AF" w:rsidRDefault="00782478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LĢIA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 un Satiksmes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toponīmi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pielikuma 3.tēma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Aizsardzības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782478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LĢIA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ministrija, Vides aizsardzības un reģionālās attīstības ministrija un Satiksmes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administratīvās vienības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pielikuma 4.tēma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782478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VZD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 un Satiksmes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pielikuma 5.tēma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76738B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VZD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kadastrālie zemes gabali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pielikuma 6.tēma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782478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VZD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transporta tīkli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pielikuma 7.tēma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Satiksmes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2E7C3B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LVC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Aizsardzības ministrija un Vides aizsardzības un reģionālās attīstības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hidrogrāfija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pielikuma 8.tēma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5" w:type="pct"/>
            <w:vAlign w:val="center"/>
          </w:tcPr>
          <w:p w:rsidR="00782478" w:rsidRPr="009225AF" w:rsidRDefault="00782478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8.1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jūras un ostu ceļu </w:t>
            </w: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hidrogrāfija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Satiksmes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2E7C3B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8.2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iekšzemes hidrogrāfija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Aizsardzības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2E7C3B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LĢIA</w:t>
            </w:r>
          </w:p>
        </w:tc>
        <w:tc>
          <w:tcPr>
            <w:tcW w:w="1332" w:type="pct"/>
            <w:vAlign w:val="center"/>
            <w:hideMark/>
          </w:tcPr>
          <w:p w:rsidR="00016DF3" w:rsidRPr="009225AF" w:rsidRDefault="00782478" w:rsidP="00016DF3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Vides aizsardzības un reģionālās attīstības </w:t>
            </w:r>
            <w:r w:rsidR="00016DF3"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ministrija un Zemkopības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aizsargājamās teritorijas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pielikuma 9.tēma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2E7C3B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DAP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Kultūras ministrija 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augstums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 pielikuma 1.tēma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Aizsardzības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A024AF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LĢIA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Satiksmes ministrija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 virsma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 pielikuma 2.tēma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EF4F3A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Aizsardzības ministrija</w:t>
            </w:r>
          </w:p>
        </w:tc>
        <w:tc>
          <w:tcPr>
            <w:tcW w:w="775" w:type="pct"/>
            <w:vAlign w:val="center"/>
          </w:tcPr>
          <w:p w:rsidR="001557E6" w:rsidRPr="009225AF" w:rsidRDefault="00A024AF" w:rsidP="00EF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AF">
              <w:rPr>
                <w:rFonts w:ascii="Times New Roman" w:hAnsi="Times New Roman"/>
                <w:sz w:val="24"/>
                <w:szCs w:val="24"/>
              </w:rPr>
              <w:t>LĢIA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ministrija, Vides aizsardzības un reģionālās attīstības ministrija un Zemkopības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ortogrāfija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 pielikuma 3.tēma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Aizsardzības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A024AF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LĢIA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ģeoloģija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 pielikuma 4.tēma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A024AF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LVĢMC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statistikas vienības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1.tēma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Ekonomikas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A024AF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CSP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ēkas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2.tēma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2813CC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VZD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Ekonomikas ministrija un Aizsardzības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2813CC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Augsnes</w:t>
            </w:r>
            <w:r w:rsidR="001B7F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3.tēma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2813CC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75" w:type="pct"/>
            <w:vAlign w:val="center"/>
          </w:tcPr>
          <w:p w:rsidR="00782478" w:rsidRPr="009225AF" w:rsidRDefault="00782478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32" w:type="pct"/>
            <w:vAlign w:val="center"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4419E" w:rsidRPr="009225AF" w:rsidTr="00C11534">
        <w:trPr>
          <w:tblCellSpacing w:w="0" w:type="dxa"/>
        </w:trPr>
        <w:tc>
          <w:tcPr>
            <w:tcW w:w="348" w:type="pct"/>
            <w:vAlign w:val="center"/>
          </w:tcPr>
          <w:p w:rsidR="0074419E" w:rsidRPr="009225AF" w:rsidRDefault="00EF3D07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16.1</w:t>
            </w:r>
          </w:p>
        </w:tc>
        <w:tc>
          <w:tcPr>
            <w:tcW w:w="933" w:type="pct"/>
            <w:vAlign w:val="center"/>
          </w:tcPr>
          <w:p w:rsidR="0074419E" w:rsidRPr="009225AF" w:rsidRDefault="00EF3D07" w:rsidP="002813CC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augsnes virskārtu</w:t>
            </w:r>
          </w:p>
          <w:p w:rsidR="00B81CE8" w:rsidRPr="009225AF" w:rsidRDefault="00B81CE8" w:rsidP="002813CC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0" w:type="pct"/>
            <w:vAlign w:val="center"/>
          </w:tcPr>
          <w:p w:rsidR="0074419E" w:rsidRPr="009225AF" w:rsidRDefault="0074419E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1" w:type="pct"/>
            <w:vAlign w:val="center"/>
          </w:tcPr>
          <w:p w:rsidR="0074419E" w:rsidRPr="009225AF" w:rsidRDefault="00C47BB4" w:rsidP="002813CC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Zemkopības ministrija</w:t>
            </w:r>
          </w:p>
        </w:tc>
        <w:tc>
          <w:tcPr>
            <w:tcW w:w="775" w:type="pct"/>
            <w:vAlign w:val="center"/>
          </w:tcPr>
          <w:p w:rsidR="0074419E" w:rsidRPr="009225AF" w:rsidRDefault="00A930C4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VAAD</w:t>
            </w:r>
          </w:p>
        </w:tc>
        <w:tc>
          <w:tcPr>
            <w:tcW w:w="1332" w:type="pct"/>
            <w:vAlign w:val="center"/>
          </w:tcPr>
          <w:p w:rsidR="0074419E" w:rsidRPr="009225AF" w:rsidRDefault="0074419E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4419E" w:rsidRPr="009225AF" w:rsidTr="00C11534">
        <w:trPr>
          <w:tblCellSpacing w:w="0" w:type="dxa"/>
        </w:trPr>
        <w:tc>
          <w:tcPr>
            <w:tcW w:w="348" w:type="pct"/>
            <w:vAlign w:val="center"/>
          </w:tcPr>
          <w:p w:rsidR="0074419E" w:rsidRPr="009225AF" w:rsidRDefault="00C47BB4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16.2</w:t>
            </w:r>
          </w:p>
        </w:tc>
        <w:tc>
          <w:tcPr>
            <w:tcW w:w="933" w:type="pct"/>
            <w:vAlign w:val="center"/>
          </w:tcPr>
          <w:p w:rsidR="0074419E" w:rsidRPr="009225AF" w:rsidRDefault="00C47BB4" w:rsidP="002813CC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augsnes zemāko kārtu</w:t>
            </w:r>
          </w:p>
        </w:tc>
        <w:tc>
          <w:tcPr>
            <w:tcW w:w="670" w:type="pct"/>
            <w:vAlign w:val="center"/>
          </w:tcPr>
          <w:p w:rsidR="0074419E" w:rsidRPr="009225AF" w:rsidRDefault="0074419E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1" w:type="pct"/>
            <w:vAlign w:val="center"/>
          </w:tcPr>
          <w:p w:rsidR="0074419E" w:rsidRPr="009225AF" w:rsidRDefault="00C47BB4" w:rsidP="002813CC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4419E" w:rsidRPr="009225AF" w:rsidRDefault="00CD2B88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LVĢMC</w:t>
            </w:r>
          </w:p>
        </w:tc>
        <w:tc>
          <w:tcPr>
            <w:tcW w:w="1332" w:type="pct"/>
            <w:vAlign w:val="center"/>
          </w:tcPr>
          <w:p w:rsidR="0074419E" w:rsidRPr="009225AF" w:rsidRDefault="0074419E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 izmantošana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4.tēma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Vides aizsardzības un reģionālās </w:t>
            </w: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615844" w:rsidP="0061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AF">
              <w:rPr>
                <w:rFonts w:ascii="Times New Roman" w:hAnsi="Times New Roman"/>
                <w:sz w:val="24"/>
                <w:szCs w:val="24"/>
              </w:rPr>
              <w:lastRenderedPageBreak/>
              <w:t>VRAA</w:t>
            </w:r>
            <w:r w:rsidR="00961FFC" w:rsidRPr="009225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5844" w:rsidRPr="009225AF" w:rsidRDefault="00615844" w:rsidP="0061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AF">
              <w:rPr>
                <w:rFonts w:ascii="Times New Roman" w:hAnsi="Times New Roman"/>
                <w:sz w:val="24"/>
                <w:szCs w:val="24"/>
              </w:rPr>
              <w:t>LAD</w:t>
            </w:r>
            <w:r w:rsidR="00961FFC" w:rsidRPr="009225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5844" w:rsidRPr="009225AF" w:rsidRDefault="00615844" w:rsidP="00615844">
            <w:pPr>
              <w:jc w:val="center"/>
            </w:pPr>
            <w:r w:rsidRPr="009225AF">
              <w:rPr>
                <w:rFonts w:ascii="Times New Roman" w:hAnsi="Times New Roman"/>
                <w:sz w:val="24"/>
                <w:szCs w:val="24"/>
              </w:rPr>
              <w:t>VMD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Zemkopības ministrija un Tieslietu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18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cilvēku veselība un drošība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5.tēma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Veselības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247D3D" w:rsidP="00AF3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SPKC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  <w:r w:rsidR="00A847C7"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Iekšlietu ministrija</w:t>
            </w: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Zemkopības ministrija</w:t>
            </w:r>
          </w:p>
        </w:tc>
      </w:tr>
      <w:tr w:rsidR="00782478" w:rsidRPr="009225AF" w:rsidTr="00C11534">
        <w:trPr>
          <w:trHeight w:val="1506"/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komunālie un valsts dienesti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6.tēma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0A73E1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VRAA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1B269E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Ekonomikas ministrija</w:t>
            </w:r>
            <w:r w:rsidR="001B269E"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Satiksmes </w:t>
            </w:r>
            <w:r w:rsidR="001B269E"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ministrija, Veselības ministrija, Izglītības un zinātnes ministrija</w:t>
            </w:r>
          </w:p>
        </w:tc>
      </w:tr>
      <w:tr w:rsidR="00782478" w:rsidRPr="009225AF" w:rsidTr="00B81CE8">
        <w:trPr>
          <w:trHeight w:val="1568"/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monitoringa iekārtas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7.tēma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B00F81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961FFC" w:rsidRPr="009225AF" w:rsidRDefault="00961FFC" w:rsidP="00961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AF">
              <w:rPr>
                <w:rFonts w:ascii="Times New Roman" w:hAnsi="Times New Roman"/>
                <w:sz w:val="24"/>
                <w:szCs w:val="24"/>
              </w:rPr>
              <w:t>LVĢMC,</w:t>
            </w:r>
          </w:p>
          <w:p w:rsidR="00961FFC" w:rsidRPr="009225AF" w:rsidRDefault="00961FFC" w:rsidP="00961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AF">
              <w:rPr>
                <w:rFonts w:ascii="Times New Roman" w:hAnsi="Times New Roman"/>
                <w:sz w:val="24"/>
                <w:szCs w:val="24"/>
              </w:rPr>
              <w:t>DAP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961FFC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Veselības ministrija, </w:t>
            </w:r>
            <w:r w:rsidR="00782478"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Zemkopības ministrija un Ekonomikas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ražošanas un rūpniecības iekārtas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8.tēma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1E5CFE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hAnsi="Times New Roman"/>
                <w:sz w:val="24"/>
                <w:szCs w:val="24"/>
              </w:rPr>
              <w:t>LVĢMC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Ekonomikas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B526EE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 w:rsidR="00782478"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auksaim</w:t>
            </w: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782478"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niecības un akvakultūras iekārtas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9.tēma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Zemkopības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B654F4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LDC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iedzīvotāju sadalījums – demogrāfija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10.tēma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Ekonomikas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321252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CSP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apgabala pārvaldības (ierobežojumu) reglamentētās zonas un ziņošanas vienības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11.tēma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321252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DAP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Zemkopības ministrija un Satiksmes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dabas apdraudējuma zonas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12.tēma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321252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LVĢMC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Iekšlietu ministrija un Zemkopības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atmosfēras apstākļi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13.tēma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321252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LVĢMC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286724">
        <w:trPr>
          <w:trHeight w:val="1539"/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27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meteoroloģiski ģeogrāfiskie raksturlielumi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14.tēma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321252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LVĢMC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okeanogrāfiski ģeogrāfiskie raksturlielumi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15.tēma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B654F4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LHEI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Satiksmes ministrija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jūras reģioni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16.tēma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342964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LHEI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Satiksmes ministrija </w:t>
            </w:r>
          </w:p>
        </w:tc>
      </w:tr>
      <w:tr w:rsidR="00782478" w:rsidRPr="009225AF" w:rsidTr="00C11534">
        <w:trPr>
          <w:trHeight w:val="1544"/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7B06E2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bioģeogrāfiskie rajoni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17.tēma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627FA5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DAP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286724">
        <w:trPr>
          <w:trHeight w:val="1552"/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7B06E2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dzīvotnes un biotopi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18.tēma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342964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DAP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7B06E2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sugu izplatība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19.tēma</w:t>
            </w:r>
          </w:p>
        </w:tc>
        <w:tc>
          <w:tcPr>
            <w:tcW w:w="941" w:type="pct"/>
            <w:vAlign w:val="center"/>
            <w:hideMark/>
          </w:tcPr>
          <w:p w:rsidR="00286724" w:rsidRPr="009225AF" w:rsidRDefault="00782478" w:rsidP="00286724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342964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DAP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enerģijas resursi</w:t>
            </w:r>
            <w:r w:rsidR="00AD7F8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20.tēma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Ekonomikas ministrija</w:t>
            </w:r>
          </w:p>
        </w:tc>
        <w:tc>
          <w:tcPr>
            <w:tcW w:w="775" w:type="pct"/>
            <w:vAlign w:val="center"/>
          </w:tcPr>
          <w:p w:rsidR="007672EB" w:rsidRPr="009225AF" w:rsidRDefault="007672EB" w:rsidP="00701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782478" w:rsidRPr="009225AF" w:rsidTr="00C11534">
        <w:trPr>
          <w:tblCellSpacing w:w="0" w:type="dxa"/>
        </w:trPr>
        <w:tc>
          <w:tcPr>
            <w:tcW w:w="348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933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derīgo izrakteņu resursi</w:t>
            </w:r>
          </w:p>
        </w:tc>
        <w:tc>
          <w:tcPr>
            <w:tcW w:w="670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 pielikuma 21.tēma</w:t>
            </w:r>
          </w:p>
        </w:tc>
        <w:tc>
          <w:tcPr>
            <w:tcW w:w="941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  <w:tc>
          <w:tcPr>
            <w:tcW w:w="775" w:type="pct"/>
            <w:vAlign w:val="center"/>
          </w:tcPr>
          <w:p w:rsidR="00782478" w:rsidRPr="009225AF" w:rsidRDefault="00172E98" w:rsidP="00782478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LVĢMC</w:t>
            </w:r>
          </w:p>
        </w:tc>
        <w:tc>
          <w:tcPr>
            <w:tcW w:w="1332" w:type="pct"/>
            <w:vAlign w:val="center"/>
            <w:hideMark/>
          </w:tcPr>
          <w:p w:rsidR="00782478" w:rsidRPr="009225AF" w:rsidRDefault="00782478" w:rsidP="00AD2F95">
            <w:pPr>
              <w:pStyle w:val="Parastais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25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AD7F8A" w:rsidRPr="00AD7F8A" w:rsidRDefault="00AD7F8A" w:rsidP="0032755D">
      <w:pPr>
        <w:pStyle w:val="Parastais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* </w:t>
      </w:r>
      <w:r w:rsidRPr="00AD7F8A">
        <w:rPr>
          <w:rFonts w:ascii="Times New Roman" w:eastAsia="Times New Roman" w:hAnsi="Times New Roman"/>
          <w:sz w:val="24"/>
          <w:szCs w:val="24"/>
          <w:lang w:eastAsia="lv-LV"/>
        </w:rPr>
        <w:t xml:space="preserve">INSPIRE III pielikuma 20.tēmas „Enerģijas resursi” </w:t>
      </w:r>
      <w:r w:rsidR="001B7F8E">
        <w:rPr>
          <w:rFonts w:ascii="Times New Roman" w:eastAsia="Times New Roman" w:hAnsi="Times New Roman"/>
          <w:sz w:val="24"/>
          <w:szCs w:val="24"/>
          <w:lang w:eastAsia="lv-LV"/>
        </w:rPr>
        <w:t>un 3</w:t>
      </w:r>
      <w:r w:rsidR="001B7F8E" w:rsidRPr="00AD7F8A">
        <w:rPr>
          <w:rFonts w:ascii="Times New Roman" w:eastAsia="Times New Roman" w:hAnsi="Times New Roman"/>
          <w:sz w:val="24"/>
          <w:szCs w:val="24"/>
          <w:lang w:eastAsia="lv-LV"/>
        </w:rPr>
        <w:t>.tēmas „</w:t>
      </w:r>
      <w:r w:rsidR="001B7F8E">
        <w:rPr>
          <w:rFonts w:ascii="Times New Roman" w:eastAsia="Times New Roman" w:hAnsi="Times New Roman"/>
          <w:sz w:val="24"/>
          <w:szCs w:val="24"/>
          <w:lang w:eastAsia="lv-LV"/>
        </w:rPr>
        <w:t>Augsnes</w:t>
      </w:r>
      <w:r w:rsidR="001B7F8E" w:rsidRPr="00AD7F8A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1B7F8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AD7F8A">
        <w:rPr>
          <w:rFonts w:ascii="Times New Roman" w:eastAsia="Times New Roman" w:hAnsi="Times New Roman"/>
          <w:sz w:val="24"/>
          <w:szCs w:val="24"/>
          <w:lang w:eastAsia="lv-LV"/>
        </w:rPr>
        <w:t>atbildīgā</w:t>
      </w:r>
      <w:r w:rsidR="001B7F8E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AD7F8A">
        <w:rPr>
          <w:rFonts w:ascii="Times New Roman" w:eastAsia="Times New Roman" w:hAnsi="Times New Roman"/>
          <w:sz w:val="24"/>
          <w:szCs w:val="24"/>
          <w:lang w:eastAsia="lv-LV"/>
        </w:rPr>
        <w:t xml:space="preserve"> ministrija</w:t>
      </w:r>
      <w:r w:rsidR="001B7F8E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AD7F8A">
        <w:rPr>
          <w:rFonts w:ascii="Times New Roman" w:eastAsia="Times New Roman" w:hAnsi="Times New Roman"/>
          <w:sz w:val="24"/>
          <w:szCs w:val="24"/>
          <w:lang w:eastAsia="lv-LV"/>
        </w:rPr>
        <w:t xml:space="preserve"> norādīta, ievērojot </w:t>
      </w:r>
      <w:r w:rsidRPr="00B6511E">
        <w:rPr>
          <w:rFonts w:ascii="Times New Roman" w:hAnsi="Times New Roman"/>
          <w:sz w:val="24"/>
          <w:szCs w:val="24"/>
        </w:rPr>
        <w:t xml:space="preserve">Ministru kabineta 2007.gada 20.novembra rīkojumu Nr.718  „Par Latvijas ģeotelpiskās informācijas attīstības koncepciju”. </w:t>
      </w:r>
      <w:r>
        <w:rPr>
          <w:rFonts w:ascii="Times New Roman" w:hAnsi="Times New Roman"/>
          <w:sz w:val="24"/>
          <w:szCs w:val="24"/>
        </w:rPr>
        <w:t>Pēc koncepcijā paredzētās</w:t>
      </w:r>
      <w:r w:rsidR="0032755D">
        <w:rPr>
          <w:rFonts w:ascii="Times New Roman" w:hAnsi="Times New Roman"/>
          <w:sz w:val="24"/>
          <w:szCs w:val="24"/>
        </w:rPr>
        <w:t xml:space="preserve"> Ģeotelpiskās informācijas koordinācijas padomes izveides </w:t>
      </w:r>
      <w:r w:rsidR="008A2CBE">
        <w:rPr>
          <w:rFonts w:ascii="Times New Roman" w:hAnsi="Times New Roman"/>
          <w:sz w:val="24"/>
          <w:szCs w:val="24"/>
        </w:rPr>
        <w:t xml:space="preserve">nepieciešams iekļaut tās darba kārtībā jautājumu par </w:t>
      </w:r>
      <w:r w:rsidR="008A2CBE" w:rsidRPr="001B7F8E">
        <w:rPr>
          <w:rFonts w:ascii="Times New Roman" w:eastAsia="Times New Roman" w:hAnsi="Times New Roman"/>
          <w:sz w:val="24"/>
          <w:szCs w:val="24"/>
          <w:lang w:eastAsia="lv-LV"/>
        </w:rPr>
        <w:t>INSPIRE III pielikuma 20.tēmas „Enerģijas resursi”</w:t>
      </w:r>
      <w:r w:rsidRPr="001B7F8E">
        <w:rPr>
          <w:rFonts w:ascii="Times New Roman" w:hAnsi="Times New Roman"/>
          <w:sz w:val="24"/>
          <w:szCs w:val="24"/>
        </w:rPr>
        <w:t xml:space="preserve">  </w:t>
      </w:r>
      <w:r w:rsidR="001B7F8E" w:rsidRPr="001B7F8E">
        <w:rPr>
          <w:rFonts w:ascii="Times New Roman" w:eastAsia="Times New Roman" w:hAnsi="Times New Roman"/>
          <w:sz w:val="24"/>
          <w:szCs w:val="24"/>
          <w:lang w:eastAsia="lv-LV"/>
        </w:rPr>
        <w:t>un 3.tēmas „Augsnes”</w:t>
      </w:r>
      <w:r w:rsidR="001B7F8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6511E">
        <w:rPr>
          <w:rFonts w:ascii="Times New Roman" w:hAnsi="Times New Roman"/>
          <w:sz w:val="24"/>
          <w:szCs w:val="24"/>
        </w:rPr>
        <w:t>pieli</w:t>
      </w:r>
      <w:r w:rsidR="008A2CBE">
        <w:rPr>
          <w:rFonts w:ascii="Times New Roman" w:hAnsi="Times New Roman"/>
          <w:sz w:val="24"/>
          <w:szCs w:val="24"/>
        </w:rPr>
        <w:t>e</w:t>
      </w:r>
      <w:r w:rsidRPr="00B6511E">
        <w:rPr>
          <w:rFonts w:ascii="Times New Roman" w:hAnsi="Times New Roman"/>
          <w:sz w:val="24"/>
          <w:szCs w:val="24"/>
        </w:rPr>
        <w:t>tojumu</w:t>
      </w:r>
      <w:r w:rsidR="008A2CBE">
        <w:rPr>
          <w:rFonts w:ascii="Times New Roman" w:hAnsi="Times New Roman"/>
          <w:sz w:val="24"/>
          <w:szCs w:val="24"/>
        </w:rPr>
        <w:t xml:space="preserve"> valstī un datu tēmas </w:t>
      </w:r>
      <w:r w:rsidR="008A2CBE">
        <w:rPr>
          <w:rFonts w:ascii="Times New Roman" w:hAnsi="Times New Roman"/>
          <w:sz w:val="24"/>
          <w:szCs w:val="24"/>
        </w:rPr>
        <w:lastRenderedPageBreak/>
        <w:t>uzturēšanu Latvijā, izpildot</w:t>
      </w:r>
      <w:r w:rsidR="008A2CBE" w:rsidRPr="008A2CBE">
        <w:rPr>
          <w:rFonts w:ascii="Times New Roman" w:hAnsi="Times New Roman"/>
          <w:sz w:val="24"/>
          <w:szCs w:val="24"/>
        </w:rPr>
        <w:t xml:space="preserve"> </w:t>
      </w:r>
      <w:r w:rsidR="008A2CBE">
        <w:rPr>
          <w:rFonts w:ascii="Times New Roman" w:hAnsi="Times New Roman"/>
          <w:sz w:val="24"/>
          <w:szCs w:val="24"/>
        </w:rPr>
        <w:t xml:space="preserve">ES </w:t>
      </w:r>
      <w:r w:rsidR="006579EB">
        <w:rPr>
          <w:rFonts w:ascii="Times New Roman" w:hAnsi="Times New Roman"/>
          <w:sz w:val="24"/>
          <w:szCs w:val="24"/>
        </w:rPr>
        <w:t>prasības, kā arī turpmāko atbildību datu tēmas uzturēšanā</w:t>
      </w:r>
      <w:r w:rsidRPr="00B6511E">
        <w:rPr>
          <w:rFonts w:ascii="Times New Roman" w:hAnsi="Times New Roman"/>
          <w:sz w:val="24"/>
          <w:szCs w:val="24"/>
        </w:rPr>
        <w:t>.</w:t>
      </w:r>
      <w:r w:rsidR="0032755D">
        <w:rPr>
          <w:rFonts w:ascii="Times New Roman" w:hAnsi="Times New Roman"/>
          <w:sz w:val="24"/>
          <w:szCs w:val="24"/>
        </w:rPr>
        <w:t xml:space="preserve"> </w:t>
      </w:r>
    </w:p>
    <w:p w:rsidR="00213D76" w:rsidRDefault="00DC22DF" w:rsidP="005D1BF5">
      <w:pPr>
        <w:pStyle w:val="Parastais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AD2F95" w:rsidRPr="009225AF">
        <w:rPr>
          <w:rFonts w:ascii="Times New Roman" w:eastAsia="Times New Roman" w:hAnsi="Times New Roman"/>
          <w:sz w:val="24"/>
          <w:szCs w:val="24"/>
          <w:lang w:eastAsia="lv-LV"/>
        </w:rPr>
        <w:t xml:space="preserve">atras datu tēmas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sīkāks </w:t>
      </w:r>
      <w:r w:rsidR="00AD2F95" w:rsidRPr="009225AF">
        <w:rPr>
          <w:rFonts w:ascii="Times New Roman" w:eastAsia="Times New Roman" w:hAnsi="Times New Roman"/>
          <w:sz w:val="24"/>
          <w:szCs w:val="24"/>
          <w:lang w:eastAsia="lv-LV"/>
        </w:rPr>
        <w:t>aprakst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AD2F95" w:rsidRPr="009225A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iekļauts</w:t>
      </w:r>
      <w:r w:rsidR="00AD2F95" w:rsidRPr="009225A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AD2F95" w:rsidRPr="009225AF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INSPIRE direktīvas pielikumos</w:t>
      </w:r>
      <w:r w:rsidR="00AD2F95" w:rsidRPr="009225AF">
        <w:rPr>
          <w:rFonts w:ascii="Times New Roman" w:eastAsia="Times New Roman" w:hAnsi="Times New Roman"/>
          <w:sz w:val="24"/>
          <w:szCs w:val="24"/>
          <w:lang w:eastAsia="lv-LV"/>
        </w:rPr>
        <w:t xml:space="preserve"> un Eiropas Komisijas sagatavotajā dokumentā </w:t>
      </w:r>
      <w:hyperlink r:id="rId8" w:tgtFrame="_blank" w:history="1"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>"</w:t>
        </w:r>
        <w:proofErr w:type="spellStart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>Definition</w:t>
        </w:r>
        <w:proofErr w:type="spellEnd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>of</w:t>
        </w:r>
        <w:proofErr w:type="spellEnd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>Annex</w:t>
        </w:r>
        <w:proofErr w:type="spellEnd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>Themes</w:t>
        </w:r>
        <w:proofErr w:type="spellEnd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>and</w:t>
        </w:r>
        <w:proofErr w:type="spellEnd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>Scope</w:t>
        </w:r>
        <w:proofErr w:type="spellEnd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 xml:space="preserve"> (D 2.3 </w:t>
        </w:r>
        <w:proofErr w:type="spellStart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>Version</w:t>
        </w:r>
        <w:proofErr w:type="spellEnd"/>
        <w:r w:rsidR="00AD2F95" w:rsidRPr="009225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lv-LV"/>
          </w:rPr>
          <w:t xml:space="preserve"> 3)"</w:t>
        </w:r>
      </w:hyperlink>
      <w:r w:rsidR="00AD2F95" w:rsidRPr="009225AF">
        <w:rPr>
          <w:rFonts w:ascii="Times New Roman" w:eastAsia="Times New Roman" w:hAnsi="Times New Roman"/>
          <w:sz w:val="24"/>
          <w:szCs w:val="24"/>
          <w:lang w:eastAsia="lv-LV"/>
        </w:rPr>
        <w:t> (latv. val. "INSPIRE pielikumu datu tēmu definīcijas un saturs</w:t>
      </w:r>
      <w:r w:rsidR="00D9157B" w:rsidRPr="009225AF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D9157B" w:rsidRPr="009225AF">
        <w:rPr>
          <w:rStyle w:val="FootnoteReference"/>
          <w:rFonts w:ascii="Times New Roman" w:eastAsia="Times New Roman" w:hAnsi="Times New Roman"/>
          <w:sz w:val="24"/>
          <w:szCs w:val="24"/>
          <w:lang w:eastAsia="lv-LV"/>
        </w:rPr>
        <w:footnoteReference w:id="1"/>
      </w:r>
    </w:p>
    <w:p w:rsidR="00DC22DF" w:rsidRDefault="005D1BF5" w:rsidP="003B2457">
      <w:pPr>
        <w:pStyle w:val="Parastais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Atbildības sadalījums balstīts, ievērojot katras datu tēmas specifikāciju un tehniskās vadlīnijas</w:t>
      </w:r>
      <w:r w:rsidR="003B2457">
        <w:rPr>
          <w:rStyle w:val="FootnoteReference"/>
          <w:rFonts w:ascii="Times New Roman" w:eastAsia="Times New Roman" w:hAnsi="Times New Roman"/>
          <w:sz w:val="24"/>
          <w:szCs w:val="24"/>
          <w:lang w:eastAsia="lv-LV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ko sagatavojusi Eiropas Komisija. INSPIRE I pielikuma datu tēmu specifikācijas un tehniskās vadlīnijas aktualizētas </w:t>
      </w:r>
      <w:r w:rsidRPr="005D1BF5">
        <w:rPr>
          <w:rFonts w:ascii="Times New Roman" w:eastAsia="Times New Roman" w:hAnsi="Times New Roman"/>
          <w:sz w:val="24"/>
          <w:szCs w:val="24"/>
          <w:lang w:eastAsia="lv-LV"/>
        </w:rPr>
        <w:t>03.05.2010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81249B">
        <w:rPr>
          <w:rFonts w:ascii="Times New Roman" w:eastAsia="Times New Roman" w:hAnsi="Times New Roman"/>
          <w:sz w:val="24"/>
          <w:szCs w:val="24"/>
          <w:lang w:eastAsia="lv-LV"/>
        </w:rPr>
        <w:t xml:space="preserve">INSPIRE I pielikuma datu tēmu specifikācijas iekļautas </w:t>
      </w:r>
      <w:r w:rsidR="0081249B" w:rsidRPr="0081249B">
        <w:rPr>
          <w:rFonts w:ascii="Times New Roman" w:eastAsia="Times New Roman" w:hAnsi="Times New Roman"/>
          <w:sz w:val="24"/>
          <w:szCs w:val="24"/>
          <w:lang w:eastAsia="lv-LV"/>
        </w:rPr>
        <w:t>Eiropas Komisijas Regul</w:t>
      </w:r>
      <w:r w:rsidR="0081249B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="0081249B" w:rsidRPr="0081249B">
        <w:rPr>
          <w:rFonts w:ascii="Times New Roman" w:eastAsia="Times New Roman" w:hAnsi="Times New Roman"/>
          <w:sz w:val="24"/>
          <w:szCs w:val="24"/>
          <w:lang w:eastAsia="lv-LV"/>
        </w:rPr>
        <w:t xml:space="preserve"> (ES) Nr.</w:t>
      </w:r>
      <w:r w:rsidR="0081249B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81249B" w:rsidRPr="0081249B">
        <w:rPr>
          <w:rFonts w:ascii="Times New Roman" w:eastAsia="Times New Roman" w:hAnsi="Times New Roman"/>
          <w:sz w:val="24"/>
          <w:szCs w:val="24"/>
          <w:lang w:eastAsia="lv-LV"/>
        </w:rPr>
        <w:t>1089/2010 (2010. gada 23. novembris), ar kuru īsteno Eiropas Parlamenta un Padomes Direktīvu 2007/2/EK attiecībā uz telpisko datu kopu un telpisko datu pakalpojumu savstarpējo izmantojamību</w:t>
      </w:r>
      <w:r w:rsidR="0081249B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INSPIRE II un III pielikuma datu tēmu specifikācijas un tehniskās vadlīnijas aktualizētas </w:t>
      </w:r>
      <w:r w:rsidRPr="005D1BF5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5D1BF5">
        <w:rPr>
          <w:rFonts w:ascii="Times New Roman" w:eastAsia="Times New Roman" w:hAnsi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5D1BF5">
        <w:rPr>
          <w:rFonts w:ascii="Times New Roman" w:eastAsia="Times New Roman" w:hAnsi="Times New Roman"/>
          <w:sz w:val="24"/>
          <w:szCs w:val="24"/>
          <w:lang w:eastAsia="lv-LV"/>
        </w:rPr>
        <w:t>.201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3.</w:t>
      </w:r>
      <w:r w:rsidR="0081249B">
        <w:rPr>
          <w:rFonts w:ascii="Times New Roman" w:eastAsia="Times New Roman" w:hAnsi="Times New Roman"/>
          <w:sz w:val="24"/>
          <w:szCs w:val="24"/>
          <w:lang w:eastAsia="lv-LV"/>
        </w:rPr>
        <w:t xml:space="preserve"> INSPIRE II un III pielikuma datu tēmu specifikācijas iekļautas </w:t>
      </w:r>
      <w:r w:rsidR="0081249B" w:rsidRPr="0081249B">
        <w:rPr>
          <w:rFonts w:ascii="Times New Roman" w:eastAsia="Times New Roman" w:hAnsi="Times New Roman"/>
          <w:sz w:val="24"/>
          <w:szCs w:val="24"/>
          <w:lang w:eastAsia="lv-LV"/>
        </w:rPr>
        <w:t>Eiropas Komisijas Regul</w:t>
      </w:r>
      <w:r w:rsidR="0081249B">
        <w:rPr>
          <w:rFonts w:ascii="Times New Roman" w:eastAsia="Times New Roman" w:hAnsi="Times New Roman"/>
          <w:sz w:val="24"/>
          <w:szCs w:val="24"/>
          <w:lang w:eastAsia="lv-LV"/>
        </w:rPr>
        <w:t>as</w:t>
      </w:r>
      <w:r w:rsidR="0081249B" w:rsidRPr="0081249B">
        <w:rPr>
          <w:rFonts w:ascii="Times New Roman" w:eastAsia="Times New Roman" w:hAnsi="Times New Roman"/>
          <w:sz w:val="24"/>
          <w:szCs w:val="24"/>
          <w:lang w:eastAsia="lv-LV"/>
        </w:rPr>
        <w:t xml:space="preserve"> (ES) Nr.</w:t>
      </w:r>
      <w:r w:rsidR="0081249B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81249B" w:rsidRPr="0081249B">
        <w:rPr>
          <w:rFonts w:ascii="Times New Roman" w:eastAsia="Times New Roman" w:hAnsi="Times New Roman"/>
          <w:sz w:val="24"/>
          <w:szCs w:val="24"/>
          <w:lang w:eastAsia="lv-LV"/>
        </w:rPr>
        <w:t>1089/2010 (2010. gada 23. novembris)</w:t>
      </w:r>
      <w:r w:rsidR="0081249B">
        <w:rPr>
          <w:rFonts w:ascii="Times New Roman" w:eastAsia="Times New Roman" w:hAnsi="Times New Roman"/>
          <w:sz w:val="24"/>
          <w:szCs w:val="24"/>
          <w:lang w:eastAsia="lv-LV"/>
        </w:rPr>
        <w:t xml:space="preserve"> plānotajos grozījumos</w:t>
      </w:r>
      <w:r w:rsidR="0081249B" w:rsidRPr="0081249B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81249B">
        <w:rPr>
          <w:rFonts w:ascii="Times New Roman" w:eastAsia="Times New Roman" w:hAnsi="Times New Roman"/>
          <w:sz w:val="24"/>
          <w:szCs w:val="24"/>
          <w:lang w:eastAsia="lv-LV"/>
        </w:rPr>
        <w:t xml:space="preserve">par </w:t>
      </w:r>
      <w:r w:rsidR="0081249B" w:rsidRPr="0081249B">
        <w:rPr>
          <w:rFonts w:ascii="Times New Roman" w:eastAsia="Times New Roman" w:hAnsi="Times New Roman"/>
          <w:sz w:val="24"/>
          <w:szCs w:val="24"/>
          <w:lang w:eastAsia="lv-LV"/>
        </w:rPr>
        <w:t>kur</w:t>
      </w:r>
      <w:r w:rsidR="0081249B">
        <w:rPr>
          <w:rFonts w:ascii="Times New Roman" w:eastAsia="Times New Roman" w:hAnsi="Times New Roman"/>
          <w:sz w:val="24"/>
          <w:szCs w:val="24"/>
          <w:lang w:eastAsia="lv-LV"/>
        </w:rPr>
        <w:t>iem pozitīvi balsoja INSPIRE Komiteja savā 2013.gada 8.aprīļa sēdē.</w:t>
      </w:r>
    </w:p>
    <w:p w:rsidR="007B06E2" w:rsidRDefault="007B06E2" w:rsidP="00B6511E">
      <w:pPr>
        <w:pStyle w:val="Parastai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INSPIRE III pielikuma 17.tēma</w:t>
      </w:r>
      <w:r w:rsidR="001A27A0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„B</w:t>
      </w:r>
      <w:r w:rsidRPr="007B06E2">
        <w:rPr>
          <w:rFonts w:ascii="Times New Roman" w:eastAsia="Times New Roman" w:hAnsi="Times New Roman"/>
          <w:sz w:val="24"/>
          <w:szCs w:val="24"/>
          <w:lang w:eastAsia="lv-LV"/>
        </w:rPr>
        <w:t>ioģeogrāfiskie rajoni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”, 18.tēma</w:t>
      </w:r>
      <w:r w:rsidR="001A27A0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„D</w:t>
      </w:r>
      <w:r w:rsidRPr="009225AF">
        <w:rPr>
          <w:rFonts w:ascii="Times New Roman" w:eastAsia="Times New Roman" w:hAnsi="Times New Roman"/>
          <w:sz w:val="24"/>
          <w:szCs w:val="24"/>
          <w:lang w:eastAsia="lv-LV"/>
        </w:rPr>
        <w:t>zīvotnes un biotopi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 un 19.tēma</w:t>
      </w:r>
      <w:r w:rsidR="001A27A0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„</w:t>
      </w:r>
      <w:r w:rsidR="001A27A0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A27A0" w:rsidRPr="009225AF">
        <w:rPr>
          <w:rFonts w:ascii="Times New Roman" w:eastAsia="Times New Roman" w:hAnsi="Times New Roman"/>
          <w:sz w:val="24"/>
          <w:szCs w:val="24"/>
          <w:lang w:eastAsia="lv-LV"/>
        </w:rPr>
        <w:t>ugu izplatība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1A27A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F2689">
        <w:rPr>
          <w:rFonts w:ascii="Times New Roman" w:eastAsia="Times New Roman" w:hAnsi="Times New Roman"/>
          <w:sz w:val="24"/>
          <w:szCs w:val="24"/>
          <w:lang w:eastAsia="lv-LV"/>
        </w:rPr>
        <w:t xml:space="preserve">ģeotelpisko datu </w:t>
      </w:r>
      <w:r w:rsidR="001A27A0">
        <w:rPr>
          <w:rFonts w:ascii="Times New Roman" w:eastAsia="Times New Roman" w:hAnsi="Times New Roman"/>
          <w:sz w:val="24"/>
          <w:szCs w:val="24"/>
          <w:lang w:eastAsia="lv-LV"/>
        </w:rPr>
        <w:t xml:space="preserve">galvenais pielietojums ir nodrošināt </w:t>
      </w:r>
      <w:r w:rsidR="00EE278D">
        <w:rPr>
          <w:rFonts w:ascii="Times New Roman" w:eastAsia="Times New Roman" w:hAnsi="Times New Roman"/>
          <w:sz w:val="24"/>
          <w:szCs w:val="24"/>
          <w:lang w:eastAsia="lv-LV"/>
        </w:rPr>
        <w:t xml:space="preserve">Latvijas kā Eiropas Savienības dalībvalsts </w:t>
      </w:r>
      <w:r w:rsidR="001A27A0">
        <w:rPr>
          <w:rFonts w:ascii="Times New Roman" w:eastAsia="Times New Roman" w:hAnsi="Times New Roman"/>
          <w:sz w:val="24"/>
          <w:szCs w:val="24"/>
          <w:lang w:eastAsia="lv-LV"/>
        </w:rPr>
        <w:t>ziņošanu</w:t>
      </w:r>
      <w:r w:rsidR="00EE278D">
        <w:rPr>
          <w:rFonts w:ascii="Times New Roman" w:eastAsia="Times New Roman" w:hAnsi="Times New Roman"/>
          <w:sz w:val="24"/>
          <w:szCs w:val="24"/>
          <w:lang w:eastAsia="lv-LV"/>
        </w:rPr>
        <w:t>, ko nosaka</w:t>
      </w:r>
      <w:r w:rsidR="001A27A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E278D" w:rsidRPr="00CF2689">
        <w:rPr>
          <w:rFonts w:ascii="Times New Roman" w:eastAsia="Times New Roman" w:hAnsi="Times New Roman"/>
          <w:sz w:val="24"/>
          <w:szCs w:val="24"/>
          <w:lang w:eastAsia="lv-LV"/>
        </w:rPr>
        <w:t>Padomes Direktīva</w:t>
      </w:r>
      <w:r w:rsidR="00EE278D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CF2689" w:rsidRPr="00CF2689">
        <w:rPr>
          <w:rFonts w:ascii="Times New Roman" w:eastAsia="Times New Roman" w:hAnsi="Times New Roman"/>
          <w:sz w:val="24"/>
          <w:szCs w:val="24"/>
          <w:lang w:eastAsia="lv-LV"/>
        </w:rPr>
        <w:t xml:space="preserve"> 92/43/EEK</w:t>
      </w:r>
      <w:r w:rsidR="00CF268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F2689" w:rsidRPr="00CF2689">
        <w:rPr>
          <w:rFonts w:ascii="Times New Roman" w:eastAsia="Times New Roman" w:hAnsi="Times New Roman"/>
          <w:sz w:val="24"/>
          <w:szCs w:val="24"/>
          <w:lang w:eastAsia="lv-LV"/>
        </w:rPr>
        <w:t>(1992.</w:t>
      </w:r>
      <w:r w:rsidR="00C8117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CF2689" w:rsidRPr="00CF2689">
        <w:rPr>
          <w:rFonts w:ascii="Times New Roman" w:eastAsia="Times New Roman" w:hAnsi="Times New Roman"/>
          <w:sz w:val="24"/>
          <w:szCs w:val="24"/>
          <w:lang w:eastAsia="lv-LV"/>
        </w:rPr>
        <w:t>gada 21.</w:t>
      </w:r>
      <w:r w:rsidR="00C8117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CF2689" w:rsidRPr="00CF2689">
        <w:rPr>
          <w:rFonts w:ascii="Times New Roman" w:eastAsia="Times New Roman" w:hAnsi="Times New Roman"/>
          <w:sz w:val="24"/>
          <w:szCs w:val="24"/>
          <w:lang w:eastAsia="lv-LV"/>
        </w:rPr>
        <w:t>maijs)</w:t>
      </w:r>
      <w:r w:rsidR="00CF268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F2689" w:rsidRPr="00CF2689">
        <w:rPr>
          <w:rFonts w:ascii="Times New Roman" w:eastAsia="Times New Roman" w:hAnsi="Times New Roman"/>
          <w:sz w:val="24"/>
          <w:szCs w:val="24"/>
          <w:lang w:eastAsia="lv-LV"/>
        </w:rPr>
        <w:t>par dabisko dzīvotņu, savvaļas faunas un floras aizsardzību</w:t>
      </w:r>
      <w:r w:rsidR="00EE278D">
        <w:rPr>
          <w:rFonts w:ascii="Times New Roman" w:eastAsia="Times New Roman" w:hAnsi="Times New Roman"/>
          <w:sz w:val="24"/>
          <w:szCs w:val="24"/>
          <w:lang w:eastAsia="lv-LV"/>
        </w:rPr>
        <w:t xml:space="preserve"> 17.pants</w:t>
      </w:r>
      <w:r w:rsidR="005D2915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C81172" w:rsidRPr="00C81172">
        <w:rPr>
          <w:rFonts w:ascii="Times New Roman" w:eastAsia="Times New Roman" w:hAnsi="Times New Roman"/>
          <w:sz w:val="24"/>
          <w:szCs w:val="24"/>
          <w:lang w:eastAsia="lv-LV"/>
        </w:rPr>
        <w:t xml:space="preserve">Eiropas Parlamenta </w:t>
      </w:r>
      <w:r w:rsidR="00C81172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C81172" w:rsidRPr="00C81172">
        <w:rPr>
          <w:rFonts w:ascii="Times New Roman" w:eastAsia="Times New Roman" w:hAnsi="Times New Roman"/>
          <w:sz w:val="24"/>
          <w:szCs w:val="24"/>
          <w:lang w:eastAsia="lv-LV"/>
        </w:rPr>
        <w:t>n Padomes Direktīva</w:t>
      </w:r>
      <w:r w:rsidR="00C81172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C81172" w:rsidRPr="00C81172">
        <w:rPr>
          <w:rFonts w:ascii="Times New Roman" w:eastAsia="Times New Roman" w:hAnsi="Times New Roman"/>
          <w:sz w:val="24"/>
          <w:szCs w:val="24"/>
          <w:lang w:eastAsia="lv-LV"/>
        </w:rPr>
        <w:t xml:space="preserve"> 2009/147/EK</w:t>
      </w:r>
      <w:r w:rsidR="00C81172">
        <w:rPr>
          <w:rStyle w:val="FootnoteReference"/>
          <w:rFonts w:ascii="Times New Roman" w:eastAsia="Times New Roman" w:hAnsi="Times New Roman"/>
          <w:sz w:val="24"/>
          <w:szCs w:val="24"/>
          <w:lang w:eastAsia="lv-LV"/>
        </w:rPr>
        <w:footnoteReference w:id="3"/>
      </w:r>
      <w:r w:rsidR="00C8117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81172" w:rsidRPr="00C81172">
        <w:rPr>
          <w:rFonts w:ascii="Times New Roman" w:eastAsia="Times New Roman" w:hAnsi="Times New Roman"/>
          <w:sz w:val="24"/>
          <w:szCs w:val="24"/>
          <w:lang w:eastAsia="lv-LV"/>
        </w:rPr>
        <w:t>(2009.</w:t>
      </w:r>
      <w:r w:rsidR="00C8117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C81172" w:rsidRPr="00C81172">
        <w:rPr>
          <w:rFonts w:ascii="Times New Roman" w:eastAsia="Times New Roman" w:hAnsi="Times New Roman"/>
          <w:sz w:val="24"/>
          <w:szCs w:val="24"/>
          <w:lang w:eastAsia="lv-LV"/>
        </w:rPr>
        <w:t>gada 30.</w:t>
      </w:r>
      <w:r w:rsidR="00C8117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C81172" w:rsidRPr="00C81172">
        <w:rPr>
          <w:rFonts w:ascii="Times New Roman" w:eastAsia="Times New Roman" w:hAnsi="Times New Roman"/>
          <w:sz w:val="24"/>
          <w:szCs w:val="24"/>
          <w:lang w:eastAsia="lv-LV"/>
        </w:rPr>
        <w:t>novembris)</w:t>
      </w:r>
      <w:r w:rsidR="00C8117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81172" w:rsidRPr="00C81172">
        <w:rPr>
          <w:rFonts w:ascii="Times New Roman" w:eastAsia="Times New Roman" w:hAnsi="Times New Roman"/>
          <w:sz w:val="24"/>
          <w:szCs w:val="24"/>
          <w:lang w:eastAsia="lv-LV"/>
        </w:rPr>
        <w:t xml:space="preserve">par savvaļas putnu </w:t>
      </w:r>
      <w:r w:rsidR="00C81172">
        <w:rPr>
          <w:rFonts w:ascii="Times New Roman" w:eastAsia="Times New Roman" w:hAnsi="Times New Roman"/>
          <w:sz w:val="24"/>
          <w:szCs w:val="24"/>
          <w:lang w:eastAsia="lv-LV"/>
        </w:rPr>
        <w:t>aizsardzību 12.pants</w:t>
      </w:r>
      <w:r w:rsidR="00EE278D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6579EB" w:rsidRDefault="006579EB" w:rsidP="003B2457">
      <w:pPr>
        <w:pStyle w:val="Parastais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579EB" w:rsidRDefault="006579EB" w:rsidP="003B2457">
      <w:pPr>
        <w:pStyle w:val="Parastais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579EB" w:rsidRDefault="006579EB" w:rsidP="003B2457">
      <w:pPr>
        <w:pStyle w:val="Parastais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579EB" w:rsidRDefault="006579EB" w:rsidP="003B2457">
      <w:pPr>
        <w:pStyle w:val="Parastais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579EB" w:rsidRDefault="006579EB" w:rsidP="003B2457">
      <w:pPr>
        <w:pStyle w:val="Parastais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E3195" w:rsidRDefault="007E3195" w:rsidP="003B2457">
      <w:pPr>
        <w:pStyle w:val="Parastais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13D76" w:rsidRPr="009225AF" w:rsidRDefault="00791BB6" w:rsidP="00213D76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23</w:t>
      </w:r>
      <w:bookmarkStart w:id="1" w:name="_GoBack"/>
      <w:bookmarkEnd w:id="1"/>
      <w:r w:rsidR="006579EB">
        <w:rPr>
          <w:b w:val="0"/>
          <w:sz w:val="20"/>
          <w:szCs w:val="20"/>
        </w:rPr>
        <w:t>.07</w:t>
      </w:r>
      <w:r w:rsidR="007E3195">
        <w:rPr>
          <w:b w:val="0"/>
          <w:sz w:val="20"/>
          <w:szCs w:val="20"/>
        </w:rPr>
        <w:t>.2013</w:t>
      </w:r>
    </w:p>
    <w:p w:rsidR="00213D76" w:rsidRPr="009225AF" w:rsidRDefault="007E3195" w:rsidP="00213D76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920</w:t>
      </w:r>
    </w:p>
    <w:p w:rsidR="007E3195" w:rsidRPr="003D7BE4" w:rsidRDefault="007E3195" w:rsidP="007E3195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M.Celmiņa</w:t>
      </w:r>
      <w:r>
        <w:rPr>
          <w:rFonts w:ascii="Times New Roman" w:hAnsi="Times New Roman"/>
        </w:rPr>
        <w:t xml:space="preserve"> </w:t>
      </w:r>
      <w:r w:rsidRPr="003D7BE4">
        <w:rPr>
          <w:rFonts w:ascii="Times New Roman" w:hAnsi="Times New Roman"/>
        </w:rPr>
        <w:t>26450705</w:t>
      </w:r>
    </w:p>
    <w:p w:rsidR="007E3195" w:rsidRPr="003D7BE4" w:rsidRDefault="007E3195" w:rsidP="007E3195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Maija.Celmina@lgia.gov.lv</w:t>
      </w:r>
    </w:p>
    <w:p w:rsidR="007E3195" w:rsidRPr="007F2FCF" w:rsidRDefault="007E3195" w:rsidP="007E3195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V.Bērziņš 29481235</w:t>
      </w:r>
    </w:p>
    <w:p w:rsidR="007E3195" w:rsidRPr="007F2FCF" w:rsidRDefault="007E3195" w:rsidP="007E319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Valdis.Berzins</w:t>
      </w:r>
      <w:r w:rsidRPr="007F2FCF">
        <w:rPr>
          <w:rFonts w:ascii="Times New Roman" w:hAnsi="Times New Roman"/>
        </w:rPr>
        <w:t>@lgia.gov.lv</w:t>
      </w:r>
    </w:p>
    <w:p w:rsidR="00AD2F95" w:rsidRPr="00D9157B" w:rsidRDefault="00AD2F95">
      <w:pPr>
        <w:pStyle w:val="Parastais"/>
        <w:rPr>
          <w:rFonts w:ascii="Times New Roman" w:hAnsi="Times New Roman"/>
        </w:rPr>
      </w:pPr>
    </w:p>
    <w:sectPr w:rsidR="00AD2F95" w:rsidRPr="00D9157B" w:rsidSect="00B6511E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44" w:rsidRDefault="008B1544" w:rsidP="00D9157B">
      <w:pPr>
        <w:pStyle w:val="Parastais"/>
        <w:spacing w:after="0" w:line="240" w:lineRule="auto"/>
      </w:pPr>
      <w:r>
        <w:separator/>
      </w:r>
    </w:p>
  </w:endnote>
  <w:endnote w:type="continuationSeparator" w:id="0">
    <w:p w:rsidR="008B1544" w:rsidRDefault="008B1544" w:rsidP="00D9157B">
      <w:pPr>
        <w:pStyle w:val="Parastais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44" w:rsidRDefault="008B1544" w:rsidP="00D9157B">
      <w:pPr>
        <w:pStyle w:val="Parastais"/>
        <w:spacing w:after="0" w:line="240" w:lineRule="auto"/>
      </w:pPr>
      <w:r>
        <w:separator/>
      </w:r>
    </w:p>
  </w:footnote>
  <w:footnote w:type="continuationSeparator" w:id="0">
    <w:p w:rsidR="008B1544" w:rsidRDefault="008B1544" w:rsidP="00D9157B">
      <w:pPr>
        <w:pStyle w:val="Parastais"/>
        <w:spacing w:after="0" w:line="240" w:lineRule="auto"/>
      </w:pPr>
      <w:r>
        <w:continuationSeparator/>
      </w:r>
    </w:p>
  </w:footnote>
  <w:footnote w:id="1">
    <w:p w:rsidR="00D9157B" w:rsidRPr="00D9157B" w:rsidRDefault="00D9157B" w:rsidP="00B6511E">
      <w:pPr>
        <w:pStyle w:val="FootnoteText"/>
        <w:spacing w:after="0"/>
        <w:rPr>
          <w:rFonts w:ascii="Times New Roman" w:hAnsi="Times New Roman"/>
        </w:rPr>
      </w:pPr>
      <w:r w:rsidRPr="00D9157B">
        <w:rPr>
          <w:rStyle w:val="FootnoteReference"/>
          <w:rFonts w:ascii="Times New Roman" w:hAnsi="Times New Roman"/>
        </w:rPr>
        <w:footnoteRef/>
      </w:r>
      <w:r w:rsidRPr="00D9157B">
        <w:rPr>
          <w:rFonts w:ascii="Times New Roman" w:hAnsi="Times New Roman"/>
        </w:rPr>
        <w:t xml:space="preserve"> Dokuments pieejam</w:t>
      </w:r>
      <w:r w:rsidR="003B2457">
        <w:rPr>
          <w:rFonts w:ascii="Times New Roman" w:hAnsi="Times New Roman"/>
        </w:rPr>
        <w:t>s</w:t>
      </w:r>
      <w:r w:rsidRPr="00D9157B">
        <w:rPr>
          <w:rFonts w:ascii="Times New Roman" w:hAnsi="Times New Roman"/>
        </w:rPr>
        <w:t xml:space="preserve"> INSPIRE interneta vietnē </w:t>
      </w:r>
      <w:hyperlink r:id="rId1" w:history="1">
        <w:r w:rsidRPr="00D9157B">
          <w:rPr>
            <w:rStyle w:val="Hyperlink"/>
            <w:rFonts w:ascii="Times New Roman" w:hAnsi="Times New Roman"/>
          </w:rPr>
          <w:t>http://inspire.jrc.ec.europa.eu/reports/ImplementingRules/DataSpecifications/D2.3_Definition_of_Annex_Themes_and_scope_v3.0.pdf</w:t>
        </w:r>
      </w:hyperlink>
      <w:r w:rsidRPr="00D9157B">
        <w:rPr>
          <w:rFonts w:ascii="Times New Roman" w:hAnsi="Times New Roman"/>
        </w:rPr>
        <w:t xml:space="preserve"> </w:t>
      </w:r>
    </w:p>
  </w:footnote>
  <w:footnote w:id="2">
    <w:p w:rsidR="003B2457" w:rsidRPr="00C81172" w:rsidRDefault="003B2457" w:rsidP="00B6511E">
      <w:pPr>
        <w:pStyle w:val="FootnoteText"/>
        <w:spacing w:after="0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3B2457">
        <w:rPr>
          <w:rFonts w:ascii="Times New Roman" w:hAnsi="Times New Roman"/>
        </w:rPr>
        <w:t>D</w:t>
      </w:r>
      <w:r w:rsidRPr="003B2457">
        <w:rPr>
          <w:rFonts w:ascii="Times New Roman" w:eastAsia="Times New Roman" w:hAnsi="Times New Roman"/>
          <w:lang w:eastAsia="lv-LV"/>
        </w:rPr>
        <w:t xml:space="preserve">atu tēmu specifikācijas un tehniskās vadlīnijas </w:t>
      </w:r>
      <w:r w:rsidRPr="003B2457">
        <w:rPr>
          <w:rFonts w:ascii="Times New Roman" w:hAnsi="Times New Roman"/>
        </w:rPr>
        <w:t>pieejam</w:t>
      </w:r>
      <w:r>
        <w:rPr>
          <w:rFonts w:ascii="Times New Roman" w:hAnsi="Times New Roman"/>
        </w:rPr>
        <w:t>a</w:t>
      </w:r>
      <w:r w:rsidRPr="003B2457">
        <w:rPr>
          <w:rFonts w:ascii="Times New Roman" w:hAnsi="Times New Roman"/>
        </w:rPr>
        <w:t>s INSPIRE interneta vietnē</w:t>
      </w:r>
      <w:r>
        <w:rPr>
          <w:rFonts w:ascii="Times New Roman" w:hAnsi="Times New Roman"/>
        </w:rPr>
        <w:t xml:space="preserve"> </w:t>
      </w:r>
      <w:hyperlink r:id="rId2" w:history="1">
        <w:r w:rsidRPr="00EE40B1">
          <w:rPr>
            <w:rStyle w:val="Hyperlink"/>
            <w:rFonts w:ascii="Times New Roman" w:hAnsi="Times New Roman"/>
          </w:rPr>
          <w:t>http://inspire.jrc.ec.europa.eu/index.cfm/pageid/2</w:t>
        </w:r>
      </w:hyperlink>
      <w:r>
        <w:rPr>
          <w:rFonts w:ascii="Times New Roman" w:hAnsi="Times New Roman"/>
        </w:rPr>
        <w:t xml:space="preserve"> </w:t>
      </w:r>
    </w:p>
  </w:footnote>
  <w:footnote w:id="3">
    <w:p w:rsidR="00C81172" w:rsidRPr="00C81172" w:rsidRDefault="00C81172" w:rsidP="00B6511E">
      <w:pPr>
        <w:pStyle w:val="FootnoteText"/>
        <w:spacing w:after="0"/>
        <w:rPr>
          <w:rFonts w:ascii="Times New Roman" w:hAnsi="Times New Roman"/>
        </w:rPr>
      </w:pPr>
      <w:r w:rsidRPr="00C81172">
        <w:rPr>
          <w:rStyle w:val="FootnoteReference"/>
          <w:rFonts w:ascii="Times New Roman" w:hAnsi="Times New Roman"/>
        </w:rPr>
        <w:footnoteRef/>
      </w:r>
      <w:r w:rsidRPr="00C81172">
        <w:rPr>
          <w:rFonts w:ascii="Times New Roman" w:hAnsi="Times New Roman"/>
        </w:rPr>
        <w:t xml:space="preserve"> Padomes Direktīvas 79/409/EEK (1979.</w:t>
      </w:r>
      <w:r>
        <w:rPr>
          <w:rFonts w:ascii="Times New Roman" w:hAnsi="Times New Roman"/>
        </w:rPr>
        <w:t> </w:t>
      </w:r>
      <w:r w:rsidRPr="00C81172">
        <w:rPr>
          <w:rFonts w:ascii="Times New Roman" w:hAnsi="Times New Roman"/>
        </w:rPr>
        <w:t>gada 2.</w:t>
      </w:r>
      <w:r>
        <w:rPr>
          <w:rFonts w:ascii="Times New Roman" w:hAnsi="Times New Roman"/>
        </w:rPr>
        <w:t> </w:t>
      </w:r>
      <w:r w:rsidRPr="00C81172">
        <w:rPr>
          <w:rFonts w:ascii="Times New Roman" w:hAnsi="Times New Roman"/>
        </w:rPr>
        <w:t>aprīlis)</w:t>
      </w:r>
      <w:r>
        <w:rPr>
          <w:rFonts w:ascii="Times New Roman" w:hAnsi="Times New Roman"/>
        </w:rPr>
        <w:t xml:space="preserve"> </w:t>
      </w:r>
      <w:r w:rsidRPr="00C81172">
        <w:rPr>
          <w:rFonts w:ascii="Times New Roman" w:hAnsi="Times New Roman"/>
        </w:rPr>
        <w:t>par savvaļas putnu aizsardzību</w:t>
      </w:r>
      <w:r>
        <w:rPr>
          <w:rFonts w:ascii="Times New Roman" w:hAnsi="Times New Roman"/>
        </w:rPr>
        <w:t xml:space="preserve"> kodificētā versija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95"/>
    <w:rsid w:val="000022C3"/>
    <w:rsid w:val="00016DF3"/>
    <w:rsid w:val="00021AD5"/>
    <w:rsid w:val="000255B0"/>
    <w:rsid w:val="000825DC"/>
    <w:rsid w:val="00093B61"/>
    <w:rsid w:val="000A7123"/>
    <w:rsid w:val="000A73E1"/>
    <w:rsid w:val="000D4BDC"/>
    <w:rsid w:val="00121BC3"/>
    <w:rsid w:val="00135ECF"/>
    <w:rsid w:val="001515F7"/>
    <w:rsid w:val="001557E6"/>
    <w:rsid w:val="00172E98"/>
    <w:rsid w:val="00182F35"/>
    <w:rsid w:val="001A27A0"/>
    <w:rsid w:val="001B0D07"/>
    <w:rsid w:val="001B269E"/>
    <w:rsid w:val="001B7F8E"/>
    <w:rsid w:val="001E1A3A"/>
    <w:rsid w:val="001E5CFE"/>
    <w:rsid w:val="00206144"/>
    <w:rsid w:val="00213D76"/>
    <w:rsid w:val="00247D3D"/>
    <w:rsid w:val="0027210F"/>
    <w:rsid w:val="002735B6"/>
    <w:rsid w:val="002813CC"/>
    <w:rsid w:val="00286724"/>
    <w:rsid w:val="00290108"/>
    <w:rsid w:val="002975DE"/>
    <w:rsid w:val="002A5774"/>
    <w:rsid w:val="002E0AA1"/>
    <w:rsid w:val="002E7C3B"/>
    <w:rsid w:val="00302DEB"/>
    <w:rsid w:val="00321252"/>
    <w:rsid w:val="0032755D"/>
    <w:rsid w:val="00342964"/>
    <w:rsid w:val="003B0FDB"/>
    <w:rsid w:val="003B2457"/>
    <w:rsid w:val="003D4158"/>
    <w:rsid w:val="003F254F"/>
    <w:rsid w:val="004329E8"/>
    <w:rsid w:val="004665CA"/>
    <w:rsid w:val="004B21E1"/>
    <w:rsid w:val="0050474E"/>
    <w:rsid w:val="005324AC"/>
    <w:rsid w:val="005408A2"/>
    <w:rsid w:val="00576C7E"/>
    <w:rsid w:val="005B0807"/>
    <w:rsid w:val="005B43B7"/>
    <w:rsid w:val="005D1BF5"/>
    <w:rsid w:val="005D2915"/>
    <w:rsid w:val="0061396F"/>
    <w:rsid w:val="00615844"/>
    <w:rsid w:val="00627FA5"/>
    <w:rsid w:val="00633082"/>
    <w:rsid w:val="006579EB"/>
    <w:rsid w:val="00662C5E"/>
    <w:rsid w:val="006D7585"/>
    <w:rsid w:val="006E3669"/>
    <w:rsid w:val="007012D6"/>
    <w:rsid w:val="00701C10"/>
    <w:rsid w:val="007069EE"/>
    <w:rsid w:val="007133AA"/>
    <w:rsid w:val="0074419E"/>
    <w:rsid w:val="007672EB"/>
    <w:rsid w:val="0076738B"/>
    <w:rsid w:val="00782478"/>
    <w:rsid w:val="00791BB6"/>
    <w:rsid w:val="007B06E2"/>
    <w:rsid w:val="007D1BFB"/>
    <w:rsid w:val="007E3195"/>
    <w:rsid w:val="007F4F2D"/>
    <w:rsid w:val="00804B93"/>
    <w:rsid w:val="0081249B"/>
    <w:rsid w:val="00881079"/>
    <w:rsid w:val="00883042"/>
    <w:rsid w:val="008A2CBE"/>
    <w:rsid w:val="008B1544"/>
    <w:rsid w:val="009225AF"/>
    <w:rsid w:val="00934D10"/>
    <w:rsid w:val="009366D0"/>
    <w:rsid w:val="00937C78"/>
    <w:rsid w:val="00955792"/>
    <w:rsid w:val="00961FFC"/>
    <w:rsid w:val="009E22E2"/>
    <w:rsid w:val="00A024AF"/>
    <w:rsid w:val="00A847C7"/>
    <w:rsid w:val="00A930C4"/>
    <w:rsid w:val="00AB5C88"/>
    <w:rsid w:val="00AC4A47"/>
    <w:rsid w:val="00AD2F95"/>
    <w:rsid w:val="00AD7F8A"/>
    <w:rsid w:val="00AF3748"/>
    <w:rsid w:val="00AF7709"/>
    <w:rsid w:val="00B00F81"/>
    <w:rsid w:val="00B526EE"/>
    <w:rsid w:val="00B57DDB"/>
    <w:rsid w:val="00B61581"/>
    <w:rsid w:val="00B6511E"/>
    <w:rsid w:val="00B654F4"/>
    <w:rsid w:val="00B81CE8"/>
    <w:rsid w:val="00BA1AEA"/>
    <w:rsid w:val="00BD046C"/>
    <w:rsid w:val="00BE6D91"/>
    <w:rsid w:val="00BF55EA"/>
    <w:rsid w:val="00C006D9"/>
    <w:rsid w:val="00C04D39"/>
    <w:rsid w:val="00C11534"/>
    <w:rsid w:val="00C1753C"/>
    <w:rsid w:val="00C47BB4"/>
    <w:rsid w:val="00C81172"/>
    <w:rsid w:val="00CA2E10"/>
    <w:rsid w:val="00CD2B88"/>
    <w:rsid w:val="00CF2689"/>
    <w:rsid w:val="00D533E6"/>
    <w:rsid w:val="00D71BE0"/>
    <w:rsid w:val="00D9157B"/>
    <w:rsid w:val="00DC22DF"/>
    <w:rsid w:val="00DD66AA"/>
    <w:rsid w:val="00ED213A"/>
    <w:rsid w:val="00EE278D"/>
    <w:rsid w:val="00EF3D07"/>
    <w:rsid w:val="00EF4F3A"/>
    <w:rsid w:val="00F1267F"/>
    <w:rsid w:val="00F204C8"/>
    <w:rsid w:val="00F4148D"/>
    <w:rsid w:val="00F46B50"/>
    <w:rsid w:val="00F57052"/>
    <w:rsid w:val="00FC4E20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213D76"/>
    <w:pPr>
      <w:keepLines/>
      <w:pageBreakBefore/>
      <w:tabs>
        <w:tab w:val="num" w:pos="432"/>
      </w:tabs>
      <w:spacing w:after="275" w:line="550" w:lineRule="exact"/>
      <w:ind w:left="432" w:hanging="432"/>
      <w:jc w:val="center"/>
      <w:outlineLvl w:val="0"/>
    </w:pPr>
    <w:rPr>
      <w:rFonts w:ascii="Times New Roman" w:eastAsia="Times New Roman" w:hAnsi="Times New Roman" w:cs="Arial"/>
      <w:b/>
      <w:spacing w:val="-4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27210F"/>
    <w:pPr>
      <w:spacing w:after="200" w:line="276" w:lineRule="auto"/>
    </w:pPr>
    <w:rPr>
      <w:sz w:val="22"/>
      <w:szCs w:val="22"/>
      <w:lang w:eastAsia="en-US"/>
    </w:rPr>
  </w:style>
  <w:style w:type="paragraph" w:customStyle="1" w:styleId="ParastaisWeb">
    <w:name w:val="Parastais (Web)"/>
    <w:basedOn w:val="Parastais"/>
    <w:uiPriority w:val="99"/>
    <w:semiHidden/>
    <w:unhideWhenUsed/>
    <w:rsid w:val="00AD2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D2F95"/>
    <w:rPr>
      <w:b/>
      <w:bCs/>
    </w:rPr>
  </w:style>
  <w:style w:type="paragraph" w:customStyle="1" w:styleId="Parasts1">
    <w:name w:val="Parasts1"/>
    <w:basedOn w:val="Parastais"/>
    <w:rsid w:val="00AD2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Parastais"/>
    <w:link w:val="FootnoteTextChar"/>
    <w:uiPriority w:val="99"/>
    <w:semiHidden/>
    <w:unhideWhenUsed/>
    <w:rsid w:val="00D915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5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1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157B"/>
    <w:rPr>
      <w:color w:val="0000FF"/>
      <w:u w:val="single"/>
    </w:rPr>
  </w:style>
  <w:style w:type="paragraph" w:styleId="BalloonText">
    <w:name w:val="Balloon Text"/>
    <w:basedOn w:val="Parastais"/>
    <w:link w:val="BalloonTextChar"/>
    <w:uiPriority w:val="99"/>
    <w:semiHidden/>
    <w:unhideWhenUsed/>
    <w:rsid w:val="00D9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7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213D76"/>
    <w:rPr>
      <w:rFonts w:ascii="Times New Roman" w:eastAsia="Times New Roman" w:hAnsi="Times New Roman" w:cs="Arial"/>
      <w:b/>
      <w:spacing w:val="-4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213D76"/>
    <w:pPr>
      <w:spacing w:after="120"/>
      <w:jc w:val="center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213D76"/>
    <w:rPr>
      <w:rFonts w:ascii="Times New Roman" w:eastAsia="Times New Roman" w:hAnsi="Times New Roman"/>
      <w:b/>
      <w:sz w:val="32"/>
      <w:szCs w:val="24"/>
    </w:rPr>
  </w:style>
  <w:style w:type="paragraph" w:customStyle="1" w:styleId="Default">
    <w:name w:val="Default"/>
    <w:rsid w:val="00213D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ula">
    <w:name w:val="tabula"/>
    <w:basedOn w:val="Normal"/>
    <w:rsid w:val="007E3195"/>
    <w:pPr>
      <w:tabs>
        <w:tab w:val="left" w:pos="5954"/>
      </w:tabs>
      <w:autoSpaceDN w:val="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213D76"/>
    <w:pPr>
      <w:keepLines/>
      <w:pageBreakBefore/>
      <w:tabs>
        <w:tab w:val="num" w:pos="432"/>
      </w:tabs>
      <w:spacing w:after="275" w:line="550" w:lineRule="exact"/>
      <w:ind w:left="432" w:hanging="432"/>
      <w:jc w:val="center"/>
      <w:outlineLvl w:val="0"/>
    </w:pPr>
    <w:rPr>
      <w:rFonts w:ascii="Times New Roman" w:eastAsia="Times New Roman" w:hAnsi="Times New Roman" w:cs="Arial"/>
      <w:b/>
      <w:spacing w:val="-4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27210F"/>
    <w:pPr>
      <w:spacing w:after="200" w:line="276" w:lineRule="auto"/>
    </w:pPr>
    <w:rPr>
      <w:sz w:val="22"/>
      <w:szCs w:val="22"/>
      <w:lang w:eastAsia="en-US"/>
    </w:rPr>
  </w:style>
  <w:style w:type="paragraph" w:customStyle="1" w:styleId="ParastaisWeb">
    <w:name w:val="Parastais (Web)"/>
    <w:basedOn w:val="Parastais"/>
    <w:uiPriority w:val="99"/>
    <w:semiHidden/>
    <w:unhideWhenUsed/>
    <w:rsid w:val="00AD2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D2F95"/>
    <w:rPr>
      <w:b/>
      <w:bCs/>
    </w:rPr>
  </w:style>
  <w:style w:type="paragraph" w:customStyle="1" w:styleId="Parasts1">
    <w:name w:val="Parasts1"/>
    <w:basedOn w:val="Parastais"/>
    <w:rsid w:val="00AD2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Parastais"/>
    <w:link w:val="FootnoteTextChar"/>
    <w:uiPriority w:val="99"/>
    <w:semiHidden/>
    <w:unhideWhenUsed/>
    <w:rsid w:val="00D915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5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1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157B"/>
    <w:rPr>
      <w:color w:val="0000FF"/>
      <w:u w:val="single"/>
    </w:rPr>
  </w:style>
  <w:style w:type="paragraph" w:styleId="BalloonText">
    <w:name w:val="Balloon Text"/>
    <w:basedOn w:val="Parastais"/>
    <w:link w:val="BalloonTextChar"/>
    <w:uiPriority w:val="99"/>
    <w:semiHidden/>
    <w:unhideWhenUsed/>
    <w:rsid w:val="00D9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7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213D76"/>
    <w:rPr>
      <w:rFonts w:ascii="Times New Roman" w:eastAsia="Times New Roman" w:hAnsi="Times New Roman" w:cs="Arial"/>
      <w:b/>
      <w:spacing w:val="-4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213D76"/>
    <w:pPr>
      <w:spacing w:after="120"/>
      <w:jc w:val="center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213D76"/>
    <w:rPr>
      <w:rFonts w:ascii="Times New Roman" w:eastAsia="Times New Roman" w:hAnsi="Times New Roman"/>
      <w:b/>
      <w:sz w:val="32"/>
      <w:szCs w:val="24"/>
    </w:rPr>
  </w:style>
  <w:style w:type="paragraph" w:customStyle="1" w:styleId="Default">
    <w:name w:val="Default"/>
    <w:rsid w:val="00213D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ula">
    <w:name w:val="tabula"/>
    <w:basedOn w:val="Normal"/>
    <w:rsid w:val="007E3195"/>
    <w:pPr>
      <w:tabs>
        <w:tab w:val="left" w:pos="5954"/>
      </w:tabs>
      <w:autoSpaceDN w:val="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ire.jrc.ec.europa.eu/reports/ImplementingRules/DataSpecifications/D2.3_Definition_of_Annex_Themes_and_scope_v3.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nspire.jrc.ec.europa.eu/index.cfm/pageid/2" TargetMode="External"/><Relationship Id="rId1" Type="http://schemas.openxmlformats.org/officeDocument/2006/relationships/hyperlink" Target="http://inspire.jrc.ec.europa.eu/reports/ImplementingRules/DataSpecifications/D2.3_Definition_of_Annex_Themes_and_scope_v3.0.pdf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854D0-7229-4649-9522-B8B42E7F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7CF8D323.dotm</Template>
  <TotalTime>9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ģeotelpiskās informācijas attīstības koncepcija</vt:lpstr>
      <vt:lpstr>Latvijas ģeotelpiskās informācijas attīstības koncepcija</vt:lpstr>
    </vt:vector>
  </TitlesOfParts>
  <Manager>Latvijas Ģeotelpiskās informācijas aģentūra</Manager>
  <Company>Aizsardzības ministrija</Company>
  <LinksUpToDate>false</LinksUpToDate>
  <CharactersWithSpaces>7543</CharactersWithSpaces>
  <SharedDoc>false</SharedDoc>
  <HLinks>
    <vt:vector size="12" baseType="variant"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http://inspire.jrc.ec.europa.eu/reports/ImplementingRules/DataSpecifications/D2.3_Definition_of_Annex_Themes_and_scope_v3.0.pdf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http://inspire.jrc.ec.europa.eu/reports/ImplementingRules/DataSpecifications/D2.3_Definition_of_Annex_Themes_and_scope_v3.0.pdf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2.pielikums</dc:subject>
  <dc:creator>Harijs Baranovs, Maija Celmiņa, Valdis Bērziņš</dc:creator>
  <cp:keywords>geo_konc</cp:keywords>
  <dc:description>harijs.baranovs@lgia.gov.lv, 22004441;_x000d_
Maija.Celmina@lgia.gov.lv, 26450705;_x000d_
Valdis.Berzins@lgia.gov.lv, 29481235</dc:description>
  <cp:lastModifiedBy>Vera Solovjova</cp:lastModifiedBy>
  <cp:revision>6</cp:revision>
  <cp:lastPrinted>2013-03-05T08:28:00Z</cp:lastPrinted>
  <dcterms:created xsi:type="dcterms:W3CDTF">2013-07-16T13:09:00Z</dcterms:created>
  <dcterms:modified xsi:type="dcterms:W3CDTF">2013-07-23T07:43:00Z</dcterms:modified>
</cp:coreProperties>
</file>