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38" w:rsidRPr="00EF7164" w:rsidRDefault="00B07738" w:rsidP="00B07738">
      <w:pPr>
        <w:spacing w:after="0"/>
        <w:jc w:val="right"/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</w:pPr>
      <w:bookmarkStart w:id="0" w:name="313140"/>
      <w:bookmarkStart w:id="1" w:name="_Toc343865315"/>
      <w:bookmarkEnd w:id="0"/>
      <w:r w:rsidRPr="00EF7164"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>9.</w:t>
      </w:r>
      <w:r w:rsidR="005928BF"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>.</w:t>
      </w:r>
      <w:r w:rsidRPr="00EF7164"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>pielikums</w:t>
      </w:r>
      <w:bookmarkEnd w:id="1"/>
    </w:p>
    <w:p w:rsidR="00B07738" w:rsidRPr="00EF7164" w:rsidRDefault="00B07738" w:rsidP="00B07738">
      <w:pPr>
        <w:spacing w:after="0"/>
        <w:jc w:val="right"/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>Latvijas ģeotelpiskās informācijas</w:t>
      </w:r>
    </w:p>
    <w:p w:rsidR="00B07738" w:rsidRPr="00EF7164" w:rsidRDefault="00B07738" w:rsidP="00B07738">
      <w:pPr>
        <w:spacing w:after="0"/>
        <w:jc w:val="right"/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 xml:space="preserve">attīstības koncepcijai </w:t>
      </w:r>
    </w:p>
    <w:p w:rsidR="00B07738" w:rsidRPr="00EF7164" w:rsidRDefault="00B07738" w:rsidP="00B07738">
      <w:pPr>
        <w:spacing w:after="0"/>
        <w:jc w:val="right"/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 xml:space="preserve">(apstiprināta ar Ministru kabineta </w:t>
      </w:r>
    </w:p>
    <w:p w:rsidR="00B07738" w:rsidRPr="00EF7164" w:rsidRDefault="00B07738" w:rsidP="00B07738">
      <w:pPr>
        <w:spacing w:after="0"/>
        <w:jc w:val="right"/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>2013.gada                          </w:t>
      </w:r>
    </w:p>
    <w:p w:rsidR="00B07738" w:rsidRPr="00EF7164" w:rsidRDefault="00B07738" w:rsidP="00B07738">
      <w:pPr>
        <w:spacing w:after="0"/>
        <w:jc w:val="right"/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/>
          <w:bCs/>
          <w:kern w:val="1"/>
          <w:sz w:val="24"/>
          <w:szCs w:val="24"/>
          <w:lang w:eastAsia="hi-IN" w:bidi="hi-IN"/>
        </w:rPr>
        <w:t xml:space="preserve"> rīkojumu Nr.       )</w:t>
      </w:r>
    </w:p>
    <w:p w:rsidR="00B07738" w:rsidRPr="00EF7164" w:rsidRDefault="00B07738" w:rsidP="00B07738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738" w:rsidRPr="00EF7164" w:rsidRDefault="00B07738" w:rsidP="00B07738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738" w:rsidRPr="00EF7164" w:rsidRDefault="00B07738" w:rsidP="00B07738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3D11" w:rsidRDefault="000E3D11" w:rsidP="000E3D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5058FE">
        <w:rPr>
          <w:rFonts w:ascii="Times New Roman" w:hAnsi="Times New Roman"/>
          <w:b/>
          <w:sz w:val="24"/>
          <w:szCs w:val="24"/>
          <w:lang w:eastAsia="lv-LV"/>
        </w:rPr>
        <w:t xml:space="preserve">Politikas plānošanas dokumenta ietekme uz </w:t>
      </w:r>
      <w:r w:rsidR="00B07738" w:rsidRPr="00EF7164">
        <w:rPr>
          <w:rFonts w:ascii="Times New Roman" w:hAnsi="Times New Roman"/>
          <w:b/>
          <w:sz w:val="24"/>
          <w:szCs w:val="24"/>
        </w:rPr>
        <w:t xml:space="preserve">valsts budžeta dotācijām </w:t>
      </w:r>
      <w:r w:rsidR="00B07738">
        <w:rPr>
          <w:rFonts w:ascii="Times New Roman" w:hAnsi="Times New Roman"/>
          <w:b/>
          <w:sz w:val="24"/>
          <w:szCs w:val="24"/>
        </w:rPr>
        <w:t>Valsts augu aizsardzības dienestā</w:t>
      </w:r>
      <w:r w:rsidR="00B07738" w:rsidRPr="00EF7164">
        <w:rPr>
          <w:rFonts w:ascii="Times New Roman" w:hAnsi="Times New Roman"/>
          <w:b/>
          <w:sz w:val="24"/>
          <w:szCs w:val="24"/>
        </w:rPr>
        <w:t xml:space="preserve"> ģeodēzijas,</w:t>
      </w:r>
      <w:r w:rsidR="00934F92">
        <w:rPr>
          <w:rFonts w:ascii="Times New Roman" w:hAnsi="Times New Roman"/>
          <w:b/>
          <w:sz w:val="24"/>
          <w:szCs w:val="24"/>
        </w:rPr>
        <w:t xml:space="preserve"> </w:t>
      </w:r>
      <w:r w:rsidR="00B07738" w:rsidRPr="00EF7164">
        <w:rPr>
          <w:rFonts w:ascii="Times New Roman" w:hAnsi="Times New Roman"/>
          <w:b/>
          <w:sz w:val="24"/>
          <w:szCs w:val="24"/>
        </w:rPr>
        <w:t>kartogrāfijas un ģeotelpiskās informācijas nozarē</w:t>
      </w:r>
    </w:p>
    <w:p w:rsidR="000E3D11" w:rsidRPr="005058FE" w:rsidRDefault="000E3D11" w:rsidP="000E3D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2"/>
        <w:gridCol w:w="1000"/>
        <w:gridCol w:w="1000"/>
        <w:gridCol w:w="1084"/>
      </w:tblGrid>
      <w:tr w:rsidR="000E3D11" w:rsidRPr="000C00A6" w:rsidTr="00C20453">
        <w:trPr>
          <w:trHeight w:val="450"/>
        </w:trPr>
        <w:tc>
          <w:tcPr>
            <w:tcW w:w="315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D11" w:rsidRPr="005058FE" w:rsidRDefault="000E3D11" w:rsidP="00C2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B0773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Budžeta programma 27.00.00 „Augu veselība un augu aprites uzraudzība”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3D11" w:rsidRPr="005058FE" w:rsidRDefault="000E3D11" w:rsidP="00C204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Turpmākie trīs gadi (tūkst. latu)</w:t>
            </w:r>
          </w:p>
        </w:tc>
      </w:tr>
      <w:tr w:rsidR="000E3D11" w:rsidRPr="000C00A6" w:rsidTr="00C2045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D11" w:rsidRPr="005058FE" w:rsidRDefault="000E3D11" w:rsidP="00C2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D11" w:rsidRPr="005058FE" w:rsidRDefault="000E3D11" w:rsidP="00C204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2014.g.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D11" w:rsidRPr="005058FE" w:rsidRDefault="000E3D11" w:rsidP="00C204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2015.g.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3D11" w:rsidRPr="005058FE" w:rsidRDefault="000E3D11" w:rsidP="00C204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2016.g.</w:t>
            </w:r>
          </w:p>
        </w:tc>
      </w:tr>
      <w:tr w:rsidR="00C30984" w:rsidRPr="00C30984" w:rsidTr="00C20453">
        <w:trPr>
          <w:trHeight w:val="255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11" w:rsidRPr="00C30984" w:rsidRDefault="000E3D11" w:rsidP="00C20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Kopējās izmaiņas budžeta ieņēmumos t.sk.: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D11" w:rsidRPr="00C30984" w:rsidRDefault="000E3D11" w:rsidP="00C2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D11" w:rsidRPr="00C30984" w:rsidRDefault="000E3D11" w:rsidP="00C2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3D11" w:rsidRPr="00C30984" w:rsidRDefault="000E3D11" w:rsidP="00C2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0984" w:rsidRPr="00C30984" w:rsidTr="00C20453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D11" w:rsidRPr="00C30984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Izmaiņas valsts budžeta ieņēmumos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11" w:rsidRPr="00C30984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11" w:rsidRPr="00C30984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3D11" w:rsidRPr="00C30984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30984" w:rsidRPr="00C30984" w:rsidTr="00C20453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11" w:rsidRPr="00C30984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Izmaiņas pašvaldību budžeta ieņēmumos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11" w:rsidRPr="00C30984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11" w:rsidRPr="00C30984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3D11" w:rsidRPr="00C30984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C30984" w:rsidRPr="00C30984" w:rsidTr="00C20453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F7D" w:rsidRPr="00C30984" w:rsidRDefault="00146F7D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Kopējās izmaiņas budžeta izdevumos t.sk.: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F7D" w:rsidRPr="00C30984" w:rsidRDefault="00934F92" w:rsidP="00C20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80,4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F7D" w:rsidRPr="00C30984" w:rsidRDefault="00934F92" w:rsidP="00C20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31,2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6F7D" w:rsidRPr="00C30984" w:rsidRDefault="00934F92" w:rsidP="00C20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18,1</w:t>
            </w:r>
          </w:p>
        </w:tc>
      </w:tr>
      <w:tr w:rsidR="00C30984" w:rsidRPr="00C30984" w:rsidTr="00C20453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F92" w:rsidRPr="00C30984" w:rsidRDefault="00934F92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Izmaiņas valsts budžeta izdevumos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80,4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31,2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18,1</w:t>
            </w:r>
          </w:p>
        </w:tc>
      </w:tr>
      <w:tr w:rsidR="00C30984" w:rsidRPr="00C30984" w:rsidTr="00C20453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Izmaiņas pašvaldību budžeta izdevumos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C20453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C20453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F92" w:rsidRPr="00C30984" w:rsidRDefault="00934F92" w:rsidP="00C20453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0984" w:rsidRPr="00C30984" w:rsidTr="00C20453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Kopējā finansiālā ietekme: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- 80,4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-31,2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-18,1</w:t>
            </w:r>
          </w:p>
        </w:tc>
      </w:tr>
      <w:tr w:rsidR="00C30984" w:rsidRPr="00C30984" w:rsidTr="00C20453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Finansiālā ietekme uz valsts budžetu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-80,4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-31,2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F92" w:rsidRPr="00C30984" w:rsidRDefault="00934F92" w:rsidP="00506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30984">
              <w:rPr>
                <w:rFonts w:ascii="Times New Roman" w:hAnsi="Times New Roman"/>
                <w:sz w:val="18"/>
                <w:szCs w:val="18"/>
                <w:lang w:eastAsia="lv-LV"/>
              </w:rPr>
              <w:t>-18,1</w:t>
            </w:r>
          </w:p>
        </w:tc>
      </w:tr>
      <w:tr w:rsidR="00C30984" w:rsidRPr="00C30984" w:rsidTr="00C20453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92" w:rsidRPr="00C30984" w:rsidRDefault="00934F92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Finansiālā ietekme uz pašvaldību budžetu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F92" w:rsidRPr="00C30984" w:rsidRDefault="00934F92" w:rsidP="00C20453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3098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0E3D11" w:rsidRPr="00F61AED" w:rsidRDefault="000E3D11" w:rsidP="000E3D11">
      <w:pPr>
        <w:rPr>
          <w:b/>
        </w:rPr>
      </w:pPr>
    </w:p>
    <w:p w:rsidR="000E3D11" w:rsidRDefault="000E3D11" w:rsidP="000E3D1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49"/>
        <w:gridCol w:w="5487"/>
      </w:tblGrid>
      <w:tr w:rsidR="000E3D11" w:rsidRPr="000C00A6" w:rsidTr="00C20453">
        <w:trPr>
          <w:trHeight w:val="840"/>
        </w:trPr>
        <w:tc>
          <w:tcPr>
            <w:tcW w:w="17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11" w:rsidRPr="005058FE" w:rsidRDefault="000E3D11" w:rsidP="00C20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Detalizēts ieņēmumu un izdevumu aprēķins (ja nepieciešams, detalizētu ieņēmumu un izdevumu aprēķinu pievieno politikas plānošanas dokumenta pielikumā. Ietekmi uz valsts un pašvaldību budžetiem norāda atsevišķi valsts un pašvaldību budžetam)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3D11" w:rsidRDefault="000E3D11" w:rsidP="00C20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5"/>
              <w:gridCol w:w="822"/>
              <w:gridCol w:w="992"/>
              <w:gridCol w:w="992"/>
              <w:gridCol w:w="992"/>
            </w:tblGrid>
            <w:tr w:rsidR="000E3D11" w:rsidRPr="000C00A6" w:rsidTr="00C20453">
              <w:trPr>
                <w:trHeight w:val="502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Rādītāji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2013. gadā**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Papildus nepieciešamais finansējums</w:t>
                  </w:r>
                </w:p>
                <w:p w:rsidR="000E3D11" w:rsidRPr="000C00A6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0E3D11" w:rsidRPr="000C00A6" w:rsidTr="00C20453">
              <w:trPr>
                <w:trHeight w:val="502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2014.gadā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2015.gadā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2016.gadā</w:t>
                  </w:r>
                </w:p>
              </w:tc>
            </w:tr>
            <w:tr w:rsidR="00C56DCA" w:rsidRPr="000C00A6" w:rsidTr="00C2045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Resursi izdevumu segšanai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80,4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18,1</w:t>
                  </w:r>
                </w:p>
              </w:tc>
            </w:tr>
            <w:tr w:rsidR="000E3D11" w:rsidRPr="000C00A6" w:rsidTr="00C2045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Ieņēmumi no maksas pakalpojumiem un citi pašu ieņēmumi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146F7D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146F7D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146F7D" w:rsidRDefault="000E3D11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C56DCA" w:rsidRPr="000C00A6" w:rsidTr="00C56DCA">
              <w:trPr>
                <w:trHeight w:val="6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Dotācija no vispārējiem ieņēmumiem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80,4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18,1</w:t>
                  </w:r>
                </w:p>
              </w:tc>
            </w:tr>
            <w:tr w:rsidR="00C56DCA" w:rsidRPr="000C00A6" w:rsidTr="00C2045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Izdevumi kopā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80,4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18,1</w:t>
                  </w:r>
                </w:p>
              </w:tc>
            </w:tr>
            <w:tr w:rsidR="00C56DCA" w:rsidRPr="000C00A6" w:rsidTr="00C2045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Uzturēšanas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80,4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18,1</w:t>
                  </w:r>
                </w:p>
              </w:tc>
            </w:tr>
            <w:tr w:rsidR="00C56DCA" w:rsidRPr="000C00A6" w:rsidTr="00C20453">
              <w:trPr>
                <w:trHeight w:val="51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lastRenderedPageBreak/>
                    <w:t>Kārtējie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C204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80,4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CA" w:rsidRPr="000C00A6" w:rsidRDefault="00C56DCA" w:rsidP="00165B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18,1</w:t>
                  </w:r>
                </w:p>
              </w:tc>
            </w:tr>
            <w:tr w:rsidR="000E3D11" w:rsidRPr="000C00A6" w:rsidTr="00C2045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Atlīdzība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146F7D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Default="00C56DCA" w:rsidP="00C20453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Default="00C56DCA" w:rsidP="00C20453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</w:tr>
            <w:tr w:rsidR="000E3D11" w:rsidRPr="000C00A6" w:rsidTr="00C2045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t.sk. atalgojums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146F7D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</w:tr>
            <w:tr w:rsidR="000E3D11" w:rsidRPr="000C00A6" w:rsidTr="00C2045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146F7D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AF59DF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80,4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AF59DF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AF59DF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18,1</w:t>
                  </w:r>
                </w:p>
              </w:tc>
            </w:tr>
            <w:tr w:rsidR="000E3D11" w:rsidRPr="000C00A6" w:rsidTr="00C2045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0E3D11" w:rsidP="00C2045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Kapitālie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146F7D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D11" w:rsidRPr="000C00A6" w:rsidRDefault="00C56DCA" w:rsidP="00C204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</w:tr>
          </w:tbl>
          <w:p w:rsidR="000E3D11" w:rsidRPr="000C00A6" w:rsidRDefault="000E3D11" w:rsidP="00C20453">
            <w:pPr>
              <w:rPr>
                <w:rFonts w:ascii="Times New Roman" w:hAnsi="Times New Roman"/>
                <w:sz w:val="18"/>
                <w:szCs w:val="18"/>
              </w:rPr>
            </w:pPr>
            <w:r w:rsidRPr="006F3164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** saskaņā ar likumu „Par valsts budžetu 2013.gadam”</w:t>
            </w:r>
          </w:p>
          <w:p w:rsidR="000E3D11" w:rsidRPr="005058FE" w:rsidRDefault="000E3D11" w:rsidP="00C20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Detalizēts ieņēmumu un izdevumu aprēķin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 sagatavo pa rezultatīvajiem rādītājiem atbilstoši klāt pievienotajai tabulai.</w:t>
            </w:r>
          </w:p>
        </w:tc>
      </w:tr>
      <w:tr w:rsidR="000E3D11" w:rsidRPr="000C00A6" w:rsidTr="00C20453">
        <w:trPr>
          <w:trHeight w:val="60"/>
        </w:trPr>
        <w:tc>
          <w:tcPr>
            <w:tcW w:w="17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11" w:rsidRPr="005058FE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3D11" w:rsidRPr="005058FE" w:rsidRDefault="000E3D11" w:rsidP="00C2045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0E3D11" w:rsidRPr="00D13E7A" w:rsidRDefault="000E3D11" w:rsidP="000E3D1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8"/>
        <w:gridCol w:w="992"/>
        <w:gridCol w:w="992"/>
        <w:gridCol w:w="1000"/>
        <w:gridCol w:w="1084"/>
      </w:tblGrid>
      <w:tr w:rsidR="00C56DCA" w:rsidRPr="000C00A6" w:rsidTr="00C20453">
        <w:trPr>
          <w:trHeight w:val="60"/>
        </w:trPr>
        <w:tc>
          <w:tcPr>
            <w:tcW w:w="25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DCA" w:rsidRPr="005058FE" w:rsidRDefault="00C56DCA" w:rsidP="00934F92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Izmaiņas budžeta izdevumos no 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2017.g</w:t>
            </w: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līdz 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2020</w:t>
            </w: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DCA" w:rsidRDefault="00C56DCA" w:rsidP="00C56DCA">
            <w:pPr>
              <w:jc w:val="center"/>
            </w:pPr>
            <w:r>
              <w:t>80400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DCA" w:rsidRDefault="00C56DCA" w:rsidP="00C56DCA">
            <w:pPr>
              <w:jc w:val="center"/>
            </w:pPr>
            <w:r>
              <w:t>31200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DCA" w:rsidRDefault="00C56DCA" w:rsidP="00C56DCA">
            <w:pPr>
              <w:jc w:val="center"/>
            </w:pPr>
            <w:r>
              <w:t>18100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6DCA" w:rsidRDefault="00C56DCA" w:rsidP="00C56DCA">
            <w:pPr>
              <w:jc w:val="center"/>
            </w:pPr>
            <w:r>
              <w:t>80400</w:t>
            </w:r>
          </w:p>
        </w:tc>
      </w:tr>
    </w:tbl>
    <w:p w:rsidR="000E3D11" w:rsidRPr="00D13E7A" w:rsidRDefault="000E3D11" w:rsidP="000E3D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0E3D11" w:rsidRDefault="000E3D11" w:rsidP="000E3D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0E3D11" w:rsidRPr="006F3164" w:rsidRDefault="000E3D11" w:rsidP="000E3D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AF59DF">
        <w:rPr>
          <w:rFonts w:ascii="Times New Roman" w:hAnsi="Times New Roman"/>
          <w:b/>
          <w:sz w:val="24"/>
          <w:szCs w:val="24"/>
          <w:lang w:eastAsia="lv-LV"/>
        </w:rPr>
        <w:t>Rezultatīvie rādītāji rezultatīvie rādītāji (un to izmaiņas 2014.-2016.gadā)</w:t>
      </w:r>
    </w:p>
    <w:tbl>
      <w:tblPr>
        <w:tblW w:w="8696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7"/>
        <w:gridCol w:w="1305"/>
        <w:gridCol w:w="1246"/>
        <w:gridCol w:w="1216"/>
      </w:tblGrid>
      <w:tr w:rsidR="000E3D11" w:rsidRPr="000C00A6" w:rsidTr="00C20453">
        <w:trPr>
          <w:trHeight w:val="3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Politikas definētais mērķis/ apakšmērķis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Aktuālas un kvalitatīvas ģeotelpiskās informācijas sagatavošanas un pieejamības nodrošināšana valstī ilgtspējīgas attīstības kontekstā</w:t>
            </w:r>
          </w:p>
        </w:tc>
      </w:tr>
      <w:tr w:rsidR="000E3D11" w:rsidRPr="000C00A6" w:rsidTr="00C20453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11" w:rsidRPr="00D13E7A" w:rsidRDefault="000E3D11" w:rsidP="00C2045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D11" w:rsidRPr="00D13E7A" w:rsidRDefault="000E3D11" w:rsidP="00C2045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2013.gads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2014.gads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2015.gads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2016.gads</w:t>
            </w:r>
          </w:p>
        </w:tc>
      </w:tr>
      <w:tr w:rsidR="000E3D11" w:rsidRPr="000C00A6" w:rsidTr="00C20453">
        <w:trPr>
          <w:trHeight w:val="121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0E3D11" w:rsidRPr="009B2032" w:rsidRDefault="000E3D11" w:rsidP="004359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Darbības rezultāts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  - 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Ģeotelpiskās pamatdatu kopas „</w:t>
            </w:r>
            <w:r w:rsidR="00435916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Kultūraugu uzraudzības valsts informācijas sistēma</w:t>
            </w: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” datu kvalitātes uzlabošana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0E3D11" w:rsidRDefault="000E3D11" w:rsidP="00C2045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Rezultatīvais rādītājs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  <w:p w:rsidR="000E3D11" w:rsidRPr="00D13E7A" w:rsidRDefault="000E3D11" w:rsidP="00C20453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E3D11" w:rsidRPr="000C00A6" w:rsidRDefault="000E3D11" w:rsidP="00C20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  <w:r>
              <w:rPr>
                <w:rFonts w:ascii="Times New Roman" w:hAnsi="Times New Roman"/>
                <w:color w:val="000000"/>
                <w:lang w:eastAsia="lv-LV"/>
              </w:rPr>
              <w:t>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%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0E3D11" w:rsidRPr="00D13E7A" w:rsidRDefault="000E3D11" w:rsidP="00C20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  <w:r>
              <w:rPr>
                <w:rFonts w:ascii="Times New Roman" w:hAnsi="Times New Roman"/>
                <w:color w:val="000000"/>
                <w:lang w:eastAsia="lv-LV"/>
              </w:rPr>
              <w:t>%</w:t>
            </w:r>
          </w:p>
        </w:tc>
      </w:tr>
      <w:tr w:rsidR="000E3D11" w:rsidRPr="000C00A6" w:rsidTr="00C20453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3D11" w:rsidRPr="00D13E7A" w:rsidRDefault="000E3D11" w:rsidP="00C2045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E3D11" w:rsidRPr="009B2032" w:rsidRDefault="00435916" w:rsidP="00D66A9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 xml:space="preserve">KUVIS </w:t>
            </w:r>
            <w:r w:rsidR="000E3D11">
              <w:rPr>
                <w:rFonts w:ascii="Times New Roman" w:hAnsi="Times New Roman"/>
                <w:color w:val="000000"/>
                <w:lang w:eastAsia="lv-LV"/>
              </w:rPr>
              <w:t xml:space="preserve">pilnveidošana, </w:t>
            </w:r>
            <w:r w:rsidR="000E3D11" w:rsidRPr="009B2032">
              <w:rPr>
                <w:rFonts w:ascii="Times New Roman" w:hAnsi="Times New Roman"/>
                <w:color w:val="000000"/>
                <w:lang w:eastAsia="lv-LV"/>
              </w:rPr>
              <w:t xml:space="preserve">paredzot iespēju </w:t>
            </w:r>
            <w:r>
              <w:rPr>
                <w:rFonts w:ascii="Times New Roman" w:hAnsi="Times New Roman"/>
                <w:color w:val="000000"/>
                <w:lang w:eastAsia="lv-LV"/>
              </w:rPr>
              <w:t>uzmērīt un attēlot GMO audzēšanas vietas, ar karantīnas organismiem inficētas platības, ar latvāņiem invadētas platības, augšņu agroķīmiskās izpētes ģeogrāfisko datu</w:t>
            </w:r>
            <w:r w:rsidR="000E3D11" w:rsidRPr="009B2032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lastRenderedPageBreak/>
              <w:t xml:space="preserve">atspoguļošana, </w:t>
            </w:r>
            <w:r w:rsidR="000E3D11" w:rsidRPr="009B2032">
              <w:rPr>
                <w:rFonts w:ascii="Times New Roman" w:hAnsi="Times New Roman"/>
                <w:color w:val="000000"/>
                <w:lang w:eastAsia="lv-LV"/>
              </w:rPr>
              <w:t>balstoties uz augstas izšķirtspējas ortofotokartes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vai topogrāfiskās kartes</w:t>
            </w:r>
            <w:r w:rsidR="000E3D11" w:rsidRPr="009B2032">
              <w:rPr>
                <w:rFonts w:ascii="Times New Roman" w:hAnsi="Times New Roman"/>
                <w:color w:val="000000"/>
                <w:lang w:eastAsia="lv-LV"/>
              </w:rPr>
              <w:t xml:space="preserve"> datiem</w:t>
            </w:r>
            <w:r w:rsidR="000E3D1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="000E3D11" w:rsidRPr="00D66A9F">
              <w:rPr>
                <w:rFonts w:ascii="Times New Roman" w:hAnsi="Times New Roman"/>
                <w:color w:val="000000"/>
                <w:lang w:eastAsia="lv-LV"/>
              </w:rPr>
              <w:t>(</w:t>
            </w:r>
            <w:r w:rsidR="00D66A9F" w:rsidRPr="00D66A9F">
              <w:rPr>
                <w:rFonts w:ascii="Times New Roman" w:hAnsi="Times New Roman"/>
                <w:color w:val="000000"/>
              </w:rPr>
              <w:t>pārbaudes  vietu vai paraugu noņemšanas vietu ģeogrāfiskās informācijas iegūšana %)</w:t>
            </w:r>
            <w:r w:rsidR="00D66A9F">
              <w:rPr>
                <w:color w:val="000000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11" w:rsidRPr="00D13E7A" w:rsidRDefault="00CB1CBC" w:rsidP="00C20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11" w:rsidRPr="00D13E7A" w:rsidRDefault="00435916" w:rsidP="00C20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11" w:rsidRPr="00D13E7A" w:rsidRDefault="00435916" w:rsidP="00C20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11" w:rsidRPr="00D13E7A" w:rsidRDefault="00435916" w:rsidP="00C20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75</w:t>
            </w:r>
          </w:p>
        </w:tc>
      </w:tr>
    </w:tbl>
    <w:p w:rsidR="000E3D11" w:rsidRPr="00D13E7A" w:rsidRDefault="000E3D11" w:rsidP="000E3D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0E3D11" w:rsidRDefault="000E3D11" w:rsidP="000E3D11">
      <w:pPr>
        <w:rPr>
          <w:rFonts w:ascii="Times New Roman" w:hAnsi="Times New Roman"/>
        </w:rPr>
      </w:pPr>
    </w:p>
    <w:p w:rsidR="000E3D11" w:rsidRPr="00D13E7A" w:rsidRDefault="000E3D11" w:rsidP="000E3D11">
      <w:pPr>
        <w:rPr>
          <w:rFonts w:ascii="Times New Roman" w:hAnsi="Times New Roman"/>
        </w:rPr>
        <w:sectPr w:rsidR="000E3D11" w:rsidRPr="00D13E7A" w:rsidSect="00750444">
          <w:pgSz w:w="11906" w:h="16838"/>
          <w:pgMar w:top="851" w:right="1800" w:bottom="1134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61"/>
        <w:tblW w:w="15465" w:type="dxa"/>
        <w:tblLayout w:type="fixed"/>
        <w:tblLook w:val="00A0" w:firstRow="1" w:lastRow="0" w:firstColumn="1" w:lastColumn="0" w:noHBand="0" w:noVBand="0"/>
      </w:tblPr>
      <w:tblGrid>
        <w:gridCol w:w="2282"/>
        <w:gridCol w:w="1984"/>
        <w:gridCol w:w="992"/>
        <w:gridCol w:w="2268"/>
        <w:gridCol w:w="1134"/>
        <w:gridCol w:w="2126"/>
        <w:gridCol w:w="1134"/>
        <w:gridCol w:w="993"/>
        <w:gridCol w:w="850"/>
        <w:gridCol w:w="851"/>
        <w:gridCol w:w="851"/>
      </w:tblGrid>
      <w:tr w:rsidR="000E3D11" w:rsidRPr="000C00A6" w:rsidTr="00C20453">
        <w:trPr>
          <w:trHeight w:val="589"/>
          <w:tblHeader/>
        </w:trPr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Rādītājs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2014.gadā papildus nepieciešamais finansējums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2015.gadā papildus nepieciešamais finansējums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2016.gadā papildus </w:t>
            </w:r>
          </w:p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nepieciešamais finansējums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2017.</w:t>
            </w:r>
          </w:p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2018.</w:t>
            </w:r>
          </w:p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2019.</w:t>
            </w:r>
          </w:p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2020.</w:t>
            </w:r>
          </w:p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</w:tr>
      <w:tr w:rsidR="000E3D11" w:rsidRPr="000C00A6" w:rsidTr="00C20453">
        <w:trPr>
          <w:trHeight w:val="564"/>
          <w:tblHeader/>
        </w:trPr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D11" w:rsidRPr="000C00A6" w:rsidRDefault="000E3D11" w:rsidP="00C204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3D11" w:rsidRPr="000C00A6" w:rsidRDefault="000E3D11" w:rsidP="00C20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E3D11" w:rsidRPr="000C00A6" w:rsidRDefault="000E3D11" w:rsidP="00C204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sz w:val="18"/>
                <w:szCs w:val="18"/>
              </w:rPr>
              <w:t>finansējums, latos</w:t>
            </w:r>
          </w:p>
        </w:tc>
      </w:tr>
      <w:tr w:rsidR="003358B0" w:rsidRPr="000C00A6" w:rsidTr="005A499B">
        <w:trPr>
          <w:trHeight w:val="5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Resursi izdevumu segšanai, kopā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Pr="000C00A6" w:rsidRDefault="003358B0" w:rsidP="003358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Nepieciešama valsts budžeta dotācija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8B0" w:rsidRDefault="003358B0" w:rsidP="003358B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Pr="000C00A6" w:rsidRDefault="003358B0" w:rsidP="003358B0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Pr="000C00A6" w:rsidRDefault="003358B0" w:rsidP="00335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Default="003358B0" w:rsidP="003358B0">
            <w:pPr>
              <w:jc w:val="center"/>
            </w:pPr>
            <w:r>
              <w:t>80400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Default="003358B0" w:rsidP="003358B0">
            <w:pPr>
              <w:jc w:val="center"/>
            </w:pPr>
            <w:r>
              <w:t>31200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Default="003358B0" w:rsidP="003358B0">
            <w:pPr>
              <w:jc w:val="center"/>
            </w:pPr>
            <w:r>
              <w:t>18100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Default="003358B0" w:rsidP="003358B0">
            <w:pPr>
              <w:jc w:val="center"/>
            </w:pPr>
            <w:r>
              <w:t>80400</w:t>
            </w:r>
          </w:p>
        </w:tc>
      </w:tr>
      <w:tr w:rsidR="003358B0" w:rsidRPr="000C00A6" w:rsidTr="00DD72B9">
        <w:trPr>
          <w:trHeight w:val="5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Pr="000C00A6" w:rsidRDefault="003358B0" w:rsidP="003358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358B0" w:rsidRDefault="003358B0" w:rsidP="003358B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Pr="000C00A6" w:rsidRDefault="003358B0" w:rsidP="003358B0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Pr="000C00A6" w:rsidRDefault="003358B0" w:rsidP="00335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Default="003358B0" w:rsidP="003358B0">
            <w:pPr>
              <w:jc w:val="center"/>
            </w:pPr>
            <w:r>
              <w:t>80400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Default="003358B0" w:rsidP="003358B0">
            <w:pPr>
              <w:jc w:val="center"/>
            </w:pPr>
            <w:r>
              <w:t>31200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8B0" w:rsidRDefault="003358B0" w:rsidP="003358B0">
            <w:pPr>
              <w:jc w:val="center"/>
            </w:pPr>
            <w:r>
              <w:t>18100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58B0" w:rsidRDefault="003358B0" w:rsidP="003358B0">
            <w:pPr>
              <w:jc w:val="center"/>
            </w:pPr>
            <w:r>
              <w:t>80400</w:t>
            </w:r>
          </w:p>
        </w:tc>
      </w:tr>
      <w:tr w:rsidR="000E3D11" w:rsidRPr="000C00A6" w:rsidTr="00C20453">
        <w:trPr>
          <w:trHeight w:val="585"/>
        </w:trPr>
        <w:tc>
          <w:tcPr>
            <w:tcW w:w="1546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D11" w:rsidRPr="000C00A6" w:rsidRDefault="000E3D11" w:rsidP="00435916">
            <w:pPr>
              <w:spacing w:after="0"/>
              <w:rPr>
                <w:rFonts w:ascii="Times New Roman" w:hAnsi="Times New Roman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Darbības rezultāts </w:t>
            </w:r>
            <w:r w:rsidRPr="000C00A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- </w:t>
            </w:r>
            <w:r>
              <w:t xml:space="preserve"> </w:t>
            </w:r>
            <w:r w:rsidRPr="009B203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Ģeotelpiskās pamatdatu kopas „</w:t>
            </w:r>
            <w:r w:rsidR="0043591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Kultūraugu uzraudzības valsts informācijas sistēma</w:t>
            </w:r>
            <w:r w:rsidRPr="009B203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” datu kvalitātes uzlabošana</w:t>
            </w:r>
          </w:p>
        </w:tc>
      </w:tr>
      <w:tr w:rsidR="000E3D11" w:rsidRPr="000C00A6" w:rsidTr="00C20453">
        <w:trPr>
          <w:trHeight w:val="561"/>
        </w:trPr>
        <w:tc>
          <w:tcPr>
            <w:tcW w:w="154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11" w:rsidRPr="000C00A6" w:rsidRDefault="000E3D11" w:rsidP="00AF59DF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Rezultatīvais rādītājs Nr.1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t xml:space="preserve"> </w:t>
            </w:r>
            <w:r w:rsidR="00AF59D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KUVIS</w:t>
            </w:r>
            <w:r w:rsidRPr="009B203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pilnveidošana, </w:t>
            </w:r>
            <w:r w:rsidR="00AF59DF" w:rsidRPr="009B2032">
              <w:rPr>
                <w:rFonts w:ascii="Times New Roman" w:hAnsi="Times New Roman"/>
                <w:color w:val="000000"/>
                <w:lang w:eastAsia="lv-LV"/>
              </w:rPr>
              <w:t xml:space="preserve"> paredzot iespēju </w:t>
            </w:r>
            <w:r w:rsidR="00AF59DF">
              <w:rPr>
                <w:rFonts w:ascii="Times New Roman" w:hAnsi="Times New Roman"/>
                <w:color w:val="000000"/>
                <w:lang w:eastAsia="lv-LV"/>
              </w:rPr>
              <w:t>uzmērīt un attēlot GMO audzēšanas vietas, ar karantīnas organismiem inficētas platības, ar latvāņiem invadētas platības, augšņu agroķīmiskās izpētes ģeogrāfisko datu</w:t>
            </w:r>
            <w:r w:rsidR="00AF59DF" w:rsidRPr="009B2032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="00AF59DF">
              <w:rPr>
                <w:rFonts w:ascii="Times New Roman" w:hAnsi="Times New Roman"/>
                <w:color w:val="000000"/>
                <w:lang w:eastAsia="lv-LV"/>
              </w:rPr>
              <w:t xml:space="preserve">atspoguļošana, </w:t>
            </w:r>
            <w:r w:rsidR="00AF59DF" w:rsidRPr="009B2032">
              <w:rPr>
                <w:rFonts w:ascii="Times New Roman" w:hAnsi="Times New Roman"/>
                <w:color w:val="000000"/>
                <w:lang w:eastAsia="lv-LV"/>
              </w:rPr>
              <w:t>balstoties uz augstas izšķirtspējas ortofotokartes</w:t>
            </w:r>
            <w:r w:rsidR="00AF59DF">
              <w:rPr>
                <w:rFonts w:ascii="Times New Roman" w:hAnsi="Times New Roman"/>
                <w:color w:val="000000"/>
                <w:lang w:eastAsia="lv-LV"/>
              </w:rPr>
              <w:t xml:space="preserve"> vai topogrāfiskās kartes</w:t>
            </w:r>
            <w:r w:rsidR="00AF59DF" w:rsidRPr="009B2032">
              <w:rPr>
                <w:rFonts w:ascii="Times New Roman" w:hAnsi="Times New Roman"/>
                <w:color w:val="000000"/>
                <w:lang w:eastAsia="lv-LV"/>
              </w:rPr>
              <w:t xml:space="preserve"> datiem</w:t>
            </w:r>
            <w:r w:rsidR="00AF59DF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="00D66A9F">
              <w:rPr>
                <w:color w:val="000000"/>
              </w:rPr>
              <w:t xml:space="preserve"> </w:t>
            </w:r>
            <w:r w:rsidR="00D66A9F" w:rsidRPr="00D66A9F">
              <w:rPr>
                <w:rFonts w:ascii="Times New Roman" w:hAnsi="Times New Roman"/>
                <w:color w:val="000000"/>
              </w:rPr>
              <w:t xml:space="preserve">(pārbaudes  vietu vai paraugu noņemšanas vietu ģeogrāfiskās informācijas iegūšana %)  </w:t>
            </w:r>
          </w:p>
        </w:tc>
      </w:tr>
      <w:tr w:rsidR="003358B0" w:rsidRPr="000C00A6" w:rsidTr="008962EA">
        <w:trPr>
          <w:trHeight w:val="7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Nepieciešama valsts budžeta dotācija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Default="003358B0" w:rsidP="003358B0">
            <w:pPr>
              <w:jc w:val="center"/>
            </w:pPr>
            <w:r>
              <w:t>80400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Default="003358B0" w:rsidP="003358B0">
            <w:pPr>
              <w:jc w:val="center"/>
            </w:pPr>
            <w:r>
              <w:t>31200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Default="003358B0" w:rsidP="003358B0">
            <w:pPr>
              <w:jc w:val="center"/>
            </w:pPr>
            <w:r>
              <w:t>18100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B0" w:rsidRDefault="003358B0" w:rsidP="003358B0">
            <w:pPr>
              <w:jc w:val="center"/>
            </w:pPr>
            <w:r>
              <w:t>80400</w:t>
            </w:r>
          </w:p>
        </w:tc>
      </w:tr>
      <w:tr w:rsidR="003358B0" w:rsidRPr="000C00A6" w:rsidTr="007869F1">
        <w:trPr>
          <w:trHeight w:val="48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B0" w:rsidRPr="000C00A6" w:rsidRDefault="003358B0" w:rsidP="003358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Default="003358B0" w:rsidP="003358B0">
            <w:pPr>
              <w:jc w:val="center"/>
            </w:pPr>
            <w:r>
              <w:t>80400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Default="003358B0" w:rsidP="003358B0">
            <w:pPr>
              <w:jc w:val="center"/>
            </w:pPr>
            <w:r>
              <w:t>31200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0" w:rsidRDefault="003358B0" w:rsidP="003358B0">
            <w:pPr>
              <w:jc w:val="center"/>
            </w:pPr>
            <w:r>
              <w:t>18100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B0" w:rsidRDefault="003358B0" w:rsidP="003358B0">
            <w:pPr>
              <w:jc w:val="center"/>
            </w:pPr>
            <w:r>
              <w:t>80400</w:t>
            </w:r>
          </w:p>
        </w:tc>
      </w:tr>
      <w:tr w:rsidR="00AF59DF" w:rsidRPr="005928BF" w:rsidTr="00C20453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DF" w:rsidRPr="005928BF" w:rsidRDefault="00AF59DF" w:rsidP="00AF59D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8BF">
              <w:rPr>
                <w:rFonts w:ascii="Times New Roman" w:hAnsi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DF" w:rsidRPr="005928BF" w:rsidRDefault="00AF59DF" w:rsidP="00AF59DF">
            <w:pPr>
              <w:jc w:val="both"/>
            </w:pPr>
            <w:r w:rsidRPr="005928BF">
              <w:t>Paredzēts nomāt šādas ĢIS licences:</w:t>
            </w:r>
          </w:p>
          <w:p w:rsidR="00AF59DF" w:rsidRPr="005928BF" w:rsidRDefault="00AF59DF" w:rsidP="00AF59D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8B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ArcGIS for Server Enterprise Advanced (Windows) Up to Four Cores License; ArcGIS for Desktop Standard </w:t>
            </w:r>
            <w:r w:rsidRPr="005928B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(formerly ArcEditor) CU; ArcGIS for Desktop Basic (formerly ArcView) CU upgrade uz ArcGIS for Desktop Standard (formerly ArcEditor) CU; ArcGIS for Desktop Basic (formerly ArcView) SU upgrade uz ArcGIS for Desktop Standard (formerly ArcEditor) CU</w:t>
            </w:r>
            <w:r w:rsidRPr="005928BF">
              <w:rPr>
                <w:rFonts w:ascii="Times New Roman" w:hAnsi="Times New Roman"/>
                <w:color w:val="000000"/>
                <w:sz w:val="16"/>
                <w:szCs w:val="16"/>
              </w:rPr>
              <w:t>, par to maksājot:</w:t>
            </w:r>
          </w:p>
          <w:p w:rsidR="00AF59DF" w:rsidRPr="005928BF" w:rsidRDefault="00AF59DF" w:rsidP="00AF59D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8BF">
              <w:rPr>
                <w:rFonts w:ascii="Times New Roman" w:hAnsi="Times New Roman"/>
                <w:color w:val="000000"/>
                <w:sz w:val="16"/>
                <w:szCs w:val="16"/>
              </w:rPr>
              <w:t>2014.g. Ls42000</w:t>
            </w:r>
          </w:p>
          <w:p w:rsidR="00AF59DF" w:rsidRPr="005928BF" w:rsidRDefault="00AF59DF" w:rsidP="00AF5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BF">
              <w:rPr>
                <w:rFonts w:ascii="Times New Roman" w:hAnsi="Times New Roman"/>
                <w:color w:val="000000"/>
                <w:sz w:val="20"/>
                <w:szCs w:val="20"/>
              </w:rPr>
              <w:t>Lai iegūtos ĢIS datus atspoguļotu kartēs, nepieciešams noslēgt licences līgumus (uz 3 gadiem) par šādu kartogrāfiskā materiāla abonēšanu:</w:t>
            </w:r>
          </w:p>
          <w:p w:rsidR="00AF59DF" w:rsidRPr="005928BF" w:rsidRDefault="00AF59DF" w:rsidP="00AF5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9DF" w:rsidRPr="005928BF" w:rsidRDefault="00AF59DF" w:rsidP="00AF5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8BF">
              <w:rPr>
                <w:rFonts w:ascii="Times New Roman" w:hAnsi="Times New Roman"/>
                <w:sz w:val="20"/>
                <w:szCs w:val="20"/>
              </w:rPr>
              <w:t>ortofotokarte – aktuālie pamatdati mērogā 1 : 10 000 visai Latvijas teritorijai (rastra datu formāts – TIFF), topogrāfiskā karte – aktuālie pamatdati mērogā 1 : 10 000 visai Latvijas teritorijai (vektordatu formāts – DGN, ESRI ArcGIS), par to maksājot:</w:t>
            </w:r>
          </w:p>
          <w:p w:rsidR="00AF59DF" w:rsidRPr="005928BF" w:rsidRDefault="00AF59DF" w:rsidP="00AF5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BF">
              <w:rPr>
                <w:rFonts w:ascii="Times New Roman" w:hAnsi="Times New Roman"/>
                <w:sz w:val="20"/>
                <w:szCs w:val="20"/>
              </w:rPr>
              <w:lastRenderedPageBreak/>
              <w:t>2014.g. Ls 38400</w:t>
            </w:r>
          </w:p>
          <w:p w:rsidR="00AF59DF" w:rsidRPr="005928BF" w:rsidRDefault="00AF59DF" w:rsidP="00AF59D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1A44" w:rsidRPr="005928BF" w:rsidRDefault="00111A44" w:rsidP="00AF59D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8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Piezīme: Ja 2014., 2015. un 2016.gadam tiek apstiprināti bāzes izdevumi budžeta programmā 28.00.00 „Ģeodēzija un kartogrāfija” atbilstoši MK 19.03.2013 sēdes prot. Nr.15 58.§ 3.punktam, tad ortofotokarte </w:t>
            </w:r>
            <w:r w:rsidR="0046710F" w:rsidRPr="005928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 2014.gada </w:t>
            </w:r>
            <w:r w:rsidRPr="005928BF">
              <w:rPr>
                <w:rFonts w:ascii="Times New Roman" w:hAnsi="Times New Roman"/>
                <w:color w:val="000000"/>
                <w:sz w:val="16"/>
                <w:szCs w:val="16"/>
              </w:rPr>
              <w:t>būs pieejama bez maksas.</w:t>
            </w:r>
          </w:p>
          <w:p w:rsidR="00AF59DF" w:rsidRPr="005928BF" w:rsidRDefault="00AF59DF" w:rsidP="00AF59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9DF" w:rsidRPr="005928BF" w:rsidRDefault="00AF59DF" w:rsidP="00AF59D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8B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DF" w:rsidRPr="005928BF" w:rsidRDefault="00AF59DF" w:rsidP="00AF59DF">
            <w:pPr>
              <w:jc w:val="both"/>
            </w:pPr>
            <w:r w:rsidRPr="005928BF">
              <w:t>ĢIS licenču noma 2.gadā</w:t>
            </w:r>
          </w:p>
          <w:p w:rsidR="00AF59DF" w:rsidRPr="005928BF" w:rsidRDefault="00AF59DF" w:rsidP="00AF5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DF" w:rsidRPr="005928BF" w:rsidRDefault="00AF59DF" w:rsidP="00AF59DF">
            <w:pPr>
              <w:rPr>
                <w:rFonts w:ascii="Times New Roman" w:hAnsi="Times New Roman"/>
                <w:sz w:val="20"/>
                <w:szCs w:val="20"/>
              </w:rPr>
            </w:pPr>
            <w:r w:rsidRPr="005928BF">
              <w:rPr>
                <w:rFonts w:ascii="Times New Roman" w:hAnsi="Times New Roman"/>
                <w:sz w:val="20"/>
                <w:szCs w:val="20"/>
              </w:rPr>
              <w:t>Ls 30200</w:t>
            </w:r>
          </w:p>
          <w:p w:rsidR="00AF59DF" w:rsidRPr="005928BF" w:rsidRDefault="00AF59DF" w:rsidP="00AF59DF">
            <w:pPr>
              <w:rPr>
                <w:rFonts w:ascii="Times New Roman" w:hAnsi="Times New Roman"/>
                <w:sz w:val="20"/>
                <w:szCs w:val="20"/>
              </w:rPr>
            </w:pPr>
            <w:r w:rsidRPr="005928BF">
              <w:rPr>
                <w:rFonts w:ascii="Times New Roman" w:hAnsi="Times New Roman"/>
                <w:sz w:val="20"/>
                <w:szCs w:val="20"/>
              </w:rPr>
              <w:t xml:space="preserve">Ortofotokaršu un </w:t>
            </w:r>
            <w:r w:rsidRPr="005928BF">
              <w:rPr>
                <w:rFonts w:ascii="Times New Roman" w:hAnsi="Times New Roman"/>
                <w:sz w:val="20"/>
                <w:szCs w:val="20"/>
              </w:rPr>
              <w:lastRenderedPageBreak/>
              <w:t>topogrāfisko karšu abonēšana 2.gadā Ls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9DF" w:rsidRPr="005928BF" w:rsidRDefault="00AF59DF" w:rsidP="00AF59D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8B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DF" w:rsidRPr="005928BF" w:rsidRDefault="00AF59DF" w:rsidP="00AF59DF">
            <w:pPr>
              <w:jc w:val="both"/>
            </w:pPr>
            <w:r w:rsidRPr="005928BF">
              <w:t>ĢIS licenču noma 3.gadā</w:t>
            </w:r>
          </w:p>
          <w:p w:rsidR="00AF59DF" w:rsidRPr="005928BF" w:rsidRDefault="00AF59DF" w:rsidP="00AF5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DF" w:rsidRPr="005928BF" w:rsidRDefault="00AF59DF" w:rsidP="00AF59DF">
            <w:pPr>
              <w:rPr>
                <w:rFonts w:ascii="Times New Roman" w:hAnsi="Times New Roman"/>
                <w:sz w:val="20"/>
                <w:szCs w:val="20"/>
              </w:rPr>
            </w:pPr>
            <w:r w:rsidRPr="005928BF">
              <w:rPr>
                <w:rFonts w:ascii="Times New Roman" w:hAnsi="Times New Roman"/>
                <w:sz w:val="20"/>
                <w:szCs w:val="20"/>
              </w:rPr>
              <w:t>Ls 17100</w:t>
            </w:r>
          </w:p>
          <w:p w:rsidR="00AF59DF" w:rsidRPr="005928BF" w:rsidRDefault="00AF59DF" w:rsidP="00AF59DF">
            <w:pPr>
              <w:rPr>
                <w:rFonts w:ascii="Times New Roman" w:hAnsi="Times New Roman"/>
                <w:sz w:val="20"/>
                <w:szCs w:val="20"/>
              </w:rPr>
            </w:pPr>
            <w:r w:rsidRPr="005928BF">
              <w:rPr>
                <w:rFonts w:ascii="Times New Roman" w:hAnsi="Times New Roman"/>
                <w:sz w:val="20"/>
                <w:szCs w:val="20"/>
              </w:rPr>
              <w:t xml:space="preserve">Ortofotokaršu un </w:t>
            </w:r>
            <w:r w:rsidRPr="005928BF">
              <w:rPr>
                <w:rFonts w:ascii="Times New Roman" w:hAnsi="Times New Roman"/>
                <w:sz w:val="20"/>
                <w:szCs w:val="20"/>
              </w:rPr>
              <w:lastRenderedPageBreak/>
              <w:t>topogrāfisko karšu abonēšana 3.gadā Ls 1000</w:t>
            </w:r>
          </w:p>
          <w:p w:rsidR="00111A44" w:rsidRPr="005928BF" w:rsidRDefault="00111A44" w:rsidP="00AF5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A44" w:rsidRPr="005928BF" w:rsidRDefault="00111A44" w:rsidP="00AF59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1A44" w:rsidRPr="005928BF" w:rsidRDefault="00111A44" w:rsidP="00111A4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8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Piezīme: Ja 2016.gadam tiek apstiprināti bāzes izdevumi budžeta programmā 28.00.00 „Ģeodēzija un kartogrāfija” atbilstoši Koncecpijas 9.1.pielikumam (Rezultatīvais rādītājs - Topogrāfiskās kartes mērogā 1:10000 aktualizācija), tad topogrāfiskā karte mērogā 1:10000 </w:t>
            </w:r>
            <w:r w:rsidR="0046710F" w:rsidRPr="005928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 2016.gada </w:t>
            </w:r>
            <w:r w:rsidRPr="005928BF">
              <w:rPr>
                <w:rFonts w:ascii="Times New Roman" w:hAnsi="Times New Roman"/>
                <w:color w:val="000000"/>
                <w:sz w:val="16"/>
                <w:szCs w:val="16"/>
              </w:rPr>
              <w:t>būs pieejama bez maksas.</w:t>
            </w:r>
          </w:p>
          <w:p w:rsidR="00111A44" w:rsidRPr="005928BF" w:rsidRDefault="00111A44" w:rsidP="00AF59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9DF" w:rsidRPr="005928BF" w:rsidRDefault="00AF59DF" w:rsidP="00AF59D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8B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DF" w:rsidRPr="005928BF" w:rsidRDefault="00AF59DF" w:rsidP="00AF59DF">
            <w:pPr>
              <w:jc w:val="center"/>
            </w:pPr>
            <w:r w:rsidRPr="005928BF">
              <w:t>80400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DF" w:rsidRPr="005928BF" w:rsidRDefault="00AF59DF" w:rsidP="00AF59DF">
            <w:pPr>
              <w:jc w:val="center"/>
            </w:pPr>
            <w:r w:rsidRPr="005928BF">
              <w:t>31200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DF" w:rsidRPr="005928BF" w:rsidRDefault="00146F7D" w:rsidP="00AF59DF">
            <w:pPr>
              <w:jc w:val="center"/>
            </w:pPr>
            <w:r w:rsidRPr="005928BF">
              <w:t>18100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9DF" w:rsidRPr="005928BF" w:rsidRDefault="00AF59DF" w:rsidP="00AF59DF">
            <w:pPr>
              <w:jc w:val="center"/>
            </w:pPr>
            <w:r w:rsidRPr="005928BF">
              <w:t>80400</w:t>
            </w:r>
          </w:p>
        </w:tc>
      </w:tr>
    </w:tbl>
    <w:p w:rsidR="000E3D11" w:rsidRPr="005928BF" w:rsidRDefault="000E3D11" w:rsidP="000E3D11">
      <w:pPr>
        <w:rPr>
          <w:rFonts w:ascii="Times New Roman" w:hAnsi="Times New Roman"/>
        </w:rPr>
      </w:pPr>
    </w:p>
    <w:p w:rsidR="00CB1CBC" w:rsidRDefault="00CB1CBC" w:rsidP="00CB1CBC">
      <w:pPr>
        <w:rPr>
          <w:rFonts w:ascii="Times New Roman" w:hAnsi="Times New Roman"/>
        </w:rPr>
      </w:pPr>
      <w:r w:rsidRPr="005928BF">
        <w:rPr>
          <w:rFonts w:ascii="Times New Roman" w:hAnsi="Times New Roman"/>
        </w:rPr>
        <w:t>Atbildīgā persona ZM: Lelda Pamovska, Meža departamenta Meža resursu un medību nodaļa Vecākā referente tālr. 67027101</w:t>
      </w:r>
    </w:p>
    <w:p w:rsidR="00CB1CBC" w:rsidRDefault="00CB1CBC" w:rsidP="000E3D11">
      <w:pPr>
        <w:rPr>
          <w:rFonts w:ascii="Times New Roman" w:hAnsi="Times New Roman"/>
        </w:rPr>
      </w:pPr>
    </w:p>
    <w:p w:rsidR="00CB1CBC" w:rsidRPr="003D6A03" w:rsidRDefault="00F566E0" w:rsidP="00CB1CBC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bookmarkStart w:id="2" w:name="_GoBack"/>
      <w:bookmarkEnd w:id="2"/>
      <w:r w:rsidR="005928BF">
        <w:rPr>
          <w:b w:val="0"/>
          <w:sz w:val="20"/>
          <w:szCs w:val="20"/>
        </w:rPr>
        <w:t>.07</w:t>
      </w:r>
      <w:r w:rsidR="00CB1CBC" w:rsidRPr="003D6A03">
        <w:rPr>
          <w:b w:val="0"/>
          <w:sz w:val="20"/>
          <w:szCs w:val="20"/>
        </w:rPr>
        <w:t>.2013.</w:t>
      </w:r>
    </w:p>
    <w:p w:rsidR="00CB1CBC" w:rsidRPr="003D6A03" w:rsidRDefault="005928BF" w:rsidP="00CB1CBC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739</w:t>
      </w:r>
    </w:p>
    <w:p w:rsidR="005928BF" w:rsidRPr="003D7BE4" w:rsidRDefault="005928BF" w:rsidP="005928BF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M.Celmiņa</w:t>
      </w:r>
      <w:r>
        <w:rPr>
          <w:rFonts w:ascii="Times New Roman" w:hAnsi="Times New Roman"/>
        </w:rPr>
        <w:t xml:space="preserve"> </w:t>
      </w:r>
      <w:r w:rsidRPr="003D7BE4">
        <w:rPr>
          <w:rFonts w:ascii="Times New Roman" w:hAnsi="Times New Roman"/>
        </w:rPr>
        <w:t>26450705</w:t>
      </w:r>
    </w:p>
    <w:p w:rsidR="005928BF" w:rsidRPr="003D7BE4" w:rsidRDefault="005928BF" w:rsidP="005928BF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Maija.Celmina@lgia.gov.lv</w:t>
      </w:r>
    </w:p>
    <w:p w:rsidR="005928BF" w:rsidRPr="007F2FCF" w:rsidRDefault="005928BF" w:rsidP="005928BF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V.Bērziņš 29481235</w:t>
      </w:r>
    </w:p>
    <w:p w:rsidR="005928BF" w:rsidRPr="007F2FCF" w:rsidRDefault="005928BF" w:rsidP="005928BF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Valdis.Berzins</w:t>
      </w:r>
      <w:r w:rsidRPr="007F2FCF">
        <w:rPr>
          <w:rFonts w:ascii="Times New Roman" w:hAnsi="Times New Roman"/>
        </w:rPr>
        <w:t>@lgia.gov.lv</w:t>
      </w:r>
    </w:p>
    <w:p w:rsidR="00A8361E" w:rsidRDefault="00A8361E" w:rsidP="00CB1CBC"/>
    <w:sectPr w:rsidR="00A8361E" w:rsidSect="00CB1C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1"/>
    <w:rsid w:val="000E3D11"/>
    <w:rsid w:val="00111A44"/>
    <w:rsid w:val="00146F7D"/>
    <w:rsid w:val="003358B0"/>
    <w:rsid w:val="00435916"/>
    <w:rsid w:val="0045615B"/>
    <w:rsid w:val="0046710F"/>
    <w:rsid w:val="005928BF"/>
    <w:rsid w:val="00856002"/>
    <w:rsid w:val="008C3C9F"/>
    <w:rsid w:val="00934F92"/>
    <w:rsid w:val="009748AB"/>
    <w:rsid w:val="00A8361E"/>
    <w:rsid w:val="00AF59DF"/>
    <w:rsid w:val="00B07738"/>
    <w:rsid w:val="00C30984"/>
    <w:rsid w:val="00C56DCA"/>
    <w:rsid w:val="00CB1CBC"/>
    <w:rsid w:val="00CC2BDB"/>
    <w:rsid w:val="00CF68FB"/>
    <w:rsid w:val="00D66A9F"/>
    <w:rsid w:val="00E001B4"/>
    <w:rsid w:val="00F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CBC"/>
    <w:pPr>
      <w:spacing w:after="12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CB1CBC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CB1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4F92"/>
    <w:pPr>
      <w:ind w:left="720"/>
      <w:contextualSpacing/>
    </w:pPr>
  </w:style>
  <w:style w:type="paragraph" w:customStyle="1" w:styleId="tabula">
    <w:name w:val="tabula"/>
    <w:basedOn w:val="Normal"/>
    <w:rsid w:val="005928BF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CBC"/>
    <w:pPr>
      <w:spacing w:after="12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CB1CBC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CB1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4F92"/>
    <w:pPr>
      <w:ind w:left="720"/>
      <w:contextualSpacing/>
    </w:pPr>
  </w:style>
  <w:style w:type="paragraph" w:customStyle="1" w:styleId="tabula">
    <w:name w:val="tabula"/>
    <w:basedOn w:val="Normal"/>
    <w:rsid w:val="005928BF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2F7D-852F-4C52-8FFF-4F86F126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693C607B.dotm</Template>
  <TotalTime>6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ģeotelpiskās informācijas attīstības koncepcija</vt:lpstr>
    </vt:vector>
  </TitlesOfParts>
  <Manager>Latvijas Ģeotelpiskās informācijas aģentūra</Manager>
  <Company>Aizsardzības ministrija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9.2.pielikums</dc:subject>
  <dc:creator>Maija Celmiņa, Valdis Bērziņš</dc:creator>
  <dc:description>Maija.Celmina@lgia.gov.lv, 26450705;_x000d_
Valdis.Berzins@lgia.gov.lv, 29481235</dc:description>
  <cp:lastModifiedBy>Vera Solovjova</cp:lastModifiedBy>
  <cp:revision>6</cp:revision>
  <dcterms:created xsi:type="dcterms:W3CDTF">2013-07-17T09:34:00Z</dcterms:created>
  <dcterms:modified xsi:type="dcterms:W3CDTF">2013-07-23T08:21:00Z</dcterms:modified>
</cp:coreProperties>
</file>