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bookmarkStart w:id="0" w:name="_Toc343865315"/>
      <w:bookmarkStart w:id="1" w:name="313140"/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9.</w:t>
      </w:r>
      <w:r w:rsidR="00A010F0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pielikums</w:t>
      </w:r>
      <w:bookmarkEnd w:id="0"/>
    </w:p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Latvijas ģeotelpiskās informācijas</w:t>
      </w:r>
    </w:p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 xml:space="preserve">attīstības koncepcijai </w:t>
      </w:r>
    </w:p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 xml:space="preserve">(apstiprināta ar Ministru kabineta </w:t>
      </w:r>
    </w:p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2013.gada                          </w:t>
      </w:r>
    </w:p>
    <w:p w:rsidR="004C3742" w:rsidRPr="005B3D4D" w:rsidRDefault="004C3742" w:rsidP="005B3D4D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 xml:space="preserve"> rīkojumu Nr.       )</w:t>
      </w:r>
    </w:p>
    <w:p w:rsidR="00080260" w:rsidRDefault="004C3742" w:rsidP="000802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64">
        <w:rPr>
          <w:rFonts w:ascii="Times New Roman" w:hAnsi="Times New Roman" w:cs="Times New Roman"/>
          <w:b/>
          <w:sz w:val="24"/>
          <w:szCs w:val="24"/>
        </w:rPr>
        <w:t xml:space="preserve">Politikas plānošanas dokumenta ietekme uz valsts budžeta dotācijām </w:t>
      </w:r>
      <w:r>
        <w:rPr>
          <w:rFonts w:ascii="Times New Roman" w:hAnsi="Times New Roman" w:cs="Times New Roman"/>
          <w:b/>
          <w:sz w:val="24"/>
          <w:szCs w:val="24"/>
        </w:rPr>
        <w:t>Veselības ministrijā</w:t>
      </w:r>
      <w:r w:rsidRPr="00EF7164">
        <w:rPr>
          <w:rFonts w:ascii="Times New Roman" w:hAnsi="Times New Roman" w:cs="Times New Roman"/>
          <w:b/>
          <w:sz w:val="24"/>
          <w:szCs w:val="24"/>
        </w:rPr>
        <w:t xml:space="preserve"> ģeodēzijas,</w:t>
      </w:r>
      <w:r w:rsidR="001F7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64">
        <w:rPr>
          <w:rFonts w:ascii="Times New Roman" w:hAnsi="Times New Roman" w:cs="Times New Roman"/>
          <w:b/>
          <w:sz w:val="24"/>
          <w:szCs w:val="24"/>
        </w:rPr>
        <w:t>kartogrāfijas un ģeotelpiskās informācijas nozarē</w:t>
      </w:r>
    </w:p>
    <w:tbl>
      <w:tblPr>
        <w:tblW w:w="5093" w:type="pct"/>
        <w:tblInd w:w="-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1660"/>
        <w:gridCol w:w="1742"/>
        <w:gridCol w:w="1690"/>
      </w:tblGrid>
      <w:tr w:rsidR="0049272D" w:rsidRPr="005058FE" w:rsidTr="00080260">
        <w:trPr>
          <w:trHeight w:val="450"/>
        </w:trPr>
        <w:tc>
          <w:tcPr>
            <w:tcW w:w="2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bookmarkEnd w:id="1"/>
          <w:p w:rsidR="0049272D" w:rsidRPr="005058FE" w:rsidRDefault="0049272D" w:rsidP="00F2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(tūkst. latu)</w:t>
            </w:r>
          </w:p>
        </w:tc>
      </w:tr>
      <w:tr w:rsidR="00F75B51" w:rsidRPr="005058FE" w:rsidTr="00080260">
        <w:trPr>
          <w:trHeight w:val="450"/>
        </w:trPr>
        <w:tc>
          <w:tcPr>
            <w:tcW w:w="2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2014.g.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2015.g.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2016.g.</w:t>
            </w:r>
          </w:p>
        </w:tc>
      </w:tr>
      <w:tr w:rsidR="00F75B51" w:rsidRPr="005058FE" w:rsidTr="00080260">
        <w:trPr>
          <w:trHeight w:val="255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Kopējās izmaiņas budžeta ieņēmumos t.sk.: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492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11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9272D"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25" w:rsidRPr="005058FE" w:rsidRDefault="00221125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valsts budžeta ieņēmumos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125" w:rsidRPr="005058FE" w:rsidRDefault="00221125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pašvaldību budžeta ieņēmumos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Kopējās izmaiņas budžeta izdevumos t.sk.: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75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valsts budžeta izdevumos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75DB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 skaitā: Veselības ministrija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1675DB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budžeta programma 46.00.00 „Veselības nozares uzraudzība” 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1675DB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apakšprogramma 46.03.00 „Slimību profilakses nodrošināšana”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Pr="005058FE" w:rsidRDefault="001675DB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F20450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pašvaldību budžeta izdevumos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Kopējā finansiālā ietekme: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5DB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Finansiālā ietekme uz valsts budžetu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5DB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 skaitā: Veselības ministrija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Pr="005058FE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5DB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Default="00790B38" w:rsidP="00CA3CFD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budžeta programma 46.00.00 „Veselības nozares uzraudzība”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Pr="005058FE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5DB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Default="00790B38" w:rsidP="00CA3CFD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apakšprogramma 46.03.00 „Slimību profilakses nodrošināšana”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Pr="005058FE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1675DB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Default="00790B38" w:rsidP="00CA3CFD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Finansiālā ietekme uz pašvaldību budžetu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FC9" w:rsidRPr="005058FE" w:rsidTr="00A010F0">
        <w:trPr>
          <w:trHeight w:val="4787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FC9" w:rsidRPr="005058FE" w:rsidRDefault="00A10FC9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Detalizēts ieņēmumu un izdevumu aprēķins (ja nepieciešams, detalizētu ieņēmumu un izdevumu aprēķinu pievieno politikas plānošanas dokumenta pielikumā. Ietekmi uz valsts un pašvaldību budžetiem norāda atsevišķi valsts un pašvaldību budžetam)</w:t>
            </w:r>
          </w:p>
        </w:tc>
        <w:tc>
          <w:tcPr>
            <w:tcW w:w="2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B51" w:rsidRPr="00EE6455" w:rsidRDefault="00F75B51" w:rsidP="00F75B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E64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INSPIRE direktīvā noteikto prasību ieviešana</w:t>
            </w:r>
          </w:p>
          <w:p w:rsidR="00F75B51" w:rsidRDefault="005F7FB4" w:rsidP="00F7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Veselības ministrijai nepieciešams 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>papil</w:t>
            </w:r>
            <w:r w:rsidR="00EE6455">
              <w:rPr>
                <w:rFonts w:ascii="Times New Roman" w:hAnsi="Times New Roman" w:cs="Times New Roman"/>
                <w:sz w:val="24"/>
                <w:szCs w:val="24"/>
              </w:rPr>
              <w:t>du valsts budžeta finansējums Veselības ministrijas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 budžeta apakšprogrammā 46.03.00 „Slimību profilakses nodrošināšana” 2015.gadam 9 800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LVL 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apmērā konsultanta pakalpojumiem, lai 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veiktu izvērtējum</w:t>
            </w:r>
            <w:r w:rsid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sagatavot</w:t>
            </w:r>
            <w:r w:rsid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aprēķin</w:t>
            </w:r>
            <w:r w:rsid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 IT risinājum</w:t>
            </w:r>
            <w:r w:rsidR="00F84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izstrādes izmaksām un izstrādāt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tehniskās specifikācijas programmēšanas pakalpojuma iepirkumam, lai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varētu nodrošināt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5B51" w:rsidRPr="00F75B51">
              <w:rPr>
                <w:rFonts w:ascii="Times New Roman" w:hAnsi="Times New Roman" w:cs="Times New Roman"/>
                <w:i/>
                <w:sz w:val="24"/>
                <w:szCs w:val="24"/>
              </w:rPr>
              <w:t>INSPIRE</w:t>
            </w:r>
            <w:r w:rsidR="00F75B51" w:rsidRPr="00F75B51">
              <w:rPr>
                <w:rFonts w:ascii="Times New Roman" w:hAnsi="Times New Roman" w:cs="Times New Roman"/>
                <w:sz w:val="24"/>
                <w:szCs w:val="24"/>
              </w:rPr>
              <w:t xml:space="preserve"> direktīvas prasību īstenošanu attiecībā uz Veselības ministrijas kompetencē esošajiem veselības jomas datiem, kas atbilst </w:t>
            </w:r>
            <w:r w:rsidR="00F75B51" w:rsidRPr="00F7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INSPIRE </w:t>
            </w:r>
            <w:r w:rsidR="00F75B51" w:rsidRPr="00F75B51">
              <w:rPr>
                <w:rFonts w:ascii="Times New Roman" w:hAnsi="Times New Roman" w:cs="Times New Roman"/>
                <w:sz w:val="24"/>
                <w:szCs w:val="24"/>
              </w:rPr>
              <w:t>direktīvas III pielikuma 5.tēmai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4B7" w:rsidRPr="005964B7" w:rsidRDefault="005964B7" w:rsidP="005964B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964B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Līdzekļu aprēķins</w:t>
            </w:r>
          </w:p>
          <w:p w:rsidR="00866025" w:rsidRPr="00121E4D" w:rsidRDefault="00866025" w:rsidP="00B758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Konsultanta vienas darba stundas likme ir vidēji 35,00 LVL; kopā dienā par astoņu stundu darbu konsultanta darba sa</w:t>
            </w:r>
            <w:r w:rsidR="00E34BCE">
              <w:rPr>
                <w:rFonts w:ascii="Times New Roman" w:hAnsi="Times New Roman" w:cs="Times New Roman"/>
                <w:sz w:val="24"/>
                <w:szCs w:val="24"/>
              </w:rPr>
              <w:t xml:space="preserve">maksa ir 35,00*8= 280,00 LVL. Paredzētais darba apjoms  - 35 cilvēkdienas. Kopā nepieciešamais papildu finansējums 2015.gadā: </w:t>
            </w:r>
            <w:r w:rsidR="00E34BCE">
              <w:rPr>
                <w:rFonts w:ascii="Times New Roman" w:hAnsi="Times New Roman" w:cs="Times New Roman"/>
                <w:bCs/>
                <w:sz w:val="24"/>
                <w:szCs w:val="24"/>
              </w:rPr>
              <w:t>35LVL/h*8*</w:t>
            </w:r>
            <w:r w:rsidR="00E34BCE" w:rsidRPr="00F75B5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E3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4BCE" w:rsidRPr="00F75B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cilvēkdienas = 9800LVL</w:t>
            </w:r>
            <w:r w:rsidR="00E34BC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A10FC9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FC9" w:rsidRPr="005058FE" w:rsidRDefault="00A10FC9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87C" w:rsidRDefault="0098487C" w:rsidP="00F84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>apil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 valsts budžeta finansējums Veselības ministrijas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 budžeta apakšprogrammā 46.03.00 „Slimību profilak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 nodrošināšana” 2015.gadam 9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800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LVL 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>apmērā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>konsultanta pakalpojumiem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tiks iekļauts Veselības ministrijas priekšlikumos jaunajām politikas iniciatīvām </w:t>
            </w: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likumprojekta „Par 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ēja termiņa budžeta ietvaru 2015., 2016. un 2017</w:t>
            </w: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.gadam” sagatavošanas procesā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FC9" w:rsidRPr="00F84EAD" w:rsidRDefault="00F84EAD" w:rsidP="00F8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risinājum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87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3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izstrāde </w:t>
            </w:r>
            <w:r w:rsidRPr="00B102B7">
              <w:rPr>
                <w:rFonts w:ascii="Times New Roman" w:hAnsi="Times New Roman" w:cs="Times New Roman"/>
                <w:sz w:val="24"/>
                <w:szCs w:val="24"/>
              </w:rPr>
              <w:t xml:space="preserve">datu </w:t>
            </w:r>
            <w:r w:rsidR="0098487C">
              <w:rPr>
                <w:rFonts w:ascii="Times New Roman" w:hAnsi="Times New Roman" w:cs="Times New Roman"/>
                <w:sz w:val="24"/>
                <w:szCs w:val="24"/>
              </w:rPr>
              <w:t xml:space="preserve">apmaiņai ar ģeotelpiskās </w:t>
            </w:r>
            <w:r w:rsidRPr="00B102B7">
              <w:rPr>
                <w:rFonts w:ascii="Times New Roman" w:hAnsi="Times New Roman" w:cs="Times New Roman"/>
                <w:sz w:val="24"/>
                <w:szCs w:val="24"/>
              </w:rPr>
              <w:t>informācijas sistēmām</w:t>
            </w:r>
            <w:r w:rsidRPr="00873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tiks plānota piesaistot Eiropas </w:t>
            </w:r>
            <w:r w:rsidRPr="00F84EAD">
              <w:rPr>
                <w:rFonts w:ascii="Times New Roman" w:hAnsi="Times New Roman" w:cs="Times New Roman"/>
                <w:sz w:val="24"/>
                <w:szCs w:val="24"/>
              </w:rPr>
              <w:t>Savienības fondu līdzekļus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nākamā plānošanas perioda 2014.-2020.gadam ietvaros.</w:t>
            </w:r>
            <w:r w:rsidRPr="00F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AD" w:rsidRPr="00D13E7A" w:rsidTr="00080260">
        <w:tblPrEx>
          <w:tblCellMar>
            <w:left w:w="15" w:type="dxa"/>
            <w:right w:w="15" w:type="dxa"/>
          </w:tblCellMar>
        </w:tblPrEx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EAD" w:rsidRPr="00D13E7A" w:rsidRDefault="00F84EAD" w:rsidP="00DC6C8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 budžeta izdevumos no </w:t>
            </w: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2017.g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</w:t>
            </w: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EAD" w:rsidRPr="005B3D4D" w:rsidRDefault="00F84EAD" w:rsidP="005B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risinājum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F84EAD">
              <w:rPr>
                <w:rFonts w:ascii="Times New Roman" w:hAnsi="Times New Roman" w:cs="Times New Roman"/>
                <w:sz w:val="24"/>
                <w:szCs w:val="24"/>
              </w:rPr>
              <w:t xml:space="preserve"> uzturēšanas izmaksas tiks plānota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no valsts budžeta līdzekļiem. Uzturēšanas izmaksām nepieciešamais</w:t>
            </w:r>
            <w:r w:rsidRPr="00F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finansējuma apjoms tiks noteikts pēc </w:t>
            </w:r>
            <w:r w:rsidR="00F158E1">
              <w:rPr>
                <w:rFonts w:ascii="Times New Roman" w:hAnsi="Times New Roman" w:cs="Times New Roman"/>
                <w:sz w:val="24"/>
                <w:szCs w:val="24"/>
              </w:rPr>
              <w:t xml:space="preserve">konsultanta veiktā izvērtējuma par </w:t>
            </w:r>
            <w:r w:rsidR="00F158E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risinājum</w:t>
            </w:r>
            <w:r w:rsidR="00F15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158E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izstrādes izmaksām</w:t>
            </w:r>
            <w:r w:rsidR="00F15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9272D" w:rsidRDefault="0049272D" w:rsidP="00DC6C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8FE">
        <w:rPr>
          <w:rFonts w:ascii="Times New Roman" w:eastAsia="Times New Roman" w:hAnsi="Times New Roman" w:cs="Times New Roman"/>
          <w:sz w:val="24"/>
          <w:szCs w:val="24"/>
        </w:rPr>
        <w:t>Piezīme. *</w:t>
      </w:r>
      <w:r w:rsidR="00DC6C86" w:rsidRPr="005058FE">
        <w:rPr>
          <w:rFonts w:ascii="Times New Roman" w:eastAsia="Times New Roman" w:hAnsi="Times New Roman" w:cs="Times New Roman"/>
          <w:sz w:val="24"/>
          <w:szCs w:val="24"/>
        </w:rPr>
        <w:t>Šim periodam norādāms indikatīvs līd</w:t>
      </w:r>
      <w:r w:rsidR="00DC6C86">
        <w:rPr>
          <w:rFonts w:ascii="Times New Roman" w:eastAsia="Times New Roman" w:hAnsi="Times New Roman" w:cs="Times New Roman"/>
          <w:sz w:val="24"/>
          <w:szCs w:val="24"/>
        </w:rPr>
        <w:t xml:space="preserve">zekļu apjoms, atsevišķi norādot </w:t>
      </w:r>
      <w:r w:rsidR="00DC6C86" w:rsidRPr="005058FE">
        <w:rPr>
          <w:rFonts w:ascii="Times New Roman" w:eastAsia="Times New Roman" w:hAnsi="Times New Roman" w:cs="Times New Roman"/>
          <w:sz w:val="24"/>
          <w:szCs w:val="24"/>
        </w:rPr>
        <w:t>valsts un pašvaldību budžetus.</w:t>
      </w:r>
    </w:p>
    <w:p w:rsidR="005B3D4D" w:rsidRDefault="005B3D4D" w:rsidP="005B3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313131"/>
      <w:bookmarkEnd w:id="2"/>
    </w:p>
    <w:p w:rsidR="005B3D4D" w:rsidRPr="005B3D4D" w:rsidRDefault="005B3D4D" w:rsidP="005B3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4D">
        <w:rPr>
          <w:rFonts w:ascii="Times New Roman" w:hAnsi="Times New Roman" w:cs="Times New Roman"/>
          <w:b/>
          <w:sz w:val="24"/>
          <w:szCs w:val="24"/>
        </w:rPr>
        <w:t>Mērķu un rezultātu, to rezultatīvo rādītāju hierarhija</w:t>
      </w:r>
    </w:p>
    <w:p w:rsidR="005B3D4D" w:rsidRPr="00D13E7A" w:rsidRDefault="005B3D4D" w:rsidP="005B3D4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40" w:type="pct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3142"/>
        <w:gridCol w:w="1272"/>
        <w:gridCol w:w="1272"/>
        <w:gridCol w:w="1400"/>
      </w:tblGrid>
      <w:tr w:rsidR="005B3D4D" w:rsidRPr="005B3D4D" w:rsidTr="00E80631">
        <w:trPr>
          <w:trHeight w:val="105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5B3D4D" w:rsidRPr="005B3D4D" w:rsidRDefault="005B3D4D" w:rsidP="005B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Politikas definētais mērķis/ </w:t>
            </w:r>
            <w:proofErr w:type="spellStart"/>
            <w:r w:rsidRPr="005B3D4D">
              <w:rPr>
                <w:rFonts w:ascii="Times New Roman" w:hAnsi="Times New Roman" w:cs="Times New Roman"/>
                <w:b/>
                <w:sz w:val="24"/>
                <w:szCs w:val="24"/>
              </w:rPr>
              <w:t>apakšmērķis</w:t>
            </w:r>
            <w:proofErr w:type="spellEnd"/>
          </w:p>
        </w:tc>
        <w:tc>
          <w:tcPr>
            <w:tcW w:w="3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5B3D4D" w:rsidRPr="005B3D4D" w:rsidRDefault="005B3D4D" w:rsidP="005B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Aktuālas un kvalitatīvas ģeotelpiskās informācijas sagatavošanas un pieejamības nodrošināšana valstī ilgtspējīgas attīstības kontekstā</w:t>
            </w:r>
          </w:p>
        </w:tc>
      </w:tr>
      <w:tr w:rsidR="00E80631" w:rsidRPr="005B3D4D" w:rsidTr="00E80631">
        <w:trPr>
          <w:trHeight w:val="105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80631" w:rsidRPr="005B3D4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D">
              <w:rPr>
                <w:rFonts w:ascii="Times New Roman" w:hAnsi="Times New Roman" w:cs="Times New Roman"/>
                <w:sz w:val="24"/>
                <w:szCs w:val="24"/>
              </w:rPr>
              <w:t>Darbības rezultāts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80631" w:rsidRPr="005B3D4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D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80631" w:rsidRPr="00E80631" w:rsidRDefault="00E80631" w:rsidP="00E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0631">
              <w:rPr>
                <w:rFonts w:ascii="Times New Roman" w:eastAsia="Times New Roman" w:hAnsi="Times New Roman" w:cs="Times New Roman"/>
                <w:bCs/>
                <w:color w:val="000000"/>
              </w:rPr>
              <w:t>2014.gads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80631" w:rsidRPr="00E80631" w:rsidRDefault="00E80631" w:rsidP="00E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0631">
              <w:rPr>
                <w:rFonts w:ascii="Times New Roman" w:eastAsia="Times New Roman" w:hAnsi="Times New Roman" w:cs="Times New Roman"/>
                <w:bCs/>
                <w:color w:val="000000"/>
              </w:rPr>
              <w:t>2015.gads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80631" w:rsidRPr="00E80631" w:rsidRDefault="00E80631" w:rsidP="00E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0631">
              <w:rPr>
                <w:rFonts w:ascii="Times New Roman" w:eastAsia="Times New Roman" w:hAnsi="Times New Roman" w:cs="Times New Roman"/>
                <w:bCs/>
                <w:color w:val="000000"/>
              </w:rPr>
              <w:t>2016.gads</w:t>
            </w:r>
          </w:p>
        </w:tc>
      </w:tr>
      <w:tr w:rsidR="00E80631" w:rsidRPr="00E80631" w:rsidTr="00E80631">
        <w:trPr>
          <w:trHeight w:val="105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107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INSPIRE direktīvā noteikto prasību </w:t>
            </w:r>
            <w:r w:rsidR="0010719E"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īstenošana</w:t>
            </w:r>
            <w:r w:rsidR="0037020D" w:rsidRPr="0037020D">
              <w:rPr>
                <w:rFonts w:ascii="Times New Roman" w:hAnsi="Times New Roman" w:cs="Times New Roman"/>
                <w:sz w:val="24"/>
                <w:szCs w:val="24"/>
              </w:rPr>
              <w:t xml:space="preserve"> attiecībā uz Veselības ministrijas kompetencē esošajiem veselības jomas datiem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37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Veikts izvērtējums un sagatavots aprēķins par IT </w:t>
            </w:r>
            <w:r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risinājuma i</w:t>
            </w:r>
            <w:r w:rsid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zstrādes izmaksām un izstrādāta tehniskā specifikācija</w:t>
            </w:r>
            <w:r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programmēšanas pakalpojuma iepirkumam, lai nodrošinātu </w:t>
            </w:r>
            <w:r w:rsidRPr="0037020D">
              <w:rPr>
                <w:rFonts w:ascii="Times New Roman" w:hAnsi="Times New Roman" w:cs="Times New Roman"/>
                <w:i/>
                <w:sz w:val="24"/>
                <w:szCs w:val="24"/>
              </w:rPr>
              <w:t>INSPIRE</w:t>
            </w:r>
            <w:r w:rsidRPr="0037020D">
              <w:rPr>
                <w:rFonts w:ascii="Times New Roman" w:hAnsi="Times New Roman" w:cs="Times New Roman"/>
                <w:sz w:val="24"/>
                <w:szCs w:val="24"/>
              </w:rPr>
              <w:t xml:space="preserve"> direktīvas prasību īstenošanu attiecībā uz Veselības ministrijas kompetencē esošajiem veselības jomas datiem, kas atbilst </w:t>
            </w:r>
            <w:r w:rsidRPr="00370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INSPIRE </w:t>
            </w:r>
            <w:r w:rsidRPr="0037020D">
              <w:rPr>
                <w:rFonts w:ascii="Times New Roman" w:hAnsi="Times New Roman" w:cs="Times New Roman"/>
                <w:sz w:val="24"/>
                <w:szCs w:val="24"/>
              </w:rPr>
              <w:t>direktīvas III pielikuma 5.tēmai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0F0" w:rsidRDefault="00A010F0" w:rsidP="00A010F0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</w:p>
    <w:p w:rsidR="00A010F0" w:rsidRDefault="00A010F0" w:rsidP="00A010F0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</w:p>
    <w:p w:rsidR="00A010F0" w:rsidRDefault="00A010F0" w:rsidP="00A010F0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</w:p>
    <w:p w:rsidR="00A010F0" w:rsidRPr="002200B8" w:rsidRDefault="002C2006" w:rsidP="00A010F0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bookmarkStart w:id="3" w:name="_GoBack"/>
      <w:bookmarkEnd w:id="3"/>
      <w:r w:rsidR="00A010F0" w:rsidRPr="002200B8">
        <w:rPr>
          <w:b w:val="0"/>
          <w:sz w:val="20"/>
          <w:szCs w:val="20"/>
        </w:rPr>
        <w:t>.07.2013.</w:t>
      </w:r>
    </w:p>
    <w:p w:rsidR="00A010F0" w:rsidRPr="002200B8" w:rsidRDefault="00A010F0" w:rsidP="00A010F0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 w:rsidRPr="002200B8">
        <w:rPr>
          <w:b w:val="0"/>
          <w:sz w:val="20"/>
          <w:szCs w:val="20"/>
        </w:rPr>
        <w:t>491</w:t>
      </w:r>
    </w:p>
    <w:p w:rsidR="00A010F0" w:rsidRPr="002200B8" w:rsidRDefault="00A010F0" w:rsidP="00A010F0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2200B8">
        <w:rPr>
          <w:rFonts w:ascii="Times New Roman" w:hAnsi="Times New Roman"/>
        </w:rPr>
        <w:t>M.Celmiņa 26450705</w:t>
      </w:r>
    </w:p>
    <w:p w:rsidR="00A010F0" w:rsidRPr="002200B8" w:rsidRDefault="00A010F0" w:rsidP="00A010F0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2200B8">
        <w:rPr>
          <w:rFonts w:ascii="Times New Roman" w:hAnsi="Times New Roman"/>
        </w:rPr>
        <w:t>Maija.Celmina@lgia.gov.lv</w:t>
      </w:r>
    </w:p>
    <w:p w:rsidR="00A010F0" w:rsidRPr="002200B8" w:rsidRDefault="00A010F0" w:rsidP="00A010F0">
      <w:pPr>
        <w:pStyle w:val="Default"/>
        <w:ind w:firstLine="720"/>
        <w:jc w:val="both"/>
        <w:rPr>
          <w:sz w:val="20"/>
          <w:szCs w:val="20"/>
        </w:rPr>
      </w:pPr>
      <w:r w:rsidRPr="002200B8">
        <w:rPr>
          <w:sz w:val="20"/>
          <w:szCs w:val="20"/>
        </w:rPr>
        <w:t>V.Bērziņš 29481235</w:t>
      </w:r>
    </w:p>
    <w:p w:rsidR="00A010F0" w:rsidRPr="002200B8" w:rsidRDefault="00A010F0" w:rsidP="00A010F0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2200B8">
        <w:rPr>
          <w:rFonts w:ascii="Times New Roman" w:hAnsi="Times New Roman"/>
          <w:sz w:val="20"/>
          <w:szCs w:val="20"/>
        </w:rPr>
        <w:t>Valdis.Berzins@lgia.gov.lv</w:t>
      </w:r>
    </w:p>
    <w:p w:rsidR="00327D73" w:rsidRDefault="00327D73" w:rsidP="00FE7212"/>
    <w:sectPr w:rsidR="00327D73" w:rsidSect="00080260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91" w:rsidRDefault="00ED4891" w:rsidP="0049272D">
      <w:pPr>
        <w:spacing w:after="0" w:line="240" w:lineRule="auto"/>
      </w:pPr>
      <w:r>
        <w:separator/>
      </w:r>
    </w:p>
  </w:endnote>
  <w:endnote w:type="continuationSeparator" w:id="0">
    <w:p w:rsidR="00ED4891" w:rsidRDefault="00ED4891" w:rsidP="004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91" w:rsidRDefault="00ED4891" w:rsidP="0049272D">
      <w:pPr>
        <w:spacing w:after="0" w:line="240" w:lineRule="auto"/>
      </w:pPr>
      <w:r>
        <w:separator/>
      </w:r>
    </w:p>
  </w:footnote>
  <w:footnote w:type="continuationSeparator" w:id="0">
    <w:p w:rsidR="00ED4891" w:rsidRDefault="00ED4891" w:rsidP="004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020D" w:rsidRPr="0049272D" w:rsidRDefault="001E2966">
        <w:pPr>
          <w:pStyle w:val="Header"/>
          <w:jc w:val="center"/>
          <w:rPr>
            <w:rFonts w:ascii="Times New Roman" w:hAnsi="Times New Roman" w:cs="Times New Roman"/>
          </w:rPr>
        </w:pPr>
        <w:r w:rsidRPr="0049272D">
          <w:rPr>
            <w:rFonts w:ascii="Times New Roman" w:hAnsi="Times New Roman" w:cs="Times New Roman"/>
          </w:rPr>
          <w:fldChar w:fldCharType="begin"/>
        </w:r>
        <w:r w:rsidR="0037020D" w:rsidRPr="0049272D">
          <w:rPr>
            <w:rFonts w:ascii="Times New Roman" w:hAnsi="Times New Roman" w:cs="Times New Roman"/>
          </w:rPr>
          <w:instrText xml:space="preserve"> PAGE   \* MERGEFORMAT </w:instrText>
        </w:r>
        <w:r w:rsidRPr="0049272D">
          <w:rPr>
            <w:rFonts w:ascii="Times New Roman" w:hAnsi="Times New Roman" w:cs="Times New Roman"/>
          </w:rPr>
          <w:fldChar w:fldCharType="separate"/>
        </w:r>
        <w:r w:rsidR="002C2006">
          <w:rPr>
            <w:rFonts w:ascii="Times New Roman" w:hAnsi="Times New Roman" w:cs="Times New Roman"/>
            <w:noProof/>
          </w:rPr>
          <w:t>2</w:t>
        </w:r>
        <w:r w:rsidRPr="0049272D">
          <w:rPr>
            <w:rFonts w:ascii="Times New Roman" w:hAnsi="Times New Roman" w:cs="Times New Roman"/>
          </w:rPr>
          <w:fldChar w:fldCharType="end"/>
        </w:r>
      </w:p>
    </w:sdtContent>
  </w:sdt>
  <w:p w:rsidR="0037020D" w:rsidRDefault="00370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272D"/>
    <w:rsid w:val="00024E57"/>
    <w:rsid w:val="00051B5B"/>
    <w:rsid w:val="00080260"/>
    <w:rsid w:val="000E4078"/>
    <w:rsid w:val="0010719E"/>
    <w:rsid w:val="00121E4D"/>
    <w:rsid w:val="001675DB"/>
    <w:rsid w:val="00197186"/>
    <w:rsid w:val="001E2966"/>
    <w:rsid w:val="001E5739"/>
    <w:rsid w:val="001F7CC1"/>
    <w:rsid w:val="002169A5"/>
    <w:rsid w:val="002200B8"/>
    <w:rsid w:val="00221125"/>
    <w:rsid w:val="00250876"/>
    <w:rsid w:val="00281879"/>
    <w:rsid w:val="002C2006"/>
    <w:rsid w:val="00327D73"/>
    <w:rsid w:val="0037020D"/>
    <w:rsid w:val="00394DBC"/>
    <w:rsid w:val="003B615E"/>
    <w:rsid w:val="00405AEA"/>
    <w:rsid w:val="00445F7C"/>
    <w:rsid w:val="00453FDD"/>
    <w:rsid w:val="0048173B"/>
    <w:rsid w:val="0049272D"/>
    <w:rsid w:val="004C1AA0"/>
    <w:rsid w:val="004C3742"/>
    <w:rsid w:val="00507265"/>
    <w:rsid w:val="0052002E"/>
    <w:rsid w:val="00522603"/>
    <w:rsid w:val="00561D1B"/>
    <w:rsid w:val="00583AA1"/>
    <w:rsid w:val="005964B7"/>
    <w:rsid w:val="005B3D4D"/>
    <w:rsid w:val="005F7FB4"/>
    <w:rsid w:val="00671EBA"/>
    <w:rsid w:val="00674411"/>
    <w:rsid w:val="006D18B0"/>
    <w:rsid w:val="00790B38"/>
    <w:rsid w:val="00866025"/>
    <w:rsid w:val="00873A5F"/>
    <w:rsid w:val="00885BD1"/>
    <w:rsid w:val="0089327C"/>
    <w:rsid w:val="008C313F"/>
    <w:rsid w:val="0098487C"/>
    <w:rsid w:val="009D1549"/>
    <w:rsid w:val="00A010F0"/>
    <w:rsid w:val="00A10FC9"/>
    <w:rsid w:val="00A33014"/>
    <w:rsid w:val="00A658D1"/>
    <w:rsid w:val="00A71426"/>
    <w:rsid w:val="00A945C1"/>
    <w:rsid w:val="00B102B7"/>
    <w:rsid w:val="00B7583E"/>
    <w:rsid w:val="00C1780F"/>
    <w:rsid w:val="00CA3CFD"/>
    <w:rsid w:val="00D12D47"/>
    <w:rsid w:val="00D16EA6"/>
    <w:rsid w:val="00DC6C86"/>
    <w:rsid w:val="00DF4F51"/>
    <w:rsid w:val="00DF6FD0"/>
    <w:rsid w:val="00E34BCE"/>
    <w:rsid w:val="00E80631"/>
    <w:rsid w:val="00EB68D3"/>
    <w:rsid w:val="00ED4891"/>
    <w:rsid w:val="00EE6455"/>
    <w:rsid w:val="00F158E1"/>
    <w:rsid w:val="00F165E5"/>
    <w:rsid w:val="00F20450"/>
    <w:rsid w:val="00F638F7"/>
    <w:rsid w:val="00F65D80"/>
    <w:rsid w:val="00F75B51"/>
    <w:rsid w:val="00F84EAD"/>
    <w:rsid w:val="00FE7212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2D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492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72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12"/>
    <w:rPr>
      <w:rFonts w:ascii="Tahoma" w:hAnsi="Tahoma" w:cs="Tahoma"/>
      <w:sz w:val="16"/>
      <w:szCs w:val="16"/>
      <w:lang w:val="lv-LV"/>
    </w:rPr>
  </w:style>
  <w:style w:type="paragraph" w:styleId="BodyText">
    <w:name w:val="Body Text"/>
    <w:basedOn w:val="Normal"/>
    <w:link w:val="BodyTextChar"/>
    <w:rsid w:val="00A010F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010F0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Default">
    <w:name w:val="Default"/>
    <w:rsid w:val="00A0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ula">
    <w:name w:val="tabula"/>
    <w:basedOn w:val="Normal"/>
    <w:rsid w:val="00A010F0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2D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492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72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1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37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52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4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570F-6082-491B-B8E6-36C549C1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9889CDD4.dotm</Template>
  <TotalTime>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ģeotelpiskās informācijas attīstības koncepcija</vt:lpstr>
    </vt:vector>
  </TitlesOfParts>
  <Manager>Latvijas Ģeotelpiskās informācijas aģentūra</Manager>
  <Company>Aizsardzības ministrija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9.4.pielikums</dc:subject>
  <dc:creator>Maija Celmiņa, Valdis Bērziņš</dc:creator>
  <dc:description>Maija.Celmina@lgia.gov.lv, 26450705;_x000d_
Valdis.Berzins@lgia.gov.lv, 29481235</dc:description>
  <cp:lastModifiedBy>Vera Solovjova</cp:lastModifiedBy>
  <cp:revision>5</cp:revision>
  <cp:lastPrinted>2013-06-12T08:00:00Z</cp:lastPrinted>
  <dcterms:created xsi:type="dcterms:W3CDTF">2013-07-16T09:06:00Z</dcterms:created>
  <dcterms:modified xsi:type="dcterms:W3CDTF">2013-07-23T08:26:00Z</dcterms:modified>
</cp:coreProperties>
</file>